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C9D3" w14:textId="77777777" w:rsidR="00107DD5" w:rsidRDefault="00221D8F" w:rsidP="00CA4815">
      <w:r w:rsidRPr="00CA4815">
        <w:rPr>
          <w:b/>
          <w:bCs/>
          <w:noProof/>
        </w:rPr>
        <w:drawing>
          <wp:anchor distT="0" distB="0" distL="114300" distR="114300" simplePos="0" relativeHeight="251658240" behindDoc="1" locked="1" layoutInCell="1" allowOverlap="1" wp14:anchorId="07220B7C" wp14:editId="401F3E02">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99AA1C8" wp14:editId="0C3D1AF9">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01D5A8B7" w14:textId="2B12695A" w:rsidR="00CC6666" w:rsidRDefault="00CC6666" w:rsidP="002F230F">
      <w:pPr>
        <w:pStyle w:val="TOC3"/>
        <w:tabs>
          <w:tab w:val="right" w:leader="dot" w:pos="9016"/>
        </w:tabs>
      </w:pPr>
      <w:bookmarkStart w:id="0" w:name="_Toc126923147"/>
      <w:bookmarkStart w:id="1" w:name="_Toc126923158"/>
      <w:bookmarkStart w:id="2" w:name="_Toc126923317"/>
    </w:p>
    <w:p w14:paraId="0CA8B677" w14:textId="77777777" w:rsidR="002F230F" w:rsidRDefault="002F230F" w:rsidP="002F230F"/>
    <w:p w14:paraId="00C55484" w14:textId="77777777" w:rsidR="00E61E11" w:rsidRPr="00E61E11" w:rsidRDefault="00E61E11" w:rsidP="00E61E11">
      <w:pPr>
        <w:rPr>
          <w:b/>
          <w:bCs/>
          <w:sz w:val="40"/>
          <w:szCs w:val="40"/>
        </w:rPr>
      </w:pPr>
      <w:r w:rsidRPr="00E61E11">
        <w:rPr>
          <w:b/>
          <w:bCs/>
          <w:sz w:val="40"/>
          <w:szCs w:val="40"/>
        </w:rPr>
        <w:t>A selection of findings from the Selected Higher Education Statistics – 2022 student data.</w:t>
      </w:r>
    </w:p>
    <w:p w14:paraId="672162C7" w14:textId="724792DA" w:rsidR="00CA1D9D" w:rsidRPr="004B3150" w:rsidRDefault="00CA1D9D" w:rsidP="004B3150">
      <w:pPr>
        <w:pStyle w:val="Heading3"/>
      </w:pPr>
      <w:bookmarkStart w:id="3" w:name="_Toc152149408"/>
      <w:r>
        <w:t>Student enrolments decrease</w:t>
      </w:r>
      <w:r w:rsidR="007A2BBE">
        <w:t>d by</w:t>
      </w:r>
      <w:r>
        <w:t xml:space="preserve"> 3.2 per cent</w:t>
      </w:r>
      <w:r w:rsidR="00A44FA5">
        <w:t xml:space="preserve"> from 2021 to </w:t>
      </w:r>
      <w:proofErr w:type="gramStart"/>
      <w:r w:rsidR="00A44FA5">
        <w:t>2022</w:t>
      </w:r>
      <w:bookmarkEnd w:id="3"/>
      <w:proofErr w:type="gramEnd"/>
    </w:p>
    <w:p w14:paraId="06D76A67" w14:textId="27FBF277" w:rsidR="00CA1D9D" w:rsidRDefault="00CA1D9D" w:rsidP="00CA1D9D">
      <w:pPr>
        <w:spacing w:after="0" w:line="240" w:lineRule="auto"/>
        <w:rPr>
          <w:rFonts w:eastAsia="Times New Roman" w:cstheme="minorHAnsi"/>
        </w:rPr>
      </w:pPr>
      <w:r>
        <w:rPr>
          <w:rFonts w:eastAsia="Times New Roman" w:cstheme="minorHAnsi"/>
        </w:rPr>
        <w:t xml:space="preserve">Figure 1: Domestic and </w:t>
      </w:r>
      <w:r w:rsidR="00DE0571">
        <w:rPr>
          <w:rFonts w:eastAsia="Times New Roman" w:cstheme="minorHAnsi"/>
        </w:rPr>
        <w:t>overseas</w:t>
      </w:r>
      <w:r>
        <w:rPr>
          <w:rFonts w:eastAsia="Times New Roman" w:cstheme="minorHAnsi"/>
        </w:rPr>
        <w:t xml:space="preserve"> students, 2013 - 2022</w:t>
      </w:r>
    </w:p>
    <w:p w14:paraId="1E1FEAA7" w14:textId="4203C8DD" w:rsidR="00CA1D9D" w:rsidRDefault="00B6666B" w:rsidP="00CC6666">
      <w:pPr>
        <w:tabs>
          <w:tab w:val="left" w:pos="1935"/>
        </w:tabs>
        <w:spacing w:after="0" w:line="240" w:lineRule="auto"/>
        <w:rPr>
          <w:rFonts w:eastAsia="Times New Roman" w:cstheme="minorHAnsi"/>
        </w:rPr>
      </w:pPr>
      <w:r>
        <w:rPr>
          <w:rFonts w:eastAsia="Times New Roman" w:cstheme="minorHAnsi"/>
        </w:rPr>
        <w:tab/>
      </w:r>
      <w:r>
        <w:rPr>
          <w:noProof/>
        </w:rPr>
        <w:drawing>
          <wp:inline distT="0" distB="0" distL="0" distR="0" wp14:anchorId="63C739B4" wp14:editId="3AB01A6B">
            <wp:extent cx="5731510" cy="4236085"/>
            <wp:effectExtent l="0" t="0" r="2540" b="12065"/>
            <wp:docPr id="305478577" name="Chart 1">
              <a:extLst xmlns:a="http://schemas.openxmlformats.org/drawingml/2006/main">
                <a:ext uri="{FF2B5EF4-FFF2-40B4-BE49-F238E27FC236}">
                  <a16:creationId xmlns:a16="http://schemas.microsoft.com/office/drawing/2014/main" id="{A2B839FC-FE58-4D0A-9980-D682026A8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79CC67" w14:textId="77CDD176" w:rsidR="00CA1D9D" w:rsidRPr="00F4671E" w:rsidRDefault="00CA1D9D" w:rsidP="00CA1D9D">
      <w:pPr>
        <w:spacing w:after="200" w:line="276" w:lineRule="auto"/>
        <w:ind w:left="-207"/>
        <w:rPr>
          <w:rFonts w:cstheme="minorHAnsi"/>
        </w:rPr>
      </w:pPr>
      <w:r>
        <w:rPr>
          <w:rFonts w:cstheme="minorHAnsi"/>
        </w:rPr>
        <w:t>[Data can be found in</w:t>
      </w:r>
      <w:r w:rsidR="007B0BEA">
        <w:rPr>
          <w:rFonts w:cstheme="minorHAnsi"/>
        </w:rPr>
        <w:t xml:space="preserve"> the </w:t>
      </w:r>
      <w:hyperlink r:id="rId15" w:history="1">
        <w:r w:rsidR="007B0BEA" w:rsidRPr="00FD74E7">
          <w:rPr>
            <w:rStyle w:val="Hyperlink"/>
            <w:rFonts w:cstheme="minorHAnsi"/>
          </w:rPr>
          <w:t>2022 student summary time series</w:t>
        </w:r>
      </w:hyperlink>
      <w:r>
        <w:rPr>
          <w:rFonts w:cstheme="minorHAnsi"/>
        </w:rPr>
        <w:t>]</w:t>
      </w:r>
    </w:p>
    <w:p w14:paraId="4E19E1D4" w14:textId="2FB42BD8" w:rsidR="00DC2325" w:rsidRPr="00D764F7" w:rsidRDefault="002934C1" w:rsidP="00D764F7">
      <w:pPr>
        <w:spacing w:after="0" w:line="240" w:lineRule="auto"/>
        <w:rPr>
          <w:rFonts w:eastAsia="Times New Roman" w:cstheme="minorHAnsi"/>
        </w:rPr>
      </w:pPr>
      <w:r w:rsidRPr="00D764F7">
        <w:rPr>
          <w:rFonts w:eastAsia="Times New Roman" w:cstheme="minorHAnsi"/>
        </w:rPr>
        <w:t xml:space="preserve">The number of students enrolled in Higher Education has been in a state of flux in recent years due to instability caused by the </w:t>
      </w:r>
      <w:r w:rsidR="00123BDF" w:rsidRPr="00D764F7">
        <w:rPr>
          <w:rFonts w:eastAsia="Times New Roman" w:cstheme="minorHAnsi"/>
        </w:rPr>
        <w:t xml:space="preserve">COVID-19 </w:t>
      </w:r>
      <w:r w:rsidRPr="00D764F7">
        <w:rPr>
          <w:rFonts w:eastAsia="Times New Roman" w:cstheme="minorHAnsi"/>
        </w:rPr>
        <w:t>pande</w:t>
      </w:r>
      <w:r w:rsidR="00DC2325" w:rsidRPr="00D764F7">
        <w:rPr>
          <w:rFonts w:eastAsia="Times New Roman" w:cstheme="minorHAnsi"/>
        </w:rPr>
        <w:t xml:space="preserve">mic. Closed borders significantly reduced the number of international students during 2020 and 2021. The 2022 data shows the opening of borders resulted in a strong return of commencing </w:t>
      </w:r>
      <w:r w:rsidR="00802F4E" w:rsidRPr="00D764F7">
        <w:rPr>
          <w:rFonts w:eastAsia="Times New Roman" w:cstheme="minorHAnsi"/>
        </w:rPr>
        <w:t xml:space="preserve">overseas students as well as </w:t>
      </w:r>
      <w:r w:rsidR="00DC2325" w:rsidRPr="00D764F7">
        <w:rPr>
          <w:rFonts w:eastAsia="Times New Roman" w:cstheme="minorHAnsi"/>
        </w:rPr>
        <w:t>overseas students</w:t>
      </w:r>
      <w:r w:rsidR="00802F4E" w:rsidRPr="00D764F7">
        <w:rPr>
          <w:rFonts w:eastAsia="Times New Roman" w:cstheme="minorHAnsi"/>
        </w:rPr>
        <w:t xml:space="preserve"> overall</w:t>
      </w:r>
      <w:r w:rsidR="00DC2325" w:rsidRPr="00D764F7">
        <w:rPr>
          <w:rFonts w:eastAsia="Times New Roman" w:cstheme="minorHAnsi"/>
        </w:rPr>
        <w:t xml:space="preserve">. </w:t>
      </w:r>
      <w:r w:rsidR="00962998" w:rsidRPr="00D764F7">
        <w:rPr>
          <w:rFonts w:eastAsia="Times New Roman" w:cstheme="minorHAnsi"/>
        </w:rPr>
        <w:t>Conversely, h</w:t>
      </w:r>
      <w:r w:rsidR="00DC2325">
        <w:t xml:space="preserve">igher levels of unemployment and underemployment coupled with limited social activities resulted </w:t>
      </w:r>
      <w:r w:rsidR="00962998">
        <w:t>in greatly increased</w:t>
      </w:r>
      <w:r w:rsidR="00DC2325">
        <w:t xml:space="preserve"> domestic student </w:t>
      </w:r>
      <w:r w:rsidR="00962998">
        <w:t>enrolments</w:t>
      </w:r>
      <w:r w:rsidR="00DC2325">
        <w:t xml:space="preserve"> during the early pandemic years (2020 and 2021). In 2022, both </w:t>
      </w:r>
      <w:r w:rsidR="00962998">
        <w:t xml:space="preserve">commencing </w:t>
      </w:r>
      <w:r w:rsidR="00DC2325">
        <w:t xml:space="preserve">and </w:t>
      </w:r>
      <w:r w:rsidR="00B40CCC">
        <w:t xml:space="preserve">total </w:t>
      </w:r>
      <w:r w:rsidR="00DC2325">
        <w:t>domestic student</w:t>
      </w:r>
      <w:r w:rsidR="007E232D">
        <w:t xml:space="preserve"> number</w:t>
      </w:r>
      <w:r w:rsidR="00DC2325">
        <w:t xml:space="preserve">s decreased following the pandemic related peak. </w:t>
      </w:r>
      <w:r w:rsidR="00962998">
        <w:t xml:space="preserve">Given the volatility, caution should be used when interpreting short term trends. </w:t>
      </w:r>
    </w:p>
    <w:p w14:paraId="5F7200B8" w14:textId="0C496729" w:rsidR="00B6666B" w:rsidRPr="00530F57" w:rsidRDefault="00B6666B" w:rsidP="005F40D0">
      <w:pPr>
        <w:pStyle w:val="ListParagraph"/>
        <w:numPr>
          <w:ilvl w:val="0"/>
          <w:numId w:val="23"/>
        </w:numPr>
        <w:spacing w:after="0" w:line="240" w:lineRule="auto"/>
        <w:rPr>
          <w:rFonts w:asciiTheme="minorHAnsi" w:eastAsia="Times New Roman" w:hAnsiTheme="minorHAnsi" w:cstheme="minorHAnsi"/>
        </w:rPr>
      </w:pPr>
      <w:r w:rsidRPr="00530F57">
        <w:rPr>
          <w:rFonts w:asciiTheme="minorHAnsi" w:eastAsia="Times New Roman" w:hAnsiTheme="minorHAnsi" w:cstheme="minorHAnsi"/>
        </w:rPr>
        <w:lastRenderedPageBreak/>
        <w:t xml:space="preserve">The total number </w:t>
      </w:r>
      <w:r w:rsidR="005D3A81">
        <w:rPr>
          <w:rFonts w:asciiTheme="minorHAnsi" w:eastAsia="Times New Roman" w:hAnsiTheme="minorHAnsi" w:cstheme="minorHAnsi"/>
        </w:rPr>
        <w:t xml:space="preserve">of </w:t>
      </w:r>
      <w:r w:rsidRPr="00530F57">
        <w:rPr>
          <w:rFonts w:asciiTheme="minorHAnsi" w:eastAsia="Times New Roman" w:hAnsiTheme="minorHAnsi" w:cstheme="minorHAnsi"/>
        </w:rPr>
        <w:t>students enrolled at Higher Education providers has decreased by 3.2 per cent from</w:t>
      </w:r>
      <w:r>
        <w:rPr>
          <w:rFonts w:asciiTheme="minorHAnsi" w:eastAsia="Times New Roman" w:hAnsiTheme="minorHAnsi" w:cstheme="minorHAnsi"/>
        </w:rPr>
        <w:t xml:space="preserve"> 1,602,573 in</w:t>
      </w:r>
      <w:r w:rsidRPr="00530F57">
        <w:rPr>
          <w:rFonts w:asciiTheme="minorHAnsi" w:eastAsia="Times New Roman" w:hAnsiTheme="minorHAnsi" w:cstheme="minorHAnsi"/>
        </w:rPr>
        <w:t xml:space="preserve"> 2021 to </w:t>
      </w:r>
      <w:r>
        <w:rPr>
          <w:rFonts w:asciiTheme="minorHAnsi" w:eastAsia="Times New Roman" w:hAnsiTheme="minorHAnsi" w:cstheme="minorHAnsi"/>
        </w:rPr>
        <w:t xml:space="preserve">1,555,411 in </w:t>
      </w:r>
      <w:r w:rsidRPr="00530F57">
        <w:rPr>
          <w:rFonts w:asciiTheme="minorHAnsi" w:eastAsia="Times New Roman" w:hAnsiTheme="minorHAnsi" w:cstheme="minorHAnsi"/>
        </w:rPr>
        <w:t>2022</w:t>
      </w:r>
      <w:r w:rsidR="005D3A81">
        <w:rPr>
          <w:rFonts w:asciiTheme="minorHAnsi" w:eastAsia="Times New Roman" w:hAnsiTheme="minorHAnsi" w:cstheme="minorHAnsi"/>
        </w:rPr>
        <w:t>.</w:t>
      </w:r>
    </w:p>
    <w:p w14:paraId="789B5932" w14:textId="77777777" w:rsidR="00CA1D9D" w:rsidRDefault="00CA1D9D" w:rsidP="00CA1D9D">
      <w:pPr>
        <w:pStyle w:val="ListParagraph"/>
        <w:numPr>
          <w:ilvl w:val="1"/>
          <w:numId w:val="23"/>
        </w:numPr>
        <w:spacing w:after="0" w:line="240" w:lineRule="auto"/>
        <w:rPr>
          <w:rFonts w:asciiTheme="minorHAnsi" w:eastAsia="Times New Roman" w:hAnsiTheme="minorHAnsi" w:cstheme="minorHAnsi"/>
        </w:rPr>
      </w:pPr>
      <w:r w:rsidRPr="00C20E76">
        <w:rPr>
          <w:rFonts w:asciiTheme="minorHAnsi" w:eastAsia="Times New Roman" w:hAnsiTheme="minorHAnsi" w:cstheme="minorHAnsi"/>
        </w:rPr>
        <w:t xml:space="preserve">This is driven by a decrease in domestic students of 5.1 per cent. </w:t>
      </w:r>
    </w:p>
    <w:p w14:paraId="7AB9CC52" w14:textId="37B41595" w:rsidR="00CA1D9D" w:rsidRPr="00E73D48" w:rsidRDefault="00CA1D9D" w:rsidP="00CA1D9D">
      <w:pPr>
        <w:pStyle w:val="ListParagraph"/>
        <w:numPr>
          <w:ilvl w:val="1"/>
          <w:numId w:val="23"/>
        </w:numPr>
        <w:spacing w:after="0" w:line="240" w:lineRule="auto"/>
        <w:rPr>
          <w:rFonts w:asciiTheme="minorHAnsi" w:eastAsia="Times New Roman" w:hAnsiTheme="minorHAnsi" w:cstheme="minorHAnsi"/>
        </w:rPr>
      </w:pPr>
      <w:r>
        <w:rPr>
          <w:rFonts w:asciiTheme="minorHAnsi" w:eastAsia="Times New Roman" w:hAnsiTheme="minorHAnsi" w:cstheme="minorHAnsi"/>
        </w:rPr>
        <w:t xml:space="preserve">Overseas students </w:t>
      </w:r>
      <w:r w:rsidRPr="005F40D0">
        <w:rPr>
          <w:rFonts w:asciiTheme="minorHAnsi" w:eastAsia="Times New Roman" w:hAnsiTheme="minorHAnsi" w:cstheme="minorHAnsi"/>
          <w:color w:val="000000" w:themeColor="text1"/>
        </w:rPr>
        <w:t xml:space="preserve">increased </w:t>
      </w:r>
      <w:r w:rsidR="00447E7E" w:rsidRPr="005F40D0">
        <w:rPr>
          <w:rFonts w:asciiTheme="minorHAnsi" w:eastAsia="Times New Roman" w:hAnsiTheme="minorHAnsi" w:cstheme="minorHAnsi"/>
          <w:color w:val="000000" w:themeColor="text1"/>
        </w:rPr>
        <w:t xml:space="preserve">by </w:t>
      </w:r>
      <w:r w:rsidRPr="005F40D0">
        <w:rPr>
          <w:rFonts w:asciiTheme="minorHAnsi" w:eastAsia="Times New Roman" w:hAnsiTheme="minorHAnsi" w:cstheme="minorHAnsi"/>
          <w:color w:val="000000" w:themeColor="text1"/>
        </w:rPr>
        <w:t>1.</w:t>
      </w:r>
      <w:r w:rsidRPr="00C16FCC">
        <w:rPr>
          <w:rFonts w:asciiTheme="minorHAnsi" w:eastAsia="Times New Roman" w:hAnsiTheme="minorHAnsi" w:cstheme="minorHAnsi"/>
        </w:rPr>
        <w:t>9 per cent</w:t>
      </w:r>
      <w:r>
        <w:rPr>
          <w:rFonts w:asciiTheme="minorHAnsi" w:eastAsia="Times New Roman" w:hAnsiTheme="minorHAnsi" w:cstheme="minorHAnsi"/>
        </w:rPr>
        <w:t xml:space="preserve"> </w:t>
      </w:r>
      <w:r w:rsidR="00833982">
        <w:rPr>
          <w:rFonts w:asciiTheme="minorHAnsi" w:eastAsia="Times New Roman" w:hAnsiTheme="minorHAnsi" w:cstheme="minorHAnsi"/>
        </w:rPr>
        <w:t xml:space="preserve">in 2022 but </w:t>
      </w:r>
      <w:r w:rsidR="00B6666B">
        <w:rPr>
          <w:rFonts w:asciiTheme="minorHAnsi" w:eastAsia="Times New Roman" w:hAnsiTheme="minorHAnsi" w:cstheme="minorHAnsi"/>
        </w:rPr>
        <w:t xml:space="preserve">were still </w:t>
      </w:r>
      <w:r w:rsidR="00A44FA5">
        <w:rPr>
          <w:rFonts w:asciiTheme="minorHAnsi" w:eastAsia="Times New Roman" w:hAnsiTheme="minorHAnsi" w:cstheme="minorHAnsi"/>
        </w:rPr>
        <w:t xml:space="preserve">14.0 per cent </w:t>
      </w:r>
      <w:r w:rsidR="00B6666B">
        <w:rPr>
          <w:rFonts w:asciiTheme="minorHAnsi" w:eastAsia="Times New Roman" w:hAnsiTheme="minorHAnsi" w:cstheme="minorHAnsi"/>
        </w:rPr>
        <w:t xml:space="preserve">below what they were in </w:t>
      </w:r>
      <w:r w:rsidR="00A44FA5">
        <w:rPr>
          <w:rFonts w:asciiTheme="minorHAnsi" w:eastAsia="Times New Roman" w:hAnsiTheme="minorHAnsi" w:cstheme="minorHAnsi"/>
        </w:rPr>
        <w:t>2019</w:t>
      </w:r>
      <w:r w:rsidRPr="00E73D48">
        <w:rPr>
          <w:rFonts w:asciiTheme="minorHAnsi" w:eastAsia="Times New Roman" w:hAnsiTheme="minorHAnsi" w:cstheme="minorHAnsi"/>
        </w:rPr>
        <w:t>.</w:t>
      </w:r>
    </w:p>
    <w:p w14:paraId="5AE92977" w14:textId="6E867A87" w:rsidR="00A32365" w:rsidRDefault="00A32365" w:rsidP="00A44FA5">
      <w:pPr>
        <w:pStyle w:val="ListParagraph"/>
        <w:numPr>
          <w:ilvl w:val="0"/>
          <w:numId w:val="23"/>
        </w:numPr>
        <w:spacing w:line="240" w:lineRule="auto"/>
      </w:pPr>
      <w:r>
        <w:rPr>
          <w:rStyle w:val="ui-provider"/>
        </w:rPr>
        <w:t>The number of commencing domestic students decreased by 10.4 per cent (with</w:t>
      </w:r>
      <w:r w:rsidR="004F598B">
        <w:rPr>
          <w:rStyle w:val="ui-provider"/>
        </w:rPr>
        <w:t xml:space="preserve"> an</w:t>
      </w:r>
      <w:r>
        <w:rPr>
          <w:rStyle w:val="ui-provider"/>
        </w:rPr>
        <w:t xml:space="preserve"> 8.2 per cent decrease in undergraduate</w:t>
      </w:r>
      <w:r w:rsidR="004F598B">
        <w:rPr>
          <w:rStyle w:val="ui-provider"/>
        </w:rPr>
        <w:t>s</w:t>
      </w:r>
      <w:r>
        <w:rPr>
          <w:rStyle w:val="ui-provider"/>
        </w:rPr>
        <w:t xml:space="preserve"> and </w:t>
      </w:r>
      <w:r w:rsidR="004F598B">
        <w:rPr>
          <w:rStyle w:val="ui-provider"/>
        </w:rPr>
        <w:t xml:space="preserve">a </w:t>
      </w:r>
      <w:r>
        <w:rPr>
          <w:rStyle w:val="ui-provider"/>
        </w:rPr>
        <w:t xml:space="preserve">14.6 per cent decrease in other students) between 2021 and 2022.  </w:t>
      </w:r>
      <w:r w:rsidR="00A44FA5">
        <w:rPr>
          <w:rStyle w:val="ui-provider"/>
        </w:rPr>
        <w:t>The</w:t>
      </w:r>
      <w:r w:rsidR="004F598B">
        <w:rPr>
          <w:rStyle w:val="ui-provider"/>
        </w:rPr>
        <w:t xml:space="preserve"> number</w:t>
      </w:r>
      <w:r>
        <w:rPr>
          <w:rStyle w:val="ui-provider"/>
        </w:rPr>
        <w:t xml:space="preserve"> </w:t>
      </w:r>
      <w:r w:rsidR="004F598B">
        <w:rPr>
          <w:rStyle w:val="ui-provider"/>
        </w:rPr>
        <w:t xml:space="preserve">of </w:t>
      </w:r>
      <w:r>
        <w:rPr>
          <w:rStyle w:val="ui-provider"/>
        </w:rPr>
        <w:t xml:space="preserve">commencing domestic students </w:t>
      </w:r>
      <w:r w:rsidR="00A44FA5">
        <w:rPr>
          <w:rStyle w:val="ui-provider"/>
        </w:rPr>
        <w:t xml:space="preserve">is </w:t>
      </w:r>
      <w:proofErr w:type="gramStart"/>
      <w:r w:rsidR="00A44FA5">
        <w:rPr>
          <w:rStyle w:val="ui-provider"/>
        </w:rPr>
        <w:t>similar to</w:t>
      </w:r>
      <w:proofErr w:type="gramEnd"/>
      <w:r w:rsidR="00A44FA5">
        <w:rPr>
          <w:rStyle w:val="ui-provider"/>
        </w:rPr>
        <w:t xml:space="preserve"> the number </w:t>
      </w:r>
      <w:r>
        <w:rPr>
          <w:rStyle w:val="ui-provider"/>
        </w:rPr>
        <w:t xml:space="preserve">observed before </w:t>
      </w:r>
      <w:r w:rsidR="00A44FA5">
        <w:rPr>
          <w:rStyle w:val="ui-provider"/>
        </w:rPr>
        <w:t>they peaked</w:t>
      </w:r>
      <w:r>
        <w:rPr>
          <w:rStyle w:val="ui-provider"/>
        </w:rPr>
        <w:t xml:space="preserve"> during the pandemic in 2020 and 2021. </w:t>
      </w:r>
    </w:p>
    <w:p w14:paraId="78F3982E" w14:textId="4F11A0CC" w:rsidR="00CA1D9D" w:rsidRPr="00CC6666" w:rsidRDefault="00CA1D9D" w:rsidP="00CC6666">
      <w:pPr>
        <w:pStyle w:val="ListParagraph"/>
        <w:numPr>
          <w:ilvl w:val="0"/>
          <w:numId w:val="23"/>
        </w:numPr>
        <w:spacing w:after="0" w:line="240" w:lineRule="auto"/>
        <w:rPr>
          <w:rFonts w:asciiTheme="minorHAnsi" w:eastAsia="Times New Roman" w:hAnsiTheme="minorHAnsi" w:cstheme="minorHAnsi"/>
        </w:rPr>
      </w:pPr>
      <w:bookmarkStart w:id="4" w:name="_Hlk152588624"/>
      <w:r>
        <w:rPr>
          <w:rFonts w:asciiTheme="minorHAnsi" w:eastAsia="Times New Roman" w:hAnsiTheme="minorHAnsi" w:cstheme="minorHAnsi"/>
        </w:rPr>
        <w:t xml:space="preserve">Commonwealth supported commencing enrolments decreased </w:t>
      </w:r>
      <w:r w:rsidR="00E344B5">
        <w:rPr>
          <w:rFonts w:asciiTheme="minorHAnsi" w:eastAsia="Times New Roman" w:hAnsiTheme="minorHAnsi" w:cstheme="minorHAnsi"/>
        </w:rPr>
        <w:t xml:space="preserve">by </w:t>
      </w:r>
      <w:r>
        <w:rPr>
          <w:rFonts w:asciiTheme="minorHAnsi" w:eastAsia="Times New Roman" w:hAnsiTheme="minorHAnsi" w:cstheme="minorHAnsi"/>
        </w:rPr>
        <w:t xml:space="preserve">10.1 per cent, in line with the decrease in commencing domestic students. </w:t>
      </w:r>
      <w:r w:rsidRPr="00CC6666">
        <w:rPr>
          <w:rFonts w:eastAsia="Times New Roman" w:cstheme="minorHAnsi"/>
        </w:rPr>
        <w:t xml:space="preserve">Commencing commonwealth supported enrolments in 2022 </w:t>
      </w:r>
      <w:r w:rsidR="00DE0571" w:rsidRPr="00CC6666">
        <w:rPr>
          <w:rFonts w:eastAsia="Times New Roman" w:cstheme="minorHAnsi"/>
        </w:rPr>
        <w:t>were</w:t>
      </w:r>
      <w:r w:rsidRPr="00CC6666">
        <w:rPr>
          <w:rFonts w:eastAsia="Times New Roman" w:cstheme="minorHAnsi"/>
        </w:rPr>
        <w:t xml:space="preserve"> the lowest they have been since 2013. </w:t>
      </w:r>
    </w:p>
    <w:p w14:paraId="34220A7B" w14:textId="3ED9AAD5" w:rsidR="00CA1D9D" w:rsidRDefault="00A46F42" w:rsidP="00CA1D9D">
      <w:pPr>
        <w:pStyle w:val="Heading3"/>
      </w:pPr>
      <w:bookmarkStart w:id="5" w:name="_Toc152149409"/>
      <w:bookmarkEnd w:id="4"/>
      <w:r>
        <w:t xml:space="preserve">Growth in domestic undergraduate students is </w:t>
      </w:r>
      <w:proofErr w:type="gramStart"/>
      <w:r>
        <w:t>declining</w:t>
      </w:r>
      <w:bookmarkEnd w:id="5"/>
      <w:proofErr w:type="gramEnd"/>
    </w:p>
    <w:p w14:paraId="18F8EE92" w14:textId="1C708317" w:rsidR="00CA1D9D" w:rsidRDefault="00CA1D9D" w:rsidP="00CA1D9D">
      <w:pPr>
        <w:rPr>
          <w:lang w:val="en-US"/>
        </w:rPr>
      </w:pPr>
      <w:r w:rsidRPr="00EA0DB2">
        <w:t xml:space="preserve">Figure </w:t>
      </w:r>
      <w:r w:rsidR="00DE0571">
        <w:t>2</w:t>
      </w:r>
      <w:r w:rsidRPr="00EA0DB2">
        <w:t xml:space="preserve">: </w:t>
      </w:r>
      <w:r w:rsidRPr="00EA0DB2">
        <w:rPr>
          <w:lang w:val="en-US"/>
        </w:rPr>
        <w:t xml:space="preserve">Number and annual growth of </w:t>
      </w:r>
      <w:r w:rsidR="00BD523F" w:rsidRPr="00EA0DB2">
        <w:rPr>
          <w:lang w:val="en-US"/>
        </w:rPr>
        <w:t xml:space="preserve">commencing </w:t>
      </w:r>
      <w:r w:rsidRPr="00EA0DB2">
        <w:rPr>
          <w:lang w:val="en-US"/>
        </w:rPr>
        <w:t>domestic undergraduate students</w:t>
      </w:r>
      <w:r w:rsidR="00A46F42">
        <w:rPr>
          <w:lang w:val="en-US"/>
        </w:rPr>
        <w:t>.</w:t>
      </w:r>
    </w:p>
    <w:p w14:paraId="14668B95" w14:textId="76A83872" w:rsidR="00257E11" w:rsidRPr="00EA0DB2" w:rsidRDefault="00257E11" w:rsidP="00CA1D9D">
      <w:pPr>
        <w:rPr>
          <w:lang w:val="en-US"/>
        </w:rPr>
      </w:pPr>
      <w:r>
        <w:rPr>
          <w:noProof/>
        </w:rPr>
        <w:drawing>
          <wp:inline distT="0" distB="0" distL="0" distR="0" wp14:anchorId="2E8A55F1" wp14:editId="7B8AFB78">
            <wp:extent cx="5731510" cy="3390900"/>
            <wp:effectExtent l="0" t="0" r="2540" b="0"/>
            <wp:docPr id="2087425172" name="Chart 1">
              <a:extLst xmlns:a="http://schemas.openxmlformats.org/drawingml/2006/main">
                <a:ext uri="{FF2B5EF4-FFF2-40B4-BE49-F238E27FC236}">
                  <a16:creationId xmlns:a16="http://schemas.microsoft.com/office/drawing/2014/main" id="{8229622C-220B-4D0D-ABD7-08A4055B71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3DF42F" w14:textId="10563334" w:rsidR="00CA1D9D" w:rsidRPr="005613D1" w:rsidRDefault="00CA1D9D" w:rsidP="00CA1D9D">
      <w:pPr>
        <w:ind w:left="-207"/>
        <w:rPr>
          <w:rFonts w:cstheme="minorHAnsi"/>
        </w:rPr>
      </w:pPr>
      <w:r>
        <w:rPr>
          <w:rFonts w:cstheme="minorHAnsi"/>
        </w:rPr>
        <w:t xml:space="preserve">[Data can be found in </w:t>
      </w:r>
      <w:r w:rsidR="001879BF">
        <w:rPr>
          <w:rFonts w:cstheme="minorHAnsi"/>
        </w:rPr>
        <w:t>the</w:t>
      </w:r>
      <w:r w:rsidR="00FD74E7">
        <w:rPr>
          <w:rFonts w:cstheme="minorHAnsi"/>
        </w:rPr>
        <w:t xml:space="preserve"> </w:t>
      </w:r>
      <w:hyperlink r:id="rId17" w:history="1">
        <w:r w:rsidR="00FD74E7" w:rsidRPr="00FD74E7">
          <w:rPr>
            <w:rStyle w:val="Hyperlink"/>
            <w:rFonts w:cstheme="minorHAnsi"/>
          </w:rPr>
          <w:t>2022 student summary time series</w:t>
        </w:r>
      </w:hyperlink>
      <w:r>
        <w:rPr>
          <w:rFonts w:cstheme="minorHAnsi"/>
        </w:rPr>
        <w:t>]</w:t>
      </w:r>
    </w:p>
    <w:p w14:paraId="1448C6E7" w14:textId="61321A42" w:rsidR="00A57BA8" w:rsidRPr="005F40D0" w:rsidRDefault="00CA1D9D" w:rsidP="00A57BA8">
      <w:pPr>
        <w:pStyle w:val="ListParagraph"/>
        <w:numPr>
          <w:ilvl w:val="0"/>
          <w:numId w:val="20"/>
        </w:numPr>
        <w:rPr>
          <w:rFonts w:asciiTheme="minorHAnsi" w:hAnsiTheme="minorHAnsi" w:cstheme="minorHAnsi"/>
        </w:rPr>
      </w:pPr>
      <w:r w:rsidRPr="005613D1">
        <w:rPr>
          <w:rFonts w:asciiTheme="minorHAnsi" w:hAnsiTheme="minorHAnsi" w:cstheme="minorHAnsi"/>
        </w:rPr>
        <w:t>The number of</w:t>
      </w:r>
      <w:r w:rsidR="00BD523F">
        <w:rPr>
          <w:rFonts w:asciiTheme="minorHAnsi" w:hAnsiTheme="minorHAnsi" w:cstheme="minorHAnsi"/>
        </w:rPr>
        <w:t xml:space="preserve"> </w:t>
      </w:r>
      <w:r w:rsidR="00BD523F" w:rsidRPr="005613D1">
        <w:rPr>
          <w:rFonts w:asciiTheme="minorHAnsi" w:hAnsiTheme="minorHAnsi" w:cstheme="minorHAnsi"/>
        </w:rPr>
        <w:t>commencing</w:t>
      </w:r>
      <w:r w:rsidRPr="005613D1">
        <w:rPr>
          <w:rFonts w:asciiTheme="minorHAnsi" w:hAnsiTheme="minorHAnsi" w:cstheme="minorHAnsi"/>
        </w:rPr>
        <w:t xml:space="preserve"> domestic undergraduate students, the main feeder group to higher education</w:t>
      </w:r>
      <w:r>
        <w:rPr>
          <w:rFonts w:asciiTheme="minorHAnsi" w:hAnsiTheme="minorHAnsi" w:cstheme="minorHAnsi"/>
        </w:rPr>
        <w:t>, decreased by 8.2 per cent from</w:t>
      </w:r>
      <w:r w:rsidR="008B3D14">
        <w:rPr>
          <w:rFonts w:asciiTheme="minorHAnsi" w:hAnsiTheme="minorHAnsi" w:cstheme="minorHAnsi"/>
        </w:rPr>
        <w:t xml:space="preserve"> 290,902 in</w:t>
      </w:r>
      <w:r>
        <w:rPr>
          <w:rFonts w:asciiTheme="minorHAnsi" w:hAnsiTheme="minorHAnsi" w:cstheme="minorHAnsi"/>
        </w:rPr>
        <w:t xml:space="preserve"> 2021 to </w:t>
      </w:r>
      <w:r w:rsidR="008B3D14">
        <w:rPr>
          <w:rFonts w:asciiTheme="minorHAnsi" w:hAnsiTheme="minorHAnsi" w:cstheme="minorHAnsi"/>
        </w:rPr>
        <w:t xml:space="preserve">267,107 in </w:t>
      </w:r>
      <w:r>
        <w:rPr>
          <w:rFonts w:asciiTheme="minorHAnsi" w:hAnsiTheme="minorHAnsi" w:cstheme="minorHAnsi"/>
        </w:rPr>
        <w:t xml:space="preserve">2022. </w:t>
      </w:r>
    </w:p>
    <w:p w14:paraId="33951E06" w14:textId="6BA12B52" w:rsidR="00CA1D9D" w:rsidRDefault="008B3D14" w:rsidP="00CA1D9D">
      <w:pPr>
        <w:pStyle w:val="ListParagraph"/>
        <w:numPr>
          <w:ilvl w:val="0"/>
          <w:numId w:val="20"/>
        </w:numPr>
        <w:rPr>
          <w:rFonts w:asciiTheme="minorHAnsi" w:hAnsiTheme="minorHAnsi" w:cstheme="minorHAnsi"/>
        </w:rPr>
      </w:pPr>
      <w:r>
        <w:rPr>
          <w:rFonts w:asciiTheme="minorHAnsi" w:hAnsiTheme="minorHAnsi" w:cstheme="minorHAnsi"/>
        </w:rPr>
        <w:t xml:space="preserve">This is the lowest </w:t>
      </w:r>
      <w:r w:rsidR="00CA1D9D">
        <w:rPr>
          <w:rFonts w:asciiTheme="minorHAnsi" w:hAnsiTheme="minorHAnsi" w:cstheme="minorHAnsi"/>
        </w:rPr>
        <w:t>number of</w:t>
      </w:r>
      <w:r w:rsidR="00BD523F">
        <w:rPr>
          <w:rFonts w:asciiTheme="minorHAnsi" w:hAnsiTheme="minorHAnsi" w:cstheme="minorHAnsi"/>
        </w:rPr>
        <w:t xml:space="preserve"> commencing</w:t>
      </w:r>
      <w:r w:rsidR="00CA1D9D">
        <w:rPr>
          <w:rFonts w:asciiTheme="minorHAnsi" w:hAnsiTheme="minorHAnsi" w:cstheme="minorHAnsi"/>
        </w:rPr>
        <w:t xml:space="preserve"> domestic undergraduate students since 201</w:t>
      </w:r>
      <w:r w:rsidR="00DE0571">
        <w:rPr>
          <w:rFonts w:asciiTheme="minorHAnsi" w:hAnsiTheme="minorHAnsi" w:cstheme="minorHAnsi"/>
        </w:rPr>
        <w:t>3</w:t>
      </w:r>
      <w:r>
        <w:rPr>
          <w:rFonts w:asciiTheme="minorHAnsi" w:hAnsiTheme="minorHAnsi" w:cstheme="minorHAnsi"/>
        </w:rPr>
        <w:t xml:space="preserve"> and </w:t>
      </w:r>
      <w:r w:rsidR="004F598B">
        <w:rPr>
          <w:rFonts w:asciiTheme="minorHAnsi" w:hAnsiTheme="minorHAnsi" w:cstheme="minorHAnsi"/>
        </w:rPr>
        <w:t xml:space="preserve">is </w:t>
      </w:r>
      <w:r>
        <w:rPr>
          <w:rFonts w:asciiTheme="minorHAnsi" w:hAnsiTheme="minorHAnsi" w:cstheme="minorHAnsi"/>
        </w:rPr>
        <w:t>a 5.5 per cent decrease since 2018 (</w:t>
      </w:r>
      <w:r w:rsidR="00D764F7">
        <w:rPr>
          <w:rFonts w:asciiTheme="minorHAnsi" w:hAnsiTheme="minorHAnsi" w:cstheme="minorHAnsi"/>
        </w:rPr>
        <w:t>5-year</w:t>
      </w:r>
      <w:r>
        <w:rPr>
          <w:rFonts w:asciiTheme="minorHAnsi" w:hAnsiTheme="minorHAnsi" w:cstheme="minorHAnsi"/>
        </w:rPr>
        <w:t xml:space="preserve"> trend)</w:t>
      </w:r>
      <w:r w:rsidR="00CA1D9D">
        <w:rPr>
          <w:rFonts w:asciiTheme="minorHAnsi" w:hAnsiTheme="minorHAnsi" w:cstheme="minorHAnsi"/>
        </w:rPr>
        <w:t xml:space="preserve">. </w:t>
      </w:r>
    </w:p>
    <w:p w14:paraId="7B983AE1" w14:textId="5E973915" w:rsidR="00A46F42" w:rsidRPr="008C22B5" w:rsidRDefault="00CA1D9D" w:rsidP="00CA1D9D">
      <w:pPr>
        <w:pStyle w:val="ListParagraph"/>
        <w:numPr>
          <w:ilvl w:val="0"/>
          <w:numId w:val="20"/>
        </w:numPr>
        <w:rPr>
          <w:rFonts w:cstheme="minorHAnsi"/>
          <w:color w:val="000000" w:themeColor="text1"/>
        </w:rPr>
      </w:pPr>
      <w:r w:rsidRPr="005F40D0">
        <w:rPr>
          <w:rFonts w:cstheme="minorHAnsi"/>
          <w:color w:val="000000" w:themeColor="text1"/>
        </w:rPr>
        <w:t xml:space="preserve">The </w:t>
      </w:r>
      <w:r w:rsidR="00370620" w:rsidRPr="005F40D0">
        <w:rPr>
          <w:rFonts w:cstheme="minorHAnsi"/>
          <w:color w:val="000000" w:themeColor="text1"/>
        </w:rPr>
        <w:t>decline</w:t>
      </w:r>
      <w:r w:rsidRPr="005F40D0">
        <w:rPr>
          <w:rFonts w:cstheme="minorHAnsi"/>
          <w:color w:val="000000" w:themeColor="text1"/>
        </w:rPr>
        <w:t xml:space="preserve"> in</w:t>
      </w:r>
      <w:r w:rsidR="00BD523F" w:rsidRPr="00BD523F">
        <w:rPr>
          <w:rFonts w:asciiTheme="minorHAnsi" w:hAnsiTheme="minorHAnsi" w:cstheme="minorHAnsi"/>
        </w:rPr>
        <w:t xml:space="preserve"> </w:t>
      </w:r>
      <w:r w:rsidR="00BD523F" w:rsidRPr="005613D1">
        <w:rPr>
          <w:rFonts w:asciiTheme="minorHAnsi" w:hAnsiTheme="minorHAnsi" w:cstheme="minorHAnsi"/>
        </w:rPr>
        <w:t>commencing</w:t>
      </w:r>
      <w:r w:rsidRPr="005F40D0">
        <w:rPr>
          <w:rFonts w:cstheme="minorHAnsi"/>
          <w:color w:val="000000" w:themeColor="text1"/>
        </w:rPr>
        <w:t xml:space="preserve"> domestic undergraduate students in 2022 </w:t>
      </w:r>
      <w:r w:rsidR="006C6742" w:rsidRPr="005F40D0">
        <w:rPr>
          <w:rFonts w:cstheme="minorHAnsi"/>
          <w:color w:val="000000" w:themeColor="text1"/>
        </w:rPr>
        <w:t>is</w:t>
      </w:r>
      <w:r w:rsidRPr="005F40D0">
        <w:rPr>
          <w:rFonts w:cstheme="minorHAnsi"/>
          <w:color w:val="000000" w:themeColor="text1"/>
        </w:rPr>
        <w:t xml:space="preserve"> </w:t>
      </w:r>
      <w:r w:rsidR="00514F11">
        <w:rPr>
          <w:rFonts w:cstheme="minorHAnsi"/>
          <w:color w:val="000000" w:themeColor="text1"/>
        </w:rPr>
        <w:t xml:space="preserve">probably </w:t>
      </w:r>
      <w:r w:rsidRPr="005F40D0">
        <w:rPr>
          <w:rFonts w:cstheme="minorHAnsi"/>
          <w:color w:val="000000" w:themeColor="text1"/>
        </w:rPr>
        <w:t xml:space="preserve">reflective of </w:t>
      </w:r>
      <w:r w:rsidR="00D7426E">
        <w:rPr>
          <w:rFonts w:cstheme="minorHAnsi"/>
          <w:color w:val="000000" w:themeColor="text1"/>
        </w:rPr>
        <w:t>increasing cost of living pressures and</w:t>
      </w:r>
      <w:r w:rsidRPr="005F40D0">
        <w:rPr>
          <w:rFonts w:cstheme="minorHAnsi"/>
          <w:color w:val="000000" w:themeColor="text1"/>
        </w:rPr>
        <w:t xml:space="preserve"> </w:t>
      </w:r>
      <w:r w:rsidR="00514F11">
        <w:rPr>
          <w:rFonts w:cstheme="minorHAnsi"/>
          <w:color w:val="000000" w:themeColor="text1"/>
        </w:rPr>
        <w:t xml:space="preserve">a </w:t>
      </w:r>
      <w:r w:rsidRPr="005F40D0">
        <w:rPr>
          <w:rFonts w:cstheme="minorHAnsi"/>
          <w:color w:val="000000" w:themeColor="text1"/>
        </w:rPr>
        <w:t>strong labour market attract</w:t>
      </w:r>
      <w:r w:rsidR="00D7426E">
        <w:rPr>
          <w:rFonts w:cstheme="minorHAnsi"/>
          <w:color w:val="000000" w:themeColor="text1"/>
        </w:rPr>
        <w:t>ing</w:t>
      </w:r>
      <w:r w:rsidRPr="005F40D0">
        <w:rPr>
          <w:rFonts w:cstheme="minorHAnsi"/>
          <w:color w:val="000000" w:themeColor="text1"/>
        </w:rPr>
        <w:t xml:space="preserve"> potential students to jobs. </w:t>
      </w:r>
      <w:r w:rsidR="006C6742" w:rsidRPr="005F40D0">
        <w:rPr>
          <w:rFonts w:cstheme="minorHAnsi"/>
          <w:color w:val="000000" w:themeColor="text1"/>
        </w:rPr>
        <w:t>There is also a concurrent reduction in apparent year 12 retention</w:t>
      </w:r>
      <w:r w:rsidR="00F45D3A">
        <w:rPr>
          <w:rStyle w:val="FootnoteReference"/>
          <w:rFonts w:cstheme="minorHAnsi"/>
          <w:color w:val="000000" w:themeColor="text1"/>
        </w:rPr>
        <w:footnoteReference w:id="1"/>
      </w:r>
      <w:r w:rsidR="006C6742" w:rsidRPr="005F40D0">
        <w:rPr>
          <w:rFonts w:cstheme="minorHAnsi"/>
          <w:color w:val="000000" w:themeColor="text1"/>
        </w:rPr>
        <w:t xml:space="preserve"> meaning the eligible population of school leavers may be lower than otherwise expected. </w:t>
      </w:r>
    </w:p>
    <w:p w14:paraId="45093E52" w14:textId="608B7ED6" w:rsidR="00CA1D9D" w:rsidRDefault="00B2313A" w:rsidP="00CA1D9D">
      <w:r>
        <w:lastRenderedPageBreak/>
        <w:t>Figure 3: Commencing domestic students by course type, 2013-2022</w:t>
      </w:r>
    </w:p>
    <w:p w14:paraId="491F69FC" w14:textId="03A1EB5F" w:rsidR="00B2313A" w:rsidRDefault="00B2313A" w:rsidP="00CA1D9D">
      <w:r>
        <w:rPr>
          <w:noProof/>
        </w:rPr>
        <w:drawing>
          <wp:inline distT="0" distB="0" distL="0" distR="0" wp14:anchorId="75CF49BD" wp14:editId="2EDC16E4">
            <wp:extent cx="5893435" cy="3250565"/>
            <wp:effectExtent l="0" t="0" r="12065" b="6985"/>
            <wp:docPr id="1239730450" name="Chart 1">
              <a:extLst xmlns:a="http://schemas.openxmlformats.org/drawingml/2006/main">
                <a:ext uri="{FF2B5EF4-FFF2-40B4-BE49-F238E27FC236}">
                  <a16:creationId xmlns:a16="http://schemas.microsoft.com/office/drawing/2014/main" id="{DCCAE8FA-1B2C-45A7-9560-17FF7900B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27C790D" w14:textId="45835DFC" w:rsidR="00B2313A" w:rsidRPr="00530F57" w:rsidRDefault="00B2313A" w:rsidP="00B2313A">
      <w:pPr>
        <w:rPr>
          <w:rFonts w:cstheme="minorHAnsi"/>
        </w:rPr>
      </w:pPr>
      <w:r w:rsidRPr="00530F57">
        <w:rPr>
          <w:rFonts w:cstheme="minorHAnsi"/>
        </w:rPr>
        <w:t xml:space="preserve">[Data can be found in </w:t>
      </w:r>
      <w:r w:rsidR="001879BF">
        <w:rPr>
          <w:rFonts w:cstheme="minorHAnsi"/>
        </w:rPr>
        <w:t>the</w:t>
      </w:r>
      <w:r w:rsidR="00FD74E7">
        <w:rPr>
          <w:rFonts w:cstheme="minorHAnsi"/>
        </w:rPr>
        <w:t xml:space="preserve"> </w:t>
      </w:r>
      <w:hyperlink r:id="rId19" w:history="1">
        <w:r w:rsidR="00FD74E7" w:rsidRPr="00FD74E7">
          <w:rPr>
            <w:rStyle w:val="Hyperlink"/>
            <w:rFonts w:cstheme="minorHAnsi"/>
          </w:rPr>
          <w:t>2022 student summary time series</w:t>
        </w:r>
      </w:hyperlink>
      <w:r w:rsidRPr="00530F57">
        <w:rPr>
          <w:rFonts w:cstheme="minorHAnsi"/>
        </w:rPr>
        <w:t>]</w:t>
      </w:r>
    </w:p>
    <w:p w14:paraId="76ADB1CB" w14:textId="50BE505F" w:rsidR="006C6742" w:rsidRDefault="006C6742" w:rsidP="005B0C97">
      <w:pPr>
        <w:pStyle w:val="ListParagraph"/>
        <w:numPr>
          <w:ilvl w:val="0"/>
          <w:numId w:val="29"/>
        </w:numPr>
      </w:pPr>
      <w:r>
        <w:t>High</w:t>
      </w:r>
      <w:r w:rsidR="00EC5843">
        <w:t>er levels of</w:t>
      </w:r>
      <w:r>
        <w:t xml:space="preserve"> unemployment and underemployment </w:t>
      </w:r>
      <w:r w:rsidR="005B0C97">
        <w:t>couple</w:t>
      </w:r>
      <w:r w:rsidR="00A57BA8">
        <w:t>d</w:t>
      </w:r>
      <w:r w:rsidR="005B0C97">
        <w:t xml:space="preserve"> with</w:t>
      </w:r>
      <w:r>
        <w:t xml:space="preserve"> limited social activities resulted in a</w:t>
      </w:r>
      <w:r w:rsidR="005B0C97">
        <w:t>n increase of domestic students choosing to enrol in higher education during the early pandemic years (2020 and 2021).</w:t>
      </w:r>
    </w:p>
    <w:p w14:paraId="67EC6C62" w14:textId="03CBB01E" w:rsidR="00EC5843" w:rsidRDefault="00EC5843" w:rsidP="00EC5843">
      <w:pPr>
        <w:pStyle w:val="ListParagraph"/>
        <w:numPr>
          <w:ilvl w:val="0"/>
          <w:numId w:val="29"/>
        </w:numPr>
      </w:pPr>
      <w:r>
        <w:t>In 2022, both undergraduate and postgraduate</w:t>
      </w:r>
      <w:r w:rsidR="008E6D21">
        <w:t xml:space="preserve"> students</w:t>
      </w:r>
      <w:r>
        <w:t xml:space="preserve"> followed a similar trend and decreased in 2022 after the</w:t>
      </w:r>
      <w:r w:rsidR="00A57BA8">
        <w:t xml:space="preserve"> pandemic-related</w:t>
      </w:r>
      <w:r>
        <w:t xml:space="preserve"> enrolment peak in 2020 and 2021. </w:t>
      </w:r>
    </w:p>
    <w:p w14:paraId="09FE0290" w14:textId="46D39916" w:rsidR="00B2313A" w:rsidRDefault="00B2313A" w:rsidP="00B2313A">
      <w:pPr>
        <w:pStyle w:val="ListParagraph"/>
        <w:numPr>
          <w:ilvl w:val="0"/>
          <w:numId w:val="29"/>
        </w:numPr>
      </w:pPr>
      <w:r>
        <w:t xml:space="preserve">The proportion of </w:t>
      </w:r>
      <w:r w:rsidR="00BD523F">
        <w:rPr>
          <w:rFonts w:asciiTheme="minorHAnsi" w:hAnsiTheme="minorHAnsi" w:cstheme="minorHAnsi"/>
        </w:rPr>
        <w:t xml:space="preserve">commencing </w:t>
      </w:r>
      <w:r>
        <w:t>domestic students by course</w:t>
      </w:r>
      <w:r w:rsidR="00005FE6">
        <w:t xml:space="preserve"> </w:t>
      </w:r>
      <w:r>
        <w:t>type has remained stable over the past 10 years. Undergraduate courses make up 67 per cent of all commencing domestic enrolments</w:t>
      </w:r>
      <w:r w:rsidR="00C7772F">
        <w:t xml:space="preserve"> in 2022</w:t>
      </w:r>
      <w:r>
        <w:t xml:space="preserve">. </w:t>
      </w:r>
    </w:p>
    <w:p w14:paraId="13404876" w14:textId="77777777" w:rsidR="00F0052D" w:rsidRDefault="00F0052D" w:rsidP="00F0052D"/>
    <w:p w14:paraId="2200970A" w14:textId="77777777" w:rsidR="00F0052D" w:rsidRDefault="00F0052D" w:rsidP="00F0052D"/>
    <w:p w14:paraId="5045EEDF" w14:textId="77777777" w:rsidR="003C6021" w:rsidRDefault="003C6021" w:rsidP="00F1482F"/>
    <w:p w14:paraId="7A5571DA" w14:textId="77777777" w:rsidR="003C6021" w:rsidRDefault="003C6021" w:rsidP="00F1482F"/>
    <w:p w14:paraId="2B71EB97" w14:textId="77777777" w:rsidR="003C6021" w:rsidRDefault="003C6021" w:rsidP="00F1482F"/>
    <w:p w14:paraId="45B07EF9" w14:textId="77777777" w:rsidR="00D764F7" w:rsidRDefault="00D764F7" w:rsidP="00F1482F"/>
    <w:p w14:paraId="77B775BD" w14:textId="77777777" w:rsidR="003C6021" w:rsidRDefault="003C6021" w:rsidP="003C6021"/>
    <w:p w14:paraId="0EA8ABBB" w14:textId="7EACCBE9" w:rsidR="00CA1D9D" w:rsidRDefault="00BB7F3B" w:rsidP="00CA1D9D">
      <w:pPr>
        <w:pStyle w:val="Heading3"/>
      </w:pPr>
      <w:bookmarkStart w:id="6" w:name="_Toc152149410"/>
      <w:r>
        <w:lastRenderedPageBreak/>
        <w:t xml:space="preserve">Enrolments in all </w:t>
      </w:r>
      <w:r w:rsidR="00CA1D9D">
        <w:t>field</w:t>
      </w:r>
      <w:r w:rsidR="00601161">
        <w:t>s</w:t>
      </w:r>
      <w:r w:rsidR="00CA1D9D">
        <w:t xml:space="preserve"> of study decrease </w:t>
      </w:r>
      <w:r>
        <w:t xml:space="preserve">for </w:t>
      </w:r>
      <w:r w:rsidR="00CA1D9D">
        <w:t xml:space="preserve">commencing domestic </w:t>
      </w:r>
      <w:proofErr w:type="gramStart"/>
      <w:r w:rsidR="00CA1D9D">
        <w:t>students</w:t>
      </w:r>
      <w:bookmarkEnd w:id="6"/>
      <w:proofErr w:type="gramEnd"/>
    </w:p>
    <w:p w14:paraId="625CD7E4" w14:textId="73FC3E51" w:rsidR="00F1482F" w:rsidRDefault="00B70EBB" w:rsidP="00CA1D9D">
      <w:r>
        <w:t>Table</w:t>
      </w:r>
      <w:r w:rsidR="00CA1D9D">
        <w:t xml:space="preserve"> </w:t>
      </w:r>
      <w:r w:rsidR="00F0052D">
        <w:t>4</w:t>
      </w:r>
      <w:r>
        <w:t>a</w:t>
      </w:r>
      <w:r w:rsidR="00CA1D9D">
        <w:t xml:space="preserve">: Number of commencing domestic students </w:t>
      </w:r>
      <w:r w:rsidR="00F1482F">
        <w:t xml:space="preserve">for select </w:t>
      </w:r>
      <w:r w:rsidR="00CA1D9D">
        <w:t>field</w:t>
      </w:r>
      <w:r w:rsidR="00F1482F">
        <w:t>s</w:t>
      </w:r>
      <w:r w:rsidR="00CA1D9D">
        <w:t xml:space="preserve"> of education, 2018-2022</w:t>
      </w:r>
    </w:p>
    <w:tbl>
      <w:tblPr>
        <w:tblW w:w="8698" w:type="dxa"/>
        <w:tblLook w:val="04A0" w:firstRow="1" w:lastRow="0" w:firstColumn="1" w:lastColumn="0" w:noHBand="0" w:noVBand="1"/>
      </w:tblPr>
      <w:tblGrid>
        <w:gridCol w:w="4019"/>
        <w:gridCol w:w="1221"/>
        <w:gridCol w:w="1134"/>
        <w:gridCol w:w="1134"/>
        <w:gridCol w:w="1190"/>
      </w:tblGrid>
      <w:tr w:rsidR="00C43F97" w:rsidRPr="00A028CE" w14:paraId="503840C3" w14:textId="0AFD2099" w:rsidTr="00C43F97">
        <w:trPr>
          <w:trHeight w:val="820"/>
        </w:trPr>
        <w:tc>
          <w:tcPr>
            <w:tcW w:w="4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A9FED" w14:textId="77777777" w:rsidR="00C43F97" w:rsidRPr="00A028CE" w:rsidRDefault="00C43F97" w:rsidP="00A46F42">
            <w:pPr>
              <w:spacing w:after="0" w:line="240" w:lineRule="auto"/>
              <w:jc w:val="right"/>
              <w:rPr>
                <w:rFonts w:ascii="Calibri" w:eastAsia="Times New Roman" w:hAnsi="Calibri" w:cs="Calibri"/>
                <w:lang w:eastAsia="en-AU"/>
              </w:rPr>
            </w:pPr>
            <w:r w:rsidRPr="00A028CE">
              <w:rPr>
                <w:rFonts w:ascii="Calibri" w:eastAsia="Times New Roman" w:hAnsi="Calibri" w:cs="Calibri"/>
                <w:lang w:eastAsia="en-AU"/>
              </w:rPr>
              <w:t> </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14:paraId="07E62403" w14:textId="77777777" w:rsidR="00C43F97" w:rsidRPr="00A028CE" w:rsidRDefault="00C43F97" w:rsidP="00A46F42">
            <w:pPr>
              <w:spacing w:after="0" w:line="240" w:lineRule="auto"/>
              <w:jc w:val="right"/>
              <w:rPr>
                <w:rFonts w:ascii="Calibri" w:eastAsia="Times New Roman" w:hAnsi="Calibri" w:cs="Calibri"/>
                <w:b/>
                <w:bCs/>
                <w:color w:val="000000"/>
                <w:sz w:val="20"/>
                <w:szCs w:val="20"/>
                <w:lang w:eastAsia="en-AU"/>
              </w:rPr>
            </w:pPr>
            <w:r w:rsidRPr="00A028CE">
              <w:rPr>
                <w:rFonts w:ascii="Calibri" w:eastAsia="Times New Roman" w:hAnsi="Calibri" w:cs="Calibri"/>
                <w:b/>
                <w:bCs/>
                <w:color w:val="000000"/>
                <w:sz w:val="20"/>
                <w:szCs w:val="20"/>
                <w:lang w:eastAsia="en-AU"/>
              </w:rPr>
              <w:t>2018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00438F" w14:textId="77777777" w:rsidR="00C43F97" w:rsidRPr="00A028CE" w:rsidRDefault="00C43F97" w:rsidP="00A46F42">
            <w:pPr>
              <w:spacing w:after="0" w:line="240" w:lineRule="auto"/>
              <w:jc w:val="right"/>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2C8ED4" w14:textId="77777777" w:rsidR="00C43F97" w:rsidRPr="00A028CE" w:rsidRDefault="00C43F97" w:rsidP="00A46F42">
            <w:pPr>
              <w:spacing w:after="0" w:line="240" w:lineRule="auto"/>
              <w:jc w:val="right"/>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2022</w:t>
            </w:r>
          </w:p>
        </w:tc>
        <w:tc>
          <w:tcPr>
            <w:tcW w:w="1190" w:type="dxa"/>
            <w:tcBorders>
              <w:top w:val="single" w:sz="4" w:space="0" w:color="auto"/>
              <w:left w:val="nil"/>
              <w:bottom w:val="single" w:sz="4" w:space="0" w:color="auto"/>
              <w:right w:val="single" w:sz="4" w:space="0" w:color="auto"/>
            </w:tcBorders>
            <w:shd w:val="clear" w:color="auto" w:fill="auto"/>
            <w:vAlign w:val="bottom"/>
            <w:hideMark/>
          </w:tcPr>
          <w:p w14:paraId="3470389A" w14:textId="77777777" w:rsidR="00C43F97" w:rsidRPr="00A028CE" w:rsidRDefault="00C43F97" w:rsidP="00A46F42">
            <w:pPr>
              <w:spacing w:after="0" w:line="240" w:lineRule="auto"/>
              <w:jc w:val="right"/>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change 2021 to 2022</w:t>
            </w:r>
          </w:p>
        </w:tc>
      </w:tr>
      <w:tr w:rsidR="00C43F97" w:rsidRPr="00A028CE" w14:paraId="5F4D285C" w14:textId="3A98EE72" w:rsidTr="00C43F97">
        <w:trPr>
          <w:trHeight w:val="272"/>
        </w:trPr>
        <w:tc>
          <w:tcPr>
            <w:tcW w:w="4019" w:type="dxa"/>
            <w:tcBorders>
              <w:top w:val="nil"/>
              <w:left w:val="single" w:sz="4" w:space="0" w:color="auto"/>
              <w:bottom w:val="single" w:sz="4" w:space="0" w:color="auto"/>
              <w:right w:val="single" w:sz="4" w:space="0" w:color="auto"/>
            </w:tcBorders>
            <w:shd w:val="clear" w:color="auto" w:fill="auto"/>
            <w:hideMark/>
          </w:tcPr>
          <w:p w14:paraId="19196A5C" w14:textId="0D73F662"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xml:space="preserve">Natural </w:t>
            </w:r>
            <w:r>
              <w:rPr>
                <w:rFonts w:ascii="Calibri" w:eastAsia="Times New Roman" w:hAnsi="Calibri" w:cs="Calibri"/>
                <w:b/>
                <w:bCs/>
                <w:sz w:val="20"/>
                <w:szCs w:val="20"/>
                <w:lang w:eastAsia="en-AU"/>
              </w:rPr>
              <w:t>&amp;</w:t>
            </w:r>
            <w:r w:rsidRPr="00A028CE">
              <w:rPr>
                <w:rFonts w:ascii="Calibri" w:eastAsia="Times New Roman" w:hAnsi="Calibri" w:cs="Calibri"/>
                <w:b/>
                <w:bCs/>
                <w:sz w:val="20"/>
                <w:szCs w:val="20"/>
                <w:lang w:eastAsia="en-AU"/>
              </w:rPr>
              <w:t xml:space="preserve"> Physical Sciences</w:t>
            </w:r>
          </w:p>
        </w:tc>
        <w:tc>
          <w:tcPr>
            <w:tcW w:w="1221" w:type="dxa"/>
            <w:tcBorders>
              <w:top w:val="nil"/>
              <w:left w:val="nil"/>
              <w:bottom w:val="single" w:sz="4" w:space="0" w:color="auto"/>
              <w:right w:val="single" w:sz="4" w:space="0" w:color="auto"/>
            </w:tcBorders>
            <w:shd w:val="clear" w:color="auto" w:fill="auto"/>
            <w:vAlign w:val="bottom"/>
            <w:hideMark/>
          </w:tcPr>
          <w:p w14:paraId="7F120603"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36,752 </w:t>
            </w:r>
          </w:p>
        </w:tc>
        <w:tc>
          <w:tcPr>
            <w:tcW w:w="1134" w:type="dxa"/>
            <w:tcBorders>
              <w:top w:val="nil"/>
              <w:left w:val="nil"/>
              <w:bottom w:val="single" w:sz="4" w:space="0" w:color="auto"/>
              <w:right w:val="single" w:sz="4" w:space="0" w:color="auto"/>
            </w:tcBorders>
            <w:shd w:val="clear" w:color="auto" w:fill="auto"/>
            <w:noWrap/>
            <w:vAlign w:val="bottom"/>
            <w:hideMark/>
          </w:tcPr>
          <w:p w14:paraId="717DA2F0"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39,324</w:t>
            </w:r>
          </w:p>
        </w:tc>
        <w:tc>
          <w:tcPr>
            <w:tcW w:w="1134" w:type="dxa"/>
            <w:tcBorders>
              <w:top w:val="nil"/>
              <w:left w:val="nil"/>
              <w:bottom w:val="single" w:sz="4" w:space="0" w:color="auto"/>
              <w:right w:val="single" w:sz="4" w:space="0" w:color="auto"/>
            </w:tcBorders>
            <w:shd w:val="clear" w:color="auto" w:fill="auto"/>
            <w:noWrap/>
            <w:vAlign w:val="bottom"/>
            <w:hideMark/>
          </w:tcPr>
          <w:p w14:paraId="7BE0C925"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34,798</w:t>
            </w:r>
          </w:p>
        </w:tc>
        <w:tc>
          <w:tcPr>
            <w:tcW w:w="1190" w:type="dxa"/>
            <w:tcBorders>
              <w:top w:val="nil"/>
              <w:left w:val="nil"/>
              <w:bottom w:val="single" w:sz="4" w:space="0" w:color="auto"/>
              <w:right w:val="single" w:sz="4" w:space="0" w:color="auto"/>
            </w:tcBorders>
            <w:shd w:val="clear" w:color="auto" w:fill="auto"/>
            <w:noWrap/>
            <w:vAlign w:val="bottom"/>
            <w:hideMark/>
          </w:tcPr>
          <w:p w14:paraId="7991894C"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-11.5%</w:t>
            </w:r>
          </w:p>
        </w:tc>
      </w:tr>
      <w:tr w:rsidR="00C43F97" w:rsidRPr="00A028CE" w14:paraId="057EC68B" w14:textId="7AD5FB74"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2E124616"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Information Technology</w:t>
            </w:r>
          </w:p>
        </w:tc>
        <w:tc>
          <w:tcPr>
            <w:tcW w:w="1221" w:type="dxa"/>
            <w:tcBorders>
              <w:top w:val="nil"/>
              <w:left w:val="nil"/>
              <w:bottom w:val="single" w:sz="4" w:space="0" w:color="auto"/>
              <w:right w:val="single" w:sz="4" w:space="0" w:color="auto"/>
            </w:tcBorders>
            <w:shd w:val="clear" w:color="auto" w:fill="auto"/>
            <w:vAlign w:val="bottom"/>
            <w:hideMark/>
          </w:tcPr>
          <w:p w14:paraId="0E178CB7"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14,851 </w:t>
            </w:r>
          </w:p>
        </w:tc>
        <w:tc>
          <w:tcPr>
            <w:tcW w:w="1134" w:type="dxa"/>
            <w:tcBorders>
              <w:top w:val="nil"/>
              <w:left w:val="nil"/>
              <w:bottom w:val="single" w:sz="4" w:space="0" w:color="auto"/>
              <w:right w:val="single" w:sz="4" w:space="0" w:color="auto"/>
            </w:tcBorders>
            <w:shd w:val="clear" w:color="auto" w:fill="auto"/>
            <w:noWrap/>
            <w:vAlign w:val="bottom"/>
            <w:hideMark/>
          </w:tcPr>
          <w:p w14:paraId="387E1056"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22,552</w:t>
            </w:r>
          </w:p>
        </w:tc>
        <w:tc>
          <w:tcPr>
            <w:tcW w:w="1134" w:type="dxa"/>
            <w:tcBorders>
              <w:top w:val="nil"/>
              <w:left w:val="nil"/>
              <w:bottom w:val="single" w:sz="4" w:space="0" w:color="auto"/>
              <w:right w:val="single" w:sz="4" w:space="0" w:color="auto"/>
            </w:tcBorders>
            <w:shd w:val="clear" w:color="auto" w:fill="auto"/>
            <w:noWrap/>
            <w:vAlign w:val="bottom"/>
            <w:hideMark/>
          </w:tcPr>
          <w:p w14:paraId="5745947F"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20,127</w:t>
            </w:r>
          </w:p>
        </w:tc>
        <w:tc>
          <w:tcPr>
            <w:tcW w:w="1190" w:type="dxa"/>
            <w:tcBorders>
              <w:top w:val="nil"/>
              <w:left w:val="nil"/>
              <w:bottom w:val="single" w:sz="4" w:space="0" w:color="auto"/>
              <w:right w:val="single" w:sz="4" w:space="0" w:color="auto"/>
            </w:tcBorders>
            <w:shd w:val="clear" w:color="auto" w:fill="auto"/>
            <w:noWrap/>
            <w:vAlign w:val="bottom"/>
            <w:hideMark/>
          </w:tcPr>
          <w:p w14:paraId="235EC380"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-10.8%</w:t>
            </w:r>
          </w:p>
        </w:tc>
      </w:tr>
      <w:tr w:rsidR="00C43F97" w:rsidRPr="00A028CE" w14:paraId="09AA74C4" w14:textId="7C61803C"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6B936915" w14:textId="1FEE6A9E"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xml:space="preserve">Engineering </w:t>
            </w:r>
            <w:r>
              <w:rPr>
                <w:rFonts w:ascii="Calibri" w:eastAsia="Times New Roman" w:hAnsi="Calibri" w:cs="Calibri"/>
                <w:b/>
                <w:bCs/>
                <w:sz w:val="20"/>
                <w:szCs w:val="20"/>
                <w:lang w:eastAsia="en-AU"/>
              </w:rPr>
              <w:t>&amp;</w:t>
            </w:r>
            <w:r w:rsidRPr="00A028CE">
              <w:rPr>
                <w:rFonts w:ascii="Calibri" w:eastAsia="Times New Roman" w:hAnsi="Calibri" w:cs="Calibri"/>
                <w:b/>
                <w:bCs/>
                <w:sz w:val="20"/>
                <w:szCs w:val="20"/>
                <w:lang w:eastAsia="en-AU"/>
              </w:rPr>
              <w:t xml:space="preserve"> Related Technologies</w:t>
            </w:r>
          </w:p>
        </w:tc>
        <w:tc>
          <w:tcPr>
            <w:tcW w:w="1221" w:type="dxa"/>
            <w:tcBorders>
              <w:top w:val="nil"/>
              <w:left w:val="nil"/>
              <w:bottom w:val="single" w:sz="4" w:space="0" w:color="auto"/>
              <w:right w:val="single" w:sz="4" w:space="0" w:color="auto"/>
            </w:tcBorders>
            <w:shd w:val="clear" w:color="auto" w:fill="auto"/>
            <w:vAlign w:val="bottom"/>
            <w:hideMark/>
          </w:tcPr>
          <w:p w14:paraId="11333960"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18,855 </w:t>
            </w:r>
          </w:p>
        </w:tc>
        <w:tc>
          <w:tcPr>
            <w:tcW w:w="1134" w:type="dxa"/>
            <w:tcBorders>
              <w:top w:val="nil"/>
              <w:left w:val="nil"/>
              <w:bottom w:val="single" w:sz="4" w:space="0" w:color="auto"/>
              <w:right w:val="single" w:sz="4" w:space="0" w:color="auto"/>
            </w:tcBorders>
            <w:shd w:val="clear" w:color="auto" w:fill="auto"/>
            <w:noWrap/>
            <w:vAlign w:val="bottom"/>
            <w:hideMark/>
          </w:tcPr>
          <w:p w14:paraId="752CDD55"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21,353</w:t>
            </w:r>
          </w:p>
        </w:tc>
        <w:tc>
          <w:tcPr>
            <w:tcW w:w="1134" w:type="dxa"/>
            <w:tcBorders>
              <w:top w:val="nil"/>
              <w:left w:val="nil"/>
              <w:bottom w:val="single" w:sz="4" w:space="0" w:color="auto"/>
              <w:right w:val="single" w:sz="4" w:space="0" w:color="auto"/>
            </w:tcBorders>
            <w:shd w:val="clear" w:color="auto" w:fill="auto"/>
            <w:noWrap/>
            <w:vAlign w:val="bottom"/>
            <w:hideMark/>
          </w:tcPr>
          <w:p w14:paraId="5533EE54"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20,719</w:t>
            </w:r>
          </w:p>
        </w:tc>
        <w:tc>
          <w:tcPr>
            <w:tcW w:w="1190" w:type="dxa"/>
            <w:tcBorders>
              <w:top w:val="nil"/>
              <w:left w:val="nil"/>
              <w:bottom w:val="single" w:sz="4" w:space="0" w:color="auto"/>
              <w:right w:val="single" w:sz="4" w:space="0" w:color="auto"/>
            </w:tcBorders>
            <w:shd w:val="clear" w:color="auto" w:fill="auto"/>
            <w:noWrap/>
            <w:vAlign w:val="bottom"/>
            <w:hideMark/>
          </w:tcPr>
          <w:p w14:paraId="444AEE72"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-3.0%</w:t>
            </w:r>
          </w:p>
        </w:tc>
      </w:tr>
      <w:tr w:rsidR="00C43F97" w:rsidRPr="00A028CE" w14:paraId="7C481B90" w14:textId="47570E83"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6B4E4583"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Architecture and Building</w:t>
            </w:r>
          </w:p>
        </w:tc>
        <w:tc>
          <w:tcPr>
            <w:tcW w:w="1221" w:type="dxa"/>
            <w:tcBorders>
              <w:top w:val="nil"/>
              <w:left w:val="nil"/>
              <w:bottom w:val="single" w:sz="4" w:space="0" w:color="auto"/>
              <w:right w:val="single" w:sz="4" w:space="0" w:color="auto"/>
            </w:tcBorders>
            <w:shd w:val="clear" w:color="auto" w:fill="auto"/>
            <w:vAlign w:val="bottom"/>
            <w:hideMark/>
          </w:tcPr>
          <w:p w14:paraId="34CDA947"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9,941 </w:t>
            </w:r>
          </w:p>
        </w:tc>
        <w:tc>
          <w:tcPr>
            <w:tcW w:w="1134" w:type="dxa"/>
            <w:tcBorders>
              <w:top w:val="nil"/>
              <w:left w:val="nil"/>
              <w:bottom w:val="single" w:sz="4" w:space="0" w:color="auto"/>
              <w:right w:val="single" w:sz="4" w:space="0" w:color="auto"/>
            </w:tcBorders>
            <w:shd w:val="clear" w:color="auto" w:fill="auto"/>
            <w:noWrap/>
            <w:vAlign w:val="bottom"/>
            <w:hideMark/>
          </w:tcPr>
          <w:p w14:paraId="50E3D7D7"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11,392</w:t>
            </w:r>
          </w:p>
        </w:tc>
        <w:tc>
          <w:tcPr>
            <w:tcW w:w="1134" w:type="dxa"/>
            <w:tcBorders>
              <w:top w:val="nil"/>
              <w:left w:val="nil"/>
              <w:bottom w:val="single" w:sz="4" w:space="0" w:color="auto"/>
              <w:right w:val="single" w:sz="4" w:space="0" w:color="auto"/>
            </w:tcBorders>
            <w:shd w:val="clear" w:color="auto" w:fill="auto"/>
            <w:noWrap/>
            <w:vAlign w:val="bottom"/>
            <w:hideMark/>
          </w:tcPr>
          <w:p w14:paraId="4FDC4525"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10,825</w:t>
            </w:r>
          </w:p>
        </w:tc>
        <w:tc>
          <w:tcPr>
            <w:tcW w:w="1190" w:type="dxa"/>
            <w:tcBorders>
              <w:top w:val="nil"/>
              <w:left w:val="nil"/>
              <w:bottom w:val="single" w:sz="4" w:space="0" w:color="auto"/>
              <w:right w:val="single" w:sz="4" w:space="0" w:color="auto"/>
            </w:tcBorders>
            <w:shd w:val="clear" w:color="auto" w:fill="auto"/>
            <w:noWrap/>
            <w:vAlign w:val="bottom"/>
            <w:hideMark/>
          </w:tcPr>
          <w:p w14:paraId="505587D0"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-5.0%</w:t>
            </w:r>
          </w:p>
        </w:tc>
      </w:tr>
      <w:tr w:rsidR="00C43F97" w:rsidRPr="00A028CE" w14:paraId="22B450E4" w14:textId="109DE85B" w:rsidTr="00C43F97">
        <w:trPr>
          <w:trHeight w:val="277"/>
        </w:trPr>
        <w:tc>
          <w:tcPr>
            <w:tcW w:w="4019" w:type="dxa"/>
            <w:tcBorders>
              <w:top w:val="nil"/>
              <w:left w:val="single" w:sz="4" w:space="0" w:color="auto"/>
              <w:bottom w:val="single" w:sz="4" w:space="0" w:color="auto"/>
              <w:right w:val="single" w:sz="4" w:space="0" w:color="auto"/>
            </w:tcBorders>
            <w:shd w:val="clear" w:color="auto" w:fill="auto"/>
            <w:hideMark/>
          </w:tcPr>
          <w:p w14:paraId="75565DD1" w14:textId="0F62EA05"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xml:space="preserve">Agriculture, Environmental </w:t>
            </w:r>
            <w:r>
              <w:rPr>
                <w:rFonts w:ascii="Calibri" w:eastAsia="Times New Roman" w:hAnsi="Calibri" w:cs="Calibri"/>
                <w:b/>
                <w:bCs/>
                <w:sz w:val="20"/>
                <w:szCs w:val="20"/>
                <w:lang w:eastAsia="en-AU"/>
              </w:rPr>
              <w:t>&amp;</w:t>
            </w:r>
            <w:r w:rsidRPr="00A028CE">
              <w:rPr>
                <w:rFonts w:ascii="Calibri" w:eastAsia="Times New Roman" w:hAnsi="Calibri" w:cs="Calibri"/>
                <w:b/>
                <w:bCs/>
                <w:sz w:val="20"/>
                <w:szCs w:val="20"/>
                <w:lang w:eastAsia="en-AU"/>
              </w:rPr>
              <w:t xml:space="preserve"> Related Studies</w:t>
            </w:r>
          </w:p>
        </w:tc>
        <w:tc>
          <w:tcPr>
            <w:tcW w:w="1221" w:type="dxa"/>
            <w:tcBorders>
              <w:top w:val="nil"/>
              <w:left w:val="nil"/>
              <w:bottom w:val="single" w:sz="4" w:space="0" w:color="auto"/>
              <w:right w:val="single" w:sz="4" w:space="0" w:color="auto"/>
            </w:tcBorders>
            <w:shd w:val="clear" w:color="auto" w:fill="auto"/>
            <w:vAlign w:val="bottom"/>
            <w:hideMark/>
          </w:tcPr>
          <w:p w14:paraId="0D5A1A88" w14:textId="6CDD939B"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4,662 </w:t>
            </w:r>
          </w:p>
        </w:tc>
        <w:tc>
          <w:tcPr>
            <w:tcW w:w="1134" w:type="dxa"/>
            <w:tcBorders>
              <w:top w:val="nil"/>
              <w:left w:val="nil"/>
              <w:bottom w:val="single" w:sz="4" w:space="0" w:color="auto"/>
              <w:right w:val="single" w:sz="4" w:space="0" w:color="auto"/>
            </w:tcBorders>
            <w:shd w:val="clear" w:color="auto" w:fill="auto"/>
            <w:noWrap/>
            <w:vAlign w:val="bottom"/>
            <w:hideMark/>
          </w:tcPr>
          <w:p w14:paraId="54B893C5"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6,028</w:t>
            </w:r>
          </w:p>
        </w:tc>
        <w:tc>
          <w:tcPr>
            <w:tcW w:w="1134" w:type="dxa"/>
            <w:tcBorders>
              <w:top w:val="nil"/>
              <w:left w:val="nil"/>
              <w:bottom w:val="single" w:sz="4" w:space="0" w:color="auto"/>
              <w:right w:val="single" w:sz="4" w:space="0" w:color="auto"/>
            </w:tcBorders>
            <w:shd w:val="clear" w:color="auto" w:fill="auto"/>
            <w:noWrap/>
            <w:vAlign w:val="bottom"/>
            <w:hideMark/>
          </w:tcPr>
          <w:p w14:paraId="4809C787"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5,993</w:t>
            </w:r>
          </w:p>
        </w:tc>
        <w:tc>
          <w:tcPr>
            <w:tcW w:w="1190" w:type="dxa"/>
            <w:tcBorders>
              <w:top w:val="nil"/>
              <w:left w:val="nil"/>
              <w:bottom w:val="single" w:sz="4" w:space="0" w:color="auto"/>
              <w:right w:val="single" w:sz="4" w:space="0" w:color="auto"/>
            </w:tcBorders>
            <w:shd w:val="clear" w:color="auto" w:fill="auto"/>
            <w:noWrap/>
            <w:vAlign w:val="bottom"/>
            <w:hideMark/>
          </w:tcPr>
          <w:p w14:paraId="3A387384"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-0.6%</w:t>
            </w:r>
          </w:p>
        </w:tc>
      </w:tr>
      <w:tr w:rsidR="00C43F97" w:rsidRPr="00A028CE" w14:paraId="01CA6335" w14:textId="2079F15E"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7A900EAB"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Health</w:t>
            </w:r>
          </w:p>
        </w:tc>
        <w:tc>
          <w:tcPr>
            <w:tcW w:w="1221" w:type="dxa"/>
            <w:tcBorders>
              <w:top w:val="nil"/>
              <w:left w:val="nil"/>
              <w:bottom w:val="single" w:sz="4" w:space="0" w:color="auto"/>
              <w:right w:val="single" w:sz="4" w:space="0" w:color="auto"/>
            </w:tcBorders>
            <w:shd w:val="clear" w:color="auto" w:fill="auto"/>
            <w:vAlign w:val="bottom"/>
            <w:hideMark/>
          </w:tcPr>
          <w:p w14:paraId="038FC025"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82,999 </w:t>
            </w:r>
          </w:p>
        </w:tc>
        <w:tc>
          <w:tcPr>
            <w:tcW w:w="1134" w:type="dxa"/>
            <w:tcBorders>
              <w:top w:val="nil"/>
              <w:left w:val="nil"/>
              <w:bottom w:val="single" w:sz="4" w:space="0" w:color="auto"/>
              <w:right w:val="single" w:sz="4" w:space="0" w:color="auto"/>
            </w:tcBorders>
            <w:shd w:val="clear" w:color="auto" w:fill="auto"/>
            <w:noWrap/>
            <w:vAlign w:val="bottom"/>
            <w:hideMark/>
          </w:tcPr>
          <w:p w14:paraId="3CCAEF08"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96,169</w:t>
            </w:r>
          </w:p>
        </w:tc>
        <w:tc>
          <w:tcPr>
            <w:tcW w:w="1134" w:type="dxa"/>
            <w:tcBorders>
              <w:top w:val="nil"/>
              <w:left w:val="nil"/>
              <w:bottom w:val="single" w:sz="4" w:space="0" w:color="auto"/>
              <w:right w:val="single" w:sz="4" w:space="0" w:color="auto"/>
            </w:tcBorders>
            <w:shd w:val="clear" w:color="auto" w:fill="auto"/>
            <w:noWrap/>
            <w:vAlign w:val="bottom"/>
            <w:hideMark/>
          </w:tcPr>
          <w:p w14:paraId="5040EA76"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87,577</w:t>
            </w:r>
          </w:p>
        </w:tc>
        <w:tc>
          <w:tcPr>
            <w:tcW w:w="1190" w:type="dxa"/>
            <w:tcBorders>
              <w:top w:val="nil"/>
              <w:left w:val="nil"/>
              <w:bottom w:val="single" w:sz="4" w:space="0" w:color="auto"/>
              <w:right w:val="single" w:sz="4" w:space="0" w:color="auto"/>
            </w:tcBorders>
            <w:shd w:val="clear" w:color="auto" w:fill="auto"/>
            <w:noWrap/>
            <w:vAlign w:val="bottom"/>
            <w:hideMark/>
          </w:tcPr>
          <w:p w14:paraId="656F8190"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-8.9%</w:t>
            </w:r>
          </w:p>
        </w:tc>
      </w:tr>
      <w:tr w:rsidR="00C43F97" w:rsidRPr="00A028CE" w14:paraId="1E702F09" w14:textId="5DF33F5D" w:rsidTr="00C43F97">
        <w:trPr>
          <w:trHeight w:val="361"/>
        </w:trPr>
        <w:tc>
          <w:tcPr>
            <w:tcW w:w="4019" w:type="dxa"/>
            <w:tcBorders>
              <w:top w:val="nil"/>
              <w:left w:val="single" w:sz="4" w:space="0" w:color="auto"/>
              <w:bottom w:val="single" w:sz="4" w:space="0" w:color="auto"/>
              <w:right w:val="single" w:sz="4" w:space="0" w:color="auto"/>
            </w:tcBorders>
            <w:shd w:val="clear" w:color="auto" w:fill="auto"/>
            <w:hideMark/>
          </w:tcPr>
          <w:p w14:paraId="4C4C9F53" w14:textId="34A94C88" w:rsidR="00C43F97" w:rsidRPr="00A028CE" w:rsidRDefault="00C43F97" w:rsidP="001D11C5">
            <w:pPr>
              <w:spacing w:after="0" w:line="240" w:lineRule="auto"/>
              <w:rPr>
                <w:rFonts w:ascii="Calibri" w:eastAsia="Times New Roman" w:hAnsi="Calibri" w:cs="Calibri"/>
                <w:b/>
                <w:bCs/>
                <w:i/>
                <w:iCs/>
                <w:sz w:val="20"/>
                <w:szCs w:val="20"/>
                <w:lang w:eastAsia="en-AU"/>
              </w:rPr>
            </w:pPr>
            <w:r>
              <w:rPr>
                <w:rFonts w:ascii="Calibri" w:eastAsia="Times New Roman" w:hAnsi="Calibri" w:cs="Calibri"/>
                <w:b/>
                <w:bCs/>
                <w:i/>
                <w:iCs/>
                <w:sz w:val="20"/>
                <w:szCs w:val="20"/>
                <w:lang w:eastAsia="en-AU"/>
              </w:rPr>
              <w:t xml:space="preserve">     </w:t>
            </w:r>
            <w:r w:rsidRPr="00A028CE">
              <w:rPr>
                <w:rFonts w:ascii="Calibri" w:eastAsia="Times New Roman" w:hAnsi="Calibri" w:cs="Calibri"/>
                <w:b/>
                <w:bCs/>
                <w:i/>
                <w:iCs/>
                <w:sz w:val="20"/>
                <w:szCs w:val="20"/>
                <w:lang w:eastAsia="en-AU"/>
              </w:rPr>
              <w:t>Nursing</w:t>
            </w:r>
          </w:p>
        </w:tc>
        <w:tc>
          <w:tcPr>
            <w:tcW w:w="1221" w:type="dxa"/>
            <w:tcBorders>
              <w:top w:val="nil"/>
              <w:left w:val="nil"/>
              <w:bottom w:val="single" w:sz="4" w:space="0" w:color="auto"/>
              <w:right w:val="single" w:sz="4" w:space="0" w:color="auto"/>
            </w:tcBorders>
            <w:shd w:val="clear" w:color="auto" w:fill="auto"/>
            <w:vAlign w:val="bottom"/>
            <w:hideMark/>
          </w:tcPr>
          <w:p w14:paraId="32892067" w14:textId="79D7A5B0" w:rsidR="00C43F97" w:rsidRPr="00A028CE" w:rsidRDefault="00C43F97" w:rsidP="001D11C5">
            <w:pPr>
              <w:spacing w:after="0" w:line="240" w:lineRule="auto"/>
              <w:jc w:val="right"/>
              <w:rPr>
                <w:rFonts w:ascii="Calibri" w:eastAsia="Times New Roman" w:hAnsi="Calibri" w:cs="Calibri"/>
                <w:i/>
                <w:iCs/>
                <w:sz w:val="20"/>
                <w:szCs w:val="20"/>
                <w:lang w:eastAsia="en-AU"/>
              </w:rPr>
            </w:pPr>
            <w:r w:rsidRPr="00A028CE">
              <w:rPr>
                <w:rFonts w:ascii="Calibri" w:eastAsia="Times New Roman" w:hAnsi="Calibri" w:cs="Calibri"/>
                <w:i/>
                <w:iCs/>
                <w:sz w:val="20"/>
                <w:szCs w:val="20"/>
                <w:lang w:eastAsia="en-AU"/>
              </w:rPr>
              <w:t xml:space="preserve">21,887 </w:t>
            </w:r>
          </w:p>
        </w:tc>
        <w:tc>
          <w:tcPr>
            <w:tcW w:w="1134" w:type="dxa"/>
            <w:tcBorders>
              <w:top w:val="nil"/>
              <w:left w:val="nil"/>
              <w:bottom w:val="single" w:sz="4" w:space="0" w:color="auto"/>
              <w:right w:val="single" w:sz="4" w:space="0" w:color="auto"/>
            </w:tcBorders>
            <w:shd w:val="clear" w:color="auto" w:fill="auto"/>
            <w:vAlign w:val="bottom"/>
            <w:hideMark/>
          </w:tcPr>
          <w:p w14:paraId="51ACD374" w14:textId="68994C9D" w:rsidR="00C43F97" w:rsidRPr="00A028CE" w:rsidRDefault="00C43F97" w:rsidP="001D11C5">
            <w:pPr>
              <w:spacing w:after="0" w:line="240" w:lineRule="auto"/>
              <w:jc w:val="right"/>
              <w:rPr>
                <w:rFonts w:ascii="Calibri" w:eastAsia="Times New Roman" w:hAnsi="Calibri" w:cs="Calibri"/>
                <w:i/>
                <w:iCs/>
                <w:sz w:val="20"/>
                <w:szCs w:val="20"/>
                <w:lang w:eastAsia="en-AU"/>
              </w:rPr>
            </w:pPr>
            <w:r w:rsidRPr="00A028CE">
              <w:rPr>
                <w:rFonts w:ascii="Calibri" w:eastAsia="Times New Roman" w:hAnsi="Calibri" w:cs="Calibri"/>
                <w:i/>
                <w:iCs/>
                <w:sz w:val="20"/>
                <w:szCs w:val="20"/>
                <w:lang w:eastAsia="en-AU"/>
              </w:rPr>
              <w:t xml:space="preserve">     21,850 </w:t>
            </w:r>
          </w:p>
        </w:tc>
        <w:tc>
          <w:tcPr>
            <w:tcW w:w="1134" w:type="dxa"/>
            <w:tcBorders>
              <w:top w:val="nil"/>
              <w:left w:val="nil"/>
              <w:bottom w:val="single" w:sz="4" w:space="0" w:color="auto"/>
              <w:right w:val="single" w:sz="4" w:space="0" w:color="auto"/>
            </w:tcBorders>
            <w:shd w:val="clear" w:color="auto" w:fill="auto"/>
            <w:vAlign w:val="bottom"/>
            <w:hideMark/>
          </w:tcPr>
          <w:p w14:paraId="6E38E048" w14:textId="6FBA0763" w:rsidR="00C43F97" w:rsidRPr="00A028CE" w:rsidRDefault="00C43F97" w:rsidP="001D11C5">
            <w:pPr>
              <w:spacing w:after="0" w:line="240" w:lineRule="auto"/>
              <w:jc w:val="right"/>
              <w:rPr>
                <w:rFonts w:ascii="Calibri" w:eastAsia="Times New Roman" w:hAnsi="Calibri" w:cs="Calibri"/>
                <w:i/>
                <w:iCs/>
                <w:sz w:val="20"/>
                <w:szCs w:val="20"/>
                <w:lang w:eastAsia="en-AU"/>
              </w:rPr>
            </w:pPr>
            <w:r w:rsidRPr="00A028CE">
              <w:rPr>
                <w:rFonts w:ascii="Calibri" w:eastAsia="Times New Roman" w:hAnsi="Calibri" w:cs="Calibri"/>
                <w:i/>
                <w:iCs/>
                <w:sz w:val="20"/>
                <w:szCs w:val="20"/>
                <w:lang w:eastAsia="en-AU"/>
              </w:rPr>
              <w:t xml:space="preserve"> 19,611</w:t>
            </w:r>
          </w:p>
        </w:tc>
        <w:tc>
          <w:tcPr>
            <w:tcW w:w="1190" w:type="dxa"/>
            <w:tcBorders>
              <w:top w:val="nil"/>
              <w:left w:val="nil"/>
              <w:bottom w:val="single" w:sz="4" w:space="0" w:color="auto"/>
              <w:right w:val="single" w:sz="4" w:space="0" w:color="auto"/>
            </w:tcBorders>
            <w:shd w:val="clear" w:color="auto" w:fill="auto"/>
            <w:vAlign w:val="bottom"/>
            <w:hideMark/>
          </w:tcPr>
          <w:p w14:paraId="17010D84" w14:textId="77777777" w:rsidR="00C43F97" w:rsidRPr="00A028CE" w:rsidRDefault="00C43F97" w:rsidP="001D11C5">
            <w:pPr>
              <w:spacing w:after="0" w:line="240" w:lineRule="auto"/>
              <w:jc w:val="right"/>
              <w:rPr>
                <w:rFonts w:ascii="Calibri" w:eastAsia="Times New Roman" w:hAnsi="Calibri" w:cs="Calibri"/>
                <w:i/>
                <w:iCs/>
                <w:sz w:val="20"/>
                <w:szCs w:val="20"/>
                <w:lang w:eastAsia="en-AU"/>
              </w:rPr>
            </w:pPr>
            <w:r w:rsidRPr="00A028CE">
              <w:rPr>
                <w:rFonts w:ascii="Calibri" w:eastAsia="Times New Roman" w:hAnsi="Calibri" w:cs="Calibri"/>
                <w:i/>
                <w:iCs/>
                <w:sz w:val="20"/>
                <w:szCs w:val="20"/>
                <w:lang w:eastAsia="en-AU"/>
              </w:rPr>
              <w:t>-10.2%</w:t>
            </w:r>
          </w:p>
        </w:tc>
      </w:tr>
      <w:tr w:rsidR="00C43F97" w:rsidRPr="00A028CE" w14:paraId="16B17BDF" w14:textId="10C40C34"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50C93AF2"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Education</w:t>
            </w:r>
          </w:p>
        </w:tc>
        <w:tc>
          <w:tcPr>
            <w:tcW w:w="1221" w:type="dxa"/>
            <w:tcBorders>
              <w:top w:val="nil"/>
              <w:left w:val="nil"/>
              <w:bottom w:val="single" w:sz="4" w:space="0" w:color="auto"/>
              <w:right w:val="single" w:sz="4" w:space="0" w:color="auto"/>
            </w:tcBorders>
            <w:shd w:val="clear" w:color="auto" w:fill="auto"/>
            <w:vAlign w:val="bottom"/>
            <w:hideMark/>
          </w:tcPr>
          <w:p w14:paraId="52E7251D"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41,864 </w:t>
            </w:r>
          </w:p>
        </w:tc>
        <w:tc>
          <w:tcPr>
            <w:tcW w:w="1134" w:type="dxa"/>
            <w:tcBorders>
              <w:top w:val="nil"/>
              <w:left w:val="nil"/>
              <w:bottom w:val="single" w:sz="4" w:space="0" w:color="auto"/>
              <w:right w:val="single" w:sz="4" w:space="0" w:color="auto"/>
            </w:tcBorders>
            <w:shd w:val="clear" w:color="auto" w:fill="auto"/>
            <w:noWrap/>
            <w:vAlign w:val="bottom"/>
            <w:hideMark/>
          </w:tcPr>
          <w:p w14:paraId="0887A327"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51,561</w:t>
            </w:r>
          </w:p>
        </w:tc>
        <w:tc>
          <w:tcPr>
            <w:tcW w:w="1134" w:type="dxa"/>
            <w:tcBorders>
              <w:top w:val="nil"/>
              <w:left w:val="nil"/>
              <w:bottom w:val="single" w:sz="4" w:space="0" w:color="auto"/>
              <w:right w:val="single" w:sz="4" w:space="0" w:color="auto"/>
            </w:tcBorders>
            <w:shd w:val="clear" w:color="auto" w:fill="auto"/>
            <w:noWrap/>
            <w:vAlign w:val="bottom"/>
            <w:hideMark/>
          </w:tcPr>
          <w:p w14:paraId="568ACBEF"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44,250</w:t>
            </w:r>
          </w:p>
        </w:tc>
        <w:tc>
          <w:tcPr>
            <w:tcW w:w="1190" w:type="dxa"/>
            <w:tcBorders>
              <w:top w:val="nil"/>
              <w:left w:val="nil"/>
              <w:bottom w:val="single" w:sz="4" w:space="0" w:color="auto"/>
              <w:right w:val="single" w:sz="4" w:space="0" w:color="auto"/>
            </w:tcBorders>
            <w:shd w:val="clear" w:color="auto" w:fill="auto"/>
            <w:noWrap/>
            <w:vAlign w:val="bottom"/>
            <w:hideMark/>
          </w:tcPr>
          <w:p w14:paraId="25BE7594"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-14.2%</w:t>
            </w:r>
          </w:p>
        </w:tc>
      </w:tr>
      <w:tr w:rsidR="00C43F97" w:rsidRPr="00A028CE" w14:paraId="3F7388E8" w14:textId="0C6E87C6"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31E9C9F8" w14:textId="42449945" w:rsidR="00C43F97" w:rsidRPr="00A028CE" w:rsidRDefault="00C43F97" w:rsidP="001D11C5">
            <w:pPr>
              <w:spacing w:after="0" w:line="240" w:lineRule="auto"/>
              <w:rPr>
                <w:rFonts w:ascii="Calibri" w:eastAsia="Times New Roman" w:hAnsi="Calibri" w:cs="Calibri"/>
                <w:b/>
                <w:bCs/>
                <w:i/>
                <w:iCs/>
                <w:sz w:val="20"/>
                <w:szCs w:val="20"/>
                <w:lang w:eastAsia="en-AU"/>
              </w:rPr>
            </w:pPr>
            <w:r>
              <w:rPr>
                <w:rFonts w:ascii="Calibri" w:eastAsia="Times New Roman" w:hAnsi="Calibri" w:cs="Calibri"/>
                <w:b/>
                <w:bCs/>
                <w:i/>
                <w:iCs/>
                <w:sz w:val="20"/>
                <w:szCs w:val="20"/>
                <w:lang w:eastAsia="en-AU"/>
              </w:rPr>
              <w:t xml:space="preserve">    </w:t>
            </w:r>
            <w:r w:rsidRPr="00A028CE">
              <w:rPr>
                <w:rFonts w:ascii="Calibri" w:eastAsia="Times New Roman" w:hAnsi="Calibri" w:cs="Calibri"/>
                <w:b/>
                <w:bCs/>
                <w:i/>
                <w:iCs/>
                <w:sz w:val="20"/>
                <w:szCs w:val="20"/>
                <w:lang w:eastAsia="en-AU"/>
              </w:rPr>
              <w:t>Initial Teacher Education</w:t>
            </w:r>
          </w:p>
        </w:tc>
        <w:tc>
          <w:tcPr>
            <w:tcW w:w="1221" w:type="dxa"/>
            <w:tcBorders>
              <w:top w:val="nil"/>
              <w:left w:val="nil"/>
              <w:bottom w:val="single" w:sz="4" w:space="0" w:color="auto"/>
              <w:right w:val="single" w:sz="4" w:space="0" w:color="auto"/>
            </w:tcBorders>
            <w:shd w:val="clear" w:color="auto" w:fill="auto"/>
            <w:vAlign w:val="bottom"/>
            <w:hideMark/>
          </w:tcPr>
          <w:p w14:paraId="70F5EC28" w14:textId="77777777" w:rsidR="00C43F97" w:rsidRPr="00A028CE" w:rsidRDefault="00C43F97" w:rsidP="001D11C5">
            <w:pPr>
              <w:spacing w:after="0" w:line="240" w:lineRule="auto"/>
              <w:jc w:val="right"/>
              <w:rPr>
                <w:rFonts w:ascii="Calibri" w:eastAsia="Times New Roman" w:hAnsi="Calibri" w:cs="Calibri"/>
                <w:i/>
                <w:iCs/>
                <w:sz w:val="20"/>
                <w:szCs w:val="20"/>
                <w:lang w:eastAsia="en-AU"/>
              </w:rPr>
            </w:pPr>
            <w:r w:rsidRPr="00A028CE">
              <w:rPr>
                <w:rFonts w:ascii="Calibri" w:eastAsia="Times New Roman" w:hAnsi="Calibri" w:cs="Calibri"/>
                <w:i/>
                <w:iCs/>
                <w:sz w:val="20"/>
                <w:szCs w:val="20"/>
                <w:lang w:eastAsia="en-AU"/>
              </w:rPr>
              <w:t xml:space="preserve">        25,799 </w:t>
            </w:r>
          </w:p>
        </w:tc>
        <w:tc>
          <w:tcPr>
            <w:tcW w:w="1134" w:type="dxa"/>
            <w:tcBorders>
              <w:top w:val="nil"/>
              <w:left w:val="nil"/>
              <w:bottom w:val="single" w:sz="4" w:space="0" w:color="auto"/>
              <w:right w:val="single" w:sz="4" w:space="0" w:color="auto"/>
            </w:tcBorders>
            <w:shd w:val="clear" w:color="auto" w:fill="auto"/>
            <w:noWrap/>
            <w:vAlign w:val="bottom"/>
            <w:hideMark/>
          </w:tcPr>
          <w:p w14:paraId="2571BC29" w14:textId="77777777" w:rsidR="00C43F97" w:rsidRPr="00A028CE" w:rsidRDefault="00C43F97" w:rsidP="001D11C5">
            <w:pPr>
              <w:spacing w:after="0" w:line="240" w:lineRule="auto"/>
              <w:jc w:val="right"/>
              <w:rPr>
                <w:rFonts w:ascii="Calibri" w:eastAsia="Times New Roman" w:hAnsi="Calibri" w:cs="Calibri"/>
                <w:i/>
                <w:iCs/>
                <w:color w:val="000000"/>
                <w:sz w:val="20"/>
                <w:szCs w:val="20"/>
                <w:lang w:eastAsia="en-AU"/>
              </w:rPr>
            </w:pPr>
            <w:r w:rsidRPr="00A028CE">
              <w:rPr>
                <w:rFonts w:ascii="Calibri" w:eastAsia="Times New Roman" w:hAnsi="Calibri" w:cs="Calibri"/>
                <w:i/>
                <w:iCs/>
                <w:color w:val="000000"/>
                <w:sz w:val="20"/>
                <w:szCs w:val="20"/>
                <w:lang w:eastAsia="en-AU"/>
              </w:rPr>
              <w:t>29,797</w:t>
            </w:r>
          </w:p>
        </w:tc>
        <w:tc>
          <w:tcPr>
            <w:tcW w:w="1134" w:type="dxa"/>
            <w:tcBorders>
              <w:top w:val="nil"/>
              <w:left w:val="nil"/>
              <w:bottom w:val="single" w:sz="4" w:space="0" w:color="auto"/>
              <w:right w:val="single" w:sz="4" w:space="0" w:color="auto"/>
            </w:tcBorders>
            <w:shd w:val="clear" w:color="auto" w:fill="auto"/>
            <w:noWrap/>
            <w:vAlign w:val="bottom"/>
            <w:hideMark/>
          </w:tcPr>
          <w:p w14:paraId="174C2DAA" w14:textId="77777777" w:rsidR="00C43F97" w:rsidRPr="00A028CE" w:rsidRDefault="00C43F97" w:rsidP="001D11C5">
            <w:pPr>
              <w:spacing w:after="0" w:line="240" w:lineRule="auto"/>
              <w:jc w:val="right"/>
              <w:rPr>
                <w:rFonts w:ascii="Calibri" w:eastAsia="Times New Roman" w:hAnsi="Calibri" w:cs="Calibri"/>
                <w:i/>
                <w:iCs/>
                <w:color w:val="000000"/>
                <w:sz w:val="20"/>
                <w:szCs w:val="20"/>
                <w:lang w:eastAsia="en-AU"/>
              </w:rPr>
            </w:pPr>
            <w:r w:rsidRPr="00A028CE">
              <w:rPr>
                <w:rFonts w:ascii="Calibri" w:eastAsia="Times New Roman" w:hAnsi="Calibri" w:cs="Calibri"/>
                <w:i/>
                <w:iCs/>
                <w:color w:val="000000"/>
                <w:sz w:val="20"/>
                <w:szCs w:val="20"/>
                <w:lang w:eastAsia="en-AU"/>
              </w:rPr>
              <w:t>26,201</w:t>
            </w:r>
          </w:p>
        </w:tc>
        <w:tc>
          <w:tcPr>
            <w:tcW w:w="1190" w:type="dxa"/>
            <w:tcBorders>
              <w:top w:val="nil"/>
              <w:left w:val="nil"/>
              <w:bottom w:val="single" w:sz="4" w:space="0" w:color="auto"/>
              <w:right w:val="single" w:sz="4" w:space="0" w:color="auto"/>
            </w:tcBorders>
            <w:shd w:val="clear" w:color="auto" w:fill="auto"/>
            <w:noWrap/>
            <w:vAlign w:val="bottom"/>
            <w:hideMark/>
          </w:tcPr>
          <w:p w14:paraId="60809225"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-12.1%</w:t>
            </w:r>
          </w:p>
        </w:tc>
      </w:tr>
      <w:tr w:rsidR="00C43F97" w:rsidRPr="00A028CE" w14:paraId="46A41B1A" w14:textId="736227E3"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4E580299" w14:textId="3A9E569A"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xml:space="preserve">Management </w:t>
            </w:r>
            <w:r>
              <w:rPr>
                <w:rFonts w:ascii="Calibri" w:eastAsia="Times New Roman" w:hAnsi="Calibri" w:cs="Calibri"/>
                <w:b/>
                <w:bCs/>
                <w:sz w:val="20"/>
                <w:szCs w:val="20"/>
                <w:lang w:eastAsia="en-AU"/>
              </w:rPr>
              <w:t>&amp;</w:t>
            </w:r>
            <w:r w:rsidRPr="00A028CE">
              <w:rPr>
                <w:rFonts w:ascii="Calibri" w:eastAsia="Times New Roman" w:hAnsi="Calibri" w:cs="Calibri"/>
                <w:b/>
                <w:bCs/>
                <w:sz w:val="20"/>
                <w:szCs w:val="20"/>
                <w:lang w:eastAsia="en-AU"/>
              </w:rPr>
              <w:t xml:space="preserve"> Commerce</w:t>
            </w:r>
          </w:p>
        </w:tc>
        <w:tc>
          <w:tcPr>
            <w:tcW w:w="1221" w:type="dxa"/>
            <w:tcBorders>
              <w:top w:val="nil"/>
              <w:left w:val="nil"/>
              <w:bottom w:val="single" w:sz="4" w:space="0" w:color="auto"/>
              <w:right w:val="single" w:sz="4" w:space="0" w:color="auto"/>
            </w:tcBorders>
            <w:shd w:val="clear" w:color="auto" w:fill="auto"/>
            <w:vAlign w:val="bottom"/>
            <w:hideMark/>
          </w:tcPr>
          <w:p w14:paraId="21688B04"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63,977 </w:t>
            </w:r>
          </w:p>
        </w:tc>
        <w:tc>
          <w:tcPr>
            <w:tcW w:w="1134" w:type="dxa"/>
            <w:tcBorders>
              <w:top w:val="nil"/>
              <w:left w:val="nil"/>
              <w:bottom w:val="single" w:sz="4" w:space="0" w:color="auto"/>
              <w:right w:val="single" w:sz="4" w:space="0" w:color="auto"/>
            </w:tcBorders>
            <w:shd w:val="clear" w:color="auto" w:fill="auto"/>
            <w:noWrap/>
            <w:vAlign w:val="bottom"/>
            <w:hideMark/>
          </w:tcPr>
          <w:p w14:paraId="42A9CD5A"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60,744</w:t>
            </w:r>
          </w:p>
        </w:tc>
        <w:tc>
          <w:tcPr>
            <w:tcW w:w="1134" w:type="dxa"/>
            <w:tcBorders>
              <w:top w:val="nil"/>
              <w:left w:val="nil"/>
              <w:bottom w:val="single" w:sz="4" w:space="0" w:color="auto"/>
              <w:right w:val="single" w:sz="4" w:space="0" w:color="auto"/>
            </w:tcBorders>
            <w:shd w:val="clear" w:color="auto" w:fill="auto"/>
            <w:noWrap/>
            <w:vAlign w:val="bottom"/>
            <w:hideMark/>
          </w:tcPr>
          <w:p w14:paraId="0737D8AE"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55,517</w:t>
            </w:r>
          </w:p>
        </w:tc>
        <w:tc>
          <w:tcPr>
            <w:tcW w:w="1190" w:type="dxa"/>
            <w:tcBorders>
              <w:top w:val="nil"/>
              <w:left w:val="nil"/>
              <w:bottom w:val="single" w:sz="4" w:space="0" w:color="auto"/>
              <w:right w:val="single" w:sz="4" w:space="0" w:color="auto"/>
            </w:tcBorders>
            <w:shd w:val="clear" w:color="auto" w:fill="auto"/>
            <w:noWrap/>
            <w:vAlign w:val="bottom"/>
            <w:hideMark/>
          </w:tcPr>
          <w:p w14:paraId="04803CAB"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-8.6%</w:t>
            </w:r>
          </w:p>
        </w:tc>
      </w:tr>
      <w:tr w:rsidR="00C43F97" w:rsidRPr="00A028CE" w14:paraId="692664EB" w14:textId="7C8C04E5"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20B08A04" w14:textId="6180E1C9"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xml:space="preserve">Society </w:t>
            </w:r>
            <w:r>
              <w:rPr>
                <w:rFonts w:ascii="Calibri" w:eastAsia="Times New Roman" w:hAnsi="Calibri" w:cs="Calibri"/>
                <w:b/>
                <w:bCs/>
                <w:sz w:val="20"/>
                <w:szCs w:val="20"/>
                <w:lang w:eastAsia="en-AU"/>
              </w:rPr>
              <w:t>&amp;</w:t>
            </w:r>
            <w:r w:rsidRPr="00A028CE">
              <w:rPr>
                <w:rFonts w:ascii="Calibri" w:eastAsia="Times New Roman" w:hAnsi="Calibri" w:cs="Calibri"/>
                <w:b/>
                <w:bCs/>
                <w:sz w:val="20"/>
                <w:szCs w:val="20"/>
                <w:lang w:eastAsia="en-AU"/>
              </w:rPr>
              <w:t xml:space="preserve"> Culture</w:t>
            </w:r>
          </w:p>
        </w:tc>
        <w:tc>
          <w:tcPr>
            <w:tcW w:w="1221" w:type="dxa"/>
            <w:tcBorders>
              <w:top w:val="nil"/>
              <w:left w:val="nil"/>
              <w:bottom w:val="single" w:sz="4" w:space="0" w:color="auto"/>
              <w:right w:val="single" w:sz="4" w:space="0" w:color="auto"/>
            </w:tcBorders>
            <w:shd w:val="clear" w:color="auto" w:fill="auto"/>
            <w:vAlign w:val="bottom"/>
            <w:hideMark/>
          </w:tcPr>
          <w:p w14:paraId="2FAB7F90"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109,084 </w:t>
            </w:r>
          </w:p>
        </w:tc>
        <w:tc>
          <w:tcPr>
            <w:tcW w:w="1134" w:type="dxa"/>
            <w:tcBorders>
              <w:top w:val="nil"/>
              <w:left w:val="nil"/>
              <w:bottom w:val="single" w:sz="4" w:space="0" w:color="auto"/>
              <w:right w:val="single" w:sz="4" w:space="0" w:color="auto"/>
            </w:tcBorders>
            <w:shd w:val="clear" w:color="auto" w:fill="auto"/>
            <w:noWrap/>
            <w:vAlign w:val="bottom"/>
            <w:hideMark/>
          </w:tcPr>
          <w:p w14:paraId="6149956C"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116,823</w:t>
            </w:r>
          </w:p>
        </w:tc>
        <w:tc>
          <w:tcPr>
            <w:tcW w:w="1134" w:type="dxa"/>
            <w:tcBorders>
              <w:top w:val="nil"/>
              <w:left w:val="nil"/>
              <w:bottom w:val="single" w:sz="4" w:space="0" w:color="auto"/>
              <w:right w:val="single" w:sz="4" w:space="0" w:color="auto"/>
            </w:tcBorders>
            <w:shd w:val="clear" w:color="auto" w:fill="auto"/>
            <w:noWrap/>
            <w:vAlign w:val="bottom"/>
            <w:hideMark/>
          </w:tcPr>
          <w:p w14:paraId="5EF62F77"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103,382</w:t>
            </w:r>
          </w:p>
        </w:tc>
        <w:tc>
          <w:tcPr>
            <w:tcW w:w="1190" w:type="dxa"/>
            <w:tcBorders>
              <w:top w:val="nil"/>
              <w:left w:val="nil"/>
              <w:bottom w:val="single" w:sz="4" w:space="0" w:color="auto"/>
              <w:right w:val="single" w:sz="4" w:space="0" w:color="auto"/>
            </w:tcBorders>
            <w:shd w:val="clear" w:color="auto" w:fill="auto"/>
            <w:noWrap/>
            <w:vAlign w:val="bottom"/>
            <w:hideMark/>
          </w:tcPr>
          <w:p w14:paraId="2587E344"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-11.5%</w:t>
            </w:r>
          </w:p>
        </w:tc>
      </w:tr>
      <w:tr w:rsidR="00C43F97" w:rsidRPr="00A028CE" w14:paraId="4150D1F8" w14:textId="6FB1EA59"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00FA7493"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Creative Arts</w:t>
            </w:r>
          </w:p>
        </w:tc>
        <w:tc>
          <w:tcPr>
            <w:tcW w:w="1221" w:type="dxa"/>
            <w:tcBorders>
              <w:top w:val="nil"/>
              <w:left w:val="nil"/>
              <w:bottom w:val="single" w:sz="4" w:space="0" w:color="auto"/>
              <w:right w:val="single" w:sz="4" w:space="0" w:color="auto"/>
            </w:tcBorders>
            <w:shd w:val="clear" w:color="auto" w:fill="auto"/>
            <w:vAlign w:val="bottom"/>
            <w:hideMark/>
          </w:tcPr>
          <w:p w14:paraId="2356DFC8"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31,827 </w:t>
            </w:r>
          </w:p>
        </w:tc>
        <w:tc>
          <w:tcPr>
            <w:tcW w:w="1134" w:type="dxa"/>
            <w:tcBorders>
              <w:top w:val="nil"/>
              <w:left w:val="nil"/>
              <w:bottom w:val="single" w:sz="4" w:space="0" w:color="auto"/>
              <w:right w:val="single" w:sz="4" w:space="0" w:color="auto"/>
            </w:tcBorders>
            <w:shd w:val="clear" w:color="auto" w:fill="auto"/>
            <w:noWrap/>
            <w:vAlign w:val="bottom"/>
            <w:hideMark/>
          </w:tcPr>
          <w:p w14:paraId="56D3ADDC"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29,959</w:t>
            </w:r>
          </w:p>
        </w:tc>
        <w:tc>
          <w:tcPr>
            <w:tcW w:w="1134" w:type="dxa"/>
            <w:tcBorders>
              <w:top w:val="nil"/>
              <w:left w:val="nil"/>
              <w:bottom w:val="single" w:sz="4" w:space="0" w:color="auto"/>
              <w:right w:val="single" w:sz="4" w:space="0" w:color="auto"/>
            </w:tcBorders>
            <w:shd w:val="clear" w:color="auto" w:fill="auto"/>
            <w:noWrap/>
            <w:vAlign w:val="bottom"/>
            <w:hideMark/>
          </w:tcPr>
          <w:p w14:paraId="11C1AABA"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26,002</w:t>
            </w:r>
          </w:p>
        </w:tc>
        <w:tc>
          <w:tcPr>
            <w:tcW w:w="1190" w:type="dxa"/>
            <w:tcBorders>
              <w:top w:val="nil"/>
              <w:left w:val="nil"/>
              <w:bottom w:val="single" w:sz="4" w:space="0" w:color="auto"/>
              <w:right w:val="single" w:sz="4" w:space="0" w:color="auto"/>
            </w:tcBorders>
            <w:shd w:val="clear" w:color="auto" w:fill="auto"/>
            <w:noWrap/>
            <w:vAlign w:val="bottom"/>
            <w:hideMark/>
          </w:tcPr>
          <w:p w14:paraId="4DBF5C9D"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-13.2%</w:t>
            </w:r>
          </w:p>
        </w:tc>
      </w:tr>
      <w:tr w:rsidR="00C43F97" w:rsidRPr="00A028CE" w14:paraId="5512F47E" w14:textId="06D4CE41"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5493F640" w14:textId="6346A36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 xml:space="preserve">Food, Hospitality </w:t>
            </w:r>
            <w:r>
              <w:rPr>
                <w:rFonts w:ascii="Calibri" w:eastAsia="Times New Roman" w:hAnsi="Calibri" w:cs="Calibri"/>
                <w:b/>
                <w:bCs/>
                <w:sz w:val="20"/>
                <w:szCs w:val="20"/>
                <w:lang w:eastAsia="en-AU"/>
              </w:rPr>
              <w:t>&amp;</w:t>
            </w:r>
            <w:r w:rsidRPr="00A028CE">
              <w:rPr>
                <w:rFonts w:ascii="Calibri" w:eastAsia="Times New Roman" w:hAnsi="Calibri" w:cs="Calibri"/>
                <w:b/>
                <w:bCs/>
                <w:sz w:val="20"/>
                <w:szCs w:val="20"/>
                <w:lang w:eastAsia="en-AU"/>
              </w:rPr>
              <w:t xml:space="preserve"> Personal Services</w:t>
            </w:r>
          </w:p>
        </w:tc>
        <w:tc>
          <w:tcPr>
            <w:tcW w:w="1221" w:type="dxa"/>
            <w:tcBorders>
              <w:top w:val="nil"/>
              <w:left w:val="nil"/>
              <w:bottom w:val="single" w:sz="4" w:space="0" w:color="auto"/>
              <w:right w:val="single" w:sz="4" w:space="0" w:color="auto"/>
            </w:tcBorders>
            <w:shd w:val="clear" w:color="auto" w:fill="auto"/>
            <w:vAlign w:val="bottom"/>
            <w:hideMark/>
          </w:tcPr>
          <w:p w14:paraId="4B5AE950"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1,899 </w:t>
            </w:r>
          </w:p>
        </w:tc>
        <w:tc>
          <w:tcPr>
            <w:tcW w:w="1134" w:type="dxa"/>
            <w:tcBorders>
              <w:top w:val="nil"/>
              <w:left w:val="nil"/>
              <w:bottom w:val="single" w:sz="4" w:space="0" w:color="auto"/>
              <w:right w:val="single" w:sz="4" w:space="0" w:color="auto"/>
            </w:tcBorders>
            <w:shd w:val="clear" w:color="auto" w:fill="auto"/>
            <w:noWrap/>
            <w:vAlign w:val="bottom"/>
            <w:hideMark/>
          </w:tcPr>
          <w:p w14:paraId="79B589C3"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78</w:t>
            </w:r>
          </w:p>
        </w:tc>
        <w:tc>
          <w:tcPr>
            <w:tcW w:w="1134" w:type="dxa"/>
            <w:tcBorders>
              <w:top w:val="nil"/>
              <w:left w:val="nil"/>
              <w:bottom w:val="single" w:sz="4" w:space="0" w:color="auto"/>
              <w:right w:val="single" w:sz="4" w:space="0" w:color="auto"/>
            </w:tcBorders>
            <w:shd w:val="clear" w:color="auto" w:fill="auto"/>
            <w:noWrap/>
            <w:vAlign w:val="bottom"/>
            <w:hideMark/>
          </w:tcPr>
          <w:p w14:paraId="4472E6AA"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73</w:t>
            </w:r>
          </w:p>
        </w:tc>
        <w:tc>
          <w:tcPr>
            <w:tcW w:w="1190" w:type="dxa"/>
            <w:tcBorders>
              <w:top w:val="nil"/>
              <w:left w:val="nil"/>
              <w:bottom w:val="single" w:sz="4" w:space="0" w:color="auto"/>
              <w:right w:val="single" w:sz="4" w:space="0" w:color="auto"/>
            </w:tcBorders>
            <w:shd w:val="clear" w:color="auto" w:fill="auto"/>
            <w:noWrap/>
            <w:vAlign w:val="bottom"/>
            <w:hideMark/>
          </w:tcPr>
          <w:p w14:paraId="0707E619"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-6.4%</w:t>
            </w:r>
          </w:p>
        </w:tc>
      </w:tr>
      <w:tr w:rsidR="00C43F97" w:rsidRPr="00A028CE" w14:paraId="41662D16" w14:textId="668CBB7D"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533A7471"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Mixed Field Programmes</w:t>
            </w:r>
          </w:p>
        </w:tc>
        <w:tc>
          <w:tcPr>
            <w:tcW w:w="1221" w:type="dxa"/>
            <w:tcBorders>
              <w:top w:val="nil"/>
              <w:left w:val="nil"/>
              <w:bottom w:val="single" w:sz="4" w:space="0" w:color="auto"/>
              <w:right w:val="single" w:sz="4" w:space="0" w:color="auto"/>
            </w:tcBorders>
            <w:shd w:val="clear" w:color="auto" w:fill="auto"/>
            <w:vAlign w:val="bottom"/>
            <w:hideMark/>
          </w:tcPr>
          <w:p w14:paraId="0491F7C2"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8,956 </w:t>
            </w:r>
          </w:p>
        </w:tc>
        <w:tc>
          <w:tcPr>
            <w:tcW w:w="1134" w:type="dxa"/>
            <w:tcBorders>
              <w:top w:val="nil"/>
              <w:left w:val="nil"/>
              <w:bottom w:val="single" w:sz="4" w:space="0" w:color="auto"/>
              <w:right w:val="single" w:sz="4" w:space="0" w:color="auto"/>
            </w:tcBorders>
            <w:shd w:val="clear" w:color="auto" w:fill="auto"/>
            <w:noWrap/>
            <w:vAlign w:val="bottom"/>
            <w:hideMark/>
          </w:tcPr>
          <w:p w14:paraId="6EDA85BF"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7,732</w:t>
            </w:r>
          </w:p>
        </w:tc>
        <w:tc>
          <w:tcPr>
            <w:tcW w:w="1134" w:type="dxa"/>
            <w:tcBorders>
              <w:top w:val="nil"/>
              <w:left w:val="nil"/>
              <w:bottom w:val="single" w:sz="4" w:space="0" w:color="auto"/>
              <w:right w:val="single" w:sz="4" w:space="0" w:color="auto"/>
            </w:tcBorders>
            <w:shd w:val="clear" w:color="auto" w:fill="auto"/>
            <w:noWrap/>
            <w:vAlign w:val="bottom"/>
            <w:hideMark/>
          </w:tcPr>
          <w:p w14:paraId="5049DA09"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6,235</w:t>
            </w:r>
          </w:p>
        </w:tc>
        <w:tc>
          <w:tcPr>
            <w:tcW w:w="1190" w:type="dxa"/>
            <w:tcBorders>
              <w:top w:val="nil"/>
              <w:left w:val="nil"/>
              <w:bottom w:val="single" w:sz="4" w:space="0" w:color="auto"/>
              <w:right w:val="single" w:sz="4" w:space="0" w:color="auto"/>
            </w:tcBorders>
            <w:shd w:val="clear" w:color="auto" w:fill="auto"/>
            <w:noWrap/>
            <w:vAlign w:val="bottom"/>
            <w:hideMark/>
          </w:tcPr>
          <w:p w14:paraId="3C3E699B"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-19.4%</w:t>
            </w:r>
          </w:p>
        </w:tc>
      </w:tr>
      <w:tr w:rsidR="00C43F97" w:rsidRPr="00A028CE" w14:paraId="2DEEA417" w14:textId="7B559AAC"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07DC6D4D" w14:textId="77777777" w:rsidR="00C43F97" w:rsidRPr="00A028CE" w:rsidRDefault="00C43F97" w:rsidP="001D11C5">
            <w:pPr>
              <w:spacing w:after="0" w:line="240" w:lineRule="auto"/>
              <w:rPr>
                <w:rFonts w:ascii="Calibri" w:eastAsia="Times New Roman" w:hAnsi="Calibri" w:cs="Calibri"/>
                <w:b/>
                <w:bCs/>
                <w:sz w:val="20"/>
                <w:szCs w:val="20"/>
                <w:lang w:eastAsia="en-AU"/>
              </w:rPr>
            </w:pPr>
            <w:r w:rsidRPr="00A028CE">
              <w:rPr>
                <w:rFonts w:ascii="Calibri" w:eastAsia="Times New Roman" w:hAnsi="Calibri" w:cs="Calibri"/>
                <w:b/>
                <w:bCs/>
                <w:sz w:val="20"/>
                <w:szCs w:val="20"/>
                <w:lang w:eastAsia="en-AU"/>
              </w:rPr>
              <w:t>Non-award courses</w:t>
            </w:r>
          </w:p>
        </w:tc>
        <w:tc>
          <w:tcPr>
            <w:tcW w:w="1221" w:type="dxa"/>
            <w:tcBorders>
              <w:top w:val="nil"/>
              <w:left w:val="nil"/>
              <w:bottom w:val="single" w:sz="4" w:space="0" w:color="auto"/>
              <w:right w:val="single" w:sz="4" w:space="0" w:color="auto"/>
            </w:tcBorders>
            <w:shd w:val="clear" w:color="auto" w:fill="auto"/>
            <w:vAlign w:val="bottom"/>
            <w:hideMark/>
          </w:tcPr>
          <w:p w14:paraId="2E59E150"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5,943 </w:t>
            </w:r>
          </w:p>
        </w:tc>
        <w:tc>
          <w:tcPr>
            <w:tcW w:w="1134" w:type="dxa"/>
            <w:tcBorders>
              <w:top w:val="nil"/>
              <w:left w:val="nil"/>
              <w:bottom w:val="single" w:sz="4" w:space="0" w:color="auto"/>
              <w:right w:val="single" w:sz="4" w:space="0" w:color="auto"/>
            </w:tcBorders>
            <w:shd w:val="clear" w:color="auto" w:fill="auto"/>
            <w:noWrap/>
            <w:vAlign w:val="bottom"/>
            <w:hideMark/>
          </w:tcPr>
          <w:p w14:paraId="492598B2"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6,238</w:t>
            </w:r>
          </w:p>
        </w:tc>
        <w:tc>
          <w:tcPr>
            <w:tcW w:w="1134" w:type="dxa"/>
            <w:tcBorders>
              <w:top w:val="nil"/>
              <w:left w:val="nil"/>
              <w:bottom w:val="single" w:sz="4" w:space="0" w:color="auto"/>
              <w:right w:val="single" w:sz="4" w:space="0" w:color="auto"/>
            </w:tcBorders>
            <w:shd w:val="clear" w:color="auto" w:fill="auto"/>
            <w:noWrap/>
            <w:vAlign w:val="bottom"/>
            <w:hideMark/>
          </w:tcPr>
          <w:p w14:paraId="425FCE50"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5,665</w:t>
            </w:r>
          </w:p>
        </w:tc>
        <w:tc>
          <w:tcPr>
            <w:tcW w:w="1190" w:type="dxa"/>
            <w:tcBorders>
              <w:top w:val="nil"/>
              <w:left w:val="nil"/>
              <w:bottom w:val="single" w:sz="4" w:space="0" w:color="auto"/>
              <w:right w:val="single" w:sz="4" w:space="0" w:color="auto"/>
            </w:tcBorders>
            <w:shd w:val="clear" w:color="auto" w:fill="auto"/>
            <w:noWrap/>
            <w:vAlign w:val="bottom"/>
            <w:hideMark/>
          </w:tcPr>
          <w:p w14:paraId="707AB13F"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-9.2%</w:t>
            </w:r>
          </w:p>
        </w:tc>
      </w:tr>
      <w:tr w:rsidR="00C43F97" w:rsidRPr="00A028CE" w14:paraId="51AF3CC9" w14:textId="4792BDAF" w:rsidTr="00C43F97">
        <w:trPr>
          <w:trHeight w:val="315"/>
        </w:trPr>
        <w:tc>
          <w:tcPr>
            <w:tcW w:w="4019" w:type="dxa"/>
            <w:tcBorders>
              <w:top w:val="nil"/>
              <w:left w:val="single" w:sz="4" w:space="0" w:color="auto"/>
              <w:bottom w:val="single" w:sz="4" w:space="0" w:color="auto"/>
              <w:right w:val="single" w:sz="4" w:space="0" w:color="auto"/>
            </w:tcBorders>
            <w:shd w:val="clear" w:color="auto" w:fill="auto"/>
            <w:hideMark/>
          </w:tcPr>
          <w:p w14:paraId="3719D6E7" w14:textId="6D40238A" w:rsidR="00C43F97" w:rsidRPr="00A028CE" w:rsidRDefault="00C43F97" w:rsidP="001D11C5">
            <w:pPr>
              <w:spacing w:after="0" w:line="240" w:lineRule="auto"/>
              <w:rPr>
                <w:rFonts w:ascii="Calibri" w:eastAsia="Times New Roman" w:hAnsi="Calibri" w:cs="Calibri"/>
                <w:b/>
                <w:bCs/>
                <w:sz w:val="20"/>
                <w:szCs w:val="20"/>
                <w:lang w:eastAsia="en-AU"/>
              </w:rPr>
            </w:pPr>
            <w:r>
              <w:rPr>
                <w:rFonts w:ascii="Calibri" w:eastAsia="Times New Roman" w:hAnsi="Calibri" w:cs="Calibri"/>
                <w:b/>
                <w:bCs/>
                <w:sz w:val="20"/>
                <w:szCs w:val="20"/>
                <w:lang w:eastAsia="en-AU"/>
              </w:rPr>
              <w:t xml:space="preserve">TOTAL - </w:t>
            </w:r>
            <w:r w:rsidRPr="00A028CE">
              <w:rPr>
                <w:rFonts w:ascii="Calibri" w:eastAsia="Times New Roman" w:hAnsi="Calibri" w:cs="Calibri"/>
                <w:b/>
                <w:bCs/>
                <w:sz w:val="20"/>
                <w:szCs w:val="20"/>
                <w:lang w:eastAsia="en-AU"/>
              </w:rPr>
              <w:t>All Commencing Domestic Students</w:t>
            </w:r>
          </w:p>
        </w:tc>
        <w:tc>
          <w:tcPr>
            <w:tcW w:w="1221" w:type="dxa"/>
            <w:tcBorders>
              <w:top w:val="nil"/>
              <w:left w:val="nil"/>
              <w:bottom w:val="single" w:sz="4" w:space="0" w:color="auto"/>
              <w:right w:val="single" w:sz="4" w:space="0" w:color="auto"/>
            </w:tcBorders>
            <w:shd w:val="clear" w:color="auto" w:fill="auto"/>
            <w:vAlign w:val="bottom"/>
            <w:hideMark/>
          </w:tcPr>
          <w:p w14:paraId="75563FDF" w14:textId="77777777" w:rsidR="00C43F97" w:rsidRPr="00A028CE" w:rsidRDefault="00C43F97" w:rsidP="001D11C5">
            <w:pPr>
              <w:spacing w:after="0" w:line="240" w:lineRule="auto"/>
              <w:jc w:val="right"/>
              <w:rPr>
                <w:rFonts w:ascii="Calibri" w:eastAsia="Times New Roman" w:hAnsi="Calibri" w:cs="Calibri"/>
                <w:sz w:val="20"/>
                <w:szCs w:val="20"/>
                <w:lang w:eastAsia="en-AU"/>
              </w:rPr>
            </w:pPr>
            <w:r w:rsidRPr="00A028CE">
              <w:rPr>
                <w:rFonts w:ascii="Calibri" w:eastAsia="Times New Roman" w:hAnsi="Calibri" w:cs="Calibri"/>
                <w:sz w:val="20"/>
                <w:szCs w:val="20"/>
                <w:lang w:eastAsia="en-AU"/>
              </w:rPr>
              <w:t xml:space="preserve">       409,370 </w:t>
            </w:r>
          </w:p>
        </w:tc>
        <w:tc>
          <w:tcPr>
            <w:tcW w:w="1134" w:type="dxa"/>
            <w:tcBorders>
              <w:top w:val="nil"/>
              <w:left w:val="nil"/>
              <w:bottom w:val="single" w:sz="4" w:space="0" w:color="auto"/>
              <w:right w:val="single" w:sz="4" w:space="0" w:color="auto"/>
            </w:tcBorders>
            <w:shd w:val="clear" w:color="auto" w:fill="auto"/>
            <w:noWrap/>
            <w:vAlign w:val="bottom"/>
            <w:hideMark/>
          </w:tcPr>
          <w:p w14:paraId="08DD33B1"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446,836</w:t>
            </w:r>
          </w:p>
        </w:tc>
        <w:tc>
          <w:tcPr>
            <w:tcW w:w="1134" w:type="dxa"/>
            <w:tcBorders>
              <w:top w:val="nil"/>
              <w:left w:val="nil"/>
              <w:bottom w:val="single" w:sz="4" w:space="0" w:color="auto"/>
              <w:right w:val="single" w:sz="4" w:space="0" w:color="auto"/>
            </w:tcBorders>
            <w:shd w:val="clear" w:color="auto" w:fill="auto"/>
            <w:noWrap/>
            <w:vAlign w:val="bottom"/>
            <w:hideMark/>
          </w:tcPr>
          <w:p w14:paraId="2914D383"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400,341</w:t>
            </w:r>
          </w:p>
        </w:tc>
        <w:tc>
          <w:tcPr>
            <w:tcW w:w="1190" w:type="dxa"/>
            <w:tcBorders>
              <w:top w:val="nil"/>
              <w:left w:val="nil"/>
              <w:bottom w:val="single" w:sz="4" w:space="0" w:color="auto"/>
              <w:right w:val="single" w:sz="4" w:space="0" w:color="auto"/>
            </w:tcBorders>
            <w:shd w:val="clear" w:color="auto" w:fill="auto"/>
            <w:noWrap/>
            <w:vAlign w:val="bottom"/>
            <w:hideMark/>
          </w:tcPr>
          <w:p w14:paraId="1F0303A3" w14:textId="77777777" w:rsidR="00C43F97" w:rsidRPr="00A028CE" w:rsidRDefault="00C43F97" w:rsidP="001D11C5">
            <w:pPr>
              <w:spacing w:after="0" w:line="240" w:lineRule="auto"/>
              <w:jc w:val="right"/>
              <w:rPr>
                <w:rFonts w:ascii="Calibri" w:eastAsia="Times New Roman" w:hAnsi="Calibri" w:cs="Calibri"/>
                <w:color w:val="000000"/>
                <w:sz w:val="20"/>
                <w:szCs w:val="20"/>
                <w:lang w:eastAsia="en-AU"/>
              </w:rPr>
            </w:pPr>
            <w:r w:rsidRPr="00A028CE">
              <w:rPr>
                <w:rFonts w:ascii="Calibri" w:eastAsia="Times New Roman" w:hAnsi="Calibri" w:cs="Calibri"/>
                <w:color w:val="000000"/>
                <w:sz w:val="20"/>
                <w:szCs w:val="20"/>
                <w:lang w:eastAsia="en-AU"/>
              </w:rPr>
              <w:t>-10.4%</w:t>
            </w:r>
          </w:p>
        </w:tc>
      </w:tr>
    </w:tbl>
    <w:p w14:paraId="1C0A1980" w14:textId="5832D856" w:rsidR="00CA1D9D" w:rsidRPr="00530F57" w:rsidRDefault="00CC3053" w:rsidP="00A028CE">
      <w:pPr>
        <w:rPr>
          <w:rFonts w:cstheme="minorHAnsi"/>
        </w:rPr>
      </w:pPr>
      <w:r>
        <w:rPr>
          <w:rFonts w:cstheme="minorHAnsi"/>
        </w:rPr>
        <w:t>[</w:t>
      </w:r>
      <w:r w:rsidR="00B70EBB">
        <w:rPr>
          <w:rFonts w:cstheme="minorHAnsi"/>
        </w:rPr>
        <w:t>Extended d</w:t>
      </w:r>
      <w:r w:rsidR="00CA1D9D" w:rsidRPr="00530F57">
        <w:rPr>
          <w:rFonts w:cstheme="minorHAnsi"/>
        </w:rPr>
        <w:t xml:space="preserve">ata can be found in </w:t>
      </w:r>
      <w:r w:rsidR="001879BF">
        <w:rPr>
          <w:rFonts w:cstheme="minorHAnsi"/>
        </w:rPr>
        <w:t>the</w:t>
      </w:r>
      <w:r w:rsidR="00FD74E7">
        <w:rPr>
          <w:rFonts w:cstheme="minorHAnsi"/>
        </w:rPr>
        <w:t xml:space="preserve"> </w:t>
      </w:r>
      <w:hyperlink r:id="rId20" w:history="1">
        <w:r w:rsidR="00FD74E7" w:rsidRPr="00FD74E7">
          <w:rPr>
            <w:rStyle w:val="Hyperlink"/>
            <w:rFonts w:cstheme="minorHAnsi"/>
          </w:rPr>
          <w:t>2022 student summary time series</w:t>
        </w:r>
      </w:hyperlink>
      <w:r w:rsidR="00CA1D9D" w:rsidRPr="00530F57">
        <w:rPr>
          <w:rFonts w:cstheme="minorHAnsi"/>
        </w:rPr>
        <w:t>]</w:t>
      </w:r>
    </w:p>
    <w:p w14:paraId="51F6F653" w14:textId="1B467732" w:rsidR="00CA1D9D" w:rsidRDefault="005F40D0" w:rsidP="00CA1D9D">
      <w:pPr>
        <w:pStyle w:val="ListParagraph"/>
        <w:numPr>
          <w:ilvl w:val="0"/>
          <w:numId w:val="21"/>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In line</w:t>
      </w:r>
      <w:r w:rsidR="00BB7F3B">
        <w:rPr>
          <w:rFonts w:asciiTheme="minorHAnsi" w:eastAsia="Times New Roman" w:hAnsiTheme="minorHAnsi" w:cstheme="minorHAnsi"/>
        </w:rPr>
        <w:t xml:space="preserve"> with</w:t>
      </w:r>
      <w:r w:rsidR="005B0C97">
        <w:rPr>
          <w:rFonts w:asciiTheme="minorHAnsi" w:eastAsia="Times New Roman" w:hAnsiTheme="minorHAnsi" w:cstheme="minorHAnsi"/>
        </w:rPr>
        <w:t xml:space="preserve"> the overall trend</w:t>
      </w:r>
      <w:r w:rsidR="00BB7F3B">
        <w:rPr>
          <w:rFonts w:asciiTheme="minorHAnsi" w:eastAsia="Times New Roman" w:hAnsiTheme="minorHAnsi" w:cstheme="minorHAnsi"/>
        </w:rPr>
        <w:t xml:space="preserve"> for domestic students</w:t>
      </w:r>
      <w:r w:rsidR="005B0C97">
        <w:rPr>
          <w:rFonts w:asciiTheme="minorHAnsi" w:eastAsia="Times New Roman" w:hAnsiTheme="minorHAnsi" w:cstheme="minorHAnsi"/>
        </w:rPr>
        <w:t>, t</w:t>
      </w:r>
      <w:r w:rsidR="00CA1D9D">
        <w:rPr>
          <w:rFonts w:asciiTheme="minorHAnsi" w:eastAsia="Times New Roman" w:hAnsiTheme="minorHAnsi" w:cstheme="minorHAnsi"/>
        </w:rPr>
        <w:t>here were decreases in all fields of education for commencing domestic students from 2021 to 2022.</w:t>
      </w:r>
    </w:p>
    <w:p w14:paraId="342141EF" w14:textId="1065A2B9" w:rsidR="00BB7F3B" w:rsidRPr="00BB7F3B" w:rsidRDefault="00BB7F3B" w:rsidP="005F40D0">
      <w:pPr>
        <w:pStyle w:val="ListParagraph"/>
        <w:numPr>
          <w:ilvl w:val="0"/>
          <w:numId w:val="21"/>
        </w:numPr>
        <w:spacing w:after="0" w:line="240" w:lineRule="auto"/>
        <w:contextualSpacing w:val="0"/>
        <w:rPr>
          <w:rFonts w:asciiTheme="minorHAnsi" w:eastAsia="Times New Roman" w:hAnsiTheme="minorHAnsi" w:cstheme="minorHAnsi"/>
        </w:rPr>
      </w:pPr>
      <w:r w:rsidRPr="005F40D0">
        <w:rPr>
          <w:rFonts w:asciiTheme="minorHAnsi" w:hAnsiTheme="minorHAnsi" w:cstheme="minorHAnsi"/>
          <w:szCs w:val="24"/>
        </w:rPr>
        <w:t>Over the longer term, enrolments of commencing domestic students in Information Technology have increased 26.2 per cent since 2018</w:t>
      </w:r>
      <w:r>
        <w:rPr>
          <w:rFonts w:asciiTheme="minorHAnsi" w:hAnsiTheme="minorHAnsi" w:cstheme="minorHAnsi"/>
          <w:szCs w:val="24"/>
        </w:rPr>
        <w:t>.</w:t>
      </w:r>
    </w:p>
    <w:p w14:paraId="5A0B1538" w14:textId="48F82E6E" w:rsidR="005B0C97" w:rsidRDefault="00BD523F" w:rsidP="00B70EBB">
      <w:pPr>
        <w:pStyle w:val="ListParagraph"/>
        <w:numPr>
          <w:ilvl w:val="0"/>
          <w:numId w:val="21"/>
        </w:numPr>
        <w:spacing w:after="0" w:line="240" w:lineRule="auto"/>
        <w:contextualSpacing w:val="0"/>
        <w:rPr>
          <w:color w:val="000000" w:themeColor="text1"/>
        </w:rPr>
      </w:pPr>
      <w:r>
        <w:rPr>
          <w:rFonts w:asciiTheme="minorHAnsi" w:eastAsia="Times New Roman" w:hAnsiTheme="minorHAnsi" w:cstheme="minorHAnsi"/>
        </w:rPr>
        <w:t>Commencing d</w:t>
      </w:r>
      <w:r w:rsidR="00CA1D9D" w:rsidRPr="00B70EBB">
        <w:rPr>
          <w:rFonts w:asciiTheme="minorHAnsi" w:eastAsia="Times New Roman" w:hAnsiTheme="minorHAnsi" w:cstheme="minorHAnsi"/>
        </w:rPr>
        <w:t xml:space="preserve">omestic students decreased in </w:t>
      </w:r>
      <w:r w:rsidR="00B70EBB" w:rsidRPr="00B70EBB">
        <w:rPr>
          <w:rFonts w:asciiTheme="minorHAnsi" w:eastAsia="Times New Roman" w:hAnsiTheme="minorHAnsi" w:cstheme="minorHAnsi"/>
        </w:rPr>
        <w:t>Nursing and Initial Teacher Education</w:t>
      </w:r>
      <w:r w:rsidR="00CC6666">
        <w:rPr>
          <w:rFonts w:asciiTheme="minorHAnsi" w:eastAsia="Times New Roman" w:hAnsiTheme="minorHAnsi" w:cstheme="minorHAnsi"/>
        </w:rPr>
        <w:t xml:space="preserve"> courses</w:t>
      </w:r>
      <w:r w:rsidR="00B70EBB" w:rsidRPr="00B70EBB">
        <w:rPr>
          <w:rFonts w:asciiTheme="minorHAnsi" w:eastAsia="Times New Roman" w:hAnsiTheme="minorHAnsi" w:cstheme="minorHAnsi"/>
        </w:rPr>
        <w:t>.</w:t>
      </w:r>
      <w:r w:rsidR="00B70EBB">
        <w:rPr>
          <w:rFonts w:asciiTheme="minorHAnsi" w:eastAsia="Times New Roman" w:hAnsiTheme="minorHAnsi" w:cstheme="minorHAnsi"/>
        </w:rPr>
        <w:t xml:space="preserve"> </w:t>
      </w:r>
    </w:p>
    <w:p w14:paraId="372EEDE2" w14:textId="77777777" w:rsidR="005B0C97" w:rsidRPr="00B84ACE" w:rsidRDefault="005B0C97" w:rsidP="005F40D0">
      <w:pPr>
        <w:pStyle w:val="ListParagraph"/>
        <w:spacing w:after="0" w:line="240" w:lineRule="auto"/>
        <w:ind w:left="1440"/>
        <w:contextualSpacing w:val="0"/>
        <w:rPr>
          <w:rFonts w:asciiTheme="minorHAnsi" w:eastAsia="Times New Roman" w:hAnsiTheme="minorHAnsi" w:cstheme="minorHAnsi"/>
        </w:rPr>
      </w:pPr>
    </w:p>
    <w:p w14:paraId="666AEBB3" w14:textId="77777777" w:rsidR="00CA1D9D" w:rsidRDefault="00CA1D9D" w:rsidP="00CA1D9D"/>
    <w:p w14:paraId="563E7406" w14:textId="77777777" w:rsidR="00F0052D" w:rsidRDefault="00F0052D" w:rsidP="00CA1D9D"/>
    <w:p w14:paraId="72B0E19A" w14:textId="77777777" w:rsidR="00D764F7" w:rsidRDefault="00D764F7" w:rsidP="00CA1D9D"/>
    <w:p w14:paraId="2EE124D2" w14:textId="7CBC1DC8" w:rsidR="00CA1D9D" w:rsidRDefault="00CA1D9D" w:rsidP="00CA1D9D">
      <w:pPr>
        <w:pStyle w:val="Heading3"/>
      </w:pPr>
      <w:bookmarkStart w:id="7" w:name="_Toc152149411"/>
      <w:r>
        <w:lastRenderedPageBreak/>
        <w:t>Enrolments of First Nations students fall for the first time</w:t>
      </w:r>
      <w:r w:rsidR="00D7426E">
        <w:t xml:space="preserve"> in </w:t>
      </w:r>
      <w:proofErr w:type="gramStart"/>
      <w:r w:rsidR="00D7426E">
        <w:t>2022</w:t>
      </w:r>
      <w:bookmarkEnd w:id="7"/>
      <w:proofErr w:type="gramEnd"/>
    </w:p>
    <w:p w14:paraId="0E4E4A42" w14:textId="359392FF" w:rsidR="00CA1D9D" w:rsidRDefault="00CA1D9D" w:rsidP="00CA1D9D">
      <w:pPr>
        <w:rPr>
          <w:rFonts w:cstheme="minorHAnsi"/>
        </w:rPr>
      </w:pPr>
      <w:r>
        <w:rPr>
          <w:rFonts w:cstheme="minorHAnsi"/>
        </w:rPr>
        <w:t xml:space="preserve">Figure </w:t>
      </w:r>
      <w:r w:rsidR="00F0052D">
        <w:rPr>
          <w:rFonts w:cstheme="minorHAnsi"/>
        </w:rPr>
        <w:t>5</w:t>
      </w:r>
      <w:r>
        <w:rPr>
          <w:rFonts w:cstheme="minorHAnsi"/>
        </w:rPr>
        <w:t xml:space="preserve">: All </w:t>
      </w:r>
      <w:r w:rsidR="00164D58">
        <w:rPr>
          <w:rFonts w:cstheme="minorHAnsi"/>
        </w:rPr>
        <w:t xml:space="preserve">commencing onshore </w:t>
      </w:r>
      <w:r>
        <w:rPr>
          <w:rFonts w:cstheme="minorHAnsi"/>
        </w:rPr>
        <w:t>domestic students by equity group</w:t>
      </w:r>
      <w:r w:rsidR="00282E45">
        <w:rPr>
          <w:rStyle w:val="FootnoteReference"/>
          <w:rFonts w:cstheme="minorHAnsi"/>
        </w:rPr>
        <w:footnoteReference w:id="2"/>
      </w:r>
      <w:r>
        <w:rPr>
          <w:rFonts w:cstheme="minorHAnsi"/>
        </w:rPr>
        <w:t>, 2016 - 2022</w:t>
      </w:r>
      <w:r w:rsidR="00005FE6">
        <w:rPr>
          <w:rStyle w:val="FootnoteReference"/>
          <w:rFonts w:cstheme="minorHAnsi"/>
        </w:rPr>
        <w:footnoteReference w:id="3"/>
      </w:r>
    </w:p>
    <w:p w14:paraId="6C8381C4" w14:textId="77777777" w:rsidR="00CA1D9D" w:rsidRPr="00C20E76" w:rsidRDefault="00CA1D9D" w:rsidP="00CA1D9D">
      <w:pPr>
        <w:rPr>
          <w:rFonts w:cstheme="minorHAnsi"/>
        </w:rPr>
      </w:pPr>
      <w:r>
        <w:rPr>
          <w:noProof/>
          <w14:ligatures w14:val="standardContextual"/>
        </w:rPr>
        <w:drawing>
          <wp:inline distT="0" distB="0" distL="0" distR="0" wp14:anchorId="67BCFA77" wp14:editId="02232CCA">
            <wp:extent cx="6057900" cy="3810000"/>
            <wp:effectExtent l="0" t="0" r="0" b="0"/>
            <wp:docPr id="620956375" name="Chart 1">
              <a:extLst xmlns:a="http://schemas.openxmlformats.org/drawingml/2006/main">
                <a:ext uri="{FF2B5EF4-FFF2-40B4-BE49-F238E27FC236}">
                  <a16:creationId xmlns:a16="http://schemas.microsoft.com/office/drawing/2014/main" id="{C8A323F5-1478-59C9-38F9-418B898254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163A76" w14:textId="3F5A9F51" w:rsidR="00CA1D9D" w:rsidRDefault="00CA1D9D" w:rsidP="00CA1D9D">
      <w:pPr>
        <w:rPr>
          <w:rFonts w:cstheme="minorHAnsi"/>
        </w:rPr>
      </w:pPr>
      <w:r w:rsidRPr="00C20E76">
        <w:rPr>
          <w:rFonts w:cstheme="minorHAnsi"/>
        </w:rPr>
        <w:t>[Data can be found i</w:t>
      </w:r>
      <w:r w:rsidR="001879BF">
        <w:rPr>
          <w:rFonts w:cstheme="minorHAnsi"/>
        </w:rPr>
        <w:t xml:space="preserve">n the </w:t>
      </w:r>
      <w:hyperlink r:id="rId22" w:history="1">
        <w:r w:rsidR="001879BF" w:rsidRPr="001879BF">
          <w:rPr>
            <w:rStyle w:val="Hyperlink"/>
            <w:rFonts w:cstheme="minorHAnsi"/>
          </w:rPr>
          <w:t>202</w:t>
        </w:r>
        <w:r w:rsidR="005532D3">
          <w:rPr>
            <w:rStyle w:val="Hyperlink"/>
            <w:rFonts w:cstheme="minorHAnsi"/>
          </w:rPr>
          <w:t>2</w:t>
        </w:r>
        <w:r w:rsidR="001879BF" w:rsidRPr="001879BF">
          <w:rPr>
            <w:rStyle w:val="Hyperlink"/>
            <w:rFonts w:cstheme="minorHAnsi"/>
          </w:rPr>
          <w:t xml:space="preserve"> section 11 Equity groups</w:t>
        </w:r>
      </w:hyperlink>
      <w:r w:rsidRPr="00C20E76">
        <w:rPr>
          <w:rFonts w:cstheme="minorHAnsi"/>
        </w:rPr>
        <w:t>]</w:t>
      </w:r>
    </w:p>
    <w:p w14:paraId="38E723DB" w14:textId="629DEBF6" w:rsidR="00164D58" w:rsidRDefault="00164D58" w:rsidP="00CA1D9D">
      <w:pPr>
        <w:rPr>
          <w:rFonts w:cstheme="minorHAnsi"/>
        </w:rPr>
      </w:pPr>
      <w:r>
        <w:rPr>
          <w:rFonts w:cstheme="minorHAnsi"/>
        </w:rPr>
        <w:t>Table 5a Commencing onshore domestic students by Equity group, 2021-2022</w:t>
      </w:r>
    </w:p>
    <w:tbl>
      <w:tblPr>
        <w:tblW w:w="8359" w:type="dxa"/>
        <w:tblLook w:val="04A0" w:firstRow="1" w:lastRow="0" w:firstColumn="1" w:lastColumn="0" w:noHBand="0" w:noVBand="1"/>
      </w:tblPr>
      <w:tblGrid>
        <w:gridCol w:w="4106"/>
        <w:gridCol w:w="1418"/>
        <w:gridCol w:w="1417"/>
        <w:gridCol w:w="1418"/>
      </w:tblGrid>
      <w:tr w:rsidR="00C43F97" w:rsidRPr="00482DEB" w14:paraId="412CCA86" w14:textId="786E9D33" w:rsidTr="00C43F97">
        <w:trPr>
          <w:trHeight w:val="874"/>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E6E2" w14:textId="77777777" w:rsidR="00C43F97" w:rsidRPr="00482DEB" w:rsidRDefault="00C43F97" w:rsidP="001D11C5">
            <w:pPr>
              <w:spacing w:after="0" w:line="240" w:lineRule="auto"/>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FA925DF" w14:textId="77777777" w:rsidR="00C43F97" w:rsidRPr="00482DEB" w:rsidRDefault="00C43F97" w:rsidP="001D11C5">
            <w:pPr>
              <w:spacing w:after="0" w:line="240" w:lineRule="auto"/>
              <w:jc w:val="right"/>
              <w:rPr>
                <w:rFonts w:ascii="Calibri" w:eastAsia="Times New Roman" w:hAnsi="Calibri" w:cs="Calibri"/>
                <w:b/>
                <w:bCs/>
                <w:color w:val="000000"/>
                <w:sz w:val="20"/>
                <w:szCs w:val="20"/>
                <w:lang w:eastAsia="en-AU"/>
              </w:rPr>
            </w:pPr>
            <w:r w:rsidRPr="00482DEB">
              <w:rPr>
                <w:rFonts w:ascii="Calibri" w:eastAsia="Times New Roman" w:hAnsi="Calibri" w:cs="Calibri"/>
                <w:b/>
                <w:bCs/>
                <w:color w:val="000000"/>
                <w:sz w:val="20"/>
                <w:szCs w:val="20"/>
                <w:lang w:eastAsia="en-AU"/>
              </w:rPr>
              <w:t>2021</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1EB793" w14:textId="77777777" w:rsidR="00C43F97" w:rsidRPr="00482DEB" w:rsidRDefault="00C43F97" w:rsidP="001D11C5">
            <w:pPr>
              <w:spacing w:after="0" w:line="240" w:lineRule="auto"/>
              <w:jc w:val="right"/>
              <w:rPr>
                <w:rFonts w:ascii="Calibri" w:eastAsia="Times New Roman" w:hAnsi="Calibri" w:cs="Calibri"/>
                <w:b/>
                <w:bCs/>
                <w:color w:val="000000"/>
                <w:sz w:val="20"/>
                <w:szCs w:val="20"/>
                <w:lang w:eastAsia="en-AU"/>
              </w:rPr>
            </w:pPr>
            <w:r w:rsidRPr="00482DEB">
              <w:rPr>
                <w:rFonts w:ascii="Calibri" w:eastAsia="Times New Roman" w:hAnsi="Calibri" w:cs="Calibri"/>
                <w:b/>
                <w:bCs/>
                <w:color w:val="000000"/>
                <w:sz w:val="20"/>
                <w:szCs w:val="20"/>
                <w:lang w:eastAsia="en-AU"/>
              </w:rPr>
              <w:t>2022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755AE4" w14:textId="77777777" w:rsidR="00C43F97" w:rsidRPr="00482DEB" w:rsidRDefault="00C43F97" w:rsidP="001D11C5">
            <w:pPr>
              <w:spacing w:after="0" w:line="240" w:lineRule="auto"/>
              <w:jc w:val="right"/>
              <w:rPr>
                <w:rFonts w:ascii="Calibri" w:eastAsia="Times New Roman" w:hAnsi="Calibri" w:cs="Calibri"/>
                <w:b/>
                <w:bCs/>
                <w:color w:val="000000"/>
                <w:sz w:val="20"/>
                <w:szCs w:val="20"/>
                <w:lang w:eastAsia="en-AU"/>
              </w:rPr>
            </w:pPr>
            <w:r w:rsidRPr="00482DEB">
              <w:rPr>
                <w:rFonts w:ascii="Calibri" w:eastAsia="Times New Roman" w:hAnsi="Calibri" w:cs="Calibri"/>
                <w:b/>
                <w:bCs/>
                <w:color w:val="000000"/>
                <w:sz w:val="20"/>
                <w:szCs w:val="20"/>
                <w:lang w:eastAsia="en-AU"/>
              </w:rPr>
              <w:t>% change 2021 to 2022</w:t>
            </w:r>
          </w:p>
        </w:tc>
      </w:tr>
      <w:tr w:rsidR="00C43F97" w:rsidRPr="00482DEB" w14:paraId="6B88BB4D" w14:textId="048E0E7D" w:rsidTr="00C43F97">
        <w:trPr>
          <w:trHeight w:val="293"/>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6E624D85" w14:textId="77777777" w:rsidR="00C43F97" w:rsidRPr="00482DEB" w:rsidRDefault="00C43F97" w:rsidP="001D11C5">
            <w:pPr>
              <w:spacing w:after="0" w:line="240" w:lineRule="auto"/>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First Nations</w:t>
            </w:r>
          </w:p>
        </w:tc>
        <w:tc>
          <w:tcPr>
            <w:tcW w:w="1418" w:type="dxa"/>
            <w:tcBorders>
              <w:top w:val="nil"/>
              <w:left w:val="nil"/>
              <w:bottom w:val="single" w:sz="4" w:space="0" w:color="auto"/>
              <w:right w:val="single" w:sz="4" w:space="0" w:color="auto"/>
            </w:tcBorders>
            <w:shd w:val="clear" w:color="auto" w:fill="auto"/>
            <w:noWrap/>
            <w:vAlign w:val="bottom"/>
            <w:hideMark/>
          </w:tcPr>
          <w:p w14:paraId="4C44D529"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10,506</w:t>
            </w:r>
          </w:p>
        </w:tc>
        <w:tc>
          <w:tcPr>
            <w:tcW w:w="1417" w:type="dxa"/>
            <w:tcBorders>
              <w:top w:val="nil"/>
              <w:left w:val="nil"/>
              <w:bottom w:val="single" w:sz="4" w:space="0" w:color="auto"/>
              <w:right w:val="single" w:sz="4" w:space="0" w:color="auto"/>
            </w:tcBorders>
            <w:shd w:val="clear" w:color="auto" w:fill="auto"/>
            <w:noWrap/>
            <w:vAlign w:val="bottom"/>
            <w:hideMark/>
          </w:tcPr>
          <w:p w14:paraId="07B26AD4"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9,668</w:t>
            </w:r>
          </w:p>
        </w:tc>
        <w:tc>
          <w:tcPr>
            <w:tcW w:w="1418" w:type="dxa"/>
            <w:tcBorders>
              <w:top w:val="nil"/>
              <w:left w:val="nil"/>
              <w:bottom w:val="single" w:sz="4" w:space="0" w:color="auto"/>
              <w:right w:val="single" w:sz="4" w:space="0" w:color="auto"/>
            </w:tcBorders>
            <w:shd w:val="clear" w:color="auto" w:fill="auto"/>
            <w:noWrap/>
            <w:vAlign w:val="bottom"/>
          </w:tcPr>
          <w:p w14:paraId="62B8EDD4" w14:textId="7CD286FB"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color w:val="000000"/>
                <w:sz w:val="20"/>
                <w:szCs w:val="20"/>
              </w:rPr>
              <w:t>-8.0%</w:t>
            </w:r>
          </w:p>
        </w:tc>
      </w:tr>
      <w:tr w:rsidR="00C43F97" w:rsidRPr="00482DEB" w14:paraId="54764E35" w14:textId="0DBC1B0F" w:rsidTr="00C43F97">
        <w:trPr>
          <w:trHeight w:val="293"/>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77865847" w14:textId="77777777" w:rsidR="00C43F97" w:rsidRPr="00482DEB" w:rsidRDefault="00C43F97" w:rsidP="001D11C5">
            <w:pPr>
              <w:spacing w:after="0" w:line="240" w:lineRule="auto"/>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First Address Low SES by SA1 (SEIFA21)</w:t>
            </w:r>
          </w:p>
        </w:tc>
        <w:tc>
          <w:tcPr>
            <w:tcW w:w="1418" w:type="dxa"/>
            <w:tcBorders>
              <w:top w:val="nil"/>
              <w:left w:val="nil"/>
              <w:bottom w:val="single" w:sz="4" w:space="0" w:color="auto"/>
              <w:right w:val="single" w:sz="4" w:space="0" w:color="auto"/>
            </w:tcBorders>
            <w:shd w:val="clear" w:color="auto" w:fill="auto"/>
            <w:noWrap/>
            <w:vAlign w:val="bottom"/>
            <w:hideMark/>
          </w:tcPr>
          <w:p w14:paraId="77F59DCA"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75,876</w:t>
            </w:r>
          </w:p>
        </w:tc>
        <w:tc>
          <w:tcPr>
            <w:tcW w:w="1417" w:type="dxa"/>
            <w:tcBorders>
              <w:top w:val="nil"/>
              <w:left w:val="nil"/>
              <w:bottom w:val="single" w:sz="4" w:space="0" w:color="auto"/>
              <w:right w:val="single" w:sz="4" w:space="0" w:color="auto"/>
            </w:tcBorders>
            <w:shd w:val="clear" w:color="auto" w:fill="auto"/>
            <w:noWrap/>
            <w:vAlign w:val="bottom"/>
            <w:hideMark/>
          </w:tcPr>
          <w:p w14:paraId="24B35448"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67,018</w:t>
            </w:r>
          </w:p>
        </w:tc>
        <w:tc>
          <w:tcPr>
            <w:tcW w:w="1418" w:type="dxa"/>
            <w:tcBorders>
              <w:top w:val="nil"/>
              <w:left w:val="nil"/>
              <w:bottom w:val="single" w:sz="4" w:space="0" w:color="auto"/>
              <w:right w:val="single" w:sz="4" w:space="0" w:color="auto"/>
            </w:tcBorders>
            <w:shd w:val="clear" w:color="auto" w:fill="auto"/>
            <w:noWrap/>
            <w:vAlign w:val="bottom"/>
          </w:tcPr>
          <w:p w14:paraId="0EB5186A" w14:textId="33913535"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color w:val="000000"/>
                <w:sz w:val="20"/>
                <w:szCs w:val="20"/>
              </w:rPr>
              <w:t>-11.7%</w:t>
            </w:r>
          </w:p>
        </w:tc>
      </w:tr>
      <w:tr w:rsidR="00C43F97" w:rsidRPr="00482DEB" w14:paraId="46A20005" w14:textId="06C17A6A" w:rsidTr="00C43F97">
        <w:trPr>
          <w:trHeight w:val="293"/>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59A32DD4" w14:textId="77777777" w:rsidR="00C43F97" w:rsidRPr="00482DEB" w:rsidRDefault="00C43F97" w:rsidP="001D11C5">
            <w:pPr>
              <w:spacing w:after="0" w:line="240" w:lineRule="auto"/>
              <w:rPr>
                <w:rFonts w:ascii="Calibri" w:eastAsia="Times New Roman" w:hAnsi="Calibri" w:cs="Calibri"/>
                <w:sz w:val="20"/>
                <w:szCs w:val="20"/>
                <w:lang w:eastAsia="en-AU"/>
              </w:rPr>
            </w:pPr>
            <w:r w:rsidRPr="00482DEB">
              <w:rPr>
                <w:rFonts w:ascii="Calibri" w:eastAsia="Times New Roman" w:hAnsi="Calibri" w:cs="Calibri"/>
                <w:sz w:val="20"/>
                <w:szCs w:val="20"/>
                <w:lang w:eastAsia="en-AU"/>
              </w:rPr>
              <w:t>First Address Regional and Remote (ASGS21)</w:t>
            </w:r>
          </w:p>
        </w:tc>
        <w:tc>
          <w:tcPr>
            <w:tcW w:w="1418" w:type="dxa"/>
            <w:tcBorders>
              <w:top w:val="nil"/>
              <w:left w:val="nil"/>
              <w:bottom w:val="single" w:sz="4" w:space="0" w:color="auto"/>
              <w:right w:val="single" w:sz="4" w:space="0" w:color="auto"/>
            </w:tcBorders>
            <w:shd w:val="clear" w:color="auto" w:fill="auto"/>
            <w:noWrap/>
            <w:vAlign w:val="bottom"/>
            <w:hideMark/>
          </w:tcPr>
          <w:p w14:paraId="64221167"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87,351</w:t>
            </w:r>
          </w:p>
        </w:tc>
        <w:tc>
          <w:tcPr>
            <w:tcW w:w="1417" w:type="dxa"/>
            <w:tcBorders>
              <w:top w:val="nil"/>
              <w:left w:val="nil"/>
              <w:bottom w:val="single" w:sz="4" w:space="0" w:color="auto"/>
              <w:right w:val="single" w:sz="4" w:space="0" w:color="auto"/>
            </w:tcBorders>
            <w:shd w:val="clear" w:color="auto" w:fill="auto"/>
            <w:noWrap/>
            <w:vAlign w:val="bottom"/>
            <w:hideMark/>
          </w:tcPr>
          <w:p w14:paraId="0A029222"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80,285</w:t>
            </w:r>
          </w:p>
        </w:tc>
        <w:tc>
          <w:tcPr>
            <w:tcW w:w="1418" w:type="dxa"/>
            <w:tcBorders>
              <w:top w:val="nil"/>
              <w:left w:val="nil"/>
              <w:bottom w:val="single" w:sz="4" w:space="0" w:color="auto"/>
              <w:right w:val="single" w:sz="4" w:space="0" w:color="auto"/>
            </w:tcBorders>
            <w:shd w:val="clear" w:color="auto" w:fill="auto"/>
            <w:noWrap/>
            <w:vAlign w:val="bottom"/>
          </w:tcPr>
          <w:p w14:paraId="1FACE38B" w14:textId="64B30CFD"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color w:val="000000"/>
                <w:sz w:val="20"/>
                <w:szCs w:val="20"/>
              </w:rPr>
              <w:t>-8.1%</w:t>
            </w:r>
          </w:p>
        </w:tc>
      </w:tr>
      <w:tr w:rsidR="00C43F97" w:rsidRPr="00482DEB" w14:paraId="34698637" w14:textId="26663971" w:rsidTr="00C43F97">
        <w:trPr>
          <w:trHeight w:val="293"/>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FE7A651" w14:textId="77777777" w:rsidR="00C43F97" w:rsidRPr="00482DEB" w:rsidRDefault="00C43F97" w:rsidP="001D11C5">
            <w:pPr>
              <w:spacing w:after="0" w:line="240" w:lineRule="auto"/>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 xml:space="preserve">Non </w:t>
            </w:r>
            <w:proofErr w:type="gramStart"/>
            <w:r w:rsidRPr="00482DEB">
              <w:rPr>
                <w:rFonts w:ascii="Calibri" w:eastAsia="Times New Roman" w:hAnsi="Calibri" w:cs="Calibri"/>
                <w:color w:val="000000"/>
                <w:sz w:val="20"/>
                <w:szCs w:val="20"/>
                <w:lang w:eastAsia="en-AU"/>
              </w:rPr>
              <w:t>English speaking</w:t>
            </w:r>
            <w:proofErr w:type="gramEnd"/>
            <w:r w:rsidRPr="00482DEB">
              <w:rPr>
                <w:rFonts w:ascii="Calibri" w:eastAsia="Times New Roman" w:hAnsi="Calibri" w:cs="Calibri"/>
                <w:color w:val="000000"/>
                <w:sz w:val="20"/>
                <w:szCs w:val="20"/>
                <w:lang w:eastAsia="en-AU"/>
              </w:rPr>
              <w:t xml:space="preserve"> background</w:t>
            </w:r>
          </w:p>
        </w:tc>
        <w:tc>
          <w:tcPr>
            <w:tcW w:w="1418" w:type="dxa"/>
            <w:tcBorders>
              <w:top w:val="nil"/>
              <w:left w:val="nil"/>
              <w:bottom w:val="single" w:sz="4" w:space="0" w:color="auto"/>
              <w:right w:val="single" w:sz="4" w:space="0" w:color="auto"/>
            </w:tcBorders>
            <w:shd w:val="clear" w:color="auto" w:fill="auto"/>
            <w:noWrap/>
            <w:vAlign w:val="bottom"/>
            <w:hideMark/>
          </w:tcPr>
          <w:p w14:paraId="04E45DDA"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16,219</w:t>
            </w:r>
          </w:p>
        </w:tc>
        <w:tc>
          <w:tcPr>
            <w:tcW w:w="1417" w:type="dxa"/>
            <w:tcBorders>
              <w:top w:val="nil"/>
              <w:left w:val="nil"/>
              <w:bottom w:val="single" w:sz="4" w:space="0" w:color="auto"/>
              <w:right w:val="single" w:sz="4" w:space="0" w:color="auto"/>
            </w:tcBorders>
            <w:shd w:val="clear" w:color="auto" w:fill="auto"/>
            <w:noWrap/>
            <w:vAlign w:val="bottom"/>
            <w:hideMark/>
          </w:tcPr>
          <w:p w14:paraId="47F1214D"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14,112</w:t>
            </w:r>
          </w:p>
        </w:tc>
        <w:tc>
          <w:tcPr>
            <w:tcW w:w="1418" w:type="dxa"/>
            <w:tcBorders>
              <w:top w:val="nil"/>
              <w:left w:val="nil"/>
              <w:bottom w:val="single" w:sz="4" w:space="0" w:color="auto"/>
              <w:right w:val="single" w:sz="4" w:space="0" w:color="auto"/>
            </w:tcBorders>
            <w:shd w:val="clear" w:color="auto" w:fill="auto"/>
            <w:noWrap/>
            <w:vAlign w:val="bottom"/>
          </w:tcPr>
          <w:p w14:paraId="08976E27" w14:textId="440644D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color w:val="000000"/>
                <w:sz w:val="20"/>
                <w:szCs w:val="20"/>
              </w:rPr>
              <w:t>-13.0%</w:t>
            </w:r>
          </w:p>
        </w:tc>
      </w:tr>
      <w:tr w:rsidR="00C43F97" w:rsidRPr="00482DEB" w14:paraId="21C2180E" w14:textId="7FEE99E6" w:rsidTr="00C43F97">
        <w:trPr>
          <w:trHeight w:val="293"/>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4F4EC0B9" w14:textId="77777777" w:rsidR="00C43F97" w:rsidRPr="00482DEB" w:rsidRDefault="00C43F97" w:rsidP="001D11C5">
            <w:pPr>
              <w:spacing w:after="0" w:line="240" w:lineRule="auto"/>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Students with a disability</w:t>
            </w:r>
          </w:p>
        </w:tc>
        <w:tc>
          <w:tcPr>
            <w:tcW w:w="1418" w:type="dxa"/>
            <w:tcBorders>
              <w:top w:val="nil"/>
              <w:left w:val="nil"/>
              <w:bottom w:val="single" w:sz="4" w:space="0" w:color="auto"/>
              <w:right w:val="single" w:sz="4" w:space="0" w:color="auto"/>
            </w:tcBorders>
            <w:shd w:val="clear" w:color="auto" w:fill="auto"/>
            <w:noWrap/>
            <w:vAlign w:val="bottom"/>
            <w:hideMark/>
          </w:tcPr>
          <w:p w14:paraId="1B4463C2"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39,829</w:t>
            </w:r>
          </w:p>
        </w:tc>
        <w:tc>
          <w:tcPr>
            <w:tcW w:w="1417" w:type="dxa"/>
            <w:tcBorders>
              <w:top w:val="nil"/>
              <w:left w:val="nil"/>
              <w:bottom w:val="single" w:sz="4" w:space="0" w:color="auto"/>
              <w:right w:val="single" w:sz="4" w:space="0" w:color="auto"/>
            </w:tcBorders>
            <w:shd w:val="clear" w:color="auto" w:fill="auto"/>
            <w:noWrap/>
            <w:vAlign w:val="bottom"/>
            <w:hideMark/>
          </w:tcPr>
          <w:p w14:paraId="29B3C831"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40,381</w:t>
            </w:r>
          </w:p>
        </w:tc>
        <w:tc>
          <w:tcPr>
            <w:tcW w:w="1418" w:type="dxa"/>
            <w:tcBorders>
              <w:top w:val="nil"/>
              <w:left w:val="nil"/>
              <w:bottom w:val="single" w:sz="4" w:space="0" w:color="auto"/>
              <w:right w:val="single" w:sz="4" w:space="0" w:color="auto"/>
            </w:tcBorders>
            <w:shd w:val="clear" w:color="auto" w:fill="auto"/>
            <w:noWrap/>
            <w:vAlign w:val="bottom"/>
          </w:tcPr>
          <w:p w14:paraId="7113DAE9" w14:textId="3F8BBA68"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color w:val="000000"/>
                <w:sz w:val="20"/>
                <w:szCs w:val="20"/>
              </w:rPr>
              <w:t>1.4%</w:t>
            </w:r>
          </w:p>
        </w:tc>
      </w:tr>
      <w:tr w:rsidR="00C43F97" w:rsidRPr="00482DEB" w14:paraId="4CCE2341" w14:textId="022E03EE" w:rsidTr="00C43F97">
        <w:trPr>
          <w:trHeight w:val="293"/>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14:paraId="2E218ADB" w14:textId="77777777" w:rsidR="00C43F97" w:rsidRPr="00482DEB" w:rsidRDefault="00C43F97" w:rsidP="001D11C5">
            <w:pPr>
              <w:spacing w:after="0" w:line="240" w:lineRule="auto"/>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Women in Non-Traditional Area</w:t>
            </w:r>
          </w:p>
        </w:tc>
        <w:tc>
          <w:tcPr>
            <w:tcW w:w="1418" w:type="dxa"/>
            <w:tcBorders>
              <w:top w:val="nil"/>
              <w:left w:val="nil"/>
              <w:bottom w:val="single" w:sz="4" w:space="0" w:color="auto"/>
              <w:right w:val="single" w:sz="4" w:space="0" w:color="auto"/>
            </w:tcBorders>
            <w:shd w:val="clear" w:color="auto" w:fill="auto"/>
            <w:noWrap/>
            <w:vAlign w:val="bottom"/>
            <w:hideMark/>
          </w:tcPr>
          <w:p w14:paraId="57D8CF1F"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66,643</w:t>
            </w:r>
          </w:p>
        </w:tc>
        <w:tc>
          <w:tcPr>
            <w:tcW w:w="1417" w:type="dxa"/>
            <w:tcBorders>
              <w:top w:val="nil"/>
              <w:left w:val="nil"/>
              <w:bottom w:val="single" w:sz="4" w:space="0" w:color="auto"/>
              <w:right w:val="single" w:sz="4" w:space="0" w:color="auto"/>
            </w:tcBorders>
            <w:shd w:val="clear" w:color="auto" w:fill="auto"/>
            <w:noWrap/>
            <w:vAlign w:val="bottom"/>
            <w:hideMark/>
          </w:tcPr>
          <w:p w14:paraId="338EB0C1" w14:textId="77777777"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sidRPr="00482DEB">
              <w:rPr>
                <w:rFonts w:ascii="Calibri" w:eastAsia="Times New Roman" w:hAnsi="Calibri" w:cs="Calibri"/>
                <w:color w:val="000000"/>
                <w:sz w:val="20"/>
                <w:szCs w:val="20"/>
                <w:lang w:eastAsia="en-AU"/>
              </w:rPr>
              <w:t>61,028</w:t>
            </w:r>
          </w:p>
        </w:tc>
        <w:tc>
          <w:tcPr>
            <w:tcW w:w="1418" w:type="dxa"/>
            <w:tcBorders>
              <w:top w:val="nil"/>
              <w:left w:val="nil"/>
              <w:bottom w:val="single" w:sz="4" w:space="0" w:color="auto"/>
              <w:right w:val="single" w:sz="4" w:space="0" w:color="auto"/>
            </w:tcBorders>
            <w:shd w:val="clear" w:color="auto" w:fill="auto"/>
            <w:noWrap/>
            <w:vAlign w:val="bottom"/>
          </w:tcPr>
          <w:p w14:paraId="041FA373" w14:textId="6E7AFA80"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color w:val="000000"/>
                <w:sz w:val="20"/>
                <w:szCs w:val="20"/>
              </w:rPr>
              <w:t>-8.4%</w:t>
            </w:r>
          </w:p>
        </w:tc>
      </w:tr>
      <w:tr w:rsidR="00C43F97" w:rsidRPr="00482DEB" w14:paraId="036918BA" w14:textId="1A40E5EA" w:rsidTr="00C43F97">
        <w:trPr>
          <w:trHeight w:val="293"/>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C5DF1" w14:textId="46BCA775" w:rsidR="00C43F97" w:rsidRPr="00DD1874" w:rsidRDefault="00C43F97" w:rsidP="001D11C5">
            <w:pPr>
              <w:spacing w:after="0" w:line="240" w:lineRule="auto"/>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 xml:space="preserve">Total - </w:t>
            </w:r>
            <w:r w:rsidRPr="00DD1874">
              <w:rPr>
                <w:rFonts w:ascii="Calibri" w:eastAsia="Times New Roman" w:hAnsi="Calibri" w:cs="Calibri"/>
                <w:b/>
                <w:bCs/>
                <w:color w:val="000000"/>
                <w:sz w:val="20"/>
                <w:szCs w:val="20"/>
                <w:lang w:eastAsia="en-AU"/>
              </w:rPr>
              <w:t>All commencing onshore domestic students</w:t>
            </w:r>
            <w:r>
              <w:rPr>
                <w:rStyle w:val="FootnoteReference"/>
                <w:rFonts w:ascii="Calibri" w:eastAsia="Times New Roman" w:hAnsi="Calibri" w:cs="Calibri"/>
                <w:b/>
                <w:bCs/>
                <w:color w:val="000000"/>
                <w:sz w:val="20"/>
                <w:szCs w:val="20"/>
                <w:lang w:eastAsia="en-AU"/>
              </w:rPr>
              <w:footnoteReference w:id="4"/>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21CCA6D" w14:textId="0E93838B"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b/>
                <w:bCs/>
                <w:color w:val="000000"/>
                <w:sz w:val="20"/>
                <w:szCs w:val="20"/>
              </w:rPr>
              <w:t>443,980</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58EBCAB" w14:textId="4C2A135C" w:rsidR="00C43F97" w:rsidRPr="00482DEB" w:rsidRDefault="00C43F97" w:rsidP="001D11C5">
            <w:pPr>
              <w:spacing w:after="0" w:line="240" w:lineRule="auto"/>
              <w:jc w:val="right"/>
              <w:rPr>
                <w:rFonts w:ascii="Calibri" w:eastAsia="Times New Roman" w:hAnsi="Calibri" w:cs="Calibri"/>
                <w:color w:val="000000"/>
                <w:sz w:val="20"/>
                <w:szCs w:val="20"/>
                <w:lang w:eastAsia="en-AU"/>
              </w:rPr>
            </w:pPr>
            <w:r>
              <w:rPr>
                <w:rFonts w:ascii="Calibri" w:hAnsi="Calibri" w:cs="Calibri"/>
                <w:b/>
                <w:bCs/>
                <w:color w:val="000000"/>
                <w:sz w:val="20"/>
                <w:szCs w:val="20"/>
              </w:rPr>
              <w:t>397,626</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FE8DCBD" w14:textId="05357C2E" w:rsidR="00C43F97" w:rsidRDefault="00C43F97" w:rsidP="001D11C5">
            <w:pPr>
              <w:spacing w:after="0" w:line="240" w:lineRule="auto"/>
              <w:jc w:val="right"/>
              <w:rPr>
                <w:rFonts w:ascii="Calibri" w:hAnsi="Calibri" w:cs="Calibri"/>
                <w:color w:val="000000"/>
                <w:sz w:val="20"/>
                <w:szCs w:val="20"/>
              </w:rPr>
            </w:pPr>
            <w:r>
              <w:rPr>
                <w:rFonts w:ascii="Calibri" w:hAnsi="Calibri" w:cs="Calibri"/>
                <w:color w:val="000000"/>
                <w:sz w:val="20"/>
                <w:szCs w:val="20"/>
              </w:rPr>
              <w:t>-10.4%</w:t>
            </w:r>
          </w:p>
        </w:tc>
      </w:tr>
    </w:tbl>
    <w:p w14:paraId="0F653D68" w14:textId="77777777" w:rsidR="0057325F" w:rsidRPr="0057325F" w:rsidRDefault="0057325F" w:rsidP="0057325F">
      <w:pPr>
        <w:spacing w:after="0" w:line="240" w:lineRule="auto"/>
      </w:pPr>
      <w:bookmarkStart w:id="8" w:name="_Hlk151973395"/>
    </w:p>
    <w:p w14:paraId="4BCD76E4" w14:textId="6F072ACF" w:rsidR="00CA1D9D" w:rsidRPr="00B86D41" w:rsidRDefault="00CA1D9D" w:rsidP="005F40D0">
      <w:pPr>
        <w:pStyle w:val="ListParagraph"/>
        <w:numPr>
          <w:ilvl w:val="0"/>
          <w:numId w:val="33"/>
        </w:numPr>
        <w:spacing w:after="0" w:line="240" w:lineRule="auto"/>
      </w:pPr>
      <w:r>
        <w:rPr>
          <w:rFonts w:asciiTheme="minorHAnsi" w:eastAsia="Times New Roman" w:hAnsiTheme="minorHAnsi" w:cstheme="minorHAnsi"/>
        </w:rPr>
        <w:t xml:space="preserve">The </w:t>
      </w:r>
      <w:r w:rsidR="009216CB">
        <w:rPr>
          <w:rFonts w:asciiTheme="minorHAnsi" w:eastAsia="Times New Roman" w:hAnsiTheme="minorHAnsi" w:cstheme="minorHAnsi"/>
        </w:rPr>
        <w:t>number</w:t>
      </w:r>
      <w:r>
        <w:rPr>
          <w:rFonts w:asciiTheme="minorHAnsi" w:eastAsia="Times New Roman" w:hAnsiTheme="minorHAnsi" w:cstheme="minorHAnsi"/>
        </w:rPr>
        <w:t xml:space="preserve"> of commencing domestic students with a disability increased by 1</w:t>
      </w:r>
      <w:r w:rsidR="00482DEB">
        <w:rPr>
          <w:rFonts w:asciiTheme="minorHAnsi" w:eastAsia="Times New Roman" w:hAnsiTheme="minorHAnsi" w:cstheme="minorHAnsi"/>
        </w:rPr>
        <w:t>.4</w:t>
      </w:r>
      <w:r>
        <w:rPr>
          <w:rFonts w:asciiTheme="minorHAnsi" w:eastAsia="Times New Roman" w:hAnsiTheme="minorHAnsi" w:cstheme="minorHAnsi"/>
        </w:rPr>
        <w:t xml:space="preserve"> per cent from 2021 to 2022.</w:t>
      </w:r>
      <w:r w:rsidR="00B86D41">
        <w:rPr>
          <w:rFonts w:asciiTheme="minorHAnsi" w:eastAsia="Times New Roman" w:hAnsiTheme="minorHAnsi" w:cstheme="minorHAnsi"/>
        </w:rPr>
        <w:t xml:space="preserve"> </w:t>
      </w:r>
      <w:r w:rsidR="00B86D41">
        <w:t xml:space="preserve">This may be </w:t>
      </w:r>
      <w:r w:rsidR="00102B00">
        <w:t>the ongoing impact</w:t>
      </w:r>
      <w:r w:rsidR="00B86D41">
        <w:t xml:space="preserve"> of a definitional change in disability </w:t>
      </w:r>
      <w:r w:rsidR="00102B00">
        <w:t xml:space="preserve">rolled out </w:t>
      </w:r>
      <w:r w:rsidR="00B86D41">
        <w:t xml:space="preserve">in 2020 to align with </w:t>
      </w:r>
      <w:r w:rsidR="00514F11">
        <w:t>Australian Institute of Health and Welfare (</w:t>
      </w:r>
      <w:r w:rsidR="00B86D41">
        <w:t>AIHW</w:t>
      </w:r>
      <w:r w:rsidR="00514F11">
        <w:t>)</w:t>
      </w:r>
      <w:r w:rsidR="00B86D41">
        <w:t xml:space="preserve"> and </w:t>
      </w:r>
      <w:r w:rsidR="00514F11">
        <w:t>Australian Bureau of Statistics (</w:t>
      </w:r>
      <w:r w:rsidR="00B86D41">
        <w:t>ABS</w:t>
      </w:r>
      <w:r w:rsidR="00514F11">
        <w:t>)</w:t>
      </w:r>
      <w:r w:rsidR="00B86D41">
        <w:t xml:space="preserve"> definitions. The expanded collection now includes intellectual, mental, acquired brain injury and neurological disabilities. </w:t>
      </w:r>
    </w:p>
    <w:bookmarkEnd w:id="8"/>
    <w:p w14:paraId="3EDA5C9E" w14:textId="77777777" w:rsidR="00482DEB" w:rsidRDefault="009216CB" w:rsidP="00482DEB">
      <w:pPr>
        <w:pStyle w:val="ListParagraph"/>
        <w:numPr>
          <w:ilvl w:val="0"/>
          <w:numId w:val="24"/>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The number of commencing students from</w:t>
      </w:r>
      <w:r w:rsidR="00CA1D9D">
        <w:rPr>
          <w:rFonts w:asciiTheme="minorHAnsi" w:eastAsia="Times New Roman" w:hAnsiTheme="minorHAnsi" w:cstheme="minorHAnsi"/>
        </w:rPr>
        <w:t xml:space="preserve"> all other equity groups decreased from 2021 to 2022, </w:t>
      </w:r>
      <w:r>
        <w:rPr>
          <w:rFonts w:asciiTheme="minorHAnsi" w:eastAsia="Times New Roman" w:hAnsiTheme="minorHAnsi" w:cstheme="minorHAnsi"/>
        </w:rPr>
        <w:t>mirroring</w:t>
      </w:r>
      <w:r w:rsidR="00CA1D9D">
        <w:rPr>
          <w:rFonts w:asciiTheme="minorHAnsi" w:eastAsia="Times New Roman" w:hAnsiTheme="minorHAnsi" w:cstheme="minorHAnsi"/>
        </w:rPr>
        <w:t xml:space="preserve"> the trend for all commencing domestic students.</w:t>
      </w:r>
    </w:p>
    <w:p w14:paraId="161104DA" w14:textId="3AA7AD36" w:rsidR="00482DEB" w:rsidRPr="00482DEB" w:rsidRDefault="00482DEB" w:rsidP="00482DEB">
      <w:pPr>
        <w:pStyle w:val="ListParagraph"/>
        <w:numPr>
          <w:ilvl w:val="1"/>
          <w:numId w:val="24"/>
        </w:numPr>
        <w:spacing w:after="0" w:line="240" w:lineRule="auto"/>
        <w:contextualSpacing w:val="0"/>
        <w:rPr>
          <w:rFonts w:asciiTheme="minorHAnsi" w:eastAsia="Times New Roman" w:hAnsiTheme="minorHAnsi" w:cstheme="minorHAnsi"/>
        </w:rPr>
      </w:pPr>
      <w:r>
        <w:rPr>
          <w:rFonts w:eastAsia="Times New Roman" w:cstheme="minorHAnsi"/>
        </w:rPr>
        <w:t>Commencing student numbers</w:t>
      </w:r>
      <w:r w:rsidR="00CA1D9D" w:rsidRPr="00482DEB">
        <w:rPr>
          <w:rFonts w:eastAsia="Times New Roman" w:cstheme="minorHAnsi"/>
        </w:rPr>
        <w:t xml:space="preserve"> from low socio-economic areas</w:t>
      </w:r>
      <w:r w:rsidR="00CA1D9D">
        <w:rPr>
          <w:rStyle w:val="FootnoteReference"/>
          <w:rFonts w:asciiTheme="minorHAnsi" w:eastAsia="Times New Roman" w:hAnsiTheme="minorHAnsi" w:cstheme="minorHAnsi"/>
        </w:rPr>
        <w:footnoteReference w:id="5"/>
      </w:r>
      <w:r w:rsidR="00C10417" w:rsidRPr="00482DEB">
        <w:rPr>
          <w:rFonts w:eastAsia="Times New Roman" w:cstheme="minorHAnsi"/>
        </w:rPr>
        <w:t xml:space="preserve"> (low SES)</w:t>
      </w:r>
      <w:r>
        <w:rPr>
          <w:rFonts w:eastAsia="Times New Roman" w:cstheme="minorHAnsi"/>
        </w:rPr>
        <w:t xml:space="preserve"> and </w:t>
      </w:r>
      <w:r w:rsidRPr="00C20E76">
        <w:rPr>
          <w:rFonts w:asciiTheme="minorHAnsi" w:eastAsia="Times New Roman" w:hAnsiTheme="minorHAnsi" w:cstheme="minorHAnsi"/>
        </w:rPr>
        <w:t>regional</w:t>
      </w:r>
      <w:r>
        <w:rPr>
          <w:rStyle w:val="FootnoteReference"/>
          <w:rFonts w:asciiTheme="minorHAnsi" w:eastAsia="Times New Roman" w:hAnsiTheme="minorHAnsi" w:cstheme="minorHAnsi"/>
        </w:rPr>
        <w:footnoteReference w:id="6"/>
      </w:r>
      <w:r w:rsidRPr="00C20E76">
        <w:rPr>
          <w:rFonts w:asciiTheme="minorHAnsi" w:eastAsia="Times New Roman" w:hAnsiTheme="minorHAnsi" w:cstheme="minorHAnsi"/>
        </w:rPr>
        <w:t xml:space="preserve"> </w:t>
      </w:r>
      <w:r>
        <w:rPr>
          <w:rFonts w:asciiTheme="minorHAnsi" w:eastAsia="Times New Roman" w:hAnsiTheme="minorHAnsi" w:cstheme="minorHAnsi"/>
        </w:rPr>
        <w:t xml:space="preserve">and </w:t>
      </w:r>
      <w:r w:rsidRPr="00C20E76">
        <w:rPr>
          <w:rFonts w:asciiTheme="minorHAnsi" w:eastAsia="Times New Roman" w:hAnsiTheme="minorHAnsi" w:cstheme="minorHAnsi"/>
        </w:rPr>
        <w:t xml:space="preserve">remote </w:t>
      </w:r>
      <w:r>
        <w:rPr>
          <w:rFonts w:asciiTheme="minorHAnsi" w:eastAsia="Times New Roman" w:hAnsiTheme="minorHAnsi" w:cstheme="minorHAnsi"/>
        </w:rPr>
        <w:t>areas are th</w:t>
      </w:r>
      <w:r w:rsidR="00CA1D9D" w:rsidRPr="00482DEB">
        <w:rPr>
          <w:rFonts w:eastAsia="Times New Roman" w:cstheme="minorHAnsi"/>
        </w:rPr>
        <w:t>e lowest number in this series</w:t>
      </w:r>
      <w:r w:rsidR="00CA1D9D">
        <w:rPr>
          <w:rStyle w:val="FootnoteReference"/>
          <w:rFonts w:asciiTheme="minorHAnsi" w:eastAsia="Times New Roman" w:hAnsiTheme="minorHAnsi" w:cstheme="minorHAnsi"/>
        </w:rPr>
        <w:footnoteReference w:id="7"/>
      </w:r>
      <w:r w:rsidR="00CA1D9D" w:rsidRPr="00482DEB">
        <w:rPr>
          <w:rFonts w:eastAsia="Times New Roman" w:cstheme="minorHAnsi"/>
        </w:rPr>
        <w:t xml:space="preserve">. </w:t>
      </w:r>
    </w:p>
    <w:p w14:paraId="053C4D17" w14:textId="5A1FEE97" w:rsidR="00CA1D9D" w:rsidRPr="00482DEB" w:rsidRDefault="00482DEB" w:rsidP="00482DEB">
      <w:pPr>
        <w:pStyle w:val="ListParagraph"/>
        <w:numPr>
          <w:ilvl w:val="1"/>
          <w:numId w:val="24"/>
        </w:numPr>
        <w:spacing w:after="0" w:line="240" w:lineRule="auto"/>
        <w:contextualSpacing w:val="0"/>
        <w:rPr>
          <w:rFonts w:asciiTheme="minorHAnsi" w:eastAsia="Times New Roman" w:hAnsiTheme="minorHAnsi" w:cstheme="minorHAnsi"/>
        </w:rPr>
      </w:pPr>
      <w:r>
        <w:rPr>
          <w:rFonts w:eastAsia="Times New Roman" w:cstheme="minorHAnsi"/>
        </w:rPr>
        <w:t>Commencing domestic s</w:t>
      </w:r>
      <w:r w:rsidR="00CA1D9D" w:rsidRPr="00482DEB">
        <w:rPr>
          <w:rFonts w:eastAsia="Times New Roman" w:cstheme="minorHAnsi"/>
        </w:rPr>
        <w:t>tuden</w:t>
      </w:r>
      <w:r>
        <w:rPr>
          <w:rFonts w:eastAsia="Times New Roman" w:cstheme="minorHAnsi"/>
        </w:rPr>
        <w:t>ts</w:t>
      </w:r>
      <w:r w:rsidR="00CA1D9D" w:rsidRPr="00482DEB">
        <w:rPr>
          <w:rFonts w:eastAsia="Times New Roman" w:cstheme="minorHAnsi"/>
        </w:rPr>
        <w:t xml:space="preserve"> from a non-English speaking background </w:t>
      </w:r>
      <w:r>
        <w:rPr>
          <w:rFonts w:eastAsia="Times New Roman" w:cstheme="minorHAnsi"/>
        </w:rPr>
        <w:t>are</w:t>
      </w:r>
      <w:r w:rsidR="00CA1D9D" w:rsidRPr="00482DEB">
        <w:rPr>
          <w:rFonts w:eastAsia="Times New Roman" w:cstheme="minorHAnsi"/>
        </w:rPr>
        <w:t xml:space="preserve"> the lowest number in 10 years. </w:t>
      </w:r>
    </w:p>
    <w:p w14:paraId="75662D4A" w14:textId="77777777" w:rsidR="00CA1D9D" w:rsidRDefault="00CA1D9D" w:rsidP="00CA1D9D">
      <w:pPr>
        <w:pStyle w:val="ListParagraph"/>
        <w:numPr>
          <w:ilvl w:val="0"/>
          <w:numId w:val="24"/>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 xml:space="preserve">For the first time since the series began in 2006, the number of First Nations students has decreased. </w:t>
      </w:r>
    </w:p>
    <w:p w14:paraId="6BE46A17" w14:textId="58120655" w:rsidR="00CA1D9D" w:rsidRPr="00C20E76" w:rsidRDefault="00482DEB" w:rsidP="00CA1D9D">
      <w:pPr>
        <w:pStyle w:val="ListParagraph"/>
        <w:numPr>
          <w:ilvl w:val="1"/>
          <w:numId w:val="24"/>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 xml:space="preserve">Total </w:t>
      </w:r>
      <w:r w:rsidR="00CA1D9D" w:rsidRPr="00C20E76">
        <w:rPr>
          <w:rFonts w:asciiTheme="minorHAnsi" w:eastAsia="Times New Roman" w:hAnsiTheme="minorHAnsi" w:cstheme="minorHAnsi"/>
        </w:rPr>
        <w:t>First Nations student</w:t>
      </w:r>
      <w:r w:rsidR="00CA1D9D">
        <w:rPr>
          <w:rFonts w:asciiTheme="minorHAnsi" w:eastAsia="Times New Roman" w:hAnsiTheme="minorHAnsi" w:cstheme="minorHAnsi"/>
        </w:rPr>
        <w:t xml:space="preserve">s </w:t>
      </w:r>
      <w:r w:rsidR="00CA1D9D" w:rsidRPr="00C20E76">
        <w:rPr>
          <w:rFonts w:asciiTheme="minorHAnsi" w:eastAsia="Times New Roman" w:hAnsiTheme="minorHAnsi" w:cstheme="minorHAnsi"/>
        </w:rPr>
        <w:t xml:space="preserve">decreased by 3 per cent from </w:t>
      </w:r>
      <w:r w:rsidR="00CA1D9D">
        <w:rPr>
          <w:rFonts w:asciiTheme="minorHAnsi" w:eastAsia="Times New Roman" w:hAnsiTheme="minorHAnsi" w:cstheme="minorHAnsi"/>
        </w:rPr>
        <w:t xml:space="preserve">23,967 in </w:t>
      </w:r>
      <w:r w:rsidR="00CA1D9D" w:rsidRPr="00C20E76">
        <w:rPr>
          <w:rFonts w:asciiTheme="minorHAnsi" w:eastAsia="Times New Roman" w:hAnsiTheme="minorHAnsi" w:cstheme="minorHAnsi"/>
        </w:rPr>
        <w:t xml:space="preserve">2021 to </w:t>
      </w:r>
      <w:r w:rsidR="00CA1D9D">
        <w:rPr>
          <w:rFonts w:asciiTheme="minorHAnsi" w:eastAsia="Times New Roman" w:hAnsiTheme="minorHAnsi" w:cstheme="minorHAnsi"/>
        </w:rPr>
        <w:t xml:space="preserve">23,249 in </w:t>
      </w:r>
      <w:r w:rsidR="00CA1D9D" w:rsidRPr="00C20E76">
        <w:rPr>
          <w:rFonts w:asciiTheme="minorHAnsi" w:eastAsia="Times New Roman" w:hAnsiTheme="minorHAnsi" w:cstheme="minorHAnsi"/>
        </w:rPr>
        <w:t>2022</w:t>
      </w:r>
      <w:r w:rsidR="00CA1D9D">
        <w:rPr>
          <w:rFonts w:asciiTheme="minorHAnsi" w:eastAsia="Times New Roman" w:hAnsiTheme="minorHAnsi" w:cstheme="minorHAnsi"/>
        </w:rPr>
        <w:t>.</w:t>
      </w:r>
    </w:p>
    <w:p w14:paraId="34C6D816" w14:textId="491AEA2D" w:rsidR="00CA1D9D" w:rsidRDefault="00CA1D9D" w:rsidP="00CA1D9D">
      <w:pPr>
        <w:pStyle w:val="ListParagraph"/>
        <w:numPr>
          <w:ilvl w:val="1"/>
          <w:numId w:val="24"/>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 xml:space="preserve">Commencing </w:t>
      </w:r>
      <w:r w:rsidRPr="00C20E76">
        <w:rPr>
          <w:rFonts w:asciiTheme="minorHAnsi" w:eastAsia="Times New Roman" w:hAnsiTheme="minorHAnsi" w:cstheme="minorHAnsi"/>
        </w:rPr>
        <w:t>First Nations students decreased 8.</w:t>
      </w:r>
      <w:r w:rsidR="00B70EBB">
        <w:rPr>
          <w:rFonts w:asciiTheme="minorHAnsi" w:eastAsia="Times New Roman" w:hAnsiTheme="minorHAnsi" w:cstheme="minorHAnsi"/>
        </w:rPr>
        <w:t>0</w:t>
      </w:r>
      <w:r w:rsidRPr="00C20E76">
        <w:rPr>
          <w:rFonts w:asciiTheme="minorHAnsi" w:eastAsia="Times New Roman" w:hAnsiTheme="minorHAnsi" w:cstheme="minorHAnsi"/>
        </w:rPr>
        <w:t xml:space="preserve"> per cent</w:t>
      </w:r>
      <w:r>
        <w:rPr>
          <w:rFonts w:asciiTheme="minorHAnsi" w:eastAsia="Times New Roman" w:hAnsiTheme="minorHAnsi" w:cstheme="minorHAnsi"/>
        </w:rPr>
        <w:t xml:space="preserve"> from </w:t>
      </w:r>
      <w:r w:rsidR="00482DEB">
        <w:rPr>
          <w:rFonts w:asciiTheme="minorHAnsi" w:eastAsia="Times New Roman" w:hAnsiTheme="minorHAnsi" w:cstheme="minorHAnsi"/>
        </w:rPr>
        <w:t>2021 to</w:t>
      </w:r>
      <w:r>
        <w:rPr>
          <w:rFonts w:asciiTheme="minorHAnsi" w:eastAsia="Times New Roman" w:hAnsiTheme="minorHAnsi" w:cstheme="minorHAnsi"/>
        </w:rPr>
        <w:t xml:space="preserve"> 2022.</w:t>
      </w:r>
    </w:p>
    <w:p w14:paraId="4AAD17A9" w14:textId="77777777" w:rsidR="00A10667" w:rsidRPr="00A10667" w:rsidRDefault="00A10667" w:rsidP="00A10667">
      <w:pPr>
        <w:spacing w:after="0" w:line="240" w:lineRule="auto"/>
        <w:rPr>
          <w:rFonts w:eastAsia="Times New Roman" w:cstheme="minorHAnsi"/>
        </w:rPr>
      </w:pPr>
    </w:p>
    <w:p w14:paraId="4B5C94D7" w14:textId="77777777" w:rsidR="00CA1D9D" w:rsidRDefault="00CA1D9D" w:rsidP="00CA1D9D">
      <w:pPr>
        <w:spacing w:after="0" w:line="240" w:lineRule="auto"/>
        <w:rPr>
          <w:rFonts w:eastAsia="Times New Roman" w:cstheme="minorHAnsi"/>
        </w:rPr>
      </w:pPr>
    </w:p>
    <w:p w14:paraId="70B1632A" w14:textId="77777777" w:rsidR="00482DEB" w:rsidRDefault="00482DEB" w:rsidP="00482DEB"/>
    <w:p w14:paraId="18B8279F" w14:textId="77777777" w:rsidR="00482DEB" w:rsidRDefault="00482DEB" w:rsidP="00482DEB"/>
    <w:p w14:paraId="5CF41B3B" w14:textId="77777777" w:rsidR="00482DEB" w:rsidRDefault="00482DEB" w:rsidP="00482DEB"/>
    <w:p w14:paraId="063AE80D" w14:textId="77777777" w:rsidR="00482DEB" w:rsidRDefault="00482DEB" w:rsidP="00482DEB"/>
    <w:p w14:paraId="12F80A35" w14:textId="77777777" w:rsidR="00482DEB" w:rsidRDefault="00482DEB" w:rsidP="00482DEB"/>
    <w:p w14:paraId="7B9E0B8D" w14:textId="77777777" w:rsidR="00482DEB" w:rsidRDefault="00482DEB" w:rsidP="00482DEB"/>
    <w:p w14:paraId="79374BFF" w14:textId="77777777" w:rsidR="00482DEB" w:rsidRDefault="00482DEB" w:rsidP="00482DEB"/>
    <w:p w14:paraId="0ACE0845" w14:textId="77777777" w:rsidR="00482DEB" w:rsidRDefault="00482DEB" w:rsidP="00482DEB"/>
    <w:p w14:paraId="6DC82EBE" w14:textId="77777777" w:rsidR="00482DEB" w:rsidRDefault="00482DEB" w:rsidP="00482DEB"/>
    <w:p w14:paraId="6E22028B" w14:textId="77777777" w:rsidR="00482DEB" w:rsidRDefault="00482DEB" w:rsidP="00482DEB"/>
    <w:p w14:paraId="0BEC73D0" w14:textId="77777777" w:rsidR="00482DEB" w:rsidRDefault="00482DEB" w:rsidP="00482DEB"/>
    <w:p w14:paraId="4226BAB9" w14:textId="77777777" w:rsidR="00482DEB" w:rsidRDefault="00482DEB" w:rsidP="00482DEB"/>
    <w:p w14:paraId="5157B0D4" w14:textId="77777777" w:rsidR="00D764F7" w:rsidRDefault="00D764F7" w:rsidP="00482DEB"/>
    <w:p w14:paraId="1BFC173C" w14:textId="05053141" w:rsidR="00CA1D9D" w:rsidRDefault="00A427B4" w:rsidP="00CA1D9D">
      <w:pPr>
        <w:pStyle w:val="Heading3"/>
        <w:rPr>
          <w:rFonts w:eastAsia="Times New Roman"/>
        </w:rPr>
      </w:pPr>
      <w:bookmarkStart w:id="9" w:name="_Toc152149412"/>
      <w:r>
        <w:rPr>
          <w:rFonts w:eastAsia="Times New Roman"/>
        </w:rPr>
        <w:lastRenderedPageBreak/>
        <w:t>The proportion of s</w:t>
      </w:r>
      <w:r w:rsidR="009216CB">
        <w:rPr>
          <w:rFonts w:eastAsia="Times New Roman"/>
        </w:rPr>
        <w:t>tudents</w:t>
      </w:r>
      <w:r w:rsidR="00CA1D9D">
        <w:rPr>
          <w:rFonts w:eastAsia="Times New Roman"/>
        </w:rPr>
        <w:t xml:space="preserve"> from low socio-economic </w:t>
      </w:r>
      <w:r w:rsidR="00282E45">
        <w:rPr>
          <w:rFonts w:eastAsia="Times New Roman"/>
        </w:rPr>
        <w:t>areas</w:t>
      </w:r>
      <w:r w:rsidR="00CA1D9D">
        <w:rPr>
          <w:rFonts w:eastAsia="Times New Roman"/>
        </w:rPr>
        <w:t xml:space="preserve"> </w:t>
      </w:r>
      <w:proofErr w:type="gramStart"/>
      <w:r w:rsidR="009216CB">
        <w:rPr>
          <w:rFonts w:eastAsia="Times New Roman"/>
        </w:rPr>
        <w:t>decreased</w:t>
      </w:r>
      <w:bookmarkEnd w:id="9"/>
      <w:proofErr w:type="gramEnd"/>
      <w:r w:rsidR="00282E45">
        <w:rPr>
          <w:rFonts w:eastAsia="Times New Roman"/>
        </w:rPr>
        <w:t xml:space="preserve"> </w:t>
      </w:r>
    </w:p>
    <w:p w14:paraId="3114206E" w14:textId="2218043E" w:rsidR="00CA1D9D" w:rsidRDefault="00CA1D9D" w:rsidP="00CA1D9D">
      <w:pPr>
        <w:spacing w:after="0" w:line="240" w:lineRule="auto"/>
        <w:rPr>
          <w:rFonts w:eastAsia="Times New Roman" w:cstheme="minorHAnsi"/>
        </w:rPr>
      </w:pPr>
      <w:r>
        <w:rPr>
          <w:rFonts w:eastAsia="Times New Roman" w:cstheme="minorHAnsi"/>
        </w:rPr>
        <w:t xml:space="preserve">Figure </w:t>
      </w:r>
      <w:r w:rsidR="00F0052D">
        <w:rPr>
          <w:rFonts w:eastAsia="Times New Roman" w:cstheme="minorHAnsi"/>
        </w:rPr>
        <w:t>6</w:t>
      </w:r>
      <w:r>
        <w:rPr>
          <w:rFonts w:eastAsia="Times New Roman" w:cstheme="minorHAnsi"/>
        </w:rPr>
        <w:t xml:space="preserve">: </w:t>
      </w:r>
      <w:r w:rsidR="00005FE6">
        <w:rPr>
          <w:rFonts w:eastAsia="Times New Roman" w:cstheme="minorHAnsi"/>
        </w:rPr>
        <w:t>Proportion of</w:t>
      </w:r>
      <w:r>
        <w:rPr>
          <w:rFonts w:eastAsia="Times New Roman" w:cstheme="minorHAnsi"/>
        </w:rPr>
        <w:t xml:space="preserve"> all </w:t>
      </w:r>
      <w:r w:rsidR="002D2CC2">
        <w:rPr>
          <w:rFonts w:eastAsia="Times New Roman" w:cstheme="minorHAnsi"/>
        </w:rPr>
        <w:t xml:space="preserve">onshore </w:t>
      </w:r>
      <w:r>
        <w:rPr>
          <w:rFonts w:eastAsia="Times New Roman" w:cstheme="minorHAnsi"/>
        </w:rPr>
        <w:t>domestic students</w:t>
      </w:r>
      <w:r w:rsidR="001D11C5">
        <w:rPr>
          <w:rStyle w:val="FootnoteReference"/>
          <w:rFonts w:eastAsia="Times New Roman" w:cstheme="minorHAnsi"/>
        </w:rPr>
        <w:footnoteReference w:id="8"/>
      </w:r>
      <w:r>
        <w:rPr>
          <w:rFonts w:eastAsia="Times New Roman" w:cstheme="minorHAnsi"/>
        </w:rPr>
        <w:t>, 2016-2022</w:t>
      </w:r>
    </w:p>
    <w:p w14:paraId="6C2CE84F" w14:textId="77777777" w:rsidR="00CA1D9D" w:rsidRPr="005E6308" w:rsidRDefault="00CA1D9D" w:rsidP="00CA1D9D">
      <w:pPr>
        <w:spacing w:after="0" w:line="240" w:lineRule="auto"/>
        <w:rPr>
          <w:rFonts w:eastAsia="Times New Roman" w:cstheme="minorHAnsi"/>
        </w:rPr>
      </w:pPr>
      <w:r>
        <w:rPr>
          <w:noProof/>
          <w14:ligatures w14:val="standardContextual"/>
        </w:rPr>
        <w:drawing>
          <wp:inline distT="0" distB="0" distL="0" distR="0" wp14:anchorId="0385A5AB" wp14:editId="6432211B">
            <wp:extent cx="5943600" cy="4000500"/>
            <wp:effectExtent l="0" t="0" r="0" b="0"/>
            <wp:docPr id="1518522599" name="Chart 1">
              <a:extLst xmlns:a="http://schemas.openxmlformats.org/drawingml/2006/main">
                <a:ext uri="{FF2B5EF4-FFF2-40B4-BE49-F238E27FC236}">
                  <a16:creationId xmlns:a16="http://schemas.microsoft.com/office/drawing/2014/main" id="{B763412E-B0A9-788E-3C89-C724FBEFB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0A6FA9" w14:textId="09E51980" w:rsidR="00CA1D9D" w:rsidRPr="00C10417" w:rsidRDefault="00CA1D9D" w:rsidP="00C10417">
      <w:pPr>
        <w:ind w:left="360"/>
        <w:rPr>
          <w:rFonts w:cstheme="minorHAnsi"/>
        </w:rPr>
      </w:pPr>
      <w:r w:rsidRPr="00530F57">
        <w:rPr>
          <w:rFonts w:cstheme="minorHAnsi"/>
        </w:rPr>
        <w:t>[Data can be found i</w:t>
      </w:r>
      <w:r w:rsidR="001879BF">
        <w:rPr>
          <w:rFonts w:cstheme="minorHAnsi"/>
        </w:rPr>
        <w:t xml:space="preserve">n </w:t>
      </w:r>
      <w:hyperlink r:id="rId24" w:history="1">
        <w:r w:rsidR="001879BF" w:rsidRPr="001879BF">
          <w:rPr>
            <w:rStyle w:val="Hyperlink"/>
            <w:rFonts w:cstheme="minorHAnsi"/>
          </w:rPr>
          <w:t>202</w:t>
        </w:r>
        <w:r w:rsidR="005532D3">
          <w:rPr>
            <w:rStyle w:val="Hyperlink"/>
            <w:rFonts w:cstheme="minorHAnsi"/>
          </w:rPr>
          <w:t>2</w:t>
        </w:r>
        <w:r w:rsidR="001879BF" w:rsidRPr="001879BF">
          <w:rPr>
            <w:rStyle w:val="Hyperlink"/>
            <w:rFonts w:cstheme="minorHAnsi"/>
          </w:rPr>
          <w:t xml:space="preserve"> section 11 Equity groups</w:t>
        </w:r>
      </w:hyperlink>
      <w:r w:rsidRPr="000F3E98">
        <w:rPr>
          <w:rFonts w:cstheme="minorHAnsi"/>
        </w:rPr>
        <w:t>]</w:t>
      </w:r>
    </w:p>
    <w:p w14:paraId="756A8BD8" w14:textId="41BE0A1F" w:rsidR="00CA1D9D" w:rsidRPr="005F40D0" w:rsidRDefault="00CA1D9D" w:rsidP="00EF00F2">
      <w:pPr>
        <w:pStyle w:val="ListParagraph"/>
        <w:numPr>
          <w:ilvl w:val="0"/>
          <w:numId w:val="24"/>
        </w:numPr>
        <w:spacing w:after="0" w:line="240" w:lineRule="auto"/>
        <w:contextualSpacing w:val="0"/>
        <w:rPr>
          <w:rFonts w:asciiTheme="minorHAnsi" w:eastAsia="Times New Roman" w:hAnsiTheme="minorHAnsi" w:cstheme="minorHAnsi"/>
        </w:rPr>
      </w:pPr>
      <w:r w:rsidRPr="00DE2296">
        <w:rPr>
          <w:rFonts w:asciiTheme="minorHAnsi" w:eastAsia="Times New Roman" w:hAnsiTheme="minorHAnsi" w:cstheme="minorHAnsi"/>
        </w:rPr>
        <w:t xml:space="preserve">The </w:t>
      </w:r>
      <w:r w:rsidR="00B2313A">
        <w:rPr>
          <w:rFonts w:asciiTheme="minorHAnsi" w:eastAsia="Times New Roman" w:hAnsiTheme="minorHAnsi" w:cstheme="minorHAnsi"/>
        </w:rPr>
        <w:t>proportion</w:t>
      </w:r>
      <w:r w:rsidRPr="00DE2296">
        <w:rPr>
          <w:rFonts w:asciiTheme="minorHAnsi" w:eastAsia="Times New Roman" w:hAnsiTheme="minorHAnsi" w:cstheme="minorHAnsi"/>
        </w:rPr>
        <w:t xml:space="preserve"> of</w:t>
      </w:r>
      <w:r w:rsidR="00B2313A">
        <w:rPr>
          <w:rFonts w:asciiTheme="minorHAnsi" w:eastAsia="Times New Roman" w:hAnsiTheme="minorHAnsi" w:cstheme="minorHAnsi"/>
        </w:rPr>
        <w:t xml:space="preserve"> commencing and all</w:t>
      </w:r>
      <w:r w:rsidRPr="00DE2296">
        <w:rPr>
          <w:rFonts w:asciiTheme="minorHAnsi" w:eastAsia="Times New Roman" w:hAnsiTheme="minorHAnsi" w:cstheme="minorHAnsi"/>
        </w:rPr>
        <w:t xml:space="preserve"> student</w:t>
      </w:r>
      <w:r w:rsidR="00E503E8">
        <w:rPr>
          <w:rFonts w:asciiTheme="minorHAnsi" w:eastAsia="Times New Roman" w:hAnsiTheme="minorHAnsi" w:cstheme="minorHAnsi"/>
        </w:rPr>
        <w:t>s</w:t>
      </w:r>
      <w:r w:rsidR="00282E45">
        <w:rPr>
          <w:rFonts w:asciiTheme="minorHAnsi" w:eastAsia="Times New Roman" w:hAnsiTheme="minorHAnsi" w:cstheme="minorHAnsi"/>
        </w:rPr>
        <w:t xml:space="preserve"> from low socio-economic areas </w:t>
      </w:r>
      <w:r w:rsidRPr="00DE2296">
        <w:rPr>
          <w:rFonts w:asciiTheme="minorHAnsi" w:eastAsia="Times New Roman" w:hAnsiTheme="minorHAnsi" w:cstheme="minorHAnsi"/>
        </w:rPr>
        <w:t xml:space="preserve">decreased from 2021 to 2022, </w:t>
      </w:r>
      <w:r w:rsidRPr="00C10417">
        <w:rPr>
          <w:rFonts w:asciiTheme="minorHAnsi" w:eastAsia="Times New Roman" w:hAnsiTheme="minorHAnsi" w:cstheme="minorHAnsi"/>
        </w:rPr>
        <w:t xml:space="preserve">indicating this cohort were over-represented in the </w:t>
      </w:r>
      <w:r w:rsidR="00282E45" w:rsidRPr="00C10417">
        <w:rPr>
          <w:rFonts w:asciiTheme="minorHAnsi" w:eastAsia="Times New Roman" w:hAnsiTheme="minorHAnsi" w:cstheme="minorHAnsi"/>
        </w:rPr>
        <w:t>falling</w:t>
      </w:r>
      <w:r w:rsidRPr="00C10417">
        <w:rPr>
          <w:rFonts w:asciiTheme="minorHAnsi" w:eastAsia="Times New Roman" w:hAnsiTheme="minorHAnsi" w:cstheme="minorHAnsi"/>
        </w:rPr>
        <w:t xml:space="preserve"> domestic enrolments. In other words, students from low socio-economic </w:t>
      </w:r>
      <w:r w:rsidR="00EF00F2">
        <w:rPr>
          <w:rFonts w:asciiTheme="minorHAnsi" w:eastAsia="Times New Roman" w:hAnsiTheme="minorHAnsi" w:cstheme="minorHAnsi"/>
        </w:rPr>
        <w:t>areas</w:t>
      </w:r>
      <w:r w:rsidR="00EF00F2" w:rsidRPr="00C10417">
        <w:rPr>
          <w:rFonts w:asciiTheme="minorHAnsi" w:eastAsia="Times New Roman" w:hAnsiTheme="minorHAnsi" w:cstheme="minorHAnsi"/>
        </w:rPr>
        <w:t xml:space="preserve"> </w:t>
      </w:r>
      <w:r w:rsidRPr="00C10417">
        <w:rPr>
          <w:rFonts w:asciiTheme="minorHAnsi" w:eastAsia="Times New Roman" w:hAnsiTheme="minorHAnsi" w:cstheme="minorHAnsi"/>
        </w:rPr>
        <w:t xml:space="preserve">decreased more than students from medium or high socio-economic </w:t>
      </w:r>
      <w:r w:rsidR="00EF00F2">
        <w:rPr>
          <w:rFonts w:asciiTheme="minorHAnsi" w:eastAsia="Times New Roman" w:hAnsiTheme="minorHAnsi" w:cstheme="minorHAnsi"/>
        </w:rPr>
        <w:t>areas</w:t>
      </w:r>
      <w:r w:rsidR="00514F11">
        <w:rPr>
          <w:rFonts w:asciiTheme="minorHAnsi" w:eastAsia="Times New Roman" w:hAnsiTheme="minorHAnsi" w:cstheme="minorHAnsi"/>
        </w:rPr>
        <w:t xml:space="preserve">. </w:t>
      </w:r>
      <w:r w:rsidR="007A289E">
        <w:rPr>
          <w:rFonts w:asciiTheme="minorHAnsi" w:eastAsia="Times New Roman" w:hAnsiTheme="minorHAnsi" w:cstheme="minorHAnsi"/>
        </w:rPr>
        <w:t>It is possible that t</w:t>
      </w:r>
      <w:r w:rsidR="00514F11">
        <w:rPr>
          <w:rFonts w:asciiTheme="minorHAnsi" w:eastAsia="Times New Roman" w:hAnsiTheme="minorHAnsi" w:cstheme="minorHAnsi"/>
        </w:rPr>
        <w:t>he strong labour market</w:t>
      </w:r>
      <w:r w:rsidR="007A289E" w:rsidRPr="007A289E">
        <w:rPr>
          <w:rFonts w:asciiTheme="minorHAnsi" w:eastAsia="Times New Roman" w:hAnsiTheme="minorHAnsi" w:cstheme="minorHAnsi"/>
        </w:rPr>
        <w:t xml:space="preserve"> </w:t>
      </w:r>
      <w:r w:rsidR="007A289E">
        <w:rPr>
          <w:rFonts w:asciiTheme="minorHAnsi" w:eastAsia="Times New Roman" w:hAnsiTheme="minorHAnsi" w:cstheme="minorHAnsi"/>
        </w:rPr>
        <w:t>in 2022, in conjunction with</w:t>
      </w:r>
      <w:r w:rsidR="00514F11">
        <w:rPr>
          <w:rFonts w:asciiTheme="minorHAnsi" w:eastAsia="Times New Roman" w:hAnsiTheme="minorHAnsi" w:cstheme="minorHAnsi"/>
        </w:rPr>
        <w:t xml:space="preserve"> increasing costs of living</w:t>
      </w:r>
      <w:r w:rsidR="007A289E">
        <w:rPr>
          <w:rFonts w:asciiTheme="minorHAnsi" w:eastAsia="Times New Roman" w:hAnsiTheme="minorHAnsi" w:cstheme="minorHAnsi"/>
        </w:rPr>
        <w:t>,</w:t>
      </w:r>
      <w:r w:rsidR="00514F11">
        <w:rPr>
          <w:rFonts w:asciiTheme="minorHAnsi" w:eastAsia="Times New Roman" w:hAnsiTheme="minorHAnsi" w:cstheme="minorHAnsi"/>
        </w:rPr>
        <w:t xml:space="preserve"> </w:t>
      </w:r>
      <w:r w:rsidR="007A289E">
        <w:rPr>
          <w:rFonts w:asciiTheme="minorHAnsi" w:eastAsia="Times New Roman" w:hAnsiTheme="minorHAnsi" w:cstheme="minorHAnsi"/>
        </w:rPr>
        <w:t>had a greater influence on</w:t>
      </w:r>
      <w:r w:rsidR="00514F11">
        <w:rPr>
          <w:rFonts w:asciiTheme="minorHAnsi" w:eastAsia="Times New Roman" w:hAnsiTheme="minorHAnsi" w:cstheme="minorHAnsi"/>
        </w:rPr>
        <w:t xml:space="preserve"> decision-making about higher education for students from low socio-economic backgrounds tha</w:t>
      </w:r>
      <w:r w:rsidR="007A289E">
        <w:rPr>
          <w:rFonts w:asciiTheme="minorHAnsi" w:eastAsia="Times New Roman" w:hAnsiTheme="minorHAnsi" w:cstheme="minorHAnsi"/>
        </w:rPr>
        <w:t>n for students from medium or high socio-economic backgrounds.</w:t>
      </w:r>
    </w:p>
    <w:p w14:paraId="1383DB6D" w14:textId="76B7817B" w:rsidR="00CA1D9D" w:rsidRPr="00DE2296" w:rsidRDefault="00CA1D9D" w:rsidP="00CA1D9D">
      <w:pPr>
        <w:pStyle w:val="ListParagraph"/>
        <w:numPr>
          <w:ilvl w:val="1"/>
          <w:numId w:val="24"/>
        </w:numPr>
        <w:spacing w:after="0" w:line="240" w:lineRule="auto"/>
        <w:contextualSpacing w:val="0"/>
        <w:rPr>
          <w:rFonts w:asciiTheme="minorHAnsi" w:eastAsia="Times New Roman" w:hAnsiTheme="minorHAnsi" w:cstheme="minorHAnsi"/>
        </w:rPr>
      </w:pPr>
      <w:r w:rsidRPr="00DE2296">
        <w:rPr>
          <w:rFonts w:asciiTheme="minorHAnsi" w:eastAsia="Times New Roman" w:hAnsiTheme="minorHAnsi" w:cstheme="minorHAnsi"/>
        </w:rPr>
        <w:t xml:space="preserve">The </w:t>
      </w:r>
      <w:r w:rsidR="00B2313A">
        <w:rPr>
          <w:rFonts w:asciiTheme="minorHAnsi" w:eastAsia="Times New Roman" w:hAnsiTheme="minorHAnsi" w:cstheme="minorHAnsi"/>
        </w:rPr>
        <w:t>proportion</w:t>
      </w:r>
      <w:r w:rsidRPr="00DE2296">
        <w:rPr>
          <w:rFonts w:asciiTheme="minorHAnsi" w:eastAsia="Times New Roman" w:hAnsiTheme="minorHAnsi" w:cstheme="minorHAnsi"/>
        </w:rPr>
        <w:t xml:space="preserve"> of </w:t>
      </w:r>
      <w:r w:rsidR="00B2313A">
        <w:rPr>
          <w:rFonts w:asciiTheme="minorHAnsi" w:eastAsia="Times New Roman" w:hAnsiTheme="minorHAnsi" w:cstheme="minorHAnsi"/>
        </w:rPr>
        <w:t xml:space="preserve">commencing </w:t>
      </w:r>
      <w:r w:rsidRPr="00DE2296">
        <w:rPr>
          <w:rFonts w:asciiTheme="minorHAnsi" w:eastAsia="Times New Roman" w:hAnsiTheme="minorHAnsi" w:cstheme="minorHAnsi"/>
        </w:rPr>
        <w:t xml:space="preserve">low SES students decreased from </w:t>
      </w:r>
      <w:r>
        <w:rPr>
          <w:rFonts w:asciiTheme="minorHAnsi" w:eastAsia="Times New Roman" w:hAnsiTheme="minorHAnsi" w:cstheme="minorHAnsi"/>
        </w:rPr>
        <w:t xml:space="preserve">17.1 </w:t>
      </w:r>
      <w:r w:rsidR="00B2313A">
        <w:rPr>
          <w:rFonts w:asciiTheme="minorHAnsi" w:eastAsia="Times New Roman" w:hAnsiTheme="minorHAnsi" w:cstheme="minorHAnsi"/>
        </w:rPr>
        <w:t xml:space="preserve">per cent </w:t>
      </w:r>
      <w:r>
        <w:rPr>
          <w:rFonts w:asciiTheme="minorHAnsi" w:eastAsia="Times New Roman" w:hAnsiTheme="minorHAnsi" w:cstheme="minorHAnsi"/>
        </w:rPr>
        <w:t>to 16.9</w:t>
      </w:r>
      <w:r w:rsidR="00B2313A">
        <w:rPr>
          <w:rFonts w:asciiTheme="minorHAnsi" w:eastAsia="Times New Roman" w:hAnsiTheme="minorHAnsi" w:cstheme="minorHAnsi"/>
        </w:rPr>
        <w:t xml:space="preserve"> per cent</w:t>
      </w:r>
      <w:r w:rsidRPr="00DE2296">
        <w:rPr>
          <w:rFonts w:asciiTheme="minorHAnsi" w:eastAsia="Times New Roman" w:hAnsiTheme="minorHAnsi" w:cstheme="minorHAnsi"/>
        </w:rPr>
        <w:t xml:space="preserve">. </w:t>
      </w:r>
    </w:p>
    <w:p w14:paraId="4485A51C" w14:textId="31E4083C" w:rsidR="00CA1D9D" w:rsidRDefault="00CA1D9D" w:rsidP="00CA1D9D">
      <w:pPr>
        <w:pStyle w:val="ListParagraph"/>
        <w:numPr>
          <w:ilvl w:val="1"/>
          <w:numId w:val="24"/>
        </w:numPr>
        <w:spacing w:after="0" w:line="240" w:lineRule="auto"/>
        <w:contextualSpacing w:val="0"/>
        <w:rPr>
          <w:rFonts w:asciiTheme="minorHAnsi" w:eastAsia="Times New Roman" w:hAnsiTheme="minorHAnsi" w:cstheme="minorHAnsi"/>
        </w:rPr>
      </w:pPr>
      <w:r w:rsidRPr="00DE2296">
        <w:rPr>
          <w:rFonts w:asciiTheme="minorHAnsi" w:eastAsia="Times New Roman" w:hAnsiTheme="minorHAnsi" w:cstheme="minorHAnsi"/>
        </w:rPr>
        <w:t xml:space="preserve">The </w:t>
      </w:r>
      <w:r w:rsidR="00B2313A">
        <w:rPr>
          <w:rFonts w:asciiTheme="minorHAnsi" w:eastAsia="Times New Roman" w:hAnsiTheme="minorHAnsi" w:cstheme="minorHAnsi"/>
        </w:rPr>
        <w:t xml:space="preserve">proportion of </w:t>
      </w:r>
      <w:r w:rsidRPr="00DE2296">
        <w:rPr>
          <w:rFonts w:asciiTheme="minorHAnsi" w:eastAsia="Times New Roman" w:hAnsiTheme="minorHAnsi" w:cstheme="minorHAnsi"/>
        </w:rPr>
        <w:t xml:space="preserve">low SES students </w:t>
      </w:r>
      <w:r w:rsidR="007A289E">
        <w:rPr>
          <w:rFonts w:asciiTheme="minorHAnsi" w:eastAsia="Times New Roman" w:hAnsiTheme="minorHAnsi" w:cstheme="minorHAnsi"/>
        </w:rPr>
        <w:t xml:space="preserve">overall </w:t>
      </w:r>
      <w:r w:rsidRPr="00DE2296">
        <w:rPr>
          <w:rFonts w:asciiTheme="minorHAnsi" w:eastAsia="Times New Roman" w:hAnsiTheme="minorHAnsi" w:cstheme="minorHAnsi"/>
        </w:rPr>
        <w:t>decreased from</w:t>
      </w:r>
      <w:r>
        <w:rPr>
          <w:rFonts w:asciiTheme="minorHAnsi" w:eastAsia="Times New Roman" w:hAnsiTheme="minorHAnsi" w:cstheme="minorHAnsi"/>
        </w:rPr>
        <w:t xml:space="preserve"> 16.8 </w:t>
      </w:r>
      <w:r w:rsidR="00B2313A">
        <w:rPr>
          <w:rFonts w:asciiTheme="minorHAnsi" w:eastAsia="Times New Roman" w:hAnsiTheme="minorHAnsi" w:cstheme="minorHAnsi"/>
        </w:rPr>
        <w:t xml:space="preserve">per cent </w:t>
      </w:r>
      <w:r>
        <w:rPr>
          <w:rFonts w:asciiTheme="minorHAnsi" w:eastAsia="Times New Roman" w:hAnsiTheme="minorHAnsi" w:cstheme="minorHAnsi"/>
        </w:rPr>
        <w:t>to 16.0</w:t>
      </w:r>
      <w:r w:rsidR="00B2313A">
        <w:rPr>
          <w:rFonts w:asciiTheme="minorHAnsi" w:eastAsia="Times New Roman" w:hAnsiTheme="minorHAnsi" w:cstheme="minorHAnsi"/>
        </w:rPr>
        <w:t xml:space="preserve"> per cent</w:t>
      </w:r>
      <w:r w:rsidRPr="00DE2296">
        <w:rPr>
          <w:rFonts w:asciiTheme="minorHAnsi" w:eastAsia="Times New Roman" w:hAnsiTheme="minorHAnsi" w:cstheme="minorHAnsi"/>
        </w:rPr>
        <w:t>.</w:t>
      </w:r>
    </w:p>
    <w:p w14:paraId="561C0C12" w14:textId="78EF363A" w:rsidR="00CA1D9D" w:rsidRDefault="00CA1D9D" w:rsidP="00CA1D9D">
      <w:pPr>
        <w:pStyle w:val="ListParagraph"/>
        <w:numPr>
          <w:ilvl w:val="0"/>
          <w:numId w:val="24"/>
        </w:numPr>
        <w:spacing w:after="0" w:line="240" w:lineRule="auto"/>
        <w:contextualSpacing w:val="0"/>
        <w:rPr>
          <w:rFonts w:asciiTheme="minorHAnsi" w:eastAsia="Times New Roman" w:hAnsiTheme="minorHAnsi" w:cstheme="minorHAnsi"/>
        </w:rPr>
      </w:pPr>
      <w:r w:rsidRPr="00DE2296">
        <w:rPr>
          <w:rFonts w:asciiTheme="minorHAnsi" w:eastAsia="Times New Roman" w:hAnsiTheme="minorHAnsi" w:cstheme="minorHAnsi"/>
        </w:rPr>
        <w:t xml:space="preserve">The </w:t>
      </w:r>
      <w:r w:rsidR="00EF00F2">
        <w:rPr>
          <w:rFonts w:asciiTheme="minorHAnsi" w:eastAsia="Times New Roman" w:hAnsiTheme="minorHAnsi" w:cstheme="minorHAnsi"/>
        </w:rPr>
        <w:t>proportion</w:t>
      </w:r>
      <w:r w:rsidRPr="00DE2296">
        <w:rPr>
          <w:rFonts w:asciiTheme="minorHAnsi" w:eastAsia="Times New Roman" w:hAnsiTheme="minorHAnsi" w:cstheme="minorHAnsi"/>
        </w:rPr>
        <w:t xml:space="preserve"> of </w:t>
      </w:r>
      <w:r>
        <w:rPr>
          <w:rFonts w:asciiTheme="minorHAnsi" w:eastAsia="Times New Roman" w:hAnsiTheme="minorHAnsi" w:cstheme="minorHAnsi"/>
        </w:rPr>
        <w:t>students with a disability continue</w:t>
      </w:r>
      <w:r w:rsidR="00C10417">
        <w:rPr>
          <w:rFonts w:asciiTheme="minorHAnsi" w:eastAsia="Times New Roman" w:hAnsiTheme="minorHAnsi" w:cstheme="minorHAnsi"/>
        </w:rPr>
        <w:t>d</w:t>
      </w:r>
      <w:r>
        <w:rPr>
          <w:rFonts w:asciiTheme="minorHAnsi" w:eastAsia="Times New Roman" w:hAnsiTheme="minorHAnsi" w:cstheme="minorHAnsi"/>
        </w:rPr>
        <w:t xml:space="preserve"> to grow after the definition was broadened in 2020.</w:t>
      </w:r>
    </w:p>
    <w:p w14:paraId="742C16FC" w14:textId="2564B01C" w:rsidR="00D36D78" w:rsidRDefault="00D36D78" w:rsidP="00CA1D9D">
      <w:pPr>
        <w:pStyle w:val="ListParagraph"/>
        <w:numPr>
          <w:ilvl w:val="0"/>
          <w:numId w:val="24"/>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 xml:space="preserve">The proportion of students </w:t>
      </w:r>
      <w:r w:rsidR="003369C2">
        <w:rPr>
          <w:rFonts w:asciiTheme="minorHAnsi" w:eastAsia="Times New Roman" w:hAnsiTheme="minorHAnsi" w:cstheme="minorHAnsi"/>
        </w:rPr>
        <w:t>who</w:t>
      </w:r>
      <w:r>
        <w:rPr>
          <w:rFonts w:asciiTheme="minorHAnsi" w:eastAsia="Times New Roman" w:hAnsiTheme="minorHAnsi" w:cstheme="minorHAnsi"/>
        </w:rPr>
        <w:t xml:space="preserve"> identify as First Nations remained constant at 2.1 per cent. </w:t>
      </w:r>
    </w:p>
    <w:p w14:paraId="2C666C33" w14:textId="34FACBBD" w:rsidR="00D36D78" w:rsidRDefault="00D36D78" w:rsidP="00CA1D9D">
      <w:pPr>
        <w:pStyle w:val="ListParagraph"/>
        <w:numPr>
          <w:ilvl w:val="0"/>
          <w:numId w:val="24"/>
        </w:numPr>
        <w:spacing w:after="0" w:line="240" w:lineRule="auto"/>
        <w:contextualSpacing w:val="0"/>
        <w:rPr>
          <w:rFonts w:asciiTheme="minorHAnsi" w:eastAsia="Times New Roman" w:hAnsiTheme="minorHAnsi" w:cstheme="minorHAnsi"/>
        </w:rPr>
      </w:pPr>
      <w:r>
        <w:rPr>
          <w:rFonts w:asciiTheme="minorHAnsi" w:eastAsia="Times New Roman" w:hAnsiTheme="minorHAnsi" w:cstheme="minorHAnsi"/>
        </w:rPr>
        <w:t>The proportion of student</w:t>
      </w:r>
      <w:r w:rsidR="001C054E">
        <w:rPr>
          <w:rFonts w:asciiTheme="minorHAnsi" w:eastAsia="Times New Roman" w:hAnsiTheme="minorHAnsi" w:cstheme="minorHAnsi"/>
        </w:rPr>
        <w:t>s</w:t>
      </w:r>
      <w:r>
        <w:rPr>
          <w:rFonts w:asciiTheme="minorHAnsi" w:eastAsia="Times New Roman" w:hAnsiTheme="minorHAnsi" w:cstheme="minorHAnsi"/>
        </w:rPr>
        <w:t xml:space="preserve"> from region</w:t>
      </w:r>
      <w:r w:rsidR="00457087">
        <w:rPr>
          <w:rFonts w:asciiTheme="minorHAnsi" w:eastAsia="Times New Roman" w:hAnsiTheme="minorHAnsi" w:cstheme="minorHAnsi"/>
        </w:rPr>
        <w:t>al</w:t>
      </w:r>
      <w:r>
        <w:rPr>
          <w:rFonts w:asciiTheme="minorHAnsi" w:eastAsia="Times New Roman" w:hAnsiTheme="minorHAnsi" w:cstheme="minorHAnsi"/>
        </w:rPr>
        <w:t xml:space="preserve"> and remote areas remained constant at 19.2 per cent. </w:t>
      </w:r>
    </w:p>
    <w:p w14:paraId="3F24AA56" w14:textId="333F3061" w:rsidR="00CA1D9D" w:rsidRDefault="00CA1D9D" w:rsidP="00CA1D9D">
      <w:pPr>
        <w:pStyle w:val="Heading3"/>
      </w:pPr>
      <w:bookmarkStart w:id="10" w:name="_Toc152149413"/>
      <w:r>
        <w:lastRenderedPageBreak/>
        <w:t xml:space="preserve">The 2021 adjusted attrition rate increased after low rates </w:t>
      </w:r>
      <w:r w:rsidRPr="00CA1D9D">
        <w:t>observed</w:t>
      </w:r>
      <w:r>
        <w:t xml:space="preserve"> during the </w:t>
      </w:r>
      <w:proofErr w:type="gramStart"/>
      <w:r>
        <w:t>pandemic</w:t>
      </w:r>
      <w:bookmarkEnd w:id="10"/>
      <w:proofErr w:type="gramEnd"/>
    </w:p>
    <w:p w14:paraId="4155BF2B" w14:textId="7F955AB4" w:rsidR="00CA1D9D" w:rsidRPr="00DE098A" w:rsidRDefault="00CA1D9D" w:rsidP="00CA1D9D">
      <w:pPr>
        <w:rPr>
          <w:rFonts w:cstheme="minorHAnsi"/>
        </w:rPr>
      </w:pPr>
      <w:r w:rsidRPr="00DE098A">
        <w:rPr>
          <w:rFonts w:cstheme="minorHAnsi"/>
        </w:rPr>
        <w:t xml:space="preserve">Figure </w:t>
      </w:r>
      <w:r w:rsidR="009136A3">
        <w:rPr>
          <w:rFonts w:cstheme="minorHAnsi"/>
        </w:rPr>
        <w:t>7</w:t>
      </w:r>
      <w:r w:rsidRPr="00DE098A">
        <w:rPr>
          <w:rFonts w:cstheme="minorHAnsi"/>
        </w:rPr>
        <w:t>: Adjusted attrition rate for</w:t>
      </w:r>
      <w:r w:rsidR="00BD523F">
        <w:rPr>
          <w:rFonts w:cstheme="minorHAnsi"/>
        </w:rPr>
        <w:t xml:space="preserve"> commencing</w:t>
      </w:r>
      <w:r w:rsidRPr="00DE098A">
        <w:rPr>
          <w:rFonts w:cstheme="minorHAnsi"/>
        </w:rPr>
        <w:t xml:space="preserve"> domestic bachelor students, selected Table A and B institutions 2012-2021</w:t>
      </w:r>
    </w:p>
    <w:p w14:paraId="1193BA27" w14:textId="77777777" w:rsidR="00CA1D9D" w:rsidRDefault="00CA1D9D" w:rsidP="00CA1D9D">
      <w:r>
        <w:rPr>
          <w:noProof/>
          <w14:ligatures w14:val="standardContextual"/>
        </w:rPr>
        <w:drawing>
          <wp:inline distT="0" distB="0" distL="0" distR="0" wp14:anchorId="5D3B55BD" wp14:editId="7F8B054C">
            <wp:extent cx="6124575" cy="3495675"/>
            <wp:effectExtent l="0" t="0" r="0" b="0"/>
            <wp:docPr id="1240149116" name="Chart 1">
              <a:extLst xmlns:a="http://schemas.openxmlformats.org/drawingml/2006/main">
                <a:ext uri="{FF2B5EF4-FFF2-40B4-BE49-F238E27FC236}">
                  <a16:creationId xmlns:a16="http://schemas.microsoft.com/office/drawing/2014/main" id="{09A088E8-B9E9-498D-9616-DC353F637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59225D" w14:textId="326F5646" w:rsidR="00CA1D9D" w:rsidRDefault="00CA1D9D" w:rsidP="00CA1D9D">
      <w:pPr>
        <w:rPr>
          <w:rFonts w:cstheme="minorHAnsi"/>
        </w:rPr>
      </w:pPr>
      <w:r w:rsidRPr="009D1956">
        <w:rPr>
          <w:rFonts w:cstheme="minorHAnsi"/>
        </w:rPr>
        <w:t xml:space="preserve">[Data </w:t>
      </w:r>
      <w:r>
        <w:rPr>
          <w:rFonts w:cstheme="minorHAnsi"/>
        </w:rPr>
        <w:t>can be found in</w:t>
      </w:r>
      <w:r w:rsidR="001879BF">
        <w:rPr>
          <w:rFonts w:cstheme="minorHAnsi"/>
        </w:rPr>
        <w:t xml:space="preserve"> the </w:t>
      </w:r>
      <w:hyperlink r:id="rId26" w:history="1">
        <w:r w:rsidR="001879BF" w:rsidRPr="001879BF">
          <w:rPr>
            <w:rStyle w:val="Hyperlink"/>
            <w:rFonts w:cstheme="minorHAnsi"/>
          </w:rPr>
          <w:t>2022 Section 15 Attrition, success and retention</w:t>
        </w:r>
      </w:hyperlink>
      <w:r w:rsidRPr="009D1956">
        <w:rPr>
          <w:rFonts w:cstheme="minorHAnsi"/>
        </w:rPr>
        <w:t>]</w:t>
      </w:r>
    </w:p>
    <w:p w14:paraId="451DCEF8" w14:textId="6E98C5E2" w:rsidR="00102B00" w:rsidRDefault="00102B00" w:rsidP="00CA1D9D">
      <w:pPr>
        <w:pStyle w:val="ListParagraph"/>
        <w:numPr>
          <w:ilvl w:val="0"/>
          <w:numId w:val="26"/>
        </w:numPr>
        <w:rPr>
          <w:rFonts w:asciiTheme="minorHAnsi" w:hAnsiTheme="minorHAnsi" w:cstheme="minorHAnsi"/>
        </w:rPr>
      </w:pPr>
      <w:r>
        <w:rPr>
          <w:rFonts w:asciiTheme="minorHAnsi" w:hAnsiTheme="minorHAnsi" w:cstheme="minorHAnsi"/>
        </w:rPr>
        <w:t>The adjusted attrition rate</w:t>
      </w:r>
      <w:r w:rsidRPr="00AC36C3">
        <w:rPr>
          <w:rStyle w:val="FootnoteReference"/>
          <w:rFonts w:asciiTheme="minorHAnsi" w:hAnsiTheme="minorHAnsi" w:cstheme="minorHAnsi"/>
        </w:rPr>
        <w:footnoteReference w:id="9"/>
      </w:r>
      <w:r w:rsidRPr="00AC36C3">
        <w:rPr>
          <w:rFonts w:asciiTheme="minorHAnsi" w:hAnsiTheme="minorHAnsi" w:cstheme="minorHAnsi"/>
        </w:rPr>
        <w:t xml:space="preserve"> </w:t>
      </w:r>
      <w:r>
        <w:rPr>
          <w:rFonts w:asciiTheme="minorHAnsi" w:hAnsiTheme="minorHAnsi" w:cstheme="minorHAnsi"/>
        </w:rPr>
        <w:t xml:space="preserve"> attempts to capture the proportion of domestic bachelor students who discontinue study after the initial year. </w:t>
      </w:r>
    </w:p>
    <w:p w14:paraId="55882C77" w14:textId="25B022DD" w:rsidR="00CA1D9D" w:rsidRPr="00AC36C3" w:rsidRDefault="00CA1D9D" w:rsidP="00CA1D9D">
      <w:pPr>
        <w:pStyle w:val="ListParagraph"/>
        <w:numPr>
          <w:ilvl w:val="0"/>
          <w:numId w:val="26"/>
        </w:numPr>
        <w:rPr>
          <w:rFonts w:asciiTheme="minorHAnsi" w:hAnsiTheme="minorHAnsi" w:cstheme="minorHAnsi"/>
        </w:rPr>
      </w:pPr>
      <w:r w:rsidRPr="00AC36C3">
        <w:rPr>
          <w:rFonts w:asciiTheme="minorHAnsi" w:hAnsiTheme="minorHAnsi" w:cstheme="minorHAnsi"/>
        </w:rPr>
        <w:t>The adjusted attrition rate</w:t>
      </w:r>
      <w:r w:rsidR="005F40D0">
        <w:rPr>
          <w:rFonts w:asciiTheme="minorHAnsi" w:hAnsiTheme="minorHAnsi" w:cstheme="minorHAnsi"/>
        </w:rPr>
        <w:t xml:space="preserve"> </w:t>
      </w:r>
      <w:r w:rsidRPr="00AC36C3">
        <w:rPr>
          <w:rFonts w:asciiTheme="minorHAnsi" w:hAnsiTheme="minorHAnsi" w:cstheme="minorHAnsi"/>
        </w:rPr>
        <w:t>in 2021 increased to 14.73 per cent, an increase of 2 percentage points from 2020.</w:t>
      </w:r>
    </w:p>
    <w:p w14:paraId="641EB39C" w14:textId="2975FB72" w:rsidR="00CA1D9D" w:rsidRPr="00AC36C3" w:rsidRDefault="00CA1D9D" w:rsidP="00CA1D9D">
      <w:pPr>
        <w:pStyle w:val="ListParagraph"/>
        <w:numPr>
          <w:ilvl w:val="0"/>
          <w:numId w:val="26"/>
        </w:numPr>
        <w:rPr>
          <w:rFonts w:asciiTheme="minorHAnsi" w:hAnsiTheme="minorHAnsi" w:cstheme="minorHAnsi"/>
        </w:rPr>
      </w:pPr>
      <w:r w:rsidRPr="00AC36C3">
        <w:rPr>
          <w:rFonts w:asciiTheme="minorHAnsi" w:hAnsiTheme="minorHAnsi" w:cstheme="minorHAnsi"/>
        </w:rPr>
        <w:t xml:space="preserve">The majority of Table A and B higher education institutions </w:t>
      </w:r>
      <w:r w:rsidR="00AC36C3" w:rsidRPr="00AC36C3">
        <w:rPr>
          <w:rFonts w:asciiTheme="minorHAnsi" w:hAnsiTheme="minorHAnsi" w:cstheme="minorHAnsi"/>
        </w:rPr>
        <w:t>had</w:t>
      </w:r>
      <w:r w:rsidRPr="00AC36C3">
        <w:rPr>
          <w:rFonts w:asciiTheme="minorHAnsi" w:hAnsiTheme="minorHAnsi" w:cstheme="minorHAnsi"/>
        </w:rPr>
        <w:t xml:space="preserve"> increased attrition</w:t>
      </w:r>
      <w:r w:rsidR="00D53AF6">
        <w:rPr>
          <w:rFonts w:asciiTheme="minorHAnsi" w:hAnsiTheme="minorHAnsi" w:cstheme="minorHAnsi"/>
        </w:rPr>
        <w:t xml:space="preserve"> rates</w:t>
      </w:r>
      <w:r w:rsidRPr="00AC36C3">
        <w:rPr>
          <w:rFonts w:asciiTheme="minorHAnsi" w:hAnsiTheme="minorHAnsi" w:cstheme="minorHAnsi"/>
        </w:rPr>
        <w:t xml:space="preserve"> in 2021 compared to 2020. </w:t>
      </w:r>
    </w:p>
    <w:p w14:paraId="2DFE4F8B" w14:textId="77777777" w:rsidR="00CA1D9D" w:rsidRPr="00AC36C3" w:rsidRDefault="00CA1D9D" w:rsidP="00CA1D9D">
      <w:pPr>
        <w:pStyle w:val="ListParagraph"/>
        <w:numPr>
          <w:ilvl w:val="0"/>
          <w:numId w:val="26"/>
        </w:numPr>
        <w:spacing w:after="0"/>
        <w:ind w:left="714" w:hanging="357"/>
        <w:rPr>
          <w:rFonts w:asciiTheme="minorHAnsi" w:hAnsiTheme="minorHAnsi" w:cstheme="minorHAnsi"/>
        </w:rPr>
      </w:pPr>
      <w:r w:rsidRPr="00AC36C3">
        <w:rPr>
          <w:rFonts w:asciiTheme="minorHAnsi" w:hAnsiTheme="minorHAnsi" w:cstheme="minorHAnsi"/>
        </w:rPr>
        <w:t>The University of New South Wales, the University of Melbourne and Monash University remain the top 3 performing universities in terms of attrition rates, generally around 5 per cent or lower.</w:t>
      </w:r>
    </w:p>
    <w:p w14:paraId="103E5A12" w14:textId="04490406" w:rsidR="00CA1D9D" w:rsidRDefault="00CA1D9D" w:rsidP="00CA1D9D">
      <w:pPr>
        <w:pStyle w:val="MBPoint"/>
        <w:numPr>
          <w:ilvl w:val="0"/>
          <w:numId w:val="26"/>
        </w:numPr>
        <w:spacing w:after="0"/>
        <w:ind w:left="714" w:hanging="357"/>
        <w:rPr>
          <w:rFonts w:asciiTheme="minorHAnsi" w:hAnsiTheme="minorHAnsi" w:cstheme="minorHAnsi"/>
          <w:sz w:val="22"/>
          <w:szCs w:val="22"/>
        </w:rPr>
      </w:pPr>
      <w:r w:rsidRPr="00AC36C3">
        <w:rPr>
          <w:rFonts w:asciiTheme="minorHAnsi" w:hAnsiTheme="minorHAnsi" w:cstheme="minorHAnsi"/>
          <w:sz w:val="22"/>
          <w:szCs w:val="22"/>
        </w:rPr>
        <w:t xml:space="preserve">The bottom 3 performing higher education institutions also remained unchanged from 2020, Southern Cross University, The University of New England and CQUniversity. These universities have attrition rates </w:t>
      </w:r>
      <w:r w:rsidR="00AC36C3" w:rsidRPr="00AC36C3">
        <w:rPr>
          <w:rFonts w:asciiTheme="minorHAnsi" w:hAnsiTheme="minorHAnsi" w:cstheme="minorHAnsi"/>
          <w:sz w:val="22"/>
          <w:szCs w:val="22"/>
        </w:rPr>
        <w:t>1.5 times more than</w:t>
      </w:r>
      <w:r w:rsidRPr="00AC36C3">
        <w:rPr>
          <w:rFonts w:asciiTheme="minorHAnsi" w:hAnsiTheme="minorHAnsi" w:cstheme="minorHAnsi"/>
          <w:sz w:val="22"/>
          <w:szCs w:val="22"/>
        </w:rPr>
        <w:t xml:space="preserve"> the average. </w:t>
      </w:r>
    </w:p>
    <w:p w14:paraId="5A079C55" w14:textId="3F638F41" w:rsidR="00D53AF6" w:rsidRPr="00AC36C3" w:rsidRDefault="00D53AF6" w:rsidP="00CA1D9D">
      <w:pPr>
        <w:pStyle w:val="MBPoint"/>
        <w:numPr>
          <w:ilvl w:val="0"/>
          <w:numId w:val="26"/>
        </w:numPr>
        <w:spacing w:after="0"/>
        <w:ind w:left="714" w:hanging="357"/>
        <w:rPr>
          <w:rFonts w:asciiTheme="minorHAnsi" w:hAnsiTheme="minorHAnsi" w:cstheme="minorHAnsi"/>
          <w:sz w:val="22"/>
          <w:szCs w:val="22"/>
        </w:rPr>
      </w:pPr>
      <w:r>
        <w:rPr>
          <w:rFonts w:asciiTheme="minorHAnsi" w:hAnsiTheme="minorHAnsi" w:cstheme="minorHAnsi"/>
          <w:sz w:val="22"/>
          <w:szCs w:val="22"/>
        </w:rPr>
        <w:t>Attrition rates at non-university higher education institutions continue to be volatile due to the small size of these institutes.</w:t>
      </w:r>
    </w:p>
    <w:p w14:paraId="6B2FC99E" w14:textId="6B79C49A" w:rsidR="00CA1D9D" w:rsidRDefault="00CA1D9D" w:rsidP="00AC36C3">
      <w:pPr>
        <w:pStyle w:val="Heading3"/>
      </w:pPr>
      <w:bookmarkStart w:id="11" w:name="_Toc152149414"/>
      <w:r>
        <w:lastRenderedPageBreak/>
        <w:t xml:space="preserve">The </w:t>
      </w:r>
      <w:r w:rsidR="001F342F">
        <w:t>six</w:t>
      </w:r>
      <w:r>
        <w:t>-year completion rate is the lowest on record</w:t>
      </w:r>
      <w:r w:rsidR="00D7426E">
        <w:t xml:space="preserve"> in </w:t>
      </w:r>
      <w:proofErr w:type="gramStart"/>
      <w:r w:rsidR="00D7426E">
        <w:t>2022</w:t>
      </w:r>
      <w:bookmarkEnd w:id="11"/>
      <w:proofErr w:type="gramEnd"/>
    </w:p>
    <w:p w14:paraId="2356A21E" w14:textId="238A173C" w:rsidR="00CA1D9D" w:rsidRDefault="00CA1D9D" w:rsidP="00CA1D9D">
      <w:r>
        <w:t xml:space="preserve">Figure </w:t>
      </w:r>
      <w:r w:rsidR="009136A3">
        <w:t>8</w:t>
      </w:r>
      <w:r>
        <w:t xml:space="preserve">: Completion and engagement rates for Table A and B institutions, </w:t>
      </w:r>
      <w:r w:rsidR="00BD523F">
        <w:t xml:space="preserve">commencing </w:t>
      </w:r>
      <w:r>
        <w:t>domestic bachelor students, 2005 to 2019 cohorts</w:t>
      </w:r>
      <w:r w:rsidR="00AC36C3">
        <w:t>.</w:t>
      </w:r>
    </w:p>
    <w:p w14:paraId="4D962C25" w14:textId="77777777" w:rsidR="00CA1D9D" w:rsidRDefault="00CA1D9D" w:rsidP="00CA1D9D">
      <w:r>
        <w:rPr>
          <w:noProof/>
          <w14:ligatures w14:val="standardContextual"/>
        </w:rPr>
        <w:drawing>
          <wp:inline distT="0" distB="0" distL="0" distR="0" wp14:anchorId="30507BEE" wp14:editId="13572C93">
            <wp:extent cx="5295900" cy="2933700"/>
            <wp:effectExtent l="0" t="0" r="0" b="0"/>
            <wp:docPr id="450789453" name="Chart 1">
              <a:extLst xmlns:a="http://schemas.openxmlformats.org/drawingml/2006/main">
                <a:ext uri="{FF2B5EF4-FFF2-40B4-BE49-F238E27FC236}">
                  <a16:creationId xmlns:a16="http://schemas.microsoft.com/office/drawing/2014/main" id="{85B885EC-D7D4-4E2D-B07A-58866AB6E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52859B7" w14:textId="6725808E" w:rsidR="00CA1D9D" w:rsidRPr="00550A99" w:rsidRDefault="00CA1D9D" w:rsidP="00CA1D9D">
      <w:pPr>
        <w:rPr>
          <w:rFonts w:cstheme="minorHAnsi"/>
        </w:rPr>
      </w:pPr>
      <w:r w:rsidRPr="009D1956">
        <w:rPr>
          <w:rFonts w:cstheme="minorHAnsi"/>
        </w:rPr>
        <w:t xml:space="preserve">[Data </w:t>
      </w:r>
      <w:r>
        <w:rPr>
          <w:rFonts w:cstheme="minorHAnsi"/>
        </w:rPr>
        <w:t>can be found in</w:t>
      </w:r>
      <w:r w:rsidR="001879BF">
        <w:t xml:space="preserve"> the </w:t>
      </w:r>
      <w:hyperlink r:id="rId28" w:history="1">
        <w:r w:rsidR="001879BF" w:rsidRPr="001879BF">
          <w:rPr>
            <w:rStyle w:val="Hyperlink"/>
          </w:rPr>
          <w:t>completion rates of Higher Education students – cohort analysis 2005-2022</w:t>
        </w:r>
      </w:hyperlink>
      <w:r w:rsidRPr="009D1956">
        <w:rPr>
          <w:rFonts w:cstheme="minorHAnsi"/>
        </w:rPr>
        <w:t>]</w:t>
      </w:r>
    </w:p>
    <w:p w14:paraId="66C515A1" w14:textId="704CB16E" w:rsidR="000950DB" w:rsidRDefault="000950DB" w:rsidP="00CA1D9D">
      <w:pPr>
        <w:pStyle w:val="MBPoint"/>
        <w:numPr>
          <w:ilvl w:val="0"/>
          <w:numId w:val="28"/>
        </w:numPr>
        <w:rPr>
          <w:rFonts w:asciiTheme="minorHAnsi" w:hAnsiTheme="minorHAnsi" w:cstheme="minorHAnsi"/>
          <w:sz w:val="22"/>
          <w:szCs w:val="22"/>
        </w:rPr>
      </w:pPr>
      <w:r>
        <w:rPr>
          <w:rFonts w:asciiTheme="minorHAnsi" w:hAnsiTheme="minorHAnsi" w:cstheme="minorHAnsi"/>
          <w:sz w:val="22"/>
          <w:szCs w:val="22"/>
        </w:rPr>
        <w:t xml:space="preserve">The department tracks outcomes for higher education student cohorts over time. The </w:t>
      </w:r>
      <w:r w:rsidRPr="00AC36C3">
        <w:rPr>
          <w:rFonts w:asciiTheme="minorHAnsi" w:hAnsiTheme="minorHAnsi" w:cstheme="minorHAnsi"/>
          <w:sz w:val="22"/>
          <w:szCs w:val="22"/>
        </w:rPr>
        <w:t>completion</w:t>
      </w:r>
      <w:r w:rsidRPr="00AC36C3">
        <w:rPr>
          <w:rStyle w:val="FootnoteReference"/>
          <w:rFonts w:asciiTheme="minorHAnsi" w:hAnsiTheme="minorHAnsi" w:cstheme="minorHAnsi"/>
          <w:sz w:val="22"/>
          <w:szCs w:val="22"/>
        </w:rPr>
        <w:footnoteReference w:id="10"/>
      </w:r>
      <w:r w:rsidRPr="00AC36C3">
        <w:rPr>
          <w:rFonts w:asciiTheme="minorHAnsi" w:hAnsiTheme="minorHAnsi" w:cstheme="minorHAnsi"/>
          <w:sz w:val="22"/>
          <w:szCs w:val="22"/>
        </w:rPr>
        <w:t xml:space="preserve"> </w:t>
      </w:r>
      <w:r>
        <w:rPr>
          <w:rFonts w:asciiTheme="minorHAnsi" w:hAnsiTheme="minorHAnsi" w:cstheme="minorHAnsi"/>
          <w:sz w:val="22"/>
          <w:szCs w:val="22"/>
        </w:rPr>
        <w:t>rates show the percentage of students who have completed their study 4 or 6 years after they commenced their course. Engagement rates show the percentage of students who have completed or are still enrolled 4 or 6 years after they commenced their course.</w:t>
      </w:r>
    </w:p>
    <w:p w14:paraId="480685E4" w14:textId="05CAF42E" w:rsidR="00CA1D9D" w:rsidRDefault="00CA1D9D" w:rsidP="00CA1D9D">
      <w:pPr>
        <w:pStyle w:val="MBPoint"/>
        <w:numPr>
          <w:ilvl w:val="0"/>
          <w:numId w:val="28"/>
        </w:numPr>
        <w:rPr>
          <w:rFonts w:asciiTheme="minorHAnsi" w:hAnsiTheme="minorHAnsi" w:cstheme="minorHAnsi"/>
          <w:sz w:val="22"/>
          <w:szCs w:val="22"/>
        </w:rPr>
      </w:pPr>
      <w:r w:rsidRPr="00AC36C3">
        <w:rPr>
          <w:rFonts w:asciiTheme="minorHAnsi" w:hAnsiTheme="minorHAnsi" w:cstheme="minorHAnsi"/>
          <w:sz w:val="22"/>
          <w:szCs w:val="22"/>
        </w:rPr>
        <w:t>The six-year completion rate for</w:t>
      </w:r>
      <w:r w:rsidR="00BD523F">
        <w:rPr>
          <w:rFonts w:asciiTheme="minorHAnsi" w:hAnsiTheme="minorHAnsi" w:cstheme="minorHAnsi"/>
          <w:sz w:val="22"/>
          <w:szCs w:val="22"/>
        </w:rPr>
        <w:t xml:space="preserve"> commencing</w:t>
      </w:r>
      <w:r w:rsidRPr="00AC36C3">
        <w:rPr>
          <w:rFonts w:asciiTheme="minorHAnsi" w:hAnsiTheme="minorHAnsi" w:cstheme="minorHAnsi"/>
          <w:sz w:val="22"/>
          <w:szCs w:val="22"/>
        </w:rPr>
        <w:t xml:space="preserve"> domestic bachelor students at Table A and B institutions decreased between the 2016 commencing cohort (62.6 per cent) and the 2017 commencing cohort (61.8 per cent). This is the lowest recorded six-year completion rate. </w:t>
      </w:r>
    </w:p>
    <w:p w14:paraId="6EAD15D5" w14:textId="3402AF29" w:rsidR="004866C9" w:rsidRPr="00AC36C3" w:rsidRDefault="004866C9" w:rsidP="00CA1D9D">
      <w:pPr>
        <w:pStyle w:val="MBPoint"/>
        <w:numPr>
          <w:ilvl w:val="0"/>
          <w:numId w:val="28"/>
        </w:numPr>
        <w:rPr>
          <w:rFonts w:asciiTheme="minorHAnsi" w:hAnsiTheme="minorHAnsi" w:cstheme="minorHAnsi"/>
          <w:sz w:val="22"/>
          <w:szCs w:val="22"/>
        </w:rPr>
      </w:pPr>
      <w:r>
        <w:rPr>
          <w:rFonts w:asciiTheme="minorHAnsi" w:hAnsiTheme="minorHAnsi" w:cstheme="minorHAnsi"/>
          <w:sz w:val="22"/>
          <w:szCs w:val="22"/>
        </w:rPr>
        <w:t xml:space="preserve">Data shows students have been studying fewer units on average over the past 5 years, in particular the proportion of students studying 4 units or less has increased from 44 per cent in 2018 to 47 per cent in 2022. This slows completion rates. </w:t>
      </w:r>
    </w:p>
    <w:p w14:paraId="3D4B4F73" w14:textId="77777777" w:rsidR="00CA1D9D" w:rsidRPr="00AC36C3" w:rsidRDefault="00CA1D9D" w:rsidP="00CA1D9D">
      <w:pPr>
        <w:pStyle w:val="MBPoint"/>
        <w:numPr>
          <w:ilvl w:val="0"/>
          <w:numId w:val="28"/>
        </w:numPr>
        <w:rPr>
          <w:rFonts w:asciiTheme="minorHAnsi" w:hAnsiTheme="minorHAnsi" w:cstheme="minorHAnsi"/>
          <w:sz w:val="22"/>
          <w:szCs w:val="22"/>
        </w:rPr>
      </w:pPr>
      <w:r w:rsidRPr="00AC36C3">
        <w:rPr>
          <w:rFonts w:asciiTheme="minorHAnsi" w:hAnsiTheme="minorHAnsi" w:cstheme="minorHAnsi"/>
          <w:sz w:val="22"/>
          <w:szCs w:val="22"/>
        </w:rPr>
        <w:t xml:space="preserve">The proportion of students engaged in higher education (students who have either completed or are still enrolled) after six years decreased from 75.9 per cent for the 2016 commencing cohort to 74.6 per cent for the 2017 commencing cohort.  </w:t>
      </w:r>
    </w:p>
    <w:p w14:paraId="0D33BD88" w14:textId="2C9585B5" w:rsidR="00CA1D9D" w:rsidRPr="00AC36C3" w:rsidRDefault="00CA1D9D" w:rsidP="00CA1D9D">
      <w:pPr>
        <w:pStyle w:val="MBPoint"/>
        <w:numPr>
          <w:ilvl w:val="0"/>
          <w:numId w:val="28"/>
        </w:numPr>
        <w:rPr>
          <w:rFonts w:asciiTheme="minorHAnsi" w:hAnsiTheme="minorHAnsi" w:cstheme="minorHAnsi"/>
        </w:rPr>
      </w:pPr>
      <w:r w:rsidRPr="00AC36C3">
        <w:rPr>
          <w:rFonts w:asciiTheme="minorHAnsi" w:hAnsiTheme="minorHAnsi" w:cstheme="minorHAnsi"/>
          <w:sz w:val="22"/>
          <w:szCs w:val="22"/>
        </w:rPr>
        <w:t xml:space="preserve">The four-year completion rate for </w:t>
      </w:r>
      <w:r w:rsidR="00BD523F" w:rsidRPr="00AC36C3">
        <w:rPr>
          <w:rFonts w:asciiTheme="minorHAnsi" w:hAnsiTheme="minorHAnsi" w:cstheme="minorHAnsi"/>
          <w:sz w:val="22"/>
          <w:szCs w:val="22"/>
        </w:rPr>
        <w:t xml:space="preserve">commencing </w:t>
      </w:r>
      <w:r w:rsidRPr="00AC36C3">
        <w:rPr>
          <w:rFonts w:asciiTheme="minorHAnsi" w:hAnsiTheme="minorHAnsi" w:cstheme="minorHAnsi"/>
          <w:sz w:val="22"/>
          <w:szCs w:val="22"/>
        </w:rPr>
        <w:t>domestic bachelor students at Table A and B institutions decreased by 0.</w:t>
      </w:r>
      <w:r w:rsidR="00F45D3A">
        <w:rPr>
          <w:rFonts w:asciiTheme="minorHAnsi" w:hAnsiTheme="minorHAnsi" w:cstheme="minorHAnsi"/>
          <w:sz w:val="22"/>
          <w:szCs w:val="22"/>
        </w:rPr>
        <w:t>1</w:t>
      </w:r>
      <w:r w:rsidRPr="00AC36C3">
        <w:rPr>
          <w:rFonts w:asciiTheme="minorHAnsi" w:hAnsiTheme="minorHAnsi" w:cstheme="minorHAnsi"/>
          <w:sz w:val="22"/>
          <w:szCs w:val="22"/>
        </w:rPr>
        <w:t xml:space="preserve"> percentage points from 41.0 per cent for the 2018 commencing cohort to 40.9 per cent for the 2019 commencing cohort. The latest four-year </w:t>
      </w:r>
      <w:r w:rsidRPr="00AC36C3">
        <w:rPr>
          <w:rFonts w:asciiTheme="minorHAnsi" w:hAnsiTheme="minorHAnsi" w:cstheme="minorHAnsi"/>
          <w:sz w:val="22"/>
          <w:szCs w:val="22"/>
        </w:rPr>
        <w:lastRenderedPageBreak/>
        <w:t>completion rate is the lowest recorded in the time series</w:t>
      </w:r>
      <w:r w:rsidR="00AC36C3">
        <w:rPr>
          <w:rFonts w:asciiTheme="minorHAnsi" w:hAnsiTheme="minorHAnsi" w:cstheme="minorHAnsi"/>
          <w:sz w:val="22"/>
          <w:szCs w:val="22"/>
        </w:rPr>
        <w:t xml:space="preserve"> which has been trending down since 2005.</w:t>
      </w:r>
    </w:p>
    <w:p w14:paraId="09AD45D3" w14:textId="69ED55D7" w:rsidR="00441331" w:rsidRDefault="00CA1D9D" w:rsidP="00A03232">
      <w:pPr>
        <w:pStyle w:val="MBPoint"/>
        <w:numPr>
          <w:ilvl w:val="0"/>
          <w:numId w:val="28"/>
        </w:numPr>
      </w:pPr>
      <w:r w:rsidRPr="001879BF">
        <w:rPr>
          <w:rFonts w:asciiTheme="minorHAnsi" w:hAnsiTheme="minorHAnsi" w:cstheme="minorHAnsi"/>
          <w:sz w:val="22"/>
          <w:szCs w:val="22"/>
        </w:rPr>
        <w:t>The proportion of students engaged in higher education (students who have either completed or are still enrolled) after four years has also decreased, from 78.9 per cent for the 2018 commencing cohort to 78.3 per cent for the 2019 commencing cohort.</w:t>
      </w:r>
      <w:bookmarkEnd w:id="0"/>
      <w:bookmarkEnd w:id="1"/>
      <w:bookmarkEnd w:id="2"/>
    </w:p>
    <w:sectPr w:rsidR="00441331" w:rsidSect="008C22B5">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1407" w14:textId="77777777" w:rsidR="00531775" w:rsidRDefault="00531775" w:rsidP="000A6228">
      <w:pPr>
        <w:spacing w:after="0" w:line="240" w:lineRule="auto"/>
      </w:pPr>
      <w:r>
        <w:separator/>
      </w:r>
    </w:p>
  </w:endnote>
  <w:endnote w:type="continuationSeparator" w:id="0">
    <w:p w14:paraId="450181DE" w14:textId="77777777" w:rsidR="00531775" w:rsidRDefault="0053177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532A" w14:textId="74892AE4" w:rsidR="00D86284" w:rsidRDefault="004B3150">
    <w:pPr>
      <w:pStyle w:val="Footer"/>
    </w:pPr>
    <w:r>
      <w:fldChar w:fldCharType="begin"/>
    </w:r>
    <w:r>
      <w:instrText xml:space="preserve"> PAGE   \* MERGEFORMAT </w:instrText>
    </w:r>
    <w:r>
      <w:fldChar w:fldCharType="separate"/>
    </w:r>
    <w:r>
      <w:rPr>
        <w:noProof/>
      </w:rPr>
      <w:t>1</w:t>
    </w:r>
    <w:r>
      <w:rPr>
        <w:noProof/>
      </w:rPr>
      <w:fldChar w:fldCharType="end"/>
    </w:r>
    <w:r w:rsidR="00D86284">
      <w:rPr>
        <w:noProof/>
      </w:rPr>
      <w:drawing>
        <wp:anchor distT="0" distB="0" distL="114300" distR="114300" simplePos="0" relativeHeight="251659776" behindDoc="1" locked="1" layoutInCell="1" allowOverlap="1" wp14:anchorId="7801D9FA" wp14:editId="7A144DD1">
          <wp:simplePos x="5425440" y="9593580"/>
          <wp:positionH relativeFrom="page">
            <wp:align>right</wp:align>
          </wp:positionH>
          <wp:positionV relativeFrom="page">
            <wp:align>bottom</wp:align>
          </wp:positionV>
          <wp:extent cx="1213485" cy="647700"/>
          <wp:effectExtent l="0" t="0" r="5715" b="0"/>
          <wp:wrapNone/>
          <wp:docPr id="712225000" name="Picture 712225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6BFB" w14:textId="77777777" w:rsidR="00531775" w:rsidRDefault="00531775" w:rsidP="000A6228">
      <w:pPr>
        <w:spacing w:after="0" w:line="240" w:lineRule="auto"/>
      </w:pPr>
      <w:r>
        <w:separator/>
      </w:r>
    </w:p>
  </w:footnote>
  <w:footnote w:type="continuationSeparator" w:id="0">
    <w:p w14:paraId="034E63B2" w14:textId="77777777" w:rsidR="00531775" w:rsidRDefault="00531775" w:rsidP="000A6228">
      <w:pPr>
        <w:spacing w:after="0" w:line="240" w:lineRule="auto"/>
      </w:pPr>
      <w:r>
        <w:continuationSeparator/>
      </w:r>
    </w:p>
  </w:footnote>
  <w:footnote w:id="1">
    <w:p w14:paraId="5E8C2056" w14:textId="45402622" w:rsidR="00F45D3A" w:rsidRDefault="00F45D3A">
      <w:pPr>
        <w:pStyle w:val="FootnoteText"/>
      </w:pPr>
      <w:r>
        <w:rPr>
          <w:rStyle w:val="FootnoteReference"/>
        </w:rPr>
        <w:footnoteRef/>
      </w:r>
      <w:r>
        <w:t xml:space="preserve"> Source: </w:t>
      </w:r>
      <w:hyperlink r:id="rId1" w:anchor=":~:text=Retention%20rates-,In%202022%3A,than%20for%20males%20(76.3%25)." w:history="1">
        <w:r>
          <w:rPr>
            <w:rStyle w:val="Hyperlink"/>
          </w:rPr>
          <w:t>Schools, 2022 | Australian Bureau of Statistics (abs.gov.au)</w:t>
        </w:r>
      </w:hyperlink>
      <w:r>
        <w:t xml:space="preserve"> and </w:t>
      </w:r>
      <w:hyperlink r:id="rId2" w:history="1">
        <w:r>
          <w:rPr>
            <w:rStyle w:val="Hyperlink"/>
          </w:rPr>
          <w:t>Apparent retention (acara.edu.au)</w:t>
        </w:r>
      </w:hyperlink>
    </w:p>
  </w:footnote>
  <w:footnote w:id="2">
    <w:p w14:paraId="18783A00" w14:textId="62C62C26" w:rsidR="00282E45" w:rsidRDefault="00282E45">
      <w:pPr>
        <w:pStyle w:val="FootnoteText"/>
      </w:pPr>
      <w:r>
        <w:rPr>
          <w:rStyle w:val="FootnoteReference"/>
        </w:rPr>
        <w:footnoteRef/>
      </w:r>
      <w:r>
        <w:t xml:space="preserve"> </w:t>
      </w:r>
      <w:r w:rsidR="00C10417">
        <w:t>Every 5 years the ABS updates the Australian Statistical Geography Standard (ASGS) and re</w:t>
      </w:r>
      <w:r w:rsidR="00D53AF6">
        <w:t>-calculates</w:t>
      </w:r>
      <w:r w:rsidR="00C10417">
        <w:t xml:space="preserve"> the boundaries for regional and remote areas as well an area’s socio-economic index (SEIFA). </w:t>
      </w:r>
      <w:r>
        <w:t>The</w:t>
      </w:r>
      <w:r w:rsidR="00C10417">
        <w:t xml:space="preserve"> time</w:t>
      </w:r>
      <w:r>
        <w:t xml:space="preserve"> series for regional and remote and low socio-economic status</w:t>
      </w:r>
      <w:r w:rsidR="00C10417">
        <w:t xml:space="preserve"> (low SES)</w:t>
      </w:r>
      <w:r>
        <w:t xml:space="preserve"> are</w:t>
      </w:r>
      <w:r w:rsidR="00C10417">
        <w:t xml:space="preserve"> presented for two classifications. 2016 – 2020 data are calculated using the 2016 ASGS and 2016 SEIFA, data for 2021 are presented for both 2016 and 2021 ASGS and SEIFA</w:t>
      </w:r>
      <w:r w:rsidR="00D53AF6">
        <w:t>,</w:t>
      </w:r>
      <w:r w:rsidR="00C10417">
        <w:t xml:space="preserve"> and 2022 data are presented for only 2021 ASGS and SEIFA. </w:t>
      </w:r>
    </w:p>
  </w:footnote>
  <w:footnote w:id="3">
    <w:p w14:paraId="2DD5263C" w14:textId="315D7A7E" w:rsidR="00005FE6" w:rsidRDefault="00005FE6">
      <w:pPr>
        <w:pStyle w:val="FootnoteText"/>
      </w:pPr>
      <w:r>
        <w:rPr>
          <w:rStyle w:val="FootnoteReference"/>
        </w:rPr>
        <w:footnoteRef/>
      </w:r>
      <w:r>
        <w:t xml:space="preserve"> The first address series began in 2016, so data has been presented for 2016 – 2022</w:t>
      </w:r>
      <w:r w:rsidR="008C22B5">
        <w:t>.</w:t>
      </w:r>
    </w:p>
  </w:footnote>
  <w:footnote w:id="4">
    <w:p w14:paraId="413ADBDF" w14:textId="1C5F136F" w:rsidR="00C43F97" w:rsidRDefault="00C43F97">
      <w:pPr>
        <w:pStyle w:val="FootnoteText"/>
      </w:pPr>
      <w:r>
        <w:rPr>
          <w:rStyle w:val="FootnoteReference"/>
        </w:rPr>
        <w:footnoteRef/>
      </w:r>
      <w:r>
        <w:t xml:space="preserve"> Equity data excludes domestic students where the permanent home address is overseas. Totals will be slightly different to other domestic tables which include offshore domestic students.</w:t>
      </w:r>
    </w:p>
  </w:footnote>
  <w:footnote w:id="5">
    <w:p w14:paraId="54337EFD" w14:textId="77777777" w:rsidR="00CA1D9D" w:rsidRDefault="00CA1D9D" w:rsidP="00CA1D9D">
      <w:pPr>
        <w:pStyle w:val="FootnoteText"/>
      </w:pPr>
      <w:r>
        <w:rPr>
          <w:rStyle w:val="FootnoteReference"/>
        </w:rPr>
        <w:footnoteRef/>
      </w:r>
      <w:r>
        <w:t xml:space="preserve"> Low socio-economic status is based on the first address recorded for the student. </w:t>
      </w:r>
    </w:p>
  </w:footnote>
  <w:footnote w:id="6">
    <w:p w14:paraId="2D5E0152" w14:textId="77777777" w:rsidR="00482DEB" w:rsidRDefault="00482DEB" w:rsidP="00482DEB">
      <w:pPr>
        <w:pStyle w:val="FootnoteText"/>
      </w:pPr>
      <w:r>
        <w:rPr>
          <w:rStyle w:val="FootnoteReference"/>
        </w:rPr>
        <w:footnoteRef/>
      </w:r>
      <w:r>
        <w:t xml:space="preserve"> Regional and remote status is based on the first postcode recorded for the student.</w:t>
      </w:r>
    </w:p>
  </w:footnote>
  <w:footnote w:id="7">
    <w:p w14:paraId="569B8A6C" w14:textId="77777777" w:rsidR="00CA1D9D" w:rsidRDefault="00CA1D9D" w:rsidP="00CA1D9D">
      <w:pPr>
        <w:pStyle w:val="FootnoteText"/>
      </w:pPr>
      <w:r>
        <w:rPr>
          <w:rStyle w:val="FootnoteReference"/>
        </w:rPr>
        <w:footnoteRef/>
      </w:r>
      <w:r>
        <w:t xml:space="preserve"> The first address series begun in 2016. </w:t>
      </w:r>
    </w:p>
  </w:footnote>
  <w:footnote w:id="8">
    <w:p w14:paraId="0E6791C6" w14:textId="5BA74B92" w:rsidR="001D11C5" w:rsidRDefault="001D11C5">
      <w:pPr>
        <w:pStyle w:val="FootnoteText"/>
      </w:pPr>
      <w:r>
        <w:rPr>
          <w:rStyle w:val="FootnoteReference"/>
        </w:rPr>
        <w:footnoteRef/>
      </w:r>
      <w:r>
        <w:t xml:space="preserve"> Every 5 years the ABS updates the Australian Statistical Geography Standard (ASGS) and re-calculates the boundaries for regional and remote areas as well an area’s socio-economic index (SEIFA). The time series for regional and remote and low socio-economic status (low SES) are presented for two classifications. 2016 – 2020 data are calculated using the 2016 ASGS and 2016 SEIFA, data for 2021 are presented for both 2016 and 2021 ASGS and SEIFA, and 2022 data are presented for only 2021 ASGS and SEIFA.</w:t>
      </w:r>
    </w:p>
  </w:footnote>
  <w:footnote w:id="9">
    <w:p w14:paraId="16323FC7" w14:textId="4B9EA7CA" w:rsidR="00102B00" w:rsidRPr="001653CD" w:rsidRDefault="00102B00" w:rsidP="00102B00">
      <w:pPr>
        <w:pStyle w:val="FootnoteText"/>
        <w:rPr>
          <w:rFonts w:asciiTheme="minorHAnsi" w:hAnsiTheme="minorHAnsi" w:cstheme="minorHAnsi"/>
        </w:rPr>
      </w:pPr>
      <w:r w:rsidRPr="001653CD">
        <w:rPr>
          <w:rStyle w:val="FootnoteReference"/>
          <w:rFonts w:asciiTheme="minorHAnsi" w:hAnsiTheme="minorHAnsi" w:cstheme="minorHAnsi"/>
        </w:rPr>
        <w:footnoteRef/>
      </w:r>
      <w:r w:rsidRPr="001653CD">
        <w:rPr>
          <w:rFonts w:asciiTheme="minorHAnsi" w:hAnsiTheme="minorHAnsi" w:cstheme="minorHAnsi"/>
        </w:rPr>
        <w:t xml:space="preserve"> The </w:t>
      </w:r>
      <w:r w:rsidR="003C6021">
        <w:rPr>
          <w:rFonts w:asciiTheme="minorHAnsi" w:hAnsiTheme="minorHAnsi" w:cstheme="minorHAnsi"/>
        </w:rPr>
        <w:t>a</w:t>
      </w:r>
      <w:r w:rsidRPr="001653CD">
        <w:rPr>
          <w:rFonts w:asciiTheme="minorHAnsi" w:hAnsiTheme="minorHAnsi" w:cstheme="minorHAnsi"/>
        </w:rPr>
        <w:t xml:space="preserve">djusted </w:t>
      </w:r>
      <w:r w:rsidR="003C6021">
        <w:rPr>
          <w:rFonts w:asciiTheme="minorHAnsi" w:hAnsiTheme="minorHAnsi" w:cstheme="minorHAnsi"/>
        </w:rPr>
        <w:t>a</w:t>
      </w:r>
      <w:r w:rsidR="003C6021" w:rsidRPr="001653CD">
        <w:rPr>
          <w:rFonts w:asciiTheme="minorHAnsi" w:hAnsiTheme="minorHAnsi" w:cstheme="minorHAnsi"/>
        </w:rPr>
        <w:t xml:space="preserve">ttrition </w:t>
      </w:r>
      <w:r w:rsidRPr="001653CD">
        <w:rPr>
          <w:rFonts w:asciiTheme="minorHAnsi" w:hAnsiTheme="minorHAnsi" w:cstheme="minorHAnsi"/>
        </w:rPr>
        <w:t xml:space="preserve">rate for year(x) is the proportion of students who commenced a course in year(x) who neither complete in year(x) or </w:t>
      </w:r>
      <w:proofErr w:type="gramStart"/>
      <w:r w:rsidRPr="001653CD">
        <w:rPr>
          <w:rFonts w:asciiTheme="minorHAnsi" w:hAnsiTheme="minorHAnsi" w:cstheme="minorHAnsi"/>
        </w:rPr>
        <w:t>year(</w:t>
      </w:r>
      <w:proofErr w:type="gramEnd"/>
      <w:r w:rsidRPr="001653CD">
        <w:rPr>
          <w:rFonts w:asciiTheme="minorHAnsi" w:hAnsiTheme="minorHAnsi" w:cstheme="minorHAnsi"/>
        </w:rPr>
        <w:t>x + 1) nor return in year(x + 1).</w:t>
      </w:r>
      <w:r w:rsidR="003C6021" w:rsidRPr="001653CD" w:rsidDel="003C6021">
        <w:rPr>
          <w:rFonts w:asciiTheme="minorHAnsi" w:hAnsiTheme="minorHAnsi" w:cstheme="minorHAnsi"/>
        </w:rPr>
        <w:t xml:space="preserve"> </w:t>
      </w:r>
      <w:r w:rsidR="003C6021">
        <w:rPr>
          <w:rFonts w:asciiTheme="minorHAnsi" w:hAnsiTheme="minorHAnsi" w:cstheme="minorHAnsi"/>
        </w:rPr>
        <w:t>I</w:t>
      </w:r>
      <w:r w:rsidRPr="001653CD">
        <w:rPr>
          <w:rFonts w:asciiTheme="minorHAnsi" w:hAnsiTheme="minorHAnsi" w:cstheme="minorHAnsi"/>
        </w:rPr>
        <w:t xml:space="preserve">f a student moves from one institution to another in the following year, they </w:t>
      </w:r>
      <w:r w:rsidR="003C6021">
        <w:rPr>
          <w:rFonts w:asciiTheme="minorHAnsi" w:hAnsiTheme="minorHAnsi" w:cstheme="minorHAnsi"/>
        </w:rPr>
        <w:t>are</w:t>
      </w:r>
      <w:r w:rsidR="003C6021" w:rsidRPr="001653CD">
        <w:rPr>
          <w:rFonts w:asciiTheme="minorHAnsi" w:hAnsiTheme="minorHAnsi" w:cstheme="minorHAnsi"/>
        </w:rPr>
        <w:t xml:space="preserve"> </w:t>
      </w:r>
      <w:r w:rsidRPr="001653CD">
        <w:rPr>
          <w:rFonts w:asciiTheme="minorHAnsi" w:hAnsiTheme="minorHAnsi" w:cstheme="minorHAnsi"/>
        </w:rPr>
        <w:t>counted as retained in the adjusted attrition rate calculation. For the adjusted attrition rate, it is only those students who left the higher education system entirely (that is, they were no longer at any institution) that are counted as not continuing.</w:t>
      </w:r>
    </w:p>
  </w:footnote>
  <w:footnote w:id="10">
    <w:p w14:paraId="4A4BEB60" w14:textId="0DA19872" w:rsidR="000950DB" w:rsidRPr="00707AB7" w:rsidRDefault="000950DB" w:rsidP="00707AB7">
      <w:pPr>
        <w:pStyle w:val="MBPoint"/>
        <w:numPr>
          <w:ilvl w:val="0"/>
          <w:numId w:val="0"/>
        </w:numPr>
        <w:rPr>
          <w:rFonts w:asciiTheme="minorHAnsi" w:hAnsiTheme="minorHAnsi" w:cstheme="minorHAnsi"/>
          <w:sz w:val="20"/>
          <w:szCs w:val="20"/>
        </w:rPr>
      </w:pPr>
      <w:r>
        <w:rPr>
          <w:rStyle w:val="FootnoteReference"/>
        </w:rPr>
        <w:footnoteRef/>
      </w:r>
      <w:r>
        <w:t xml:space="preserve"> </w:t>
      </w:r>
      <w:r w:rsidRPr="00AC36C3">
        <w:rPr>
          <w:rFonts w:asciiTheme="minorHAnsi" w:hAnsiTheme="minorHAnsi" w:cstheme="minorHAnsi"/>
          <w:sz w:val="20"/>
          <w:szCs w:val="20"/>
        </w:rPr>
        <w:t>Completion rates of cohorts of students are measured using the Commonwealth Higher Education Student Support Number (CHESSN) to track students over time.  Empirically, the completion rate of a cohort of students is quite closely related to their attrition rate in the first year of study.  The completion rate, since it measures the outcomes of a cohort of students completing their course of study, lags some years behind the attrition 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484F86"/>
    <w:multiLevelType w:val="hybridMultilevel"/>
    <w:tmpl w:val="61DE01E0"/>
    <w:lvl w:ilvl="0" w:tplc="D9BCC35E">
      <w:start w:val="1"/>
      <w:numFmt w:val="bullet"/>
      <w:lvlText w:val=""/>
      <w:lvlJc w:val="left"/>
      <w:pPr>
        <w:ind w:left="357" w:hanging="35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9966276"/>
    <w:multiLevelType w:val="hybridMultilevel"/>
    <w:tmpl w:val="F296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0802699"/>
    <w:multiLevelType w:val="hybridMultilevel"/>
    <w:tmpl w:val="E60A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D96754"/>
    <w:multiLevelType w:val="hybridMultilevel"/>
    <w:tmpl w:val="92EAA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B02E88"/>
    <w:multiLevelType w:val="hybridMultilevel"/>
    <w:tmpl w:val="C1D24D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EE1745"/>
    <w:multiLevelType w:val="hybridMultilevel"/>
    <w:tmpl w:val="D1AE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CD3EE9"/>
    <w:multiLevelType w:val="hybridMultilevel"/>
    <w:tmpl w:val="961C348C"/>
    <w:lvl w:ilvl="0" w:tplc="C6425FB8">
      <w:start w:val="1"/>
      <w:numFmt w:val="bullet"/>
      <w:lvlText w:val=""/>
      <w:lvlJc w:val="left"/>
      <w:pPr>
        <w:ind w:left="153" w:hanging="360"/>
      </w:pPr>
      <w:rPr>
        <w:rFonts w:ascii="Symbol" w:hAnsi="Symbol" w:hint="default"/>
      </w:rPr>
    </w:lvl>
    <w:lvl w:ilvl="1" w:tplc="7200F992">
      <w:start w:val="1"/>
      <w:numFmt w:val="bullet"/>
      <w:lvlText w:val="o"/>
      <w:lvlJc w:val="left"/>
      <w:pPr>
        <w:ind w:left="873" w:hanging="360"/>
      </w:pPr>
      <w:rPr>
        <w:rFonts w:ascii="Courier New" w:hAnsi="Courier New" w:cs="Courier New" w:hint="default"/>
      </w:rPr>
    </w:lvl>
    <w:lvl w:ilvl="2" w:tplc="DAEC1B8C">
      <w:start w:val="1"/>
      <w:numFmt w:val="bullet"/>
      <w:lvlText w:val=""/>
      <w:lvlJc w:val="left"/>
      <w:pPr>
        <w:ind w:left="1593" w:hanging="360"/>
      </w:pPr>
      <w:rPr>
        <w:rFonts w:ascii="Wingdings" w:hAnsi="Wingdings" w:hint="default"/>
      </w:rPr>
    </w:lvl>
    <w:lvl w:ilvl="3" w:tplc="13028014">
      <w:start w:val="1"/>
      <w:numFmt w:val="bullet"/>
      <w:lvlText w:val=""/>
      <w:lvlJc w:val="left"/>
      <w:pPr>
        <w:ind w:left="2313" w:hanging="360"/>
      </w:pPr>
      <w:rPr>
        <w:rFonts w:ascii="Symbol" w:hAnsi="Symbol" w:hint="default"/>
      </w:rPr>
    </w:lvl>
    <w:lvl w:ilvl="4" w:tplc="E62229A4">
      <w:start w:val="1"/>
      <w:numFmt w:val="bullet"/>
      <w:lvlText w:val="o"/>
      <w:lvlJc w:val="left"/>
      <w:pPr>
        <w:ind w:left="3033" w:hanging="360"/>
      </w:pPr>
      <w:rPr>
        <w:rFonts w:ascii="Courier New" w:hAnsi="Courier New" w:cs="Courier New" w:hint="default"/>
      </w:rPr>
    </w:lvl>
    <w:lvl w:ilvl="5" w:tplc="D24058DC">
      <w:start w:val="1"/>
      <w:numFmt w:val="bullet"/>
      <w:lvlText w:val=""/>
      <w:lvlJc w:val="left"/>
      <w:pPr>
        <w:ind w:left="3753" w:hanging="360"/>
      </w:pPr>
      <w:rPr>
        <w:rFonts w:ascii="Wingdings" w:hAnsi="Wingdings" w:hint="default"/>
      </w:rPr>
    </w:lvl>
    <w:lvl w:ilvl="6" w:tplc="5A62C4E6">
      <w:start w:val="1"/>
      <w:numFmt w:val="bullet"/>
      <w:lvlText w:val=""/>
      <w:lvlJc w:val="left"/>
      <w:pPr>
        <w:ind w:left="4473" w:hanging="360"/>
      </w:pPr>
      <w:rPr>
        <w:rFonts w:ascii="Symbol" w:hAnsi="Symbol" w:hint="default"/>
      </w:rPr>
    </w:lvl>
    <w:lvl w:ilvl="7" w:tplc="660680C2">
      <w:start w:val="1"/>
      <w:numFmt w:val="bullet"/>
      <w:lvlText w:val="o"/>
      <w:lvlJc w:val="left"/>
      <w:pPr>
        <w:ind w:left="5193" w:hanging="360"/>
      </w:pPr>
      <w:rPr>
        <w:rFonts w:ascii="Courier New" w:hAnsi="Courier New" w:cs="Courier New" w:hint="default"/>
      </w:rPr>
    </w:lvl>
    <w:lvl w:ilvl="8" w:tplc="F8D0F536">
      <w:start w:val="1"/>
      <w:numFmt w:val="bullet"/>
      <w:lvlText w:val=""/>
      <w:lvlJc w:val="left"/>
      <w:pPr>
        <w:ind w:left="5913" w:hanging="360"/>
      </w:pPr>
      <w:rPr>
        <w:rFonts w:ascii="Wingdings" w:hAnsi="Wingdings" w:hint="default"/>
      </w:rPr>
    </w:lvl>
  </w:abstractNum>
  <w:abstractNum w:abstractNumId="2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A73DAE"/>
    <w:multiLevelType w:val="hybridMultilevel"/>
    <w:tmpl w:val="1BC49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04FCE"/>
    <w:multiLevelType w:val="hybridMultilevel"/>
    <w:tmpl w:val="43F8FD44"/>
    <w:lvl w:ilvl="0" w:tplc="955A40D6">
      <w:start w:val="1"/>
      <w:numFmt w:val="decimal"/>
      <w:pStyle w:val="MBPoint"/>
      <w:lvlText w:val="%1."/>
      <w:lvlJc w:val="left"/>
      <w:pPr>
        <w:ind w:left="-207" w:hanging="360"/>
      </w:pPr>
    </w:lvl>
    <w:lvl w:ilvl="1" w:tplc="A48C2E7C">
      <w:start w:val="1"/>
      <w:numFmt w:val="bullet"/>
      <w:lvlText w:val=""/>
      <w:lvlJc w:val="left"/>
      <w:pPr>
        <w:ind w:left="513" w:hanging="360"/>
      </w:pPr>
      <w:rPr>
        <w:rFonts w:ascii="Symbol" w:hAnsi="Symbol" w:hint="default"/>
      </w:rPr>
    </w:lvl>
    <w:lvl w:ilvl="2" w:tplc="8F204D4E">
      <w:start w:val="1"/>
      <w:numFmt w:val="bullet"/>
      <w:pStyle w:val="MBPointSub"/>
      <w:lvlText w:val="o"/>
      <w:lvlJc w:val="left"/>
      <w:pPr>
        <w:ind w:left="1233" w:hanging="180"/>
      </w:pPr>
      <w:rPr>
        <w:rFonts w:ascii="Courier New" w:hAnsi="Courier New" w:cs="Courier New" w:hint="default"/>
      </w:rPr>
    </w:lvl>
    <w:lvl w:ilvl="3" w:tplc="1DEE8FB2">
      <w:start w:val="1"/>
      <w:numFmt w:val="decimal"/>
      <w:lvlText w:val="%4."/>
      <w:lvlJc w:val="left"/>
      <w:pPr>
        <w:ind w:left="1953" w:hanging="360"/>
      </w:pPr>
    </w:lvl>
    <w:lvl w:ilvl="4" w:tplc="371440E8">
      <w:start w:val="1"/>
      <w:numFmt w:val="lowerLetter"/>
      <w:lvlText w:val="%5."/>
      <w:lvlJc w:val="left"/>
      <w:pPr>
        <w:ind w:left="2673" w:hanging="360"/>
      </w:pPr>
    </w:lvl>
    <w:lvl w:ilvl="5" w:tplc="73642194">
      <w:start w:val="1"/>
      <w:numFmt w:val="lowerRoman"/>
      <w:lvlText w:val="%6."/>
      <w:lvlJc w:val="right"/>
      <w:pPr>
        <w:ind w:left="3393" w:hanging="180"/>
      </w:pPr>
    </w:lvl>
    <w:lvl w:ilvl="6" w:tplc="7D64E4C8">
      <w:start w:val="1"/>
      <w:numFmt w:val="decimal"/>
      <w:lvlText w:val="%7."/>
      <w:lvlJc w:val="left"/>
      <w:pPr>
        <w:ind w:left="4113" w:hanging="360"/>
      </w:pPr>
    </w:lvl>
    <w:lvl w:ilvl="7" w:tplc="6A9E8E44">
      <w:start w:val="1"/>
      <w:numFmt w:val="lowerLetter"/>
      <w:lvlText w:val="%8."/>
      <w:lvlJc w:val="left"/>
      <w:pPr>
        <w:ind w:left="4833" w:hanging="360"/>
      </w:pPr>
    </w:lvl>
    <w:lvl w:ilvl="8" w:tplc="4E742A46">
      <w:start w:val="1"/>
      <w:numFmt w:val="lowerRoman"/>
      <w:lvlText w:val="%9."/>
      <w:lvlJc w:val="right"/>
      <w:pPr>
        <w:ind w:left="5553" w:hanging="180"/>
      </w:p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BB61DB"/>
    <w:multiLevelType w:val="hybridMultilevel"/>
    <w:tmpl w:val="4DD20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B8358F2"/>
    <w:multiLevelType w:val="hybridMultilevel"/>
    <w:tmpl w:val="064E25D8"/>
    <w:lvl w:ilvl="0" w:tplc="B64AD23E">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2B2757"/>
    <w:multiLevelType w:val="hybridMultilevel"/>
    <w:tmpl w:val="DBACE8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6"/>
  </w:num>
  <w:num w:numId="2" w16cid:durableId="1141925489">
    <w:abstractNumId w:val="5"/>
  </w:num>
  <w:num w:numId="3" w16cid:durableId="1430395506">
    <w:abstractNumId w:val="4"/>
  </w:num>
  <w:num w:numId="4" w16cid:durableId="1762024761">
    <w:abstractNumId w:val="3"/>
  </w:num>
  <w:num w:numId="5" w16cid:durableId="861433996">
    <w:abstractNumId w:val="18"/>
  </w:num>
  <w:num w:numId="6" w16cid:durableId="120733662">
    <w:abstractNumId w:val="2"/>
  </w:num>
  <w:num w:numId="7" w16cid:durableId="2022584168">
    <w:abstractNumId w:val="1"/>
  </w:num>
  <w:num w:numId="8" w16cid:durableId="534267804">
    <w:abstractNumId w:val="0"/>
  </w:num>
  <w:num w:numId="9" w16cid:durableId="1265042610">
    <w:abstractNumId w:val="17"/>
  </w:num>
  <w:num w:numId="10" w16cid:durableId="1943879001">
    <w:abstractNumId w:val="7"/>
  </w:num>
  <w:num w:numId="11" w16cid:durableId="419833051">
    <w:abstractNumId w:val="28"/>
  </w:num>
  <w:num w:numId="12" w16cid:durableId="1758015391">
    <w:abstractNumId w:val="15"/>
  </w:num>
  <w:num w:numId="13" w16cid:durableId="1395660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1"/>
  </w:num>
  <w:num w:numId="15" w16cid:durableId="928125744">
    <w:abstractNumId w:val="6"/>
  </w:num>
  <w:num w:numId="16" w16cid:durableId="1172835113">
    <w:abstractNumId w:val="29"/>
  </w:num>
  <w:num w:numId="17" w16cid:durableId="1022434231">
    <w:abstractNumId w:val="21"/>
  </w:num>
  <w:num w:numId="18" w16cid:durableId="618417265">
    <w:abstractNumId w:val="8"/>
  </w:num>
  <w:num w:numId="19" w16cid:durableId="271010807">
    <w:abstractNumId w:val="24"/>
  </w:num>
  <w:num w:numId="20" w16cid:durableId="1704475831">
    <w:abstractNumId w:val="20"/>
  </w:num>
  <w:num w:numId="21" w16cid:durableId="102001399">
    <w:abstractNumId w:val="14"/>
  </w:num>
  <w:num w:numId="22" w16cid:durableId="713307562">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5725226">
    <w:abstractNumId w:val="26"/>
  </w:num>
  <w:num w:numId="24" w16cid:durableId="769543247">
    <w:abstractNumId w:val="9"/>
  </w:num>
  <w:num w:numId="25" w16cid:durableId="635454712">
    <w:abstractNumId w:val="10"/>
  </w:num>
  <w:num w:numId="26" w16cid:durableId="342978563">
    <w:abstractNumId w:val="12"/>
  </w:num>
  <w:num w:numId="27" w16cid:durableId="341127587">
    <w:abstractNumId w:val="20"/>
  </w:num>
  <w:num w:numId="28" w16cid:durableId="427895323">
    <w:abstractNumId w:val="22"/>
  </w:num>
  <w:num w:numId="29" w16cid:durableId="1051731103">
    <w:abstractNumId w:val="19"/>
  </w:num>
  <w:num w:numId="30" w16cid:durableId="1063135518">
    <w:abstractNumId w:val="25"/>
  </w:num>
  <w:num w:numId="31" w16cid:durableId="862867910">
    <w:abstractNumId w:val="27"/>
  </w:num>
  <w:num w:numId="32" w16cid:durableId="130640332">
    <w:abstractNumId w:val="13"/>
  </w:num>
  <w:num w:numId="33" w16cid:durableId="3767830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E2"/>
    <w:rsid w:val="00005FE6"/>
    <w:rsid w:val="00012366"/>
    <w:rsid w:val="00021FBE"/>
    <w:rsid w:val="000475C6"/>
    <w:rsid w:val="000521D7"/>
    <w:rsid w:val="00053EA8"/>
    <w:rsid w:val="0005425E"/>
    <w:rsid w:val="000864AA"/>
    <w:rsid w:val="000950DB"/>
    <w:rsid w:val="000A0B58"/>
    <w:rsid w:val="000A6228"/>
    <w:rsid w:val="000B5D40"/>
    <w:rsid w:val="000B7EC6"/>
    <w:rsid w:val="00102B00"/>
    <w:rsid w:val="00107D87"/>
    <w:rsid w:val="00107DD5"/>
    <w:rsid w:val="0012343A"/>
    <w:rsid w:val="00123BDF"/>
    <w:rsid w:val="0013008D"/>
    <w:rsid w:val="00133B8D"/>
    <w:rsid w:val="0013611E"/>
    <w:rsid w:val="00142C92"/>
    <w:rsid w:val="001515BF"/>
    <w:rsid w:val="00164D58"/>
    <w:rsid w:val="00167DED"/>
    <w:rsid w:val="0017134D"/>
    <w:rsid w:val="001879BF"/>
    <w:rsid w:val="001A0768"/>
    <w:rsid w:val="001C054E"/>
    <w:rsid w:val="001C1523"/>
    <w:rsid w:val="001D11C5"/>
    <w:rsid w:val="001F342F"/>
    <w:rsid w:val="0020416F"/>
    <w:rsid w:val="00221D8F"/>
    <w:rsid w:val="002272DB"/>
    <w:rsid w:val="00235752"/>
    <w:rsid w:val="00257E11"/>
    <w:rsid w:val="00262E34"/>
    <w:rsid w:val="00276047"/>
    <w:rsid w:val="00282E45"/>
    <w:rsid w:val="002934C1"/>
    <w:rsid w:val="002A4458"/>
    <w:rsid w:val="002D2CC2"/>
    <w:rsid w:val="002D589A"/>
    <w:rsid w:val="002E491A"/>
    <w:rsid w:val="002F230F"/>
    <w:rsid w:val="003369C2"/>
    <w:rsid w:val="00357213"/>
    <w:rsid w:val="00370620"/>
    <w:rsid w:val="003850A1"/>
    <w:rsid w:val="003C6021"/>
    <w:rsid w:val="003D3D0D"/>
    <w:rsid w:val="003E2207"/>
    <w:rsid w:val="0040155D"/>
    <w:rsid w:val="00404E6F"/>
    <w:rsid w:val="0041713E"/>
    <w:rsid w:val="00421D3F"/>
    <w:rsid w:val="00423785"/>
    <w:rsid w:val="00432506"/>
    <w:rsid w:val="004350B2"/>
    <w:rsid w:val="00441331"/>
    <w:rsid w:val="00447E7E"/>
    <w:rsid w:val="00452D26"/>
    <w:rsid w:val="00457087"/>
    <w:rsid w:val="00482DEB"/>
    <w:rsid w:val="00485B78"/>
    <w:rsid w:val="004866C9"/>
    <w:rsid w:val="004948AC"/>
    <w:rsid w:val="004A06CD"/>
    <w:rsid w:val="004A4B6F"/>
    <w:rsid w:val="004A4CF9"/>
    <w:rsid w:val="004B3150"/>
    <w:rsid w:val="004D2965"/>
    <w:rsid w:val="004D2D9D"/>
    <w:rsid w:val="004E1688"/>
    <w:rsid w:val="004F598B"/>
    <w:rsid w:val="004F666B"/>
    <w:rsid w:val="00514F11"/>
    <w:rsid w:val="00531775"/>
    <w:rsid w:val="00540086"/>
    <w:rsid w:val="005532D3"/>
    <w:rsid w:val="005545BE"/>
    <w:rsid w:val="0057325F"/>
    <w:rsid w:val="005779DF"/>
    <w:rsid w:val="00582681"/>
    <w:rsid w:val="00591F57"/>
    <w:rsid w:val="005A2BE2"/>
    <w:rsid w:val="005A75C9"/>
    <w:rsid w:val="005B0C97"/>
    <w:rsid w:val="005B187D"/>
    <w:rsid w:val="005D3A81"/>
    <w:rsid w:val="005F40D0"/>
    <w:rsid w:val="00601161"/>
    <w:rsid w:val="00611716"/>
    <w:rsid w:val="006232DC"/>
    <w:rsid w:val="00624105"/>
    <w:rsid w:val="0063094F"/>
    <w:rsid w:val="00631FB5"/>
    <w:rsid w:val="006972A7"/>
    <w:rsid w:val="006B2A69"/>
    <w:rsid w:val="006C1CE8"/>
    <w:rsid w:val="006C6742"/>
    <w:rsid w:val="006D67F3"/>
    <w:rsid w:val="006E7FFE"/>
    <w:rsid w:val="006F1FFF"/>
    <w:rsid w:val="006F6D10"/>
    <w:rsid w:val="00704EE7"/>
    <w:rsid w:val="00707AB7"/>
    <w:rsid w:val="00712B94"/>
    <w:rsid w:val="0073116A"/>
    <w:rsid w:val="00734A55"/>
    <w:rsid w:val="00742144"/>
    <w:rsid w:val="0074425E"/>
    <w:rsid w:val="007604BB"/>
    <w:rsid w:val="007A289E"/>
    <w:rsid w:val="007A2BBE"/>
    <w:rsid w:val="007B0BEA"/>
    <w:rsid w:val="007B2CA1"/>
    <w:rsid w:val="007D0ABC"/>
    <w:rsid w:val="007E232D"/>
    <w:rsid w:val="00802F4E"/>
    <w:rsid w:val="008042F5"/>
    <w:rsid w:val="00811B8B"/>
    <w:rsid w:val="00833982"/>
    <w:rsid w:val="008647B8"/>
    <w:rsid w:val="00873EAA"/>
    <w:rsid w:val="00886959"/>
    <w:rsid w:val="00893A34"/>
    <w:rsid w:val="0089778D"/>
    <w:rsid w:val="008A36E1"/>
    <w:rsid w:val="008A37A7"/>
    <w:rsid w:val="008A7AB4"/>
    <w:rsid w:val="008B0736"/>
    <w:rsid w:val="008B3D14"/>
    <w:rsid w:val="008C1631"/>
    <w:rsid w:val="008C22B5"/>
    <w:rsid w:val="008D2F12"/>
    <w:rsid w:val="008E6D21"/>
    <w:rsid w:val="009136A3"/>
    <w:rsid w:val="009216CB"/>
    <w:rsid w:val="00950B06"/>
    <w:rsid w:val="00962998"/>
    <w:rsid w:val="00970069"/>
    <w:rsid w:val="009721EB"/>
    <w:rsid w:val="009B706E"/>
    <w:rsid w:val="009C423A"/>
    <w:rsid w:val="009E79ED"/>
    <w:rsid w:val="00A028CE"/>
    <w:rsid w:val="00A07596"/>
    <w:rsid w:val="00A10667"/>
    <w:rsid w:val="00A17A08"/>
    <w:rsid w:val="00A32365"/>
    <w:rsid w:val="00A427B4"/>
    <w:rsid w:val="00A44FA5"/>
    <w:rsid w:val="00A46F42"/>
    <w:rsid w:val="00A57BA8"/>
    <w:rsid w:val="00A60673"/>
    <w:rsid w:val="00A611E3"/>
    <w:rsid w:val="00A7130D"/>
    <w:rsid w:val="00AB7983"/>
    <w:rsid w:val="00AC1872"/>
    <w:rsid w:val="00AC21EE"/>
    <w:rsid w:val="00AC36C3"/>
    <w:rsid w:val="00AD631F"/>
    <w:rsid w:val="00AE21FF"/>
    <w:rsid w:val="00AF1F18"/>
    <w:rsid w:val="00B0726E"/>
    <w:rsid w:val="00B13EB4"/>
    <w:rsid w:val="00B219D1"/>
    <w:rsid w:val="00B2313A"/>
    <w:rsid w:val="00B27DA7"/>
    <w:rsid w:val="00B40CCC"/>
    <w:rsid w:val="00B6666B"/>
    <w:rsid w:val="00B70EBB"/>
    <w:rsid w:val="00B72125"/>
    <w:rsid w:val="00B81FA4"/>
    <w:rsid w:val="00B86D41"/>
    <w:rsid w:val="00B8794C"/>
    <w:rsid w:val="00B95EF4"/>
    <w:rsid w:val="00BB6509"/>
    <w:rsid w:val="00BB7F3B"/>
    <w:rsid w:val="00BC248C"/>
    <w:rsid w:val="00BC56AE"/>
    <w:rsid w:val="00BD523F"/>
    <w:rsid w:val="00BF0626"/>
    <w:rsid w:val="00C01EC0"/>
    <w:rsid w:val="00C10417"/>
    <w:rsid w:val="00C14F5E"/>
    <w:rsid w:val="00C23FDC"/>
    <w:rsid w:val="00C244EE"/>
    <w:rsid w:val="00C37B2E"/>
    <w:rsid w:val="00C43F97"/>
    <w:rsid w:val="00C62718"/>
    <w:rsid w:val="00C72224"/>
    <w:rsid w:val="00C75706"/>
    <w:rsid w:val="00C7772F"/>
    <w:rsid w:val="00CA1D9D"/>
    <w:rsid w:val="00CA4815"/>
    <w:rsid w:val="00CC3053"/>
    <w:rsid w:val="00CC6666"/>
    <w:rsid w:val="00CD25CA"/>
    <w:rsid w:val="00CE24FE"/>
    <w:rsid w:val="00CF6562"/>
    <w:rsid w:val="00D127FE"/>
    <w:rsid w:val="00D23ABC"/>
    <w:rsid w:val="00D36D78"/>
    <w:rsid w:val="00D422E8"/>
    <w:rsid w:val="00D53193"/>
    <w:rsid w:val="00D53AF6"/>
    <w:rsid w:val="00D5688A"/>
    <w:rsid w:val="00D7426E"/>
    <w:rsid w:val="00D764F7"/>
    <w:rsid w:val="00D86284"/>
    <w:rsid w:val="00D91DC9"/>
    <w:rsid w:val="00DC2325"/>
    <w:rsid w:val="00DC5980"/>
    <w:rsid w:val="00DD1874"/>
    <w:rsid w:val="00DD2B46"/>
    <w:rsid w:val="00DE0571"/>
    <w:rsid w:val="00DF71A8"/>
    <w:rsid w:val="00E06ED6"/>
    <w:rsid w:val="00E1289B"/>
    <w:rsid w:val="00E143CA"/>
    <w:rsid w:val="00E344B5"/>
    <w:rsid w:val="00E503E8"/>
    <w:rsid w:val="00E529E5"/>
    <w:rsid w:val="00E6168C"/>
    <w:rsid w:val="00E61E11"/>
    <w:rsid w:val="00EA203D"/>
    <w:rsid w:val="00EB4C2F"/>
    <w:rsid w:val="00EC5843"/>
    <w:rsid w:val="00ED0DDF"/>
    <w:rsid w:val="00EE73CC"/>
    <w:rsid w:val="00EF00F2"/>
    <w:rsid w:val="00F0052D"/>
    <w:rsid w:val="00F1000D"/>
    <w:rsid w:val="00F1482F"/>
    <w:rsid w:val="00F311A4"/>
    <w:rsid w:val="00F44A02"/>
    <w:rsid w:val="00F45D3A"/>
    <w:rsid w:val="00F82C2C"/>
    <w:rsid w:val="00F85913"/>
    <w:rsid w:val="00F968A9"/>
    <w:rsid w:val="00FD4D6E"/>
    <w:rsid w:val="00FD6383"/>
    <w:rsid w:val="00FD74E7"/>
    <w:rsid w:val="00FF5BC8"/>
    <w:rsid w:val="00FF7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78E8"/>
  <w15:chartTrackingRefBased/>
  <w15:docId w15:val="{52D1642D-DA78-4A0F-9197-80C448FC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CA1D9D"/>
    <w:pPr>
      <w:spacing w:after="200" w:line="276" w:lineRule="auto"/>
      <w:ind w:left="720"/>
      <w:contextualSpacing/>
    </w:pPr>
    <w:rPr>
      <w:rFonts w:ascii="Calibri" w:hAnsi="Calibri"/>
    </w:rPr>
  </w:style>
  <w:style w:type="character" w:styleId="CommentReference">
    <w:name w:val="annotation reference"/>
    <w:basedOn w:val="DefaultParagraphFont"/>
    <w:uiPriority w:val="99"/>
    <w:semiHidden/>
    <w:unhideWhenUsed/>
    <w:rsid w:val="00CA1D9D"/>
    <w:rPr>
      <w:sz w:val="16"/>
      <w:szCs w:val="16"/>
    </w:rPr>
  </w:style>
  <w:style w:type="paragraph" w:styleId="CommentText">
    <w:name w:val="annotation text"/>
    <w:basedOn w:val="Normal"/>
    <w:link w:val="CommentTextChar"/>
    <w:uiPriority w:val="99"/>
    <w:unhideWhenUsed/>
    <w:rsid w:val="00CA1D9D"/>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CA1D9D"/>
    <w:rPr>
      <w:rFonts w:ascii="Calibri" w:hAnsi="Calibri"/>
      <w:sz w:val="20"/>
      <w:szCs w:val="20"/>
    </w:rPr>
  </w:style>
  <w:style w:type="character" w:customStyle="1" w:styleId="MBPointChar">
    <w:name w:val="MB Point Char"/>
    <w:basedOn w:val="DefaultParagraphFont"/>
    <w:link w:val="MBPoint"/>
    <w:locked/>
    <w:rsid w:val="00CA1D9D"/>
    <w:rPr>
      <w:rFonts w:ascii="Calibri" w:hAnsi="Calibri" w:cs="Calibri"/>
      <w:sz w:val="24"/>
      <w:szCs w:val="24"/>
    </w:rPr>
  </w:style>
  <w:style w:type="paragraph" w:customStyle="1" w:styleId="MBPoint">
    <w:name w:val="MB Point"/>
    <w:basedOn w:val="ListParagraph"/>
    <w:link w:val="MBPointChar"/>
    <w:qFormat/>
    <w:rsid w:val="00CA1D9D"/>
    <w:pPr>
      <w:numPr>
        <w:numId w:val="22"/>
      </w:numPr>
      <w:spacing w:after="60" w:line="240" w:lineRule="auto"/>
      <w:contextualSpacing w:val="0"/>
    </w:pPr>
    <w:rPr>
      <w:rFonts w:cs="Calibri"/>
      <w:sz w:val="24"/>
      <w:szCs w:val="24"/>
    </w:rPr>
  </w:style>
  <w:style w:type="paragraph" w:customStyle="1" w:styleId="MBPointSub">
    <w:name w:val="MB Point Sub"/>
    <w:basedOn w:val="ListParagraph"/>
    <w:qFormat/>
    <w:rsid w:val="00CA1D9D"/>
    <w:pPr>
      <w:numPr>
        <w:ilvl w:val="2"/>
        <w:numId w:val="22"/>
      </w:numPr>
      <w:tabs>
        <w:tab w:val="num" w:pos="360"/>
      </w:tabs>
      <w:spacing w:after="120" w:line="240" w:lineRule="auto"/>
      <w:ind w:left="1231" w:hanging="380"/>
      <w:contextualSpacing w:val="0"/>
    </w:pPr>
    <w:rPr>
      <w:rFonts w:asciiTheme="minorHAnsi" w:hAnsiTheme="minorHAnsi" w:cstheme="minorHAnsi"/>
    </w:rPr>
  </w:style>
  <w:style w:type="paragraph" w:styleId="FootnoteText">
    <w:name w:val="footnote text"/>
    <w:basedOn w:val="Normal"/>
    <w:link w:val="FootnoteTextChar"/>
    <w:uiPriority w:val="99"/>
    <w:semiHidden/>
    <w:unhideWhenUsed/>
    <w:rsid w:val="00CA1D9D"/>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A1D9D"/>
    <w:rPr>
      <w:rFonts w:ascii="Calibri" w:hAnsi="Calibri"/>
      <w:sz w:val="20"/>
      <w:szCs w:val="20"/>
    </w:rPr>
  </w:style>
  <w:style w:type="character" w:styleId="FootnoteReference">
    <w:name w:val="footnote reference"/>
    <w:basedOn w:val="DefaultParagraphFont"/>
    <w:uiPriority w:val="99"/>
    <w:semiHidden/>
    <w:unhideWhenUsed/>
    <w:rsid w:val="00CA1D9D"/>
    <w:rPr>
      <w:vertAlign w:val="superscript"/>
    </w:rPr>
  </w:style>
  <w:style w:type="character" w:styleId="FollowedHyperlink">
    <w:name w:val="FollowedHyperlink"/>
    <w:basedOn w:val="DefaultParagraphFont"/>
    <w:uiPriority w:val="99"/>
    <w:semiHidden/>
    <w:unhideWhenUsed/>
    <w:rsid w:val="00AC36C3"/>
    <w:rPr>
      <w:color w:val="CE372F" w:themeColor="followedHyperlink"/>
      <w:u w:val="single"/>
    </w:rPr>
  </w:style>
  <w:style w:type="paragraph" w:styleId="CommentSubject">
    <w:name w:val="annotation subject"/>
    <w:basedOn w:val="CommentText"/>
    <w:next w:val="CommentText"/>
    <w:link w:val="CommentSubjectChar"/>
    <w:uiPriority w:val="99"/>
    <w:semiHidden/>
    <w:unhideWhenUsed/>
    <w:rsid w:val="008C1631"/>
    <w:pPr>
      <w:spacing w:after="240"/>
    </w:pPr>
    <w:rPr>
      <w:rFonts w:asciiTheme="minorHAnsi" w:hAnsiTheme="minorHAnsi"/>
      <w:b/>
      <w:bCs/>
    </w:rPr>
  </w:style>
  <w:style w:type="character" w:customStyle="1" w:styleId="CommentSubjectChar">
    <w:name w:val="Comment Subject Char"/>
    <w:basedOn w:val="CommentTextChar"/>
    <w:link w:val="CommentSubject"/>
    <w:uiPriority w:val="99"/>
    <w:semiHidden/>
    <w:rsid w:val="008C1631"/>
    <w:rPr>
      <w:rFonts w:ascii="Calibri" w:hAnsi="Calibri"/>
      <w:b/>
      <w:bCs/>
      <w:sz w:val="20"/>
      <w:szCs w:val="20"/>
    </w:rPr>
  </w:style>
  <w:style w:type="paragraph" w:styleId="Revision">
    <w:name w:val="Revision"/>
    <w:hidden/>
    <w:uiPriority w:val="99"/>
    <w:semiHidden/>
    <w:rsid w:val="007A2BBE"/>
    <w:pPr>
      <w:spacing w:after="0" w:line="240" w:lineRule="auto"/>
    </w:pPr>
  </w:style>
  <w:style w:type="character" w:customStyle="1" w:styleId="ui-provider">
    <w:name w:val="ui-provider"/>
    <w:basedOn w:val="DefaultParagraphFont"/>
    <w:rsid w:val="00A3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1808">
      <w:bodyDiv w:val="1"/>
      <w:marLeft w:val="0"/>
      <w:marRight w:val="0"/>
      <w:marTop w:val="0"/>
      <w:marBottom w:val="0"/>
      <w:divBdr>
        <w:top w:val="none" w:sz="0" w:space="0" w:color="auto"/>
        <w:left w:val="none" w:sz="0" w:space="0" w:color="auto"/>
        <w:bottom w:val="none" w:sz="0" w:space="0" w:color="auto"/>
        <w:right w:val="none" w:sz="0" w:space="0" w:color="auto"/>
      </w:divBdr>
    </w:div>
    <w:div w:id="200289783">
      <w:bodyDiv w:val="1"/>
      <w:marLeft w:val="0"/>
      <w:marRight w:val="0"/>
      <w:marTop w:val="0"/>
      <w:marBottom w:val="0"/>
      <w:divBdr>
        <w:top w:val="none" w:sz="0" w:space="0" w:color="auto"/>
        <w:left w:val="none" w:sz="0" w:space="0" w:color="auto"/>
        <w:bottom w:val="none" w:sz="0" w:space="0" w:color="auto"/>
        <w:right w:val="none" w:sz="0" w:space="0" w:color="auto"/>
      </w:divBdr>
    </w:div>
    <w:div w:id="296688796">
      <w:bodyDiv w:val="1"/>
      <w:marLeft w:val="0"/>
      <w:marRight w:val="0"/>
      <w:marTop w:val="0"/>
      <w:marBottom w:val="0"/>
      <w:divBdr>
        <w:top w:val="none" w:sz="0" w:space="0" w:color="auto"/>
        <w:left w:val="none" w:sz="0" w:space="0" w:color="auto"/>
        <w:bottom w:val="none" w:sz="0" w:space="0" w:color="auto"/>
        <w:right w:val="none" w:sz="0" w:space="0" w:color="auto"/>
      </w:divBdr>
    </w:div>
    <w:div w:id="326640491">
      <w:bodyDiv w:val="1"/>
      <w:marLeft w:val="0"/>
      <w:marRight w:val="0"/>
      <w:marTop w:val="0"/>
      <w:marBottom w:val="0"/>
      <w:divBdr>
        <w:top w:val="none" w:sz="0" w:space="0" w:color="auto"/>
        <w:left w:val="none" w:sz="0" w:space="0" w:color="auto"/>
        <w:bottom w:val="none" w:sz="0" w:space="0" w:color="auto"/>
        <w:right w:val="none" w:sz="0" w:space="0" w:color="auto"/>
      </w:divBdr>
    </w:div>
    <w:div w:id="533005586">
      <w:bodyDiv w:val="1"/>
      <w:marLeft w:val="0"/>
      <w:marRight w:val="0"/>
      <w:marTop w:val="0"/>
      <w:marBottom w:val="0"/>
      <w:divBdr>
        <w:top w:val="none" w:sz="0" w:space="0" w:color="auto"/>
        <w:left w:val="none" w:sz="0" w:space="0" w:color="auto"/>
        <w:bottom w:val="none" w:sz="0" w:space="0" w:color="auto"/>
        <w:right w:val="none" w:sz="0" w:space="0" w:color="auto"/>
      </w:divBdr>
    </w:div>
    <w:div w:id="594871607">
      <w:bodyDiv w:val="1"/>
      <w:marLeft w:val="0"/>
      <w:marRight w:val="0"/>
      <w:marTop w:val="0"/>
      <w:marBottom w:val="0"/>
      <w:divBdr>
        <w:top w:val="none" w:sz="0" w:space="0" w:color="auto"/>
        <w:left w:val="none" w:sz="0" w:space="0" w:color="auto"/>
        <w:bottom w:val="none" w:sz="0" w:space="0" w:color="auto"/>
        <w:right w:val="none" w:sz="0" w:space="0" w:color="auto"/>
      </w:divBdr>
    </w:div>
    <w:div w:id="741217550">
      <w:bodyDiv w:val="1"/>
      <w:marLeft w:val="0"/>
      <w:marRight w:val="0"/>
      <w:marTop w:val="0"/>
      <w:marBottom w:val="0"/>
      <w:divBdr>
        <w:top w:val="none" w:sz="0" w:space="0" w:color="auto"/>
        <w:left w:val="none" w:sz="0" w:space="0" w:color="auto"/>
        <w:bottom w:val="none" w:sz="0" w:space="0" w:color="auto"/>
        <w:right w:val="none" w:sz="0" w:space="0" w:color="auto"/>
      </w:divBdr>
    </w:div>
    <w:div w:id="806052635">
      <w:bodyDiv w:val="1"/>
      <w:marLeft w:val="0"/>
      <w:marRight w:val="0"/>
      <w:marTop w:val="0"/>
      <w:marBottom w:val="0"/>
      <w:divBdr>
        <w:top w:val="none" w:sz="0" w:space="0" w:color="auto"/>
        <w:left w:val="none" w:sz="0" w:space="0" w:color="auto"/>
        <w:bottom w:val="none" w:sz="0" w:space="0" w:color="auto"/>
        <w:right w:val="none" w:sz="0" w:space="0" w:color="auto"/>
      </w:divBdr>
    </w:div>
    <w:div w:id="820463702">
      <w:bodyDiv w:val="1"/>
      <w:marLeft w:val="0"/>
      <w:marRight w:val="0"/>
      <w:marTop w:val="0"/>
      <w:marBottom w:val="0"/>
      <w:divBdr>
        <w:top w:val="none" w:sz="0" w:space="0" w:color="auto"/>
        <w:left w:val="none" w:sz="0" w:space="0" w:color="auto"/>
        <w:bottom w:val="none" w:sz="0" w:space="0" w:color="auto"/>
        <w:right w:val="none" w:sz="0" w:space="0" w:color="auto"/>
      </w:divBdr>
    </w:div>
    <w:div w:id="887912898">
      <w:bodyDiv w:val="1"/>
      <w:marLeft w:val="0"/>
      <w:marRight w:val="0"/>
      <w:marTop w:val="0"/>
      <w:marBottom w:val="0"/>
      <w:divBdr>
        <w:top w:val="none" w:sz="0" w:space="0" w:color="auto"/>
        <w:left w:val="none" w:sz="0" w:space="0" w:color="auto"/>
        <w:bottom w:val="none" w:sz="0" w:space="0" w:color="auto"/>
        <w:right w:val="none" w:sz="0" w:space="0" w:color="auto"/>
      </w:divBdr>
    </w:div>
    <w:div w:id="1225869642">
      <w:bodyDiv w:val="1"/>
      <w:marLeft w:val="0"/>
      <w:marRight w:val="0"/>
      <w:marTop w:val="0"/>
      <w:marBottom w:val="0"/>
      <w:divBdr>
        <w:top w:val="none" w:sz="0" w:space="0" w:color="auto"/>
        <w:left w:val="none" w:sz="0" w:space="0" w:color="auto"/>
        <w:bottom w:val="none" w:sz="0" w:space="0" w:color="auto"/>
        <w:right w:val="none" w:sz="0" w:space="0" w:color="auto"/>
      </w:divBdr>
    </w:div>
    <w:div w:id="1261791454">
      <w:bodyDiv w:val="1"/>
      <w:marLeft w:val="0"/>
      <w:marRight w:val="0"/>
      <w:marTop w:val="0"/>
      <w:marBottom w:val="0"/>
      <w:divBdr>
        <w:top w:val="none" w:sz="0" w:space="0" w:color="auto"/>
        <w:left w:val="none" w:sz="0" w:space="0" w:color="auto"/>
        <w:bottom w:val="none" w:sz="0" w:space="0" w:color="auto"/>
        <w:right w:val="none" w:sz="0" w:space="0" w:color="auto"/>
      </w:divBdr>
    </w:div>
    <w:div w:id="1581676668">
      <w:bodyDiv w:val="1"/>
      <w:marLeft w:val="0"/>
      <w:marRight w:val="0"/>
      <w:marTop w:val="0"/>
      <w:marBottom w:val="0"/>
      <w:divBdr>
        <w:top w:val="none" w:sz="0" w:space="0" w:color="auto"/>
        <w:left w:val="none" w:sz="0" w:space="0" w:color="auto"/>
        <w:bottom w:val="none" w:sz="0" w:space="0" w:color="auto"/>
        <w:right w:val="none" w:sz="0" w:space="0" w:color="auto"/>
      </w:divBdr>
    </w:div>
    <w:div w:id="1725983591">
      <w:bodyDiv w:val="1"/>
      <w:marLeft w:val="0"/>
      <w:marRight w:val="0"/>
      <w:marTop w:val="0"/>
      <w:marBottom w:val="0"/>
      <w:divBdr>
        <w:top w:val="none" w:sz="0" w:space="0" w:color="auto"/>
        <w:left w:val="none" w:sz="0" w:space="0" w:color="auto"/>
        <w:bottom w:val="none" w:sz="0" w:space="0" w:color="auto"/>
        <w:right w:val="none" w:sz="0" w:space="0" w:color="auto"/>
      </w:divBdr>
    </w:div>
    <w:div w:id="19238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chart" Target="charts/chart3.xml"/><Relationship Id="rId26" Type="http://schemas.openxmlformats.org/officeDocument/2006/relationships/hyperlink" Target="https://www.education.gov.au/higher-education-statistics/resources/2022-section-15-attrition-success-and-retention" TargetMode="Externa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gov.au/higher-education-statistics/resources/2022-student-summary-time-series" TargetMode="External"/><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education.gov.au/higher-education-statistics/resources/2022-student-summary-time-ser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ducation.gov.au/higher-education-statistics/resources/2022-section-11-equity-groups" TargetMode="External"/><Relationship Id="rId5" Type="http://schemas.openxmlformats.org/officeDocument/2006/relationships/numbering" Target="numbering.xml"/><Relationship Id="rId15" Type="http://schemas.openxmlformats.org/officeDocument/2006/relationships/hyperlink" Target="https://www.education.gov.au/higher-education-statistics/resources/2022-student-summary-time-series" TargetMode="External"/><Relationship Id="rId23" Type="http://schemas.openxmlformats.org/officeDocument/2006/relationships/chart" Target="charts/chart5.xml"/><Relationship Id="rId28" Type="http://schemas.openxmlformats.org/officeDocument/2006/relationships/hyperlink" Target="https://www.education.gov.au/higher-education-statistics/resources/completion-rates-higher-education-students-cohort-analysis-20052022" TargetMode="External"/><Relationship Id="rId10" Type="http://schemas.openxmlformats.org/officeDocument/2006/relationships/endnotes" Target="endnotes.xml"/><Relationship Id="rId19" Type="http://schemas.openxmlformats.org/officeDocument/2006/relationships/hyperlink" Target="https://www.education.gov.au/higher-education-statistics/resources/2022-student-summary-time-se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www.education.gov.au/higher-education-statistics/resources/2022-section-11-equity-groups" TargetMode="External"/><Relationship Id="rId27" Type="http://schemas.openxmlformats.org/officeDocument/2006/relationships/chart" Target="charts/chart7.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ww.acara.edu.au/reporting/national-report-on-schooling-in-australia/apparent-retention" TargetMode="External"/><Relationship Id="rId1" Type="http://schemas.openxmlformats.org/officeDocument/2006/relationships/hyperlink" Target="https://www.abs.gov.au/statistics/people/education/schools/latest-relea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20K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20K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20K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20K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riddata\DET\Restricted\universitystatistics\publications\students\final2022\fullyear\10_brief\Charts%20and%20tables%20-%202022v2%20K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11106178493267"/>
          <c:y val="7.1724740962843828E-2"/>
          <c:w val="0.83497075476841365"/>
          <c:h val="0.64676849446184337"/>
        </c:manualLayout>
      </c:layout>
      <c:lineChart>
        <c:grouping val="standard"/>
        <c:varyColors val="0"/>
        <c:ser>
          <c:idx val="0"/>
          <c:order val="0"/>
          <c:tx>
            <c:strRef>
              <c:f>'Dom OS change'!$A$5</c:f>
              <c:strCache>
                <c:ptCount val="1"/>
                <c:pt idx="0">
                  <c:v>Domestic students</c:v>
                </c:pt>
              </c:strCache>
            </c:strRef>
          </c:tx>
          <c:spPr>
            <a:ln w="28575" cap="rnd">
              <a:solidFill>
                <a:schemeClr val="tx2"/>
              </a:solidFill>
              <a:round/>
            </a:ln>
            <a:effectLst/>
          </c:spPr>
          <c:marker>
            <c:symbol val="none"/>
          </c:marker>
          <c:cat>
            <c:numRef>
              <c:f>'Dom OS change'!$D$4:$M$4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'Dom OS change'!$D$5:$M$5</c:f>
              <c:numCache>
                <c:formatCode>###,###,###,###,###,##0</c:formatCode>
                <c:ptCount val="10"/>
                <c:pt idx="0">
                  <c:v>985374</c:v>
                </c:pt>
                <c:pt idx="1">
                  <c:v>1025670</c:v>
                </c:pt>
                <c:pt idx="2">
                  <c:v>1046835</c:v>
                </c:pt>
                <c:pt idx="3">
                  <c:v>1066073</c:v>
                </c:pt>
                <c:pt idx="4">
                  <c:v>1081945</c:v>
                </c:pt>
                <c:pt idx="5">
                  <c:v>1082533</c:v>
                </c:pt>
                <c:pt idx="6">
                  <c:v>1087850</c:v>
                </c:pt>
                <c:pt idx="7">
                  <c:v>1133633</c:v>
                </c:pt>
                <c:pt idx="8">
                  <c:v>1162260</c:v>
                </c:pt>
                <c:pt idx="9">
                  <c:v>1102757</c:v>
                </c:pt>
              </c:numCache>
            </c:numRef>
          </c:val>
          <c:smooth val="0"/>
          <c:extLst>
            <c:ext xmlns:c16="http://schemas.microsoft.com/office/drawing/2014/chart" uri="{C3380CC4-5D6E-409C-BE32-E72D297353CC}">
              <c16:uniqueId val="{00000000-CA0F-4D45-B8ED-49AC52371079}"/>
            </c:ext>
          </c:extLst>
        </c:ser>
        <c:ser>
          <c:idx val="1"/>
          <c:order val="1"/>
          <c:tx>
            <c:strRef>
              <c:f>'Dom OS change'!$A$7</c:f>
              <c:strCache>
                <c:ptCount val="1"/>
                <c:pt idx="0">
                  <c:v>Overseas students</c:v>
                </c:pt>
              </c:strCache>
            </c:strRef>
          </c:tx>
          <c:spPr>
            <a:ln w="28575" cap="rnd">
              <a:solidFill>
                <a:schemeClr val="accent6"/>
              </a:solidFill>
              <a:round/>
            </a:ln>
            <a:effectLst/>
          </c:spPr>
          <c:marker>
            <c:symbol val="none"/>
          </c:marker>
          <c:cat>
            <c:numRef>
              <c:f>'Dom OS change'!$D$4:$M$4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'Dom OS change'!$D$7:$M$7</c:f>
              <c:numCache>
                <c:formatCode>###,###,###,###,###,##0</c:formatCode>
                <c:ptCount val="10"/>
                <c:pt idx="0">
                  <c:v>328402</c:v>
                </c:pt>
                <c:pt idx="1">
                  <c:v>347560</c:v>
                </c:pt>
                <c:pt idx="2">
                  <c:v>363298</c:v>
                </c:pt>
                <c:pt idx="3">
                  <c:v>391136</c:v>
                </c:pt>
                <c:pt idx="4">
                  <c:v>431438</c:v>
                </c:pt>
                <c:pt idx="5">
                  <c:v>479987</c:v>
                </c:pt>
                <c:pt idx="6">
                  <c:v>521948</c:v>
                </c:pt>
                <c:pt idx="7">
                  <c:v>489234</c:v>
                </c:pt>
                <c:pt idx="8">
                  <c:v>440309</c:v>
                </c:pt>
                <c:pt idx="9">
                  <c:v>448642</c:v>
                </c:pt>
              </c:numCache>
            </c:numRef>
          </c:val>
          <c:smooth val="0"/>
          <c:extLst>
            <c:ext xmlns:c16="http://schemas.microsoft.com/office/drawing/2014/chart" uri="{C3380CC4-5D6E-409C-BE32-E72D297353CC}">
              <c16:uniqueId val="{00000001-CA0F-4D45-B8ED-49AC52371079}"/>
            </c:ext>
          </c:extLst>
        </c:ser>
        <c:ser>
          <c:idx val="2"/>
          <c:order val="2"/>
          <c:tx>
            <c:strRef>
              <c:f>'Dom OS change'!$A$11</c:f>
              <c:strCache>
                <c:ptCount val="1"/>
                <c:pt idx="0">
                  <c:v>Domestic commencing students</c:v>
                </c:pt>
              </c:strCache>
            </c:strRef>
          </c:tx>
          <c:spPr>
            <a:ln w="28575" cap="rnd">
              <a:solidFill>
                <a:schemeClr val="tx2"/>
              </a:solidFill>
              <a:prstDash val="dash"/>
              <a:round/>
            </a:ln>
            <a:effectLst/>
          </c:spPr>
          <c:marker>
            <c:symbol val="none"/>
          </c:marker>
          <c:cat>
            <c:numRef>
              <c:f>'Dom OS change'!$D$4:$M$4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'Dom OS change'!$D$11:$M$11</c:f>
              <c:numCache>
                <c:formatCode>_-* #,##0_-;\-* #,##0_-;_-* "-"??_-;_-@_-</c:formatCode>
                <c:ptCount val="10"/>
                <c:pt idx="0">
                  <c:v>390465</c:v>
                </c:pt>
                <c:pt idx="1">
                  <c:v>407522</c:v>
                </c:pt>
                <c:pt idx="2">
                  <c:v>403414</c:v>
                </c:pt>
                <c:pt idx="3">
                  <c:v>411228</c:v>
                </c:pt>
                <c:pt idx="4">
                  <c:v>416371</c:v>
                </c:pt>
                <c:pt idx="5">
                  <c:v>409370</c:v>
                </c:pt>
                <c:pt idx="6">
                  <c:v>408202</c:v>
                </c:pt>
                <c:pt idx="7">
                  <c:v>449695</c:v>
                </c:pt>
                <c:pt idx="8" formatCode="#,##0">
                  <c:v>446836</c:v>
                </c:pt>
                <c:pt idx="9" formatCode="#,##0">
                  <c:v>400341</c:v>
                </c:pt>
              </c:numCache>
            </c:numRef>
          </c:val>
          <c:smooth val="0"/>
          <c:extLst>
            <c:ext xmlns:c16="http://schemas.microsoft.com/office/drawing/2014/chart" uri="{C3380CC4-5D6E-409C-BE32-E72D297353CC}">
              <c16:uniqueId val="{00000002-CA0F-4D45-B8ED-49AC52371079}"/>
            </c:ext>
          </c:extLst>
        </c:ser>
        <c:ser>
          <c:idx val="3"/>
          <c:order val="3"/>
          <c:tx>
            <c:strRef>
              <c:f>'Dom OS change'!$A$12</c:f>
              <c:strCache>
                <c:ptCount val="1"/>
                <c:pt idx="0">
                  <c:v>Overseas commencing students</c:v>
                </c:pt>
              </c:strCache>
            </c:strRef>
          </c:tx>
          <c:spPr>
            <a:ln w="28575" cap="rnd">
              <a:solidFill>
                <a:schemeClr val="accent6"/>
              </a:solidFill>
              <a:prstDash val="dash"/>
              <a:round/>
            </a:ln>
            <a:effectLst/>
          </c:spPr>
          <c:marker>
            <c:symbol val="none"/>
          </c:marker>
          <c:cat>
            <c:numRef>
              <c:f>'Dom OS change'!$D$4:$M$4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'Dom OS change'!$D$12:$M$12</c:f>
              <c:numCache>
                <c:formatCode>_-* #,##0_-;\-* #,##0_-;_-* "-"??_-;_-@_-</c:formatCode>
                <c:ptCount val="10"/>
                <c:pt idx="0">
                  <c:v>147421</c:v>
                </c:pt>
                <c:pt idx="1">
                  <c:v>161542</c:v>
                </c:pt>
                <c:pt idx="2">
                  <c:v>165651</c:v>
                </c:pt>
                <c:pt idx="3">
                  <c:v>183992</c:v>
                </c:pt>
                <c:pt idx="4">
                  <c:v>202713</c:v>
                </c:pt>
                <c:pt idx="5">
                  <c:v>222484</c:v>
                </c:pt>
                <c:pt idx="6">
                  <c:v>237126</c:v>
                </c:pt>
                <c:pt idx="7" formatCode="###,###,###,###,###,##0">
                  <c:v>191540</c:v>
                </c:pt>
                <c:pt idx="8" formatCode="###,###,###,###,###,##0">
                  <c:v>154075</c:v>
                </c:pt>
                <c:pt idx="9" formatCode="###,###,###,###,###,##0">
                  <c:v>193215</c:v>
                </c:pt>
              </c:numCache>
            </c:numRef>
          </c:val>
          <c:smooth val="0"/>
          <c:extLst>
            <c:ext xmlns:c16="http://schemas.microsoft.com/office/drawing/2014/chart" uri="{C3380CC4-5D6E-409C-BE32-E72D297353CC}">
              <c16:uniqueId val="{00000003-CA0F-4D45-B8ED-49AC52371079}"/>
            </c:ext>
          </c:extLst>
        </c:ser>
        <c:ser>
          <c:idx val="4"/>
          <c:order val="4"/>
          <c:tx>
            <c:strRef>
              <c:f>'Dom OS change'!$A$13</c:f>
              <c:strCache>
                <c:ptCount val="1"/>
                <c:pt idx="0">
                  <c:v>Commonwealth supported commencing </c:v>
                </c:pt>
              </c:strCache>
            </c:strRef>
          </c:tx>
          <c:spPr>
            <a:ln w="28575" cap="rnd">
              <a:solidFill>
                <a:schemeClr val="accent4"/>
              </a:solidFill>
              <a:round/>
            </a:ln>
            <a:effectLst/>
          </c:spPr>
          <c:marker>
            <c:symbol val="none"/>
          </c:marker>
          <c:cat>
            <c:numRef>
              <c:f>'Dom OS change'!$D$4:$M$4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'Dom OS change'!$D$13:$M$13</c:f>
              <c:numCache>
                <c:formatCode>###,###,###,###,###,##0</c:formatCode>
                <c:ptCount val="10"/>
                <c:pt idx="0">
                  <c:v>289121</c:v>
                </c:pt>
                <c:pt idx="1">
                  <c:v>299942</c:v>
                </c:pt>
                <c:pt idx="2">
                  <c:v>301392</c:v>
                </c:pt>
                <c:pt idx="3">
                  <c:v>305802</c:v>
                </c:pt>
                <c:pt idx="4">
                  <c:v>310665</c:v>
                </c:pt>
                <c:pt idx="5">
                  <c:v>306050</c:v>
                </c:pt>
                <c:pt idx="6">
                  <c:v>302262</c:v>
                </c:pt>
                <c:pt idx="7">
                  <c:v>324658</c:v>
                </c:pt>
                <c:pt idx="8">
                  <c:v>330223</c:v>
                </c:pt>
                <c:pt idx="9">
                  <c:v>296976</c:v>
                </c:pt>
              </c:numCache>
            </c:numRef>
          </c:val>
          <c:smooth val="0"/>
          <c:extLst>
            <c:ext xmlns:c16="http://schemas.microsoft.com/office/drawing/2014/chart" uri="{C3380CC4-5D6E-409C-BE32-E72D297353CC}">
              <c16:uniqueId val="{00000004-CA0F-4D45-B8ED-49AC52371079}"/>
            </c:ext>
          </c:extLst>
        </c:ser>
        <c:ser>
          <c:idx val="5"/>
          <c:order val="5"/>
          <c:tx>
            <c:strRef>
              <c:f>'Dom OS change'!$A$9</c:f>
              <c:strCache>
                <c:ptCount val="1"/>
                <c:pt idx="0">
                  <c:v>Total students</c:v>
                </c:pt>
              </c:strCache>
            </c:strRef>
          </c:tx>
          <c:spPr>
            <a:ln w="28575" cap="rnd">
              <a:solidFill>
                <a:schemeClr val="accent5"/>
              </a:solidFill>
              <a:round/>
            </a:ln>
            <a:effectLst/>
          </c:spPr>
          <c:marker>
            <c:symbol val="none"/>
          </c:marker>
          <c:val>
            <c:numRef>
              <c:f>'Dom OS change'!$D$9:$M$9</c:f>
              <c:numCache>
                <c:formatCode>###,###,###,###,###,##0</c:formatCode>
                <c:ptCount val="10"/>
                <c:pt idx="0">
                  <c:v>1313776</c:v>
                </c:pt>
                <c:pt idx="1">
                  <c:v>1373230</c:v>
                </c:pt>
                <c:pt idx="2">
                  <c:v>1410133</c:v>
                </c:pt>
                <c:pt idx="3">
                  <c:v>1457209</c:v>
                </c:pt>
                <c:pt idx="4">
                  <c:v>1513383</c:v>
                </c:pt>
                <c:pt idx="5">
                  <c:v>1562520</c:v>
                </c:pt>
                <c:pt idx="6">
                  <c:v>1609798</c:v>
                </c:pt>
                <c:pt idx="7">
                  <c:v>1622867</c:v>
                </c:pt>
                <c:pt idx="8">
                  <c:v>1602573</c:v>
                </c:pt>
                <c:pt idx="9">
                  <c:v>1551411</c:v>
                </c:pt>
              </c:numCache>
            </c:numRef>
          </c:val>
          <c:smooth val="0"/>
          <c:extLst>
            <c:ext xmlns:c16="http://schemas.microsoft.com/office/drawing/2014/chart" uri="{C3380CC4-5D6E-409C-BE32-E72D297353CC}">
              <c16:uniqueId val="{00000005-CA0F-4D45-B8ED-49AC52371079}"/>
            </c:ext>
          </c:extLst>
        </c:ser>
        <c:ser>
          <c:idx val="6"/>
          <c:order val="6"/>
          <c:tx>
            <c:strRef>
              <c:f>'Dom OS change'!$A$14</c:f>
              <c:strCache>
                <c:ptCount val="1"/>
                <c:pt idx="0">
                  <c:v>Total commencing students</c:v>
                </c:pt>
              </c:strCache>
            </c:strRef>
          </c:tx>
          <c:spPr>
            <a:ln w="28575" cap="rnd">
              <a:solidFill>
                <a:schemeClr val="accent5"/>
              </a:solidFill>
              <a:prstDash val="sysDash"/>
              <a:round/>
            </a:ln>
            <a:effectLst/>
          </c:spPr>
          <c:marker>
            <c:symbol val="none"/>
          </c:marker>
          <c:val>
            <c:numRef>
              <c:f>'Dom OS change'!$D$14:$M$14</c:f>
              <c:numCache>
                <c:formatCode>###,###,###,###,###,##0</c:formatCode>
                <c:ptCount val="10"/>
                <c:pt idx="0">
                  <c:v>537886</c:v>
                </c:pt>
                <c:pt idx="1">
                  <c:v>569064</c:v>
                </c:pt>
                <c:pt idx="2">
                  <c:v>569065</c:v>
                </c:pt>
                <c:pt idx="3">
                  <c:v>595220</c:v>
                </c:pt>
                <c:pt idx="4">
                  <c:v>619084</c:v>
                </c:pt>
                <c:pt idx="5">
                  <c:v>631854</c:v>
                </c:pt>
                <c:pt idx="6">
                  <c:v>645328</c:v>
                </c:pt>
                <c:pt idx="7">
                  <c:v>641235</c:v>
                </c:pt>
                <c:pt idx="8">
                  <c:v>600915</c:v>
                </c:pt>
                <c:pt idx="9">
                  <c:v>593556</c:v>
                </c:pt>
              </c:numCache>
            </c:numRef>
          </c:val>
          <c:smooth val="0"/>
          <c:extLst>
            <c:ext xmlns:c16="http://schemas.microsoft.com/office/drawing/2014/chart" uri="{C3380CC4-5D6E-409C-BE32-E72D297353CC}">
              <c16:uniqueId val="{00000006-CA0F-4D45-B8ED-49AC52371079}"/>
            </c:ext>
          </c:extLst>
        </c:ser>
        <c:dLbls>
          <c:showLegendKey val="0"/>
          <c:showVal val="0"/>
          <c:showCatName val="0"/>
          <c:showSerName val="0"/>
          <c:showPercent val="0"/>
          <c:showBubbleSize val="0"/>
        </c:dLbls>
        <c:smooth val="0"/>
        <c:axId val="1674406432"/>
        <c:axId val="1674404768"/>
      </c:lineChart>
      <c:catAx>
        <c:axId val="167440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4404768"/>
        <c:crosses val="autoZero"/>
        <c:auto val="1"/>
        <c:lblAlgn val="ctr"/>
        <c:lblOffset val="100"/>
        <c:noMultiLvlLbl val="0"/>
      </c:catAx>
      <c:valAx>
        <c:axId val="1674404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4406432"/>
        <c:crosses val="autoZero"/>
        <c:crossBetween val="between"/>
      </c:valAx>
      <c:spPr>
        <a:noFill/>
        <a:ln>
          <a:noFill/>
        </a:ln>
        <a:effectLst/>
      </c:spPr>
    </c:plotArea>
    <c:legend>
      <c:legendPos val="b"/>
      <c:layout>
        <c:manualLayout>
          <c:xMode val="edge"/>
          <c:yMode val="edge"/>
          <c:x val="8.005743687091187E-3"/>
          <c:y val="0.82926634014278744"/>
          <c:w val="0.95955289269319954"/>
          <c:h val="0.17073370495276036"/>
        </c:manualLayout>
      </c:layout>
      <c:overlay val="0"/>
      <c:spPr>
        <a:noFill/>
        <a:ln>
          <a:noFill/>
        </a:ln>
        <a:effectLst/>
      </c:spPr>
      <c:txPr>
        <a:bodyPr rot="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20976834417436"/>
          <c:y val="4.1643814914978892E-2"/>
          <c:w val="0.7311099872397373"/>
          <c:h val="0.73767288920345631"/>
        </c:manualLayout>
      </c:layout>
      <c:barChart>
        <c:barDir val="col"/>
        <c:grouping val="clustered"/>
        <c:varyColors val="0"/>
        <c:ser>
          <c:idx val="1"/>
          <c:order val="1"/>
          <c:tx>
            <c:strRef>
              <c:f>'Formatted first chart '!$A$35</c:f>
              <c:strCache>
                <c:ptCount val="1"/>
                <c:pt idx="0">
                  <c:v>Domestic commencing undergraduate students</c:v>
                </c:pt>
              </c:strCache>
            </c:strRef>
          </c:tx>
          <c:spPr>
            <a:solidFill>
              <a:schemeClr val="accent4">
                <a:lumMod val="60000"/>
                <a:lumOff val="40000"/>
              </a:schemeClr>
            </a:solidFill>
            <a:ln>
              <a:noFill/>
            </a:ln>
            <a:effectLst/>
          </c:spPr>
          <c:invertIfNegative val="0"/>
          <c:trendline>
            <c:name>Trend (2 period moving average)</c:name>
            <c:spPr>
              <a:ln w="19050" cap="rnd">
                <a:solidFill>
                  <a:schemeClr val="accent4"/>
                </a:solidFill>
                <a:prstDash val="sysDot"/>
              </a:ln>
              <a:effectLst/>
            </c:spPr>
            <c:trendlineType val="movingAvg"/>
            <c:period val="2"/>
            <c:dispRSqr val="0"/>
            <c:dispEq val="0"/>
          </c:trendline>
          <c:cat>
            <c:numRef>
              <c:f>'Formatted first chart '!$E$2:$O$2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extLst/>
            </c:numRef>
          </c:cat>
          <c:val>
            <c:numRef>
              <c:f>'Formatted first chart '!$F$4:$O$4</c:f>
              <c:numCache>
                <c:formatCode>#,##0</c:formatCode>
                <c:ptCount val="10"/>
                <c:pt idx="0">
                  <c:v>263073</c:v>
                </c:pt>
                <c:pt idx="1">
                  <c:v>272229</c:v>
                </c:pt>
                <c:pt idx="2">
                  <c:v>276234</c:v>
                </c:pt>
                <c:pt idx="3">
                  <c:v>281389</c:v>
                </c:pt>
                <c:pt idx="4">
                  <c:v>288035</c:v>
                </c:pt>
                <c:pt idx="5">
                  <c:v>282899</c:v>
                </c:pt>
                <c:pt idx="6">
                  <c:v>276095</c:v>
                </c:pt>
                <c:pt idx="7">
                  <c:v>288794</c:v>
                </c:pt>
                <c:pt idx="8">
                  <c:v>290912</c:v>
                </c:pt>
                <c:pt idx="9">
                  <c:v>267107</c:v>
                </c:pt>
              </c:numCache>
              <c:extLst/>
            </c:numRef>
          </c:val>
          <c:extLst>
            <c:ext xmlns:c16="http://schemas.microsoft.com/office/drawing/2014/chart" uri="{C3380CC4-5D6E-409C-BE32-E72D297353CC}">
              <c16:uniqueId val="{00000001-78AD-407A-82CF-D347CD78DB4C}"/>
            </c:ext>
          </c:extLst>
        </c:ser>
        <c:dLbls>
          <c:showLegendKey val="0"/>
          <c:showVal val="0"/>
          <c:showCatName val="0"/>
          <c:showSerName val="0"/>
          <c:showPercent val="0"/>
          <c:showBubbleSize val="0"/>
        </c:dLbls>
        <c:gapWidth val="219"/>
        <c:overlap val="-27"/>
        <c:axId val="730212680"/>
        <c:axId val="730211696"/>
      </c:barChart>
      <c:lineChart>
        <c:grouping val="standard"/>
        <c:varyColors val="0"/>
        <c:ser>
          <c:idx val="0"/>
          <c:order val="0"/>
          <c:tx>
            <c:v>Annual Growth (%)</c:v>
          </c:tx>
          <c:spPr>
            <a:ln w="28575" cap="rnd">
              <a:solidFill>
                <a:schemeClr val="accent1"/>
              </a:solidFill>
              <a:round/>
            </a:ln>
            <a:effectLst/>
          </c:spPr>
          <c:marker>
            <c:symbol val="square"/>
            <c:size val="8"/>
            <c:spPr>
              <a:solidFill>
                <a:schemeClr val="accent1"/>
              </a:solidFill>
              <a:ln w="9525">
                <a:solidFill>
                  <a:schemeClr val="accent1"/>
                </a:solidFill>
              </a:ln>
              <a:effectLst/>
            </c:spPr>
          </c:marker>
          <c:cat>
            <c:numRef>
              <c:f>'Formatted first chart '!$F$2:$O$2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extLst/>
            </c:numRef>
          </c:cat>
          <c:val>
            <c:numRef>
              <c:f>'Formatted first chart '!$E$34:$N$34</c:f>
              <c:numCache>
                <c:formatCode>0.0</c:formatCode>
                <c:ptCount val="10"/>
                <c:pt idx="0">
                  <c:v>5.8601263530642624</c:v>
                </c:pt>
                <c:pt idx="1">
                  <c:v>3.4804027779361624</c:v>
                </c:pt>
                <c:pt idx="2">
                  <c:v>1.471187860220623</c:v>
                </c:pt>
                <c:pt idx="3">
                  <c:v>1.8661714343636191</c:v>
                </c:pt>
                <c:pt idx="4">
                  <c:v>2.3618549410247023</c:v>
                </c:pt>
                <c:pt idx="5">
                  <c:v>-1.7831166351311472</c:v>
                </c:pt>
                <c:pt idx="6">
                  <c:v>-2.405098639443759</c:v>
                </c:pt>
                <c:pt idx="7">
                  <c:v>4.5995037939839545</c:v>
                </c:pt>
                <c:pt idx="8">
                  <c:v>0.72958579471872675</c:v>
                </c:pt>
                <c:pt idx="9">
                  <c:v>-8.1794149899794082</c:v>
                </c:pt>
              </c:numCache>
              <c:extLst/>
            </c:numRef>
          </c:val>
          <c:smooth val="0"/>
          <c:extLst>
            <c:ext xmlns:c16="http://schemas.microsoft.com/office/drawing/2014/chart" uri="{C3380CC4-5D6E-409C-BE32-E72D297353CC}">
              <c16:uniqueId val="{00000002-78AD-407A-82CF-D347CD78DB4C}"/>
            </c:ext>
          </c:extLst>
        </c:ser>
        <c:dLbls>
          <c:showLegendKey val="0"/>
          <c:showVal val="0"/>
          <c:showCatName val="0"/>
          <c:showSerName val="0"/>
          <c:showPercent val="0"/>
          <c:showBubbleSize val="0"/>
        </c:dLbls>
        <c:marker val="1"/>
        <c:smooth val="0"/>
        <c:axId val="730216616"/>
        <c:axId val="730219568"/>
      </c:lineChart>
      <c:valAx>
        <c:axId val="730219568"/>
        <c:scaling>
          <c:orientation val="minMax"/>
          <c:max val="12"/>
          <c:min val="-12"/>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Annual Growth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216616"/>
        <c:crosses val="max"/>
        <c:crossBetween val="between"/>
        <c:majorUnit val="2"/>
        <c:minorUnit val="0.2"/>
      </c:valAx>
      <c:catAx>
        <c:axId val="730216616"/>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730219568"/>
        <c:crosses val="autoZero"/>
        <c:auto val="1"/>
        <c:lblAlgn val="ctr"/>
        <c:lblOffset val="100"/>
        <c:noMultiLvlLbl val="0"/>
      </c:catAx>
      <c:valAx>
        <c:axId val="730211696"/>
        <c:scaling>
          <c:orientation val="minMax"/>
          <c:max val="300000"/>
          <c:min val="1.0000000000000002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STUDENTS</a:t>
                </a:r>
              </a:p>
            </c:rich>
          </c:tx>
          <c:layout>
            <c:manualLayout>
              <c:xMode val="edge"/>
              <c:yMode val="edge"/>
              <c:x val="2.1544758711055205E-2"/>
              <c:y val="0.365382051962605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212680"/>
        <c:crosses val="autoZero"/>
        <c:crossBetween val="between"/>
      </c:valAx>
      <c:catAx>
        <c:axId val="730212680"/>
        <c:scaling>
          <c:orientation val="minMax"/>
        </c:scaling>
        <c:delete val="1"/>
        <c:axPos val="b"/>
        <c:numFmt formatCode="General" sourceLinked="1"/>
        <c:majorTickMark val="out"/>
        <c:minorTickMark val="none"/>
        <c:tickLblPos val="nextTo"/>
        <c:crossAx val="730211696"/>
        <c:crossesAt val="0"/>
        <c:auto val="1"/>
        <c:lblAlgn val="ctr"/>
        <c:lblOffset val="100"/>
        <c:noMultiLvlLbl val="0"/>
      </c:catAx>
      <c:spPr>
        <a:noFill/>
        <a:ln>
          <a:noFill/>
        </a:ln>
        <a:effectLst/>
      </c:spPr>
    </c:plotArea>
    <c:legend>
      <c:legendPos val="b"/>
      <c:layout>
        <c:manualLayout>
          <c:xMode val="edge"/>
          <c:yMode val="edge"/>
          <c:x val="3.037977775490228E-2"/>
          <c:y val="0.85613317998171579"/>
          <c:w val="0.92850261100477871"/>
          <c:h val="0.140590862161187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45216753897"/>
          <c:y val="4.2977143973432309E-2"/>
          <c:w val="0.82886720562795724"/>
          <c:h val="0.77701353457014399"/>
        </c:manualLayout>
      </c:layout>
      <c:lineChart>
        <c:grouping val="standard"/>
        <c:varyColors val="0"/>
        <c:ser>
          <c:idx val="0"/>
          <c:order val="0"/>
          <c:tx>
            <c:strRef>
              <c:f>[2]Sheet1!$A$6</c:f>
              <c:strCache>
                <c:ptCount val="1"/>
                <c:pt idx="0">
                  <c:v>01. Postgraduate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[2]Sheet1!$B$4:$K$4</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[2]Sheet1!$B$6:$K$6</c:f>
              <c:numCache>
                <c:formatCode>General</c:formatCode>
                <c:ptCount val="10"/>
                <c:pt idx="0">
                  <c:v>103508</c:v>
                </c:pt>
                <c:pt idx="1">
                  <c:v>110161</c:v>
                </c:pt>
                <c:pt idx="2">
                  <c:v>102359</c:v>
                </c:pt>
                <c:pt idx="3">
                  <c:v>101214</c:v>
                </c:pt>
                <c:pt idx="4">
                  <c:v>100075</c:v>
                </c:pt>
                <c:pt idx="5">
                  <c:v>98855</c:v>
                </c:pt>
                <c:pt idx="6">
                  <c:v>102698</c:v>
                </c:pt>
                <c:pt idx="7">
                  <c:v>128301</c:v>
                </c:pt>
                <c:pt idx="8">
                  <c:v>130309</c:v>
                </c:pt>
                <c:pt idx="9">
                  <c:v>111420</c:v>
                </c:pt>
              </c:numCache>
            </c:numRef>
          </c:val>
          <c:smooth val="0"/>
          <c:extLst>
            <c:ext xmlns:c16="http://schemas.microsoft.com/office/drawing/2014/chart" uri="{C3380CC4-5D6E-409C-BE32-E72D297353CC}">
              <c16:uniqueId val="{00000000-8900-4931-BBB9-4E7312313283}"/>
            </c:ext>
          </c:extLst>
        </c:ser>
        <c:ser>
          <c:idx val="1"/>
          <c:order val="1"/>
          <c:tx>
            <c:strRef>
              <c:f>[2]Sheet1!$A$7</c:f>
              <c:strCache>
                <c:ptCount val="1"/>
                <c:pt idx="0">
                  <c:v>02. Undergraduate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[2]Sheet1!$B$4:$K$4</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[2]Sheet1!$B$7:$K$7</c:f>
              <c:numCache>
                <c:formatCode>General</c:formatCode>
                <c:ptCount val="10"/>
                <c:pt idx="0">
                  <c:v>263073</c:v>
                </c:pt>
                <c:pt idx="1">
                  <c:v>272229</c:v>
                </c:pt>
                <c:pt idx="2">
                  <c:v>276234</c:v>
                </c:pt>
                <c:pt idx="3">
                  <c:v>281389</c:v>
                </c:pt>
                <c:pt idx="4">
                  <c:v>288035</c:v>
                </c:pt>
                <c:pt idx="5">
                  <c:v>282899</c:v>
                </c:pt>
                <c:pt idx="6">
                  <c:v>276095</c:v>
                </c:pt>
                <c:pt idx="7">
                  <c:v>288794</c:v>
                </c:pt>
                <c:pt idx="8">
                  <c:v>290901</c:v>
                </c:pt>
                <c:pt idx="9">
                  <c:v>267104</c:v>
                </c:pt>
              </c:numCache>
            </c:numRef>
          </c:val>
          <c:smooth val="0"/>
          <c:extLst>
            <c:ext xmlns:c16="http://schemas.microsoft.com/office/drawing/2014/chart" uri="{C3380CC4-5D6E-409C-BE32-E72D297353CC}">
              <c16:uniqueId val="{00000001-8900-4931-BBB9-4E7312313283}"/>
            </c:ext>
          </c:extLst>
        </c:ser>
        <c:ser>
          <c:idx val="2"/>
          <c:order val="2"/>
          <c:tx>
            <c:strRef>
              <c:f>[2]Sheet1!$A$8</c:f>
              <c:strCache>
                <c:ptCount val="1"/>
                <c:pt idx="0">
                  <c:v>03. Enabling and Non-award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[2]Sheet1!$B$4:$K$4</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[2]Sheet1!$B$8:$K$8</c:f>
              <c:numCache>
                <c:formatCode>General</c:formatCode>
                <c:ptCount val="10"/>
                <c:pt idx="0">
                  <c:v>23884</c:v>
                </c:pt>
                <c:pt idx="1">
                  <c:v>25132</c:v>
                </c:pt>
                <c:pt idx="2">
                  <c:v>24821</c:v>
                </c:pt>
                <c:pt idx="3">
                  <c:v>28625</c:v>
                </c:pt>
                <c:pt idx="4">
                  <c:v>28261</c:v>
                </c:pt>
                <c:pt idx="5">
                  <c:v>27616</c:v>
                </c:pt>
                <c:pt idx="6">
                  <c:v>29409</c:v>
                </c:pt>
                <c:pt idx="7">
                  <c:v>32600</c:v>
                </c:pt>
                <c:pt idx="8">
                  <c:v>25626</c:v>
                </c:pt>
                <c:pt idx="9">
                  <c:v>21817</c:v>
                </c:pt>
              </c:numCache>
            </c:numRef>
          </c:val>
          <c:smooth val="0"/>
          <c:extLst>
            <c:ext xmlns:c16="http://schemas.microsoft.com/office/drawing/2014/chart" uri="{C3380CC4-5D6E-409C-BE32-E72D297353CC}">
              <c16:uniqueId val="{00000002-8900-4931-BBB9-4E7312313283}"/>
            </c:ext>
          </c:extLst>
        </c:ser>
        <c:ser>
          <c:idx val="3"/>
          <c:order val="3"/>
          <c:tx>
            <c:strRef>
              <c:f>[2]Sheet1!$A$9</c:f>
              <c:strCache>
                <c:ptCount val="1"/>
                <c:pt idx="0">
                  <c:v>Total</c:v>
                </c:pt>
              </c:strCache>
            </c:strRef>
          </c:tx>
          <c:spPr>
            <a:ln w="28575" cap="rnd">
              <a:solidFill>
                <a:schemeClr val="tx2"/>
              </a:solidFill>
              <a:round/>
            </a:ln>
            <a:effectLst/>
          </c:spPr>
          <c:marker>
            <c:symbol val="circle"/>
            <c:size val="5"/>
            <c:spPr>
              <a:solidFill>
                <a:schemeClr val="tx2"/>
              </a:solidFill>
              <a:ln w="9525">
                <a:solidFill>
                  <a:schemeClr val="tx2"/>
                </a:solidFill>
              </a:ln>
              <a:effectLst/>
            </c:spPr>
          </c:marker>
          <c:cat>
            <c:strRef>
              <c:f>[2]Sheet1!$B$4:$K$4</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[2]Sheet1!$B$9:$K$9</c:f>
              <c:numCache>
                <c:formatCode>General</c:formatCode>
                <c:ptCount val="10"/>
                <c:pt idx="0">
                  <c:v>390465</c:v>
                </c:pt>
                <c:pt idx="1">
                  <c:v>407522</c:v>
                </c:pt>
                <c:pt idx="2">
                  <c:v>403414</c:v>
                </c:pt>
                <c:pt idx="3">
                  <c:v>411228</c:v>
                </c:pt>
                <c:pt idx="4">
                  <c:v>416371</c:v>
                </c:pt>
                <c:pt idx="5">
                  <c:v>409370</c:v>
                </c:pt>
                <c:pt idx="6">
                  <c:v>408202</c:v>
                </c:pt>
                <c:pt idx="7">
                  <c:v>449695</c:v>
                </c:pt>
                <c:pt idx="8">
                  <c:v>446836</c:v>
                </c:pt>
                <c:pt idx="9">
                  <c:v>400341</c:v>
                </c:pt>
              </c:numCache>
            </c:numRef>
          </c:val>
          <c:smooth val="0"/>
          <c:extLst>
            <c:ext xmlns:c16="http://schemas.microsoft.com/office/drawing/2014/chart" uri="{C3380CC4-5D6E-409C-BE32-E72D297353CC}">
              <c16:uniqueId val="{00000003-8900-4931-BBB9-4E7312313283}"/>
            </c:ext>
          </c:extLst>
        </c:ser>
        <c:dLbls>
          <c:showLegendKey val="0"/>
          <c:showVal val="0"/>
          <c:showCatName val="0"/>
          <c:showSerName val="0"/>
          <c:showPercent val="0"/>
          <c:showBubbleSize val="0"/>
        </c:dLbls>
        <c:marker val="1"/>
        <c:smooth val="0"/>
        <c:axId val="1264123024"/>
        <c:axId val="1265592160"/>
      </c:lineChart>
      <c:catAx>
        <c:axId val="126412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592160"/>
        <c:crosses val="autoZero"/>
        <c:auto val="1"/>
        <c:lblAlgn val="ctr"/>
        <c:lblOffset val="100"/>
        <c:noMultiLvlLbl val="0"/>
      </c:catAx>
      <c:valAx>
        <c:axId val="126559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STUDENTS</a:t>
                </a:r>
              </a:p>
            </c:rich>
          </c:tx>
          <c:layout>
            <c:manualLayout>
              <c:xMode val="edge"/>
              <c:yMode val="edge"/>
              <c:x val="1.9394461803684947E-2"/>
              <c:y val="0.234420785309630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412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'[Charts and tables - 2022v2 KN.xlsx]equity group (all)'!$A$6</c:f>
              <c:strCache>
                <c:ptCount val="1"/>
                <c:pt idx="0">
                  <c:v>First Nations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(all)'!$B$6:$L$6</c:f>
              <c:numCache>
                <c:formatCode>#,##0</c:formatCode>
                <c:ptCount val="7"/>
                <c:pt idx="0">
                  <c:v>8219</c:v>
                </c:pt>
                <c:pt idx="1">
                  <c:v>8734</c:v>
                </c:pt>
                <c:pt idx="2">
                  <c:v>8776</c:v>
                </c:pt>
                <c:pt idx="3">
                  <c:v>9389</c:v>
                </c:pt>
                <c:pt idx="4">
                  <c:v>10388</c:v>
                </c:pt>
                <c:pt idx="5">
                  <c:v>10506</c:v>
                </c:pt>
                <c:pt idx="6">
                  <c:v>9668</c:v>
                </c:pt>
              </c:numCache>
            </c:numRef>
          </c:val>
          <c:smooth val="0"/>
          <c:extLst>
            <c:ext xmlns:c16="http://schemas.microsoft.com/office/drawing/2014/chart" uri="{C3380CC4-5D6E-409C-BE32-E72D297353CC}">
              <c16:uniqueId val="{00000000-6CFE-4A3D-BA0C-8B293E8B2E4F}"/>
            </c:ext>
          </c:extLst>
        </c:ser>
        <c:ser>
          <c:idx val="1"/>
          <c:order val="1"/>
          <c:tx>
            <c:strRef>
              <c:f>'[Charts and tables - 2022v2 KN.xlsx]equity group (all)'!$A$7</c:f>
              <c:strCache>
                <c:ptCount val="1"/>
                <c:pt idx="0">
                  <c:v>First Address Low SES by SA1 (SEIFA16)</c:v>
                </c:pt>
              </c:strCache>
            </c:strRef>
          </c:tx>
          <c:spPr>
            <a:ln w="22225" cap="rnd">
              <a:solidFill>
                <a:schemeClr val="accent3"/>
              </a:solidFill>
              <a:prstDash val="sysDash"/>
              <a:round/>
            </a:ln>
            <a:effectLst/>
          </c:spPr>
          <c:marker>
            <c:symbol val="square"/>
            <c:size val="6"/>
            <c:spPr>
              <a:solidFill>
                <a:schemeClr val="accent3"/>
              </a:solidFill>
              <a:ln w="9525">
                <a:solidFill>
                  <a:schemeClr val="accent3"/>
                </a:solidFill>
                <a:prstDash val="sysDash"/>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(all)'!$B$7:$L$7</c:f>
              <c:numCache>
                <c:formatCode>#,##0</c:formatCode>
                <c:ptCount val="7"/>
                <c:pt idx="0">
                  <c:v>72134</c:v>
                </c:pt>
                <c:pt idx="1">
                  <c:v>73296</c:v>
                </c:pt>
                <c:pt idx="2">
                  <c:v>71898</c:v>
                </c:pt>
                <c:pt idx="3">
                  <c:v>70694</c:v>
                </c:pt>
                <c:pt idx="4">
                  <c:v>75255</c:v>
                </c:pt>
                <c:pt idx="5">
                  <c:v>72119</c:v>
                </c:pt>
              </c:numCache>
            </c:numRef>
          </c:val>
          <c:smooth val="0"/>
          <c:extLst>
            <c:ext xmlns:c16="http://schemas.microsoft.com/office/drawing/2014/chart" uri="{C3380CC4-5D6E-409C-BE32-E72D297353CC}">
              <c16:uniqueId val="{00000001-6CFE-4A3D-BA0C-8B293E8B2E4F}"/>
            </c:ext>
          </c:extLst>
        </c:ser>
        <c:ser>
          <c:idx val="2"/>
          <c:order val="2"/>
          <c:tx>
            <c:strRef>
              <c:f>'[Charts and tables - 2022v2 KN.xlsx]equity group (all)'!$A$8</c:f>
              <c:strCache>
                <c:ptCount val="1"/>
                <c:pt idx="0">
                  <c:v>First Address Low SES by SA1 (SEIFA21)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(all)'!$B$8:$L$8</c:f>
              <c:numCache>
                <c:formatCode>General</c:formatCode>
                <c:ptCount val="7"/>
                <c:pt idx="5" formatCode="#,##0">
                  <c:v>75876</c:v>
                </c:pt>
                <c:pt idx="6" formatCode="#,##0">
                  <c:v>67018</c:v>
                </c:pt>
              </c:numCache>
            </c:numRef>
          </c:val>
          <c:smooth val="0"/>
          <c:extLst>
            <c:ext xmlns:c16="http://schemas.microsoft.com/office/drawing/2014/chart" uri="{C3380CC4-5D6E-409C-BE32-E72D297353CC}">
              <c16:uniqueId val="{00000002-6CFE-4A3D-BA0C-8B293E8B2E4F}"/>
            </c:ext>
          </c:extLst>
        </c:ser>
        <c:ser>
          <c:idx val="3"/>
          <c:order val="3"/>
          <c:tx>
            <c:strRef>
              <c:f>'[Charts and tables - 2022v2 KN.xlsx]equity group (all)'!$A$9</c:f>
              <c:strCache>
                <c:ptCount val="1"/>
                <c:pt idx="0">
                  <c:v>First Address Regional and Remote (ASGS16)</c:v>
                </c:pt>
              </c:strCache>
            </c:strRef>
          </c:tx>
          <c:spPr>
            <a:ln w="22225" cap="rnd">
              <a:solidFill>
                <a:schemeClr val="accent4"/>
              </a:solidFill>
              <a:prstDash val="sysDash"/>
              <a:round/>
            </a:ln>
            <a:effectLst/>
          </c:spPr>
          <c:marker>
            <c:symbol val="x"/>
            <c:size val="6"/>
            <c:spPr>
              <a:noFill/>
              <a:ln w="9525">
                <a:solidFill>
                  <a:schemeClr val="accent4"/>
                </a:solidFill>
                <a:prstDash val="sysDash"/>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(all)'!$B$9:$L$9</c:f>
              <c:numCache>
                <c:formatCode>#,##0</c:formatCode>
                <c:ptCount val="7"/>
                <c:pt idx="0">
                  <c:v>91391</c:v>
                </c:pt>
                <c:pt idx="1">
                  <c:v>91119</c:v>
                </c:pt>
                <c:pt idx="2">
                  <c:v>87939</c:v>
                </c:pt>
                <c:pt idx="3">
                  <c:v>88477</c:v>
                </c:pt>
                <c:pt idx="4">
                  <c:v>92526</c:v>
                </c:pt>
                <c:pt idx="5">
                  <c:v>89472</c:v>
                </c:pt>
              </c:numCache>
            </c:numRef>
          </c:val>
          <c:smooth val="0"/>
          <c:extLst>
            <c:ext xmlns:c16="http://schemas.microsoft.com/office/drawing/2014/chart" uri="{C3380CC4-5D6E-409C-BE32-E72D297353CC}">
              <c16:uniqueId val="{00000003-6CFE-4A3D-BA0C-8B293E8B2E4F}"/>
            </c:ext>
          </c:extLst>
        </c:ser>
        <c:ser>
          <c:idx val="4"/>
          <c:order val="4"/>
          <c:tx>
            <c:strRef>
              <c:f>'[Charts and tables - 2022v2 KN.xlsx]equity group (all)'!$A$10</c:f>
              <c:strCache>
                <c:ptCount val="1"/>
                <c:pt idx="0">
                  <c:v>First Address Regional and Remote (ASGS21)</c:v>
                </c:pt>
              </c:strCache>
            </c:strRef>
          </c:tx>
          <c:spPr>
            <a:ln w="22225" cap="rnd">
              <a:solidFill>
                <a:schemeClr val="accent4"/>
              </a:solidFill>
              <a:round/>
            </a:ln>
            <a:effectLst/>
          </c:spPr>
          <c:marker>
            <c:symbol val="star"/>
            <c:size val="6"/>
            <c:spPr>
              <a:solidFill>
                <a:schemeClr val="accent4"/>
              </a:solidFill>
              <a:ln w="9525">
                <a:solidFill>
                  <a:schemeClr val="accent4"/>
                </a:solidFill>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(all)'!$B$10:$L$10</c:f>
              <c:numCache>
                <c:formatCode>General</c:formatCode>
                <c:ptCount val="7"/>
                <c:pt idx="5" formatCode="#,##0">
                  <c:v>87351</c:v>
                </c:pt>
                <c:pt idx="6" formatCode="#,##0">
                  <c:v>80285</c:v>
                </c:pt>
              </c:numCache>
            </c:numRef>
          </c:val>
          <c:smooth val="0"/>
          <c:extLst>
            <c:ext xmlns:c16="http://schemas.microsoft.com/office/drawing/2014/chart" uri="{C3380CC4-5D6E-409C-BE32-E72D297353CC}">
              <c16:uniqueId val="{00000004-6CFE-4A3D-BA0C-8B293E8B2E4F}"/>
            </c:ext>
          </c:extLst>
        </c:ser>
        <c:ser>
          <c:idx val="5"/>
          <c:order val="5"/>
          <c:tx>
            <c:strRef>
              <c:f>'[Charts and tables - 2022v2 KN.xlsx]equity group (all)'!$A$11</c:f>
              <c:strCache>
                <c:ptCount val="1"/>
                <c:pt idx="0">
                  <c:v>Non English speaking background</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(all)'!$B$11:$L$11</c:f>
              <c:numCache>
                <c:formatCode>#,##0</c:formatCode>
                <c:ptCount val="7"/>
                <c:pt idx="0">
                  <c:v>17671</c:v>
                </c:pt>
                <c:pt idx="1">
                  <c:v>17586</c:v>
                </c:pt>
                <c:pt idx="2">
                  <c:v>16085</c:v>
                </c:pt>
                <c:pt idx="3">
                  <c:v>15283</c:v>
                </c:pt>
                <c:pt idx="4">
                  <c:v>16918</c:v>
                </c:pt>
                <c:pt idx="5">
                  <c:v>16219</c:v>
                </c:pt>
                <c:pt idx="6">
                  <c:v>14112</c:v>
                </c:pt>
              </c:numCache>
            </c:numRef>
          </c:val>
          <c:smooth val="0"/>
          <c:extLst>
            <c:ext xmlns:c16="http://schemas.microsoft.com/office/drawing/2014/chart" uri="{C3380CC4-5D6E-409C-BE32-E72D297353CC}">
              <c16:uniqueId val="{00000005-6CFE-4A3D-BA0C-8B293E8B2E4F}"/>
            </c:ext>
          </c:extLst>
        </c:ser>
        <c:ser>
          <c:idx val="6"/>
          <c:order val="6"/>
          <c:tx>
            <c:strRef>
              <c:f>'[Charts and tables - 2022v2 KN.xlsx]equity group (all)'!$A$12</c:f>
              <c:strCache>
                <c:ptCount val="1"/>
                <c:pt idx="0">
                  <c:v>Students with a disability</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(all)'!$B$12:$L$12</c:f>
              <c:numCache>
                <c:formatCode>#,##0</c:formatCode>
                <c:ptCount val="7"/>
                <c:pt idx="0">
                  <c:v>22569</c:v>
                </c:pt>
                <c:pt idx="1">
                  <c:v>24636</c:v>
                </c:pt>
                <c:pt idx="2">
                  <c:v>25958</c:v>
                </c:pt>
                <c:pt idx="3">
                  <c:v>26786</c:v>
                </c:pt>
                <c:pt idx="4">
                  <c:v>29812</c:v>
                </c:pt>
                <c:pt idx="5">
                  <c:v>39829</c:v>
                </c:pt>
                <c:pt idx="6">
                  <c:v>40381</c:v>
                </c:pt>
              </c:numCache>
            </c:numRef>
          </c:val>
          <c:smooth val="0"/>
          <c:extLst>
            <c:ext xmlns:c16="http://schemas.microsoft.com/office/drawing/2014/chart" uri="{C3380CC4-5D6E-409C-BE32-E72D297353CC}">
              <c16:uniqueId val="{00000006-6CFE-4A3D-BA0C-8B293E8B2E4F}"/>
            </c:ext>
          </c:extLst>
        </c:ser>
        <c:ser>
          <c:idx val="7"/>
          <c:order val="7"/>
          <c:tx>
            <c:strRef>
              <c:f>'[Charts and tables - 2022v2 KN.xlsx]equity group (all)'!$A$13</c:f>
              <c:strCache>
                <c:ptCount val="1"/>
                <c:pt idx="0">
                  <c:v>Women in Non-Traditional Area</c:v>
                </c:pt>
              </c:strCache>
            </c:strRef>
          </c:tx>
          <c:spPr>
            <a:ln w="22225" cap="rnd">
              <a:solidFill>
                <a:schemeClr val="accent5"/>
              </a:solidFill>
              <a:round/>
            </a:ln>
            <a:effectLst/>
          </c:spPr>
          <c:marker>
            <c:symbol val="dot"/>
            <c:size val="6"/>
            <c:spPr>
              <a:solidFill>
                <a:schemeClr val="accent5"/>
              </a:solidFill>
              <a:ln w="9525">
                <a:solidFill>
                  <a:schemeClr val="accent5"/>
                </a:solidFill>
                <a:round/>
              </a:ln>
              <a:effectLst/>
            </c:spPr>
          </c:marker>
          <c:cat>
            <c:numRef>
              <c:f>'[Charts and tables - 2022v2 KN.xlsx]equity group (all)'!$B$5:$L$5</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(all)'!$B$13:$L$13</c:f>
              <c:numCache>
                <c:formatCode>#,##0</c:formatCode>
                <c:ptCount val="7"/>
                <c:pt idx="0">
                  <c:v>59950</c:v>
                </c:pt>
                <c:pt idx="1">
                  <c:v>60593</c:v>
                </c:pt>
                <c:pt idx="2">
                  <c:v>61165</c:v>
                </c:pt>
                <c:pt idx="3">
                  <c:v>62093</c:v>
                </c:pt>
                <c:pt idx="4">
                  <c:v>69075</c:v>
                </c:pt>
                <c:pt idx="5">
                  <c:v>66643</c:v>
                </c:pt>
                <c:pt idx="6">
                  <c:v>61028</c:v>
                </c:pt>
              </c:numCache>
            </c:numRef>
          </c:val>
          <c:smooth val="0"/>
          <c:extLst>
            <c:ext xmlns:c16="http://schemas.microsoft.com/office/drawing/2014/chart" uri="{C3380CC4-5D6E-409C-BE32-E72D297353CC}">
              <c16:uniqueId val="{00000007-6CFE-4A3D-BA0C-8B293E8B2E4F}"/>
            </c:ext>
          </c:extLst>
        </c:ser>
        <c:dLbls>
          <c:showLegendKey val="0"/>
          <c:showVal val="0"/>
          <c:showCatName val="0"/>
          <c:showSerName val="0"/>
          <c:showPercent val="0"/>
          <c:showBubbleSize val="0"/>
        </c:dLbls>
        <c:marker val="1"/>
        <c:smooth val="0"/>
        <c:axId val="1089736976"/>
        <c:axId val="919764320"/>
      </c:lineChart>
      <c:catAx>
        <c:axId val="1089736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919764320"/>
        <c:crosses val="autoZero"/>
        <c:auto val="1"/>
        <c:lblAlgn val="ctr"/>
        <c:lblOffset val="100"/>
        <c:noMultiLvlLbl val="0"/>
      </c:catAx>
      <c:valAx>
        <c:axId val="919764320"/>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AU"/>
                  <a:t>Number of</a:t>
                </a:r>
                <a:r>
                  <a:rPr lang="en-AU" baseline="0"/>
                  <a:t> students</a:t>
                </a:r>
                <a:endParaRPr lang="en-AU"/>
              </a:p>
            </c:rich>
          </c:tx>
          <c:layout>
            <c:manualLayout>
              <c:xMode val="edge"/>
              <c:yMode val="edge"/>
              <c:x val="2.7253668763102725E-2"/>
              <c:y val="0.10091286089238843"/>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73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42772057338986"/>
          <c:y val="3.4920634920634921E-2"/>
          <c:w val="0.87306800592233658"/>
          <c:h val="0.73542157230346206"/>
        </c:manualLayout>
      </c:layout>
      <c:lineChart>
        <c:grouping val="standard"/>
        <c:varyColors val="0"/>
        <c:ser>
          <c:idx val="0"/>
          <c:order val="0"/>
          <c:tx>
            <c:strRef>
              <c:f>'[Charts and tables - 2022v2 KN.xlsx]equity group (all)'!$A$40</c:f>
              <c:strCache>
                <c:ptCount val="1"/>
                <c:pt idx="0">
                  <c:v>First Nations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(all)'!$B$40:$L$40</c:f>
              <c:numCache>
                <c:formatCode>0.00%</c:formatCode>
                <c:ptCount val="7"/>
                <c:pt idx="0">
                  <c:v>1.6867657120330833E-2</c:v>
                </c:pt>
                <c:pt idx="1">
                  <c:v>1.7954207763699218E-2</c:v>
                </c:pt>
                <c:pt idx="2">
                  <c:v>1.8596429037855185E-2</c:v>
                </c:pt>
                <c:pt idx="3">
                  <c:v>1.9533056584849412E-2</c:v>
                </c:pt>
                <c:pt idx="4">
                  <c:v>2.0362789729761938E-2</c:v>
                </c:pt>
                <c:pt idx="5">
                  <c:v>2.0776732694724978E-2</c:v>
                </c:pt>
                <c:pt idx="6">
                  <c:v>2.1246845964250759E-2</c:v>
                </c:pt>
              </c:numCache>
            </c:numRef>
          </c:val>
          <c:smooth val="0"/>
          <c:extLst>
            <c:ext xmlns:c16="http://schemas.microsoft.com/office/drawing/2014/chart" uri="{C3380CC4-5D6E-409C-BE32-E72D297353CC}">
              <c16:uniqueId val="{00000000-5A62-4E29-8593-2DC1ED8EAC4C}"/>
            </c:ext>
          </c:extLst>
        </c:ser>
        <c:ser>
          <c:idx val="1"/>
          <c:order val="1"/>
          <c:tx>
            <c:strRef>
              <c:f>'[Charts and tables - 2022v2 KN.xlsx]equity group (all)'!$A$41</c:f>
              <c:strCache>
                <c:ptCount val="1"/>
                <c:pt idx="0">
                  <c:v>First Address Low SES by SA1 (SEIFA16)</c:v>
                </c:pt>
              </c:strCache>
            </c:strRef>
          </c:tx>
          <c:spPr>
            <a:ln w="22225" cap="rnd">
              <a:solidFill>
                <a:schemeClr val="accent3"/>
              </a:solidFill>
              <a:prstDash val="sysDash"/>
              <a:round/>
            </a:ln>
            <a:effectLst/>
          </c:spPr>
          <c:marker>
            <c:symbol val="square"/>
            <c:size val="6"/>
            <c:spPr>
              <a:solidFill>
                <a:schemeClr val="accent3"/>
              </a:solidFill>
              <a:ln w="9525">
                <a:solidFill>
                  <a:schemeClr val="accent3"/>
                </a:solidFill>
                <a:prstDash val="sysDash"/>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(all)'!$B$41:$L$41</c:f>
              <c:numCache>
                <c:formatCode>0.00%</c:formatCode>
                <c:ptCount val="7"/>
                <c:pt idx="0">
                  <c:v>0.17095465253573952</c:v>
                </c:pt>
                <c:pt idx="1">
                  <c:v>0.17013984813075389</c:v>
                </c:pt>
                <c:pt idx="2">
                  <c:v>0.16930353178230936</c:v>
                </c:pt>
                <c:pt idx="3">
                  <c:v>0.16839030823094567</c:v>
                </c:pt>
                <c:pt idx="4">
                  <c:v>0.16574103141705346</c:v>
                </c:pt>
                <c:pt idx="5">
                  <c:v>0.1603320185514282</c:v>
                </c:pt>
              </c:numCache>
            </c:numRef>
          </c:val>
          <c:smooth val="0"/>
          <c:extLst>
            <c:ext xmlns:c16="http://schemas.microsoft.com/office/drawing/2014/chart" uri="{C3380CC4-5D6E-409C-BE32-E72D297353CC}">
              <c16:uniqueId val="{00000001-5A62-4E29-8593-2DC1ED8EAC4C}"/>
            </c:ext>
          </c:extLst>
        </c:ser>
        <c:ser>
          <c:idx val="2"/>
          <c:order val="2"/>
          <c:tx>
            <c:strRef>
              <c:f>'[Charts and tables - 2022v2 KN.xlsx]equity group (all)'!$A$42</c:f>
              <c:strCache>
                <c:ptCount val="1"/>
                <c:pt idx="0">
                  <c:v>First Address Low SES by SA1 (SEIFA21)</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(all)'!$B$42:$L$42</c:f>
              <c:numCache>
                <c:formatCode>General</c:formatCode>
                <c:ptCount val="7"/>
                <c:pt idx="5" formatCode="0.00%">
                  <c:v>0.16819383641801397</c:v>
                </c:pt>
                <c:pt idx="6" formatCode="0.00%">
                  <c:v>0.16021359253467954</c:v>
                </c:pt>
              </c:numCache>
            </c:numRef>
          </c:val>
          <c:smooth val="0"/>
          <c:extLst>
            <c:ext xmlns:c16="http://schemas.microsoft.com/office/drawing/2014/chart" uri="{C3380CC4-5D6E-409C-BE32-E72D297353CC}">
              <c16:uniqueId val="{00000002-5A62-4E29-8593-2DC1ED8EAC4C}"/>
            </c:ext>
          </c:extLst>
        </c:ser>
        <c:ser>
          <c:idx val="3"/>
          <c:order val="3"/>
          <c:tx>
            <c:strRef>
              <c:f>'[Charts and tables - 2022v2 KN.xlsx]equity group (all)'!$A$43</c:f>
              <c:strCache>
                <c:ptCount val="1"/>
                <c:pt idx="0">
                  <c:v>First Address Regional and Remote (ASGS16)</c:v>
                </c:pt>
              </c:strCache>
            </c:strRef>
          </c:tx>
          <c:spPr>
            <a:ln w="22225" cap="rnd">
              <a:solidFill>
                <a:schemeClr val="accent4"/>
              </a:solidFill>
              <a:prstDash val="sysDash"/>
              <a:round/>
            </a:ln>
            <a:effectLst/>
          </c:spPr>
          <c:marker>
            <c:symbol val="x"/>
            <c:size val="6"/>
            <c:spPr>
              <a:noFill/>
              <a:ln w="9525">
                <a:solidFill>
                  <a:schemeClr val="accent4"/>
                </a:solidFill>
                <a:prstDash val="sysDash"/>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(all)'!$B$43:$L$43</c:f>
              <c:numCache>
                <c:formatCode>0.00%</c:formatCode>
                <c:ptCount val="7"/>
                <c:pt idx="0">
                  <c:v>0.21379281589426063</c:v>
                </c:pt>
                <c:pt idx="1">
                  <c:v>0.21155389715599823</c:v>
                </c:pt>
                <c:pt idx="2">
                  <c:v>0.20995914102875055</c:v>
                </c:pt>
                <c:pt idx="3">
                  <c:v>0.2106446010828481</c:v>
                </c:pt>
                <c:pt idx="4">
                  <c:v>0.2017194137949741</c:v>
                </c:pt>
                <c:pt idx="5">
                  <c:v>0.19707771661393092</c:v>
                </c:pt>
              </c:numCache>
            </c:numRef>
          </c:val>
          <c:smooth val="0"/>
          <c:extLst>
            <c:ext xmlns:c16="http://schemas.microsoft.com/office/drawing/2014/chart" uri="{C3380CC4-5D6E-409C-BE32-E72D297353CC}">
              <c16:uniqueId val="{00000003-5A62-4E29-8593-2DC1ED8EAC4C}"/>
            </c:ext>
          </c:extLst>
        </c:ser>
        <c:ser>
          <c:idx val="4"/>
          <c:order val="4"/>
          <c:tx>
            <c:strRef>
              <c:f>'[Charts and tables - 2022v2 KN.xlsx]equity group (all)'!$A$44</c:f>
              <c:strCache>
                <c:ptCount val="1"/>
                <c:pt idx="0">
                  <c:v>First Address Regional and Remote (ASGS21)</c:v>
                </c:pt>
              </c:strCache>
            </c:strRef>
          </c:tx>
          <c:spPr>
            <a:ln w="22225" cap="rnd">
              <a:solidFill>
                <a:schemeClr val="accent4"/>
              </a:solidFill>
              <a:round/>
            </a:ln>
            <a:effectLst/>
          </c:spPr>
          <c:marker>
            <c:symbol val="star"/>
            <c:size val="6"/>
            <c:spPr>
              <a:noFill/>
              <a:ln w="9525">
                <a:solidFill>
                  <a:schemeClr val="accent4"/>
                </a:solidFill>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(all)'!$B$44:$L$44</c:f>
              <c:numCache>
                <c:formatCode>General</c:formatCode>
                <c:ptCount val="7"/>
                <c:pt idx="5" formatCode="0.00%">
                  <c:v>0.19173594555936024</c:v>
                </c:pt>
                <c:pt idx="6" formatCode="0.00%">
                  <c:v>0.19205690195780972</c:v>
                </c:pt>
              </c:numCache>
            </c:numRef>
          </c:val>
          <c:smooth val="0"/>
          <c:extLst>
            <c:ext xmlns:c16="http://schemas.microsoft.com/office/drawing/2014/chart" uri="{C3380CC4-5D6E-409C-BE32-E72D297353CC}">
              <c16:uniqueId val="{00000004-5A62-4E29-8593-2DC1ED8EAC4C}"/>
            </c:ext>
          </c:extLst>
        </c:ser>
        <c:ser>
          <c:idx val="5"/>
          <c:order val="5"/>
          <c:tx>
            <c:strRef>
              <c:f>'[Charts and tables - 2022v2 KN.xlsx]equity group (all)'!$A$45</c:f>
              <c:strCache>
                <c:ptCount val="1"/>
                <c:pt idx="0">
                  <c:v>Non English speaking background</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(all)'!$B$45:$L$45</c:f>
              <c:numCache>
                <c:formatCode>0.00%</c:formatCode>
                <c:ptCount val="7"/>
                <c:pt idx="0">
                  <c:v>3.8372972327566111E-2</c:v>
                </c:pt>
                <c:pt idx="1">
                  <c:v>3.7870246619527967E-2</c:v>
                </c:pt>
                <c:pt idx="2">
                  <c:v>3.5445623985522118E-2</c:v>
                </c:pt>
                <c:pt idx="3">
                  <c:v>3.3584078603998924E-2</c:v>
                </c:pt>
                <c:pt idx="4">
                  <c:v>3.4012982312288734E-2</c:v>
                </c:pt>
                <c:pt idx="5">
                  <c:v>3.3337956742230508E-2</c:v>
                </c:pt>
                <c:pt idx="6">
                  <c:v>3.1810409665948662E-2</c:v>
                </c:pt>
              </c:numCache>
            </c:numRef>
          </c:val>
          <c:smooth val="0"/>
          <c:extLst>
            <c:ext xmlns:c16="http://schemas.microsoft.com/office/drawing/2014/chart" uri="{C3380CC4-5D6E-409C-BE32-E72D297353CC}">
              <c16:uniqueId val="{00000005-5A62-4E29-8593-2DC1ED8EAC4C}"/>
            </c:ext>
          </c:extLst>
        </c:ser>
        <c:ser>
          <c:idx val="6"/>
          <c:order val="6"/>
          <c:tx>
            <c:strRef>
              <c:f>'[Charts and tables - 2022v2 KN.xlsx]equity group (all)'!$A$46</c:f>
              <c:strCache>
                <c:ptCount val="1"/>
                <c:pt idx="0">
                  <c:v>Students with a disability</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(all)'!$B$46:$L$46</c:f>
              <c:numCache>
                <c:formatCode>0.00%</c:formatCode>
                <c:ptCount val="7"/>
                <c:pt idx="0">
                  <c:v>6.0379579142478636E-2</c:v>
                </c:pt>
                <c:pt idx="1">
                  <c:v>6.397044000268795E-2</c:v>
                </c:pt>
                <c:pt idx="2">
                  <c:v>6.8317505923617974E-2</c:v>
                </c:pt>
                <c:pt idx="3">
                  <c:v>7.2096694805858147E-2</c:v>
                </c:pt>
                <c:pt idx="4">
                  <c:v>7.4423742032792839E-2</c:v>
                </c:pt>
                <c:pt idx="5">
                  <c:v>9.4009795847600885E-2</c:v>
                </c:pt>
                <c:pt idx="6">
                  <c:v>0.10639598696072958</c:v>
                </c:pt>
              </c:numCache>
            </c:numRef>
          </c:val>
          <c:smooth val="0"/>
          <c:extLst>
            <c:ext xmlns:c16="http://schemas.microsoft.com/office/drawing/2014/chart" uri="{C3380CC4-5D6E-409C-BE32-E72D297353CC}">
              <c16:uniqueId val="{00000006-5A62-4E29-8593-2DC1ED8EAC4C}"/>
            </c:ext>
          </c:extLst>
        </c:ser>
        <c:ser>
          <c:idx val="7"/>
          <c:order val="7"/>
          <c:tx>
            <c:strRef>
              <c:f>'[Charts and tables - 2022v2 KN.xlsx]equity group (all)'!$A$47</c:f>
              <c:strCache>
                <c:ptCount val="1"/>
                <c:pt idx="0">
                  <c:v>Women in Non-Traditional Area</c:v>
                </c:pt>
              </c:strCache>
            </c:strRef>
          </c:tx>
          <c:spPr>
            <a:ln w="22225" cap="rnd">
              <a:solidFill>
                <a:schemeClr val="accent5"/>
              </a:solidFill>
              <a:round/>
            </a:ln>
            <a:effectLst/>
          </c:spPr>
          <c:marker>
            <c:symbol val="dot"/>
            <c:size val="6"/>
            <c:spPr>
              <a:solidFill>
                <a:schemeClr val="accent5"/>
              </a:solidFill>
              <a:ln w="9525">
                <a:solidFill>
                  <a:schemeClr val="accent5"/>
                </a:solidFill>
                <a:round/>
              </a:ln>
              <a:effectLst/>
            </c:spPr>
          </c:marker>
          <c:cat>
            <c:numRef>
              <c:f>'[Charts and tables - 2022v2 KN.xlsx]equity group (all)'!$F$28:$L$28</c:f>
              <c:numCache>
                <c:formatCode>General</c:formatCode>
                <c:ptCount val="7"/>
                <c:pt idx="0">
                  <c:v>2016</c:v>
                </c:pt>
                <c:pt idx="1">
                  <c:v>2017</c:v>
                </c:pt>
                <c:pt idx="2">
                  <c:v>2018</c:v>
                </c:pt>
                <c:pt idx="3">
                  <c:v>2019</c:v>
                </c:pt>
                <c:pt idx="4">
                  <c:v>2020</c:v>
                </c:pt>
                <c:pt idx="5">
                  <c:v>2021</c:v>
                </c:pt>
                <c:pt idx="6">
                  <c:v>2022</c:v>
                </c:pt>
              </c:numCache>
            </c:numRef>
          </c:cat>
          <c:val>
            <c:numRef>
              <c:f>'[Charts and tables - 2022v2 KN.xlsx]equity group (all)'!$B$47:$L$47</c:f>
              <c:numCache>
                <c:formatCode>0.00%</c:formatCode>
                <c:ptCount val="7"/>
                <c:pt idx="0">
                  <c:v>0.15865926764044219</c:v>
                </c:pt>
                <c:pt idx="1">
                  <c:v>0.15800393486198117</c:v>
                </c:pt>
                <c:pt idx="2">
                  <c:v>0.16009067333345772</c:v>
                </c:pt>
                <c:pt idx="3">
                  <c:v>0.16094224500599003</c:v>
                </c:pt>
                <c:pt idx="4">
                  <c:v>0.16229046478598927</c:v>
                </c:pt>
                <c:pt idx="5">
                  <c:v>0.16076546313553813</c:v>
                </c:pt>
                <c:pt idx="6">
                  <c:v>0.16058371480297157</c:v>
                </c:pt>
              </c:numCache>
            </c:numRef>
          </c:val>
          <c:smooth val="0"/>
          <c:extLst>
            <c:ext xmlns:c16="http://schemas.microsoft.com/office/drawing/2014/chart" uri="{C3380CC4-5D6E-409C-BE32-E72D297353CC}">
              <c16:uniqueId val="{00000007-5A62-4E29-8593-2DC1ED8EAC4C}"/>
            </c:ext>
          </c:extLst>
        </c:ser>
        <c:dLbls>
          <c:showLegendKey val="0"/>
          <c:showVal val="0"/>
          <c:showCatName val="0"/>
          <c:showSerName val="0"/>
          <c:showPercent val="0"/>
          <c:showBubbleSize val="0"/>
        </c:dLbls>
        <c:marker val="1"/>
        <c:smooth val="0"/>
        <c:axId val="915674080"/>
        <c:axId val="1090716176"/>
      </c:lineChart>
      <c:catAx>
        <c:axId val="915674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090716176"/>
        <c:crosses val="autoZero"/>
        <c:auto val="1"/>
        <c:lblAlgn val="ctr"/>
        <c:lblOffset val="100"/>
        <c:noMultiLvlLbl val="0"/>
      </c:catAx>
      <c:valAx>
        <c:axId val="109071617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AU"/>
                  <a:t>Percentgae of all students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674080"/>
        <c:crosses val="autoZero"/>
        <c:crossBetween val="between"/>
      </c:valAx>
      <c:spPr>
        <a:noFill/>
        <a:ln>
          <a:noFill/>
        </a:ln>
        <a:effectLst/>
      </c:spPr>
    </c:plotArea>
    <c:legend>
      <c:legendPos val="b"/>
      <c:layout>
        <c:manualLayout>
          <c:xMode val="edge"/>
          <c:yMode val="edge"/>
          <c:x val="9.9998485766202308E-2"/>
          <c:y val="0.83491913510811144"/>
          <c:w val="0.85128507974964673"/>
          <c:h val="0.146033245844269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99420776135494E-2"/>
          <c:y val="3.6520584329349272E-2"/>
          <c:w val="0.89567504683998478"/>
          <c:h val="0.63644144232594368"/>
        </c:manualLayout>
      </c:layout>
      <c:lineChart>
        <c:grouping val="standard"/>
        <c:varyColors val="0"/>
        <c:ser>
          <c:idx val="1"/>
          <c:order val="1"/>
          <c:tx>
            <c:strRef>
              <c:f>'Attrition rate TabAB chart'!$A$3</c:f>
              <c:strCache>
                <c:ptCount val="1"/>
                <c:pt idx="0">
                  <c:v>The University of Melbourne</c:v>
                </c:pt>
              </c:strCache>
            </c:strRef>
          </c:tx>
          <c:spPr>
            <a:ln w="28575" cap="rnd">
              <a:solidFill>
                <a:schemeClr val="accent2"/>
              </a:solidFill>
              <a:round/>
            </a:ln>
            <a:effectLst/>
          </c:spPr>
          <c:marker>
            <c:symbol val="plus"/>
            <c:size val="7"/>
            <c:spPr>
              <a:noFill/>
              <a:ln w="9525">
                <a:solidFill>
                  <a:schemeClr val="accent2"/>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chart'!$D$3:$M$3</c:f>
              <c:numCache>
                <c:formatCode>0</c:formatCode>
                <c:ptCount val="10"/>
                <c:pt idx="0">
                  <c:v>3.69</c:v>
                </c:pt>
                <c:pt idx="1">
                  <c:v>4.2699999999999996</c:v>
                </c:pt>
                <c:pt idx="2">
                  <c:v>3.5</c:v>
                </c:pt>
                <c:pt idx="3">
                  <c:v>3.92</c:v>
                </c:pt>
                <c:pt idx="4">
                  <c:v>4</c:v>
                </c:pt>
                <c:pt idx="5">
                  <c:v>4.4800000000000004</c:v>
                </c:pt>
                <c:pt idx="6">
                  <c:v>4.0599999999999996</c:v>
                </c:pt>
                <c:pt idx="7">
                  <c:v>3.43</c:v>
                </c:pt>
                <c:pt idx="8">
                  <c:v>2.4300000000000002</c:v>
                </c:pt>
                <c:pt idx="9">
                  <c:v>4.66</c:v>
                </c:pt>
              </c:numCache>
              <c:extLst/>
            </c:numRef>
          </c:val>
          <c:smooth val="0"/>
          <c:extLst>
            <c:ext xmlns:c16="http://schemas.microsoft.com/office/drawing/2014/chart" uri="{C3380CC4-5D6E-409C-BE32-E72D297353CC}">
              <c16:uniqueId val="{00000000-48A2-4F96-B7BC-BA442F1F0EB2}"/>
            </c:ext>
          </c:extLst>
        </c:ser>
        <c:ser>
          <c:idx val="2"/>
          <c:order val="2"/>
          <c:tx>
            <c:strRef>
              <c:f>'Attrition rate TabAB chart'!$A$4</c:f>
              <c:strCache>
                <c:ptCount val="1"/>
                <c:pt idx="0">
                  <c:v>University of New South Wales</c:v>
                </c:pt>
              </c:strCache>
            </c:strRef>
          </c:tx>
          <c:spPr>
            <a:ln w="28575" cap="rnd">
              <a:solidFill>
                <a:schemeClr val="accent3"/>
              </a:solidFill>
              <a:round/>
            </a:ln>
            <a:effectLst/>
          </c:spPr>
          <c:marker>
            <c:symbol val="star"/>
            <c:size val="7"/>
            <c:spPr>
              <a:noFill/>
              <a:ln w="9525">
                <a:solidFill>
                  <a:schemeClr val="accent3"/>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chart'!$D$4:$M$4</c:f>
              <c:numCache>
                <c:formatCode>0</c:formatCode>
                <c:ptCount val="10"/>
                <c:pt idx="0">
                  <c:v>4.79</c:v>
                </c:pt>
                <c:pt idx="1">
                  <c:v>5.28</c:v>
                </c:pt>
                <c:pt idx="2">
                  <c:v>4.7699999999999996</c:v>
                </c:pt>
                <c:pt idx="3">
                  <c:v>4.51</c:v>
                </c:pt>
                <c:pt idx="4">
                  <c:v>4.04</c:v>
                </c:pt>
                <c:pt idx="5">
                  <c:v>4.38</c:v>
                </c:pt>
                <c:pt idx="6">
                  <c:v>3.67</c:v>
                </c:pt>
                <c:pt idx="7">
                  <c:v>3.86</c:v>
                </c:pt>
                <c:pt idx="8">
                  <c:v>3.38</c:v>
                </c:pt>
                <c:pt idx="9">
                  <c:v>4.2699999999999996</c:v>
                </c:pt>
              </c:numCache>
              <c:extLst/>
            </c:numRef>
          </c:val>
          <c:smooth val="0"/>
          <c:extLst>
            <c:ext xmlns:c16="http://schemas.microsoft.com/office/drawing/2014/chart" uri="{C3380CC4-5D6E-409C-BE32-E72D297353CC}">
              <c16:uniqueId val="{00000001-48A2-4F96-B7BC-BA442F1F0EB2}"/>
            </c:ext>
          </c:extLst>
        </c:ser>
        <c:ser>
          <c:idx val="3"/>
          <c:order val="3"/>
          <c:tx>
            <c:strRef>
              <c:f>'Attrition rate TabAB chart'!$A$5</c:f>
              <c:strCache>
                <c:ptCount val="1"/>
                <c:pt idx="0">
                  <c:v>Monash University</c:v>
                </c:pt>
              </c:strCache>
            </c:strRef>
          </c:tx>
          <c:spPr>
            <a:ln w="28575" cap="rnd">
              <a:solidFill>
                <a:schemeClr val="accent4"/>
              </a:solidFill>
              <a:round/>
            </a:ln>
            <a:effectLst/>
          </c:spPr>
          <c:marker>
            <c:symbol val="triangle"/>
            <c:size val="7"/>
            <c:spPr>
              <a:solidFill>
                <a:schemeClr val="accent4"/>
              </a:solidFill>
              <a:ln w="9525">
                <a:solidFill>
                  <a:schemeClr val="accent4"/>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chart'!$D$5:$M$5</c:f>
              <c:numCache>
                <c:formatCode>0</c:formatCode>
                <c:ptCount val="10"/>
                <c:pt idx="0">
                  <c:v>6.41</c:v>
                </c:pt>
                <c:pt idx="1">
                  <c:v>7.29</c:v>
                </c:pt>
                <c:pt idx="2">
                  <c:v>6.19</c:v>
                </c:pt>
                <c:pt idx="3">
                  <c:v>6.54</c:v>
                </c:pt>
                <c:pt idx="4">
                  <c:v>5.33</c:v>
                </c:pt>
                <c:pt idx="5">
                  <c:v>5.2</c:v>
                </c:pt>
                <c:pt idx="6">
                  <c:v>5.23</c:v>
                </c:pt>
                <c:pt idx="7">
                  <c:v>4.55</c:v>
                </c:pt>
                <c:pt idx="8">
                  <c:v>3.44</c:v>
                </c:pt>
                <c:pt idx="9">
                  <c:v>5.26</c:v>
                </c:pt>
              </c:numCache>
              <c:extLst/>
            </c:numRef>
          </c:val>
          <c:smooth val="0"/>
          <c:extLst>
            <c:ext xmlns:c16="http://schemas.microsoft.com/office/drawing/2014/chart" uri="{C3380CC4-5D6E-409C-BE32-E72D297353CC}">
              <c16:uniqueId val="{00000002-48A2-4F96-B7BC-BA442F1F0EB2}"/>
            </c:ext>
          </c:extLst>
        </c:ser>
        <c:ser>
          <c:idx val="4"/>
          <c:order val="4"/>
          <c:tx>
            <c:strRef>
              <c:f>'Attrition rate TabAB chart'!$A$7</c:f>
              <c:strCache>
                <c:ptCount val="1"/>
                <c:pt idx="0">
                  <c:v>Southern Cross University</c:v>
                </c:pt>
              </c:strCache>
            </c:strRef>
          </c:tx>
          <c:spPr>
            <a:ln w="28575" cap="rnd">
              <a:solidFill>
                <a:schemeClr val="accent5"/>
              </a:solidFill>
              <a:round/>
            </a:ln>
            <a:effectLst/>
          </c:spPr>
          <c:marker>
            <c:symbol val="circle"/>
            <c:size val="7"/>
            <c:spPr>
              <a:solidFill>
                <a:schemeClr val="accent5"/>
              </a:solidFill>
              <a:ln w="9525">
                <a:solidFill>
                  <a:schemeClr val="accent5"/>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chart'!$D$7:$M$7</c:f>
              <c:numCache>
                <c:formatCode>0</c:formatCode>
                <c:ptCount val="10"/>
                <c:pt idx="0">
                  <c:v>23.87</c:v>
                </c:pt>
                <c:pt idx="1">
                  <c:v>23.29</c:v>
                </c:pt>
                <c:pt idx="2">
                  <c:v>24.07</c:v>
                </c:pt>
                <c:pt idx="3">
                  <c:v>23.64</c:v>
                </c:pt>
                <c:pt idx="4">
                  <c:v>23.37</c:v>
                </c:pt>
                <c:pt idx="5">
                  <c:v>25.54</c:v>
                </c:pt>
                <c:pt idx="6">
                  <c:v>23.96</c:v>
                </c:pt>
                <c:pt idx="7">
                  <c:v>21.85</c:v>
                </c:pt>
                <c:pt idx="8">
                  <c:v>23.51</c:v>
                </c:pt>
                <c:pt idx="9">
                  <c:v>24.76</c:v>
                </c:pt>
              </c:numCache>
              <c:extLst/>
            </c:numRef>
          </c:val>
          <c:smooth val="0"/>
          <c:extLst>
            <c:ext xmlns:c16="http://schemas.microsoft.com/office/drawing/2014/chart" uri="{C3380CC4-5D6E-409C-BE32-E72D297353CC}">
              <c16:uniqueId val="{00000003-48A2-4F96-B7BC-BA442F1F0EB2}"/>
            </c:ext>
          </c:extLst>
        </c:ser>
        <c:ser>
          <c:idx val="5"/>
          <c:order val="5"/>
          <c:tx>
            <c:strRef>
              <c:f>'Attrition rate TabAB chart'!$A$8</c:f>
              <c:strCache>
                <c:ptCount val="1"/>
                <c:pt idx="0">
                  <c:v>The University of New England</c:v>
                </c:pt>
              </c:strCache>
            </c:strRef>
          </c:tx>
          <c:spPr>
            <a:ln w="28575" cap="rnd">
              <a:solidFill>
                <a:schemeClr val="accent6"/>
              </a:solidFill>
              <a:round/>
            </a:ln>
            <a:effectLst/>
          </c:spPr>
          <c:marker>
            <c:symbol val="diamond"/>
            <c:size val="7"/>
            <c:spPr>
              <a:solidFill>
                <a:schemeClr val="accent6"/>
              </a:solidFill>
              <a:ln w="9525">
                <a:solidFill>
                  <a:schemeClr val="accent6"/>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chart'!$D$8:$M$8</c:f>
              <c:numCache>
                <c:formatCode>0</c:formatCode>
                <c:ptCount val="10"/>
                <c:pt idx="0">
                  <c:v>21.33</c:v>
                </c:pt>
                <c:pt idx="1">
                  <c:v>21.85</c:v>
                </c:pt>
                <c:pt idx="2">
                  <c:v>22.4</c:v>
                </c:pt>
                <c:pt idx="3">
                  <c:v>25.12</c:v>
                </c:pt>
                <c:pt idx="4">
                  <c:v>22.8</c:v>
                </c:pt>
                <c:pt idx="5">
                  <c:v>28.45</c:v>
                </c:pt>
                <c:pt idx="6">
                  <c:v>25.27</c:v>
                </c:pt>
                <c:pt idx="7">
                  <c:v>24.9</c:v>
                </c:pt>
                <c:pt idx="8">
                  <c:v>23.39</c:v>
                </c:pt>
                <c:pt idx="9">
                  <c:v>24.88</c:v>
                </c:pt>
              </c:numCache>
              <c:extLst/>
            </c:numRef>
          </c:val>
          <c:smooth val="0"/>
          <c:extLst>
            <c:ext xmlns:c16="http://schemas.microsoft.com/office/drawing/2014/chart" uri="{C3380CC4-5D6E-409C-BE32-E72D297353CC}">
              <c16:uniqueId val="{00000004-48A2-4F96-B7BC-BA442F1F0EB2}"/>
            </c:ext>
          </c:extLst>
        </c:ser>
        <c:ser>
          <c:idx val="6"/>
          <c:order val="6"/>
          <c:tx>
            <c:strRef>
              <c:f>'Attrition rate TabAB chart'!$A$9</c:f>
              <c:strCache>
                <c:ptCount val="1"/>
                <c:pt idx="0">
                  <c:v>CQUniversity</c:v>
                </c:pt>
              </c:strCache>
            </c:strRef>
          </c:tx>
          <c:spPr>
            <a:ln w="28575" cap="rnd">
              <a:solidFill>
                <a:schemeClr val="accent1">
                  <a:lumMod val="60000"/>
                </a:schemeClr>
              </a:solidFill>
              <a:round/>
            </a:ln>
            <a:effectLst/>
          </c:spPr>
          <c:marker>
            <c:symbol val="x"/>
            <c:size val="7"/>
            <c:spPr>
              <a:noFill/>
              <a:ln w="9525">
                <a:solidFill>
                  <a:schemeClr val="accent1">
                    <a:lumMod val="60000"/>
                  </a:schemeClr>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chart'!$D$9:$M$9</c:f>
              <c:numCache>
                <c:formatCode>0</c:formatCode>
                <c:ptCount val="10"/>
                <c:pt idx="0">
                  <c:v>25.34</c:v>
                </c:pt>
                <c:pt idx="1">
                  <c:v>24.87</c:v>
                </c:pt>
                <c:pt idx="2">
                  <c:v>23.36</c:v>
                </c:pt>
                <c:pt idx="3">
                  <c:v>22.46</c:v>
                </c:pt>
                <c:pt idx="4">
                  <c:v>23.15</c:v>
                </c:pt>
                <c:pt idx="5">
                  <c:v>24.54</c:v>
                </c:pt>
                <c:pt idx="6">
                  <c:v>24.9</c:v>
                </c:pt>
                <c:pt idx="7">
                  <c:v>22.25</c:v>
                </c:pt>
                <c:pt idx="8">
                  <c:v>22.33</c:v>
                </c:pt>
                <c:pt idx="9">
                  <c:v>25.04</c:v>
                </c:pt>
              </c:numCache>
              <c:extLst/>
            </c:numRef>
          </c:val>
          <c:smooth val="0"/>
          <c:extLst>
            <c:ext xmlns:c16="http://schemas.microsoft.com/office/drawing/2014/chart" uri="{C3380CC4-5D6E-409C-BE32-E72D297353CC}">
              <c16:uniqueId val="{00000005-48A2-4F96-B7BC-BA442F1F0EB2}"/>
            </c:ext>
          </c:extLst>
        </c:ser>
        <c:ser>
          <c:idx val="7"/>
          <c:order val="7"/>
          <c:tx>
            <c:strRef>
              <c:f>'Attrition rate TabAB chart'!$A$10</c:f>
              <c:strCache>
                <c:ptCount val="1"/>
                <c:pt idx="0">
                  <c:v>All Table A and B institutions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'Attrition rate TabAB chart'!$D$2:$M$2</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extLst/>
            </c:numRef>
          </c:cat>
          <c:val>
            <c:numRef>
              <c:f>'Attrition rate TabAB chart'!$D$10:$M$10</c:f>
              <c:numCache>
                <c:formatCode>0</c:formatCode>
                <c:ptCount val="10"/>
                <c:pt idx="0">
                  <c:v>13.26</c:v>
                </c:pt>
                <c:pt idx="1">
                  <c:v>14.65</c:v>
                </c:pt>
                <c:pt idx="2">
                  <c:v>15</c:v>
                </c:pt>
                <c:pt idx="3">
                  <c:v>14.97</c:v>
                </c:pt>
                <c:pt idx="4">
                  <c:v>14.32</c:v>
                </c:pt>
                <c:pt idx="5">
                  <c:v>14.93</c:v>
                </c:pt>
                <c:pt idx="6">
                  <c:v>14.55</c:v>
                </c:pt>
                <c:pt idx="7">
                  <c:v>13.23</c:v>
                </c:pt>
                <c:pt idx="8">
                  <c:v>12.74</c:v>
                </c:pt>
                <c:pt idx="9">
                  <c:v>14.73</c:v>
                </c:pt>
              </c:numCache>
              <c:extLst/>
            </c:numRef>
          </c:val>
          <c:smooth val="0"/>
          <c:extLst>
            <c:ext xmlns:c16="http://schemas.microsoft.com/office/drawing/2014/chart" uri="{C3380CC4-5D6E-409C-BE32-E72D297353CC}">
              <c16:uniqueId val="{00000006-48A2-4F96-B7BC-BA442F1F0EB2}"/>
            </c:ext>
          </c:extLst>
        </c:ser>
        <c:dLbls>
          <c:showLegendKey val="0"/>
          <c:showVal val="0"/>
          <c:showCatName val="0"/>
          <c:showSerName val="0"/>
          <c:showPercent val="0"/>
          <c:showBubbleSize val="0"/>
        </c:dLbls>
        <c:marker val="1"/>
        <c:smooth val="0"/>
        <c:axId val="715481072"/>
        <c:axId val="715481400"/>
        <c:extLst>
          <c:ext xmlns:c15="http://schemas.microsoft.com/office/drawing/2012/chart" uri="{02D57815-91ED-43cb-92C2-25804820EDAC}">
            <c15:filteredLineSeries>
              <c15:ser>
                <c:idx val="0"/>
                <c:order val="0"/>
                <c:tx>
                  <c:strRef>
                    <c:extLst>
                      <c:ext uri="{02D57815-91ED-43cb-92C2-25804820EDAC}">
                        <c15:formulaRef>
                          <c15:sqref>'Attrition rate TabAB chart'!$A$2</c15:sqref>
                        </c15:formulaRef>
                      </c:ext>
                    </c:extLst>
                    <c:strCache>
                      <c:ptCount val="1"/>
                      <c:pt idx="0">
                        <c:v>New adjusted attrition rate (%)</c:v>
                      </c:pt>
                    </c:strCache>
                  </c:strRef>
                </c:tx>
                <c:spPr>
                  <a:ln w="28575" cap="rnd">
                    <a:solidFill>
                      <a:schemeClr val="accent1"/>
                    </a:solidFill>
                    <a:round/>
                  </a:ln>
                  <a:effectLst/>
                </c:spPr>
                <c:marker>
                  <c:symbol val="none"/>
                </c:marker>
                <c:cat>
                  <c:numRef>
                    <c:extLst>
                      <c:ext uri="{02D57815-91ED-43cb-92C2-25804820EDAC}">
                        <c15:formulaRef>
                          <c15:sqref>'Attrition rate TabAB chart'!$D$2:$M$2</c15:sqref>
                        </c15:formulaRef>
                      </c:ext>
                    </c:extLst>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extLst>
                      <c:ext uri="{02D57815-91ED-43cb-92C2-25804820EDAC}">
                        <c15:formulaRef>
                          <c15:sqref>'Attrition rate TabAB chart'!$C$2:$L$2</c15:sqref>
                        </c15:formulaRef>
                      </c:ext>
                    </c:extLst>
                    <c:numCache>
                      <c:formatCode>General</c:formatCode>
                      <c:ptCount val="9"/>
                      <c:pt idx="0">
                        <c:v>2012</c:v>
                      </c:pt>
                      <c:pt idx="1">
                        <c:v>2013</c:v>
                      </c:pt>
                      <c:pt idx="2">
                        <c:v>2014</c:v>
                      </c:pt>
                      <c:pt idx="3">
                        <c:v>2015</c:v>
                      </c:pt>
                      <c:pt idx="4">
                        <c:v>2016</c:v>
                      </c:pt>
                      <c:pt idx="5">
                        <c:v>2017</c:v>
                      </c:pt>
                      <c:pt idx="6">
                        <c:v>2018</c:v>
                      </c:pt>
                      <c:pt idx="7">
                        <c:v>2019</c:v>
                      </c:pt>
                      <c:pt idx="8">
                        <c:v>2020</c:v>
                      </c:pt>
                    </c:numCache>
                  </c:numRef>
                </c:val>
                <c:smooth val="0"/>
                <c:extLst>
                  <c:ext xmlns:c16="http://schemas.microsoft.com/office/drawing/2014/chart" uri="{C3380CC4-5D6E-409C-BE32-E72D297353CC}">
                    <c16:uniqueId val="{00000007-48A2-4F96-B7BC-BA442F1F0EB2}"/>
                  </c:ext>
                </c:extLst>
              </c15:ser>
            </c15:filteredLineSeries>
          </c:ext>
        </c:extLst>
      </c:lineChart>
      <c:catAx>
        <c:axId val="71548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481400"/>
        <c:crosses val="autoZero"/>
        <c:auto val="1"/>
        <c:lblAlgn val="ctr"/>
        <c:lblOffset val="100"/>
        <c:noMultiLvlLbl val="0"/>
      </c:catAx>
      <c:valAx>
        <c:axId val="715481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ATTRITION RATE, %</a:t>
                </a:r>
              </a:p>
            </c:rich>
          </c:tx>
          <c:layout>
            <c:manualLayout>
              <c:xMode val="edge"/>
              <c:yMode val="edge"/>
              <c:x val="1.2317167051578136E-2"/>
              <c:y val="0.374734357348800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481072"/>
        <c:crosses val="autoZero"/>
        <c:crossBetween val="between"/>
      </c:valAx>
      <c:spPr>
        <a:noFill/>
        <a:ln>
          <a:noFill/>
        </a:ln>
        <a:effectLst/>
      </c:spPr>
    </c:plotArea>
    <c:legend>
      <c:legendPos val="b"/>
      <c:layout>
        <c:manualLayout>
          <c:xMode val="edge"/>
          <c:yMode val="edge"/>
          <c:x val="3.7797314170680107E-2"/>
          <c:y val="0.77086821774396863"/>
          <c:w val="0.88334004365959107"/>
          <c:h val="0.211934991176950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6426071741032"/>
          <c:y val="5.0925925925925923E-2"/>
          <c:w val="0.85333573928258966"/>
          <c:h val="0.66459025955088946"/>
        </c:manualLayout>
      </c:layout>
      <c:lineChart>
        <c:grouping val="standard"/>
        <c:varyColors val="0"/>
        <c:ser>
          <c:idx val="2"/>
          <c:order val="0"/>
          <c:tx>
            <c:strRef>
              <c:f>'brief completion rate '!$B$6</c:f>
              <c:strCache>
                <c:ptCount val="1"/>
                <c:pt idx="0">
                  <c:v>Four year completion rate %</c:v>
                </c:pt>
              </c:strCache>
            </c:strRef>
          </c:tx>
          <c:spPr>
            <a:ln w="28575" cap="rnd">
              <a:solidFill>
                <a:schemeClr val="tx2"/>
              </a:solidFill>
              <a:round/>
            </a:ln>
            <a:effectLst/>
          </c:spPr>
          <c:marker>
            <c:symbol val="x"/>
            <c:size val="5"/>
            <c:spPr>
              <a:solidFill>
                <a:schemeClr val="tx2"/>
              </a:solidFill>
              <a:ln w="9525">
                <a:solidFill>
                  <a:schemeClr val="tx2"/>
                </a:solidFill>
              </a:ln>
              <a:effectLst/>
            </c:spPr>
          </c:marker>
          <c:cat>
            <c:numRef>
              <c:f>'brief completion rate '!$C$5:$Q$5</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'brief completion rate '!$C$6:$Q$6</c:f>
              <c:numCache>
                <c:formatCode>0.0</c:formatCode>
                <c:ptCount val="15"/>
                <c:pt idx="0">
                  <c:v>47.390993140471224</c:v>
                </c:pt>
                <c:pt idx="1">
                  <c:v>46.753553104912427</c:v>
                </c:pt>
                <c:pt idx="2">
                  <c:v>46.014417411797325</c:v>
                </c:pt>
                <c:pt idx="3">
                  <c:v>46.806060325470497</c:v>
                </c:pt>
                <c:pt idx="4">
                  <c:v>46.20447682603136</c:v>
                </c:pt>
                <c:pt idx="5">
                  <c:v>45.265423242467719</c:v>
                </c:pt>
                <c:pt idx="6">
                  <c:v>45.147055210201728</c:v>
                </c:pt>
                <c:pt idx="7">
                  <c:v>44.245814058672586</c:v>
                </c:pt>
                <c:pt idx="8">
                  <c:v>42.915208214005389</c:v>
                </c:pt>
                <c:pt idx="9">
                  <c:v>41.976586829276243</c:v>
                </c:pt>
                <c:pt idx="10">
                  <c:v>42.1</c:v>
                </c:pt>
                <c:pt idx="11">
                  <c:v>43</c:v>
                </c:pt>
                <c:pt idx="12">
                  <c:v>41.7</c:v>
                </c:pt>
                <c:pt idx="13">
                  <c:v>41</c:v>
                </c:pt>
                <c:pt idx="14">
                  <c:v>40.9</c:v>
                </c:pt>
              </c:numCache>
            </c:numRef>
          </c:val>
          <c:smooth val="0"/>
          <c:extLst>
            <c:ext xmlns:c16="http://schemas.microsoft.com/office/drawing/2014/chart" uri="{C3380CC4-5D6E-409C-BE32-E72D297353CC}">
              <c16:uniqueId val="{00000000-C0DE-45B0-A643-0C979E908500}"/>
            </c:ext>
          </c:extLst>
        </c:ser>
        <c:ser>
          <c:idx val="3"/>
          <c:order val="1"/>
          <c:tx>
            <c:strRef>
              <c:f>'brief completion rate '!$B$7</c:f>
              <c:strCache>
                <c:ptCount val="1"/>
                <c:pt idx="0">
                  <c:v>Six year completion rate %</c:v>
                </c:pt>
              </c:strCache>
            </c:strRef>
          </c:tx>
          <c:spPr>
            <a:ln w="28575" cap="rnd">
              <a:solidFill>
                <a:schemeClr val="accent4"/>
              </a:solidFill>
              <a:round/>
            </a:ln>
            <a:effectLst/>
          </c:spPr>
          <c:marker>
            <c:symbol val="diamond"/>
            <c:size val="5"/>
            <c:spPr>
              <a:solidFill>
                <a:schemeClr val="accent4"/>
              </a:solidFill>
              <a:ln w="9525">
                <a:solidFill>
                  <a:schemeClr val="accent4"/>
                </a:solidFill>
              </a:ln>
              <a:effectLst/>
            </c:spPr>
          </c:marker>
          <c:cat>
            <c:numRef>
              <c:f>'brief completion rate '!$C$5:$Q$5</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'brief completion rate '!$C$7:$O$7</c:f>
              <c:numCache>
                <c:formatCode>0.0</c:formatCode>
                <c:ptCount val="13"/>
                <c:pt idx="0">
                  <c:v>67.020578586340591</c:v>
                </c:pt>
                <c:pt idx="1">
                  <c:v>66.839653240549623</c:v>
                </c:pt>
                <c:pt idx="2">
                  <c:v>66.636052771423948</c:v>
                </c:pt>
                <c:pt idx="3">
                  <c:v>67.177480960207419</c:v>
                </c:pt>
                <c:pt idx="4">
                  <c:v>66.840753516661835</c:v>
                </c:pt>
                <c:pt idx="5">
                  <c:v>65.965809202416793</c:v>
                </c:pt>
                <c:pt idx="6">
                  <c:v>65.749035602840365</c:v>
                </c:pt>
                <c:pt idx="7">
                  <c:v>64.446703417268608</c:v>
                </c:pt>
                <c:pt idx="8">
                  <c:v>63.3</c:v>
                </c:pt>
                <c:pt idx="9">
                  <c:v>62.4</c:v>
                </c:pt>
                <c:pt idx="10">
                  <c:v>62.3</c:v>
                </c:pt>
                <c:pt idx="11">
                  <c:v>62.6</c:v>
                </c:pt>
                <c:pt idx="12">
                  <c:v>61.77</c:v>
                </c:pt>
              </c:numCache>
            </c:numRef>
          </c:val>
          <c:smooth val="0"/>
          <c:extLst>
            <c:ext xmlns:c16="http://schemas.microsoft.com/office/drawing/2014/chart" uri="{C3380CC4-5D6E-409C-BE32-E72D297353CC}">
              <c16:uniqueId val="{00000001-C0DE-45B0-A643-0C979E908500}"/>
            </c:ext>
          </c:extLst>
        </c:ser>
        <c:ser>
          <c:idx val="0"/>
          <c:order val="2"/>
          <c:tx>
            <c:strRef>
              <c:f>'brief completion rate '!$B$10</c:f>
              <c:strCache>
                <c:ptCount val="1"/>
                <c:pt idx="0">
                  <c:v>Four year engagement rate %</c:v>
                </c:pt>
              </c:strCache>
            </c:strRef>
          </c:tx>
          <c:spPr>
            <a:ln w="28575" cap="rnd">
              <a:solidFill>
                <a:schemeClr val="accent6"/>
              </a:solidFill>
              <a:round/>
            </a:ln>
            <a:effectLst/>
          </c:spPr>
          <c:marker>
            <c:symbol val="x"/>
            <c:size val="5"/>
            <c:spPr>
              <a:solidFill>
                <a:schemeClr val="accent6"/>
              </a:solidFill>
              <a:ln w="9525">
                <a:solidFill>
                  <a:schemeClr val="accent6"/>
                </a:solidFill>
              </a:ln>
              <a:effectLst/>
            </c:spPr>
          </c:marker>
          <c:cat>
            <c:numRef>
              <c:f>'brief completion rate '!$C$5:$Q$5</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'brief completion rate '!$C$10:$Q$10</c:f>
              <c:numCache>
                <c:formatCode>0.0</c:formatCode>
                <c:ptCount val="15"/>
                <c:pt idx="0">
                  <c:v>77.528183716075162</c:v>
                </c:pt>
                <c:pt idx="1">
                  <c:v>79.475143008786929</c:v>
                </c:pt>
                <c:pt idx="2">
                  <c:v>79.733601349321873</c:v>
                </c:pt>
                <c:pt idx="3">
                  <c:v>80.200930577096699</c:v>
                </c:pt>
                <c:pt idx="4">
                  <c:v>80.445318460728373</c:v>
                </c:pt>
                <c:pt idx="5">
                  <c:v>79.868955483258233</c:v>
                </c:pt>
                <c:pt idx="6">
                  <c:v>79.601955822010368</c:v>
                </c:pt>
                <c:pt idx="7">
                  <c:v>78.48567219119866</c:v>
                </c:pt>
                <c:pt idx="8">
                  <c:v>77.193406733278181</c:v>
                </c:pt>
                <c:pt idx="9">
                  <c:v>76.599999999999994</c:v>
                </c:pt>
                <c:pt idx="10">
                  <c:v>76.599999999999994</c:v>
                </c:pt>
                <c:pt idx="11">
                  <c:v>77.2</c:v>
                </c:pt>
                <c:pt idx="12">
                  <c:v>77.599999999999994</c:v>
                </c:pt>
                <c:pt idx="13">
                  <c:v>78.900000000000006</c:v>
                </c:pt>
                <c:pt idx="14">
                  <c:v>78.31615459223093</c:v>
                </c:pt>
              </c:numCache>
            </c:numRef>
          </c:val>
          <c:smooth val="0"/>
          <c:extLst>
            <c:ext xmlns:c16="http://schemas.microsoft.com/office/drawing/2014/chart" uri="{C3380CC4-5D6E-409C-BE32-E72D297353CC}">
              <c16:uniqueId val="{00000002-C0DE-45B0-A643-0C979E908500}"/>
            </c:ext>
          </c:extLst>
        </c:ser>
        <c:ser>
          <c:idx val="1"/>
          <c:order val="3"/>
          <c:tx>
            <c:strRef>
              <c:f>'brief completion rate '!$B$11</c:f>
              <c:strCache>
                <c:ptCount val="1"/>
                <c:pt idx="0">
                  <c:v>Six year engagement rate %</c:v>
                </c:pt>
              </c:strCache>
            </c:strRef>
          </c:tx>
          <c:spPr>
            <a:ln w="28575" cap="rnd">
              <a:solidFill>
                <a:schemeClr val="accent3"/>
              </a:solidFill>
              <a:round/>
            </a:ln>
            <a:effectLst/>
          </c:spPr>
          <c:marker>
            <c:symbol val="diamond"/>
            <c:size val="5"/>
            <c:spPr>
              <a:solidFill>
                <a:schemeClr val="accent3"/>
              </a:solidFill>
              <a:ln w="9525">
                <a:solidFill>
                  <a:schemeClr val="accent3"/>
                </a:solidFill>
              </a:ln>
              <a:effectLst/>
            </c:spPr>
          </c:marker>
          <c:cat>
            <c:numRef>
              <c:f>'brief completion rate '!$C$5:$Q$5</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'brief completion rate '!$C$11:$O$11</c:f>
              <c:numCache>
                <c:formatCode>0.0</c:formatCode>
                <c:ptCount val="13"/>
                <c:pt idx="0">
                  <c:v>77.986280942439606</c:v>
                </c:pt>
                <c:pt idx="1">
                  <c:v>77.809164356902755</c:v>
                </c:pt>
                <c:pt idx="2">
                  <c:v>78.014602250410107</c:v>
                </c:pt>
                <c:pt idx="3">
                  <c:v>78.395333225306146</c:v>
                </c:pt>
                <c:pt idx="4">
                  <c:v>78.450841957080058</c:v>
                </c:pt>
                <c:pt idx="5">
                  <c:v>77.753248327843664</c:v>
                </c:pt>
                <c:pt idx="6">
                  <c:v>77.558662374996928</c:v>
                </c:pt>
                <c:pt idx="7">
                  <c:v>76.380946410099114</c:v>
                </c:pt>
                <c:pt idx="8" formatCode="General">
                  <c:v>75.099999999999994</c:v>
                </c:pt>
                <c:pt idx="9">
                  <c:v>74.5</c:v>
                </c:pt>
                <c:pt idx="10">
                  <c:v>75</c:v>
                </c:pt>
                <c:pt idx="11">
                  <c:v>75.900000000000006</c:v>
                </c:pt>
                <c:pt idx="12">
                  <c:v>74.646708924807868</c:v>
                </c:pt>
              </c:numCache>
            </c:numRef>
          </c:val>
          <c:smooth val="0"/>
          <c:extLst>
            <c:ext xmlns:c16="http://schemas.microsoft.com/office/drawing/2014/chart" uri="{C3380CC4-5D6E-409C-BE32-E72D297353CC}">
              <c16:uniqueId val="{00000003-C0DE-45B0-A643-0C979E908500}"/>
            </c:ext>
          </c:extLst>
        </c:ser>
        <c:dLbls>
          <c:showLegendKey val="0"/>
          <c:showVal val="0"/>
          <c:showCatName val="0"/>
          <c:showSerName val="0"/>
          <c:showPercent val="0"/>
          <c:showBubbleSize val="0"/>
        </c:dLbls>
        <c:marker val="1"/>
        <c:smooth val="0"/>
        <c:axId val="1033580464"/>
        <c:axId val="1033580792"/>
      </c:lineChart>
      <c:catAx>
        <c:axId val="103358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580792"/>
        <c:crossesAt val="0"/>
        <c:auto val="1"/>
        <c:lblAlgn val="ctr"/>
        <c:lblOffset val="100"/>
        <c:noMultiLvlLbl val="0"/>
      </c:catAx>
      <c:valAx>
        <c:axId val="1033580792"/>
        <c:scaling>
          <c:orientation val="minMax"/>
          <c:max val="85"/>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2.208223972003499E-3"/>
              <c:y val="0.278933547795836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3580464"/>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FB91FBA-E741-402B-816C-302129E939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394711AC8A1A4EAB81C627F495EF1F" ma:contentTypeVersion="" ma:contentTypeDescription="PDMS Document Site Content Type" ma:contentTypeScope="" ma:versionID="61e33d34cd4f9e9af934fe911496bd63">
  <xsd:schema xmlns:xsd="http://www.w3.org/2001/XMLSchema" xmlns:xs="http://www.w3.org/2001/XMLSchema" xmlns:p="http://schemas.microsoft.com/office/2006/metadata/properties" xmlns:ns2="CFB91FBA-E741-402B-816C-302129E93924" targetNamespace="http://schemas.microsoft.com/office/2006/metadata/properties" ma:root="true" ma:fieldsID="d702dd4998d236bb4b6d8f9f1200c6e5" ns2:_="">
    <xsd:import namespace="CFB91FBA-E741-402B-816C-302129E93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1FBA-E741-402B-816C-302129E93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D2348-D554-4C34-A861-9FFACCA5F80E}">
  <ds:schemaRefs>
    <ds:schemaRef ds:uri="http://schemas.microsoft.com/sharepoint/v3/contenttype/forms"/>
  </ds:schemaRefs>
</ds:datastoreItem>
</file>

<file path=customXml/itemProps2.xml><?xml version="1.0" encoding="utf-8"?>
<ds:datastoreItem xmlns:ds="http://schemas.openxmlformats.org/officeDocument/2006/customXml" ds:itemID="{BAE31BD5-4303-48EE-A649-AAEF20B4BF9E}">
  <ds:schemaRefs>
    <ds:schemaRef ds:uri="http://schemas.microsoft.com/office/2006/documentManagement/types"/>
    <ds:schemaRef ds:uri="CFB91FBA-E741-402B-816C-302129E93924"/>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7AA0935F-F38F-461B-B13A-0D28656EB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91FBA-E741-402B-816C-302129E93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1929</Words>
  <Characters>10495</Characters>
  <Application>Microsoft Office Word</Application>
  <DocSecurity>4</DocSecurity>
  <Lines>327</Lines>
  <Paragraphs>234</Paragraphs>
  <ScaleCrop>false</ScaleCrop>
  <HeadingPairs>
    <vt:vector size="2" baseType="variant">
      <vt:variant>
        <vt:lpstr>Title</vt:lpstr>
      </vt:variant>
      <vt:variant>
        <vt:i4>1</vt:i4>
      </vt:variant>
    </vt:vector>
  </HeadingPairs>
  <TitlesOfParts>
    <vt:vector size="1" baseType="lpstr">
      <vt:lpstr>Key findings from Selected Higher Education Statistics</vt:lpstr>
    </vt:vector>
  </TitlesOfParts>
  <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findings from Selected Higher Education Statistics</dc:title>
  <dc:subject/>
  <dc:creator>READ,Richard</dc:creator>
  <cp:keywords/>
  <dc:description/>
  <cp:lastModifiedBy>NAYLOR,Kristy</cp:lastModifiedBy>
  <cp:revision>2</cp:revision>
  <cp:lastPrinted>2023-12-12T00:26:00Z</cp:lastPrinted>
  <dcterms:created xsi:type="dcterms:W3CDTF">2023-12-14T06:57:00Z</dcterms:created>
  <dcterms:modified xsi:type="dcterms:W3CDTF">2023-12-14T06:57:00Z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0x010100266966F133664895A6EE3632470D45F500A5394711AC8A1A4EAB81C627F495EF1F</vt:lpwstr>
  </property>
  <property fmtid="{D5CDD505-2E9C-101B-9397-08002B2CF9AE}" pid="10" name="MediaServiceImageTags">
    <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