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2C9D3" w14:textId="77777777" w:rsidR="00107DD5" w:rsidRDefault="00221D8F" w:rsidP="00CA4815">
      <w:r w:rsidRPr="00CA4815">
        <w:rPr>
          <w:b/>
          <w:bCs/>
          <w:noProof/>
        </w:rPr>
        <w:drawing>
          <wp:anchor distT="0" distB="0" distL="114300" distR="114300" simplePos="0" relativeHeight="251658240" behindDoc="1" locked="1" layoutInCell="1" allowOverlap="1" wp14:anchorId="07220B7C" wp14:editId="401F3E02">
            <wp:simplePos x="0" y="0"/>
            <wp:positionH relativeFrom="column">
              <wp:posOffset>-914400</wp:posOffset>
            </wp:positionH>
            <wp:positionV relativeFrom="paragraph">
              <wp:posOffset>-777875</wp:posOffset>
            </wp:positionV>
            <wp:extent cx="7560000" cy="1832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24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099AA1C8" wp14:editId="0C3D1AF9">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01D5A8B7" w14:textId="2B12695A" w:rsidR="00CC6666" w:rsidRDefault="00CC6666" w:rsidP="002F230F">
      <w:pPr>
        <w:pStyle w:val="TOC3"/>
        <w:tabs>
          <w:tab w:val="right" w:leader="dot" w:pos="9016"/>
        </w:tabs>
      </w:pPr>
      <w:bookmarkStart w:id="0" w:name="_Toc126923147"/>
      <w:bookmarkStart w:id="1" w:name="_Toc126923158"/>
      <w:bookmarkStart w:id="2" w:name="_Toc126923317"/>
    </w:p>
    <w:p w14:paraId="0CA8B677" w14:textId="77777777" w:rsidR="002F230F" w:rsidRDefault="002F230F" w:rsidP="002F230F"/>
    <w:p w14:paraId="00C55484" w14:textId="77777777" w:rsidR="00E61E11" w:rsidRPr="00E61E11" w:rsidRDefault="00E61E11" w:rsidP="00E61E11">
      <w:pPr>
        <w:rPr>
          <w:b/>
          <w:bCs/>
          <w:sz w:val="40"/>
          <w:szCs w:val="40"/>
        </w:rPr>
      </w:pPr>
      <w:r w:rsidRPr="00E61E11">
        <w:rPr>
          <w:b/>
          <w:bCs/>
          <w:sz w:val="40"/>
          <w:szCs w:val="40"/>
        </w:rPr>
        <w:t>A selection of findings from the Selected Higher Education Statistics – 2022 student data.</w:t>
      </w:r>
    </w:p>
    <w:p w14:paraId="672162C7" w14:textId="724792DA" w:rsidR="00CA1D9D" w:rsidRPr="004B3150" w:rsidRDefault="00CA1D9D" w:rsidP="004B3150">
      <w:pPr>
        <w:pStyle w:val="Heading3"/>
      </w:pPr>
      <w:bookmarkStart w:id="3" w:name="_Toc152149408"/>
      <w:r>
        <w:t>Student enrolments decrease</w:t>
      </w:r>
      <w:r w:rsidR="007A2BBE">
        <w:t>d by</w:t>
      </w:r>
      <w:r>
        <w:t xml:space="preserve"> 3.2 per cent</w:t>
      </w:r>
      <w:r w:rsidR="00A44FA5">
        <w:t xml:space="preserve"> from 2021 to </w:t>
      </w:r>
      <w:proofErr w:type="gramStart"/>
      <w:r w:rsidR="00A44FA5">
        <w:t>2022</w:t>
      </w:r>
      <w:bookmarkEnd w:id="3"/>
      <w:proofErr w:type="gramEnd"/>
    </w:p>
    <w:p w14:paraId="06D76A67" w14:textId="27FBF277" w:rsidR="00CA1D9D" w:rsidRDefault="00CA1D9D" w:rsidP="00CA1D9D">
      <w:pPr>
        <w:spacing w:after="0" w:line="240" w:lineRule="auto"/>
        <w:rPr>
          <w:rFonts w:eastAsia="Times New Roman" w:cstheme="minorHAnsi"/>
        </w:rPr>
      </w:pPr>
      <w:r>
        <w:rPr>
          <w:rFonts w:eastAsia="Times New Roman" w:cstheme="minorHAnsi"/>
        </w:rPr>
        <w:t xml:space="preserve">Figure 1: Domestic and </w:t>
      </w:r>
      <w:r w:rsidR="00DE0571">
        <w:rPr>
          <w:rFonts w:eastAsia="Times New Roman" w:cstheme="minorHAnsi"/>
        </w:rPr>
        <w:t>overseas</w:t>
      </w:r>
      <w:r>
        <w:rPr>
          <w:rFonts w:eastAsia="Times New Roman" w:cstheme="minorHAnsi"/>
        </w:rPr>
        <w:t xml:space="preserve"> students, 2013 - 2022</w:t>
      </w:r>
    </w:p>
    <w:p w14:paraId="1E1FEAA7" w14:textId="4203C8DD" w:rsidR="00CA1D9D" w:rsidRDefault="00B6666B" w:rsidP="00CC6666">
      <w:pPr>
        <w:tabs>
          <w:tab w:val="left" w:pos="1935"/>
        </w:tabs>
        <w:spacing w:after="0" w:line="240" w:lineRule="auto"/>
        <w:rPr>
          <w:rFonts w:eastAsia="Times New Roman" w:cstheme="minorHAnsi"/>
        </w:rPr>
      </w:pPr>
      <w:r>
        <w:rPr>
          <w:rFonts w:eastAsia="Times New Roman" w:cstheme="minorHAnsi"/>
        </w:rPr>
        <w:tab/>
      </w:r>
      <w:r>
        <w:rPr>
          <w:noProof/>
        </w:rPr>
        <w:drawing>
          <wp:inline distT="0" distB="0" distL="0" distR="0" wp14:anchorId="63C739B4" wp14:editId="3AB01A6B">
            <wp:extent cx="5731510" cy="4236085"/>
            <wp:effectExtent l="0" t="0" r="2540" b="12065"/>
            <wp:docPr id="305478577" name="Chart 1">
              <a:extLst xmlns:a="http://schemas.openxmlformats.org/drawingml/2006/main">
                <a:ext uri="{FF2B5EF4-FFF2-40B4-BE49-F238E27FC236}">
                  <a16:creationId xmlns:a16="http://schemas.microsoft.com/office/drawing/2014/main" id="{A2B839FC-FE58-4D0A-9980-D682026A89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979CC67" w14:textId="77CDD176" w:rsidR="00CA1D9D" w:rsidRPr="00F4671E" w:rsidRDefault="00CA1D9D" w:rsidP="00CA1D9D">
      <w:pPr>
        <w:spacing w:after="200" w:line="276" w:lineRule="auto"/>
        <w:ind w:left="-207"/>
        <w:rPr>
          <w:rFonts w:cstheme="minorHAnsi"/>
        </w:rPr>
      </w:pPr>
      <w:r>
        <w:rPr>
          <w:rFonts w:cstheme="minorHAnsi"/>
        </w:rPr>
        <w:t>[Data can be found in</w:t>
      </w:r>
      <w:r w:rsidR="007B0BEA">
        <w:rPr>
          <w:rFonts w:cstheme="minorHAnsi"/>
        </w:rPr>
        <w:t xml:space="preserve"> the </w:t>
      </w:r>
      <w:hyperlink r:id="rId15" w:history="1">
        <w:r w:rsidR="007B0BEA" w:rsidRPr="00FD74E7">
          <w:rPr>
            <w:rStyle w:val="Hyperlink"/>
            <w:rFonts w:cstheme="minorHAnsi"/>
          </w:rPr>
          <w:t>2022 student summary time series</w:t>
        </w:r>
      </w:hyperlink>
      <w:r>
        <w:rPr>
          <w:rFonts w:cstheme="minorHAnsi"/>
        </w:rPr>
        <w:t>]</w:t>
      </w:r>
    </w:p>
    <w:p w14:paraId="4E19E1D4" w14:textId="2FB42BD8" w:rsidR="00DC2325" w:rsidRPr="00D764F7" w:rsidRDefault="002934C1" w:rsidP="00D764F7">
      <w:pPr>
        <w:spacing w:after="0" w:line="240" w:lineRule="auto"/>
        <w:rPr>
          <w:rFonts w:eastAsia="Times New Roman" w:cstheme="minorHAnsi"/>
        </w:rPr>
      </w:pPr>
      <w:r w:rsidRPr="00D764F7">
        <w:rPr>
          <w:rFonts w:eastAsia="Times New Roman" w:cstheme="minorHAnsi"/>
        </w:rPr>
        <w:t xml:space="preserve">The number of students enrolled in Higher Education has been in a state of flux in recent years due to instability caused by the </w:t>
      </w:r>
      <w:r w:rsidR="00123BDF" w:rsidRPr="00D764F7">
        <w:rPr>
          <w:rFonts w:eastAsia="Times New Roman" w:cstheme="minorHAnsi"/>
        </w:rPr>
        <w:t xml:space="preserve">COVID-19 </w:t>
      </w:r>
      <w:r w:rsidRPr="00D764F7">
        <w:rPr>
          <w:rFonts w:eastAsia="Times New Roman" w:cstheme="minorHAnsi"/>
        </w:rPr>
        <w:t>pande</w:t>
      </w:r>
      <w:r w:rsidR="00DC2325" w:rsidRPr="00D764F7">
        <w:rPr>
          <w:rFonts w:eastAsia="Times New Roman" w:cstheme="minorHAnsi"/>
        </w:rPr>
        <w:t xml:space="preserve">mic. Closed borders significantly reduced the number of international students during 2020 and 2021. The 2022 data shows the opening of borders resulted in a strong return of commencing </w:t>
      </w:r>
      <w:r w:rsidR="00802F4E" w:rsidRPr="00D764F7">
        <w:rPr>
          <w:rFonts w:eastAsia="Times New Roman" w:cstheme="minorHAnsi"/>
        </w:rPr>
        <w:t xml:space="preserve">overseas students as well as </w:t>
      </w:r>
      <w:r w:rsidR="00DC2325" w:rsidRPr="00D764F7">
        <w:rPr>
          <w:rFonts w:eastAsia="Times New Roman" w:cstheme="minorHAnsi"/>
        </w:rPr>
        <w:t>overseas students</w:t>
      </w:r>
      <w:r w:rsidR="00802F4E" w:rsidRPr="00D764F7">
        <w:rPr>
          <w:rFonts w:eastAsia="Times New Roman" w:cstheme="minorHAnsi"/>
        </w:rPr>
        <w:t xml:space="preserve"> overall</w:t>
      </w:r>
      <w:r w:rsidR="00DC2325" w:rsidRPr="00D764F7">
        <w:rPr>
          <w:rFonts w:eastAsia="Times New Roman" w:cstheme="minorHAnsi"/>
        </w:rPr>
        <w:t xml:space="preserve">. </w:t>
      </w:r>
      <w:r w:rsidR="00962998" w:rsidRPr="00D764F7">
        <w:rPr>
          <w:rFonts w:eastAsia="Times New Roman" w:cstheme="minorHAnsi"/>
        </w:rPr>
        <w:t>Conversely, h</w:t>
      </w:r>
      <w:r w:rsidR="00DC2325">
        <w:t xml:space="preserve">igher levels of unemployment and underemployment coupled with limited social activities resulted </w:t>
      </w:r>
      <w:r w:rsidR="00962998">
        <w:t>in greatly increased</w:t>
      </w:r>
      <w:r w:rsidR="00DC2325">
        <w:t xml:space="preserve"> domestic student </w:t>
      </w:r>
      <w:r w:rsidR="00962998">
        <w:t>enrolments</w:t>
      </w:r>
      <w:r w:rsidR="00DC2325">
        <w:t xml:space="preserve"> during the early pandemic years (2020 and 2021). In 2022, both </w:t>
      </w:r>
      <w:r w:rsidR="00962998">
        <w:t xml:space="preserve">commencing </w:t>
      </w:r>
      <w:r w:rsidR="00DC2325">
        <w:t xml:space="preserve">and </w:t>
      </w:r>
      <w:r w:rsidR="00B40CCC">
        <w:t xml:space="preserve">total </w:t>
      </w:r>
      <w:r w:rsidR="00DC2325">
        <w:t>domestic student</w:t>
      </w:r>
      <w:r w:rsidR="007E232D">
        <w:t xml:space="preserve"> number</w:t>
      </w:r>
      <w:r w:rsidR="00DC2325">
        <w:t xml:space="preserve">s decreased following the pandemic related peak. </w:t>
      </w:r>
      <w:r w:rsidR="00962998">
        <w:t xml:space="preserve">Given the volatility, caution should be used when interpreting short term trends. </w:t>
      </w:r>
    </w:p>
    <w:p w14:paraId="5F7200B8" w14:textId="0C496729" w:rsidR="00B6666B" w:rsidRPr="00530F57" w:rsidRDefault="00B6666B" w:rsidP="005F40D0">
      <w:pPr>
        <w:pStyle w:val="ListParagraph"/>
        <w:numPr>
          <w:ilvl w:val="0"/>
          <w:numId w:val="23"/>
        </w:numPr>
        <w:spacing w:after="0" w:line="240" w:lineRule="auto"/>
        <w:rPr>
          <w:rFonts w:asciiTheme="minorHAnsi" w:eastAsia="Times New Roman" w:hAnsiTheme="minorHAnsi" w:cstheme="minorHAnsi"/>
        </w:rPr>
      </w:pPr>
      <w:r w:rsidRPr="00530F57">
        <w:rPr>
          <w:rFonts w:asciiTheme="minorHAnsi" w:eastAsia="Times New Roman" w:hAnsiTheme="minorHAnsi" w:cstheme="minorHAnsi"/>
        </w:rPr>
        <w:lastRenderedPageBreak/>
        <w:t xml:space="preserve">The total number </w:t>
      </w:r>
      <w:r w:rsidR="005D3A81">
        <w:rPr>
          <w:rFonts w:asciiTheme="minorHAnsi" w:eastAsia="Times New Roman" w:hAnsiTheme="minorHAnsi" w:cstheme="minorHAnsi"/>
        </w:rPr>
        <w:t xml:space="preserve">of </w:t>
      </w:r>
      <w:r w:rsidRPr="00530F57">
        <w:rPr>
          <w:rFonts w:asciiTheme="minorHAnsi" w:eastAsia="Times New Roman" w:hAnsiTheme="minorHAnsi" w:cstheme="minorHAnsi"/>
        </w:rPr>
        <w:t>students enrolled at Higher Education providers has decreased by 3.2 per cent from</w:t>
      </w:r>
      <w:r>
        <w:rPr>
          <w:rFonts w:asciiTheme="minorHAnsi" w:eastAsia="Times New Roman" w:hAnsiTheme="minorHAnsi" w:cstheme="minorHAnsi"/>
        </w:rPr>
        <w:t xml:space="preserve"> 1,602,573 in</w:t>
      </w:r>
      <w:r w:rsidRPr="00530F57">
        <w:rPr>
          <w:rFonts w:asciiTheme="minorHAnsi" w:eastAsia="Times New Roman" w:hAnsiTheme="minorHAnsi" w:cstheme="minorHAnsi"/>
        </w:rPr>
        <w:t xml:space="preserve"> 2021 to </w:t>
      </w:r>
      <w:r>
        <w:rPr>
          <w:rFonts w:asciiTheme="minorHAnsi" w:eastAsia="Times New Roman" w:hAnsiTheme="minorHAnsi" w:cstheme="minorHAnsi"/>
        </w:rPr>
        <w:t xml:space="preserve">1,555,411 in </w:t>
      </w:r>
      <w:r w:rsidRPr="00530F57">
        <w:rPr>
          <w:rFonts w:asciiTheme="minorHAnsi" w:eastAsia="Times New Roman" w:hAnsiTheme="minorHAnsi" w:cstheme="minorHAnsi"/>
        </w:rPr>
        <w:t>2022</w:t>
      </w:r>
      <w:r w:rsidR="005D3A81">
        <w:rPr>
          <w:rFonts w:asciiTheme="minorHAnsi" w:eastAsia="Times New Roman" w:hAnsiTheme="minorHAnsi" w:cstheme="minorHAnsi"/>
        </w:rPr>
        <w:t>.</w:t>
      </w:r>
    </w:p>
    <w:p w14:paraId="789B5932" w14:textId="77777777" w:rsidR="00CA1D9D" w:rsidRDefault="00CA1D9D" w:rsidP="00CA1D9D">
      <w:pPr>
        <w:pStyle w:val="ListParagraph"/>
        <w:numPr>
          <w:ilvl w:val="1"/>
          <w:numId w:val="23"/>
        </w:numPr>
        <w:spacing w:after="0" w:line="240" w:lineRule="auto"/>
        <w:rPr>
          <w:rFonts w:asciiTheme="minorHAnsi" w:eastAsia="Times New Roman" w:hAnsiTheme="minorHAnsi" w:cstheme="minorHAnsi"/>
        </w:rPr>
      </w:pPr>
      <w:r w:rsidRPr="00C20E76">
        <w:rPr>
          <w:rFonts w:asciiTheme="minorHAnsi" w:eastAsia="Times New Roman" w:hAnsiTheme="minorHAnsi" w:cstheme="minorHAnsi"/>
        </w:rPr>
        <w:t xml:space="preserve">This is driven by a decrease in domestic students of 5.1 per cent. </w:t>
      </w:r>
    </w:p>
    <w:p w14:paraId="7AB9CC52" w14:textId="37B41595" w:rsidR="00CA1D9D" w:rsidRPr="00E73D48" w:rsidRDefault="00CA1D9D" w:rsidP="00CA1D9D">
      <w:pPr>
        <w:pStyle w:val="ListParagraph"/>
        <w:numPr>
          <w:ilvl w:val="1"/>
          <w:numId w:val="23"/>
        </w:numPr>
        <w:spacing w:after="0" w:line="240" w:lineRule="auto"/>
        <w:rPr>
          <w:rFonts w:asciiTheme="minorHAnsi" w:eastAsia="Times New Roman" w:hAnsiTheme="minorHAnsi" w:cstheme="minorHAnsi"/>
        </w:rPr>
      </w:pPr>
      <w:r>
        <w:rPr>
          <w:rFonts w:asciiTheme="minorHAnsi" w:eastAsia="Times New Roman" w:hAnsiTheme="minorHAnsi" w:cstheme="minorHAnsi"/>
        </w:rPr>
        <w:t xml:space="preserve">Overseas students </w:t>
      </w:r>
      <w:r w:rsidRPr="005F40D0">
        <w:rPr>
          <w:rFonts w:asciiTheme="minorHAnsi" w:eastAsia="Times New Roman" w:hAnsiTheme="minorHAnsi" w:cstheme="minorHAnsi"/>
          <w:color w:val="000000" w:themeColor="text1"/>
        </w:rPr>
        <w:t xml:space="preserve">increased </w:t>
      </w:r>
      <w:r w:rsidR="00447E7E" w:rsidRPr="005F40D0">
        <w:rPr>
          <w:rFonts w:asciiTheme="minorHAnsi" w:eastAsia="Times New Roman" w:hAnsiTheme="minorHAnsi" w:cstheme="minorHAnsi"/>
          <w:color w:val="000000" w:themeColor="text1"/>
        </w:rPr>
        <w:t xml:space="preserve">by </w:t>
      </w:r>
      <w:r w:rsidRPr="005F40D0">
        <w:rPr>
          <w:rFonts w:asciiTheme="minorHAnsi" w:eastAsia="Times New Roman" w:hAnsiTheme="minorHAnsi" w:cstheme="minorHAnsi"/>
          <w:color w:val="000000" w:themeColor="text1"/>
        </w:rPr>
        <w:t>1.</w:t>
      </w:r>
      <w:r w:rsidRPr="00C16FCC">
        <w:rPr>
          <w:rFonts w:asciiTheme="minorHAnsi" w:eastAsia="Times New Roman" w:hAnsiTheme="minorHAnsi" w:cstheme="minorHAnsi"/>
        </w:rPr>
        <w:t>9 per cent</w:t>
      </w:r>
      <w:r>
        <w:rPr>
          <w:rFonts w:asciiTheme="minorHAnsi" w:eastAsia="Times New Roman" w:hAnsiTheme="minorHAnsi" w:cstheme="minorHAnsi"/>
        </w:rPr>
        <w:t xml:space="preserve"> </w:t>
      </w:r>
      <w:r w:rsidR="00833982">
        <w:rPr>
          <w:rFonts w:asciiTheme="minorHAnsi" w:eastAsia="Times New Roman" w:hAnsiTheme="minorHAnsi" w:cstheme="minorHAnsi"/>
        </w:rPr>
        <w:t xml:space="preserve">in 2022 but </w:t>
      </w:r>
      <w:r w:rsidR="00B6666B">
        <w:rPr>
          <w:rFonts w:asciiTheme="minorHAnsi" w:eastAsia="Times New Roman" w:hAnsiTheme="minorHAnsi" w:cstheme="minorHAnsi"/>
        </w:rPr>
        <w:t xml:space="preserve">were still </w:t>
      </w:r>
      <w:r w:rsidR="00A44FA5">
        <w:rPr>
          <w:rFonts w:asciiTheme="minorHAnsi" w:eastAsia="Times New Roman" w:hAnsiTheme="minorHAnsi" w:cstheme="minorHAnsi"/>
        </w:rPr>
        <w:t xml:space="preserve">14.0 per cent </w:t>
      </w:r>
      <w:r w:rsidR="00B6666B">
        <w:rPr>
          <w:rFonts w:asciiTheme="minorHAnsi" w:eastAsia="Times New Roman" w:hAnsiTheme="minorHAnsi" w:cstheme="minorHAnsi"/>
        </w:rPr>
        <w:t xml:space="preserve">below what they were in </w:t>
      </w:r>
      <w:r w:rsidR="00A44FA5">
        <w:rPr>
          <w:rFonts w:asciiTheme="minorHAnsi" w:eastAsia="Times New Roman" w:hAnsiTheme="minorHAnsi" w:cstheme="minorHAnsi"/>
        </w:rPr>
        <w:t>2019</w:t>
      </w:r>
      <w:r w:rsidRPr="00E73D48">
        <w:rPr>
          <w:rFonts w:asciiTheme="minorHAnsi" w:eastAsia="Times New Roman" w:hAnsiTheme="minorHAnsi" w:cstheme="minorHAnsi"/>
        </w:rPr>
        <w:t>.</w:t>
      </w:r>
    </w:p>
    <w:p w14:paraId="5AE92977" w14:textId="6E867A87" w:rsidR="00A32365" w:rsidRDefault="00A32365" w:rsidP="00A44FA5">
      <w:pPr>
        <w:pStyle w:val="ListParagraph"/>
        <w:numPr>
          <w:ilvl w:val="0"/>
          <w:numId w:val="23"/>
        </w:numPr>
        <w:spacing w:line="240" w:lineRule="auto"/>
      </w:pPr>
      <w:r>
        <w:rPr>
          <w:rStyle w:val="ui-provider"/>
        </w:rPr>
        <w:t>The number of commencing domestic students decreased by 10.4 per cent (with</w:t>
      </w:r>
      <w:r w:rsidR="004F598B">
        <w:rPr>
          <w:rStyle w:val="ui-provider"/>
        </w:rPr>
        <w:t xml:space="preserve"> an</w:t>
      </w:r>
      <w:r>
        <w:rPr>
          <w:rStyle w:val="ui-provider"/>
        </w:rPr>
        <w:t xml:space="preserve"> 8.2 per cent decrease in undergraduate</w:t>
      </w:r>
      <w:r w:rsidR="004F598B">
        <w:rPr>
          <w:rStyle w:val="ui-provider"/>
        </w:rPr>
        <w:t>s</w:t>
      </w:r>
      <w:r>
        <w:rPr>
          <w:rStyle w:val="ui-provider"/>
        </w:rPr>
        <w:t xml:space="preserve"> and </w:t>
      </w:r>
      <w:r w:rsidR="004F598B">
        <w:rPr>
          <w:rStyle w:val="ui-provider"/>
        </w:rPr>
        <w:t xml:space="preserve">a </w:t>
      </w:r>
      <w:r>
        <w:rPr>
          <w:rStyle w:val="ui-provider"/>
        </w:rPr>
        <w:t xml:space="preserve">14.6 per cent decrease in other students) between 2021 and 2022.  </w:t>
      </w:r>
      <w:r w:rsidR="00A44FA5">
        <w:rPr>
          <w:rStyle w:val="ui-provider"/>
        </w:rPr>
        <w:t>The</w:t>
      </w:r>
      <w:r w:rsidR="004F598B">
        <w:rPr>
          <w:rStyle w:val="ui-provider"/>
        </w:rPr>
        <w:t xml:space="preserve"> number</w:t>
      </w:r>
      <w:r>
        <w:rPr>
          <w:rStyle w:val="ui-provider"/>
        </w:rPr>
        <w:t xml:space="preserve"> </w:t>
      </w:r>
      <w:r w:rsidR="004F598B">
        <w:rPr>
          <w:rStyle w:val="ui-provider"/>
        </w:rPr>
        <w:t xml:space="preserve">of </w:t>
      </w:r>
      <w:r>
        <w:rPr>
          <w:rStyle w:val="ui-provider"/>
        </w:rPr>
        <w:t xml:space="preserve">commencing domestic students </w:t>
      </w:r>
      <w:r w:rsidR="00A44FA5">
        <w:rPr>
          <w:rStyle w:val="ui-provider"/>
        </w:rPr>
        <w:t xml:space="preserve">is </w:t>
      </w:r>
      <w:proofErr w:type="gramStart"/>
      <w:r w:rsidR="00A44FA5">
        <w:rPr>
          <w:rStyle w:val="ui-provider"/>
        </w:rPr>
        <w:t>similar to</w:t>
      </w:r>
      <w:proofErr w:type="gramEnd"/>
      <w:r w:rsidR="00A44FA5">
        <w:rPr>
          <w:rStyle w:val="ui-provider"/>
        </w:rPr>
        <w:t xml:space="preserve"> the number </w:t>
      </w:r>
      <w:r>
        <w:rPr>
          <w:rStyle w:val="ui-provider"/>
        </w:rPr>
        <w:t xml:space="preserve">observed before </w:t>
      </w:r>
      <w:r w:rsidR="00A44FA5">
        <w:rPr>
          <w:rStyle w:val="ui-provider"/>
        </w:rPr>
        <w:t>they peaked</w:t>
      </w:r>
      <w:r>
        <w:rPr>
          <w:rStyle w:val="ui-provider"/>
        </w:rPr>
        <w:t xml:space="preserve"> during the pandemic in 2020 and 2021. </w:t>
      </w:r>
    </w:p>
    <w:p w14:paraId="78F3982E" w14:textId="4F11A0CC" w:rsidR="00CA1D9D" w:rsidRPr="00CC6666" w:rsidRDefault="00CA1D9D" w:rsidP="00CC6666">
      <w:pPr>
        <w:pStyle w:val="ListParagraph"/>
        <w:numPr>
          <w:ilvl w:val="0"/>
          <w:numId w:val="23"/>
        </w:numPr>
        <w:spacing w:after="0" w:line="240" w:lineRule="auto"/>
        <w:rPr>
          <w:rFonts w:asciiTheme="minorHAnsi" w:eastAsia="Times New Roman" w:hAnsiTheme="minorHAnsi" w:cstheme="minorHAnsi"/>
        </w:rPr>
      </w:pPr>
      <w:bookmarkStart w:id="4" w:name="_Hlk152588624"/>
      <w:r>
        <w:rPr>
          <w:rFonts w:asciiTheme="minorHAnsi" w:eastAsia="Times New Roman" w:hAnsiTheme="minorHAnsi" w:cstheme="minorHAnsi"/>
        </w:rPr>
        <w:t xml:space="preserve">Commonwealth supported commencing enrolments decreased </w:t>
      </w:r>
      <w:r w:rsidR="00E344B5">
        <w:rPr>
          <w:rFonts w:asciiTheme="minorHAnsi" w:eastAsia="Times New Roman" w:hAnsiTheme="minorHAnsi" w:cstheme="minorHAnsi"/>
        </w:rPr>
        <w:t xml:space="preserve">by </w:t>
      </w:r>
      <w:r>
        <w:rPr>
          <w:rFonts w:asciiTheme="minorHAnsi" w:eastAsia="Times New Roman" w:hAnsiTheme="minorHAnsi" w:cstheme="minorHAnsi"/>
        </w:rPr>
        <w:t xml:space="preserve">10.1 per cent, in line with the decrease in commencing domestic students. </w:t>
      </w:r>
      <w:r w:rsidRPr="00CC6666">
        <w:rPr>
          <w:rFonts w:eastAsia="Times New Roman" w:cstheme="minorHAnsi"/>
        </w:rPr>
        <w:t xml:space="preserve">Commencing commonwealth supported enrolments in 2022 </w:t>
      </w:r>
      <w:r w:rsidR="00DE0571" w:rsidRPr="00CC6666">
        <w:rPr>
          <w:rFonts w:eastAsia="Times New Roman" w:cstheme="minorHAnsi"/>
        </w:rPr>
        <w:t>were</w:t>
      </w:r>
      <w:r w:rsidRPr="00CC6666">
        <w:rPr>
          <w:rFonts w:eastAsia="Times New Roman" w:cstheme="minorHAnsi"/>
        </w:rPr>
        <w:t xml:space="preserve"> the lowest they have been since 2013. </w:t>
      </w:r>
    </w:p>
    <w:p w14:paraId="34220A7B" w14:textId="3ED9AAD5" w:rsidR="00CA1D9D" w:rsidRDefault="00A46F42" w:rsidP="00CA1D9D">
      <w:pPr>
        <w:pStyle w:val="Heading3"/>
      </w:pPr>
      <w:bookmarkStart w:id="5" w:name="_Toc152149409"/>
      <w:bookmarkEnd w:id="4"/>
      <w:r>
        <w:t xml:space="preserve">Growth in domestic undergraduate students is </w:t>
      </w:r>
      <w:proofErr w:type="gramStart"/>
      <w:r>
        <w:t>declining</w:t>
      </w:r>
      <w:bookmarkEnd w:id="5"/>
      <w:proofErr w:type="gramEnd"/>
    </w:p>
    <w:p w14:paraId="18F8EE92" w14:textId="1C708317" w:rsidR="00CA1D9D" w:rsidRDefault="00CA1D9D" w:rsidP="00CA1D9D">
      <w:pPr>
        <w:rPr>
          <w:lang w:val="en-US"/>
        </w:rPr>
      </w:pPr>
      <w:r w:rsidRPr="00EA0DB2">
        <w:t xml:space="preserve">Figure </w:t>
      </w:r>
      <w:r w:rsidR="00DE0571">
        <w:t>2</w:t>
      </w:r>
      <w:r w:rsidRPr="00EA0DB2">
        <w:t xml:space="preserve">: </w:t>
      </w:r>
      <w:r w:rsidRPr="00EA0DB2">
        <w:rPr>
          <w:lang w:val="en-US"/>
        </w:rPr>
        <w:t xml:space="preserve">Number and annual growth of </w:t>
      </w:r>
      <w:r w:rsidR="00BD523F" w:rsidRPr="00EA0DB2">
        <w:rPr>
          <w:lang w:val="en-US"/>
        </w:rPr>
        <w:t xml:space="preserve">commencing </w:t>
      </w:r>
      <w:r w:rsidRPr="00EA0DB2">
        <w:rPr>
          <w:lang w:val="en-US"/>
        </w:rPr>
        <w:t>domestic undergraduate students</w:t>
      </w:r>
      <w:r w:rsidR="00A46F42">
        <w:rPr>
          <w:lang w:val="en-US"/>
        </w:rPr>
        <w:t>.</w:t>
      </w:r>
    </w:p>
    <w:p w14:paraId="14668B95" w14:textId="76A83872" w:rsidR="00257E11" w:rsidRPr="00EA0DB2" w:rsidRDefault="00257E11" w:rsidP="00CA1D9D">
      <w:pPr>
        <w:rPr>
          <w:lang w:val="en-US"/>
        </w:rPr>
      </w:pPr>
      <w:r>
        <w:rPr>
          <w:noProof/>
        </w:rPr>
        <w:drawing>
          <wp:inline distT="0" distB="0" distL="0" distR="0" wp14:anchorId="2E8A55F1" wp14:editId="7B8AFB78">
            <wp:extent cx="5731510" cy="3390900"/>
            <wp:effectExtent l="0" t="0" r="2540" b="0"/>
            <wp:docPr id="2087425172" name="Chart 1">
              <a:extLst xmlns:a="http://schemas.openxmlformats.org/drawingml/2006/main">
                <a:ext uri="{FF2B5EF4-FFF2-40B4-BE49-F238E27FC236}">
                  <a16:creationId xmlns:a16="http://schemas.microsoft.com/office/drawing/2014/main" id="{8229622C-220B-4D0D-ABD7-08A4055B71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13DF42F" w14:textId="10563334" w:rsidR="00CA1D9D" w:rsidRPr="005613D1" w:rsidRDefault="00CA1D9D" w:rsidP="00CA1D9D">
      <w:pPr>
        <w:ind w:left="-207"/>
        <w:rPr>
          <w:rFonts w:cstheme="minorHAnsi"/>
        </w:rPr>
      </w:pPr>
      <w:r>
        <w:rPr>
          <w:rFonts w:cstheme="minorHAnsi"/>
        </w:rPr>
        <w:t xml:space="preserve">[Data can be found in </w:t>
      </w:r>
      <w:r w:rsidR="001879BF">
        <w:rPr>
          <w:rFonts w:cstheme="minorHAnsi"/>
        </w:rPr>
        <w:t>the</w:t>
      </w:r>
      <w:r w:rsidR="00FD74E7">
        <w:rPr>
          <w:rFonts w:cstheme="minorHAnsi"/>
        </w:rPr>
        <w:t xml:space="preserve"> </w:t>
      </w:r>
      <w:hyperlink r:id="rId17" w:history="1">
        <w:r w:rsidR="00FD74E7" w:rsidRPr="00FD74E7">
          <w:rPr>
            <w:rStyle w:val="Hyperlink"/>
            <w:rFonts w:cstheme="minorHAnsi"/>
          </w:rPr>
          <w:t>2022 student summary time series</w:t>
        </w:r>
      </w:hyperlink>
      <w:r>
        <w:rPr>
          <w:rFonts w:cstheme="minorHAnsi"/>
        </w:rPr>
        <w:t>]</w:t>
      </w:r>
    </w:p>
    <w:p w14:paraId="1448C6E7" w14:textId="61321A42" w:rsidR="00A57BA8" w:rsidRPr="005F40D0" w:rsidRDefault="00CA1D9D" w:rsidP="00A57BA8">
      <w:pPr>
        <w:pStyle w:val="ListParagraph"/>
        <w:numPr>
          <w:ilvl w:val="0"/>
          <w:numId w:val="20"/>
        </w:numPr>
        <w:rPr>
          <w:rFonts w:asciiTheme="minorHAnsi" w:hAnsiTheme="minorHAnsi" w:cstheme="minorHAnsi"/>
        </w:rPr>
      </w:pPr>
      <w:r w:rsidRPr="005613D1">
        <w:rPr>
          <w:rFonts w:asciiTheme="minorHAnsi" w:hAnsiTheme="minorHAnsi" w:cstheme="minorHAnsi"/>
        </w:rPr>
        <w:t>The number of</w:t>
      </w:r>
      <w:r w:rsidR="00BD523F">
        <w:rPr>
          <w:rFonts w:asciiTheme="minorHAnsi" w:hAnsiTheme="minorHAnsi" w:cstheme="minorHAnsi"/>
        </w:rPr>
        <w:t xml:space="preserve"> </w:t>
      </w:r>
      <w:r w:rsidR="00BD523F" w:rsidRPr="005613D1">
        <w:rPr>
          <w:rFonts w:asciiTheme="minorHAnsi" w:hAnsiTheme="minorHAnsi" w:cstheme="minorHAnsi"/>
        </w:rPr>
        <w:t>commencing</w:t>
      </w:r>
      <w:r w:rsidRPr="005613D1">
        <w:rPr>
          <w:rFonts w:asciiTheme="minorHAnsi" w:hAnsiTheme="minorHAnsi" w:cstheme="minorHAnsi"/>
        </w:rPr>
        <w:t xml:space="preserve"> domestic undergraduate students, the main feeder group to higher education</w:t>
      </w:r>
      <w:r>
        <w:rPr>
          <w:rFonts w:asciiTheme="minorHAnsi" w:hAnsiTheme="minorHAnsi" w:cstheme="minorHAnsi"/>
        </w:rPr>
        <w:t>, decreased by 8.2 per cent from</w:t>
      </w:r>
      <w:r w:rsidR="008B3D14">
        <w:rPr>
          <w:rFonts w:asciiTheme="minorHAnsi" w:hAnsiTheme="minorHAnsi" w:cstheme="minorHAnsi"/>
        </w:rPr>
        <w:t xml:space="preserve"> 290,902 in</w:t>
      </w:r>
      <w:r>
        <w:rPr>
          <w:rFonts w:asciiTheme="minorHAnsi" w:hAnsiTheme="minorHAnsi" w:cstheme="minorHAnsi"/>
        </w:rPr>
        <w:t xml:space="preserve"> 2021 to </w:t>
      </w:r>
      <w:r w:rsidR="008B3D14">
        <w:rPr>
          <w:rFonts w:asciiTheme="minorHAnsi" w:hAnsiTheme="minorHAnsi" w:cstheme="minorHAnsi"/>
        </w:rPr>
        <w:t xml:space="preserve">267,107 in </w:t>
      </w:r>
      <w:r>
        <w:rPr>
          <w:rFonts w:asciiTheme="minorHAnsi" w:hAnsiTheme="minorHAnsi" w:cstheme="minorHAnsi"/>
        </w:rPr>
        <w:t xml:space="preserve">2022. </w:t>
      </w:r>
    </w:p>
    <w:p w14:paraId="33951E06" w14:textId="6BA12B52" w:rsidR="00CA1D9D" w:rsidRDefault="008B3D14" w:rsidP="00CA1D9D">
      <w:pPr>
        <w:pStyle w:val="ListParagraph"/>
        <w:numPr>
          <w:ilvl w:val="0"/>
          <w:numId w:val="20"/>
        </w:numPr>
        <w:rPr>
          <w:rFonts w:asciiTheme="minorHAnsi" w:hAnsiTheme="minorHAnsi" w:cstheme="minorHAnsi"/>
        </w:rPr>
      </w:pPr>
      <w:r>
        <w:rPr>
          <w:rFonts w:asciiTheme="minorHAnsi" w:hAnsiTheme="minorHAnsi" w:cstheme="minorHAnsi"/>
        </w:rPr>
        <w:t xml:space="preserve">This is the lowest </w:t>
      </w:r>
      <w:r w:rsidR="00CA1D9D">
        <w:rPr>
          <w:rFonts w:asciiTheme="minorHAnsi" w:hAnsiTheme="minorHAnsi" w:cstheme="minorHAnsi"/>
        </w:rPr>
        <w:t>number of</w:t>
      </w:r>
      <w:r w:rsidR="00BD523F">
        <w:rPr>
          <w:rFonts w:asciiTheme="minorHAnsi" w:hAnsiTheme="minorHAnsi" w:cstheme="minorHAnsi"/>
        </w:rPr>
        <w:t xml:space="preserve"> commencing</w:t>
      </w:r>
      <w:r w:rsidR="00CA1D9D">
        <w:rPr>
          <w:rFonts w:asciiTheme="minorHAnsi" w:hAnsiTheme="minorHAnsi" w:cstheme="minorHAnsi"/>
        </w:rPr>
        <w:t xml:space="preserve"> domestic undergraduate students since 201</w:t>
      </w:r>
      <w:r w:rsidR="00DE0571">
        <w:rPr>
          <w:rFonts w:asciiTheme="minorHAnsi" w:hAnsiTheme="minorHAnsi" w:cstheme="minorHAnsi"/>
        </w:rPr>
        <w:t>3</w:t>
      </w:r>
      <w:r>
        <w:rPr>
          <w:rFonts w:asciiTheme="minorHAnsi" w:hAnsiTheme="minorHAnsi" w:cstheme="minorHAnsi"/>
        </w:rPr>
        <w:t xml:space="preserve"> and </w:t>
      </w:r>
      <w:r w:rsidR="004F598B">
        <w:rPr>
          <w:rFonts w:asciiTheme="minorHAnsi" w:hAnsiTheme="minorHAnsi" w:cstheme="minorHAnsi"/>
        </w:rPr>
        <w:t xml:space="preserve">is </w:t>
      </w:r>
      <w:r>
        <w:rPr>
          <w:rFonts w:asciiTheme="minorHAnsi" w:hAnsiTheme="minorHAnsi" w:cstheme="minorHAnsi"/>
        </w:rPr>
        <w:t>a 5.5 per cent decrease since 2018 (</w:t>
      </w:r>
      <w:r w:rsidR="00D764F7">
        <w:rPr>
          <w:rFonts w:asciiTheme="minorHAnsi" w:hAnsiTheme="minorHAnsi" w:cstheme="minorHAnsi"/>
        </w:rPr>
        <w:t>5-year</w:t>
      </w:r>
      <w:r>
        <w:rPr>
          <w:rFonts w:asciiTheme="minorHAnsi" w:hAnsiTheme="minorHAnsi" w:cstheme="minorHAnsi"/>
        </w:rPr>
        <w:t xml:space="preserve"> trend)</w:t>
      </w:r>
      <w:r w:rsidR="00CA1D9D">
        <w:rPr>
          <w:rFonts w:asciiTheme="minorHAnsi" w:hAnsiTheme="minorHAnsi" w:cstheme="minorHAnsi"/>
        </w:rPr>
        <w:t xml:space="preserve">. </w:t>
      </w:r>
    </w:p>
    <w:p w14:paraId="7B983AE1" w14:textId="5E973915" w:rsidR="00A46F42" w:rsidRPr="008C22B5" w:rsidRDefault="00CA1D9D" w:rsidP="00CA1D9D">
      <w:pPr>
        <w:pStyle w:val="ListParagraph"/>
        <w:numPr>
          <w:ilvl w:val="0"/>
          <w:numId w:val="20"/>
        </w:numPr>
        <w:rPr>
          <w:rFonts w:cstheme="minorHAnsi"/>
          <w:color w:val="000000" w:themeColor="text1"/>
        </w:rPr>
      </w:pPr>
      <w:r w:rsidRPr="005F40D0">
        <w:rPr>
          <w:rFonts w:cstheme="minorHAnsi"/>
          <w:color w:val="000000" w:themeColor="text1"/>
        </w:rPr>
        <w:t xml:space="preserve">The </w:t>
      </w:r>
      <w:r w:rsidR="00370620" w:rsidRPr="005F40D0">
        <w:rPr>
          <w:rFonts w:cstheme="minorHAnsi"/>
          <w:color w:val="000000" w:themeColor="text1"/>
        </w:rPr>
        <w:t>decline</w:t>
      </w:r>
      <w:r w:rsidRPr="005F40D0">
        <w:rPr>
          <w:rFonts w:cstheme="minorHAnsi"/>
          <w:color w:val="000000" w:themeColor="text1"/>
        </w:rPr>
        <w:t xml:space="preserve"> in</w:t>
      </w:r>
      <w:r w:rsidR="00BD523F" w:rsidRPr="00BD523F">
        <w:rPr>
          <w:rFonts w:asciiTheme="minorHAnsi" w:hAnsiTheme="minorHAnsi" w:cstheme="minorHAnsi"/>
        </w:rPr>
        <w:t xml:space="preserve"> </w:t>
      </w:r>
      <w:r w:rsidR="00BD523F" w:rsidRPr="005613D1">
        <w:rPr>
          <w:rFonts w:asciiTheme="minorHAnsi" w:hAnsiTheme="minorHAnsi" w:cstheme="minorHAnsi"/>
        </w:rPr>
        <w:t>commencing</w:t>
      </w:r>
      <w:r w:rsidRPr="005F40D0">
        <w:rPr>
          <w:rFonts w:cstheme="minorHAnsi"/>
          <w:color w:val="000000" w:themeColor="text1"/>
        </w:rPr>
        <w:t xml:space="preserve"> domestic undergraduate students in 2022 </w:t>
      </w:r>
      <w:r w:rsidR="006C6742" w:rsidRPr="005F40D0">
        <w:rPr>
          <w:rFonts w:cstheme="minorHAnsi"/>
          <w:color w:val="000000" w:themeColor="text1"/>
        </w:rPr>
        <w:t>is</w:t>
      </w:r>
      <w:r w:rsidRPr="005F40D0">
        <w:rPr>
          <w:rFonts w:cstheme="minorHAnsi"/>
          <w:color w:val="000000" w:themeColor="text1"/>
        </w:rPr>
        <w:t xml:space="preserve"> </w:t>
      </w:r>
      <w:r w:rsidR="00514F11">
        <w:rPr>
          <w:rFonts w:cstheme="minorHAnsi"/>
          <w:color w:val="000000" w:themeColor="text1"/>
        </w:rPr>
        <w:t xml:space="preserve">probably </w:t>
      </w:r>
      <w:r w:rsidRPr="005F40D0">
        <w:rPr>
          <w:rFonts w:cstheme="minorHAnsi"/>
          <w:color w:val="000000" w:themeColor="text1"/>
        </w:rPr>
        <w:t xml:space="preserve">reflective of </w:t>
      </w:r>
      <w:r w:rsidR="00D7426E">
        <w:rPr>
          <w:rFonts w:cstheme="minorHAnsi"/>
          <w:color w:val="000000" w:themeColor="text1"/>
        </w:rPr>
        <w:t>increasing cost of living pressures and</w:t>
      </w:r>
      <w:r w:rsidRPr="005F40D0">
        <w:rPr>
          <w:rFonts w:cstheme="minorHAnsi"/>
          <w:color w:val="000000" w:themeColor="text1"/>
        </w:rPr>
        <w:t xml:space="preserve"> </w:t>
      </w:r>
      <w:r w:rsidR="00514F11">
        <w:rPr>
          <w:rFonts w:cstheme="minorHAnsi"/>
          <w:color w:val="000000" w:themeColor="text1"/>
        </w:rPr>
        <w:t xml:space="preserve">a </w:t>
      </w:r>
      <w:r w:rsidRPr="005F40D0">
        <w:rPr>
          <w:rFonts w:cstheme="minorHAnsi"/>
          <w:color w:val="000000" w:themeColor="text1"/>
        </w:rPr>
        <w:t>strong labour market attract</w:t>
      </w:r>
      <w:r w:rsidR="00D7426E">
        <w:rPr>
          <w:rFonts w:cstheme="minorHAnsi"/>
          <w:color w:val="000000" w:themeColor="text1"/>
        </w:rPr>
        <w:t>ing</w:t>
      </w:r>
      <w:r w:rsidRPr="005F40D0">
        <w:rPr>
          <w:rFonts w:cstheme="minorHAnsi"/>
          <w:color w:val="000000" w:themeColor="text1"/>
        </w:rPr>
        <w:t xml:space="preserve"> potential students to jobs. </w:t>
      </w:r>
      <w:r w:rsidR="006C6742" w:rsidRPr="005F40D0">
        <w:rPr>
          <w:rFonts w:cstheme="minorHAnsi"/>
          <w:color w:val="000000" w:themeColor="text1"/>
        </w:rPr>
        <w:t>There is also a concurrent reduction in apparent year 12 retention</w:t>
      </w:r>
      <w:r w:rsidR="00F45D3A">
        <w:rPr>
          <w:rStyle w:val="FootnoteReference"/>
          <w:rFonts w:cstheme="minorHAnsi"/>
          <w:color w:val="000000" w:themeColor="text1"/>
        </w:rPr>
        <w:footnoteReference w:id="1"/>
      </w:r>
      <w:r w:rsidR="006C6742" w:rsidRPr="005F40D0">
        <w:rPr>
          <w:rFonts w:cstheme="minorHAnsi"/>
          <w:color w:val="000000" w:themeColor="text1"/>
        </w:rPr>
        <w:t xml:space="preserve"> meaning the eligible population of school leavers may be lower than otherwise expected. </w:t>
      </w:r>
    </w:p>
    <w:p w14:paraId="45093E52" w14:textId="608B7ED6" w:rsidR="00CA1D9D" w:rsidRDefault="00B2313A" w:rsidP="00CA1D9D">
      <w:r>
        <w:lastRenderedPageBreak/>
        <w:t>Figure 3: Commencing domestic students by course type, 2013-2022</w:t>
      </w:r>
    </w:p>
    <w:p w14:paraId="491F69FC" w14:textId="03A1EB5F" w:rsidR="00B2313A" w:rsidRDefault="00B2313A" w:rsidP="00CA1D9D">
      <w:r>
        <w:rPr>
          <w:noProof/>
        </w:rPr>
        <w:drawing>
          <wp:inline distT="0" distB="0" distL="0" distR="0" wp14:anchorId="75CF49BD" wp14:editId="2EDC16E4">
            <wp:extent cx="5893435" cy="3250565"/>
            <wp:effectExtent l="0" t="0" r="12065" b="6985"/>
            <wp:docPr id="1239730450" name="Chart 1">
              <a:extLst xmlns:a="http://schemas.openxmlformats.org/drawingml/2006/main">
                <a:ext uri="{FF2B5EF4-FFF2-40B4-BE49-F238E27FC236}">
                  <a16:creationId xmlns:a16="http://schemas.microsoft.com/office/drawing/2014/main" id="{DCCAE8FA-1B2C-45A7-9560-17FF7900B0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27C790D" w14:textId="45835DFC" w:rsidR="00B2313A" w:rsidRPr="00530F57" w:rsidRDefault="00B2313A" w:rsidP="00B2313A">
      <w:pPr>
        <w:rPr>
          <w:rFonts w:cstheme="minorHAnsi"/>
        </w:rPr>
      </w:pPr>
      <w:r w:rsidRPr="00530F57">
        <w:rPr>
          <w:rFonts w:cstheme="minorHAnsi"/>
        </w:rPr>
        <w:t xml:space="preserve">[Data can be found in </w:t>
      </w:r>
      <w:r w:rsidR="001879BF">
        <w:rPr>
          <w:rFonts w:cstheme="minorHAnsi"/>
        </w:rPr>
        <w:t>the</w:t>
      </w:r>
      <w:r w:rsidR="00FD74E7">
        <w:rPr>
          <w:rFonts w:cstheme="minorHAnsi"/>
        </w:rPr>
        <w:t xml:space="preserve"> </w:t>
      </w:r>
      <w:hyperlink r:id="rId19" w:history="1">
        <w:r w:rsidR="00FD74E7" w:rsidRPr="00FD74E7">
          <w:rPr>
            <w:rStyle w:val="Hyperlink"/>
            <w:rFonts w:cstheme="minorHAnsi"/>
          </w:rPr>
          <w:t>2022 student summary time series</w:t>
        </w:r>
      </w:hyperlink>
      <w:r w:rsidRPr="00530F57">
        <w:rPr>
          <w:rFonts w:cstheme="minorHAnsi"/>
        </w:rPr>
        <w:t>]</w:t>
      </w:r>
    </w:p>
    <w:p w14:paraId="76ADB1CB" w14:textId="50BE505F" w:rsidR="006C6742" w:rsidRDefault="006C6742" w:rsidP="005B0C97">
      <w:pPr>
        <w:pStyle w:val="ListParagraph"/>
        <w:numPr>
          <w:ilvl w:val="0"/>
          <w:numId w:val="29"/>
        </w:numPr>
      </w:pPr>
      <w:r>
        <w:t>High</w:t>
      </w:r>
      <w:r w:rsidR="00EC5843">
        <w:t>er levels of</w:t>
      </w:r>
      <w:r>
        <w:t xml:space="preserve"> unemployment and underemployment </w:t>
      </w:r>
      <w:r w:rsidR="005B0C97">
        <w:t>couple</w:t>
      </w:r>
      <w:r w:rsidR="00A57BA8">
        <w:t>d</w:t>
      </w:r>
      <w:r w:rsidR="005B0C97">
        <w:t xml:space="preserve"> with</w:t>
      </w:r>
      <w:r>
        <w:t xml:space="preserve"> limited social activities resulted in a</w:t>
      </w:r>
      <w:r w:rsidR="005B0C97">
        <w:t>n increase of domestic students choosing to enrol in higher education during the early pandemic years (2020 and 2021).</w:t>
      </w:r>
    </w:p>
    <w:p w14:paraId="67EC6C62" w14:textId="03CBB01E" w:rsidR="00EC5843" w:rsidRDefault="00EC5843" w:rsidP="00EC5843">
      <w:pPr>
        <w:pStyle w:val="ListParagraph"/>
        <w:numPr>
          <w:ilvl w:val="0"/>
          <w:numId w:val="29"/>
        </w:numPr>
      </w:pPr>
      <w:r>
        <w:t>In 2022, both undergraduate and postgraduate</w:t>
      </w:r>
      <w:r w:rsidR="008E6D21">
        <w:t xml:space="preserve"> students</w:t>
      </w:r>
      <w:r>
        <w:t xml:space="preserve"> followed a similar trend and decreased in 2022 after the</w:t>
      </w:r>
      <w:r w:rsidR="00A57BA8">
        <w:t xml:space="preserve"> pandemic-related</w:t>
      </w:r>
      <w:r>
        <w:t xml:space="preserve"> enrolment peak in 2020 and 2021. </w:t>
      </w:r>
    </w:p>
    <w:p w14:paraId="09FE0290" w14:textId="46D39916" w:rsidR="00B2313A" w:rsidRDefault="00B2313A" w:rsidP="00B2313A">
      <w:pPr>
        <w:pStyle w:val="ListParagraph"/>
        <w:numPr>
          <w:ilvl w:val="0"/>
          <w:numId w:val="29"/>
        </w:numPr>
      </w:pPr>
      <w:r>
        <w:t xml:space="preserve">The proportion of </w:t>
      </w:r>
      <w:r w:rsidR="00BD523F">
        <w:rPr>
          <w:rFonts w:asciiTheme="minorHAnsi" w:hAnsiTheme="minorHAnsi" w:cstheme="minorHAnsi"/>
        </w:rPr>
        <w:t xml:space="preserve">commencing </w:t>
      </w:r>
      <w:r>
        <w:t>domestic students by course</w:t>
      </w:r>
      <w:r w:rsidR="00005FE6">
        <w:t xml:space="preserve"> </w:t>
      </w:r>
      <w:r>
        <w:t>type has remained stable over the past 10 years. Undergraduate courses make up 67 per cent of all commencing domestic enrolments</w:t>
      </w:r>
      <w:r w:rsidR="00C7772F">
        <w:t xml:space="preserve"> in 2022</w:t>
      </w:r>
      <w:r>
        <w:t xml:space="preserve">. </w:t>
      </w:r>
    </w:p>
    <w:p w14:paraId="13404876" w14:textId="77777777" w:rsidR="00F0052D" w:rsidRDefault="00F0052D" w:rsidP="00F0052D"/>
    <w:p w14:paraId="2200970A" w14:textId="77777777" w:rsidR="00F0052D" w:rsidRDefault="00F0052D" w:rsidP="00F0052D"/>
    <w:p w14:paraId="5045EEDF" w14:textId="77777777" w:rsidR="003C6021" w:rsidRDefault="003C6021" w:rsidP="00F1482F"/>
    <w:p w14:paraId="7A5571DA" w14:textId="77777777" w:rsidR="003C6021" w:rsidRDefault="003C6021" w:rsidP="00F1482F"/>
    <w:p w14:paraId="2B71EB97" w14:textId="77777777" w:rsidR="003C6021" w:rsidRDefault="003C6021" w:rsidP="00F1482F"/>
    <w:p w14:paraId="45B07EF9" w14:textId="77777777" w:rsidR="00D764F7" w:rsidRDefault="00D764F7" w:rsidP="00F1482F"/>
    <w:p w14:paraId="77B775BD" w14:textId="77777777" w:rsidR="003C6021" w:rsidRDefault="003C6021" w:rsidP="003C6021"/>
    <w:p w14:paraId="0EA8ABBB" w14:textId="7EACCBE9" w:rsidR="00CA1D9D" w:rsidRDefault="00BB7F3B" w:rsidP="00CA1D9D">
      <w:pPr>
        <w:pStyle w:val="Heading3"/>
      </w:pPr>
      <w:bookmarkStart w:id="6" w:name="_Toc152149410"/>
      <w:r>
        <w:lastRenderedPageBreak/>
        <w:t xml:space="preserve">Enrolments in all </w:t>
      </w:r>
      <w:r w:rsidR="00CA1D9D">
        <w:t>field</w:t>
      </w:r>
      <w:r w:rsidR="00601161">
        <w:t>s</w:t>
      </w:r>
      <w:r w:rsidR="00CA1D9D">
        <w:t xml:space="preserve"> of study decrease </w:t>
      </w:r>
      <w:r>
        <w:t xml:space="preserve">for </w:t>
      </w:r>
      <w:r w:rsidR="00CA1D9D">
        <w:t xml:space="preserve">commencing domestic </w:t>
      </w:r>
      <w:proofErr w:type="gramStart"/>
      <w:r w:rsidR="00CA1D9D">
        <w:t>students</w:t>
      </w:r>
      <w:bookmarkEnd w:id="6"/>
      <w:proofErr w:type="gramEnd"/>
    </w:p>
    <w:p w14:paraId="625CD7E4" w14:textId="73FC3E51" w:rsidR="00F1482F" w:rsidRDefault="00B70EBB" w:rsidP="00CA1D9D">
      <w:r>
        <w:t>Table</w:t>
      </w:r>
      <w:r w:rsidR="00CA1D9D">
        <w:t xml:space="preserve"> </w:t>
      </w:r>
      <w:r w:rsidR="00F0052D">
        <w:t>4</w:t>
      </w:r>
      <w:r>
        <w:t>a</w:t>
      </w:r>
      <w:r w:rsidR="00CA1D9D">
        <w:t xml:space="preserve">: Number of commencing domestic students </w:t>
      </w:r>
      <w:r w:rsidR="00F1482F">
        <w:t xml:space="preserve">for select </w:t>
      </w:r>
      <w:r w:rsidR="00CA1D9D">
        <w:t>field</w:t>
      </w:r>
      <w:r w:rsidR="00F1482F">
        <w:t>s</w:t>
      </w:r>
      <w:r w:rsidR="00CA1D9D">
        <w:t xml:space="preserve"> of education, 2018-2022</w:t>
      </w:r>
    </w:p>
    <w:tbl>
      <w:tblPr>
        <w:tblW w:w="8698" w:type="dxa"/>
        <w:tblLook w:val="04A0" w:firstRow="1" w:lastRow="0" w:firstColumn="1" w:lastColumn="0" w:noHBand="0" w:noVBand="1"/>
      </w:tblPr>
      <w:tblGrid>
        <w:gridCol w:w="4019"/>
        <w:gridCol w:w="1221"/>
        <w:gridCol w:w="1134"/>
        <w:gridCol w:w="1134"/>
        <w:gridCol w:w="1190"/>
      </w:tblGrid>
      <w:tr w:rsidR="00C43F97" w:rsidRPr="00A028CE" w14:paraId="503840C3" w14:textId="0AFD2099" w:rsidTr="00C43F97">
        <w:trPr>
          <w:trHeight w:val="820"/>
        </w:trPr>
        <w:tc>
          <w:tcPr>
            <w:tcW w:w="40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4A9FED" w14:textId="77777777" w:rsidR="00C43F97" w:rsidRPr="00A028CE" w:rsidRDefault="00C43F97" w:rsidP="00A46F42">
            <w:pPr>
              <w:spacing w:after="0" w:line="240" w:lineRule="auto"/>
              <w:jc w:val="right"/>
              <w:rPr>
                <w:rFonts w:ascii="Calibri" w:eastAsia="Times New Roman" w:hAnsi="Calibri" w:cs="Calibri"/>
                <w:lang w:eastAsia="en-AU"/>
              </w:rPr>
            </w:pPr>
            <w:r w:rsidRPr="00A028CE">
              <w:rPr>
                <w:rFonts w:ascii="Calibri" w:eastAsia="Times New Roman" w:hAnsi="Calibri" w:cs="Calibri"/>
                <w:lang w:eastAsia="en-AU"/>
              </w:rPr>
              <w:t> </w:t>
            </w:r>
          </w:p>
        </w:tc>
        <w:tc>
          <w:tcPr>
            <w:tcW w:w="1221" w:type="dxa"/>
            <w:tcBorders>
              <w:top w:val="single" w:sz="4" w:space="0" w:color="auto"/>
              <w:left w:val="nil"/>
              <w:bottom w:val="single" w:sz="4" w:space="0" w:color="auto"/>
              <w:right w:val="single" w:sz="4" w:space="0" w:color="auto"/>
            </w:tcBorders>
            <w:shd w:val="clear" w:color="auto" w:fill="auto"/>
            <w:noWrap/>
            <w:vAlign w:val="center"/>
            <w:hideMark/>
          </w:tcPr>
          <w:p w14:paraId="07E62403" w14:textId="77777777" w:rsidR="00C43F97" w:rsidRPr="00A028CE" w:rsidRDefault="00C43F97" w:rsidP="00A46F42">
            <w:pPr>
              <w:spacing w:after="0" w:line="240" w:lineRule="auto"/>
              <w:jc w:val="right"/>
              <w:rPr>
                <w:rFonts w:ascii="Calibri" w:eastAsia="Times New Roman" w:hAnsi="Calibri" w:cs="Calibri"/>
                <w:b/>
                <w:bCs/>
                <w:color w:val="000000"/>
                <w:sz w:val="20"/>
                <w:szCs w:val="20"/>
                <w:lang w:eastAsia="en-AU"/>
              </w:rPr>
            </w:pPr>
            <w:r w:rsidRPr="00A028CE">
              <w:rPr>
                <w:rFonts w:ascii="Calibri" w:eastAsia="Times New Roman" w:hAnsi="Calibri" w:cs="Calibri"/>
                <w:b/>
                <w:bCs/>
                <w:color w:val="000000"/>
                <w:sz w:val="20"/>
                <w:szCs w:val="20"/>
                <w:lang w:eastAsia="en-AU"/>
              </w:rPr>
              <w:t>2018</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300438F" w14:textId="77777777" w:rsidR="00C43F97" w:rsidRPr="00A028CE" w:rsidRDefault="00C43F97" w:rsidP="00A46F42">
            <w:pPr>
              <w:spacing w:after="0" w:line="240" w:lineRule="auto"/>
              <w:jc w:val="right"/>
              <w:rPr>
                <w:rFonts w:ascii="Calibri" w:eastAsia="Times New Roman" w:hAnsi="Calibri" w:cs="Calibri"/>
                <w:b/>
                <w:bCs/>
                <w:sz w:val="20"/>
                <w:szCs w:val="20"/>
                <w:lang w:eastAsia="en-AU"/>
              </w:rPr>
            </w:pPr>
            <w:r w:rsidRPr="00A028CE">
              <w:rPr>
                <w:rFonts w:ascii="Calibri" w:eastAsia="Times New Roman" w:hAnsi="Calibri" w:cs="Calibri"/>
                <w:b/>
                <w:bCs/>
                <w:sz w:val="20"/>
                <w:szCs w:val="20"/>
                <w:lang w:eastAsia="en-AU"/>
              </w:rPr>
              <w:t>2021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C2C8ED4" w14:textId="77777777" w:rsidR="00C43F97" w:rsidRPr="00A028CE" w:rsidRDefault="00C43F97" w:rsidP="00A46F42">
            <w:pPr>
              <w:spacing w:after="0" w:line="240" w:lineRule="auto"/>
              <w:jc w:val="right"/>
              <w:rPr>
                <w:rFonts w:ascii="Calibri" w:eastAsia="Times New Roman" w:hAnsi="Calibri" w:cs="Calibri"/>
                <w:b/>
                <w:bCs/>
                <w:sz w:val="20"/>
                <w:szCs w:val="20"/>
                <w:lang w:eastAsia="en-AU"/>
              </w:rPr>
            </w:pPr>
            <w:r w:rsidRPr="00A028CE">
              <w:rPr>
                <w:rFonts w:ascii="Calibri" w:eastAsia="Times New Roman" w:hAnsi="Calibri" w:cs="Calibri"/>
                <w:b/>
                <w:bCs/>
                <w:sz w:val="20"/>
                <w:szCs w:val="20"/>
                <w:lang w:eastAsia="en-AU"/>
              </w:rPr>
              <w:t>2022</w:t>
            </w:r>
          </w:p>
        </w:tc>
        <w:tc>
          <w:tcPr>
            <w:tcW w:w="1190" w:type="dxa"/>
            <w:tcBorders>
              <w:top w:val="single" w:sz="4" w:space="0" w:color="auto"/>
              <w:left w:val="nil"/>
              <w:bottom w:val="single" w:sz="4" w:space="0" w:color="auto"/>
              <w:right w:val="single" w:sz="4" w:space="0" w:color="auto"/>
            </w:tcBorders>
            <w:shd w:val="clear" w:color="auto" w:fill="auto"/>
            <w:vAlign w:val="bottom"/>
            <w:hideMark/>
          </w:tcPr>
          <w:p w14:paraId="3470389A" w14:textId="77777777" w:rsidR="00C43F97" w:rsidRPr="00A028CE" w:rsidRDefault="00C43F97" w:rsidP="00A46F42">
            <w:pPr>
              <w:spacing w:after="0" w:line="240" w:lineRule="auto"/>
              <w:jc w:val="right"/>
              <w:rPr>
                <w:rFonts w:ascii="Calibri" w:eastAsia="Times New Roman" w:hAnsi="Calibri" w:cs="Calibri"/>
                <w:b/>
                <w:bCs/>
                <w:sz w:val="20"/>
                <w:szCs w:val="20"/>
                <w:lang w:eastAsia="en-AU"/>
              </w:rPr>
            </w:pPr>
            <w:r w:rsidRPr="00A028CE">
              <w:rPr>
                <w:rFonts w:ascii="Calibri" w:eastAsia="Times New Roman" w:hAnsi="Calibri" w:cs="Calibri"/>
                <w:b/>
                <w:bCs/>
                <w:sz w:val="20"/>
                <w:szCs w:val="20"/>
                <w:lang w:eastAsia="en-AU"/>
              </w:rPr>
              <w:t>% change 2021 to 2022</w:t>
            </w:r>
          </w:p>
        </w:tc>
      </w:tr>
      <w:tr w:rsidR="00C43F97" w:rsidRPr="00A028CE" w14:paraId="5F4D285C" w14:textId="3A98EE72" w:rsidTr="00C43F97">
        <w:trPr>
          <w:trHeight w:val="272"/>
        </w:trPr>
        <w:tc>
          <w:tcPr>
            <w:tcW w:w="4019" w:type="dxa"/>
            <w:tcBorders>
              <w:top w:val="nil"/>
              <w:left w:val="single" w:sz="4" w:space="0" w:color="auto"/>
              <w:bottom w:val="single" w:sz="4" w:space="0" w:color="auto"/>
              <w:right w:val="single" w:sz="4" w:space="0" w:color="auto"/>
            </w:tcBorders>
            <w:shd w:val="clear" w:color="auto" w:fill="auto"/>
            <w:hideMark/>
          </w:tcPr>
          <w:p w14:paraId="19196A5C" w14:textId="0D73F662" w:rsidR="00C43F97" w:rsidRPr="00A028CE" w:rsidRDefault="00C43F97" w:rsidP="001D11C5">
            <w:pPr>
              <w:spacing w:after="0" w:line="240" w:lineRule="auto"/>
              <w:rPr>
                <w:rFonts w:ascii="Calibri" w:eastAsia="Times New Roman" w:hAnsi="Calibri" w:cs="Calibri"/>
                <w:b/>
                <w:bCs/>
                <w:sz w:val="20"/>
                <w:szCs w:val="20"/>
                <w:lang w:eastAsia="en-AU"/>
              </w:rPr>
            </w:pPr>
            <w:r w:rsidRPr="00A028CE">
              <w:rPr>
                <w:rFonts w:ascii="Calibri" w:eastAsia="Times New Roman" w:hAnsi="Calibri" w:cs="Calibri"/>
                <w:b/>
                <w:bCs/>
                <w:sz w:val="20"/>
                <w:szCs w:val="20"/>
                <w:lang w:eastAsia="en-AU"/>
              </w:rPr>
              <w:t xml:space="preserve">Natural </w:t>
            </w:r>
            <w:r>
              <w:rPr>
                <w:rFonts w:ascii="Calibri" w:eastAsia="Times New Roman" w:hAnsi="Calibri" w:cs="Calibri"/>
                <w:b/>
                <w:bCs/>
                <w:sz w:val="20"/>
                <w:szCs w:val="20"/>
                <w:lang w:eastAsia="en-AU"/>
              </w:rPr>
              <w:t>&amp;</w:t>
            </w:r>
            <w:r w:rsidRPr="00A028CE">
              <w:rPr>
                <w:rFonts w:ascii="Calibri" w:eastAsia="Times New Roman" w:hAnsi="Calibri" w:cs="Calibri"/>
                <w:b/>
                <w:bCs/>
                <w:sz w:val="20"/>
                <w:szCs w:val="20"/>
                <w:lang w:eastAsia="en-AU"/>
              </w:rPr>
              <w:t xml:space="preserve"> Physical Sciences</w:t>
            </w:r>
          </w:p>
        </w:tc>
        <w:tc>
          <w:tcPr>
            <w:tcW w:w="1221" w:type="dxa"/>
            <w:tcBorders>
              <w:top w:val="nil"/>
              <w:left w:val="nil"/>
              <w:bottom w:val="single" w:sz="4" w:space="0" w:color="auto"/>
              <w:right w:val="single" w:sz="4" w:space="0" w:color="auto"/>
            </w:tcBorders>
            <w:shd w:val="clear" w:color="auto" w:fill="auto"/>
            <w:vAlign w:val="bottom"/>
            <w:hideMark/>
          </w:tcPr>
          <w:p w14:paraId="7F120603" w14:textId="77777777" w:rsidR="00C43F97" w:rsidRPr="00A028CE" w:rsidRDefault="00C43F97" w:rsidP="001D11C5">
            <w:pPr>
              <w:spacing w:after="0" w:line="240" w:lineRule="auto"/>
              <w:jc w:val="right"/>
              <w:rPr>
                <w:rFonts w:ascii="Calibri" w:eastAsia="Times New Roman" w:hAnsi="Calibri" w:cs="Calibri"/>
                <w:sz w:val="20"/>
                <w:szCs w:val="20"/>
                <w:lang w:eastAsia="en-AU"/>
              </w:rPr>
            </w:pPr>
            <w:r w:rsidRPr="00A028CE">
              <w:rPr>
                <w:rFonts w:ascii="Calibri" w:eastAsia="Times New Roman" w:hAnsi="Calibri" w:cs="Calibri"/>
                <w:sz w:val="20"/>
                <w:szCs w:val="20"/>
                <w:lang w:eastAsia="en-AU"/>
              </w:rPr>
              <w:t xml:space="preserve">         36,752 </w:t>
            </w:r>
          </w:p>
        </w:tc>
        <w:tc>
          <w:tcPr>
            <w:tcW w:w="1134" w:type="dxa"/>
            <w:tcBorders>
              <w:top w:val="nil"/>
              <w:left w:val="nil"/>
              <w:bottom w:val="single" w:sz="4" w:space="0" w:color="auto"/>
              <w:right w:val="single" w:sz="4" w:space="0" w:color="auto"/>
            </w:tcBorders>
            <w:shd w:val="clear" w:color="auto" w:fill="auto"/>
            <w:noWrap/>
            <w:vAlign w:val="bottom"/>
            <w:hideMark/>
          </w:tcPr>
          <w:p w14:paraId="717DA2F0" w14:textId="77777777" w:rsidR="00C43F97" w:rsidRPr="00A028CE" w:rsidRDefault="00C43F97" w:rsidP="001D11C5">
            <w:pPr>
              <w:spacing w:after="0" w:line="240" w:lineRule="auto"/>
              <w:jc w:val="right"/>
              <w:rPr>
                <w:rFonts w:ascii="Calibri" w:eastAsia="Times New Roman" w:hAnsi="Calibri" w:cs="Calibri"/>
                <w:color w:val="000000"/>
                <w:sz w:val="20"/>
                <w:szCs w:val="20"/>
                <w:lang w:eastAsia="en-AU"/>
              </w:rPr>
            </w:pPr>
            <w:r w:rsidRPr="00A028CE">
              <w:rPr>
                <w:rFonts w:ascii="Calibri" w:eastAsia="Times New Roman" w:hAnsi="Calibri" w:cs="Calibri"/>
                <w:color w:val="000000"/>
                <w:sz w:val="20"/>
                <w:szCs w:val="20"/>
                <w:lang w:eastAsia="en-AU"/>
              </w:rPr>
              <w:t>39,324</w:t>
            </w:r>
          </w:p>
        </w:tc>
        <w:tc>
          <w:tcPr>
            <w:tcW w:w="1134" w:type="dxa"/>
            <w:tcBorders>
              <w:top w:val="nil"/>
              <w:left w:val="nil"/>
              <w:bottom w:val="single" w:sz="4" w:space="0" w:color="auto"/>
              <w:right w:val="single" w:sz="4" w:space="0" w:color="auto"/>
            </w:tcBorders>
            <w:shd w:val="clear" w:color="auto" w:fill="auto"/>
            <w:noWrap/>
            <w:vAlign w:val="bottom"/>
            <w:hideMark/>
          </w:tcPr>
          <w:p w14:paraId="7BE0C925" w14:textId="77777777" w:rsidR="00C43F97" w:rsidRPr="00A028CE" w:rsidRDefault="00C43F97" w:rsidP="001D11C5">
            <w:pPr>
              <w:spacing w:after="0" w:line="240" w:lineRule="auto"/>
              <w:jc w:val="right"/>
              <w:rPr>
                <w:rFonts w:ascii="Calibri" w:eastAsia="Times New Roman" w:hAnsi="Calibri" w:cs="Calibri"/>
                <w:color w:val="000000"/>
                <w:sz w:val="20"/>
                <w:szCs w:val="20"/>
                <w:lang w:eastAsia="en-AU"/>
              </w:rPr>
            </w:pPr>
            <w:r w:rsidRPr="00A028CE">
              <w:rPr>
                <w:rFonts w:ascii="Calibri" w:eastAsia="Times New Roman" w:hAnsi="Calibri" w:cs="Calibri"/>
                <w:color w:val="000000"/>
                <w:sz w:val="20"/>
                <w:szCs w:val="20"/>
                <w:lang w:eastAsia="en-AU"/>
              </w:rPr>
              <w:t>34,798</w:t>
            </w:r>
          </w:p>
        </w:tc>
        <w:tc>
          <w:tcPr>
            <w:tcW w:w="1190" w:type="dxa"/>
            <w:tcBorders>
              <w:top w:val="nil"/>
              <w:left w:val="nil"/>
              <w:bottom w:val="single" w:sz="4" w:space="0" w:color="auto"/>
              <w:right w:val="single" w:sz="4" w:space="0" w:color="auto"/>
            </w:tcBorders>
            <w:shd w:val="clear" w:color="auto" w:fill="auto"/>
            <w:noWrap/>
            <w:vAlign w:val="bottom"/>
            <w:hideMark/>
          </w:tcPr>
          <w:p w14:paraId="7991894C" w14:textId="77777777" w:rsidR="00C43F97" w:rsidRPr="00A028CE" w:rsidRDefault="00C43F97" w:rsidP="001D11C5">
            <w:pPr>
              <w:spacing w:after="0" w:line="240" w:lineRule="auto"/>
              <w:jc w:val="right"/>
              <w:rPr>
                <w:rFonts w:ascii="Calibri" w:eastAsia="Times New Roman" w:hAnsi="Calibri" w:cs="Calibri"/>
                <w:color w:val="000000"/>
                <w:sz w:val="20"/>
                <w:szCs w:val="20"/>
                <w:lang w:eastAsia="en-AU"/>
              </w:rPr>
            </w:pPr>
            <w:r w:rsidRPr="00A028CE">
              <w:rPr>
                <w:rFonts w:ascii="Calibri" w:eastAsia="Times New Roman" w:hAnsi="Calibri" w:cs="Calibri"/>
                <w:color w:val="000000"/>
                <w:sz w:val="20"/>
                <w:szCs w:val="20"/>
                <w:lang w:eastAsia="en-AU"/>
              </w:rPr>
              <w:t>-11.5%</w:t>
            </w:r>
          </w:p>
        </w:tc>
      </w:tr>
      <w:tr w:rsidR="00C43F97" w:rsidRPr="00A028CE" w14:paraId="057EC68B" w14:textId="7AD5FB74" w:rsidTr="00C43F97">
        <w:trPr>
          <w:trHeight w:val="315"/>
        </w:trPr>
        <w:tc>
          <w:tcPr>
            <w:tcW w:w="4019" w:type="dxa"/>
            <w:tcBorders>
              <w:top w:val="nil"/>
              <w:left w:val="single" w:sz="4" w:space="0" w:color="auto"/>
              <w:bottom w:val="single" w:sz="4" w:space="0" w:color="auto"/>
              <w:right w:val="single" w:sz="4" w:space="0" w:color="auto"/>
            </w:tcBorders>
            <w:shd w:val="clear" w:color="auto" w:fill="auto"/>
            <w:hideMark/>
          </w:tcPr>
          <w:p w14:paraId="2E124616" w14:textId="77777777" w:rsidR="00C43F97" w:rsidRPr="00A028CE" w:rsidRDefault="00C43F97" w:rsidP="001D11C5">
            <w:pPr>
              <w:spacing w:after="0" w:line="240" w:lineRule="auto"/>
              <w:rPr>
                <w:rFonts w:ascii="Calibri" w:eastAsia="Times New Roman" w:hAnsi="Calibri" w:cs="Calibri"/>
                <w:b/>
                <w:bCs/>
                <w:sz w:val="20"/>
                <w:szCs w:val="20"/>
                <w:lang w:eastAsia="en-AU"/>
              </w:rPr>
            </w:pPr>
            <w:r w:rsidRPr="00A028CE">
              <w:rPr>
                <w:rFonts w:ascii="Calibri" w:eastAsia="Times New Roman" w:hAnsi="Calibri" w:cs="Calibri"/>
                <w:b/>
                <w:bCs/>
                <w:sz w:val="20"/>
                <w:szCs w:val="20"/>
                <w:lang w:eastAsia="en-AU"/>
              </w:rPr>
              <w:t>Information Technology</w:t>
            </w:r>
          </w:p>
        </w:tc>
        <w:tc>
          <w:tcPr>
            <w:tcW w:w="1221" w:type="dxa"/>
            <w:tcBorders>
              <w:top w:val="nil"/>
              <w:left w:val="nil"/>
              <w:bottom w:val="single" w:sz="4" w:space="0" w:color="auto"/>
              <w:right w:val="single" w:sz="4" w:space="0" w:color="auto"/>
            </w:tcBorders>
            <w:shd w:val="clear" w:color="auto" w:fill="auto"/>
            <w:vAlign w:val="bottom"/>
            <w:hideMark/>
          </w:tcPr>
          <w:p w14:paraId="0E178CB7" w14:textId="77777777" w:rsidR="00C43F97" w:rsidRPr="00A028CE" w:rsidRDefault="00C43F97" w:rsidP="001D11C5">
            <w:pPr>
              <w:spacing w:after="0" w:line="240" w:lineRule="auto"/>
              <w:jc w:val="right"/>
              <w:rPr>
                <w:rFonts w:ascii="Calibri" w:eastAsia="Times New Roman" w:hAnsi="Calibri" w:cs="Calibri"/>
                <w:sz w:val="20"/>
                <w:szCs w:val="20"/>
                <w:lang w:eastAsia="en-AU"/>
              </w:rPr>
            </w:pPr>
            <w:r w:rsidRPr="00A028CE">
              <w:rPr>
                <w:rFonts w:ascii="Calibri" w:eastAsia="Times New Roman" w:hAnsi="Calibri" w:cs="Calibri"/>
                <w:sz w:val="20"/>
                <w:szCs w:val="20"/>
                <w:lang w:eastAsia="en-AU"/>
              </w:rPr>
              <w:t xml:space="preserve">         14,851 </w:t>
            </w:r>
          </w:p>
        </w:tc>
        <w:tc>
          <w:tcPr>
            <w:tcW w:w="1134" w:type="dxa"/>
            <w:tcBorders>
              <w:top w:val="nil"/>
              <w:left w:val="nil"/>
              <w:bottom w:val="single" w:sz="4" w:space="0" w:color="auto"/>
              <w:right w:val="single" w:sz="4" w:space="0" w:color="auto"/>
            </w:tcBorders>
            <w:shd w:val="clear" w:color="auto" w:fill="auto"/>
            <w:noWrap/>
            <w:vAlign w:val="bottom"/>
            <w:hideMark/>
          </w:tcPr>
          <w:p w14:paraId="387E1056" w14:textId="77777777" w:rsidR="00C43F97" w:rsidRPr="00A028CE" w:rsidRDefault="00C43F97" w:rsidP="001D11C5">
            <w:pPr>
              <w:spacing w:after="0" w:line="240" w:lineRule="auto"/>
              <w:jc w:val="right"/>
              <w:rPr>
                <w:rFonts w:ascii="Calibri" w:eastAsia="Times New Roman" w:hAnsi="Calibri" w:cs="Calibri"/>
                <w:color w:val="000000"/>
                <w:sz w:val="20"/>
                <w:szCs w:val="20"/>
                <w:lang w:eastAsia="en-AU"/>
              </w:rPr>
            </w:pPr>
            <w:r w:rsidRPr="00A028CE">
              <w:rPr>
                <w:rFonts w:ascii="Calibri" w:eastAsia="Times New Roman" w:hAnsi="Calibri" w:cs="Calibri"/>
                <w:color w:val="000000"/>
                <w:sz w:val="20"/>
                <w:szCs w:val="20"/>
                <w:lang w:eastAsia="en-AU"/>
              </w:rPr>
              <w:t>22,552</w:t>
            </w:r>
          </w:p>
        </w:tc>
        <w:tc>
          <w:tcPr>
            <w:tcW w:w="1134" w:type="dxa"/>
            <w:tcBorders>
              <w:top w:val="nil"/>
              <w:left w:val="nil"/>
              <w:bottom w:val="single" w:sz="4" w:space="0" w:color="auto"/>
              <w:right w:val="single" w:sz="4" w:space="0" w:color="auto"/>
            </w:tcBorders>
            <w:shd w:val="clear" w:color="auto" w:fill="auto"/>
            <w:noWrap/>
            <w:vAlign w:val="bottom"/>
            <w:hideMark/>
          </w:tcPr>
          <w:p w14:paraId="5745947F" w14:textId="77777777" w:rsidR="00C43F97" w:rsidRPr="00A028CE" w:rsidRDefault="00C43F97" w:rsidP="001D11C5">
            <w:pPr>
              <w:spacing w:after="0" w:line="240" w:lineRule="auto"/>
              <w:jc w:val="right"/>
              <w:rPr>
                <w:rFonts w:ascii="Calibri" w:eastAsia="Times New Roman" w:hAnsi="Calibri" w:cs="Calibri"/>
                <w:color w:val="000000"/>
                <w:sz w:val="20"/>
                <w:szCs w:val="20"/>
                <w:lang w:eastAsia="en-AU"/>
              </w:rPr>
            </w:pPr>
            <w:r w:rsidRPr="00A028CE">
              <w:rPr>
                <w:rFonts w:ascii="Calibri" w:eastAsia="Times New Roman" w:hAnsi="Calibri" w:cs="Calibri"/>
                <w:color w:val="000000"/>
                <w:sz w:val="20"/>
                <w:szCs w:val="20"/>
                <w:lang w:eastAsia="en-AU"/>
              </w:rPr>
              <w:t>20,127</w:t>
            </w:r>
          </w:p>
        </w:tc>
        <w:tc>
          <w:tcPr>
            <w:tcW w:w="1190" w:type="dxa"/>
            <w:tcBorders>
              <w:top w:val="nil"/>
              <w:left w:val="nil"/>
              <w:bottom w:val="single" w:sz="4" w:space="0" w:color="auto"/>
              <w:right w:val="single" w:sz="4" w:space="0" w:color="auto"/>
            </w:tcBorders>
            <w:shd w:val="clear" w:color="auto" w:fill="auto"/>
            <w:noWrap/>
            <w:vAlign w:val="bottom"/>
            <w:hideMark/>
          </w:tcPr>
          <w:p w14:paraId="235EC380" w14:textId="77777777" w:rsidR="00C43F97" w:rsidRPr="00A028CE" w:rsidRDefault="00C43F97" w:rsidP="001D11C5">
            <w:pPr>
              <w:spacing w:after="0" w:line="240" w:lineRule="auto"/>
              <w:jc w:val="right"/>
              <w:rPr>
                <w:rFonts w:ascii="Calibri" w:eastAsia="Times New Roman" w:hAnsi="Calibri" w:cs="Calibri"/>
                <w:color w:val="000000"/>
                <w:sz w:val="20"/>
                <w:szCs w:val="20"/>
                <w:lang w:eastAsia="en-AU"/>
              </w:rPr>
            </w:pPr>
            <w:r w:rsidRPr="00A028CE">
              <w:rPr>
                <w:rFonts w:ascii="Calibri" w:eastAsia="Times New Roman" w:hAnsi="Calibri" w:cs="Calibri"/>
                <w:color w:val="000000"/>
                <w:sz w:val="20"/>
                <w:szCs w:val="20"/>
                <w:lang w:eastAsia="en-AU"/>
              </w:rPr>
              <w:t>-10.8%</w:t>
            </w:r>
          </w:p>
        </w:tc>
      </w:tr>
      <w:tr w:rsidR="00C43F97" w:rsidRPr="00A028CE" w14:paraId="09AA74C4" w14:textId="7C61803C" w:rsidTr="00C43F97">
        <w:trPr>
          <w:trHeight w:val="315"/>
        </w:trPr>
        <w:tc>
          <w:tcPr>
            <w:tcW w:w="4019" w:type="dxa"/>
            <w:tcBorders>
              <w:top w:val="nil"/>
              <w:left w:val="single" w:sz="4" w:space="0" w:color="auto"/>
              <w:bottom w:val="single" w:sz="4" w:space="0" w:color="auto"/>
              <w:right w:val="single" w:sz="4" w:space="0" w:color="auto"/>
            </w:tcBorders>
            <w:shd w:val="clear" w:color="auto" w:fill="auto"/>
            <w:hideMark/>
          </w:tcPr>
          <w:p w14:paraId="6B936915" w14:textId="1FEE6A9E" w:rsidR="00C43F97" w:rsidRPr="00A028CE" w:rsidRDefault="00C43F97" w:rsidP="001D11C5">
            <w:pPr>
              <w:spacing w:after="0" w:line="240" w:lineRule="auto"/>
              <w:rPr>
                <w:rFonts w:ascii="Calibri" w:eastAsia="Times New Roman" w:hAnsi="Calibri" w:cs="Calibri"/>
                <w:b/>
                <w:bCs/>
                <w:sz w:val="20"/>
                <w:szCs w:val="20"/>
                <w:lang w:eastAsia="en-AU"/>
              </w:rPr>
            </w:pPr>
            <w:r w:rsidRPr="00A028CE">
              <w:rPr>
                <w:rFonts w:ascii="Calibri" w:eastAsia="Times New Roman" w:hAnsi="Calibri" w:cs="Calibri"/>
                <w:b/>
                <w:bCs/>
                <w:sz w:val="20"/>
                <w:szCs w:val="20"/>
                <w:lang w:eastAsia="en-AU"/>
              </w:rPr>
              <w:t xml:space="preserve">Engineering </w:t>
            </w:r>
            <w:r>
              <w:rPr>
                <w:rFonts w:ascii="Calibri" w:eastAsia="Times New Roman" w:hAnsi="Calibri" w:cs="Calibri"/>
                <w:b/>
                <w:bCs/>
                <w:sz w:val="20"/>
                <w:szCs w:val="20"/>
                <w:lang w:eastAsia="en-AU"/>
              </w:rPr>
              <w:t>&amp;</w:t>
            </w:r>
            <w:r w:rsidRPr="00A028CE">
              <w:rPr>
                <w:rFonts w:ascii="Calibri" w:eastAsia="Times New Roman" w:hAnsi="Calibri" w:cs="Calibri"/>
                <w:b/>
                <w:bCs/>
                <w:sz w:val="20"/>
                <w:szCs w:val="20"/>
                <w:lang w:eastAsia="en-AU"/>
              </w:rPr>
              <w:t xml:space="preserve"> Related Technologies</w:t>
            </w:r>
          </w:p>
        </w:tc>
        <w:tc>
          <w:tcPr>
            <w:tcW w:w="1221" w:type="dxa"/>
            <w:tcBorders>
              <w:top w:val="nil"/>
              <w:left w:val="nil"/>
              <w:bottom w:val="single" w:sz="4" w:space="0" w:color="auto"/>
              <w:right w:val="single" w:sz="4" w:space="0" w:color="auto"/>
            </w:tcBorders>
            <w:shd w:val="clear" w:color="auto" w:fill="auto"/>
            <w:vAlign w:val="bottom"/>
            <w:hideMark/>
          </w:tcPr>
          <w:p w14:paraId="11333960" w14:textId="77777777" w:rsidR="00C43F97" w:rsidRPr="00A028CE" w:rsidRDefault="00C43F97" w:rsidP="001D11C5">
            <w:pPr>
              <w:spacing w:after="0" w:line="240" w:lineRule="auto"/>
              <w:jc w:val="right"/>
              <w:rPr>
                <w:rFonts w:ascii="Calibri" w:eastAsia="Times New Roman" w:hAnsi="Calibri" w:cs="Calibri"/>
                <w:sz w:val="20"/>
                <w:szCs w:val="20"/>
                <w:lang w:eastAsia="en-AU"/>
              </w:rPr>
            </w:pPr>
            <w:r w:rsidRPr="00A028CE">
              <w:rPr>
                <w:rFonts w:ascii="Calibri" w:eastAsia="Times New Roman" w:hAnsi="Calibri" w:cs="Calibri"/>
                <w:sz w:val="20"/>
                <w:szCs w:val="20"/>
                <w:lang w:eastAsia="en-AU"/>
              </w:rPr>
              <w:t xml:space="preserve">         18,855 </w:t>
            </w:r>
          </w:p>
        </w:tc>
        <w:tc>
          <w:tcPr>
            <w:tcW w:w="1134" w:type="dxa"/>
            <w:tcBorders>
              <w:top w:val="nil"/>
              <w:left w:val="nil"/>
              <w:bottom w:val="single" w:sz="4" w:space="0" w:color="auto"/>
              <w:right w:val="single" w:sz="4" w:space="0" w:color="auto"/>
            </w:tcBorders>
            <w:shd w:val="clear" w:color="auto" w:fill="auto"/>
            <w:noWrap/>
            <w:vAlign w:val="bottom"/>
            <w:hideMark/>
          </w:tcPr>
          <w:p w14:paraId="752CDD55" w14:textId="77777777" w:rsidR="00C43F97" w:rsidRPr="00A028CE" w:rsidRDefault="00C43F97" w:rsidP="001D11C5">
            <w:pPr>
              <w:spacing w:after="0" w:line="240" w:lineRule="auto"/>
              <w:jc w:val="right"/>
              <w:rPr>
                <w:rFonts w:ascii="Calibri" w:eastAsia="Times New Roman" w:hAnsi="Calibri" w:cs="Calibri"/>
                <w:color w:val="000000"/>
                <w:sz w:val="20"/>
                <w:szCs w:val="20"/>
                <w:lang w:eastAsia="en-AU"/>
              </w:rPr>
            </w:pPr>
            <w:r w:rsidRPr="00A028CE">
              <w:rPr>
                <w:rFonts w:ascii="Calibri" w:eastAsia="Times New Roman" w:hAnsi="Calibri" w:cs="Calibri"/>
                <w:color w:val="000000"/>
                <w:sz w:val="20"/>
                <w:szCs w:val="20"/>
                <w:lang w:eastAsia="en-AU"/>
              </w:rPr>
              <w:t>21,353</w:t>
            </w:r>
          </w:p>
        </w:tc>
        <w:tc>
          <w:tcPr>
            <w:tcW w:w="1134" w:type="dxa"/>
            <w:tcBorders>
              <w:top w:val="nil"/>
              <w:left w:val="nil"/>
              <w:bottom w:val="single" w:sz="4" w:space="0" w:color="auto"/>
              <w:right w:val="single" w:sz="4" w:space="0" w:color="auto"/>
            </w:tcBorders>
            <w:shd w:val="clear" w:color="auto" w:fill="auto"/>
            <w:noWrap/>
            <w:vAlign w:val="bottom"/>
            <w:hideMark/>
          </w:tcPr>
          <w:p w14:paraId="5533EE54" w14:textId="77777777" w:rsidR="00C43F97" w:rsidRPr="00A028CE" w:rsidRDefault="00C43F97" w:rsidP="001D11C5">
            <w:pPr>
              <w:spacing w:after="0" w:line="240" w:lineRule="auto"/>
              <w:jc w:val="right"/>
              <w:rPr>
                <w:rFonts w:ascii="Calibri" w:eastAsia="Times New Roman" w:hAnsi="Calibri" w:cs="Calibri"/>
                <w:color w:val="000000"/>
                <w:sz w:val="20"/>
                <w:szCs w:val="20"/>
                <w:lang w:eastAsia="en-AU"/>
              </w:rPr>
            </w:pPr>
            <w:r w:rsidRPr="00A028CE">
              <w:rPr>
                <w:rFonts w:ascii="Calibri" w:eastAsia="Times New Roman" w:hAnsi="Calibri" w:cs="Calibri"/>
                <w:color w:val="000000"/>
                <w:sz w:val="20"/>
                <w:szCs w:val="20"/>
                <w:lang w:eastAsia="en-AU"/>
              </w:rPr>
              <w:t>20,719</w:t>
            </w:r>
          </w:p>
        </w:tc>
        <w:tc>
          <w:tcPr>
            <w:tcW w:w="1190" w:type="dxa"/>
            <w:tcBorders>
              <w:top w:val="nil"/>
              <w:left w:val="nil"/>
              <w:bottom w:val="single" w:sz="4" w:space="0" w:color="auto"/>
              <w:right w:val="single" w:sz="4" w:space="0" w:color="auto"/>
            </w:tcBorders>
            <w:shd w:val="clear" w:color="auto" w:fill="auto"/>
            <w:noWrap/>
            <w:vAlign w:val="bottom"/>
            <w:hideMark/>
          </w:tcPr>
          <w:p w14:paraId="444AEE72" w14:textId="77777777" w:rsidR="00C43F97" w:rsidRPr="00A028CE" w:rsidRDefault="00C43F97" w:rsidP="001D11C5">
            <w:pPr>
              <w:spacing w:after="0" w:line="240" w:lineRule="auto"/>
              <w:jc w:val="right"/>
              <w:rPr>
                <w:rFonts w:ascii="Calibri" w:eastAsia="Times New Roman" w:hAnsi="Calibri" w:cs="Calibri"/>
                <w:color w:val="000000"/>
                <w:sz w:val="20"/>
                <w:szCs w:val="20"/>
                <w:lang w:eastAsia="en-AU"/>
              </w:rPr>
            </w:pPr>
            <w:r w:rsidRPr="00A028CE">
              <w:rPr>
                <w:rFonts w:ascii="Calibri" w:eastAsia="Times New Roman" w:hAnsi="Calibri" w:cs="Calibri"/>
                <w:color w:val="000000"/>
                <w:sz w:val="20"/>
                <w:szCs w:val="20"/>
                <w:lang w:eastAsia="en-AU"/>
              </w:rPr>
              <w:t>-3.0%</w:t>
            </w:r>
          </w:p>
        </w:tc>
      </w:tr>
      <w:tr w:rsidR="00C43F97" w:rsidRPr="00A028CE" w14:paraId="7C481B90" w14:textId="47570E83" w:rsidTr="00C43F97">
        <w:trPr>
          <w:trHeight w:val="315"/>
        </w:trPr>
        <w:tc>
          <w:tcPr>
            <w:tcW w:w="4019" w:type="dxa"/>
            <w:tcBorders>
              <w:top w:val="nil"/>
              <w:left w:val="single" w:sz="4" w:space="0" w:color="auto"/>
              <w:bottom w:val="single" w:sz="4" w:space="0" w:color="auto"/>
              <w:right w:val="single" w:sz="4" w:space="0" w:color="auto"/>
            </w:tcBorders>
            <w:shd w:val="clear" w:color="auto" w:fill="auto"/>
            <w:hideMark/>
          </w:tcPr>
          <w:p w14:paraId="6B4E4583" w14:textId="77777777" w:rsidR="00C43F97" w:rsidRPr="00A028CE" w:rsidRDefault="00C43F97" w:rsidP="001D11C5">
            <w:pPr>
              <w:spacing w:after="0" w:line="240" w:lineRule="auto"/>
              <w:rPr>
                <w:rFonts w:ascii="Calibri" w:eastAsia="Times New Roman" w:hAnsi="Calibri" w:cs="Calibri"/>
                <w:b/>
                <w:bCs/>
                <w:sz w:val="20"/>
                <w:szCs w:val="20"/>
                <w:lang w:eastAsia="en-AU"/>
              </w:rPr>
            </w:pPr>
            <w:r w:rsidRPr="00A028CE">
              <w:rPr>
                <w:rFonts w:ascii="Calibri" w:eastAsia="Times New Roman" w:hAnsi="Calibri" w:cs="Calibri"/>
                <w:b/>
                <w:bCs/>
                <w:sz w:val="20"/>
                <w:szCs w:val="20"/>
                <w:lang w:eastAsia="en-AU"/>
              </w:rPr>
              <w:t>Architecture and Building</w:t>
            </w:r>
          </w:p>
        </w:tc>
        <w:tc>
          <w:tcPr>
            <w:tcW w:w="1221" w:type="dxa"/>
            <w:tcBorders>
              <w:top w:val="nil"/>
              <w:left w:val="nil"/>
              <w:bottom w:val="single" w:sz="4" w:space="0" w:color="auto"/>
              <w:right w:val="single" w:sz="4" w:space="0" w:color="auto"/>
            </w:tcBorders>
            <w:shd w:val="clear" w:color="auto" w:fill="auto"/>
            <w:vAlign w:val="bottom"/>
            <w:hideMark/>
          </w:tcPr>
          <w:p w14:paraId="34CDA947" w14:textId="77777777" w:rsidR="00C43F97" w:rsidRPr="00A028CE" w:rsidRDefault="00C43F97" w:rsidP="001D11C5">
            <w:pPr>
              <w:spacing w:after="0" w:line="240" w:lineRule="auto"/>
              <w:jc w:val="right"/>
              <w:rPr>
                <w:rFonts w:ascii="Calibri" w:eastAsia="Times New Roman" w:hAnsi="Calibri" w:cs="Calibri"/>
                <w:sz w:val="20"/>
                <w:szCs w:val="20"/>
                <w:lang w:eastAsia="en-AU"/>
              </w:rPr>
            </w:pPr>
            <w:r w:rsidRPr="00A028CE">
              <w:rPr>
                <w:rFonts w:ascii="Calibri" w:eastAsia="Times New Roman" w:hAnsi="Calibri" w:cs="Calibri"/>
                <w:sz w:val="20"/>
                <w:szCs w:val="20"/>
                <w:lang w:eastAsia="en-AU"/>
              </w:rPr>
              <w:t xml:space="preserve">           9,941 </w:t>
            </w:r>
          </w:p>
        </w:tc>
        <w:tc>
          <w:tcPr>
            <w:tcW w:w="1134" w:type="dxa"/>
            <w:tcBorders>
              <w:top w:val="nil"/>
              <w:left w:val="nil"/>
              <w:bottom w:val="single" w:sz="4" w:space="0" w:color="auto"/>
              <w:right w:val="single" w:sz="4" w:space="0" w:color="auto"/>
            </w:tcBorders>
            <w:shd w:val="clear" w:color="auto" w:fill="auto"/>
            <w:noWrap/>
            <w:vAlign w:val="bottom"/>
            <w:hideMark/>
          </w:tcPr>
          <w:p w14:paraId="50E3D7D7" w14:textId="77777777" w:rsidR="00C43F97" w:rsidRPr="00A028CE" w:rsidRDefault="00C43F97" w:rsidP="001D11C5">
            <w:pPr>
              <w:spacing w:after="0" w:line="240" w:lineRule="auto"/>
              <w:jc w:val="right"/>
              <w:rPr>
                <w:rFonts w:ascii="Calibri" w:eastAsia="Times New Roman" w:hAnsi="Calibri" w:cs="Calibri"/>
                <w:color w:val="000000"/>
                <w:sz w:val="20"/>
                <w:szCs w:val="20"/>
                <w:lang w:eastAsia="en-AU"/>
              </w:rPr>
            </w:pPr>
            <w:r w:rsidRPr="00A028CE">
              <w:rPr>
                <w:rFonts w:ascii="Calibri" w:eastAsia="Times New Roman" w:hAnsi="Calibri" w:cs="Calibri"/>
                <w:color w:val="000000"/>
                <w:sz w:val="20"/>
                <w:szCs w:val="20"/>
                <w:lang w:eastAsia="en-AU"/>
              </w:rPr>
              <w:t>11,392</w:t>
            </w:r>
          </w:p>
        </w:tc>
        <w:tc>
          <w:tcPr>
            <w:tcW w:w="1134" w:type="dxa"/>
            <w:tcBorders>
              <w:top w:val="nil"/>
              <w:left w:val="nil"/>
              <w:bottom w:val="single" w:sz="4" w:space="0" w:color="auto"/>
              <w:right w:val="single" w:sz="4" w:space="0" w:color="auto"/>
            </w:tcBorders>
            <w:shd w:val="clear" w:color="auto" w:fill="auto"/>
            <w:noWrap/>
            <w:vAlign w:val="bottom"/>
            <w:hideMark/>
          </w:tcPr>
          <w:p w14:paraId="4FDC4525" w14:textId="77777777" w:rsidR="00C43F97" w:rsidRPr="00A028CE" w:rsidRDefault="00C43F97" w:rsidP="001D11C5">
            <w:pPr>
              <w:spacing w:after="0" w:line="240" w:lineRule="auto"/>
              <w:jc w:val="right"/>
              <w:rPr>
                <w:rFonts w:ascii="Calibri" w:eastAsia="Times New Roman" w:hAnsi="Calibri" w:cs="Calibri"/>
                <w:color w:val="000000"/>
                <w:sz w:val="20"/>
                <w:szCs w:val="20"/>
                <w:lang w:eastAsia="en-AU"/>
              </w:rPr>
            </w:pPr>
            <w:r w:rsidRPr="00A028CE">
              <w:rPr>
                <w:rFonts w:ascii="Calibri" w:eastAsia="Times New Roman" w:hAnsi="Calibri" w:cs="Calibri"/>
                <w:color w:val="000000"/>
                <w:sz w:val="20"/>
                <w:szCs w:val="20"/>
                <w:lang w:eastAsia="en-AU"/>
              </w:rPr>
              <w:t>10,825</w:t>
            </w:r>
          </w:p>
        </w:tc>
        <w:tc>
          <w:tcPr>
            <w:tcW w:w="1190" w:type="dxa"/>
            <w:tcBorders>
              <w:top w:val="nil"/>
              <w:left w:val="nil"/>
              <w:bottom w:val="single" w:sz="4" w:space="0" w:color="auto"/>
              <w:right w:val="single" w:sz="4" w:space="0" w:color="auto"/>
            </w:tcBorders>
            <w:shd w:val="clear" w:color="auto" w:fill="auto"/>
            <w:noWrap/>
            <w:vAlign w:val="bottom"/>
            <w:hideMark/>
          </w:tcPr>
          <w:p w14:paraId="505587D0" w14:textId="77777777" w:rsidR="00C43F97" w:rsidRPr="00A028CE" w:rsidRDefault="00C43F97" w:rsidP="001D11C5">
            <w:pPr>
              <w:spacing w:after="0" w:line="240" w:lineRule="auto"/>
              <w:jc w:val="right"/>
              <w:rPr>
                <w:rFonts w:ascii="Calibri" w:eastAsia="Times New Roman" w:hAnsi="Calibri" w:cs="Calibri"/>
                <w:color w:val="000000"/>
                <w:sz w:val="20"/>
                <w:szCs w:val="20"/>
                <w:lang w:eastAsia="en-AU"/>
              </w:rPr>
            </w:pPr>
            <w:r w:rsidRPr="00A028CE">
              <w:rPr>
                <w:rFonts w:ascii="Calibri" w:eastAsia="Times New Roman" w:hAnsi="Calibri" w:cs="Calibri"/>
                <w:color w:val="000000"/>
                <w:sz w:val="20"/>
                <w:szCs w:val="20"/>
                <w:lang w:eastAsia="en-AU"/>
              </w:rPr>
              <w:t>-5.0%</w:t>
            </w:r>
          </w:p>
        </w:tc>
      </w:tr>
      <w:tr w:rsidR="00C43F97" w:rsidRPr="00A028CE" w14:paraId="22B450E4" w14:textId="109DE85B" w:rsidTr="00C43F97">
        <w:trPr>
          <w:trHeight w:val="277"/>
        </w:trPr>
        <w:tc>
          <w:tcPr>
            <w:tcW w:w="4019" w:type="dxa"/>
            <w:tcBorders>
              <w:top w:val="nil"/>
              <w:left w:val="single" w:sz="4" w:space="0" w:color="auto"/>
              <w:bottom w:val="single" w:sz="4" w:space="0" w:color="auto"/>
              <w:right w:val="single" w:sz="4" w:space="0" w:color="auto"/>
            </w:tcBorders>
            <w:shd w:val="clear" w:color="auto" w:fill="auto"/>
            <w:hideMark/>
          </w:tcPr>
          <w:p w14:paraId="75565DD1" w14:textId="0F62EA05" w:rsidR="00C43F97" w:rsidRPr="00A028CE" w:rsidRDefault="00C43F97" w:rsidP="001D11C5">
            <w:pPr>
              <w:spacing w:after="0" w:line="240" w:lineRule="auto"/>
              <w:rPr>
                <w:rFonts w:ascii="Calibri" w:eastAsia="Times New Roman" w:hAnsi="Calibri" w:cs="Calibri"/>
                <w:b/>
                <w:bCs/>
                <w:sz w:val="20"/>
                <w:szCs w:val="20"/>
                <w:lang w:eastAsia="en-AU"/>
              </w:rPr>
            </w:pPr>
            <w:r w:rsidRPr="00A028CE">
              <w:rPr>
                <w:rFonts w:ascii="Calibri" w:eastAsia="Times New Roman" w:hAnsi="Calibri" w:cs="Calibri"/>
                <w:b/>
                <w:bCs/>
                <w:sz w:val="20"/>
                <w:szCs w:val="20"/>
                <w:lang w:eastAsia="en-AU"/>
              </w:rPr>
              <w:t xml:space="preserve">Agriculture, Environmental </w:t>
            </w:r>
            <w:r>
              <w:rPr>
                <w:rFonts w:ascii="Calibri" w:eastAsia="Times New Roman" w:hAnsi="Calibri" w:cs="Calibri"/>
                <w:b/>
                <w:bCs/>
                <w:sz w:val="20"/>
                <w:szCs w:val="20"/>
                <w:lang w:eastAsia="en-AU"/>
              </w:rPr>
              <w:t>&amp;</w:t>
            </w:r>
            <w:r w:rsidRPr="00A028CE">
              <w:rPr>
                <w:rFonts w:ascii="Calibri" w:eastAsia="Times New Roman" w:hAnsi="Calibri" w:cs="Calibri"/>
                <w:b/>
                <w:bCs/>
                <w:sz w:val="20"/>
                <w:szCs w:val="20"/>
                <w:lang w:eastAsia="en-AU"/>
              </w:rPr>
              <w:t xml:space="preserve"> Related Studies</w:t>
            </w:r>
          </w:p>
        </w:tc>
        <w:tc>
          <w:tcPr>
            <w:tcW w:w="1221" w:type="dxa"/>
            <w:tcBorders>
              <w:top w:val="nil"/>
              <w:left w:val="nil"/>
              <w:bottom w:val="single" w:sz="4" w:space="0" w:color="auto"/>
              <w:right w:val="single" w:sz="4" w:space="0" w:color="auto"/>
            </w:tcBorders>
            <w:shd w:val="clear" w:color="auto" w:fill="auto"/>
            <w:vAlign w:val="bottom"/>
            <w:hideMark/>
          </w:tcPr>
          <w:p w14:paraId="0D5A1A88" w14:textId="6CDD939B" w:rsidR="00C43F97" w:rsidRPr="00A028CE" w:rsidRDefault="00C43F97" w:rsidP="001D11C5">
            <w:pPr>
              <w:spacing w:after="0" w:line="240" w:lineRule="auto"/>
              <w:jc w:val="right"/>
              <w:rPr>
                <w:rFonts w:ascii="Calibri" w:eastAsia="Times New Roman" w:hAnsi="Calibri" w:cs="Calibri"/>
                <w:sz w:val="20"/>
                <w:szCs w:val="20"/>
                <w:lang w:eastAsia="en-AU"/>
              </w:rPr>
            </w:pPr>
            <w:r w:rsidRPr="00A028CE">
              <w:rPr>
                <w:rFonts w:ascii="Calibri" w:eastAsia="Times New Roman" w:hAnsi="Calibri" w:cs="Calibri"/>
                <w:sz w:val="20"/>
                <w:szCs w:val="20"/>
                <w:lang w:eastAsia="en-AU"/>
              </w:rPr>
              <w:t xml:space="preserve">       4,662 </w:t>
            </w:r>
          </w:p>
        </w:tc>
        <w:tc>
          <w:tcPr>
            <w:tcW w:w="1134" w:type="dxa"/>
            <w:tcBorders>
              <w:top w:val="nil"/>
              <w:left w:val="nil"/>
              <w:bottom w:val="single" w:sz="4" w:space="0" w:color="auto"/>
              <w:right w:val="single" w:sz="4" w:space="0" w:color="auto"/>
            </w:tcBorders>
            <w:shd w:val="clear" w:color="auto" w:fill="auto"/>
            <w:noWrap/>
            <w:vAlign w:val="bottom"/>
            <w:hideMark/>
          </w:tcPr>
          <w:p w14:paraId="54B893C5" w14:textId="77777777" w:rsidR="00C43F97" w:rsidRPr="00A028CE" w:rsidRDefault="00C43F97" w:rsidP="001D11C5">
            <w:pPr>
              <w:spacing w:after="0" w:line="240" w:lineRule="auto"/>
              <w:jc w:val="right"/>
              <w:rPr>
                <w:rFonts w:ascii="Calibri" w:eastAsia="Times New Roman" w:hAnsi="Calibri" w:cs="Calibri"/>
                <w:color w:val="000000"/>
                <w:sz w:val="20"/>
                <w:szCs w:val="20"/>
                <w:lang w:eastAsia="en-AU"/>
              </w:rPr>
            </w:pPr>
            <w:r w:rsidRPr="00A028CE">
              <w:rPr>
                <w:rFonts w:ascii="Calibri" w:eastAsia="Times New Roman" w:hAnsi="Calibri" w:cs="Calibri"/>
                <w:color w:val="000000"/>
                <w:sz w:val="20"/>
                <w:szCs w:val="20"/>
                <w:lang w:eastAsia="en-AU"/>
              </w:rPr>
              <w:t>6,028</w:t>
            </w:r>
          </w:p>
        </w:tc>
        <w:tc>
          <w:tcPr>
            <w:tcW w:w="1134" w:type="dxa"/>
            <w:tcBorders>
              <w:top w:val="nil"/>
              <w:left w:val="nil"/>
              <w:bottom w:val="single" w:sz="4" w:space="0" w:color="auto"/>
              <w:right w:val="single" w:sz="4" w:space="0" w:color="auto"/>
            </w:tcBorders>
            <w:shd w:val="clear" w:color="auto" w:fill="auto"/>
            <w:noWrap/>
            <w:vAlign w:val="bottom"/>
            <w:hideMark/>
          </w:tcPr>
          <w:p w14:paraId="4809C787" w14:textId="77777777" w:rsidR="00C43F97" w:rsidRPr="00A028CE" w:rsidRDefault="00C43F97" w:rsidP="001D11C5">
            <w:pPr>
              <w:spacing w:after="0" w:line="240" w:lineRule="auto"/>
              <w:jc w:val="right"/>
              <w:rPr>
                <w:rFonts w:ascii="Calibri" w:eastAsia="Times New Roman" w:hAnsi="Calibri" w:cs="Calibri"/>
                <w:color w:val="000000"/>
                <w:sz w:val="20"/>
                <w:szCs w:val="20"/>
                <w:lang w:eastAsia="en-AU"/>
              </w:rPr>
            </w:pPr>
            <w:r w:rsidRPr="00A028CE">
              <w:rPr>
                <w:rFonts w:ascii="Calibri" w:eastAsia="Times New Roman" w:hAnsi="Calibri" w:cs="Calibri"/>
                <w:color w:val="000000"/>
                <w:sz w:val="20"/>
                <w:szCs w:val="20"/>
                <w:lang w:eastAsia="en-AU"/>
              </w:rPr>
              <w:t>5,993</w:t>
            </w:r>
          </w:p>
        </w:tc>
        <w:tc>
          <w:tcPr>
            <w:tcW w:w="1190" w:type="dxa"/>
            <w:tcBorders>
              <w:top w:val="nil"/>
              <w:left w:val="nil"/>
              <w:bottom w:val="single" w:sz="4" w:space="0" w:color="auto"/>
              <w:right w:val="single" w:sz="4" w:space="0" w:color="auto"/>
            </w:tcBorders>
            <w:shd w:val="clear" w:color="auto" w:fill="auto"/>
            <w:noWrap/>
            <w:vAlign w:val="bottom"/>
            <w:hideMark/>
          </w:tcPr>
          <w:p w14:paraId="3A387384" w14:textId="77777777" w:rsidR="00C43F97" w:rsidRPr="00A028CE" w:rsidRDefault="00C43F97" w:rsidP="001D11C5">
            <w:pPr>
              <w:spacing w:after="0" w:line="240" w:lineRule="auto"/>
              <w:jc w:val="right"/>
              <w:rPr>
                <w:rFonts w:ascii="Calibri" w:eastAsia="Times New Roman" w:hAnsi="Calibri" w:cs="Calibri"/>
                <w:color w:val="000000"/>
                <w:sz w:val="20"/>
                <w:szCs w:val="20"/>
                <w:lang w:eastAsia="en-AU"/>
              </w:rPr>
            </w:pPr>
            <w:r w:rsidRPr="00A028CE">
              <w:rPr>
                <w:rFonts w:ascii="Calibri" w:eastAsia="Times New Roman" w:hAnsi="Calibri" w:cs="Calibri"/>
                <w:color w:val="000000"/>
                <w:sz w:val="20"/>
                <w:szCs w:val="20"/>
                <w:lang w:eastAsia="en-AU"/>
              </w:rPr>
              <w:t>-0.6%</w:t>
            </w:r>
          </w:p>
        </w:tc>
      </w:tr>
      <w:tr w:rsidR="00C43F97" w:rsidRPr="00A028CE" w14:paraId="01CA6335" w14:textId="2079F15E" w:rsidTr="00C43F97">
        <w:trPr>
          <w:trHeight w:val="315"/>
        </w:trPr>
        <w:tc>
          <w:tcPr>
            <w:tcW w:w="4019" w:type="dxa"/>
            <w:tcBorders>
              <w:top w:val="nil"/>
              <w:left w:val="single" w:sz="4" w:space="0" w:color="auto"/>
              <w:bottom w:val="single" w:sz="4" w:space="0" w:color="auto"/>
              <w:right w:val="single" w:sz="4" w:space="0" w:color="auto"/>
            </w:tcBorders>
            <w:shd w:val="clear" w:color="auto" w:fill="auto"/>
            <w:hideMark/>
          </w:tcPr>
          <w:p w14:paraId="7A900EAB" w14:textId="77777777" w:rsidR="00C43F97" w:rsidRPr="00A028CE" w:rsidRDefault="00C43F97" w:rsidP="001D11C5">
            <w:pPr>
              <w:spacing w:after="0" w:line="240" w:lineRule="auto"/>
              <w:rPr>
                <w:rFonts w:ascii="Calibri" w:eastAsia="Times New Roman" w:hAnsi="Calibri" w:cs="Calibri"/>
                <w:b/>
                <w:bCs/>
                <w:sz w:val="20"/>
                <w:szCs w:val="20"/>
                <w:lang w:eastAsia="en-AU"/>
              </w:rPr>
            </w:pPr>
            <w:r w:rsidRPr="00A028CE">
              <w:rPr>
                <w:rFonts w:ascii="Calibri" w:eastAsia="Times New Roman" w:hAnsi="Calibri" w:cs="Calibri"/>
                <w:b/>
                <w:bCs/>
                <w:sz w:val="20"/>
                <w:szCs w:val="20"/>
                <w:lang w:eastAsia="en-AU"/>
              </w:rPr>
              <w:t>Health</w:t>
            </w:r>
          </w:p>
        </w:tc>
        <w:tc>
          <w:tcPr>
            <w:tcW w:w="1221" w:type="dxa"/>
            <w:tcBorders>
              <w:top w:val="nil"/>
              <w:left w:val="nil"/>
              <w:bottom w:val="single" w:sz="4" w:space="0" w:color="auto"/>
              <w:right w:val="single" w:sz="4" w:space="0" w:color="auto"/>
            </w:tcBorders>
            <w:shd w:val="clear" w:color="auto" w:fill="auto"/>
            <w:vAlign w:val="bottom"/>
            <w:hideMark/>
          </w:tcPr>
          <w:p w14:paraId="038FC025" w14:textId="77777777" w:rsidR="00C43F97" w:rsidRPr="00A028CE" w:rsidRDefault="00C43F97" w:rsidP="001D11C5">
            <w:pPr>
              <w:spacing w:after="0" w:line="240" w:lineRule="auto"/>
              <w:jc w:val="right"/>
              <w:rPr>
                <w:rFonts w:ascii="Calibri" w:eastAsia="Times New Roman" w:hAnsi="Calibri" w:cs="Calibri"/>
                <w:sz w:val="20"/>
                <w:szCs w:val="20"/>
                <w:lang w:eastAsia="en-AU"/>
              </w:rPr>
            </w:pPr>
            <w:r w:rsidRPr="00A028CE">
              <w:rPr>
                <w:rFonts w:ascii="Calibri" w:eastAsia="Times New Roman" w:hAnsi="Calibri" w:cs="Calibri"/>
                <w:sz w:val="20"/>
                <w:szCs w:val="20"/>
                <w:lang w:eastAsia="en-AU"/>
              </w:rPr>
              <w:t xml:space="preserve">         82,999 </w:t>
            </w:r>
          </w:p>
        </w:tc>
        <w:tc>
          <w:tcPr>
            <w:tcW w:w="1134" w:type="dxa"/>
            <w:tcBorders>
              <w:top w:val="nil"/>
              <w:left w:val="nil"/>
              <w:bottom w:val="single" w:sz="4" w:space="0" w:color="auto"/>
              <w:right w:val="single" w:sz="4" w:space="0" w:color="auto"/>
            </w:tcBorders>
            <w:shd w:val="clear" w:color="auto" w:fill="auto"/>
            <w:noWrap/>
            <w:vAlign w:val="bottom"/>
            <w:hideMark/>
          </w:tcPr>
          <w:p w14:paraId="3CCAEF08" w14:textId="77777777" w:rsidR="00C43F97" w:rsidRPr="00A028CE" w:rsidRDefault="00C43F97" w:rsidP="001D11C5">
            <w:pPr>
              <w:spacing w:after="0" w:line="240" w:lineRule="auto"/>
              <w:jc w:val="right"/>
              <w:rPr>
                <w:rFonts w:ascii="Calibri" w:eastAsia="Times New Roman" w:hAnsi="Calibri" w:cs="Calibri"/>
                <w:color w:val="000000"/>
                <w:sz w:val="20"/>
                <w:szCs w:val="20"/>
                <w:lang w:eastAsia="en-AU"/>
              </w:rPr>
            </w:pPr>
            <w:r w:rsidRPr="00A028CE">
              <w:rPr>
                <w:rFonts w:ascii="Calibri" w:eastAsia="Times New Roman" w:hAnsi="Calibri" w:cs="Calibri"/>
                <w:color w:val="000000"/>
                <w:sz w:val="20"/>
                <w:szCs w:val="20"/>
                <w:lang w:eastAsia="en-AU"/>
              </w:rPr>
              <w:t>96,169</w:t>
            </w:r>
          </w:p>
        </w:tc>
        <w:tc>
          <w:tcPr>
            <w:tcW w:w="1134" w:type="dxa"/>
            <w:tcBorders>
              <w:top w:val="nil"/>
              <w:left w:val="nil"/>
              <w:bottom w:val="single" w:sz="4" w:space="0" w:color="auto"/>
              <w:right w:val="single" w:sz="4" w:space="0" w:color="auto"/>
            </w:tcBorders>
            <w:shd w:val="clear" w:color="auto" w:fill="auto"/>
            <w:noWrap/>
            <w:vAlign w:val="bottom"/>
            <w:hideMark/>
          </w:tcPr>
          <w:p w14:paraId="5040EA76" w14:textId="77777777" w:rsidR="00C43F97" w:rsidRPr="00A028CE" w:rsidRDefault="00C43F97" w:rsidP="001D11C5">
            <w:pPr>
              <w:spacing w:after="0" w:line="240" w:lineRule="auto"/>
              <w:jc w:val="right"/>
              <w:rPr>
                <w:rFonts w:ascii="Calibri" w:eastAsia="Times New Roman" w:hAnsi="Calibri" w:cs="Calibri"/>
                <w:color w:val="000000"/>
                <w:sz w:val="20"/>
                <w:szCs w:val="20"/>
                <w:lang w:eastAsia="en-AU"/>
              </w:rPr>
            </w:pPr>
            <w:r w:rsidRPr="00A028CE">
              <w:rPr>
                <w:rFonts w:ascii="Calibri" w:eastAsia="Times New Roman" w:hAnsi="Calibri" w:cs="Calibri"/>
                <w:color w:val="000000"/>
                <w:sz w:val="20"/>
                <w:szCs w:val="20"/>
                <w:lang w:eastAsia="en-AU"/>
              </w:rPr>
              <w:t>87,577</w:t>
            </w:r>
          </w:p>
        </w:tc>
        <w:tc>
          <w:tcPr>
            <w:tcW w:w="1190" w:type="dxa"/>
            <w:tcBorders>
              <w:top w:val="nil"/>
              <w:left w:val="nil"/>
              <w:bottom w:val="single" w:sz="4" w:space="0" w:color="auto"/>
              <w:right w:val="single" w:sz="4" w:space="0" w:color="auto"/>
            </w:tcBorders>
            <w:shd w:val="clear" w:color="auto" w:fill="auto"/>
            <w:noWrap/>
            <w:vAlign w:val="bottom"/>
            <w:hideMark/>
          </w:tcPr>
          <w:p w14:paraId="656F8190" w14:textId="77777777" w:rsidR="00C43F97" w:rsidRPr="00A028CE" w:rsidRDefault="00C43F97" w:rsidP="001D11C5">
            <w:pPr>
              <w:spacing w:after="0" w:line="240" w:lineRule="auto"/>
              <w:jc w:val="right"/>
              <w:rPr>
                <w:rFonts w:ascii="Calibri" w:eastAsia="Times New Roman" w:hAnsi="Calibri" w:cs="Calibri"/>
                <w:color w:val="000000"/>
                <w:sz w:val="20"/>
                <w:szCs w:val="20"/>
                <w:lang w:eastAsia="en-AU"/>
              </w:rPr>
            </w:pPr>
            <w:r w:rsidRPr="00A028CE">
              <w:rPr>
                <w:rFonts w:ascii="Calibri" w:eastAsia="Times New Roman" w:hAnsi="Calibri" w:cs="Calibri"/>
                <w:color w:val="000000"/>
                <w:sz w:val="20"/>
                <w:szCs w:val="20"/>
                <w:lang w:eastAsia="en-AU"/>
              </w:rPr>
              <w:t>-8.9%</w:t>
            </w:r>
          </w:p>
        </w:tc>
      </w:tr>
      <w:tr w:rsidR="00C43F97" w:rsidRPr="00A028CE" w14:paraId="1E702F09" w14:textId="5DF33F5D" w:rsidTr="00C43F97">
        <w:trPr>
          <w:trHeight w:val="361"/>
        </w:trPr>
        <w:tc>
          <w:tcPr>
            <w:tcW w:w="4019" w:type="dxa"/>
            <w:tcBorders>
              <w:top w:val="nil"/>
              <w:left w:val="single" w:sz="4" w:space="0" w:color="auto"/>
              <w:bottom w:val="single" w:sz="4" w:space="0" w:color="auto"/>
              <w:right w:val="single" w:sz="4" w:space="0" w:color="auto"/>
            </w:tcBorders>
            <w:shd w:val="clear" w:color="auto" w:fill="auto"/>
            <w:hideMark/>
          </w:tcPr>
          <w:p w14:paraId="4C4C9F53" w14:textId="34A94C88" w:rsidR="00C43F97" w:rsidRPr="00A028CE" w:rsidRDefault="00C43F97" w:rsidP="001D11C5">
            <w:pPr>
              <w:spacing w:after="0" w:line="240" w:lineRule="auto"/>
              <w:rPr>
                <w:rFonts w:ascii="Calibri" w:eastAsia="Times New Roman" w:hAnsi="Calibri" w:cs="Calibri"/>
                <w:b/>
                <w:bCs/>
                <w:i/>
                <w:iCs/>
                <w:sz w:val="20"/>
                <w:szCs w:val="20"/>
                <w:lang w:eastAsia="en-AU"/>
              </w:rPr>
            </w:pPr>
            <w:r>
              <w:rPr>
                <w:rFonts w:ascii="Calibri" w:eastAsia="Times New Roman" w:hAnsi="Calibri" w:cs="Calibri"/>
                <w:b/>
                <w:bCs/>
                <w:i/>
                <w:iCs/>
                <w:sz w:val="20"/>
                <w:szCs w:val="20"/>
                <w:lang w:eastAsia="en-AU"/>
              </w:rPr>
              <w:t xml:space="preserve">     </w:t>
            </w:r>
            <w:r w:rsidRPr="00A028CE">
              <w:rPr>
                <w:rFonts w:ascii="Calibri" w:eastAsia="Times New Roman" w:hAnsi="Calibri" w:cs="Calibri"/>
                <w:b/>
                <w:bCs/>
                <w:i/>
                <w:iCs/>
                <w:sz w:val="20"/>
                <w:szCs w:val="20"/>
                <w:lang w:eastAsia="en-AU"/>
              </w:rPr>
              <w:t>Nursing</w:t>
            </w:r>
          </w:p>
        </w:tc>
        <w:tc>
          <w:tcPr>
            <w:tcW w:w="1221" w:type="dxa"/>
            <w:tcBorders>
              <w:top w:val="nil"/>
              <w:left w:val="nil"/>
              <w:bottom w:val="single" w:sz="4" w:space="0" w:color="auto"/>
              <w:right w:val="single" w:sz="4" w:space="0" w:color="auto"/>
            </w:tcBorders>
            <w:shd w:val="clear" w:color="auto" w:fill="auto"/>
            <w:vAlign w:val="bottom"/>
            <w:hideMark/>
          </w:tcPr>
          <w:p w14:paraId="32892067" w14:textId="79D7A5B0" w:rsidR="00C43F97" w:rsidRPr="00A028CE" w:rsidRDefault="00C43F97" w:rsidP="001D11C5">
            <w:pPr>
              <w:spacing w:after="0" w:line="240" w:lineRule="auto"/>
              <w:jc w:val="right"/>
              <w:rPr>
                <w:rFonts w:ascii="Calibri" w:eastAsia="Times New Roman" w:hAnsi="Calibri" w:cs="Calibri"/>
                <w:i/>
                <w:iCs/>
                <w:sz w:val="20"/>
                <w:szCs w:val="20"/>
                <w:lang w:eastAsia="en-AU"/>
              </w:rPr>
            </w:pPr>
            <w:r w:rsidRPr="00A028CE">
              <w:rPr>
                <w:rFonts w:ascii="Calibri" w:eastAsia="Times New Roman" w:hAnsi="Calibri" w:cs="Calibri"/>
                <w:i/>
                <w:iCs/>
                <w:sz w:val="20"/>
                <w:szCs w:val="20"/>
                <w:lang w:eastAsia="en-AU"/>
              </w:rPr>
              <w:t xml:space="preserve">21,887 </w:t>
            </w:r>
          </w:p>
        </w:tc>
        <w:tc>
          <w:tcPr>
            <w:tcW w:w="1134" w:type="dxa"/>
            <w:tcBorders>
              <w:top w:val="nil"/>
              <w:left w:val="nil"/>
              <w:bottom w:val="single" w:sz="4" w:space="0" w:color="auto"/>
              <w:right w:val="single" w:sz="4" w:space="0" w:color="auto"/>
            </w:tcBorders>
            <w:shd w:val="clear" w:color="auto" w:fill="auto"/>
            <w:vAlign w:val="bottom"/>
            <w:hideMark/>
          </w:tcPr>
          <w:p w14:paraId="51ACD374" w14:textId="68994C9D" w:rsidR="00C43F97" w:rsidRPr="00A028CE" w:rsidRDefault="00C43F97" w:rsidP="001D11C5">
            <w:pPr>
              <w:spacing w:after="0" w:line="240" w:lineRule="auto"/>
              <w:jc w:val="right"/>
              <w:rPr>
                <w:rFonts w:ascii="Calibri" w:eastAsia="Times New Roman" w:hAnsi="Calibri" w:cs="Calibri"/>
                <w:i/>
                <w:iCs/>
                <w:sz w:val="20"/>
                <w:szCs w:val="20"/>
                <w:lang w:eastAsia="en-AU"/>
              </w:rPr>
            </w:pPr>
            <w:r w:rsidRPr="00A028CE">
              <w:rPr>
                <w:rFonts w:ascii="Calibri" w:eastAsia="Times New Roman" w:hAnsi="Calibri" w:cs="Calibri"/>
                <w:i/>
                <w:iCs/>
                <w:sz w:val="20"/>
                <w:szCs w:val="20"/>
                <w:lang w:eastAsia="en-AU"/>
              </w:rPr>
              <w:t xml:space="preserve">     21,850 </w:t>
            </w:r>
          </w:p>
        </w:tc>
        <w:tc>
          <w:tcPr>
            <w:tcW w:w="1134" w:type="dxa"/>
            <w:tcBorders>
              <w:top w:val="nil"/>
              <w:left w:val="nil"/>
              <w:bottom w:val="single" w:sz="4" w:space="0" w:color="auto"/>
              <w:right w:val="single" w:sz="4" w:space="0" w:color="auto"/>
            </w:tcBorders>
            <w:shd w:val="clear" w:color="auto" w:fill="auto"/>
            <w:vAlign w:val="bottom"/>
            <w:hideMark/>
          </w:tcPr>
          <w:p w14:paraId="6E38E048" w14:textId="6FBA0763" w:rsidR="00C43F97" w:rsidRPr="00A028CE" w:rsidRDefault="00C43F97" w:rsidP="001D11C5">
            <w:pPr>
              <w:spacing w:after="0" w:line="240" w:lineRule="auto"/>
              <w:jc w:val="right"/>
              <w:rPr>
                <w:rFonts w:ascii="Calibri" w:eastAsia="Times New Roman" w:hAnsi="Calibri" w:cs="Calibri"/>
                <w:i/>
                <w:iCs/>
                <w:sz w:val="20"/>
                <w:szCs w:val="20"/>
                <w:lang w:eastAsia="en-AU"/>
              </w:rPr>
            </w:pPr>
            <w:r w:rsidRPr="00A028CE">
              <w:rPr>
                <w:rFonts w:ascii="Calibri" w:eastAsia="Times New Roman" w:hAnsi="Calibri" w:cs="Calibri"/>
                <w:i/>
                <w:iCs/>
                <w:sz w:val="20"/>
                <w:szCs w:val="20"/>
                <w:lang w:eastAsia="en-AU"/>
              </w:rPr>
              <w:t xml:space="preserve"> 19,611</w:t>
            </w:r>
          </w:p>
        </w:tc>
        <w:tc>
          <w:tcPr>
            <w:tcW w:w="1190" w:type="dxa"/>
            <w:tcBorders>
              <w:top w:val="nil"/>
              <w:left w:val="nil"/>
              <w:bottom w:val="single" w:sz="4" w:space="0" w:color="auto"/>
              <w:right w:val="single" w:sz="4" w:space="0" w:color="auto"/>
            </w:tcBorders>
            <w:shd w:val="clear" w:color="auto" w:fill="auto"/>
            <w:vAlign w:val="bottom"/>
            <w:hideMark/>
          </w:tcPr>
          <w:p w14:paraId="17010D84" w14:textId="77777777" w:rsidR="00C43F97" w:rsidRPr="00A028CE" w:rsidRDefault="00C43F97" w:rsidP="001D11C5">
            <w:pPr>
              <w:spacing w:after="0" w:line="240" w:lineRule="auto"/>
              <w:jc w:val="right"/>
              <w:rPr>
                <w:rFonts w:ascii="Calibri" w:eastAsia="Times New Roman" w:hAnsi="Calibri" w:cs="Calibri"/>
                <w:i/>
                <w:iCs/>
                <w:sz w:val="20"/>
                <w:szCs w:val="20"/>
                <w:lang w:eastAsia="en-AU"/>
              </w:rPr>
            </w:pPr>
            <w:r w:rsidRPr="00A028CE">
              <w:rPr>
                <w:rFonts w:ascii="Calibri" w:eastAsia="Times New Roman" w:hAnsi="Calibri" w:cs="Calibri"/>
                <w:i/>
                <w:iCs/>
                <w:sz w:val="20"/>
                <w:szCs w:val="20"/>
                <w:lang w:eastAsia="en-AU"/>
              </w:rPr>
              <w:t>-10.2%</w:t>
            </w:r>
          </w:p>
        </w:tc>
      </w:tr>
      <w:tr w:rsidR="00C43F97" w:rsidRPr="00A028CE" w14:paraId="16B17BDF" w14:textId="10C40C34" w:rsidTr="00C43F97">
        <w:trPr>
          <w:trHeight w:val="315"/>
        </w:trPr>
        <w:tc>
          <w:tcPr>
            <w:tcW w:w="4019" w:type="dxa"/>
            <w:tcBorders>
              <w:top w:val="nil"/>
              <w:left w:val="single" w:sz="4" w:space="0" w:color="auto"/>
              <w:bottom w:val="single" w:sz="4" w:space="0" w:color="auto"/>
              <w:right w:val="single" w:sz="4" w:space="0" w:color="auto"/>
            </w:tcBorders>
            <w:shd w:val="clear" w:color="auto" w:fill="auto"/>
            <w:hideMark/>
          </w:tcPr>
          <w:p w14:paraId="50C93AF2" w14:textId="77777777" w:rsidR="00C43F97" w:rsidRPr="00A028CE" w:rsidRDefault="00C43F97" w:rsidP="001D11C5">
            <w:pPr>
              <w:spacing w:after="0" w:line="240" w:lineRule="auto"/>
              <w:rPr>
                <w:rFonts w:ascii="Calibri" w:eastAsia="Times New Roman" w:hAnsi="Calibri" w:cs="Calibri"/>
                <w:b/>
                <w:bCs/>
                <w:sz w:val="20"/>
                <w:szCs w:val="20"/>
                <w:lang w:eastAsia="en-AU"/>
              </w:rPr>
            </w:pPr>
            <w:r w:rsidRPr="00A028CE">
              <w:rPr>
                <w:rFonts w:ascii="Calibri" w:eastAsia="Times New Roman" w:hAnsi="Calibri" w:cs="Calibri"/>
                <w:b/>
                <w:bCs/>
                <w:sz w:val="20"/>
                <w:szCs w:val="20"/>
                <w:lang w:eastAsia="en-AU"/>
              </w:rPr>
              <w:t>Education</w:t>
            </w:r>
          </w:p>
        </w:tc>
        <w:tc>
          <w:tcPr>
            <w:tcW w:w="1221" w:type="dxa"/>
            <w:tcBorders>
              <w:top w:val="nil"/>
              <w:left w:val="nil"/>
              <w:bottom w:val="single" w:sz="4" w:space="0" w:color="auto"/>
              <w:right w:val="single" w:sz="4" w:space="0" w:color="auto"/>
            </w:tcBorders>
            <w:shd w:val="clear" w:color="auto" w:fill="auto"/>
            <w:vAlign w:val="bottom"/>
            <w:hideMark/>
          </w:tcPr>
          <w:p w14:paraId="52E7251D" w14:textId="77777777" w:rsidR="00C43F97" w:rsidRPr="00A028CE" w:rsidRDefault="00C43F97" w:rsidP="001D11C5">
            <w:pPr>
              <w:spacing w:after="0" w:line="240" w:lineRule="auto"/>
              <w:jc w:val="right"/>
              <w:rPr>
                <w:rFonts w:ascii="Calibri" w:eastAsia="Times New Roman" w:hAnsi="Calibri" w:cs="Calibri"/>
                <w:sz w:val="20"/>
                <w:szCs w:val="20"/>
                <w:lang w:eastAsia="en-AU"/>
              </w:rPr>
            </w:pPr>
            <w:r w:rsidRPr="00A028CE">
              <w:rPr>
                <w:rFonts w:ascii="Calibri" w:eastAsia="Times New Roman" w:hAnsi="Calibri" w:cs="Calibri"/>
                <w:sz w:val="20"/>
                <w:szCs w:val="20"/>
                <w:lang w:eastAsia="en-AU"/>
              </w:rPr>
              <w:t xml:space="preserve">         41,864 </w:t>
            </w:r>
          </w:p>
        </w:tc>
        <w:tc>
          <w:tcPr>
            <w:tcW w:w="1134" w:type="dxa"/>
            <w:tcBorders>
              <w:top w:val="nil"/>
              <w:left w:val="nil"/>
              <w:bottom w:val="single" w:sz="4" w:space="0" w:color="auto"/>
              <w:right w:val="single" w:sz="4" w:space="0" w:color="auto"/>
            </w:tcBorders>
            <w:shd w:val="clear" w:color="auto" w:fill="auto"/>
            <w:noWrap/>
            <w:vAlign w:val="bottom"/>
            <w:hideMark/>
          </w:tcPr>
          <w:p w14:paraId="0887A327" w14:textId="77777777" w:rsidR="00C43F97" w:rsidRPr="00A028CE" w:rsidRDefault="00C43F97" w:rsidP="001D11C5">
            <w:pPr>
              <w:spacing w:after="0" w:line="240" w:lineRule="auto"/>
              <w:jc w:val="right"/>
              <w:rPr>
                <w:rFonts w:ascii="Calibri" w:eastAsia="Times New Roman" w:hAnsi="Calibri" w:cs="Calibri"/>
                <w:color w:val="000000"/>
                <w:sz w:val="20"/>
                <w:szCs w:val="20"/>
                <w:lang w:eastAsia="en-AU"/>
              </w:rPr>
            </w:pPr>
            <w:r w:rsidRPr="00A028CE">
              <w:rPr>
                <w:rFonts w:ascii="Calibri" w:eastAsia="Times New Roman" w:hAnsi="Calibri" w:cs="Calibri"/>
                <w:color w:val="000000"/>
                <w:sz w:val="20"/>
                <w:szCs w:val="20"/>
                <w:lang w:eastAsia="en-AU"/>
              </w:rPr>
              <w:t>51,561</w:t>
            </w:r>
          </w:p>
        </w:tc>
        <w:tc>
          <w:tcPr>
            <w:tcW w:w="1134" w:type="dxa"/>
            <w:tcBorders>
              <w:top w:val="nil"/>
              <w:left w:val="nil"/>
              <w:bottom w:val="single" w:sz="4" w:space="0" w:color="auto"/>
              <w:right w:val="single" w:sz="4" w:space="0" w:color="auto"/>
            </w:tcBorders>
            <w:shd w:val="clear" w:color="auto" w:fill="auto"/>
            <w:noWrap/>
            <w:vAlign w:val="bottom"/>
            <w:hideMark/>
          </w:tcPr>
          <w:p w14:paraId="568ACBEF" w14:textId="77777777" w:rsidR="00C43F97" w:rsidRPr="00A028CE" w:rsidRDefault="00C43F97" w:rsidP="001D11C5">
            <w:pPr>
              <w:spacing w:after="0" w:line="240" w:lineRule="auto"/>
              <w:jc w:val="right"/>
              <w:rPr>
                <w:rFonts w:ascii="Calibri" w:eastAsia="Times New Roman" w:hAnsi="Calibri" w:cs="Calibri"/>
                <w:color w:val="000000"/>
                <w:sz w:val="20"/>
                <w:szCs w:val="20"/>
                <w:lang w:eastAsia="en-AU"/>
              </w:rPr>
            </w:pPr>
            <w:r w:rsidRPr="00A028CE">
              <w:rPr>
                <w:rFonts w:ascii="Calibri" w:eastAsia="Times New Roman" w:hAnsi="Calibri" w:cs="Calibri"/>
                <w:color w:val="000000"/>
                <w:sz w:val="20"/>
                <w:szCs w:val="20"/>
                <w:lang w:eastAsia="en-AU"/>
              </w:rPr>
              <w:t>44,250</w:t>
            </w:r>
          </w:p>
        </w:tc>
        <w:tc>
          <w:tcPr>
            <w:tcW w:w="1190" w:type="dxa"/>
            <w:tcBorders>
              <w:top w:val="nil"/>
              <w:left w:val="nil"/>
              <w:bottom w:val="single" w:sz="4" w:space="0" w:color="auto"/>
              <w:right w:val="single" w:sz="4" w:space="0" w:color="auto"/>
            </w:tcBorders>
            <w:shd w:val="clear" w:color="auto" w:fill="auto"/>
            <w:noWrap/>
            <w:vAlign w:val="bottom"/>
            <w:hideMark/>
          </w:tcPr>
          <w:p w14:paraId="25BE7594" w14:textId="77777777" w:rsidR="00C43F97" w:rsidRPr="00A028CE" w:rsidRDefault="00C43F97" w:rsidP="001D11C5">
            <w:pPr>
              <w:spacing w:after="0" w:line="240" w:lineRule="auto"/>
              <w:jc w:val="right"/>
              <w:rPr>
                <w:rFonts w:ascii="Calibri" w:eastAsia="Times New Roman" w:hAnsi="Calibri" w:cs="Calibri"/>
                <w:color w:val="000000"/>
                <w:sz w:val="20"/>
                <w:szCs w:val="20"/>
                <w:lang w:eastAsia="en-AU"/>
              </w:rPr>
            </w:pPr>
            <w:r w:rsidRPr="00A028CE">
              <w:rPr>
                <w:rFonts w:ascii="Calibri" w:eastAsia="Times New Roman" w:hAnsi="Calibri" w:cs="Calibri"/>
                <w:color w:val="000000"/>
                <w:sz w:val="20"/>
                <w:szCs w:val="20"/>
                <w:lang w:eastAsia="en-AU"/>
              </w:rPr>
              <w:t>-14.2%</w:t>
            </w:r>
          </w:p>
        </w:tc>
      </w:tr>
      <w:tr w:rsidR="00C43F97" w:rsidRPr="00A028CE" w14:paraId="3F7388E8" w14:textId="0C6E87C6" w:rsidTr="00C43F97">
        <w:trPr>
          <w:trHeight w:val="315"/>
        </w:trPr>
        <w:tc>
          <w:tcPr>
            <w:tcW w:w="4019" w:type="dxa"/>
            <w:tcBorders>
              <w:top w:val="nil"/>
              <w:left w:val="single" w:sz="4" w:space="0" w:color="auto"/>
              <w:bottom w:val="single" w:sz="4" w:space="0" w:color="auto"/>
              <w:right w:val="single" w:sz="4" w:space="0" w:color="auto"/>
            </w:tcBorders>
            <w:shd w:val="clear" w:color="auto" w:fill="auto"/>
            <w:hideMark/>
          </w:tcPr>
          <w:p w14:paraId="31E9C9F8" w14:textId="42449945" w:rsidR="00C43F97" w:rsidRPr="00A028CE" w:rsidRDefault="00C43F97" w:rsidP="001D11C5">
            <w:pPr>
              <w:spacing w:after="0" w:line="240" w:lineRule="auto"/>
              <w:rPr>
                <w:rFonts w:ascii="Calibri" w:eastAsia="Times New Roman" w:hAnsi="Calibri" w:cs="Calibri"/>
                <w:b/>
                <w:bCs/>
                <w:i/>
                <w:iCs/>
                <w:sz w:val="20"/>
                <w:szCs w:val="20"/>
                <w:lang w:eastAsia="en-AU"/>
              </w:rPr>
            </w:pPr>
            <w:r>
              <w:rPr>
                <w:rFonts w:ascii="Calibri" w:eastAsia="Times New Roman" w:hAnsi="Calibri" w:cs="Calibri"/>
                <w:b/>
                <w:bCs/>
                <w:i/>
                <w:iCs/>
                <w:sz w:val="20"/>
                <w:szCs w:val="20"/>
                <w:lang w:eastAsia="en-AU"/>
              </w:rPr>
              <w:t xml:space="preserve">    </w:t>
            </w:r>
            <w:r w:rsidRPr="00A028CE">
              <w:rPr>
                <w:rFonts w:ascii="Calibri" w:eastAsia="Times New Roman" w:hAnsi="Calibri" w:cs="Calibri"/>
                <w:b/>
                <w:bCs/>
                <w:i/>
                <w:iCs/>
                <w:sz w:val="20"/>
                <w:szCs w:val="20"/>
                <w:lang w:eastAsia="en-AU"/>
              </w:rPr>
              <w:t>Initial Teacher Education</w:t>
            </w:r>
          </w:p>
        </w:tc>
        <w:tc>
          <w:tcPr>
            <w:tcW w:w="1221" w:type="dxa"/>
            <w:tcBorders>
              <w:top w:val="nil"/>
              <w:left w:val="nil"/>
              <w:bottom w:val="single" w:sz="4" w:space="0" w:color="auto"/>
              <w:right w:val="single" w:sz="4" w:space="0" w:color="auto"/>
            </w:tcBorders>
            <w:shd w:val="clear" w:color="auto" w:fill="auto"/>
            <w:vAlign w:val="bottom"/>
            <w:hideMark/>
          </w:tcPr>
          <w:p w14:paraId="70F5EC28" w14:textId="77777777" w:rsidR="00C43F97" w:rsidRPr="00A028CE" w:rsidRDefault="00C43F97" w:rsidP="001D11C5">
            <w:pPr>
              <w:spacing w:after="0" w:line="240" w:lineRule="auto"/>
              <w:jc w:val="right"/>
              <w:rPr>
                <w:rFonts w:ascii="Calibri" w:eastAsia="Times New Roman" w:hAnsi="Calibri" w:cs="Calibri"/>
                <w:i/>
                <w:iCs/>
                <w:sz w:val="20"/>
                <w:szCs w:val="20"/>
                <w:lang w:eastAsia="en-AU"/>
              </w:rPr>
            </w:pPr>
            <w:r w:rsidRPr="00A028CE">
              <w:rPr>
                <w:rFonts w:ascii="Calibri" w:eastAsia="Times New Roman" w:hAnsi="Calibri" w:cs="Calibri"/>
                <w:i/>
                <w:iCs/>
                <w:sz w:val="20"/>
                <w:szCs w:val="20"/>
                <w:lang w:eastAsia="en-AU"/>
              </w:rPr>
              <w:t xml:space="preserve">        25,799 </w:t>
            </w:r>
          </w:p>
        </w:tc>
        <w:tc>
          <w:tcPr>
            <w:tcW w:w="1134" w:type="dxa"/>
            <w:tcBorders>
              <w:top w:val="nil"/>
              <w:left w:val="nil"/>
              <w:bottom w:val="single" w:sz="4" w:space="0" w:color="auto"/>
              <w:right w:val="single" w:sz="4" w:space="0" w:color="auto"/>
            </w:tcBorders>
            <w:shd w:val="clear" w:color="auto" w:fill="auto"/>
            <w:noWrap/>
            <w:vAlign w:val="bottom"/>
            <w:hideMark/>
          </w:tcPr>
          <w:p w14:paraId="2571BC29" w14:textId="77777777" w:rsidR="00C43F97" w:rsidRPr="00A028CE" w:rsidRDefault="00C43F97" w:rsidP="001D11C5">
            <w:pPr>
              <w:spacing w:after="0" w:line="240" w:lineRule="auto"/>
              <w:jc w:val="right"/>
              <w:rPr>
                <w:rFonts w:ascii="Calibri" w:eastAsia="Times New Roman" w:hAnsi="Calibri" w:cs="Calibri"/>
                <w:i/>
                <w:iCs/>
                <w:color w:val="000000"/>
                <w:sz w:val="20"/>
                <w:szCs w:val="20"/>
                <w:lang w:eastAsia="en-AU"/>
              </w:rPr>
            </w:pPr>
            <w:r w:rsidRPr="00A028CE">
              <w:rPr>
                <w:rFonts w:ascii="Calibri" w:eastAsia="Times New Roman" w:hAnsi="Calibri" w:cs="Calibri"/>
                <w:i/>
                <w:iCs/>
                <w:color w:val="000000"/>
                <w:sz w:val="20"/>
                <w:szCs w:val="20"/>
                <w:lang w:eastAsia="en-AU"/>
              </w:rPr>
              <w:t>29,797</w:t>
            </w:r>
          </w:p>
        </w:tc>
        <w:tc>
          <w:tcPr>
            <w:tcW w:w="1134" w:type="dxa"/>
            <w:tcBorders>
              <w:top w:val="nil"/>
              <w:left w:val="nil"/>
              <w:bottom w:val="single" w:sz="4" w:space="0" w:color="auto"/>
              <w:right w:val="single" w:sz="4" w:space="0" w:color="auto"/>
            </w:tcBorders>
            <w:shd w:val="clear" w:color="auto" w:fill="auto"/>
            <w:noWrap/>
            <w:vAlign w:val="bottom"/>
            <w:hideMark/>
          </w:tcPr>
          <w:p w14:paraId="174C2DAA" w14:textId="77777777" w:rsidR="00C43F97" w:rsidRPr="00A028CE" w:rsidRDefault="00C43F97" w:rsidP="001D11C5">
            <w:pPr>
              <w:spacing w:after="0" w:line="240" w:lineRule="auto"/>
              <w:jc w:val="right"/>
              <w:rPr>
                <w:rFonts w:ascii="Calibri" w:eastAsia="Times New Roman" w:hAnsi="Calibri" w:cs="Calibri"/>
                <w:i/>
                <w:iCs/>
                <w:color w:val="000000"/>
                <w:sz w:val="20"/>
                <w:szCs w:val="20"/>
                <w:lang w:eastAsia="en-AU"/>
              </w:rPr>
            </w:pPr>
            <w:r w:rsidRPr="00A028CE">
              <w:rPr>
                <w:rFonts w:ascii="Calibri" w:eastAsia="Times New Roman" w:hAnsi="Calibri" w:cs="Calibri"/>
                <w:i/>
                <w:iCs/>
                <w:color w:val="000000"/>
                <w:sz w:val="20"/>
                <w:szCs w:val="20"/>
                <w:lang w:eastAsia="en-AU"/>
              </w:rPr>
              <w:t>26,201</w:t>
            </w:r>
          </w:p>
        </w:tc>
        <w:tc>
          <w:tcPr>
            <w:tcW w:w="1190" w:type="dxa"/>
            <w:tcBorders>
              <w:top w:val="nil"/>
              <w:left w:val="nil"/>
              <w:bottom w:val="single" w:sz="4" w:space="0" w:color="auto"/>
              <w:right w:val="single" w:sz="4" w:space="0" w:color="auto"/>
            </w:tcBorders>
            <w:shd w:val="clear" w:color="auto" w:fill="auto"/>
            <w:noWrap/>
            <w:vAlign w:val="bottom"/>
            <w:hideMark/>
          </w:tcPr>
          <w:p w14:paraId="60809225" w14:textId="77777777" w:rsidR="00C43F97" w:rsidRPr="00A028CE" w:rsidRDefault="00C43F97" w:rsidP="001D11C5">
            <w:pPr>
              <w:spacing w:after="0" w:line="240" w:lineRule="auto"/>
              <w:jc w:val="right"/>
              <w:rPr>
                <w:rFonts w:ascii="Calibri" w:eastAsia="Times New Roman" w:hAnsi="Calibri" w:cs="Calibri"/>
                <w:color w:val="000000"/>
                <w:sz w:val="20"/>
                <w:szCs w:val="20"/>
                <w:lang w:eastAsia="en-AU"/>
              </w:rPr>
            </w:pPr>
            <w:r w:rsidRPr="00A028CE">
              <w:rPr>
                <w:rFonts w:ascii="Calibri" w:eastAsia="Times New Roman" w:hAnsi="Calibri" w:cs="Calibri"/>
                <w:color w:val="000000"/>
                <w:sz w:val="20"/>
                <w:szCs w:val="20"/>
                <w:lang w:eastAsia="en-AU"/>
              </w:rPr>
              <w:t>-12.1%</w:t>
            </w:r>
          </w:p>
        </w:tc>
      </w:tr>
      <w:tr w:rsidR="00C43F97" w:rsidRPr="00A028CE" w14:paraId="46A41B1A" w14:textId="736227E3" w:rsidTr="00C43F97">
        <w:trPr>
          <w:trHeight w:val="315"/>
        </w:trPr>
        <w:tc>
          <w:tcPr>
            <w:tcW w:w="4019" w:type="dxa"/>
            <w:tcBorders>
              <w:top w:val="nil"/>
              <w:left w:val="single" w:sz="4" w:space="0" w:color="auto"/>
              <w:bottom w:val="single" w:sz="4" w:space="0" w:color="auto"/>
              <w:right w:val="single" w:sz="4" w:space="0" w:color="auto"/>
            </w:tcBorders>
            <w:shd w:val="clear" w:color="auto" w:fill="auto"/>
            <w:hideMark/>
          </w:tcPr>
          <w:p w14:paraId="4E580299" w14:textId="3A9E569A" w:rsidR="00C43F97" w:rsidRPr="00A028CE" w:rsidRDefault="00C43F97" w:rsidP="001D11C5">
            <w:pPr>
              <w:spacing w:after="0" w:line="240" w:lineRule="auto"/>
              <w:rPr>
                <w:rFonts w:ascii="Calibri" w:eastAsia="Times New Roman" w:hAnsi="Calibri" w:cs="Calibri"/>
                <w:b/>
                <w:bCs/>
                <w:sz w:val="20"/>
                <w:szCs w:val="20"/>
                <w:lang w:eastAsia="en-AU"/>
              </w:rPr>
            </w:pPr>
            <w:r w:rsidRPr="00A028CE">
              <w:rPr>
                <w:rFonts w:ascii="Calibri" w:eastAsia="Times New Roman" w:hAnsi="Calibri" w:cs="Calibri"/>
                <w:b/>
                <w:bCs/>
                <w:sz w:val="20"/>
                <w:szCs w:val="20"/>
                <w:lang w:eastAsia="en-AU"/>
              </w:rPr>
              <w:t xml:space="preserve">Management </w:t>
            </w:r>
            <w:r>
              <w:rPr>
                <w:rFonts w:ascii="Calibri" w:eastAsia="Times New Roman" w:hAnsi="Calibri" w:cs="Calibri"/>
                <w:b/>
                <w:bCs/>
                <w:sz w:val="20"/>
                <w:szCs w:val="20"/>
                <w:lang w:eastAsia="en-AU"/>
              </w:rPr>
              <w:t>&amp;</w:t>
            </w:r>
            <w:r w:rsidRPr="00A028CE">
              <w:rPr>
                <w:rFonts w:ascii="Calibri" w:eastAsia="Times New Roman" w:hAnsi="Calibri" w:cs="Calibri"/>
                <w:b/>
                <w:bCs/>
                <w:sz w:val="20"/>
                <w:szCs w:val="20"/>
                <w:lang w:eastAsia="en-AU"/>
              </w:rPr>
              <w:t xml:space="preserve"> Commerce</w:t>
            </w:r>
          </w:p>
        </w:tc>
        <w:tc>
          <w:tcPr>
            <w:tcW w:w="1221" w:type="dxa"/>
            <w:tcBorders>
              <w:top w:val="nil"/>
              <w:left w:val="nil"/>
              <w:bottom w:val="single" w:sz="4" w:space="0" w:color="auto"/>
              <w:right w:val="single" w:sz="4" w:space="0" w:color="auto"/>
            </w:tcBorders>
            <w:shd w:val="clear" w:color="auto" w:fill="auto"/>
            <w:vAlign w:val="bottom"/>
            <w:hideMark/>
          </w:tcPr>
          <w:p w14:paraId="21688B04" w14:textId="77777777" w:rsidR="00C43F97" w:rsidRPr="00A028CE" w:rsidRDefault="00C43F97" w:rsidP="001D11C5">
            <w:pPr>
              <w:spacing w:after="0" w:line="240" w:lineRule="auto"/>
              <w:jc w:val="right"/>
              <w:rPr>
                <w:rFonts w:ascii="Calibri" w:eastAsia="Times New Roman" w:hAnsi="Calibri" w:cs="Calibri"/>
                <w:sz w:val="20"/>
                <w:szCs w:val="20"/>
                <w:lang w:eastAsia="en-AU"/>
              </w:rPr>
            </w:pPr>
            <w:r w:rsidRPr="00A028CE">
              <w:rPr>
                <w:rFonts w:ascii="Calibri" w:eastAsia="Times New Roman" w:hAnsi="Calibri" w:cs="Calibri"/>
                <w:sz w:val="20"/>
                <w:szCs w:val="20"/>
                <w:lang w:eastAsia="en-AU"/>
              </w:rPr>
              <w:t xml:space="preserve">         63,977 </w:t>
            </w:r>
          </w:p>
        </w:tc>
        <w:tc>
          <w:tcPr>
            <w:tcW w:w="1134" w:type="dxa"/>
            <w:tcBorders>
              <w:top w:val="nil"/>
              <w:left w:val="nil"/>
              <w:bottom w:val="single" w:sz="4" w:space="0" w:color="auto"/>
              <w:right w:val="single" w:sz="4" w:space="0" w:color="auto"/>
            </w:tcBorders>
            <w:shd w:val="clear" w:color="auto" w:fill="auto"/>
            <w:noWrap/>
            <w:vAlign w:val="bottom"/>
            <w:hideMark/>
          </w:tcPr>
          <w:p w14:paraId="42A9CD5A" w14:textId="77777777" w:rsidR="00C43F97" w:rsidRPr="00A028CE" w:rsidRDefault="00C43F97" w:rsidP="001D11C5">
            <w:pPr>
              <w:spacing w:after="0" w:line="240" w:lineRule="auto"/>
              <w:jc w:val="right"/>
              <w:rPr>
                <w:rFonts w:ascii="Calibri" w:eastAsia="Times New Roman" w:hAnsi="Calibri" w:cs="Calibri"/>
                <w:color w:val="000000"/>
                <w:sz w:val="20"/>
                <w:szCs w:val="20"/>
                <w:lang w:eastAsia="en-AU"/>
              </w:rPr>
            </w:pPr>
            <w:r w:rsidRPr="00A028CE">
              <w:rPr>
                <w:rFonts w:ascii="Calibri" w:eastAsia="Times New Roman" w:hAnsi="Calibri" w:cs="Calibri"/>
                <w:color w:val="000000"/>
                <w:sz w:val="20"/>
                <w:szCs w:val="20"/>
                <w:lang w:eastAsia="en-AU"/>
              </w:rPr>
              <w:t>60,744</w:t>
            </w:r>
          </w:p>
        </w:tc>
        <w:tc>
          <w:tcPr>
            <w:tcW w:w="1134" w:type="dxa"/>
            <w:tcBorders>
              <w:top w:val="nil"/>
              <w:left w:val="nil"/>
              <w:bottom w:val="single" w:sz="4" w:space="0" w:color="auto"/>
              <w:right w:val="single" w:sz="4" w:space="0" w:color="auto"/>
            </w:tcBorders>
            <w:shd w:val="clear" w:color="auto" w:fill="auto"/>
            <w:noWrap/>
            <w:vAlign w:val="bottom"/>
            <w:hideMark/>
          </w:tcPr>
          <w:p w14:paraId="0737D8AE" w14:textId="77777777" w:rsidR="00C43F97" w:rsidRPr="00A028CE" w:rsidRDefault="00C43F97" w:rsidP="001D11C5">
            <w:pPr>
              <w:spacing w:after="0" w:line="240" w:lineRule="auto"/>
              <w:jc w:val="right"/>
              <w:rPr>
                <w:rFonts w:ascii="Calibri" w:eastAsia="Times New Roman" w:hAnsi="Calibri" w:cs="Calibri"/>
                <w:color w:val="000000"/>
                <w:sz w:val="20"/>
                <w:szCs w:val="20"/>
                <w:lang w:eastAsia="en-AU"/>
              </w:rPr>
            </w:pPr>
            <w:r w:rsidRPr="00A028CE">
              <w:rPr>
                <w:rFonts w:ascii="Calibri" w:eastAsia="Times New Roman" w:hAnsi="Calibri" w:cs="Calibri"/>
                <w:color w:val="000000"/>
                <w:sz w:val="20"/>
                <w:szCs w:val="20"/>
                <w:lang w:eastAsia="en-AU"/>
              </w:rPr>
              <w:t>55,517</w:t>
            </w:r>
          </w:p>
        </w:tc>
        <w:tc>
          <w:tcPr>
            <w:tcW w:w="1190" w:type="dxa"/>
            <w:tcBorders>
              <w:top w:val="nil"/>
              <w:left w:val="nil"/>
              <w:bottom w:val="single" w:sz="4" w:space="0" w:color="auto"/>
              <w:right w:val="single" w:sz="4" w:space="0" w:color="auto"/>
            </w:tcBorders>
            <w:shd w:val="clear" w:color="auto" w:fill="auto"/>
            <w:noWrap/>
            <w:vAlign w:val="bottom"/>
            <w:hideMark/>
          </w:tcPr>
          <w:p w14:paraId="04803CAB" w14:textId="77777777" w:rsidR="00C43F97" w:rsidRPr="00A028CE" w:rsidRDefault="00C43F97" w:rsidP="001D11C5">
            <w:pPr>
              <w:spacing w:after="0" w:line="240" w:lineRule="auto"/>
              <w:jc w:val="right"/>
              <w:rPr>
                <w:rFonts w:ascii="Calibri" w:eastAsia="Times New Roman" w:hAnsi="Calibri" w:cs="Calibri"/>
                <w:color w:val="000000"/>
                <w:sz w:val="20"/>
                <w:szCs w:val="20"/>
                <w:lang w:eastAsia="en-AU"/>
              </w:rPr>
            </w:pPr>
            <w:r w:rsidRPr="00A028CE">
              <w:rPr>
                <w:rFonts w:ascii="Calibri" w:eastAsia="Times New Roman" w:hAnsi="Calibri" w:cs="Calibri"/>
                <w:color w:val="000000"/>
                <w:sz w:val="20"/>
                <w:szCs w:val="20"/>
                <w:lang w:eastAsia="en-AU"/>
              </w:rPr>
              <w:t>-8.6%</w:t>
            </w:r>
          </w:p>
        </w:tc>
      </w:tr>
      <w:tr w:rsidR="00C43F97" w:rsidRPr="00A028CE" w14:paraId="692664EB" w14:textId="7C8C04E5" w:rsidTr="00C43F97">
        <w:trPr>
          <w:trHeight w:val="315"/>
        </w:trPr>
        <w:tc>
          <w:tcPr>
            <w:tcW w:w="4019" w:type="dxa"/>
            <w:tcBorders>
              <w:top w:val="nil"/>
              <w:left w:val="single" w:sz="4" w:space="0" w:color="auto"/>
              <w:bottom w:val="single" w:sz="4" w:space="0" w:color="auto"/>
              <w:right w:val="single" w:sz="4" w:space="0" w:color="auto"/>
            </w:tcBorders>
            <w:shd w:val="clear" w:color="auto" w:fill="auto"/>
            <w:hideMark/>
          </w:tcPr>
          <w:p w14:paraId="20B08A04" w14:textId="6180E1C9" w:rsidR="00C43F97" w:rsidRPr="00A028CE" w:rsidRDefault="00C43F97" w:rsidP="001D11C5">
            <w:pPr>
              <w:spacing w:after="0" w:line="240" w:lineRule="auto"/>
              <w:rPr>
                <w:rFonts w:ascii="Calibri" w:eastAsia="Times New Roman" w:hAnsi="Calibri" w:cs="Calibri"/>
                <w:b/>
                <w:bCs/>
                <w:sz w:val="20"/>
                <w:szCs w:val="20"/>
                <w:lang w:eastAsia="en-AU"/>
              </w:rPr>
            </w:pPr>
            <w:r w:rsidRPr="00A028CE">
              <w:rPr>
                <w:rFonts w:ascii="Calibri" w:eastAsia="Times New Roman" w:hAnsi="Calibri" w:cs="Calibri"/>
                <w:b/>
                <w:bCs/>
                <w:sz w:val="20"/>
                <w:szCs w:val="20"/>
                <w:lang w:eastAsia="en-AU"/>
              </w:rPr>
              <w:t xml:space="preserve">Society </w:t>
            </w:r>
            <w:r>
              <w:rPr>
                <w:rFonts w:ascii="Calibri" w:eastAsia="Times New Roman" w:hAnsi="Calibri" w:cs="Calibri"/>
                <w:b/>
                <w:bCs/>
                <w:sz w:val="20"/>
                <w:szCs w:val="20"/>
                <w:lang w:eastAsia="en-AU"/>
              </w:rPr>
              <w:t>&amp;</w:t>
            </w:r>
            <w:r w:rsidRPr="00A028CE">
              <w:rPr>
                <w:rFonts w:ascii="Calibri" w:eastAsia="Times New Roman" w:hAnsi="Calibri" w:cs="Calibri"/>
                <w:b/>
                <w:bCs/>
                <w:sz w:val="20"/>
                <w:szCs w:val="20"/>
                <w:lang w:eastAsia="en-AU"/>
              </w:rPr>
              <w:t xml:space="preserve"> Culture</w:t>
            </w:r>
          </w:p>
        </w:tc>
        <w:tc>
          <w:tcPr>
            <w:tcW w:w="1221" w:type="dxa"/>
            <w:tcBorders>
              <w:top w:val="nil"/>
              <w:left w:val="nil"/>
              <w:bottom w:val="single" w:sz="4" w:space="0" w:color="auto"/>
              <w:right w:val="single" w:sz="4" w:space="0" w:color="auto"/>
            </w:tcBorders>
            <w:shd w:val="clear" w:color="auto" w:fill="auto"/>
            <w:vAlign w:val="bottom"/>
            <w:hideMark/>
          </w:tcPr>
          <w:p w14:paraId="2FAB7F90" w14:textId="77777777" w:rsidR="00C43F97" w:rsidRPr="00A028CE" w:rsidRDefault="00C43F97" w:rsidP="001D11C5">
            <w:pPr>
              <w:spacing w:after="0" w:line="240" w:lineRule="auto"/>
              <w:jc w:val="right"/>
              <w:rPr>
                <w:rFonts w:ascii="Calibri" w:eastAsia="Times New Roman" w:hAnsi="Calibri" w:cs="Calibri"/>
                <w:sz w:val="20"/>
                <w:szCs w:val="20"/>
                <w:lang w:eastAsia="en-AU"/>
              </w:rPr>
            </w:pPr>
            <w:r w:rsidRPr="00A028CE">
              <w:rPr>
                <w:rFonts w:ascii="Calibri" w:eastAsia="Times New Roman" w:hAnsi="Calibri" w:cs="Calibri"/>
                <w:sz w:val="20"/>
                <w:szCs w:val="20"/>
                <w:lang w:eastAsia="en-AU"/>
              </w:rPr>
              <w:t xml:space="preserve">       109,084 </w:t>
            </w:r>
          </w:p>
        </w:tc>
        <w:tc>
          <w:tcPr>
            <w:tcW w:w="1134" w:type="dxa"/>
            <w:tcBorders>
              <w:top w:val="nil"/>
              <w:left w:val="nil"/>
              <w:bottom w:val="single" w:sz="4" w:space="0" w:color="auto"/>
              <w:right w:val="single" w:sz="4" w:space="0" w:color="auto"/>
            </w:tcBorders>
            <w:shd w:val="clear" w:color="auto" w:fill="auto"/>
            <w:noWrap/>
            <w:vAlign w:val="bottom"/>
            <w:hideMark/>
          </w:tcPr>
          <w:p w14:paraId="6149956C" w14:textId="77777777" w:rsidR="00C43F97" w:rsidRPr="00A028CE" w:rsidRDefault="00C43F97" w:rsidP="001D11C5">
            <w:pPr>
              <w:spacing w:after="0" w:line="240" w:lineRule="auto"/>
              <w:jc w:val="right"/>
              <w:rPr>
                <w:rFonts w:ascii="Calibri" w:eastAsia="Times New Roman" w:hAnsi="Calibri" w:cs="Calibri"/>
                <w:color w:val="000000"/>
                <w:sz w:val="20"/>
                <w:szCs w:val="20"/>
                <w:lang w:eastAsia="en-AU"/>
              </w:rPr>
            </w:pPr>
            <w:r w:rsidRPr="00A028CE">
              <w:rPr>
                <w:rFonts w:ascii="Calibri" w:eastAsia="Times New Roman" w:hAnsi="Calibri" w:cs="Calibri"/>
                <w:color w:val="000000"/>
                <w:sz w:val="20"/>
                <w:szCs w:val="20"/>
                <w:lang w:eastAsia="en-AU"/>
              </w:rPr>
              <w:t>116,823</w:t>
            </w:r>
          </w:p>
        </w:tc>
        <w:tc>
          <w:tcPr>
            <w:tcW w:w="1134" w:type="dxa"/>
            <w:tcBorders>
              <w:top w:val="nil"/>
              <w:left w:val="nil"/>
              <w:bottom w:val="single" w:sz="4" w:space="0" w:color="auto"/>
              <w:right w:val="single" w:sz="4" w:space="0" w:color="auto"/>
            </w:tcBorders>
            <w:shd w:val="clear" w:color="auto" w:fill="auto"/>
            <w:noWrap/>
            <w:vAlign w:val="bottom"/>
            <w:hideMark/>
          </w:tcPr>
          <w:p w14:paraId="5EF62F77" w14:textId="77777777" w:rsidR="00C43F97" w:rsidRPr="00A028CE" w:rsidRDefault="00C43F97" w:rsidP="001D11C5">
            <w:pPr>
              <w:spacing w:after="0" w:line="240" w:lineRule="auto"/>
              <w:jc w:val="right"/>
              <w:rPr>
                <w:rFonts w:ascii="Calibri" w:eastAsia="Times New Roman" w:hAnsi="Calibri" w:cs="Calibri"/>
                <w:color w:val="000000"/>
                <w:sz w:val="20"/>
                <w:szCs w:val="20"/>
                <w:lang w:eastAsia="en-AU"/>
              </w:rPr>
            </w:pPr>
            <w:r w:rsidRPr="00A028CE">
              <w:rPr>
                <w:rFonts w:ascii="Calibri" w:eastAsia="Times New Roman" w:hAnsi="Calibri" w:cs="Calibri"/>
                <w:color w:val="000000"/>
                <w:sz w:val="20"/>
                <w:szCs w:val="20"/>
                <w:lang w:eastAsia="en-AU"/>
              </w:rPr>
              <w:t>103,382</w:t>
            </w:r>
          </w:p>
        </w:tc>
        <w:tc>
          <w:tcPr>
            <w:tcW w:w="1190" w:type="dxa"/>
            <w:tcBorders>
              <w:top w:val="nil"/>
              <w:left w:val="nil"/>
              <w:bottom w:val="single" w:sz="4" w:space="0" w:color="auto"/>
              <w:right w:val="single" w:sz="4" w:space="0" w:color="auto"/>
            </w:tcBorders>
            <w:shd w:val="clear" w:color="auto" w:fill="auto"/>
            <w:noWrap/>
            <w:vAlign w:val="bottom"/>
            <w:hideMark/>
          </w:tcPr>
          <w:p w14:paraId="2587E344" w14:textId="77777777" w:rsidR="00C43F97" w:rsidRPr="00A028CE" w:rsidRDefault="00C43F97" w:rsidP="001D11C5">
            <w:pPr>
              <w:spacing w:after="0" w:line="240" w:lineRule="auto"/>
              <w:jc w:val="right"/>
              <w:rPr>
                <w:rFonts w:ascii="Calibri" w:eastAsia="Times New Roman" w:hAnsi="Calibri" w:cs="Calibri"/>
                <w:color w:val="000000"/>
                <w:sz w:val="20"/>
                <w:szCs w:val="20"/>
                <w:lang w:eastAsia="en-AU"/>
              </w:rPr>
            </w:pPr>
            <w:r w:rsidRPr="00A028CE">
              <w:rPr>
                <w:rFonts w:ascii="Calibri" w:eastAsia="Times New Roman" w:hAnsi="Calibri" w:cs="Calibri"/>
                <w:color w:val="000000"/>
                <w:sz w:val="20"/>
                <w:szCs w:val="20"/>
                <w:lang w:eastAsia="en-AU"/>
              </w:rPr>
              <w:t>-11.5%</w:t>
            </w:r>
          </w:p>
        </w:tc>
      </w:tr>
      <w:tr w:rsidR="00C43F97" w:rsidRPr="00A028CE" w14:paraId="4150D1F8" w14:textId="6FB1EA59" w:rsidTr="00C43F97">
        <w:trPr>
          <w:trHeight w:val="315"/>
        </w:trPr>
        <w:tc>
          <w:tcPr>
            <w:tcW w:w="4019" w:type="dxa"/>
            <w:tcBorders>
              <w:top w:val="nil"/>
              <w:left w:val="single" w:sz="4" w:space="0" w:color="auto"/>
              <w:bottom w:val="single" w:sz="4" w:space="0" w:color="auto"/>
              <w:right w:val="single" w:sz="4" w:space="0" w:color="auto"/>
            </w:tcBorders>
            <w:shd w:val="clear" w:color="auto" w:fill="auto"/>
            <w:hideMark/>
          </w:tcPr>
          <w:p w14:paraId="00FA7493" w14:textId="77777777" w:rsidR="00C43F97" w:rsidRPr="00A028CE" w:rsidRDefault="00C43F97" w:rsidP="001D11C5">
            <w:pPr>
              <w:spacing w:after="0" w:line="240" w:lineRule="auto"/>
              <w:rPr>
                <w:rFonts w:ascii="Calibri" w:eastAsia="Times New Roman" w:hAnsi="Calibri" w:cs="Calibri"/>
                <w:b/>
                <w:bCs/>
                <w:sz w:val="20"/>
                <w:szCs w:val="20"/>
                <w:lang w:eastAsia="en-AU"/>
              </w:rPr>
            </w:pPr>
            <w:r w:rsidRPr="00A028CE">
              <w:rPr>
                <w:rFonts w:ascii="Calibri" w:eastAsia="Times New Roman" w:hAnsi="Calibri" w:cs="Calibri"/>
                <w:b/>
                <w:bCs/>
                <w:sz w:val="20"/>
                <w:szCs w:val="20"/>
                <w:lang w:eastAsia="en-AU"/>
              </w:rPr>
              <w:t>Creative Arts</w:t>
            </w:r>
          </w:p>
        </w:tc>
        <w:tc>
          <w:tcPr>
            <w:tcW w:w="1221" w:type="dxa"/>
            <w:tcBorders>
              <w:top w:val="nil"/>
              <w:left w:val="nil"/>
              <w:bottom w:val="single" w:sz="4" w:space="0" w:color="auto"/>
              <w:right w:val="single" w:sz="4" w:space="0" w:color="auto"/>
            </w:tcBorders>
            <w:shd w:val="clear" w:color="auto" w:fill="auto"/>
            <w:vAlign w:val="bottom"/>
            <w:hideMark/>
          </w:tcPr>
          <w:p w14:paraId="2356DFC8" w14:textId="77777777" w:rsidR="00C43F97" w:rsidRPr="00A028CE" w:rsidRDefault="00C43F97" w:rsidP="001D11C5">
            <w:pPr>
              <w:spacing w:after="0" w:line="240" w:lineRule="auto"/>
              <w:jc w:val="right"/>
              <w:rPr>
                <w:rFonts w:ascii="Calibri" w:eastAsia="Times New Roman" w:hAnsi="Calibri" w:cs="Calibri"/>
                <w:sz w:val="20"/>
                <w:szCs w:val="20"/>
                <w:lang w:eastAsia="en-AU"/>
              </w:rPr>
            </w:pPr>
            <w:r w:rsidRPr="00A028CE">
              <w:rPr>
                <w:rFonts w:ascii="Calibri" w:eastAsia="Times New Roman" w:hAnsi="Calibri" w:cs="Calibri"/>
                <w:sz w:val="20"/>
                <w:szCs w:val="20"/>
                <w:lang w:eastAsia="en-AU"/>
              </w:rPr>
              <w:t xml:space="preserve">         31,827 </w:t>
            </w:r>
          </w:p>
        </w:tc>
        <w:tc>
          <w:tcPr>
            <w:tcW w:w="1134" w:type="dxa"/>
            <w:tcBorders>
              <w:top w:val="nil"/>
              <w:left w:val="nil"/>
              <w:bottom w:val="single" w:sz="4" w:space="0" w:color="auto"/>
              <w:right w:val="single" w:sz="4" w:space="0" w:color="auto"/>
            </w:tcBorders>
            <w:shd w:val="clear" w:color="auto" w:fill="auto"/>
            <w:noWrap/>
            <w:vAlign w:val="bottom"/>
            <w:hideMark/>
          </w:tcPr>
          <w:p w14:paraId="56D3ADDC" w14:textId="77777777" w:rsidR="00C43F97" w:rsidRPr="00A028CE" w:rsidRDefault="00C43F97" w:rsidP="001D11C5">
            <w:pPr>
              <w:spacing w:after="0" w:line="240" w:lineRule="auto"/>
              <w:jc w:val="right"/>
              <w:rPr>
                <w:rFonts w:ascii="Calibri" w:eastAsia="Times New Roman" w:hAnsi="Calibri" w:cs="Calibri"/>
                <w:color w:val="000000"/>
                <w:sz w:val="20"/>
                <w:szCs w:val="20"/>
                <w:lang w:eastAsia="en-AU"/>
              </w:rPr>
            </w:pPr>
            <w:r w:rsidRPr="00A028CE">
              <w:rPr>
                <w:rFonts w:ascii="Calibri" w:eastAsia="Times New Roman" w:hAnsi="Calibri" w:cs="Calibri"/>
                <w:color w:val="000000"/>
                <w:sz w:val="20"/>
                <w:szCs w:val="20"/>
                <w:lang w:eastAsia="en-AU"/>
              </w:rPr>
              <w:t>29,959</w:t>
            </w:r>
          </w:p>
        </w:tc>
        <w:tc>
          <w:tcPr>
            <w:tcW w:w="1134" w:type="dxa"/>
            <w:tcBorders>
              <w:top w:val="nil"/>
              <w:left w:val="nil"/>
              <w:bottom w:val="single" w:sz="4" w:space="0" w:color="auto"/>
              <w:right w:val="single" w:sz="4" w:space="0" w:color="auto"/>
            </w:tcBorders>
            <w:shd w:val="clear" w:color="auto" w:fill="auto"/>
            <w:noWrap/>
            <w:vAlign w:val="bottom"/>
            <w:hideMark/>
          </w:tcPr>
          <w:p w14:paraId="11C1AABA" w14:textId="77777777" w:rsidR="00C43F97" w:rsidRPr="00A028CE" w:rsidRDefault="00C43F97" w:rsidP="001D11C5">
            <w:pPr>
              <w:spacing w:after="0" w:line="240" w:lineRule="auto"/>
              <w:jc w:val="right"/>
              <w:rPr>
                <w:rFonts w:ascii="Calibri" w:eastAsia="Times New Roman" w:hAnsi="Calibri" w:cs="Calibri"/>
                <w:color w:val="000000"/>
                <w:sz w:val="20"/>
                <w:szCs w:val="20"/>
                <w:lang w:eastAsia="en-AU"/>
              </w:rPr>
            </w:pPr>
            <w:r w:rsidRPr="00A028CE">
              <w:rPr>
                <w:rFonts w:ascii="Calibri" w:eastAsia="Times New Roman" w:hAnsi="Calibri" w:cs="Calibri"/>
                <w:color w:val="000000"/>
                <w:sz w:val="20"/>
                <w:szCs w:val="20"/>
                <w:lang w:eastAsia="en-AU"/>
              </w:rPr>
              <w:t>26,002</w:t>
            </w:r>
          </w:p>
        </w:tc>
        <w:tc>
          <w:tcPr>
            <w:tcW w:w="1190" w:type="dxa"/>
            <w:tcBorders>
              <w:top w:val="nil"/>
              <w:left w:val="nil"/>
              <w:bottom w:val="single" w:sz="4" w:space="0" w:color="auto"/>
              <w:right w:val="single" w:sz="4" w:space="0" w:color="auto"/>
            </w:tcBorders>
            <w:shd w:val="clear" w:color="auto" w:fill="auto"/>
            <w:noWrap/>
            <w:vAlign w:val="bottom"/>
            <w:hideMark/>
          </w:tcPr>
          <w:p w14:paraId="4DBF5C9D" w14:textId="77777777" w:rsidR="00C43F97" w:rsidRPr="00A028CE" w:rsidRDefault="00C43F97" w:rsidP="001D11C5">
            <w:pPr>
              <w:spacing w:after="0" w:line="240" w:lineRule="auto"/>
              <w:jc w:val="right"/>
              <w:rPr>
                <w:rFonts w:ascii="Calibri" w:eastAsia="Times New Roman" w:hAnsi="Calibri" w:cs="Calibri"/>
                <w:color w:val="000000"/>
                <w:sz w:val="20"/>
                <w:szCs w:val="20"/>
                <w:lang w:eastAsia="en-AU"/>
              </w:rPr>
            </w:pPr>
            <w:r w:rsidRPr="00A028CE">
              <w:rPr>
                <w:rFonts w:ascii="Calibri" w:eastAsia="Times New Roman" w:hAnsi="Calibri" w:cs="Calibri"/>
                <w:color w:val="000000"/>
                <w:sz w:val="20"/>
                <w:szCs w:val="20"/>
                <w:lang w:eastAsia="en-AU"/>
              </w:rPr>
              <w:t>-13.2%</w:t>
            </w:r>
          </w:p>
        </w:tc>
      </w:tr>
      <w:tr w:rsidR="00C43F97" w:rsidRPr="00A028CE" w14:paraId="5512F47E" w14:textId="06D4CE41" w:rsidTr="00C43F97">
        <w:trPr>
          <w:trHeight w:val="315"/>
        </w:trPr>
        <w:tc>
          <w:tcPr>
            <w:tcW w:w="4019" w:type="dxa"/>
            <w:tcBorders>
              <w:top w:val="nil"/>
              <w:left w:val="single" w:sz="4" w:space="0" w:color="auto"/>
              <w:bottom w:val="single" w:sz="4" w:space="0" w:color="auto"/>
              <w:right w:val="single" w:sz="4" w:space="0" w:color="auto"/>
            </w:tcBorders>
            <w:shd w:val="clear" w:color="auto" w:fill="auto"/>
            <w:hideMark/>
          </w:tcPr>
          <w:p w14:paraId="5493F640" w14:textId="6346A367" w:rsidR="00C43F97" w:rsidRPr="00A028CE" w:rsidRDefault="00C43F97" w:rsidP="001D11C5">
            <w:pPr>
              <w:spacing w:after="0" w:line="240" w:lineRule="auto"/>
              <w:rPr>
                <w:rFonts w:ascii="Calibri" w:eastAsia="Times New Roman" w:hAnsi="Calibri" w:cs="Calibri"/>
                <w:b/>
                <w:bCs/>
                <w:sz w:val="20"/>
                <w:szCs w:val="20"/>
                <w:lang w:eastAsia="en-AU"/>
              </w:rPr>
            </w:pPr>
            <w:r w:rsidRPr="00A028CE">
              <w:rPr>
                <w:rFonts w:ascii="Calibri" w:eastAsia="Times New Roman" w:hAnsi="Calibri" w:cs="Calibri"/>
                <w:b/>
                <w:bCs/>
                <w:sz w:val="20"/>
                <w:szCs w:val="20"/>
                <w:lang w:eastAsia="en-AU"/>
              </w:rPr>
              <w:t xml:space="preserve">Food, Hospitality </w:t>
            </w:r>
            <w:r>
              <w:rPr>
                <w:rFonts w:ascii="Calibri" w:eastAsia="Times New Roman" w:hAnsi="Calibri" w:cs="Calibri"/>
                <w:b/>
                <w:bCs/>
                <w:sz w:val="20"/>
                <w:szCs w:val="20"/>
                <w:lang w:eastAsia="en-AU"/>
              </w:rPr>
              <w:t>&amp;</w:t>
            </w:r>
            <w:r w:rsidRPr="00A028CE">
              <w:rPr>
                <w:rFonts w:ascii="Calibri" w:eastAsia="Times New Roman" w:hAnsi="Calibri" w:cs="Calibri"/>
                <w:b/>
                <w:bCs/>
                <w:sz w:val="20"/>
                <w:szCs w:val="20"/>
                <w:lang w:eastAsia="en-AU"/>
              </w:rPr>
              <w:t xml:space="preserve"> Personal Services</w:t>
            </w:r>
          </w:p>
        </w:tc>
        <w:tc>
          <w:tcPr>
            <w:tcW w:w="1221" w:type="dxa"/>
            <w:tcBorders>
              <w:top w:val="nil"/>
              <w:left w:val="nil"/>
              <w:bottom w:val="single" w:sz="4" w:space="0" w:color="auto"/>
              <w:right w:val="single" w:sz="4" w:space="0" w:color="auto"/>
            </w:tcBorders>
            <w:shd w:val="clear" w:color="auto" w:fill="auto"/>
            <w:vAlign w:val="bottom"/>
            <w:hideMark/>
          </w:tcPr>
          <w:p w14:paraId="4B5AE950" w14:textId="77777777" w:rsidR="00C43F97" w:rsidRPr="00A028CE" w:rsidRDefault="00C43F97" w:rsidP="001D11C5">
            <w:pPr>
              <w:spacing w:after="0" w:line="240" w:lineRule="auto"/>
              <w:jc w:val="right"/>
              <w:rPr>
                <w:rFonts w:ascii="Calibri" w:eastAsia="Times New Roman" w:hAnsi="Calibri" w:cs="Calibri"/>
                <w:sz w:val="20"/>
                <w:szCs w:val="20"/>
                <w:lang w:eastAsia="en-AU"/>
              </w:rPr>
            </w:pPr>
            <w:r w:rsidRPr="00A028CE">
              <w:rPr>
                <w:rFonts w:ascii="Calibri" w:eastAsia="Times New Roman" w:hAnsi="Calibri" w:cs="Calibri"/>
                <w:sz w:val="20"/>
                <w:szCs w:val="20"/>
                <w:lang w:eastAsia="en-AU"/>
              </w:rPr>
              <w:t xml:space="preserve">           1,899 </w:t>
            </w:r>
          </w:p>
        </w:tc>
        <w:tc>
          <w:tcPr>
            <w:tcW w:w="1134" w:type="dxa"/>
            <w:tcBorders>
              <w:top w:val="nil"/>
              <w:left w:val="nil"/>
              <w:bottom w:val="single" w:sz="4" w:space="0" w:color="auto"/>
              <w:right w:val="single" w:sz="4" w:space="0" w:color="auto"/>
            </w:tcBorders>
            <w:shd w:val="clear" w:color="auto" w:fill="auto"/>
            <w:noWrap/>
            <w:vAlign w:val="bottom"/>
            <w:hideMark/>
          </w:tcPr>
          <w:p w14:paraId="79B589C3" w14:textId="77777777" w:rsidR="00C43F97" w:rsidRPr="00A028CE" w:rsidRDefault="00C43F97" w:rsidP="001D11C5">
            <w:pPr>
              <w:spacing w:after="0" w:line="240" w:lineRule="auto"/>
              <w:jc w:val="right"/>
              <w:rPr>
                <w:rFonts w:ascii="Calibri" w:eastAsia="Times New Roman" w:hAnsi="Calibri" w:cs="Calibri"/>
                <w:color w:val="000000"/>
                <w:sz w:val="20"/>
                <w:szCs w:val="20"/>
                <w:lang w:eastAsia="en-AU"/>
              </w:rPr>
            </w:pPr>
            <w:r w:rsidRPr="00A028CE">
              <w:rPr>
                <w:rFonts w:ascii="Calibri" w:eastAsia="Times New Roman" w:hAnsi="Calibri" w:cs="Calibri"/>
                <w:color w:val="000000"/>
                <w:sz w:val="20"/>
                <w:szCs w:val="20"/>
                <w:lang w:eastAsia="en-AU"/>
              </w:rPr>
              <w:t>78</w:t>
            </w:r>
          </w:p>
        </w:tc>
        <w:tc>
          <w:tcPr>
            <w:tcW w:w="1134" w:type="dxa"/>
            <w:tcBorders>
              <w:top w:val="nil"/>
              <w:left w:val="nil"/>
              <w:bottom w:val="single" w:sz="4" w:space="0" w:color="auto"/>
              <w:right w:val="single" w:sz="4" w:space="0" w:color="auto"/>
            </w:tcBorders>
            <w:shd w:val="clear" w:color="auto" w:fill="auto"/>
            <w:noWrap/>
            <w:vAlign w:val="bottom"/>
            <w:hideMark/>
          </w:tcPr>
          <w:p w14:paraId="4472E6AA" w14:textId="77777777" w:rsidR="00C43F97" w:rsidRPr="00A028CE" w:rsidRDefault="00C43F97" w:rsidP="001D11C5">
            <w:pPr>
              <w:spacing w:after="0" w:line="240" w:lineRule="auto"/>
              <w:jc w:val="right"/>
              <w:rPr>
                <w:rFonts w:ascii="Calibri" w:eastAsia="Times New Roman" w:hAnsi="Calibri" w:cs="Calibri"/>
                <w:color w:val="000000"/>
                <w:sz w:val="20"/>
                <w:szCs w:val="20"/>
                <w:lang w:eastAsia="en-AU"/>
              </w:rPr>
            </w:pPr>
            <w:r w:rsidRPr="00A028CE">
              <w:rPr>
                <w:rFonts w:ascii="Calibri" w:eastAsia="Times New Roman" w:hAnsi="Calibri" w:cs="Calibri"/>
                <w:color w:val="000000"/>
                <w:sz w:val="20"/>
                <w:szCs w:val="20"/>
                <w:lang w:eastAsia="en-AU"/>
              </w:rPr>
              <w:t>73</w:t>
            </w:r>
          </w:p>
        </w:tc>
        <w:tc>
          <w:tcPr>
            <w:tcW w:w="1190" w:type="dxa"/>
            <w:tcBorders>
              <w:top w:val="nil"/>
              <w:left w:val="nil"/>
              <w:bottom w:val="single" w:sz="4" w:space="0" w:color="auto"/>
              <w:right w:val="single" w:sz="4" w:space="0" w:color="auto"/>
            </w:tcBorders>
            <w:shd w:val="clear" w:color="auto" w:fill="auto"/>
            <w:noWrap/>
            <w:vAlign w:val="bottom"/>
            <w:hideMark/>
          </w:tcPr>
          <w:p w14:paraId="0707E619" w14:textId="77777777" w:rsidR="00C43F97" w:rsidRPr="00A028CE" w:rsidRDefault="00C43F97" w:rsidP="001D11C5">
            <w:pPr>
              <w:spacing w:after="0" w:line="240" w:lineRule="auto"/>
              <w:jc w:val="right"/>
              <w:rPr>
                <w:rFonts w:ascii="Calibri" w:eastAsia="Times New Roman" w:hAnsi="Calibri" w:cs="Calibri"/>
                <w:color w:val="000000"/>
                <w:sz w:val="20"/>
                <w:szCs w:val="20"/>
                <w:lang w:eastAsia="en-AU"/>
              </w:rPr>
            </w:pPr>
            <w:r w:rsidRPr="00A028CE">
              <w:rPr>
                <w:rFonts w:ascii="Calibri" w:eastAsia="Times New Roman" w:hAnsi="Calibri" w:cs="Calibri"/>
                <w:color w:val="000000"/>
                <w:sz w:val="20"/>
                <w:szCs w:val="20"/>
                <w:lang w:eastAsia="en-AU"/>
              </w:rPr>
              <w:t>-6.4%</w:t>
            </w:r>
          </w:p>
        </w:tc>
      </w:tr>
      <w:tr w:rsidR="00C43F97" w:rsidRPr="00A028CE" w14:paraId="41662D16" w14:textId="668CBB7D" w:rsidTr="00C43F97">
        <w:trPr>
          <w:trHeight w:val="315"/>
        </w:trPr>
        <w:tc>
          <w:tcPr>
            <w:tcW w:w="4019" w:type="dxa"/>
            <w:tcBorders>
              <w:top w:val="nil"/>
              <w:left w:val="single" w:sz="4" w:space="0" w:color="auto"/>
              <w:bottom w:val="single" w:sz="4" w:space="0" w:color="auto"/>
              <w:right w:val="single" w:sz="4" w:space="0" w:color="auto"/>
            </w:tcBorders>
            <w:shd w:val="clear" w:color="auto" w:fill="auto"/>
            <w:hideMark/>
          </w:tcPr>
          <w:p w14:paraId="533A7471" w14:textId="77777777" w:rsidR="00C43F97" w:rsidRPr="00A028CE" w:rsidRDefault="00C43F97" w:rsidP="001D11C5">
            <w:pPr>
              <w:spacing w:after="0" w:line="240" w:lineRule="auto"/>
              <w:rPr>
                <w:rFonts w:ascii="Calibri" w:eastAsia="Times New Roman" w:hAnsi="Calibri" w:cs="Calibri"/>
                <w:b/>
                <w:bCs/>
                <w:sz w:val="20"/>
                <w:szCs w:val="20"/>
                <w:lang w:eastAsia="en-AU"/>
              </w:rPr>
            </w:pPr>
            <w:r w:rsidRPr="00A028CE">
              <w:rPr>
                <w:rFonts w:ascii="Calibri" w:eastAsia="Times New Roman" w:hAnsi="Calibri" w:cs="Calibri"/>
                <w:b/>
                <w:bCs/>
                <w:sz w:val="20"/>
                <w:szCs w:val="20"/>
                <w:lang w:eastAsia="en-AU"/>
              </w:rPr>
              <w:t>Mixed Field Programmes</w:t>
            </w:r>
          </w:p>
        </w:tc>
        <w:tc>
          <w:tcPr>
            <w:tcW w:w="1221" w:type="dxa"/>
            <w:tcBorders>
              <w:top w:val="nil"/>
              <w:left w:val="nil"/>
              <w:bottom w:val="single" w:sz="4" w:space="0" w:color="auto"/>
              <w:right w:val="single" w:sz="4" w:space="0" w:color="auto"/>
            </w:tcBorders>
            <w:shd w:val="clear" w:color="auto" w:fill="auto"/>
            <w:vAlign w:val="bottom"/>
            <w:hideMark/>
          </w:tcPr>
          <w:p w14:paraId="0491F7C2" w14:textId="77777777" w:rsidR="00C43F97" w:rsidRPr="00A028CE" w:rsidRDefault="00C43F97" w:rsidP="001D11C5">
            <w:pPr>
              <w:spacing w:after="0" w:line="240" w:lineRule="auto"/>
              <w:jc w:val="right"/>
              <w:rPr>
                <w:rFonts w:ascii="Calibri" w:eastAsia="Times New Roman" w:hAnsi="Calibri" w:cs="Calibri"/>
                <w:sz w:val="20"/>
                <w:szCs w:val="20"/>
                <w:lang w:eastAsia="en-AU"/>
              </w:rPr>
            </w:pPr>
            <w:r w:rsidRPr="00A028CE">
              <w:rPr>
                <w:rFonts w:ascii="Calibri" w:eastAsia="Times New Roman" w:hAnsi="Calibri" w:cs="Calibri"/>
                <w:sz w:val="20"/>
                <w:szCs w:val="20"/>
                <w:lang w:eastAsia="en-AU"/>
              </w:rPr>
              <w:t xml:space="preserve">           8,956 </w:t>
            </w:r>
          </w:p>
        </w:tc>
        <w:tc>
          <w:tcPr>
            <w:tcW w:w="1134" w:type="dxa"/>
            <w:tcBorders>
              <w:top w:val="nil"/>
              <w:left w:val="nil"/>
              <w:bottom w:val="single" w:sz="4" w:space="0" w:color="auto"/>
              <w:right w:val="single" w:sz="4" w:space="0" w:color="auto"/>
            </w:tcBorders>
            <w:shd w:val="clear" w:color="auto" w:fill="auto"/>
            <w:noWrap/>
            <w:vAlign w:val="bottom"/>
            <w:hideMark/>
          </w:tcPr>
          <w:p w14:paraId="6EDA85BF" w14:textId="77777777" w:rsidR="00C43F97" w:rsidRPr="00A028CE" w:rsidRDefault="00C43F97" w:rsidP="001D11C5">
            <w:pPr>
              <w:spacing w:after="0" w:line="240" w:lineRule="auto"/>
              <w:jc w:val="right"/>
              <w:rPr>
                <w:rFonts w:ascii="Calibri" w:eastAsia="Times New Roman" w:hAnsi="Calibri" w:cs="Calibri"/>
                <w:color w:val="000000"/>
                <w:sz w:val="20"/>
                <w:szCs w:val="20"/>
                <w:lang w:eastAsia="en-AU"/>
              </w:rPr>
            </w:pPr>
            <w:r w:rsidRPr="00A028CE">
              <w:rPr>
                <w:rFonts w:ascii="Calibri" w:eastAsia="Times New Roman" w:hAnsi="Calibri" w:cs="Calibri"/>
                <w:color w:val="000000"/>
                <w:sz w:val="20"/>
                <w:szCs w:val="20"/>
                <w:lang w:eastAsia="en-AU"/>
              </w:rPr>
              <w:t>7,732</w:t>
            </w:r>
          </w:p>
        </w:tc>
        <w:tc>
          <w:tcPr>
            <w:tcW w:w="1134" w:type="dxa"/>
            <w:tcBorders>
              <w:top w:val="nil"/>
              <w:left w:val="nil"/>
              <w:bottom w:val="single" w:sz="4" w:space="0" w:color="auto"/>
              <w:right w:val="single" w:sz="4" w:space="0" w:color="auto"/>
            </w:tcBorders>
            <w:shd w:val="clear" w:color="auto" w:fill="auto"/>
            <w:noWrap/>
            <w:vAlign w:val="bottom"/>
            <w:hideMark/>
          </w:tcPr>
          <w:p w14:paraId="5049DA09" w14:textId="77777777" w:rsidR="00C43F97" w:rsidRPr="00A028CE" w:rsidRDefault="00C43F97" w:rsidP="001D11C5">
            <w:pPr>
              <w:spacing w:after="0" w:line="240" w:lineRule="auto"/>
              <w:jc w:val="right"/>
              <w:rPr>
                <w:rFonts w:ascii="Calibri" w:eastAsia="Times New Roman" w:hAnsi="Calibri" w:cs="Calibri"/>
                <w:color w:val="000000"/>
                <w:sz w:val="20"/>
                <w:szCs w:val="20"/>
                <w:lang w:eastAsia="en-AU"/>
              </w:rPr>
            </w:pPr>
            <w:r w:rsidRPr="00A028CE">
              <w:rPr>
                <w:rFonts w:ascii="Calibri" w:eastAsia="Times New Roman" w:hAnsi="Calibri" w:cs="Calibri"/>
                <w:color w:val="000000"/>
                <w:sz w:val="20"/>
                <w:szCs w:val="20"/>
                <w:lang w:eastAsia="en-AU"/>
              </w:rPr>
              <w:t>6,235</w:t>
            </w:r>
          </w:p>
        </w:tc>
        <w:tc>
          <w:tcPr>
            <w:tcW w:w="1190" w:type="dxa"/>
            <w:tcBorders>
              <w:top w:val="nil"/>
              <w:left w:val="nil"/>
              <w:bottom w:val="single" w:sz="4" w:space="0" w:color="auto"/>
              <w:right w:val="single" w:sz="4" w:space="0" w:color="auto"/>
            </w:tcBorders>
            <w:shd w:val="clear" w:color="auto" w:fill="auto"/>
            <w:noWrap/>
            <w:vAlign w:val="bottom"/>
            <w:hideMark/>
          </w:tcPr>
          <w:p w14:paraId="3C3E699B" w14:textId="77777777" w:rsidR="00C43F97" w:rsidRPr="00A028CE" w:rsidRDefault="00C43F97" w:rsidP="001D11C5">
            <w:pPr>
              <w:spacing w:after="0" w:line="240" w:lineRule="auto"/>
              <w:jc w:val="right"/>
              <w:rPr>
                <w:rFonts w:ascii="Calibri" w:eastAsia="Times New Roman" w:hAnsi="Calibri" w:cs="Calibri"/>
                <w:color w:val="000000"/>
                <w:sz w:val="20"/>
                <w:szCs w:val="20"/>
                <w:lang w:eastAsia="en-AU"/>
              </w:rPr>
            </w:pPr>
            <w:r w:rsidRPr="00A028CE">
              <w:rPr>
                <w:rFonts w:ascii="Calibri" w:eastAsia="Times New Roman" w:hAnsi="Calibri" w:cs="Calibri"/>
                <w:color w:val="000000"/>
                <w:sz w:val="20"/>
                <w:szCs w:val="20"/>
                <w:lang w:eastAsia="en-AU"/>
              </w:rPr>
              <w:t>-19.4%</w:t>
            </w:r>
          </w:p>
        </w:tc>
      </w:tr>
      <w:tr w:rsidR="00C43F97" w:rsidRPr="00A028CE" w14:paraId="2DEEA417" w14:textId="7B559AAC" w:rsidTr="00C43F97">
        <w:trPr>
          <w:trHeight w:val="315"/>
        </w:trPr>
        <w:tc>
          <w:tcPr>
            <w:tcW w:w="4019" w:type="dxa"/>
            <w:tcBorders>
              <w:top w:val="nil"/>
              <w:left w:val="single" w:sz="4" w:space="0" w:color="auto"/>
              <w:bottom w:val="single" w:sz="4" w:space="0" w:color="auto"/>
              <w:right w:val="single" w:sz="4" w:space="0" w:color="auto"/>
            </w:tcBorders>
            <w:shd w:val="clear" w:color="auto" w:fill="auto"/>
            <w:hideMark/>
          </w:tcPr>
          <w:p w14:paraId="07DC6D4D" w14:textId="77777777" w:rsidR="00C43F97" w:rsidRPr="00A028CE" w:rsidRDefault="00C43F97" w:rsidP="001D11C5">
            <w:pPr>
              <w:spacing w:after="0" w:line="240" w:lineRule="auto"/>
              <w:rPr>
                <w:rFonts w:ascii="Calibri" w:eastAsia="Times New Roman" w:hAnsi="Calibri" w:cs="Calibri"/>
                <w:b/>
                <w:bCs/>
                <w:sz w:val="20"/>
                <w:szCs w:val="20"/>
                <w:lang w:eastAsia="en-AU"/>
              </w:rPr>
            </w:pPr>
            <w:r w:rsidRPr="00A028CE">
              <w:rPr>
                <w:rFonts w:ascii="Calibri" w:eastAsia="Times New Roman" w:hAnsi="Calibri" w:cs="Calibri"/>
                <w:b/>
                <w:bCs/>
                <w:sz w:val="20"/>
                <w:szCs w:val="20"/>
                <w:lang w:eastAsia="en-AU"/>
              </w:rPr>
              <w:t>Non-award courses</w:t>
            </w:r>
          </w:p>
        </w:tc>
        <w:tc>
          <w:tcPr>
            <w:tcW w:w="1221" w:type="dxa"/>
            <w:tcBorders>
              <w:top w:val="nil"/>
              <w:left w:val="nil"/>
              <w:bottom w:val="single" w:sz="4" w:space="0" w:color="auto"/>
              <w:right w:val="single" w:sz="4" w:space="0" w:color="auto"/>
            </w:tcBorders>
            <w:shd w:val="clear" w:color="auto" w:fill="auto"/>
            <w:vAlign w:val="bottom"/>
            <w:hideMark/>
          </w:tcPr>
          <w:p w14:paraId="2E59E150" w14:textId="77777777" w:rsidR="00C43F97" w:rsidRPr="00A028CE" w:rsidRDefault="00C43F97" w:rsidP="001D11C5">
            <w:pPr>
              <w:spacing w:after="0" w:line="240" w:lineRule="auto"/>
              <w:jc w:val="right"/>
              <w:rPr>
                <w:rFonts w:ascii="Calibri" w:eastAsia="Times New Roman" w:hAnsi="Calibri" w:cs="Calibri"/>
                <w:sz w:val="20"/>
                <w:szCs w:val="20"/>
                <w:lang w:eastAsia="en-AU"/>
              </w:rPr>
            </w:pPr>
            <w:r w:rsidRPr="00A028CE">
              <w:rPr>
                <w:rFonts w:ascii="Calibri" w:eastAsia="Times New Roman" w:hAnsi="Calibri" w:cs="Calibri"/>
                <w:sz w:val="20"/>
                <w:szCs w:val="20"/>
                <w:lang w:eastAsia="en-AU"/>
              </w:rPr>
              <w:t xml:space="preserve">           5,943 </w:t>
            </w:r>
          </w:p>
        </w:tc>
        <w:tc>
          <w:tcPr>
            <w:tcW w:w="1134" w:type="dxa"/>
            <w:tcBorders>
              <w:top w:val="nil"/>
              <w:left w:val="nil"/>
              <w:bottom w:val="single" w:sz="4" w:space="0" w:color="auto"/>
              <w:right w:val="single" w:sz="4" w:space="0" w:color="auto"/>
            </w:tcBorders>
            <w:shd w:val="clear" w:color="auto" w:fill="auto"/>
            <w:noWrap/>
            <w:vAlign w:val="bottom"/>
            <w:hideMark/>
          </w:tcPr>
          <w:p w14:paraId="492598B2" w14:textId="77777777" w:rsidR="00C43F97" w:rsidRPr="00A028CE" w:rsidRDefault="00C43F97" w:rsidP="001D11C5">
            <w:pPr>
              <w:spacing w:after="0" w:line="240" w:lineRule="auto"/>
              <w:jc w:val="right"/>
              <w:rPr>
                <w:rFonts w:ascii="Calibri" w:eastAsia="Times New Roman" w:hAnsi="Calibri" w:cs="Calibri"/>
                <w:color w:val="000000"/>
                <w:sz w:val="20"/>
                <w:szCs w:val="20"/>
                <w:lang w:eastAsia="en-AU"/>
              </w:rPr>
            </w:pPr>
            <w:r w:rsidRPr="00A028CE">
              <w:rPr>
                <w:rFonts w:ascii="Calibri" w:eastAsia="Times New Roman" w:hAnsi="Calibri" w:cs="Calibri"/>
                <w:color w:val="000000"/>
                <w:sz w:val="20"/>
                <w:szCs w:val="20"/>
                <w:lang w:eastAsia="en-AU"/>
              </w:rPr>
              <w:t>6,238</w:t>
            </w:r>
          </w:p>
        </w:tc>
        <w:tc>
          <w:tcPr>
            <w:tcW w:w="1134" w:type="dxa"/>
            <w:tcBorders>
              <w:top w:val="nil"/>
              <w:left w:val="nil"/>
              <w:bottom w:val="single" w:sz="4" w:space="0" w:color="auto"/>
              <w:right w:val="single" w:sz="4" w:space="0" w:color="auto"/>
            </w:tcBorders>
            <w:shd w:val="clear" w:color="auto" w:fill="auto"/>
            <w:noWrap/>
            <w:vAlign w:val="bottom"/>
            <w:hideMark/>
          </w:tcPr>
          <w:p w14:paraId="425FCE50" w14:textId="77777777" w:rsidR="00C43F97" w:rsidRPr="00A028CE" w:rsidRDefault="00C43F97" w:rsidP="001D11C5">
            <w:pPr>
              <w:spacing w:after="0" w:line="240" w:lineRule="auto"/>
              <w:jc w:val="right"/>
              <w:rPr>
                <w:rFonts w:ascii="Calibri" w:eastAsia="Times New Roman" w:hAnsi="Calibri" w:cs="Calibri"/>
                <w:color w:val="000000"/>
                <w:sz w:val="20"/>
                <w:szCs w:val="20"/>
                <w:lang w:eastAsia="en-AU"/>
              </w:rPr>
            </w:pPr>
            <w:r w:rsidRPr="00A028CE">
              <w:rPr>
                <w:rFonts w:ascii="Calibri" w:eastAsia="Times New Roman" w:hAnsi="Calibri" w:cs="Calibri"/>
                <w:color w:val="000000"/>
                <w:sz w:val="20"/>
                <w:szCs w:val="20"/>
                <w:lang w:eastAsia="en-AU"/>
              </w:rPr>
              <w:t>5,665</w:t>
            </w:r>
          </w:p>
        </w:tc>
        <w:tc>
          <w:tcPr>
            <w:tcW w:w="1190" w:type="dxa"/>
            <w:tcBorders>
              <w:top w:val="nil"/>
              <w:left w:val="nil"/>
              <w:bottom w:val="single" w:sz="4" w:space="0" w:color="auto"/>
              <w:right w:val="single" w:sz="4" w:space="0" w:color="auto"/>
            </w:tcBorders>
            <w:shd w:val="clear" w:color="auto" w:fill="auto"/>
            <w:noWrap/>
            <w:vAlign w:val="bottom"/>
            <w:hideMark/>
          </w:tcPr>
          <w:p w14:paraId="707AB13F" w14:textId="77777777" w:rsidR="00C43F97" w:rsidRPr="00A028CE" w:rsidRDefault="00C43F97" w:rsidP="001D11C5">
            <w:pPr>
              <w:spacing w:after="0" w:line="240" w:lineRule="auto"/>
              <w:jc w:val="right"/>
              <w:rPr>
                <w:rFonts w:ascii="Calibri" w:eastAsia="Times New Roman" w:hAnsi="Calibri" w:cs="Calibri"/>
                <w:color w:val="000000"/>
                <w:sz w:val="20"/>
                <w:szCs w:val="20"/>
                <w:lang w:eastAsia="en-AU"/>
              </w:rPr>
            </w:pPr>
            <w:r w:rsidRPr="00A028CE">
              <w:rPr>
                <w:rFonts w:ascii="Calibri" w:eastAsia="Times New Roman" w:hAnsi="Calibri" w:cs="Calibri"/>
                <w:color w:val="000000"/>
                <w:sz w:val="20"/>
                <w:szCs w:val="20"/>
                <w:lang w:eastAsia="en-AU"/>
              </w:rPr>
              <w:t>-9.2%</w:t>
            </w:r>
          </w:p>
        </w:tc>
      </w:tr>
      <w:tr w:rsidR="00C43F97" w:rsidRPr="00A028CE" w14:paraId="51AF3CC9" w14:textId="4792BDAF" w:rsidTr="00C43F97">
        <w:trPr>
          <w:trHeight w:val="315"/>
        </w:trPr>
        <w:tc>
          <w:tcPr>
            <w:tcW w:w="4019" w:type="dxa"/>
            <w:tcBorders>
              <w:top w:val="nil"/>
              <w:left w:val="single" w:sz="4" w:space="0" w:color="auto"/>
              <w:bottom w:val="single" w:sz="4" w:space="0" w:color="auto"/>
              <w:right w:val="single" w:sz="4" w:space="0" w:color="auto"/>
            </w:tcBorders>
            <w:shd w:val="clear" w:color="auto" w:fill="auto"/>
            <w:hideMark/>
          </w:tcPr>
          <w:p w14:paraId="3719D6E7" w14:textId="6D40238A" w:rsidR="00C43F97" w:rsidRPr="00A028CE" w:rsidRDefault="00C43F97" w:rsidP="001D11C5">
            <w:pPr>
              <w:spacing w:after="0" w:line="240" w:lineRule="auto"/>
              <w:rPr>
                <w:rFonts w:ascii="Calibri" w:eastAsia="Times New Roman" w:hAnsi="Calibri" w:cs="Calibri"/>
                <w:b/>
                <w:bCs/>
                <w:sz w:val="20"/>
                <w:szCs w:val="20"/>
                <w:lang w:eastAsia="en-AU"/>
              </w:rPr>
            </w:pPr>
            <w:r>
              <w:rPr>
                <w:rFonts w:ascii="Calibri" w:eastAsia="Times New Roman" w:hAnsi="Calibri" w:cs="Calibri"/>
                <w:b/>
                <w:bCs/>
                <w:sz w:val="20"/>
                <w:szCs w:val="20"/>
                <w:lang w:eastAsia="en-AU"/>
              </w:rPr>
              <w:t xml:space="preserve">TOTAL - </w:t>
            </w:r>
            <w:r w:rsidRPr="00A028CE">
              <w:rPr>
                <w:rFonts w:ascii="Calibri" w:eastAsia="Times New Roman" w:hAnsi="Calibri" w:cs="Calibri"/>
                <w:b/>
                <w:bCs/>
                <w:sz w:val="20"/>
                <w:szCs w:val="20"/>
                <w:lang w:eastAsia="en-AU"/>
              </w:rPr>
              <w:t>All Commencing Domestic Students</w:t>
            </w:r>
          </w:p>
        </w:tc>
        <w:tc>
          <w:tcPr>
            <w:tcW w:w="1221" w:type="dxa"/>
            <w:tcBorders>
              <w:top w:val="nil"/>
              <w:left w:val="nil"/>
              <w:bottom w:val="single" w:sz="4" w:space="0" w:color="auto"/>
              <w:right w:val="single" w:sz="4" w:space="0" w:color="auto"/>
            </w:tcBorders>
            <w:shd w:val="clear" w:color="auto" w:fill="auto"/>
            <w:vAlign w:val="bottom"/>
            <w:hideMark/>
          </w:tcPr>
          <w:p w14:paraId="75563FDF" w14:textId="77777777" w:rsidR="00C43F97" w:rsidRPr="00A028CE" w:rsidRDefault="00C43F97" w:rsidP="001D11C5">
            <w:pPr>
              <w:spacing w:after="0" w:line="240" w:lineRule="auto"/>
              <w:jc w:val="right"/>
              <w:rPr>
                <w:rFonts w:ascii="Calibri" w:eastAsia="Times New Roman" w:hAnsi="Calibri" w:cs="Calibri"/>
                <w:sz w:val="20"/>
                <w:szCs w:val="20"/>
                <w:lang w:eastAsia="en-AU"/>
              </w:rPr>
            </w:pPr>
            <w:r w:rsidRPr="00A028CE">
              <w:rPr>
                <w:rFonts w:ascii="Calibri" w:eastAsia="Times New Roman" w:hAnsi="Calibri" w:cs="Calibri"/>
                <w:sz w:val="20"/>
                <w:szCs w:val="20"/>
                <w:lang w:eastAsia="en-AU"/>
              </w:rPr>
              <w:t xml:space="preserve">       409,370 </w:t>
            </w:r>
          </w:p>
        </w:tc>
        <w:tc>
          <w:tcPr>
            <w:tcW w:w="1134" w:type="dxa"/>
            <w:tcBorders>
              <w:top w:val="nil"/>
              <w:left w:val="nil"/>
              <w:bottom w:val="single" w:sz="4" w:space="0" w:color="auto"/>
              <w:right w:val="single" w:sz="4" w:space="0" w:color="auto"/>
            </w:tcBorders>
            <w:shd w:val="clear" w:color="auto" w:fill="auto"/>
            <w:noWrap/>
            <w:vAlign w:val="bottom"/>
            <w:hideMark/>
          </w:tcPr>
          <w:p w14:paraId="08DD33B1" w14:textId="77777777" w:rsidR="00C43F97" w:rsidRPr="00A028CE" w:rsidRDefault="00C43F97" w:rsidP="001D11C5">
            <w:pPr>
              <w:spacing w:after="0" w:line="240" w:lineRule="auto"/>
              <w:jc w:val="right"/>
              <w:rPr>
                <w:rFonts w:ascii="Calibri" w:eastAsia="Times New Roman" w:hAnsi="Calibri" w:cs="Calibri"/>
                <w:color w:val="000000"/>
                <w:sz w:val="20"/>
                <w:szCs w:val="20"/>
                <w:lang w:eastAsia="en-AU"/>
              </w:rPr>
            </w:pPr>
            <w:r w:rsidRPr="00A028CE">
              <w:rPr>
                <w:rFonts w:ascii="Calibri" w:eastAsia="Times New Roman" w:hAnsi="Calibri" w:cs="Calibri"/>
                <w:color w:val="000000"/>
                <w:sz w:val="20"/>
                <w:szCs w:val="20"/>
                <w:lang w:eastAsia="en-AU"/>
              </w:rPr>
              <w:t>446,836</w:t>
            </w:r>
          </w:p>
        </w:tc>
        <w:tc>
          <w:tcPr>
            <w:tcW w:w="1134" w:type="dxa"/>
            <w:tcBorders>
              <w:top w:val="nil"/>
              <w:left w:val="nil"/>
              <w:bottom w:val="single" w:sz="4" w:space="0" w:color="auto"/>
              <w:right w:val="single" w:sz="4" w:space="0" w:color="auto"/>
            </w:tcBorders>
            <w:shd w:val="clear" w:color="auto" w:fill="auto"/>
            <w:noWrap/>
            <w:vAlign w:val="bottom"/>
            <w:hideMark/>
          </w:tcPr>
          <w:p w14:paraId="2914D383" w14:textId="77777777" w:rsidR="00C43F97" w:rsidRPr="00A028CE" w:rsidRDefault="00C43F97" w:rsidP="001D11C5">
            <w:pPr>
              <w:spacing w:after="0" w:line="240" w:lineRule="auto"/>
              <w:jc w:val="right"/>
              <w:rPr>
                <w:rFonts w:ascii="Calibri" w:eastAsia="Times New Roman" w:hAnsi="Calibri" w:cs="Calibri"/>
                <w:color w:val="000000"/>
                <w:sz w:val="20"/>
                <w:szCs w:val="20"/>
                <w:lang w:eastAsia="en-AU"/>
              </w:rPr>
            </w:pPr>
            <w:r w:rsidRPr="00A028CE">
              <w:rPr>
                <w:rFonts w:ascii="Calibri" w:eastAsia="Times New Roman" w:hAnsi="Calibri" w:cs="Calibri"/>
                <w:color w:val="000000"/>
                <w:sz w:val="20"/>
                <w:szCs w:val="20"/>
                <w:lang w:eastAsia="en-AU"/>
              </w:rPr>
              <w:t>400,341</w:t>
            </w:r>
          </w:p>
        </w:tc>
        <w:tc>
          <w:tcPr>
            <w:tcW w:w="1190" w:type="dxa"/>
            <w:tcBorders>
              <w:top w:val="nil"/>
              <w:left w:val="nil"/>
              <w:bottom w:val="single" w:sz="4" w:space="0" w:color="auto"/>
              <w:right w:val="single" w:sz="4" w:space="0" w:color="auto"/>
            </w:tcBorders>
            <w:shd w:val="clear" w:color="auto" w:fill="auto"/>
            <w:noWrap/>
            <w:vAlign w:val="bottom"/>
            <w:hideMark/>
          </w:tcPr>
          <w:p w14:paraId="1F0303A3" w14:textId="77777777" w:rsidR="00C43F97" w:rsidRPr="00A028CE" w:rsidRDefault="00C43F97" w:rsidP="001D11C5">
            <w:pPr>
              <w:spacing w:after="0" w:line="240" w:lineRule="auto"/>
              <w:jc w:val="right"/>
              <w:rPr>
                <w:rFonts w:ascii="Calibri" w:eastAsia="Times New Roman" w:hAnsi="Calibri" w:cs="Calibri"/>
                <w:color w:val="000000"/>
                <w:sz w:val="20"/>
                <w:szCs w:val="20"/>
                <w:lang w:eastAsia="en-AU"/>
              </w:rPr>
            </w:pPr>
            <w:r w:rsidRPr="00A028CE">
              <w:rPr>
                <w:rFonts w:ascii="Calibri" w:eastAsia="Times New Roman" w:hAnsi="Calibri" w:cs="Calibri"/>
                <w:color w:val="000000"/>
                <w:sz w:val="20"/>
                <w:szCs w:val="20"/>
                <w:lang w:eastAsia="en-AU"/>
              </w:rPr>
              <w:t>-10.4%</w:t>
            </w:r>
          </w:p>
        </w:tc>
      </w:tr>
    </w:tbl>
    <w:p w14:paraId="1C0A1980" w14:textId="5832D856" w:rsidR="00CA1D9D" w:rsidRPr="00530F57" w:rsidRDefault="00CC3053" w:rsidP="00A028CE">
      <w:pPr>
        <w:rPr>
          <w:rFonts w:cstheme="minorHAnsi"/>
        </w:rPr>
      </w:pPr>
      <w:r>
        <w:rPr>
          <w:rFonts w:cstheme="minorHAnsi"/>
        </w:rPr>
        <w:t>[</w:t>
      </w:r>
      <w:r w:rsidR="00B70EBB">
        <w:rPr>
          <w:rFonts w:cstheme="minorHAnsi"/>
        </w:rPr>
        <w:t>Extended d</w:t>
      </w:r>
      <w:r w:rsidR="00CA1D9D" w:rsidRPr="00530F57">
        <w:rPr>
          <w:rFonts w:cstheme="minorHAnsi"/>
        </w:rPr>
        <w:t xml:space="preserve">ata can be found in </w:t>
      </w:r>
      <w:r w:rsidR="001879BF">
        <w:rPr>
          <w:rFonts w:cstheme="minorHAnsi"/>
        </w:rPr>
        <w:t>the</w:t>
      </w:r>
      <w:r w:rsidR="00FD74E7">
        <w:rPr>
          <w:rFonts w:cstheme="minorHAnsi"/>
        </w:rPr>
        <w:t xml:space="preserve"> </w:t>
      </w:r>
      <w:hyperlink r:id="rId20" w:history="1">
        <w:r w:rsidR="00FD74E7" w:rsidRPr="00FD74E7">
          <w:rPr>
            <w:rStyle w:val="Hyperlink"/>
            <w:rFonts w:cstheme="minorHAnsi"/>
          </w:rPr>
          <w:t>2022 student summary time series</w:t>
        </w:r>
      </w:hyperlink>
      <w:r w:rsidR="00CA1D9D" w:rsidRPr="00530F57">
        <w:rPr>
          <w:rFonts w:cstheme="minorHAnsi"/>
        </w:rPr>
        <w:t>]</w:t>
      </w:r>
    </w:p>
    <w:p w14:paraId="51F6F653" w14:textId="1B467732" w:rsidR="00CA1D9D" w:rsidRDefault="005F40D0" w:rsidP="00CA1D9D">
      <w:pPr>
        <w:pStyle w:val="ListParagraph"/>
        <w:numPr>
          <w:ilvl w:val="0"/>
          <w:numId w:val="21"/>
        </w:numPr>
        <w:spacing w:after="0" w:line="240" w:lineRule="auto"/>
        <w:contextualSpacing w:val="0"/>
        <w:rPr>
          <w:rFonts w:asciiTheme="minorHAnsi" w:eastAsia="Times New Roman" w:hAnsiTheme="minorHAnsi" w:cstheme="minorHAnsi"/>
        </w:rPr>
      </w:pPr>
      <w:r>
        <w:rPr>
          <w:rFonts w:asciiTheme="minorHAnsi" w:eastAsia="Times New Roman" w:hAnsiTheme="minorHAnsi" w:cstheme="minorHAnsi"/>
        </w:rPr>
        <w:t>In line</w:t>
      </w:r>
      <w:r w:rsidR="00BB7F3B">
        <w:rPr>
          <w:rFonts w:asciiTheme="minorHAnsi" w:eastAsia="Times New Roman" w:hAnsiTheme="minorHAnsi" w:cstheme="minorHAnsi"/>
        </w:rPr>
        <w:t xml:space="preserve"> with</w:t>
      </w:r>
      <w:r w:rsidR="005B0C97">
        <w:rPr>
          <w:rFonts w:asciiTheme="minorHAnsi" w:eastAsia="Times New Roman" w:hAnsiTheme="minorHAnsi" w:cstheme="minorHAnsi"/>
        </w:rPr>
        <w:t xml:space="preserve"> the overall trend</w:t>
      </w:r>
      <w:r w:rsidR="00BB7F3B">
        <w:rPr>
          <w:rFonts w:asciiTheme="minorHAnsi" w:eastAsia="Times New Roman" w:hAnsiTheme="minorHAnsi" w:cstheme="minorHAnsi"/>
        </w:rPr>
        <w:t xml:space="preserve"> for domestic students</w:t>
      </w:r>
      <w:r w:rsidR="005B0C97">
        <w:rPr>
          <w:rFonts w:asciiTheme="minorHAnsi" w:eastAsia="Times New Roman" w:hAnsiTheme="minorHAnsi" w:cstheme="minorHAnsi"/>
        </w:rPr>
        <w:t>, t</w:t>
      </w:r>
      <w:r w:rsidR="00CA1D9D">
        <w:rPr>
          <w:rFonts w:asciiTheme="minorHAnsi" w:eastAsia="Times New Roman" w:hAnsiTheme="minorHAnsi" w:cstheme="minorHAnsi"/>
        </w:rPr>
        <w:t>here were decreases in all fields of education for commencing domestic students from 2021 to 2022.</w:t>
      </w:r>
    </w:p>
    <w:p w14:paraId="342141EF" w14:textId="1065A2B9" w:rsidR="00BB7F3B" w:rsidRPr="00BB7F3B" w:rsidRDefault="00BB7F3B" w:rsidP="005F40D0">
      <w:pPr>
        <w:pStyle w:val="ListParagraph"/>
        <w:numPr>
          <w:ilvl w:val="0"/>
          <w:numId w:val="21"/>
        </w:numPr>
        <w:spacing w:after="0" w:line="240" w:lineRule="auto"/>
        <w:contextualSpacing w:val="0"/>
        <w:rPr>
          <w:rFonts w:asciiTheme="minorHAnsi" w:eastAsia="Times New Roman" w:hAnsiTheme="minorHAnsi" w:cstheme="minorHAnsi"/>
        </w:rPr>
      </w:pPr>
      <w:r w:rsidRPr="005F40D0">
        <w:rPr>
          <w:rFonts w:asciiTheme="minorHAnsi" w:hAnsiTheme="minorHAnsi" w:cstheme="minorHAnsi"/>
          <w:szCs w:val="24"/>
        </w:rPr>
        <w:t>Over the longer term, enrolments of commencing domestic students in Information Technology have increased 26.2 per cent since 2018</w:t>
      </w:r>
      <w:r>
        <w:rPr>
          <w:rFonts w:asciiTheme="minorHAnsi" w:hAnsiTheme="minorHAnsi" w:cstheme="minorHAnsi"/>
          <w:szCs w:val="24"/>
        </w:rPr>
        <w:t>.</w:t>
      </w:r>
    </w:p>
    <w:p w14:paraId="5A0B1538" w14:textId="48F82E6E" w:rsidR="005B0C97" w:rsidRDefault="00BD523F" w:rsidP="00B70EBB">
      <w:pPr>
        <w:pStyle w:val="ListParagraph"/>
        <w:numPr>
          <w:ilvl w:val="0"/>
          <w:numId w:val="21"/>
        </w:numPr>
        <w:spacing w:after="0" w:line="240" w:lineRule="auto"/>
        <w:contextualSpacing w:val="0"/>
        <w:rPr>
          <w:color w:val="000000" w:themeColor="text1"/>
        </w:rPr>
      </w:pPr>
      <w:r>
        <w:rPr>
          <w:rFonts w:asciiTheme="minorHAnsi" w:eastAsia="Times New Roman" w:hAnsiTheme="minorHAnsi" w:cstheme="minorHAnsi"/>
        </w:rPr>
        <w:t>Commencing d</w:t>
      </w:r>
      <w:r w:rsidR="00CA1D9D" w:rsidRPr="00B70EBB">
        <w:rPr>
          <w:rFonts w:asciiTheme="minorHAnsi" w:eastAsia="Times New Roman" w:hAnsiTheme="minorHAnsi" w:cstheme="minorHAnsi"/>
        </w:rPr>
        <w:t xml:space="preserve">omestic students decreased in </w:t>
      </w:r>
      <w:r w:rsidR="00B70EBB" w:rsidRPr="00B70EBB">
        <w:rPr>
          <w:rFonts w:asciiTheme="minorHAnsi" w:eastAsia="Times New Roman" w:hAnsiTheme="minorHAnsi" w:cstheme="minorHAnsi"/>
        </w:rPr>
        <w:t>Nursing and Initial Teacher Education</w:t>
      </w:r>
      <w:r w:rsidR="00CC6666">
        <w:rPr>
          <w:rFonts w:asciiTheme="minorHAnsi" w:eastAsia="Times New Roman" w:hAnsiTheme="minorHAnsi" w:cstheme="minorHAnsi"/>
        </w:rPr>
        <w:t xml:space="preserve"> courses</w:t>
      </w:r>
      <w:r w:rsidR="00B70EBB" w:rsidRPr="00B70EBB">
        <w:rPr>
          <w:rFonts w:asciiTheme="minorHAnsi" w:eastAsia="Times New Roman" w:hAnsiTheme="minorHAnsi" w:cstheme="minorHAnsi"/>
        </w:rPr>
        <w:t>.</w:t>
      </w:r>
      <w:r w:rsidR="00B70EBB">
        <w:rPr>
          <w:rFonts w:asciiTheme="minorHAnsi" w:eastAsia="Times New Roman" w:hAnsiTheme="minorHAnsi" w:cstheme="minorHAnsi"/>
        </w:rPr>
        <w:t xml:space="preserve"> </w:t>
      </w:r>
    </w:p>
    <w:p w14:paraId="372EEDE2" w14:textId="77777777" w:rsidR="005B0C97" w:rsidRPr="00B84ACE" w:rsidRDefault="005B0C97" w:rsidP="005F40D0">
      <w:pPr>
        <w:pStyle w:val="ListParagraph"/>
        <w:spacing w:after="0" w:line="240" w:lineRule="auto"/>
        <w:ind w:left="1440"/>
        <w:contextualSpacing w:val="0"/>
        <w:rPr>
          <w:rFonts w:asciiTheme="minorHAnsi" w:eastAsia="Times New Roman" w:hAnsiTheme="minorHAnsi" w:cstheme="minorHAnsi"/>
        </w:rPr>
      </w:pPr>
    </w:p>
    <w:p w14:paraId="666AEBB3" w14:textId="77777777" w:rsidR="00CA1D9D" w:rsidRDefault="00CA1D9D" w:rsidP="00CA1D9D"/>
    <w:p w14:paraId="563E7406" w14:textId="77777777" w:rsidR="00F0052D" w:rsidRDefault="00F0052D" w:rsidP="00CA1D9D"/>
    <w:p w14:paraId="72B0E19A" w14:textId="77777777" w:rsidR="00D764F7" w:rsidRDefault="00D764F7" w:rsidP="00CA1D9D"/>
    <w:p w14:paraId="2EE124D2" w14:textId="7CBC1DC8" w:rsidR="00CA1D9D" w:rsidRDefault="00CA1D9D" w:rsidP="00CA1D9D">
      <w:pPr>
        <w:pStyle w:val="Heading3"/>
      </w:pPr>
      <w:bookmarkStart w:id="7" w:name="_Toc152149411"/>
      <w:r>
        <w:lastRenderedPageBreak/>
        <w:t>Enrolments of First Nations students fall for the first time</w:t>
      </w:r>
      <w:r w:rsidR="00D7426E">
        <w:t xml:space="preserve"> in </w:t>
      </w:r>
      <w:proofErr w:type="gramStart"/>
      <w:r w:rsidR="00D7426E">
        <w:t>2022</w:t>
      </w:r>
      <w:bookmarkEnd w:id="7"/>
      <w:proofErr w:type="gramEnd"/>
    </w:p>
    <w:p w14:paraId="0E4E4A42" w14:textId="359392FF" w:rsidR="00CA1D9D" w:rsidRDefault="00CA1D9D" w:rsidP="00CA1D9D">
      <w:pPr>
        <w:rPr>
          <w:rFonts w:cstheme="minorHAnsi"/>
        </w:rPr>
      </w:pPr>
      <w:r>
        <w:rPr>
          <w:rFonts w:cstheme="minorHAnsi"/>
        </w:rPr>
        <w:t xml:space="preserve">Figure </w:t>
      </w:r>
      <w:r w:rsidR="00F0052D">
        <w:rPr>
          <w:rFonts w:cstheme="minorHAnsi"/>
        </w:rPr>
        <w:t>5</w:t>
      </w:r>
      <w:r>
        <w:rPr>
          <w:rFonts w:cstheme="minorHAnsi"/>
        </w:rPr>
        <w:t xml:space="preserve">: All </w:t>
      </w:r>
      <w:r w:rsidR="00164D58">
        <w:rPr>
          <w:rFonts w:cstheme="minorHAnsi"/>
        </w:rPr>
        <w:t xml:space="preserve">commencing onshore </w:t>
      </w:r>
      <w:r>
        <w:rPr>
          <w:rFonts w:cstheme="minorHAnsi"/>
        </w:rPr>
        <w:t>domestic students by equity group</w:t>
      </w:r>
      <w:r w:rsidR="00282E45">
        <w:rPr>
          <w:rStyle w:val="FootnoteReference"/>
          <w:rFonts w:cstheme="minorHAnsi"/>
        </w:rPr>
        <w:footnoteReference w:id="2"/>
      </w:r>
      <w:r>
        <w:rPr>
          <w:rFonts w:cstheme="minorHAnsi"/>
        </w:rPr>
        <w:t>, 2016 - 2022</w:t>
      </w:r>
      <w:r w:rsidR="00005FE6">
        <w:rPr>
          <w:rStyle w:val="FootnoteReference"/>
          <w:rFonts w:cstheme="minorHAnsi"/>
        </w:rPr>
        <w:footnoteReference w:id="3"/>
      </w:r>
    </w:p>
    <w:p w14:paraId="6C8381C4" w14:textId="77777777" w:rsidR="00CA1D9D" w:rsidRPr="00C20E76" w:rsidRDefault="00CA1D9D" w:rsidP="00CA1D9D">
      <w:pPr>
        <w:rPr>
          <w:rFonts w:cstheme="minorHAnsi"/>
        </w:rPr>
      </w:pPr>
      <w:r>
        <w:rPr>
          <w:noProof/>
          <w14:ligatures w14:val="standardContextual"/>
        </w:rPr>
        <w:drawing>
          <wp:inline distT="0" distB="0" distL="0" distR="0" wp14:anchorId="67BCFA77" wp14:editId="02232CCA">
            <wp:extent cx="6057900" cy="3810000"/>
            <wp:effectExtent l="0" t="0" r="0" b="0"/>
            <wp:docPr id="620956375" name="Chart 1">
              <a:extLst xmlns:a="http://schemas.openxmlformats.org/drawingml/2006/main">
                <a:ext uri="{FF2B5EF4-FFF2-40B4-BE49-F238E27FC236}">
                  <a16:creationId xmlns:a16="http://schemas.microsoft.com/office/drawing/2014/main" id="{C8A323F5-1478-59C9-38F9-418B898254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C163A76" w14:textId="3F5A9F51" w:rsidR="00CA1D9D" w:rsidRDefault="00CA1D9D" w:rsidP="00CA1D9D">
      <w:pPr>
        <w:rPr>
          <w:rFonts w:cstheme="minorHAnsi"/>
        </w:rPr>
      </w:pPr>
      <w:r w:rsidRPr="00C20E76">
        <w:rPr>
          <w:rFonts w:cstheme="minorHAnsi"/>
        </w:rPr>
        <w:t>[Data can be found i</w:t>
      </w:r>
      <w:r w:rsidR="001879BF">
        <w:rPr>
          <w:rFonts w:cstheme="minorHAnsi"/>
        </w:rPr>
        <w:t xml:space="preserve">n the </w:t>
      </w:r>
      <w:hyperlink r:id="rId22" w:history="1">
        <w:r w:rsidR="001879BF" w:rsidRPr="001879BF">
          <w:rPr>
            <w:rStyle w:val="Hyperlink"/>
            <w:rFonts w:cstheme="minorHAnsi"/>
          </w:rPr>
          <w:t>202</w:t>
        </w:r>
        <w:r w:rsidR="005532D3">
          <w:rPr>
            <w:rStyle w:val="Hyperlink"/>
            <w:rFonts w:cstheme="minorHAnsi"/>
          </w:rPr>
          <w:t>2</w:t>
        </w:r>
        <w:r w:rsidR="001879BF" w:rsidRPr="001879BF">
          <w:rPr>
            <w:rStyle w:val="Hyperlink"/>
            <w:rFonts w:cstheme="minorHAnsi"/>
          </w:rPr>
          <w:t xml:space="preserve"> section 11 Equity groups</w:t>
        </w:r>
      </w:hyperlink>
      <w:r w:rsidRPr="00C20E76">
        <w:rPr>
          <w:rFonts w:cstheme="minorHAnsi"/>
        </w:rPr>
        <w:t>]</w:t>
      </w:r>
    </w:p>
    <w:p w14:paraId="38E723DB" w14:textId="629DEBF6" w:rsidR="00164D58" w:rsidRDefault="00164D58" w:rsidP="00CA1D9D">
      <w:pPr>
        <w:rPr>
          <w:rFonts w:cstheme="minorHAnsi"/>
        </w:rPr>
      </w:pPr>
      <w:r>
        <w:rPr>
          <w:rFonts w:cstheme="minorHAnsi"/>
        </w:rPr>
        <w:t>Table 5a Commencing onshore domestic students by Equity group, 2021-2022</w:t>
      </w:r>
    </w:p>
    <w:tbl>
      <w:tblPr>
        <w:tblW w:w="8359" w:type="dxa"/>
        <w:tblLook w:val="04A0" w:firstRow="1" w:lastRow="0" w:firstColumn="1" w:lastColumn="0" w:noHBand="0" w:noVBand="1"/>
      </w:tblPr>
      <w:tblGrid>
        <w:gridCol w:w="4106"/>
        <w:gridCol w:w="1418"/>
        <w:gridCol w:w="1417"/>
        <w:gridCol w:w="1418"/>
      </w:tblGrid>
      <w:tr w:rsidR="00C43F97" w:rsidRPr="00482DEB" w14:paraId="412CCA86" w14:textId="786E9D33" w:rsidTr="00C43F97">
        <w:trPr>
          <w:trHeight w:val="874"/>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DFE6E2" w14:textId="77777777" w:rsidR="00C43F97" w:rsidRPr="00482DEB" w:rsidRDefault="00C43F97" w:rsidP="001D11C5">
            <w:pPr>
              <w:spacing w:after="0" w:line="240" w:lineRule="auto"/>
              <w:rPr>
                <w:rFonts w:ascii="Calibri" w:eastAsia="Times New Roman" w:hAnsi="Calibri" w:cs="Calibri"/>
                <w:color w:val="000000"/>
                <w:sz w:val="20"/>
                <w:szCs w:val="20"/>
                <w:lang w:eastAsia="en-AU"/>
              </w:rPr>
            </w:pPr>
            <w:r w:rsidRPr="00482DEB">
              <w:rPr>
                <w:rFonts w:ascii="Calibri" w:eastAsia="Times New Roman" w:hAnsi="Calibri" w:cs="Calibri"/>
                <w:color w:val="000000"/>
                <w:sz w:val="20"/>
                <w:szCs w:val="20"/>
                <w:lang w:eastAsia="en-AU"/>
              </w:rPr>
              <w:t> </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3FA925DF" w14:textId="77777777" w:rsidR="00C43F97" w:rsidRPr="00482DEB" w:rsidRDefault="00C43F97" w:rsidP="001D11C5">
            <w:pPr>
              <w:spacing w:after="0" w:line="240" w:lineRule="auto"/>
              <w:jc w:val="right"/>
              <w:rPr>
                <w:rFonts w:ascii="Calibri" w:eastAsia="Times New Roman" w:hAnsi="Calibri" w:cs="Calibri"/>
                <w:b/>
                <w:bCs/>
                <w:color w:val="000000"/>
                <w:sz w:val="20"/>
                <w:szCs w:val="20"/>
                <w:lang w:eastAsia="en-AU"/>
              </w:rPr>
            </w:pPr>
            <w:r w:rsidRPr="00482DEB">
              <w:rPr>
                <w:rFonts w:ascii="Calibri" w:eastAsia="Times New Roman" w:hAnsi="Calibri" w:cs="Calibri"/>
                <w:b/>
                <w:bCs/>
                <w:color w:val="000000"/>
                <w:sz w:val="20"/>
                <w:szCs w:val="20"/>
                <w:lang w:eastAsia="en-AU"/>
              </w:rPr>
              <w:t>2021</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571EB793" w14:textId="77777777" w:rsidR="00C43F97" w:rsidRPr="00482DEB" w:rsidRDefault="00C43F97" w:rsidP="001D11C5">
            <w:pPr>
              <w:spacing w:after="0" w:line="240" w:lineRule="auto"/>
              <w:jc w:val="right"/>
              <w:rPr>
                <w:rFonts w:ascii="Calibri" w:eastAsia="Times New Roman" w:hAnsi="Calibri" w:cs="Calibri"/>
                <w:b/>
                <w:bCs/>
                <w:color w:val="000000"/>
                <w:sz w:val="20"/>
                <w:szCs w:val="20"/>
                <w:lang w:eastAsia="en-AU"/>
              </w:rPr>
            </w:pPr>
            <w:r w:rsidRPr="00482DEB">
              <w:rPr>
                <w:rFonts w:ascii="Calibri" w:eastAsia="Times New Roman" w:hAnsi="Calibri" w:cs="Calibri"/>
                <w:b/>
                <w:bCs/>
                <w:color w:val="000000"/>
                <w:sz w:val="20"/>
                <w:szCs w:val="20"/>
                <w:lang w:eastAsia="en-AU"/>
              </w:rPr>
              <w:t>2022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0755AE4" w14:textId="77777777" w:rsidR="00C43F97" w:rsidRPr="00482DEB" w:rsidRDefault="00C43F97" w:rsidP="001D11C5">
            <w:pPr>
              <w:spacing w:after="0" w:line="240" w:lineRule="auto"/>
              <w:jc w:val="right"/>
              <w:rPr>
                <w:rFonts w:ascii="Calibri" w:eastAsia="Times New Roman" w:hAnsi="Calibri" w:cs="Calibri"/>
                <w:b/>
                <w:bCs/>
                <w:color w:val="000000"/>
                <w:sz w:val="20"/>
                <w:szCs w:val="20"/>
                <w:lang w:eastAsia="en-AU"/>
              </w:rPr>
            </w:pPr>
            <w:r w:rsidRPr="00482DEB">
              <w:rPr>
                <w:rFonts w:ascii="Calibri" w:eastAsia="Times New Roman" w:hAnsi="Calibri" w:cs="Calibri"/>
                <w:b/>
                <w:bCs/>
                <w:color w:val="000000"/>
                <w:sz w:val="20"/>
                <w:szCs w:val="20"/>
                <w:lang w:eastAsia="en-AU"/>
              </w:rPr>
              <w:t>% change 2021 to 2022</w:t>
            </w:r>
          </w:p>
        </w:tc>
      </w:tr>
      <w:tr w:rsidR="00C43F97" w:rsidRPr="00482DEB" w14:paraId="6B88BB4D" w14:textId="048E0E7D" w:rsidTr="00C43F97">
        <w:trPr>
          <w:trHeight w:val="293"/>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6E624D85" w14:textId="77777777" w:rsidR="00C43F97" w:rsidRPr="00482DEB" w:rsidRDefault="00C43F97" w:rsidP="001D11C5">
            <w:pPr>
              <w:spacing w:after="0" w:line="240" w:lineRule="auto"/>
              <w:rPr>
                <w:rFonts w:ascii="Calibri" w:eastAsia="Times New Roman" w:hAnsi="Calibri" w:cs="Calibri"/>
                <w:color w:val="000000"/>
                <w:sz w:val="20"/>
                <w:szCs w:val="20"/>
                <w:lang w:eastAsia="en-AU"/>
              </w:rPr>
            </w:pPr>
            <w:r w:rsidRPr="00482DEB">
              <w:rPr>
                <w:rFonts w:ascii="Calibri" w:eastAsia="Times New Roman" w:hAnsi="Calibri" w:cs="Calibri"/>
                <w:color w:val="000000"/>
                <w:sz w:val="20"/>
                <w:szCs w:val="20"/>
                <w:lang w:eastAsia="en-AU"/>
              </w:rPr>
              <w:t>First Nations</w:t>
            </w:r>
          </w:p>
        </w:tc>
        <w:tc>
          <w:tcPr>
            <w:tcW w:w="1418" w:type="dxa"/>
            <w:tcBorders>
              <w:top w:val="nil"/>
              <w:left w:val="nil"/>
              <w:bottom w:val="single" w:sz="4" w:space="0" w:color="auto"/>
              <w:right w:val="single" w:sz="4" w:space="0" w:color="auto"/>
            </w:tcBorders>
            <w:shd w:val="clear" w:color="auto" w:fill="auto"/>
            <w:noWrap/>
            <w:vAlign w:val="bottom"/>
            <w:hideMark/>
          </w:tcPr>
          <w:p w14:paraId="4C44D529" w14:textId="77777777" w:rsidR="00C43F97" w:rsidRPr="00482DEB" w:rsidRDefault="00C43F97" w:rsidP="001D11C5">
            <w:pPr>
              <w:spacing w:after="0" w:line="240" w:lineRule="auto"/>
              <w:jc w:val="right"/>
              <w:rPr>
                <w:rFonts w:ascii="Calibri" w:eastAsia="Times New Roman" w:hAnsi="Calibri" w:cs="Calibri"/>
                <w:color w:val="000000"/>
                <w:sz w:val="20"/>
                <w:szCs w:val="20"/>
                <w:lang w:eastAsia="en-AU"/>
              </w:rPr>
            </w:pPr>
            <w:r w:rsidRPr="00482DEB">
              <w:rPr>
                <w:rFonts w:ascii="Calibri" w:eastAsia="Times New Roman" w:hAnsi="Calibri" w:cs="Calibri"/>
                <w:color w:val="000000"/>
                <w:sz w:val="20"/>
                <w:szCs w:val="20"/>
                <w:lang w:eastAsia="en-AU"/>
              </w:rPr>
              <w:t>10,506</w:t>
            </w:r>
          </w:p>
        </w:tc>
        <w:tc>
          <w:tcPr>
            <w:tcW w:w="1417" w:type="dxa"/>
            <w:tcBorders>
              <w:top w:val="nil"/>
              <w:left w:val="nil"/>
              <w:bottom w:val="single" w:sz="4" w:space="0" w:color="auto"/>
              <w:right w:val="single" w:sz="4" w:space="0" w:color="auto"/>
            </w:tcBorders>
            <w:shd w:val="clear" w:color="auto" w:fill="auto"/>
            <w:noWrap/>
            <w:vAlign w:val="bottom"/>
            <w:hideMark/>
          </w:tcPr>
          <w:p w14:paraId="07B26AD4" w14:textId="77777777" w:rsidR="00C43F97" w:rsidRPr="00482DEB" w:rsidRDefault="00C43F97" w:rsidP="001D11C5">
            <w:pPr>
              <w:spacing w:after="0" w:line="240" w:lineRule="auto"/>
              <w:jc w:val="right"/>
              <w:rPr>
                <w:rFonts w:ascii="Calibri" w:eastAsia="Times New Roman" w:hAnsi="Calibri" w:cs="Calibri"/>
                <w:color w:val="000000"/>
                <w:sz w:val="20"/>
                <w:szCs w:val="20"/>
                <w:lang w:eastAsia="en-AU"/>
              </w:rPr>
            </w:pPr>
            <w:r w:rsidRPr="00482DEB">
              <w:rPr>
                <w:rFonts w:ascii="Calibri" w:eastAsia="Times New Roman" w:hAnsi="Calibri" w:cs="Calibri"/>
                <w:color w:val="000000"/>
                <w:sz w:val="20"/>
                <w:szCs w:val="20"/>
                <w:lang w:eastAsia="en-AU"/>
              </w:rPr>
              <w:t>9,668</w:t>
            </w:r>
          </w:p>
        </w:tc>
        <w:tc>
          <w:tcPr>
            <w:tcW w:w="1418" w:type="dxa"/>
            <w:tcBorders>
              <w:top w:val="nil"/>
              <w:left w:val="nil"/>
              <w:bottom w:val="single" w:sz="4" w:space="0" w:color="auto"/>
              <w:right w:val="single" w:sz="4" w:space="0" w:color="auto"/>
            </w:tcBorders>
            <w:shd w:val="clear" w:color="auto" w:fill="auto"/>
            <w:noWrap/>
            <w:vAlign w:val="bottom"/>
          </w:tcPr>
          <w:p w14:paraId="62B8EDD4" w14:textId="7CD286FB" w:rsidR="00C43F97" w:rsidRPr="00482DEB" w:rsidRDefault="00C43F97" w:rsidP="001D11C5">
            <w:pPr>
              <w:spacing w:after="0" w:line="240" w:lineRule="auto"/>
              <w:jc w:val="right"/>
              <w:rPr>
                <w:rFonts w:ascii="Calibri" w:eastAsia="Times New Roman" w:hAnsi="Calibri" w:cs="Calibri"/>
                <w:color w:val="000000"/>
                <w:sz w:val="20"/>
                <w:szCs w:val="20"/>
                <w:lang w:eastAsia="en-AU"/>
              </w:rPr>
            </w:pPr>
            <w:r>
              <w:rPr>
                <w:rFonts w:ascii="Calibri" w:hAnsi="Calibri" w:cs="Calibri"/>
                <w:color w:val="000000"/>
                <w:sz w:val="20"/>
                <w:szCs w:val="20"/>
              </w:rPr>
              <w:t>-8.0%</w:t>
            </w:r>
          </w:p>
        </w:tc>
      </w:tr>
      <w:tr w:rsidR="00C43F97" w:rsidRPr="00482DEB" w14:paraId="54764E35" w14:textId="0DBC1B0F" w:rsidTr="00C43F97">
        <w:trPr>
          <w:trHeight w:val="293"/>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77865847" w14:textId="77777777" w:rsidR="00C43F97" w:rsidRPr="00482DEB" w:rsidRDefault="00C43F97" w:rsidP="001D11C5">
            <w:pPr>
              <w:spacing w:after="0" w:line="240" w:lineRule="auto"/>
              <w:rPr>
                <w:rFonts w:ascii="Calibri" w:eastAsia="Times New Roman" w:hAnsi="Calibri" w:cs="Calibri"/>
                <w:color w:val="000000"/>
                <w:sz w:val="20"/>
                <w:szCs w:val="20"/>
                <w:lang w:eastAsia="en-AU"/>
              </w:rPr>
            </w:pPr>
            <w:r w:rsidRPr="00482DEB">
              <w:rPr>
                <w:rFonts w:ascii="Calibri" w:eastAsia="Times New Roman" w:hAnsi="Calibri" w:cs="Calibri"/>
                <w:color w:val="000000"/>
                <w:sz w:val="20"/>
                <w:szCs w:val="20"/>
                <w:lang w:eastAsia="en-AU"/>
              </w:rPr>
              <w:t>First Address Low SES by SA1 (SEIFA21)</w:t>
            </w:r>
          </w:p>
        </w:tc>
        <w:tc>
          <w:tcPr>
            <w:tcW w:w="1418" w:type="dxa"/>
            <w:tcBorders>
              <w:top w:val="nil"/>
              <w:left w:val="nil"/>
              <w:bottom w:val="single" w:sz="4" w:space="0" w:color="auto"/>
              <w:right w:val="single" w:sz="4" w:space="0" w:color="auto"/>
            </w:tcBorders>
            <w:shd w:val="clear" w:color="auto" w:fill="auto"/>
            <w:noWrap/>
            <w:vAlign w:val="bottom"/>
            <w:hideMark/>
          </w:tcPr>
          <w:p w14:paraId="77F59DCA" w14:textId="77777777" w:rsidR="00C43F97" w:rsidRPr="00482DEB" w:rsidRDefault="00C43F97" w:rsidP="001D11C5">
            <w:pPr>
              <w:spacing w:after="0" w:line="240" w:lineRule="auto"/>
              <w:jc w:val="right"/>
              <w:rPr>
                <w:rFonts w:ascii="Calibri" w:eastAsia="Times New Roman" w:hAnsi="Calibri" w:cs="Calibri"/>
                <w:color w:val="000000"/>
                <w:sz w:val="20"/>
                <w:szCs w:val="20"/>
                <w:lang w:eastAsia="en-AU"/>
              </w:rPr>
            </w:pPr>
            <w:r w:rsidRPr="00482DEB">
              <w:rPr>
                <w:rFonts w:ascii="Calibri" w:eastAsia="Times New Roman" w:hAnsi="Calibri" w:cs="Calibri"/>
                <w:color w:val="000000"/>
                <w:sz w:val="20"/>
                <w:szCs w:val="20"/>
                <w:lang w:eastAsia="en-AU"/>
              </w:rPr>
              <w:t>75,876</w:t>
            </w:r>
          </w:p>
        </w:tc>
        <w:tc>
          <w:tcPr>
            <w:tcW w:w="1417" w:type="dxa"/>
            <w:tcBorders>
              <w:top w:val="nil"/>
              <w:left w:val="nil"/>
              <w:bottom w:val="single" w:sz="4" w:space="0" w:color="auto"/>
              <w:right w:val="single" w:sz="4" w:space="0" w:color="auto"/>
            </w:tcBorders>
            <w:shd w:val="clear" w:color="auto" w:fill="auto"/>
            <w:noWrap/>
            <w:vAlign w:val="bottom"/>
            <w:hideMark/>
          </w:tcPr>
          <w:p w14:paraId="24B35448" w14:textId="77777777" w:rsidR="00C43F97" w:rsidRPr="00482DEB" w:rsidRDefault="00C43F97" w:rsidP="001D11C5">
            <w:pPr>
              <w:spacing w:after="0" w:line="240" w:lineRule="auto"/>
              <w:jc w:val="right"/>
              <w:rPr>
                <w:rFonts w:ascii="Calibri" w:eastAsia="Times New Roman" w:hAnsi="Calibri" w:cs="Calibri"/>
                <w:color w:val="000000"/>
                <w:sz w:val="20"/>
                <w:szCs w:val="20"/>
                <w:lang w:eastAsia="en-AU"/>
              </w:rPr>
            </w:pPr>
            <w:r w:rsidRPr="00482DEB">
              <w:rPr>
                <w:rFonts w:ascii="Calibri" w:eastAsia="Times New Roman" w:hAnsi="Calibri" w:cs="Calibri"/>
                <w:color w:val="000000"/>
                <w:sz w:val="20"/>
                <w:szCs w:val="20"/>
                <w:lang w:eastAsia="en-AU"/>
              </w:rPr>
              <w:t>67,018</w:t>
            </w:r>
          </w:p>
        </w:tc>
        <w:tc>
          <w:tcPr>
            <w:tcW w:w="1418" w:type="dxa"/>
            <w:tcBorders>
              <w:top w:val="nil"/>
              <w:left w:val="nil"/>
              <w:bottom w:val="single" w:sz="4" w:space="0" w:color="auto"/>
              <w:right w:val="single" w:sz="4" w:space="0" w:color="auto"/>
            </w:tcBorders>
            <w:shd w:val="clear" w:color="auto" w:fill="auto"/>
            <w:noWrap/>
            <w:vAlign w:val="bottom"/>
          </w:tcPr>
          <w:p w14:paraId="0EB5186A" w14:textId="33913535" w:rsidR="00C43F97" w:rsidRPr="00482DEB" w:rsidRDefault="00C43F97" w:rsidP="001D11C5">
            <w:pPr>
              <w:spacing w:after="0" w:line="240" w:lineRule="auto"/>
              <w:jc w:val="right"/>
              <w:rPr>
                <w:rFonts w:ascii="Calibri" w:eastAsia="Times New Roman" w:hAnsi="Calibri" w:cs="Calibri"/>
                <w:color w:val="000000"/>
                <w:sz w:val="20"/>
                <w:szCs w:val="20"/>
                <w:lang w:eastAsia="en-AU"/>
              </w:rPr>
            </w:pPr>
            <w:r>
              <w:rPr>
                <w:rFonts w:ascii="Calibri" w:hAnsi="Calibri" w:cs="Calibri"/>
                <w:color w:val="000000"/>
                <w:sz w:val="20"/>
                <w:szCs w:val="20"/>
              </w:rPr>
              <w:t>-11.7%</w:t>
            </w:r>
          </w:p>
        </w:tc>
      </w:tr>
      <w:tr w:rsidR="00C43F97" w:rsidRPr="00482DEB" w14:paraId="46A20005" w14:textId="06C17A6A" w:rsidTr="00C43F97">
        <w:trPr>
          <w:trHeight w:val="293"/>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59A32DD4" w14:textId="77777777" w:rsidR="00C43F97" w:rsidRPr="00482DEB" w:rsidRDefault="00C43F97" w:rsidP="001D11C5">
            <w:pPr>
              <w:spacing w:after="0" w:line="240" w:lineRule="auto"/>
              <w:rPr>
                <w:rFonts w:ascii="Calibri" w:eastAsia="Times New Roman" w:hAnsi="Calibri" w:cs="Calibri"/>
                <w:sz w:val="20"/>
                <w:szCs w:val="20"/>
                <w:lang w:eastAsia="en-AU"/>
              </w:rPr>
            </w:pPr>
            <w:r w:rsidRPr="00482DEB">
              <w:rPr>
                <w:rFonts w:ascii="Calibri" w:eastAsia="Times New Roman" w:hAnsi="Calibri" w:cs="Calibri"/>
                <w:sz w:val="20"/>
                <w:szCs w:val="20"/>
                <w:lang w:eastAsia="en-AU"/>
              </w:rPr>
              <w:t>First Address Regional and Remote (ASGS21)</w:t>
            </w:r>
          </w:p>
        </w:tc>
        <w:tc>
          <w:tcPr>
            <w:tcW w:w="1418" w:type="dxa"/>
            <w:tcBorders>
              <w:top w:val="nil"/>
              <w:left w:val="nil"/>
              <w:bottom w:val="single" w:sz="4" w:space="0" w:color="auto"/>
              <w:right w:val="single" w:sz="4" w:space="0" w:color="auto"/>
            </w:tcBorders>
            <w:shd w:val="clear" w:color="auto" w:fill="auto"/>
            <w:noWrap/>
            <w:vAlign w:val="bottom"/>
            <w:hideMark/>
          </w:tcPr>
          <w:p w14:paraId="64221167" w14:textId="77777777" w:rsidR="00C43F97" w:rsidRPr="00482DEB" w:rsidRDefault="00C43F97" w:rsidP="001D11C5">
            <w:pPr>
              <w:spacing w:after="0" w:line="240" w:lineRule="auto"/>
              <w:jc w:val="right"/>
              <w:rPr>
                <w:rFonts w:ascii="Calibri" w:eastAsia="Times New Roman" w:hAnsi="Calibri" w:cs="Calibri"/>
                <w:color w:val="000000"/>
                <w:sz w:val="20"/>
                <w:szCs w:val="20"/>
                <w:lang w:eastAsia="en-AU"/>
              </w:rPr>
            </w:pPr>
            <w:r w:rsidRPr="00482DEB">
              <w:rPr>
                <w:rFonts w:ascii="Calibri" w:eastAsia="Times New Roman" w:hAnsi="Calibri" w:cs="Calibri"/>
                <w:color w:val="000000"/>
                <w:sz w:val="20"/>
                <w:szCs w:val="20"/>
                <w:lang w:eastAsia="en-AU"/>
              </w:rPr>
              <w:t>87,351</w:t>
            </w:r>
          </w:p>
        </w:tc>
        <w:tc>
          <w:tcPr>
            <w:tcW w:w="1417" w:type="dxa"/>
            <w:tcBorders>
              <w:top w:val="nil"/>
              <w:left w:val="nil"/>
              <w:bottom w:val="single" w:sz="4" w:space="0" w:color="auto"/>
              <w:right w:val="single" w:sz="4" w:space="0" w:color="auto"/>
            </w:tcBorders>
            <w:shd w:val="clear" w:color="auto" w:fill="auto"/>
            <w:noWrap/>
            <w:vAlign w:val="bottom"/>
            <w:hideMark/>
          </w:tcPr>
          <w:p w14:paraId="0A029222" w14:textId="77777777" w:rsidR="00C43F97" w:rsidRPr="00482DEB" w:rsidRDefault="00C43F97" w:rsidP="001D11C5">
            <w:pPr>
              <w:spacing w:after="0" w:line="240" w:lineRule="auto"/>
              <w:jc w:val="right"/>
              <w:rPr>
                <w:rFonts w:ascii="Calibri" w:eastAsia="Times New Roman" w:hAnsi="Calibri" w:cs="Calibri"/>
                <w:color w:val="000000"/>
                <w:sz w:val="20"/>
                <w:szCs w:val="20"/>
                <w:lang w:eastAsia="en-AU"/>
              </w:rPr>
            </w:pPr>
            <w:r w:rsidRPr="00482DEB">
              <w:rPr>
                <w:rFonts w:ascii="Calibri" w:eastAsia="Times New Roman" w:hAnsi="Calibri" w:cs="Calibri"/>
                <w:color w:val="000000"/>
                <w:sz w:val="20"/>
                <w:szCs w:val="20"/>
                <w:lang w:eastAsia="en-AU"/>
              </w:rPr>
              <w:t>80,285</w:t>
            </w:r>
          </w:p>
        </w:tc>
        <w:tc>
          <w:tcPr>
            <w:tcW w:w="1418" w:type="dxa"/>
            <w:tcBorders>
              <w:top w:val="nil"/>
              <w:left w:val="nil"/>
              <w:bottom w:val="single" w:sz="4" w:space="0" w:color="auto"/>
              <w:right w:val="single" w:sz="4" w:space="0" w:color="auto"/>
            </w:tcBorders>
            <w:shd w:val="clear" w:color="auto" w:fill="auto"/>
            <w:noWrap/>
            <w:vAlign w:val="bottom"/>
          </w:tcPr>
          <w:p w14:paraId="1FACE38B" w14:textId="64B30CFD" w:rsidR="00C43F97" w:rsidRPr="00482DEB" w:rsidRDefault="00C43F97" w:rsidP="001D11C5">
            <w:pPr>
              <w:spacing w:after="0" w:line="240" w:lineRule="auto"/>
              <w:jc w:val="right"/>
              <w:rPr>
                <w:rFonts w:ascii="Calibri" w:eastAsia="Times New Roman" w:hAnsi="Calibri" w:cs="Calibri"/>
                <w:color w:val="000000"/>
                <w:sz w:val="20"/>
                <w:szCs w:val="20"/>
                <w:lang w:eastAsia="en-AU"/>
              </w:rPr>
            </w:pPr>
            <w:r>
              <w:rPr>
                <w:rFonts w:ascii="Calibri" w:hAnsi="Calibri" w:cs="Calibri"/>
                <w:color w:val="000000"/>
                <w:sz w:val="20"/>
                <w:szCs w:val="20"/>
              </w:rPr>
              <w:t>-8.1%</w:t>
            </w:r>
          </w:p>
        </w:tc>
      </w:tr>
      <w:tr w:rsidR="00C43F97" w:rsidRPr="00482DEB" w14:paraId="34698637" w14:textId="26663971" w:rsidTr="00C43F97">
        <w:trPr>
          <w:trHeight w:val="293"/>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4FE7A651" w14:textId="77777777" w:rsidR="00C43F97" w:rsidRPr="00482DEB" w:rsidRDefault="00C43F97" w:rsidP="001D11C5">
            <w:pPr>
              <w:spacing w:after="0" w:line="240" w:lineRule="auto"/>
              <w:rPr>
                <w:rFonts w:ascii="Calibri" w:eastAsia="Times New Roman" w:hAnsi="Calibri" w:cs="Calibri"/>
                <w:color w:val="000000"/>
                <w:sz w:val="20"/>
                <w:szCs w:val="20"/>
                <w:lang w:eastAsia="en-AU"/>
              </w:rPr>
            </w:pPr>
            <w:r w:rsidRPr="00482DEB">
              <w:rPr>
                <w:rFonts w:ascii="Calibri" w:eastAsia="Times New Roman" w:hAnsi="Calibri" w:cs="Calibri"/>
                <w:color w:val="000000"/>
                <w:sz w:val="20"/>
                <w:szCs w:val="20"/>
                <w:lang w:eastAsia="en-AU"/>
              </w:rPr>
              <w:t xml:space="preserve">Non </w:t>
            </w:r>
            <w:proofErr w:type="gramStart"/>
            <w:r w:rsidRPr="00482DEB">
              <w:rPr>
                <w:rFonts w:ascii="Calibri" w:eastAsia="Times New Roman" w:hAnsi="Calibri" w:cs="Calibri"/>
                <w:color w:val="000000"/>
                <w:sz w:val="20"/>
                <w:szCs w:val="20"/>
                <w:lang w:eastAsia="en-AU"/>
              </w:rPr>
              <w:t>English speaking</w:t>
            </w:r>
            <w:proofErr w:type="gramEnd"/>
            <w:r w:rsidRPr="00482DEB">
              <w:rPr>
                <w:rFonts w:ascii="Calibri" w:eastAsia="Times New Roman" w:hAnsi="Calibri" w:cs="Calibri"/>
                <w:color w:val="000000"/>
                <w:sz w:val="20"/>
                <w:szCs w:val="20"/>
                <w:lang w:eastAsia="en-AU"/>
              </w:rPr>
              <w:t xml:space="preserve"> background</w:t>
            </w:r>
          </w:p>
        </w:tc>
        <w:tc>
          <w:tcPr>
            <w:tcW w:w="1418" w:type="dxa"/>
            <w:tcBorders>
              <w:top w:val="nil"/>
              <w:left w:val="nil"/>
              <w:bottom w:val="single" w:sz="4" w:space="0" w:color="auto"/>
              <w:right w:val="single" w:sz="4" w:space="0" w:color="auto"/>
            </w:tcBorders>
            <w:shd w:val="clear" w:color="auto" w:fill="auto"/>
            <w:noWrap/>
            <w:vAlign w:val="bottom"/>
            <w:hideMark/>
          </w:tcPr>
          <w:p w14:paraId="04E45DDA" w14:textId="77777777" w:rsidR="00C43F97" w:rsidRPr="00482DEB" w:rsidRDefault="00C43F97" w:rsidP="001D11C5">
            <w:pPr>
              <w:spacing w:after="0" w:line="240" w:lineRule="auto"/>
              <w:jc w:val="right"/>
              <w:rPr>
                <w:rFonts w:ascii="Calibri" w:eastAsia="Times New Roman" w:hAnsi="Calibri" w:cs="Calibri"/>
                <w:color w:val="000000"/>
                <w:sz w:val="20"/>
                <w:szCs w:val="20"/>
                <w:lang w:eastAsia="en-AU"/>
              </w:rPr>
            </w:pPr>
            <w:r w:rsidRPr="00482DEB">
              <w:rPr>
                <w:rFonts w:ascii="Calibri" w:eastAsia="Times New Roman" w:hAnsi="Calibri" w:cs="Calibri"/>
                <w:color w:val="000000"/>
                <w:sz w:val="20"/>
                <w:szCs w:val="20"/>
                <w:lang w:eastAsia="en-AU"/>
              </w:rPr>
              <w:t>16,219</w:t>
            </w:r>
          </w:p>
        </w:tc>
        <w:tc>
          <w:tcPr>
            <w:tcW w:w="1417" w:type="dxa"/>
            <w:tcBorders>
              <w:top w:val="nil"/>
              <w:left w:val="nil"/>
              <w:bottom w:val="single" w:sz="4" w:space="0" w:color="auto"/>
              <w:right w:val="single" w:sz="4" w:space="0" w:color="auto"/>
            </w:tcBorders>
            <w:shd w:val="clear" w:color="auto" w:fill="auto"/>
            <w:noWrap/>
            <w:vAlign w:val="bottom"/>
            <w:hideMark/>
          </w:tcPr>
          <w:p w14:paraId="47F1214D" w14:textId="77777777" w:rsidR="00C43F97" w:rsidRPr="00482DEB" w:rsidRDefault="00C43F97" w:rsidP="001D11C5">
            <w:pPr>
              <w:spacing w:after="0" w:line="240" w:lineRule="auto"/>
              <w:jc w:val="right"/>
              <w:rPr>
                <w:rFonts w:ascii="Calibri" w:eastAsia="Times New Roman" w:hAnsi="Calibri" w:cs="Calibri"/>
                <w:color w:val="000000"/>
                <w:sz w:val="20"/>
                <w:szCs w:val="20"/>
                <w:lang w:eastAsia="en-AU"/>
              </w:rPr>
            </w:pPr>
            <w:r w:rsidRPr="00482DEB">
              <w:rPr>
                <w:rFonts w:ascii="Calibri" w:eastAsia="Times New Roman" w:hAnsi="Calibri" w:cs="Calibri"/>
                <w:color w:val="000000"/>
                <w:sz w:val="20"/>
                <w:szCs w:val="20"/>
                <w:lang w:eastAsia="en-AU"/>
              </w:rPr>
              <w:t>14,112</w:t>
            </w:r>
          </w:p>
        </w:tc>
        <w:tc>
          <w:tcPr>
            <w:tcW w:w="1418" w:type="dxa"/>
            <w:tcBorders>
              <w:top w:val="nil"/>
              <w:left w:val="nil"/>
              <w:bottom w:val="single" w:sz="4" w:space="0" w:color="auto"/>
              <w:right w:val="single" w:sz="4" w:space="0" w:color="auto"/>
            </w:tcBorders>
            <w:shd w:val="clear" w:color="auto" w:fill="auto"/>
            <w:noWrap/>
            <w:vAlign w:val="bottom"/>
          </w:tcPr>
          <w:p w14:paraId="08976E27" w14:textId="440644D7" w:rsidR="00C43F97" w:rsidRPr="00482DEB" w:rsidRDefault="00C43F97" w:rsidP="001D11C5">
            <w:pPr>
              <w:spacing w:after="0" w:line="240" w:lineRule="auto"/>
              <w:jc w:val="right"/>
              <w:rPr>
                <w:rFonts w:ascii="Calibri" w:eastAsia="Times New Roman" w:hAnsi="Calibri" w:cs="Calibri"/>
                <w:color w:val="000000"/>
                <w:sz w:val="20"/>
                <w:szCs w:val="20"/>
                <w:lang w:eastAsia="en-AU"/>
              </w:rPr>
            </w:pPr>
            <w:r>
              <w:rPr>
                <w:rFonts w:ascii="Calibri" w:hAnsi="Calibri" w:cs="Calibri"/>
                <w:color w:val="000000"/>
                <w:sz w:val="20"/>
                <w:szCs w:val="20"/>
              </w:rPr>
              <w:t>-13.0%</w:t>
            </w:r>
          </w:p>
        </w:tc>
      </w:tr>
      <w:tr w:rsidR="00C43F97" w:rsidRPr="00482DEB" w14:paraId="21C2180E" w14:textId="7FEE99E6" w:rsidTr="00C43F97">
        <w:trPr>
          <w:trHeight w:val="293"/>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4F4EC0B9" w14:textId="77777777" w:rsidR="00C43F97" w:rsidRPr="00482DEB" w:rsidRDefault="00C43F97" w:rsidP="001D11C5">
            <w:pPr>
              <w:spacing w:after="0" w:line="240" w:lineRule="auto"/>
              <w:rPr>
                <w:rFonts w:ascii="Calibri" w:eastAsia="Times New Roman" w:hAnsi="Calibri" w:cs="Calibri"/>
                <w:color w:val="000000"/>
                <w:sz w:val="20"/>
                <w:szCs w:val="20"/>
                <w:lang w:eastAsia="en-AU"/>
              </w:rPr>
            </w:pPr>
            <w:r w:rsidRPr="00482DEB">
              <w:rPr>
                <w:rFonts w:ascii="Calibri" w:eastAsia="Times New Roman" w:hAnsi="Calibri" w:cs="Calibri"/>
                <w:color w:val="000000"/>
                <w:sz w:val="20"/>
                <w:szCs w:val="20"/>
                <w:lang w:eastAsia="en-AU"/>
              </w:rPr>
              <w:t>Students with a disability</w:t>
            </w:r>
          </w:p>
        </w:tc>
        <w:tc>
          <w:tcPr>
            <w:tcW w:w="1418" w:type="dxa"/>
            <w:tcBorders>
              <w:top w:val="nil"/>
              <w:left w:val="nil"/>
              <w:bottom w:val="single" w:sz="4" w:space="0" w:color="auto"/>
              <w:right w:val="single" w:sz="4" w:space="0" w:color="auto"/>
            </w:tcBorders>
            <w:shd w:val="clear" w:color="auto" w:fill="auto"/>
            <w:noWrap/>
            <w:vAlign w:val="bottom"/>
            <w:hideMark/>
          </w:tcPr>
          <w:p w14:paraId="1B4463C2" w14:textId="77777777" w:rsidR="00C43F97" w:rsidRPr="00482DEB" w:rsidRDefault="00C43F97" w:rsidP="001D11C5">
            <w:pPr>
              <w:spacing w:after="0" w:line="240" w:lineRule="auto"/>
              <w:jc w:val="right"/>
              <w:rPr>
                <w:rFonts w:ascii="Calibri" w:eastAsia="Times New Roman" w:hAnsi="Calibri" w:cs="Calibri"/>
                <w:color w:val="000000"/>
                <w:sz w:val="20"/>
                <w:szCs w:val="20"/>
                <w:lang w:eastAsia="en-AU"/>
              </w:rPr>
            </w:pPr>
            <w:r w:rsidRPr="00482DEB">
              <w:rPr>
                <w:rFonts w:ascii="Calibri" w:eastAsia="Times New Roman" w:hAnsi="Calibri" w:cs="Calibri"/>
                <w:color w:val="000000"/>
                <w:sz w:val="20"/>
                <w:szCs w:val="20"/>
                <w:lang w:eastAsia="en-AU"/>
              </w:rPr>
              <w:t>39,829</w:t>
            </w:r>
          </w:p>
        </w:tc>
        <w:tc>
          <w:tcPr>
            <w:tcW w:w="1417" w:type="dxa"/>
            <w:tcBorders>
              <w:top w:val="nil"/>
              <w:left w:val="nil"/>
              <w:bottom w:val="single" w:sz="4" w:space="0" w:color="auto"/>
              <w:right w:val="single" w:sz="4" w:space="0" w:color="auto"/>
            </w:tcBorders>
            <w:shd w:val="clear" w:color="auto" w:fill="auto"/>
            <w:noWrap/>
            <w:vAlign w:val="bottom"/>
            <w:hideMark/>
          </w:tcPr>
          <w:p w14:paraId="29B3C831" w14:textId="77777777" w:rsidR="00C43F97" w:rsidRPr="00482DEB" w:rsidRDefault="00C43F97" w:rsidP="001D11C5">
            <w:pPr>
              <w:spacing w:after="0" w:line="240" w:lineRule="auto"/>
              <w:jc w:val="right"/>
              <w:rPr>
                <w:rFonts w:ascii="Calibri" w:eastAsia="Times New Roman" w:hAnsi="Calibri" w:cs="Calibri"/>
                <w:color w:val="000000"/>
                <w:sz w:val="20"/>
                <w:szCs w:val="20"/>
                <w:lang w:eastAsia="en-AU"/>
              </w:rPr>
            </w:pPr>
            <w:r w:rsidRPr="00482DEB">
              <w:rPr>
                <w:rFonts w:ascii="Calibri" w:eastAsia="Times New Roman" w:hAnsi="Calibri" w:cs="Calibri"/>
                <w:color w:val="000000"/>
                <w:sz w:val="20"/>
                <w:szCs w:val="20"/>
                <w:lang w:eastAsia="en-AU"/>
              </w:rPr>
              <w:t>40,381</w:t>
            </w:r>
          </w:p>
        </w:tc>
        <w:tc>
          <w:tcPr>
            <w:tcW w:w="1418" w:type="dxa"/>
            <w:tcBorders>
              <w:top w:val="nil"/>
              <w:left w:val="nil"/>
              <w:bottom w:val="single" w:sz="4" w:space="0" w:color="auto"/>
              <w:right w:val="single" w:sz="4" w:space="0" w:color="auto"/>
            </w:tcBorders>
            <w:shd w:val="clear" w:color="auto" w:fill="auto"/>
            <w:noWrap/>
            <w:vAlign w:val="bottom"/>
          </w:tcPr>
          <w:p w14:paraId="7113DAE9" w14:textId="3F8BBA68" w:rsidR="00C43F97" w:rsidRPr="00482DEB" w:rsidRDefault="00C43F97" w:rsidP="001D11C5">
            <w:pPr>
              <w:spacing w:after="0" w:line="240" w:lineRule="auto"/>
              <w:jc w:val="right"/>
              <w:rPr>
                <w:rFonts w:ascii="Calibri" w:eastAsia="Times New Roman" w:hAnsi="Calibri" w:cs="Calibri"/>
                <w:color w:val="000000"/>
                <w:sz w:val="20"/>
                <w:szCs w:val="20"/>
                <w:lang w:eastAsia="en-AU"/>
              </w:rPr>
            </w:pPr>
            <w:r>
              <w:rPr>
                <w:rFonts w:ascii="Calibri" w:hAnsi="Calibri" w:cs="Calibri"/>
                <w:color w:val="000000"/>
                <w:sz w:val="20"/>
                <w:szCs w:val="20"/>
              </w:rPr>
              <w:t>1.4%</w:t>
            </w:r>
          </w:p>
        </w:tc>
      </w:tr>
      <w:tr w:rsidR="00C43F97" w:rsidRPr="00482DEB" w14:paraId="4CCE2341" w14:textId="022E03EE" w:rsidTr="00C43F97">
        <w:trPr>
          <w:trHeight w:val="293"/>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2E218ADB" w14:textId="77777777" w:rsidR="00C43F97" w:rsidRPr="00482DEB" w:rsidRDefault="00C43F97" w:rsidP="001D11C5">
            <w:pPr>
              <w:spacing w:after="0" w:line="240" w:lineRule="auto"/>
              <w:rPr>
                <w:rFonts w:ascii="Calibri" w:eastAsia="Times New Roman" w:hAnsi="Calibri" w:cs="Calibri"/>
                <w:color w:val="000000"/>
                <w:sz w:val="20"/>
                <w:szCs w:val="20"/>
                <w:lang w:eastAsia="en-AU"/>
              </w:rPr>
            </w:pPr>
            <w:r w:rsidRPr="00482DEB">
              <w:rPr>
                <w:rFonts w:ascii="Calibri" w:eastAsia="Times New Roman" w:hAnsi="Calibri" w:cs="Calibri"/>
                <w:color w:val="000000"/>
                <w:sz w:val="20"/>
                <w:szCs w:val="20"/>
                <w:lang w:eastAsia="en-AU"/>
              </w:rPr>
              <w:t>Women in Non-Traditional Area</w:t>
            </w:r>
          </w:p>
        </w:tc>
        <w:tc>
          <w:tcPr>
            <w:tcW w:w="1418" w:type="dxa"/>
            <w:tcBorders>
              <w:top w:val="nil"/>
              <w:left w:val="nil"/>
              <w:bottom w:val="single" w:sz="4" w:space="0" w:color="auto"/>
              <w:right w:val="single" w:sz="4" w:space="0" w:color="auto"/>
            </w:tcBorders>
            <w:shd w:val="clear" w:color="auto" w:fill="auto"/>
            <w:noWrap/>
            <w:vAlign w:val="bottom"/>
            <w:hideMark/>
          </w:tcPr>
          <w:p w14:paraId="57D8CF1F" w14:textId="77777777" w:rsidR="00C43F97" w:rsidRPr="00482DEB" w:rsidRDefault="00C43F97" w:rsidP="001D11C5">
            <w:pPr>
              <w:spacing w:after="0" w:line="240" w:lineRule="auto"/>
              <w:jc w:val="right"/>
              <w:rPr>
                <w:rFonts w:ascii="Calibri" w:eastAsia="Times New Roman" w:hAnsi="Calibri" w:cs="Calibri"/>
                <w:color w:val="000000"/>
                <w:sz w:val="20"/>
                <w:szCs w:val="20"/>
                <w:lang w:eastAsia="en-AU"/>
              </w:rPr>
            </w:pPr>
            <w:r w:rsidRPr="00482DEB">
              <w:rPr>
                <w:rFonts w:ascii="Calibri" w:eastAsia="Times New Roman" w:hAnsi="Calibri" w:cs="Calibri"/>
                <w:color w:val="000000"/>
                <w:sz w:val="20"/>
                <w:szCs w:val="20"/>
                <w:lang w:eastAsia="en-AU"/>
              </w:rPr>
              <w:t>66,643</w:t>
            </w:r>
          </w:p>
        </w:tc>
        <w:tc>
          <w:tcPr>
            <w:tcW w:w="1417" w:type="dxa"/>
            <w:tcBorders>
              <w:top w:val="nil"/>
              <w:left w:val="nil"/>
              <w:bottom w:val="single" w:sz="4" w:space="0" w:color="auto"/>
              <w:right w:val="single" w:sz="4" w:space="0" w:color="auto"/>
            </w:tcBorders>
            <w:shd w:val="clear" w:color="auto" w:fill="auto"/>
            <w:noWrap/>
            <w:vAlign w:val="bottom"/>
            <w:hideMark/>
          </w:tcPr>
          <w:p w14:paraId="338EB0C1" w14:textId="77777777" w:rsidR="00C43F97" w:rsidRPr="00482DEB" w:rsidRDefault="00C43F97" w:rsidP="001D11C5">
            <w:pPr>
              <w:spacing w:after="0" w:line="240" w:lineRule="auto"/>
              <w:jc w:val="right"/>
              <w:rPr>
                <w:rFonts w:ascii="Calibri" w:eastAsia="Times New Roman" w:hAnsi="Calibri" w:cs="Calibri"/>
                <w:color w:val="000000"/>
                <w:sz w:val="20"/>
                <w:szCs w:val="20"/>
                <w:lang w:eastAsia="en-AU"/>
              </w:rPr>
            </w:pPr>
            <w:r w:rsidRPr="00482DEB">
              <w:rPr>
                <w:rFonts w:ascii="Calibri" w:eastAsia="Times New Roman" w:hAnsi="Calibri" w:cs="Calibri"/>
                <w:color w:val="000000"/>
                <w:sz w:val="20"/>
                <w:szCs w:val="20"/>
                <w:lang w:eastAsia="en-AU"/>
              </w:rPr>
              <w:t>61,028</w:t>
            </w:r>
          </w:p>
        </w:tc>
        <w:tc>
          <w:tcPr>
            <w:tcW w:w="1418" w:type="dxa"/>
            <w:tcBorders>
              <w:top w:val="nil"/>
              <w:left w:val="nil"/>
              <w:bottom w:val="single" w:sz="4" w:space="0" w:color="auto"/>
              <w:right w:val="single" w:sz="4" w:space="0" w:color="auto"/>
            </w:tcBorders>
            <w:shd w:val="clear" w:color="auto" w:fill="auto"/>
            <w:noWrap/>
            <w:vAlign w:val="bottom"/>
          </w:tcPr>
          <w:p w14:paraId="041FA373" w14:textId="6E7AFA80" w:rsidR="00C43F97" w:rsidRPr="00482DEB" w:rsidRDefault="00C43F97" w:rsidP="001D11C5">
            <w:pPr>
              <w:spacing w:after="0" w:line="240" w:lineRule="auto"/>
              <w:jc w:val="right"/>
              <w:rPr>
                <w:rFonts w:ascii="Calibri" w:eastAsia="Times New Roman" w:hAnsi="Calibri" w:cs="Calibri"/>
                <w:color w:val="000000"/>
                <w:sz w:val="20"/>
                <w:szCs w:val="20"/>
                <w:lang w:eastAsia="en-AU"/>
              </w:rPr>
            </w:pPr>
            <w:r>
              <w:rPr>
                <w:rFonts w:ascii="Calibri" w:hAnsi="Calibri" w:cs="Calibri"/>
                <w:color w:val="000000"/>
                <w:sz w:val="20"/>
                <w:szCs w:val="20"/>
              </w:rPr>
              <w:t>-8.4%</w:t>
            </w:r>
          </w:p>
        </w:tc>
      </w:tr>
      <w:tr w:rsidR="00C43F97" w:rsidRPr="00482DEB" w14:paraId="036918BA" w14:textId="1A40E5EA" w:rsidTr="00C43F97">
        <w:trPr>
          <w:trHeight w:val="293"/>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2C5DF1" w14:textId="46BCA775" w:rsidR="00C43F97" w:rsidRPr="00DD1874" w:rsidRDefault="00C43F97" w:rsidP="001D11C5">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 xml:space="preserve">Total - </w:t>
            </w:r>
            <w:r w:rsidRPr="00DD1874">
              <w:rPr>
                <w:rFonts w:ascii="Calibri" w:eastAsia="Times New Roman" w:hAnsi="Calibri" w:cs="Calibri"/>
                <w:b/>
                <w:bCs/>
                <w:color w:val="000000"/>
                <w:sz w:val="20"/>
                <w:szCs w:val="20"/>
                <w:lang w:eastAsia="en-AU"/>
              </w:rPr>
              <w:t>All commencing onshore domestic students</w:t>
            </w:r>
            <w:r>
              <w:rPr>
                <w:rStyle w:val="FootnoteReference"/>
                <w:rFonts w:ascii="Calibri" w:eastAsia="Times New Roman" w:hAnsi="Calibri" w:cs="Calibri"/>
                <w:b/>
                <w:bCs/>
                <w:color w:val="000000"/>
                <w:sz w:val="20"/>
                <w:szCs w:val="20"/>
                <w:lang w:eastAsia="en-AU"/>
              </w:rPr>
              <w:footnoteReference w:id="4"/>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721CCA6D" w14:textId="0E93838B" w:rsidR="00C43F97" w:rsidRPr="00482DEB" w:rsidRDefault="00C43F97" w:rsidP="001D11C5">
            <w:pPr>
              <w:spacing w:after="0" w:line="240" w:lineRule="auto"/>
              <w:jc w:val="right"/>
              <w:rPr>
                <w:rFonts w:ascii="Calibri" w:eastAsia="Times New Roman" w:hAnsi="Calibri" w:cs="Calibri"/>
                <w:color w:val="000000"/>
                <w:sz w:val="20"/>
                <w:szCs w:val="20"/>
                <w:lang w:eastAsia="en-AU"/>
              </w:rPr>
            </w:pPr>
            <w:r>
              <w:rPr>
                <w:rFonts w:ascii="Calibri" w:hAnsi="Calibri" w:cs="Calibri"/>
                <w:b/>
                <w:bCs/>
                <w:color w:val="000000"/>
                <w:sz w:val="20"/>
                <w:szCs w:val="20"/>
              </w:rPr>
              <w:t>443,980</w:t>
            </w:r>
          </w:p>
        </w:tc>
        <w:tc>
          <w:tcPr>
            <w:tcW w:w="1417" w:type="dxa"/>
            <w:tcBorders>
              <w:top w:val="single" w:sz="4" w:space="0" w:color="auto"/>
              <w:left w:val="nil"/>
              <w:bottom w:val="single" w:sz="4" w:space="0" w:color="auto"/>
              <w:right w:val="single" w:sz="4" w:space="0" w:color="auto"/>
            </w:tcBorders>
            <w:shd w:val="clear" w:color="auto" w:fill="auto"/>
            <w:noWrap/>
            <w:vAlign w:val="bottom"/>
          </w:tcPr>
          <w:p w14:paraId="558EBCAB" w14:textId="4C2A135C" w:rsidR="00C43F97" w:rsidRPr="00482DEB" w:rsidRDefault="00C43F97" w:rsidP="001D11C5">
            <w:pPr>
              <w:spacing w:after="0" w:line="240" w:lineRule="auto"/>
              <w:jc w:val="right"/>
              <w:rPr>
                <w:rFonts w:ascii="Calibri" w:eastAsia="Times New Roman" w:hAnsi="Calibri" w:cs="Calibri"/>
                <w:color w:val="000000"/>
                <w:sz w:val="20"/>
                <w:szCs w:val="20"/>
                <w:lang w:eastAsia="en-AU"/>
              </w:rPr>
            </w:pPr>
            <w:r>
              <w:rPr>
                <w:rFonts w:ascii="Calibri" w:hAnsi="Calibri" w:cs="Calibri"/>
                <w:b/>
                <w:bCs/>
                <w:color w:val="000000"/>
                <w:sz w:val="20"/>
                <w:szCs w:val="20"/>
              </w:rPr>
              <w:t>397,626</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5FE8DCBD" w14:textId="05357C2E" w:rsidR="00C43F97" w:rsidRDefault="00C43F97" w:rsidP="001D11C5">
            <w:pPr>
              <w:spacing w:after="0" w:line="240" w:lineRule="auto"/>
              <w:jc w:val="right"/>
              <w:rPr>
                <w:rFonts w:ascii="Calibri" w:hAnsi="Calibri" w:cs="Calibri"/>
                <w:color w:val="000000"/>
                <w:sz w:val="20"/>
                <w:szCs w:val="20"/>
              </w:rPr>
            </w:pPr>
            <w:r>
              <w:rPr>
                <w:rFonts w:ascii="Calibri" w:hAnsi="Calibri" w:cs="Calibri"/>
                <w:color w:val="000000"/>
                <w:sz w:val="20"/>
                <w:szCs w:val="20"/>
              </w:rPr>
              <w:t>-10.4%</w:t>
            </w:r>
          </w:p>
        </w:tc>
      </w:tr>
    </w:tbl>
    <w:p w14:paraId="0F653D68" w14:textId="77777777" w:rsidR="0057325F" w:rsidRPr="0057325F" w:rsidRDefault="0057325F" w:rsidP="0057325F">
      <w:pPr>
        <w:spacing w:after="0" w:line="240" w:lineRule="auto"/>
      </w:pPr>
      <w:bookmarkStart w:id="8" w:name="_Hlk151973395"/>
    </w:p>
    <w:p w14:paraId="4BCD76E4" w14:textId="6F072ACF" w:rsidR="00CA1D9D" w:rsidRPr="00B86D41" w:rsidRDefault="00CA1D9D" w:rsidP="005F40D0">
      <w:pPr>
        <w:pStyle w:val="ListParagraph"/>
        <w:numPr>
          <w:ilvl w:val="0"/>
          <w:numId w:val="33"/>
        </w:numPr>
        <w:spacing w:after="0" w:line="240" w:lineRule="auto"/>
      </w:pPr>
      <w:r>
        <w:rPr>
          <w:rFonts w:asciiTheme="minorHAnsi" w:eastAsia="Times New Roman" w:hAnsiTheme="minorHAnsi" w:cstheme="minorHAnsi"/>
        </w:rPr>
        <w:t xml:space="preserve">The </w:t>
      </w:r>
      <w:r w:rsidR="009216CB">
        <w:rPr>
          <w:rFonts w:asciiTheme="minorHAnsi" w:eastAsia="Times New Roman" w:hAnsiTheme="minorHAnsi" w:cstheme="minorHAnsi"/>
        </w:rPr>
        <w:t>number</w:t>
      </w:r>
      <w:r>
        <w:rPr>
          <w:rFonts w:asciiTheme="minorHAnsi" w:eastAsia="Times New Roman" w:hAnsiTheme="minorHAnsi" w:cstheme="minorHAnsi"/>
        </w:rPr>
        <w:t xml:space="preserve"> of commencing domestic students with a disability increased by 1</w:t>
      </w:r>
      <w:r w:rsidR="00482DEB">
        <w:rPr>
          <w:rFonts w:asciiTheme="minorHAnsi" w:eastAsia="Times New Roman" w:hAnsiTheme="minorHAnsi" w:cstheme="minorHAnsi"/>
        </w:rPr>
        <w:t>.4</w:t>
      </w:r>
      <w:r>
        <w:rPr>
          <w:rFonts w:asciiTheme="minorHAnsi" w:eastAsia="Times New Roman" w:hAnsiTheme="minorHAnsi" w:cstheme="minorHAnsi"/>
        </w:rPr>
        <w:t xml:space="preserve"> per cent from 2021 to 2022.</w:t>
      </w:r>
      <w:r w:rsidR="00B86D41">
        <w:rPr>
          <w:rFonts w:asciiTheme="minorHAnsi" w:eastAsia="Times New Roman" w:hAnsiTheme="minorHAnsi" w:cstheme="minorHAnsi"/>
        </w:rPr>
        <w:t xml:space="preserve"> </w:t>
      </w:r>
      <w:r w:rsidR="00B86D41">
        <w:t xml:space="preserve">This may be </w:t>
      </w:r>
      <w:r w:rsidR="00102B00">
        <w:t>the ongoing impact</w:t>
      </w:r>
      <w:r w:rsidR="00B86D41">
        <w:t xml:space="preserve"> of a definitional change in disability </w:t>
      </w:r>
      <w:r w:rsidR="00102B00">
        <w:t xml:space="preserve">rolled out </w:t>
      </w:r>
      <w:r w:rsidR="00B86D41">
        <w:t xml:space="preserve">in 2020 to align with </w:t>
      </w:r>
      <w:r w:rsidR="00514F11">
        <w:t>Australian Institute of Health and Welfare (</w:t>
      </w:r>
      <w:r w:rsidR="00B86D41">
        <w:t>AIHW</w:t>
      </w:r>
      <w:r w:rsidR="00514F11">
        <w:t>)</w:t>
      </w:r>
      <w:r w:rsidR="00B86D41">
        <w:t xml:space="preserve"> and </w:t>
      </w:r>
      <w:r w:rsidR="00514F11">
        <w:t>Australian Bureau of Statistics (</w:t>
      </w:r>
      <w:r w:rsidR="00B86D41">
        <w:t>ABS</w:t>
      </w:r>
      <w:r w:rsidR="00514F11">
        <w:t>)</w:t>
      </w:r>
      <w:r w:rsidR="00B86D41">
        <w:t xml:space="preserve"> definitions. The expanded collection now includes intellectual, mental, acquired brain injury and neurological disabilities. </w:t>
      </w:r>
    </w:p>
    <w:bookmarkEnd w:id="8"/>
    <w:p w14:paraId="3EDA5C9E" w14:textId="77777777" w:rsidR="00482DEB" w:rsidRDefault="009216CB" w:rsidP="00482DEB">
      <w:pPr>
        <w:pStyle w:val="ListParagraph"/>
        <w:numPr>
          <w:ilvl w:val="0"/>
          <w:numId w:val="24"/>
        </w:numPr>
        <w:spacing w:after="0" w:line="240" w:lineRule="auto"/>
        <w:contextualSpacing w:val="0"/>
        <w:rPr>
          <w:rFonts w:asciiTheme="minorHAnsi" w:eastAsia="Times New Roman" w:hAnsiTheme="minorHAnsi" w:cstheme="minorHAnsi"/>
        </w:rPr>
      </w:pPr>
      <w:r>
        <w:rPr>
          <w:rFonts w:asciiTheme="minorHAnsi" w:eastAsia="Times New Roman" w:hAnsiTheme="minorHAnsi" w:cstheme="minorHAnsi"/>
        </w:rPr>
        <w:t>The number of commencing students from</w:t>
      </w:r>
      <w:r w:rsidR="00CA1D9D">
        <w:rPr>
          <w:rFonts w:asciiTheme="minorHAnsi" w:eastAsia="Times New Roman" w:hAnsiTheme="minorHAnsi" w:cstheme="minorHAnsi"/>
        </w:rPr>
        <w:t xml:space="preserve"> all other equity groups decreased from 2021 to 2022, </w:t>
      </w:r>
      <w:r>
        <w:rPr>
          <w:rFonts w:asciiTheme="minorHAnsi" w:eastAsia="Times New Roman" w:hAnsiTheme="minorHAnsi" w:cstheme="minorHAnsi"/>
        </w:rPr>
        <w:t>mirroring</w:t>
      </w:r>
      <w:r w:rsidR="00CA1D9D">
        <w:rPr>
          <w:rFonts w:asciiTheme="minorHAnsi" w:eastAsia="Times New Roman" w:hAnsiTheme="minorHAnsi" w:cstheme="minorHAnsi"/>
        </w:rPr>
        <w:t xml:space="preserve"> the trend for all commencing domestic students.</w:t>
      </w:r>
    </w:p>
    <w:p w14:paraId="161104DA" w14:textId="3AA7AD36" w:rsidR="00482DEB" w:rsidRPr="00482DEB" w:rsidRDefault="00482DEB" w:rsidP="00482DEB">
      <w:pPr>
        <w:pStyle w:val="ListParagraph"/>
        <w:numPr>
          <w:ilvl w:val="1"/>
          <w:numId w:val="24"/>
        </w:numPr>
        <w:spacing w:after="0" w:line="240" w:lineRule="auto"/>
        <w:contextualSpacing w:val="0"/>
        <w:rPr>
          <w:rFonts w:asciiTheme="minorHAnsi" w:eastAsia="Times New Roman" w:hAnsiTheme="minorHAnsi" w:cstheme="minorHAnsi"/>
        </w:rPr>
      </w:pPr>
      <w:r>
        <w:rPr>
          <w:rFonts w:eastAsia="Times New Roman" w:cstheme="minorHAnsi"/>
        </w:rPr>
        <w:t>Commencing student numbers</w:t>
      </w:r>
      <w:r w:rsidR="00CA1D9D" w:rsidRPr="00482DEB">
        <w:rPr>
          <w:rFonts w:eastAsia="Times New Roman" w:cstheme="minorHAnsi"/>
        </w:rPr>
        <w:t xml:space="preserve"> from low socio-economic areas</w:t>
      </w:r>
      <w:r w:rsidR="00CA1D9D">
        <w:rPr>
          <w:rStyle w:val="FootnoteReference"/>
          <w:rFonts w:asciiTheme="minorHAnsi" w:eastAsia="Times New Roman" w:hAnsiTheme="minorHAnsi" w:cstheme="minorHAnsi"/>
        </w:rPr>
        <w:footnoteReference w:id="5"/>
      </w:r>
      <w:r w:rsidR="00C10417" w:rsidRPr="00482DEB">
        <w:rPr>
          <w:rFonts w:eastAsia="Times New Roman" w:cstheme="minorHAnsi"/>
        </w:rPr>
        <w:t xml:space="preserve"> (low SES)</w:t>
      </w:r>
      <w:r>
        <w:rPr>
          <w:rFonts w:eastAsia="Times New Roman" w:cstheme="minorHAnsi"/>
        </w:rPr>
        <w:t xml:space="preserve"> and </w:t>
      </w:r>
      <w:r w:rsidRPr="00C20E76">
        <w:rPr>
          <w:rFonts w:asciiTheme="minorHAnsi" w:eastAsia="Times New Roman" w:hAnsiTheme="minorHAnsi" w:cstheme="minorHAnsi"/>
        </w:rPr>
        <w:t>regional</w:t>
      </w:r>
      <w:r>
        <w:rPr>
          <w:rStyle w:val="FootnoteReference"/>
          <w:rFonts w:asciiTheme="minorHAnsi" w:eastAsia="Times New Roman" w:hAnsiTheme="minorHAnsi" w:cstheme="minorHAnsi"/>
        </w:rPr>
        <w:footnoteReference w:id="6"/>
      </w:r>
      <w:r w:rsidRPr="00C20E76">
        <w:rPr>
          <w:rFonts w:asciiTheme="minorHAnsi" w:eastAsia="Times New Roman" w:hAnsiTheme="minorHAnsi" w:cstheme="minorHAnsi"/>
        </w:rPr>
        <w:t xml:space="preserve"> </w:t>
      </w:r>
      <w:r>
        <w:rPr>
          <w:rFonts w:asciiTheme="minorHAnsi" w:eastAsia="Times New Roman" w:hAnsiTheme="minorHAnsi" w:cstheme="minorHAnsi"/>
        </w:rPr>
        <w:t xml:space="preserve">and </w:t>
      </w:r>
      <w:r w:rsidRPr="00C20E76">
        <w:rPr>
          <w:rFonts w:asciiTheme="minorHAnsi" w:eastAsia="Times New Roman" w:hAnsiTheme="minorHAnsi" w:cstheme="minorHAnsi"/>
        </w:rPr>
        <w:t xml:space="preserve">remote </w:t>
      </w:r>
      <w:r>
        <w:rPr>
          <w:rFonts w:asciiTheme="minorHAnsi" w:eastAsia="Times New Roman" w:hAnsiTheme="minorHAnsi" w:cstheme="minorHAnsi"/>
        </w:rPr>
        <w:t>areas are th</w:t>
      </w:r>
      <w:r w:rsidR="00CA1D9D" w:rsidRPr="00482DEB">
        <w:rPr>
          <w:rFonts w:eastAsia="Times New Roman" w:cstheme="minorHAnsi"/>
        </w:rPr>
        <w:t>e lowest number in this series</w:t>
      </w:r>
      <w:r w:rsidR="00CA1D9D">
        <w:rPr>
          <w:rStyle w:val="FootnoteReference"/>
          <w:rFonts w:asciiTheme="minorHAnsi" w:eastAsia="Times New Roman" w:hAnsiTheme="minorHAnsi" w:cstheme="minorHAnsi"/>
        </w:rPr>
        <w:footnoteReference w:id="7"/>
      </w:r>
      <w:r w:rsidR="00CA1D9D" w:rsidRPr="00482DEB">
        <w:rPr>
          <w:rFonts w:eastAsia="Times New Roman" w:cstheme="minorHAnsi"/>
        </w:rPr>
        <w:t xml:space="preserve">. </w:t>
      </w:r>
    </w:p>
    <w:p w14:paraId="053C4D17" w14:textId="5A1FEE97" w:rsidR="00CA1D9D" w:rsidRPr="00482DEB" w:rsidRDefault="00482DEB" w:rsidP="00482DEB">
      <w:pPr>
        <w:pStyle w:val="ListParagraph"/>
        <w:numPr>
          <w:ilvl w:val="1"/>
          <w:numId w:val="24"/>
        </w:numPr>
        <w:spacing w:after="0" w:line="240" w:lineRule="auto"/>
        <w:contextualSpacing w:val="0"/>
        <w:rPr>
          <w:rFonts w:asciiTheme="minorHAnsi" w:eastAsia="Times New Roman" w:hAnsiTheme="minorHAnsi" w:cstheme="minorHAnsi"/>
        </w:rPr>
      </w:pPr>
      <w:r>
        <w:rPr>
          <w:rFonts w:eastAsia="Times New Roman" w:cstheme="minorHAnsi"/>
        </w:rPr>
        <w:t>Commencing domestic s</w:t>
      </w:r>
      <w:r w:rsidR="00CA1D9D" w:rsidRPr="00482DEB">
        <w:rPr>
          <w:rFonts w:eastAsia="Times New Roman" w:cstheme="minorHAnsi"/>
        </w:rPr>
        <w:t>tuden</w:t>
      </w:r>
      <w:r>
        <w:rPr>
          <w:rFonts w:eastAsia="Times New Roman" w:cstheme="minorHAnsi"/>
        </w:rPr>
        <w:t>ts</w:t>
      </w:r>
      <w:r w:rsidR="00CA1D9D" w:rsidRPr="00482DEB">
        <w:rPr>
          <w:rFonts w:eastAsia="Times New Roman" w:cstheme="minorHAnsi"/>
        </w:rPr>
        <w:t xml:space="preserve"> from a non-English speaking background </w:t>
      </w:r>
      <w:r>
        <w:rPr>
          <w:rFonts w:eastAsia="Times New Roman" w:cstheme="minorHAnsi"/>
        </w:rPr>
        <w:t>are</w:t>
      </w:r>
      <w:r w:rsidR="00CA1D9D" w:rsidRPr="00482DEB">
        <w:rPr>
          <w:rFonts w:eastAsia="Times New Roman" w:cstheme="minorHAnsi"/>
        </w:rPr>
        <w:t xml:space="preserve"> the lowest number in 10 years. </w:t>
      </w:r>
    </w:p>
    <w:p w14:paraId="75662D4A" w14:textId="77777777" w:rsidR="00CA1D9D" w:rsidRDefault="00CA1D9D" w:rsidP="00CA1D9D">
      <w:pPr>
        <w:pStyle w:val="ListParagraph"/>
        <w:numPr>
          <w:ilvl w:val="0"/>
          <w:numId w:val="24"/>
        </w:numPr>
        <w:spacing w:after="0" w:line="240" w:lineRule="auto"/>
        <w:contextualSpacing w:val="0"/>
        <w:rPr>
          <w:rFonts w:asciiTheme="minorHAnsi" w:eastAsia="Times New Roman" w:hAnsiTheme="minorHAnsi" w:cstheme="minorHAnsi"/>
        </w:rPr>
      </w:pPr>
      <w:r>
        <w:rPr>
          <w:rFonts w:asciiTheme="minorHAnsi" w:eastAsia="Times New Roman" w:hAnsiTheme="minorHAnsi" w:cstheme="minorHAnsi"/>
        </w:rPr>
        <w:t xml:space="preserve">For the first time since the series began in 2006, the number of First Nations students has decreased. </w:t>
      </w:r>
    </w:p>
    <w:p w14:paraId="6BE46A17" w14:textId="58120655" w:rsidR="00CA1D9D" w:rsidRPr="00C20E76" w:rsidRDefault="00482DEB" w:rsidP="00CA1D9D">
      <w:pPr>
        <w:pStyle w:val="ListParagraph"/>
        <w:numPr>
          <w:ilvl w:val="1"/>
          <w:numId w:val="24"/>
        </w:numPr>
        <w:spacing w:after="0" w:line="240" w:lineRule="auto"/>
        <w:contextualSpacing w:val="0"/>
        <w:rPr>
          <w:rFonts w:asciiTheme="minorHAnsi" w:eastAsia="Times New Roman" w:hAnsiTheme="minorHAnsi" w:cstheme="minorHAnsi"/>
        </w:rPr>
      </w:pPr>
      <w:r>
        <w:rPr>
          <w:rFonts w:asciiTheme="minorHAnsi" w:eastAsia="Times New Roman" w:hAnsiTheme="minorHAnsi" w:cstheme="minorHAnsi"/>
        </w:rPr>
        <w:t xml:space="preserve">Total </w:t>
      </w:r>
      <w:r w:rsidR="00CA1D9D" w:rsidRPr="00C20E76">
        <w:rPr>
          <w:rFonts w:asciiTheme="minorHAnsi" w:eastAsia="Times New Roman" w:hAnsiTheme="minorHAnsi" w:cstheme="minorHAnsi"/>
        </w:rPr>
        <w:t>First Nations student</w:t>
      </w:r>
      <w:r w:rsidR="00CA1D9D">
        <w:rPr>
          <w:rFonts w:asciiTheme="minorHAnsi" w:eastAsia="Times New Roman" w:hAnsiTheme="minorHAnsi" w:cstheme="minorHAnsi"/>
        </w:rPr>
        <w:t xml:space="preserve">s </w:t>
      </w:r>
      <w:r w:rsidR="00CA1D9D" w:rsidRPr="00C20E76">
        <w:rPr>
          <w:rFonts w:asciiTheme="minorHAnsi" w:eastAsia="Times New Roman" w:hAnsiTheme="minorHAnsi" w:cstheme="minorHAnsi"/>
        </w:rPr>
        <w:t xml:space="preserve">decreased by 3 per cent from </w:t>
      </w:r>
      <w:r w:rsidR="00CA1D9D">
        <w:rPr>
          <w:rFonts w:asciiTheme="minorHAnsi" w:eastAsia="Times New Roman" w:hAnsiTheme="minorHAnsi" w:cstheme="minorHAnsi"/>
        </w:rPr>
        <w:t xml:space="preserve">23,967 in </w:t>
      </w:r>
      <w:r w:rsidR="00CA1D9D" w:rsidRPr="00C20E76">
        <w:rPr>
          <w:rFonts w:asciiTheme="minorHAnsi" w:eastAsia="Times New Roman" w:hAnsiTheme="minorHAnsi" w:cstheme="minorHAnsi"/>
        </w:rPr>
        <w:t xml:space="preserve">2021 to </w:t>
      </w:r>
      <w:r w:rsidR="00CA1D9D">
        <w:rPr>
          <w:rFonts w:asciiTheme="minorHAnsi" w:eastAsia="Times New Roman" w:hAnsiTheme="minorHAnsi" w:cstheme="minorHAnsi"/>
        </w:rPr>
        <w:t xml:space="preserve">23,249 in </w:t>
      </w:r>
      <w:r w:rsidR="00CA1D9D" w:rsidRPr="00C20E76">
        <w:rPr>
          <w:rFonts w:asciiTheme="minorHAnsi" w:eastAsia="Times New Roman" w:hAnsiTheme="minorHAnsi" w:cstheme="minorHAnsi"/>
        </w:rPr>
        <w:t>2022</w:t>
      </w:r>
      <w:r w:rsidR="00CA1D9D">
        <w:rPr>
          <w:rFonts w:asciiTheme="minorHAnsi" w:eastAsia="Times New Roman" w:hAnsiTheme="minorHAnsi" w:cstheme="minorHAnsi"/>
        </w:rPr>
        <w:t>.</w:t>
      </w:r>
    </w:p>
    <w:p w14:paraId="34C6D816" w14:textId="491AEA2D" w:rsidR="00CA1D9D" w:rsidRDefault="00CA1D9D" w:rsidP="00CA1D9D">
      <w:pPr>
        <w:pStyle w:val="ListParagraph"/>
        <w:numPr>
          <w:ilvl w:val="1"/>
          <w:numId w:val="24"/>
        </w:numPr>
        <w:spacing w:after="0" w:line="240" w:lineRule="auto"/>
        <w:contextualSpacing w:val="0"/>
        <w:rPr>
          <w:rFonts w:asciiTheme="minorHAnsi" w:eastAsia="Times New Roman" w:hAnsiTheme="minorHAnsi" w:cstheme="minorHAnsi"/>
        </w:rPr>
      </w:pPr>
      <w:r>
        <w:rPr>
          <w:rFonts w:asciiTheme="minorHAnsi" w:eastAsia="Times New Roman" w:hAnsiTheme="minorHAnsi" w:cstheme="minorHAnsi"/>
        </w:rPr>
        <w:t xml:space="preserve">Commencing </w:t>
      </w:r>
      <w:r w:rsidRPr="00C20E76">
        <w:rPr>
          <w:rFonts w:asciiTheme="minorHAnsi" w:eastAsia="Times New Roman" w:hAnsiTheme="minorHAnsi" w:cstheme="minorHAnsi"/>
        </w:rPr>
        <w:t>First Nations students decreased 8.</w:t>
      </w:r>
      <w:r w:rsidR="00B70EBB">
        <w:rPr>
          <w:rFonts w:asciiTheme="minorHAnsi" w:eastAsia="Times New Roman" w:hAnsiTheme="minorHAnsi" w:cstheme="minorHAnsi"/>
        </w:rPr>
        <w:t>0</w:t>
      </w:r>
      <w:r w:rsidRPr="00C20E76">
        <w:rPr>
          <w:rFonts w:asciiTheme="minorHAnsi" w:eastAsia="Times New Roman" w:hAnsiTheme="minorHAnsi" w:cstheme="minorHAnsi"/>
        </w:rPr>
        <w:t xml:space="preserve"> per cent</w:t>
      </w:r>
      <w:r>
        <w:rPr>
          <w:rFonts w:asciiTheme="minorHAnsi" w:eastAsia="Times New Roman" w:hAnsiTheme="minorHAnsi" w:cstheme="minorHAnsi"/>
        </w:rPr>
        <w:t xml:space="preserve"> from </w:t>
      </w:r>
      <w:r w:rsidR="00482DEB">
        <w:rPr>
          <w:rFonts w:asciiTheme="minorHAnsi" w:eastAsia="Times New Roman" w:hAnsiTheme="minorHAnsi" w:cstheme="minorHAnsi"/>
        </w:rPr>
        <w:t>2021 to</w:t>
      </w:r>
      <w:r>
        <w:rPr>
          <w:rFonts w:asciiTheme="minorHAnsi" w:eastAsia="Times New Roman" w:hAnsiTheme="minorHAnsi" w:cstheme="minorHAnsi"/>
        </w:rPr>
        <w:t xml:space="preserve"> 2022.</w:t>
      </w:r>
    </w:p>
    <w:p w14:paraId="4AAD17A9" w14:textId="77777777" w:rsidR="00A10667" w:rsidRPr="00A10667" w:rsidRDefault="00A10667" w:rsidP="00A10667">
      <w:pPr>
        <w:spacing w:after="0" w:line="240" w:lineRule="auto"/>
        <w:rPr>
          <w:rFonts w:eastAsia="Times New Roman" w:cstheme="minorHAnsi"/>
        </w:rPr>
      </w:pPr>
    </w:p>
    <w:p w14:paraId="4B5C94D7" w14:textId="77777777" w:rsidR="00CA1D9D" w:rsidRDefault="00CA1D9D" w:rsidP="00CA1D9D">
      <w:pPr>
        <w:spacing w:after="0" w:line="240" w:lineRule="auto"/>
        <w:rPr>
          <w:rFonts w:eastAsia="Times New Roman" w:cstheme="minorHAnsi"/>
        </w:rPr>
      </w:pPr>
    </w:p>
    <w:p w14:paraId="70B1632A" w14:textId="77777777" w:rsidR="00482DEB" w:rsidRDefault="00482DEB" w:rsidP="00482DEB"/>
    <w:p w14:paraId="18B8279F" w14:textId="77777777" w:rsidR="00482DEB" w:rsidRDefault="00482DEB" w:rsidP="00482DEB"/>
    <w:p w14:paraId="5CF41B3B" w14:textId="77777777" w:rsidR="00482DEB" w:rsidRDefault="00482DEB" w:rsidP="00482DEB"/>
    <w:p w14:paraId="063AE80D" w14:textId="77777777" w:rsidR="00482DEB" w:rsidRDefault="00482DEB" w:rsidP="00482DEB"/>
    <w:p w14:paraId="12F80A35" w14:textId="77777777" w:rsidR="00482DEB" w:rsidRDefault="00482DEB" w:rsidP="00482DEB"/>
    <w:p w14:paraId="7B9E0B8D" w14:textId="77777777" w:rsidR="00482DEB" w:rsidRDefault="00482DEB" w:rsidP="00482DEB"/>
    <w:p w14:paraId="79374BFF" w14:textId="77777777" w:rsidR="00482DEB" w:rsidRDefault="00482DEB" w:rsidP="00482DEB"/>
    <w:p w14:paraId="0ACE0845" w14:textId="77777777" w:rsidR="00482DEB" w:rsidRDefault="00482DEB" w:rsidP="00482DEB"/>
    <w:p w14:paraId="6DC82EBE" w14:textId="77777777" w:rsidR="00482DEB" w:rsidRDefault="00482DEB" w:rsidP="00482DEB"/>
    <w:p w14:paraId="6E22028B" w14:textId="77777777" w:rsidR="00482DEB" w:rsidRDefault="00482DEB" w:rsidP="00482DEB"/>
    <w:p w14:paraId="0BEC73D0" w14:textId="77777777" w:rsidR="00482DEB" w:rsidRDefault="00482DEB" w:rsidP="00482DEB"/>
    <w:p w14:paraId="4226BAB9" w14:textId="77777777" w:rsidR="00482DEB" w:rsidRDefault="00482DEB" w:rsidP="00482DEB"/>
    <w:p w14:paraId="5157B0D4" w14:textId="77777777" w:rsidR="00D764F7" w:rsidRDefault="00D764F7" w:rsidP="00482DEB"/>
    <w:p w14:paraId="1BFC173C" w14:textId="05053141" w:rsidR="00CA1D9D" w:rsidRDefault="00A427B4" w:rsidP="00CA1D9D">
      <w:pPr>
        <w:pStyle w:val="Heading3"/>
        <w:rPr>
          <w:rFonts w:eastAsia="Times New Roman"/>
        </w:rPr>
      </w:pPr>
      <w:bookmarkStart w:id="9" w:name="_Toc152149412"/>
      <w:r>
        <w:rPr>
          <w:rFonts w:eastAsia="Times New Roman"/>
        </w:rPr>
        <w:lastRenderedPageBreak/>
        <w:t>The proportion of s</w:t>
      </w:r>
      <w:r w:rsidR="009216CB">
        <w:rPr>
          <w:rFonts w:eastAsia="Times New Roman"/>
        </w:rPr>
        <w:t>tudents</w:t>
      </w:r>
      <w:r w:rsidR="00CA1D9D">
        <w:rPr>
          <w:rFonts w:eastAsia="Times New Roman"/>
        </w:rPr>
        <w:t xml:space="preserve"> from low socio-economic </w:t>
      </w:r>
      <w:r w:rsidR="00282E45">
        <w:rPr>
          <w:rFonts w:eastAsia="Times New Roman"/>
        </w:rPr>
        <w:t>areas</w:t>
      </w:r>
      <w:r w:rsidR="00CA1D9D">
        <w:rPr>
          <w:rFonts w:eastAsia="Times New Roman"/>
        </w:rPr>
        <w:t xml:space="preserve"> </w:t>
      </w:r>
      <w:proofErr w:type="gramStart"/>
      <w:r w:rsidR="009216CB">
        <w:rPr>
          <w:rFonts w:eastAsia="Times New Roman"/>
        </w:rPr>
        <w:t>decreased</w:t>
      </w:r>
      <w:bookmarkEnd w:id="9"/>
      <w:proofErr w:type="gramEnd"/>
      <w:r w:rsidR="00282E45">
        <w:rPr>
          <w:rFonts w:eastAsia="Times New Roman"/>
        </w:rPr>
        <w:t xml:space="preserve"> </w:t>
      </w:r>
    </w:p>
    <w:p w14:paraId="3114206E" w14:textId="2218043E" w:rsidR="00CA1D9D" w:rsidRDefault="00CA1D9D" w:rsidP="00CA1D9D">
      <w:pPr>
        <w:spacing w:after="0" w:line="240" w:lineRule="auto"/>
        <w:rPr>
          <w:rFonts w:eastAsia="Times New Roman" w:cstheme="minorHAnsi"/>
        </w:rPr>
      </w:pPr>
      <w:r>
        <w:rPr>
          <w:rFonts w:eastAsia="Times New Roman" w:cstheme="minorHAnsi"/>
        </w:rPr>
        <w:t xml:space="preserve">Figure </w:t>
      </w:r>
      <w:r w:rsidR="00F0052D">
        <w:rPr>
          <w:rFonts w:eastAsia="Times New Roman" w:cstheme="minorHAnsi"/>
        </w:rPr>
        <w:t>6</w:t>
      </w:r>
      <w:r>
        <w:rPr>
          <w:rFonts w:eastAsia="Times New Roman" w:cstheme="minorHAnsi"/>
        </w:rPr>
        <w:t xml:space="preserve">: </w:t>
      </w:r>
      <w:r w:rsidR="00005FE6">
        <w:rPr>
          <w:rFonts w:eastAsia="Times New Roman" w:cstheme="minorHAnsi"/>
        </w:rPr>
        <w:t>Proportion of</w:t>
      </w:r>
      <w:r>
        <w:rPr>
          <w:rFonts w:eastAsia="Times New Roman" w:cstheme="minorHAnsi"/>
        </w:rPr>
        <w:t xml:space="preserve"> all </w:t>
      </w:r>
      <w:r w:rsidR="002D2CC2">
        <w:rPr>
          <w:rFonts w:eastAsia="Times New Roman" w:cstheme="minorHAnsi"/>
        </w:rPr>
        <w:t xml:space="preserve">onshore </w:t>
      </w:r>
      <w:r>
        <w:rPr>
          <w:rFonts w:eastAsia="Times New Roman" w:cstheme="minorHAnsi"/>
        </w:rPr>
        <w:t>domestic students</w:t>
      </w:r>
      <w:r w:rsidR="001D11C5">
        <w:rPr>
          <w:rStyle w:val="FootnoteReference"/>
          <w:rFonts w:eastAsia="Times New Roman" w:cstheme="minorHAnsi"/>
        </w:rPr>
        <w:footnoteReference w:id="8"/>
      </w:r>
      <w:r>
        <w:rPr>
          <w:rFonts w:eastAsia="Times New Roman" w:cstheme="minorHAnsi"/>
        </w:rPr>
        <w:t>, 2016-2022</w:t>
      </w:r>
    </w:p>
    <w:p w14:paraId="6C2CE84F" w14:textId="77777777" w:rsidR="00CA1D9D" w:rsidRPr="005E6308" w:rsidRDefault="00CA1D9D" w:rsidP="00CA1D9D">
      <w:pPr>
        <w:spacing w:after="0" w:line="240" w:lineRule="auto"/>
        <w:rPr>
          <w:rFonts w:eastAsia="Times New Roman" w:cstheme="minorHAnsi"/>
        </w:rPr>
      </w:pPr>
      <w:r>
        <w:rPr>
          <w:noProof/>
          <w14:ligatures w14:val="standardContextual"/>
        </w:rPr>
        <w:drawing>
          <wp:inline distT="0" distB="0" distL="0" distR="0" wp14:anchorId="0385A5AB" wp14:editId="6432211B">
            <wp:extent cx="5943600" cy="4000500"/>
            <wp:effectExtent l="0" t="0" r="0" b="0"/>
            <wp:docPr id="1518522599" name="Chart 1">
              <a:extLst xmlns:a="http://schemas.openxmlformats.org/drawingml/2006/main">
                <a:ext uri="{FF2B5EF4-FFF2-40B4-BE49-F238E27FC236}">
                  <a16:creationId xmlns:a16="http://schemas.microsoft.com/office/drawing/2014/main" id="{B763412E-B0A9-788E-3C89-C724FBEFB3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20A6FA9" w14:textId="09E51980" w:rsidR="00CA1D9D" w:rsidRPr="00C10417" w:rsidRDefault="00CA1D9D" w:rsidP="00C10417">
      <w:pPr>
        <w:ind w:left="360"/>
        <w:rPr>
          <w:rFonts w:cstheme="minorHAnsi"/>
        </w:rPr>
      </w:pPr>
      <w:r w:rsidRPr="00530F57">
        <w:rPr>
          <w:rFonts w:cstheme="minorHAnsi"/>
        </w:rPr>
        <w:t>[Data can be found i</w:t>
      </w:r>
      <w:r w:rsidR="001879BF">
        <w:rPr>
          <w:rFonts w:cstheme="minorHAnsi"/>
        </w:rPr>
        <w:t xml:space="preserve">n </w:t>
      </w:r>
      <w:hyperlink r:id="rId24" w:history="1">
        <w:r w:rsidR="001879BF" w:rsidRPr="001879BF">
          <w:rPr>
            <w:rStyle w:val="Hyperlink"/>
            <w:rFonts w:cstheme="minorHAnsi"/>
          </w:rPr>
          <w:t>202</w:t>
        </w:r>
        <w:r w:rsidR="005532D3">
          <w:rPr>
            <w:rStyle w:val="Hyperlink"/>
            <w:rFonts w:cstheme="minorHAnsi"/>
          </w:rPr>
          <w:t>2</w:t>
        </w:r>
        <w:r w:rsidR="001879BF" w:rsidRPr="001879BF">
          <w:rPr>
            <w:rStyle w:val="Hyperlink"/>
            <w:rFonts w:cstheme="minorHAnsi"/>
          </w:rPr>
          <w:t xml:space="preserve"> section 11 Equity groups</w:t>
        </w:r>
      </w:hyperlink>
      <w:r w:rsidRPr="000F3E98">
        <w:rPr>
          <w:rFonts w:cstheme="minorHAnsi"/>
        </w:rPr>
        <w:t>]</w:t>
      </w:r>
    </w:p>
    <w:p w14:paraId="756A8BD8" w14:textId="41BE0A1F" w:rsidR="00CA1D9D" w:rsidRPr="005F40D0" w:rsidRDefault="00CA1D9D" w:rsidP="00EF00F2">
      <w:pPr>
        <w:pStyle w:val="ListParagraph"/>
        <w:numPr>
          <w:ilvl w:val="0"/>
          <w:numId w:val="24"/>
        </w:numPr>
        <w:spacing w:after="0" w:line="240" w:lineRule="auto"/>
        <w:contextualSpacing w:val="0"/>
        <w:rPr>
          <w:rFonts w:asciiTheme="minorHAnsi" w:eastAsia="Times New Roman" w:hAnsiTheme="minorHAnsi" w:cstheme="minorHAnsi"/>
        </w:rPr>
      </w:pPr>
      <w:r w:rsidRPr="00DE2296">
        <w:rPr>
          <w:rFonts w:asciiTheme="minorHAnsi" w:eastAsia="Times New Roman" w:hAnsiTheme="minorHAnsi" w:cstheme="minorHAnsi"/>
        </w:rPr>
        <w:t xml:space="preserve">The </w:t>
      </w:r>
      <w:r w:rsidR="00B2313A">
        <w:rPr>
          <w:rFonts w:asciiTheme="minorHAnsi" w:eastAsia="Times New Roman" w:hAnsiTheme="minorHAnsi" w:cstheme="minorHAnsi"/>
        </w:rPr>
        <w:t>proportion</w:t>
      </w:r>
      <w:r w:rsidRPr="00DE2296">
        <w:rPr>
          <w:rFonts w:asciiTheme="minorHAnsi" w:eastAsia="Times New Roman" w:hAnsiTheme="minorHAnsi" w:cstheme="minorHAnsi"/>
        </w:rPr>
        <w:t xml:space="preserve"> of</w:t>
      </w:r>
      <w:r w:rsidR="00B2313A">
        <w:rPr>
          <w:rFonts w:asciiTheme="minorHAnsi" w:eastAsia="Times New Roman" w:hAnsiTheme="minorHAnsi" w:cstheme="minorHAnsi"/>
        </w:rPr>
        <w:t xml:space="preserve"> commencing and all</w:t>
      </w:r>
      <w:r w:rsidRPr="00DE2296">
        <w:rPr>
          <w:rFonts w:asciiTheme="minorHAnsi" w:eastAsia="Times New Roman" w:hAnsiTheme="minorHAnsi" w:cstheme="minorHAnsi"/>
        </w:rPr>
        <w:t xml:space="preserve"> student</w:t>
      </w:r>
      <w:r w:rsidR="00E503E8">
        <w:rPr>
          <w:rFonts w:asciiTheme="minorHAnsi" w:eastAsia="Times New Roman" w:hAnsiTheme="minorHAnsi" w:cstheme="minorHAnsi"/>
        </w:rPr>
        <w:t>s</w:t>
      </w:r>
      <w:r w:rsidR="00282E45">
        <w:rPr>
          <w:rFonts w:asciiTheme="minorHAnsi" w:eastAsia="Times New Roman" w:hAnsiTheme="minorHAnsi" w:cstheme="minorHAnsi"/>
        </w:rPr>
        <w:t xml:space="preserve"> from low socio-economic areas </w:t>
      </w:r>
      <w:r w:rsidRPr="00DE2296">
        <w:rPr>
          <w:rFonts w:asciiTheme="minorHAnsi" w:eastAsia="Times New Roman" w:hAnsiTheme="minorHAnsi" w:cstheme="minorHAnsi"/>
        </w:rPr>
        <w:t xml:space="preserve">decreased from 2021 to 2022, </w:t>
      </w:r>
      <w:r w:rsidRPr="00C10417">
        <w:rPr>
          <w:rFonts w:asciiTheme="minorHAnsi" w:eastAsia="Times New Roman" w:hAnsiTheme="minorHAnsi" w:cstheme="minorHAnsi"/>
        </w:rPr>
        <w:t xml:space="preserve">indicating this cohort were over-represented in the </w:t>
      </w:r>
      <w:r w:rsidR="00282E45" w:rsidRPr="00C10417">
        <w:rPr>
          <w:rFonts w:asciiTheme="minorHAnsi" w:eastAsia="Times New Roman" w:hAnsiTheme="minorHAnsi" w:cstheme="minorHAnsi"/>
        </w:rPr>
        <w:t>falling</w:t>
      </w:r>
      <w:r w:rsidRPr="00C10417">
        <w:rPr>
          <w:rFonts w:asciiTheme="minorHAnsi" w:eastAsia="Times New Roman" w:hAnsiTheme="minorHAnsi" w:cstheme="minorHAnsi"/>
        </w:rPr>
        <w:t xml:space="preserve"> domestic enrolments. In other words, students from low socio-economic </w:t>
      </w:r>
      <w:r w:rsidR="00EF00F2">
        <w:rPr>
          <w:rFonts w:asciiTheme="minorHAnsi" w:eastAsia="Times New Roman" w:hAnsiTheme="minorHAnsi" w:cstheme="minorHAnsi"/>
        </w:rPr>
        <w:t>areas</w:t>
      </w:r>
      <w:r w:rsidR="00EF00F2" w:rsidRPr="00C10417">
        <w:rPr>
          <w:rFonts w:asciiTheme="minorHAnsi" w:eastAsia="Times New Roman" w:hAnsiTheme="minorHAnsi" w:cstheme="minorHAnsi"/>
        </w:rPr>
        <w:t xml:space="preserve"> </w:t>
      </w:r>
      <w:r w:rsidRPr="00C10417">
        <w:rPr>
          <w:rFonts w:asciiTheme="minorHAnsi" w:eastAsia="Times New Roman" w:hAnsiTheme="minorHAnsi" w:cstheme="minorHAnsi"/>
        </w:rPr>
        <w:t xml:space="preserve">decreased more than students from medium or high socio-economic </w:t>
      </w:r>
      <w:r w:rsidR="00EF00F2">
        <w:rPr>
          <w:rFonts w:asciiTheme="minorHAnsi" w:eastAsia="Times New Roman" w:hAnsiTheme="minorHAnsi" w:cstheme="minorHAnsi"/>
        </w:rPr>
        <w:t>areas</w:t>
      </w:r>
      <w:r w:rsidR="00514F11">
        <w:rPr>
          <w:rFonts w:asciiTheme="minorHAnsi" w:eastAsia="Times New Roman" w:hAnsiTheme="minorHAnsi" w:cstheme="minorHAnsi"/>
        </w:rPr>
        <w:t xml:space="preserve">. </w:t>
      </w:r>
      <w:r w:rsidR="007A289E">
        <w:rPr>
          <w:rFonts w:asciiTheme="minorHAnsi" w:eastAsia="Times New Roman" w:hAnsiTheme="minorHAnsi" w:cstheme="minorHAnsi"/>
        </w:rPr>
        <w:t>It is possible that t</w:t>
      </w:r>
      <w:r w:rsidR="00514F11">
        <w:rPr>
          <w:rFonts w:asciiTheme="minorHAnsi" w:eastAsia="Times New Roman" w:hAnsiTheme="minorHAnsi" w:cstheme="minorHAnsi"/>
        </w:rPr>
        <w:t>he strong labour market</w:t>
      </w:r>
      <w:r w:rsidR="007A289E" w:rsidRPr="007A289E">
        <w:rPr>
          <w:rFonts w:asciiTheme="minorHAnsi" w:eastAsia="Times New Roman" w:hAnsiTheme="minorHAnsi" w:cstheme="minorHAnsi"/>
        </w:rPr>
        <w:t xml:space="preserve"> </w:t>
      </w:r>
      <w:r w:rsidR="007A289E">
        <w:rPr>
          <w:rFonts w:asciiTheme="minorHAnsi" w:eastAsia="Times New Roman" w:hAnsiTheme="minorHAnsi" w:cstheme="minorHAnsi"/>
        </w:rPr>
        <w:t>in 2022, in conjunction with</w:t>
      </w:r>
      <w:r w:rsidR="00514F11">
        <w:rPr>
          <w:rFonts w:asciiTheme="minorHAnsi" w:eastAsia="Times New Roman" w:hAnsiTheme="minorHAnsi" w:cstheme="minorHAnsi"/>
        </w:rPr>
        <w:t xml:space="preserve"> increasing costs of living</w:t>
      </w:r>
      <w:r w:rsidR="007A289E">
        <w:rPr>
          <w:rFonts w:asciiTheme="minorHAnsi" w:eastAsia="Times New Roman" w:hAnsiTheme="minorHAnsi" w:cstheme="minorHAnsi"/>
        </w:rPr>
        <w:t>,</w:t>
      </w:r>
      <w:r w:rsidR="00514F11">
        <w:rPr>
          <w:rFonts w:asciiTheme="minorHAnsi" w:eastAsia="Times New Roman" w:hAnsiTheme="minorHAnsi" w:cstheme="minorHAnsi"/>
        </w:rPr>
        <w:t xml:space="preserve"> </w:t>
      </w:r>
      <w:r w:rsidR="007A289E">
        <w:rPr>
          <w:rFonts w:asciiTheme="minorHAnsi" w:eastAsia="Times New Roman" w:hAnsiTheme="minorHAnsi" w:cstheme="minorHAnsi"/>
        </w:rPr>
        <w:t>had a greater influence on</w:t>
      </w:r>
      <w:r w:rsidR="00514F11">
        <w:rPr>
          <w:rFonts w:asciiTheme="minorHAnsi" w:eastAsia="Times New Roman" w:hAnsiTheme="minorHAnsi" w:cstheme="minorHAnsi"/>
        </w:rPr>
        <w:t xml:space="preserve"> decision-making about higher education for students from low socio-economic backgrounds tha</w:t>
      </w:r>
      <w:r w:rsidR="007A289E">
        <w:rPr>
          <w:rFonts w:asciiTheme="minorHAnsi" w:eastAsia="Times New Roman" w:hAnsiTheme="minorHAnsi" w:cstheme="minorHAnsi"/>
        </w:rPr>
        <w:t>n for students from medium or high socio-economic backgrounds.</w:t>
      </w:r>
    </w:p>
    <w:p w14:paraId="1383DB6D" w14:textId="76B7817B" w:rsidR="00CA1D9D" w:rsidRPr="00DE2296" w:rsidRDefault="00CA1D9D" w:rsidP="00CA1D9D">
      <w:pPr>
        <w:pStyle w:val="ListParagraph"/>
        <w:numPr>
          <w:ilvl w:val="1"/>
          <w:numId w:val="24"/>
        </w:numPr>
        <w:spacing w:after="0" w:line="240" w:lineRule="auto"/>
        <w:contextualSpacing w:val="0"/>
        <w:rPr>
          <w:rFonts w:asciiTheme="minorHAnsi" w:eastAsia="Times New Roman" w:hAnsiTheme="minorHAnsi" w:cstheme="minorHAnsi"/>
        </w:rPr>
      </w:pPr>
      <w:r w:rsidRPr="00DE2296">
        <w:rPr>
          <w:rFonts w:asciiTheme="minorHAnsi" w:eastAsia="Times New Roman" w:hAnsiTheme="minorHAnsi" w:cstheme="minorHAnsi"/>
        </w:rPr>
        <w:t xml:space="preserve">The </w:t>
      </w:r>
      <w:r w:rsidR="00B2313A">
        <w:rPr>
          <w:rFonts w:asciiTheme="minorHAnsi" w:eastAsia="Times New Roman" w:hAnsiTheme="minorHAnsi" w:cstheme="minorHAnsi"/>
        </w:rPr>
        <w:t>proportion</w:t>
      </w:r>
      <w:r w:rsidRPr="00DE2296">
        <w:rPr>
          <w:rFonts w:asciiTheme="minorHAnsi" w:eastAsia="Times New Roman" w:hAnsiTheme="minorHAnsi" w:cstheme="minorHAnsi"/>
        </w:rPr>
        <w:t xml:space="preserve"> of </w:t>
      </w:r>
      <w:r w:rsidR="00B2313A">
        <w:rPr>
          <w:rFonts w:asciiTheme="minorHAnsi" w:eastAsia="Times New Roman" w:hAnsiTheme="minorHAnsi" w:cstheme="minorHAnsi"/>
        </w:rPr>
        <w:t xml:space="preserve">commencing </w:t>
      </w:r>
      <w:r w:rsidRPr="00DE2296">
        <w:rPr>
          <w:rFonts w:asciiTheme="minorHAnsi" w:eastAsia="Times New Roman" w:hAnsiTheme="minorHAnsi" w:cstheme="minorHAnsi"/>
        </w:rPr>
        <w:t xml:space="preserve">low SES students decreased from </w:t>
      </w:r>
      <w:r>
        <w:rPr>
          <w:rFonts w:asciiTheme="minorHAnsi" w:eastAsia="Times New Roman" w:hAnsiTheme="minorHAnsi" w:cstheme="minorHAnsi"/>
        </w:rPr>
        <w:t xml:space="preserve">17.1 </w:t>
      </w:r>
      <w:r w:rsidR="00B2313A">
        <w:rPr>
          <w:rFonts w:asciiTheme="minorHAnsi" w:eastAsia="Times New Roman" w:hAnsiTheme="minorHAnsi" w:cstheme="minorHAnsi"/>
        </w:rPr>
        <w:t xml:space="preserve">per cent </w:t>
      </w:r>
      <w:r>
        <w:rPr>
          <w:rFonts w:asciiTheme="minorHAnsi" w:eastAsia="Times New Roman" w:hAnsiTheme="minorHAnsi" w:cstheme="minorHAnsi"/>
        </w:rPr>
        <w:t>to 16.9</w:t>
      </w:r>
      <w:r w:rsidR="00B2313A">
        <w:rPr>
          <w:rFonts w:asciiTheme="minorHAnsi" w:eastAsia="Times New Roman" w:hAnsiTheme="minorHAnsi" w:cstheme="minorHAnsi"/>
        </w:rPr>
        <w:t xml:space="preserve"> per cent</w:t>
      </w:r>
      <w:r w:rsidRPr="00DE2296">
        <w:rPr>
          <w:rFonts w:asciiTheme="minorHAnsi" w:eastAsia="Times New Roman" w:hAnsiTheme="minorHAnsi" w:cstheme="minorHAnsi"/>
        </w:rPr>
        <w:t xml:space="preserve">. </w:t>
      </w:r>
    </w:p>
    <w:p w14:paraId="4485A51C" w14:textId="31E4083C" w:rsidR="00CA1D9D" w:rsidRDefault="00CA1D9D" w:rsidP="00CA1D9D">
      <w:pPr>
        <w:pStyle w:val="ListParagraph"/>
        <w:numPr>
          <w:ilvl w:val="1"/>
          <w:numId w:val="24"/>
        </w:numPr>
        <w:spacing w:after="0" w:line="240" w:lineRule="auto"/>
        <w:contextualSpacing w:val="0"/>
        <w:rPr>
          <w:rFonts w:asciiTheme="minorHAnsi" w:eastAsia="Times New Roman" w:hAnsiTheme="minorHAnsi" w:cstheme="minorHAnsi"/>
        </w:rPr>
      </w:pPr>
      <w:r w:rsidRPr="00DE2296">
        <w:rPr>
          <w:rFonts w:asciiTheme="minorHAnsi" w:eastAsia="Times New Roman" w:hAnsiTheme="minorHAnsi" w:cstheme="minorHAnsi"/>
        </w:rPr>
        <w:t xml:space="preserve">The </w:t>
      </w:r>
      <w:r w:rsidR="00B2313A">
        <w:rPr>
          <w:rFonts w:asciiTheme="minorHAnsi" w:eastAsia="Times New Roman" w:hAnsiTheme="minorHAnsi" w:cstheme="minorHAnsi"/>
        </w:rPr>
        <w:t xml:space="preserve">proportion of </w:t>
      </w:r>
      <w:r w:rsidRPr="00DE2296">
        <w:rPr>
          <w:rFonts w:asciiTheme="minorHAnsi" w:eastAsia="Times New Roman" w:hAnsiTheme="minorHAnsi" w:cstheme="minorHAnsi"/>
        </w:rPr>
        <w:t xml:space="preserve">low SES students </w:t>
      </w:r>
      <w:r w:rsidR="007A289E">
        <w:rPr>
          <w:rFonts w:asciiTheme="minorHAnsi" w:eastAsia="Times New Roman" w:hAnsiTheme="minorHAnsi" w:cstheme="minorHAnsi"/>
        </w:rPr>
        <w:t xml:space="preserve">overall </w:t>
      </w:r>
      <w:r w:rsidRPr="00DE2296">
        <w:rPr>
          <w:rFonts w:asciiTheme="minorHAnsi" w:eastAsia="Times New Roman" w:hAnsiTheme="minorHAnsi" w:cstheme="minorHAnsi"/>
        </w:rPr>
        <w:t>decreased from</w:t>
      </w:r>
      <w:r>
        <w:rPr>
          <w:rFonts w:asciiTheme="minorHAnsi" w:eastAsia="Times New Roman" w:hAnsiTheme="minorHAnsi" w:cstheme="minorHAnsi"/>
        </w:rPr>
        <w:t xml:space="preserve"> 16.8 </w:t>
      </w:r>
      <w:r w:rsidR="00B2313A">
        <w:rPr>
          <w:rFonts w:asciiTheme="minorHAnsi" w:eastAsia="Times New Roman" w:hAnsiTheme="minorHAnsi" w:cstheme="minorHAnsi"/>
        </w:rPr>
        <w:t xml:space="preserve">per cent </w:t>
      </w:r>
      <w:r>
        <w:rPr>
          <w:rFonts w:asciiTheme="minorHAnsi" w:eastAsia="Times New Roman" w:hAnsiTheme="minorHAnsi" w:cstheme="minorHAnsi"/>
        </w:rPr>
        <w:t>to 16.0</w:t>
      </w:r>
      <w:r w:rsidR="00B2313A">
        <w:rPr>
          <w:rFonts w:asciiTheme="minorHAnsi" w:eastAsia="Times New Roman" w:hAnsiTheme="minorHAnsi" w:cstheme="minorHAnsi"/>
        </w:rPr>
        <w:t xml:space="preserve"> per cent</w:t>
      </w:r>
      <w:r w:rsidRPr="00DE2296">
        <w:rPr>
          <w:rFonts w:asciiTheme="minorHAnsi" w:eastAsia="Times New Roman" w:hAnsiTheme="minorHAnsi" w:cstheme="minorHAnsi"/>
        </w:rPr>
        <w:t>.</w:t>
      </w:r>
    </w:p>
    <w:p w14:paraId="561C0C12" w14:textId="78EF363A" w:rsidR="00CA1D9D" w:rsidRDefault="00CA1D9D" w:rsidP="00CA1D9D">
      <w:pPr>
        <w:pStyle w:val="ListParagraph"/>
        <w:numPr>
          <w:ilvl w:val="0"/>
          <w:numId w:val="24"/>
        </w:numPr>
        <w:spacing w:after="0" w:line="240" w:lineRule="auto"/>
        <w:contextualSpacing w:val="0"/>
        <w:rPr>
          <w:rFonts w:asciiTheme="minorHAnsi" w:eastAsia="Times New Roman" w:hAnsiTheme="minorHAnsi" w:cstheme="minorHAnsi"/>
        </w:rPr>
      </w:pPr>
      <w:r w:rsidRPr="00DE2296">
        <w:rPr>
          <w:rFonts w:asciiTheme="minorHAnsi" w:eastAsia="Times New Roman" w:hAnsiTheme="minorHAnsi" w:cstheme="minorHAnsi"/>
        </w:rPr>
        <w:t xml:space="preserve">The </w:t>
      </w:r>
      <w:r w:rsidR="00EF00F2">
        <w:rPr>
          <w:rFonts w:asciiTheme="minorHAnsi" w:eastAsia="Times New Roman" w:hAnsiTheme="minorHAnsi" w:cstheme="minorHAnsi"/>
        </w:rPr>
        <w:t>proportion</w:t>
      </w:r>
      <w:r w:rsidRPr="00DE2296">
        <w:rPr>
          <w:rFonts w:asciiTheme="minorHAnsi" w:eastAsia="Times New Roman" w:hAnsiTheme="minorHAnsi" w:cstheme="minorHAnsi"/>
        </w:rPr>
        <w:t xml:space="preserve"> of </w:t>
      </w:r>
      <w:r>
        <w:rPr>
          <w:rFonts w:asciiTheme="minorHAnsi" w:eastAsia="Times New Roman" w:hAnsiTheme="minorHAnsi" w:cstheme="minorHAnsi"/>
        </w:rPr>
        <w:t>students with a disability continue</w:t>
      </w:r>
      <w:r w:rsidR="00C10417">
        <w:rPr>
          <w:rFonts w:asciiTheme="minorHAnsi" w:eastAsia="Times New Roman" w:hAnsiTheme="minorHAnsi" w:cstheme="minorHAnsi"/>
        </w:rPr>
        <w:t>d</w:t>
      </w:r>
      <w:r>
        <w:rPr>
          <w:rFonts w:asciiTheme="minorHAnsi" w:eastAsia="Times New Roman" w:hAnsiTheme="minorHAnsi" w:cstheme="minorHAnsi"/>
        </w:rPr>
        <w:t xml:space="preserve"> to grow after the definition was broadened in 2020.</w:t>
      </w:r>
    </w:p>
    <w:p w14:paraId="742C16FC" w14:textId="2564B01C" w:rsidR="00D36D78" w:rsidRDefault="00D36D78" w:rsidP="00CA1D9D">
      <w:pPr>
        <w:pStyle w:val="ListParagraph"/>
        <w:numPr>
          <w:ilvl w:val="0"/>
          <w:numId w:val="24"/>
        </w:numPr>
        <w:spacing w:after="0" w:line="240" w:lineRule="auto"/>
        <w:contextualSpacing w:val="0"/>
        <w:rPr>
          <w:rFonts w:asciiTheme="minorHAnsi" w:eastAsia="Times New Roman" w:hAnsiTheme="minorHAnsi" w:cstheme="minorHAnsi"/>
        </w:rPr>
      </w:pPr>
      <w:r>
        <w:rPr>
          <w:rFonts w:asciiTheme="minorHAnsi" w:eastAsia="Times New Roman" w:hAnsiTheme="minorHAnsi" w:cstheme="minorHAnsi"/>
        </w:rPr>
        <w:t xml:space="preserve">The proportion of students </w:t>
      </w:r>
      <w:r w:rsidR="003369C2">
        <w:rPr>
          <w:rFonts w:asciiTheme="minorHAnsi" w:eastAsia="Times New Roman" w:hAnsiTheme="minorHAnsi" w:cstheme="minorHAnsi"/>
        </w:rPr>
        <w:t>who</w:t>
      </w:r>
      <w:r>
        <w:rPr>
          <w:rFonts w:asciiTheme="minorHAnsi" w:eastAsia="Times New Roman" w:hAnsiTheme="minorHAnsi" w:cstheme="minorHAnsi"/>
        </w:rPr>
        <w:t xml:space="preserve"> identify as First Nations remained constant at 2.1 per cent. </w:t>
      </w:r>
    </w:p>
    <w:p w14:paraId="2C666C33" w14:textId="34FACBBD" w:rsidR="00D36D78" w:rsidRDefault="00D36D78" w:rsidP="00CA1D9D">
      <w:pPr>
        <w:pStyle w:val="ListParagraph"/>
        <w:numPr>
          <w:ilvl w:val="0"/>
          <w:numId w:val="24"/>
        </w:numPr>
        <w:spacing w:after="0" w:line="240" w:lineRule="auto"/>
        <w:contextualSpacing w:val="0"/>
        <w:rPr>
          <w:rFonts w:asciiTheme="minorHAnsi" w:eastAsia="Times New Roman" w:hAnsiTheme="minorHAnsi" w:cstheme="minorHAnsi"/>
        </w:rPr>
      </w:pPr>
      <w:r>
        <w:rPr>
          <w:rFonts w:asciiTheme="minorHAnsi" w:eastAsia="Times New Roman" w:hAnsiTheme="minorHAnsi" w:cstheme="minorHAnsi"/>
        </w:rPr>
        <w:t>The proportion of student</w:t>
      </w:r>
      <w:r w:rsidR="001C054E">
        <w:rPr>
          <w:rFonts w:asciiTheme="minorHAnsi" w:eastAsia="Times New Roman" w:hAnsiTheme="minorHAnsi" w:cstheme="minorHAnsi"/>
        </w:rPr>
        <w:t>s</w:t>
      </w:r>
      <w:r>
        <w:rPr>
          <w:rFonts w:asciiTheme="minorHAnsi" w:eastAsia="Times New Roman" w:hAnsiTheme="minorHAnsi" w:cstheme="minorHAnsi"/>
        </w:rPr>
        <w:t xml:space="preserve"> from region</w:t>
      </w:r>
      <w:r w:rsidR="00457087">
        <w:rPr>
          <w:rFonts w:asciiTheme="minorHAnsi" w:eastAsia="Times New Roman" w:hAnsiTheme="minorHAnsi" w:cstheme="minorHAnsi"/>
        </w:rPr>
        <w:t>al</w:t>
      </w:r>
      <w:r>
        <w:rPr>
          <w:rFonts w:asciiTheme="minorHAnsi" w:eastAsia="Times New Roman" w:hAnsiTheme="minorHAnsi" w:cstheme="minorHAnsi"/>
        </w:rPr>
        <w:t xml:space="preserve"> and remote areas remained constant at 19.2 per cent. </w:t>
      </w:r>
    </w:p>
    <w:p w14:paraId="3F24AA56" w14:textId="333F3061" w:rsidR="00CA1D9D" w:rsidRDefault="00CA1D9D" w:rsidP="00CA1D9D">
      <w:pPr>
        <w:pStyle w:val="Heading3"/>
      </w:pPr>
      <w:bookmarkStart w:id="10" w:name="_Toc152149413"/>
      <w:r>
        <w:lastRenderedPageBreak/>
        <w:t xml:space="preserve">The 2021 adjusted attrition rate increased after low rates </w:t>
      </w:r>
      <w:r w:rsidRPr="00CA1D9D">
        <w:t>observed</w:t>
      </w:r>
      <w:r>
        <w:t xml:space="preserve"> during the </w:t>
      </w:r>
      <w:proofErr w:type="gramStart"/>
      <w:r>
        <w:t>pandemic</w:t>
      </w:r>
      <w:bookmarkEnd w:id="10"/>
      <w:proofErr w:type="gramEnd"/>
    </w:p>
    <w:p w14:paraId="4155BF2B" w14:textId="7F955AB4" w:rsidR="00CA1D9D" w:rsidRPr="00DE098A" w:rsidRDefault="00CA1D9D" w:rsidP="00CA1D9D">
      <w:pPr>
        <w:rPr>
          <w:rFonts w:cstheme="minorHAnsi"/>
        </w:rPr>
      </w:pPr>
      <w:r w:rsidRPr="00DE098A">
        <w:rPr>
          <w:rFonts w:cstheme="minorHAnsi"/>
        </w:rPr>
        <w:t xml:space="preserve">Figure </w:t>
      </w:r>
      <w:r w:rsidR="009136A3">
        <w:rPr>
          <w:rFonts w:cstheme="minorHAnsi"/>
        </w:rPr>
        <w:t>7</w:t>
      </w:r>
      <w:r w:rsidRPr="00DE098A">
        <w:rPr>
          <w:rFonts w:cstheme="minorHAnsi"/>
        </w:rPr>
        <w:t>: Adjusted attrition rate for</w:t>
      </w:r>
      <w:r w:rsidR="00BD523F">
        <w:rPr>
          <w:rFonts w:cstheme="minorHAnsi"/>
        </w:rPr>
        <w:t xml:space="preserve"> commencing</w:t>
      </w:r>
      <w:r w:rsidRPr="00DE098A">
        <w:rPr>
          <w:rFonts w:cstheme="minorHAnsi"/>
        </w:rPr>
        <w:t xml:space="preserve"> domestic bachelor students, selected Table A and B institutions 2012-2021</w:t>
      </w:r>
    </w:p>
    <w:p w14:paraId="1193BA27" w14:textId="77777777" w:rsidR="00CA1D9D" w:rsidRDefault="00CA1D9D" w:rsidP="00CA1D9D">
      <w:r>
        <w:rPr>
          <w:noProof/>
          <w14:ligatures w14:val="standardContextual"/>
        </w:rPr>
        <w:drawing>
          <wp:inline distT="0" distB="0" distL="0" distR="0" wp14:anchorId="5D3B55BD" wp14:editId="7F8B054C">
            <wp:extent cx="6124575" cy="3495675"/>
            <wp:effectExtent l="0" t="0" r="0" b="0"/>
            <wp:docPr id="1240149116" name="Chart 1">
              <a:extLst xmlns:a="http://schemas.openxmlformats.org/drawingml/2006/main">
                <a:ext uri="{FF2B5EF4-FFF2-40B4-BE49-F238E27FC236}">
                  <a16:creationId xmlns:a16="http://schemas.microsoft.com/office/drawing/2014/main" id="{09A088E8-B9E9-498D-9616-DC353F637E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B59225D" w14:textId="326F5646" w:rsidR="00CA1D9D" w:rsidRDefault="00CA1D9D" w:rsidP="00CA1D9D">
      <w:pPr>
        <w:rPr>
          <w:rFonts w:cstheme="minorHAnsi"/>
        </w:rPr>
      </w:pPr>
      <w:r w:rsidRPr="009D1956">
        <w:rPr>
          <w:rFonts w:cstheme="minorHAnsi"/>
        </w:rPr>
        <w:t xml:space="preserve">[Data </w:t>
      </w:r>
      <w:r>
        <w:rPr>
          <w:rFonts w:cstheme="minorHAnsi"/>
        </w:rPr>
        <w:t>can be found in</w:t>
      </w:r>
      <w:r w:rsidR="001879BF">
        <w:rPr>
          <w:rFonts w:cstheme="minorHAnsi"/>
        </w:rPr>
        <w:t xml:space="preserve"> the </w:t>
      </w:r>
      <w:hyperlink r:id="rId26" w:history="1">
        <w:r w:rsidR="001879BF" w:rsidRPr="001879BF">
          <w:rPr>
            <w:rStyle w:val="Hyperlink"/>
            <w:rFonts w:cstheme="minorHAnsi"/>
          </w:rPr>
          <w:t>2022 Section 15 Attrition, success and retention</w:t>
        </w:r>
      </w:hyperlink>
      <w:r w:rsidRPr="009D1956">
        <w:rPr>
          <w:rFonts w:cstheme="minorHAnsi"/>
        </w:rPr>
        <w:t>]</w:t>
      </w:r>
    </w:p>
    <w:p w14:paraId="451DCEF8" w14:textId="6E98C5E2" w:rsidR="00102B00" w:rsidRDefault="00102B00" w:rsidP="00CA1D9D">
      <w:pPr>
        <w:pStyle w:val="ListParagraph"/>
        <w:numPr>
          <w:ilvl w:val="0"/>
          <w:numId w:val="26"/>
        </w:numPr>
        <w:rPr>
          <w:rFonts w:asciiTheme="minorHAnsi" w:hAnsiTheme="minorHAnsi" w:cstheme="minorHAnsi"/>
        </w:rPr>
      </w:pPr>
      <w:r>
        <w:rPr>
          <w:rFonts w:asciiTheme="minorHAnsi" w:hAnsiTheme="minorHAnsi" w:cstheme="minorHAnsi"/>
        </w:rPr>
        <w:t>The adjusted attrition rate</w:t>
      </w:r>
      <w:r w:rsidRPr="00AC36C3">
        <w:rPr>
          <w:rStyle w:val="FootnoteReference"/>
          <w:rFonts w:asciiTheme="minorHAnsi" w:hAnsiTheme="minorHAnsi" w:cstheme="minorHAnsi"/>
        </w:rPr>
        <w:footnoteReference w:id="9"/>
      </w:r>
      <w:r w:rsidRPr="00AC36C3">
        <w:rPr>
          <w:rFonts w:asciiTheme="minorHAnsi" w:hAnsiTheme="minorHAnsi" w:cstheme="minorHAnsi"/>
        </w:rPr>
        <w:t xml:space="preserve"> </w:t>
      </w:r>
      <w:r>
        <w:rPr>
          <w:rFonts w:asciiTheme="minorHAnsi" w:hAnsiTheme="minorHAnsi" w:cstheme="minorHAnsi"/>
        </w:rPr>
        <w:t xml:space="preserve"> attempts to capture the proportion of domestic bachelor students who discontinue study after the initial year. </w:t>
      </w:r>
    </w:p>
    <w:p w14:paraId="55882C77" w14:textId="25B022DD" w:rsidR="00CA1D9D" w:rsidRPr="00AC36C3" w:rsidRDefault="00CA1D9D" w:rsidP="00CA1D9D">
      <w:pPr>
        <w:pStyle w:val="ListParagraph"/>
        <w:numPr>
          <w:ilvl w:val="0"/>
          <w:numId w:val="26"/>
        </w:numPr>
        <w:rPr>
          <w:rFonts w:asciiTheme="minorHAnsi" w:hAnsiTheme="minorHAnsi" w:cstheme="minorHAnsi"/>
        </w:rPr>
      </w:pPr>
      <w:r w:rsidRPr="00AC36C3">
        <w:rPr>
          <w:rFonts w:asciiTheme="minorHAnsi" w:hAnsiTheme="minorHAnsi" w:cstheme="minorHAnsi"/>
        </w:rPr>
        <w:t>The adjusted attrition rate</w:t>
      </w:r>
      <w:r w:rsidR="005F40D0">
        <w:rPr>
          <w:rFonts w:asciiTheme="minorHAnsi" w:hAnsiTheme="minorHAnsi" w:cstheme="minorHAnsi"/>
        </w:rPr>
        <w:t xml:space="preserve"> </w:t>
      </w:r>
      <w:r w:rsidRPr="00AC36C3">
        <w:rPr>
          <w:rFonts w:asciiTheme="minorHAnsi" w:hAnsiTheme="minorHAnsi" w:cstheme="minorHAnsi"/>
        </w:rPr>
        <w:t>in 2021 increased to 14.73 per cent, an increase of 2 percentage points from 2020.</w:t>
      </w:r>
    </w:p>
    <w:p w14:paraId="641EB39C" w14:textId="2975FB72" w:rsidR="00CA1D9D" w:rsidRPr="00AC36C3" w:rsidRDefault="00CA1D9D" w:rsidP="00CA1D9D">
      <w:pPr>
        <w:pStyle w:val="ListParagraph"/>
        <w:numPr>
          <w:ilvl w:val="0"/>
          <w:numId w:val="26"/>
        </w:numPr>
        <w:rPr>
          <w:rFonts w:asciiTheme="minorHAnsi" w:hAnsiTheme="minorHAnsi" w:cstheme="minorHAnsi"/>
        </w:rPr>
      </w:pPr>
      <w:r w:rsidRPr="00AC36C3">
        <w:rPr>
          <w:rFonts w:asciiTheme="minorHAnsi" w:hAnsiTheme="minorHAnsi" w:cstheme="minorHAnsi"/>
        </w:rPr>
        <w:t xml:space="preserve">The majority of Table A and B higher education institutions </w:t>
      </w:r>
      <w:r w:rsidR="00AC36C3" w:rsidRPr="00AC36C3">
        <w:rPr>
          <w:rFonts w:asciiTheme="minorHAnsi" w:hAnsiTheme="minorHAnsi" w:cstheme="minorHAnsi"/>
        </w:rPr>
        <w:t>had</w:t>
      </w:r>
      <w:r w:rsidRPr="00AC36C3">
        <w:rPr>
          <w:rFonts w:asciiTheme="minorHAnsi" w:hAnsiTheme="minorHAnsi" w:cstheme="minorHAnsi"/>
        </w:rPr>
        <w:t xml:space="preserve"> increased attrition</w:t>
      </w:r>
      <w:r w:rsidR="00D53AF6">
        <w:rPr>
          <w:rFonts w:asciiTheme="minorHAnsi" w:hAnsiTheme="minorHAnsi" w:cstheme="minorHAnsi"/>
        </w:rPr>
        <w:t xml:space="preserve"> rates</w:t>
      </w:r>
      <w:r w:rsidRPr="00AC36C3">
        <w:rPr>
          <w:rFonts w:asciiTheme="minorHAnsi" w:hAnsiTheme="minorHAnsi" w:cstheme="minorHAnsi"/>
        </w:rPr>
        <w:t xml:space="preserve"> in 2021 compared to 2020. </w:t>
      </w:r>
    </w:p>
    <w:p w14:paraId="2DFE4F8B" w14:textId="77777777" w:rsidR="00CA1D9D" w:rsidRPr="00AC36C3" w:rsidRDefault="00CA1D9D" w:rsidP="00CA1D9D">
      <w:pPr>
        <w:pStyle w:val="ListParagraph"/>
        <w:numPr>
          <w:ilvl w:val="0"/>
          <w:numId w:val="26"/>
        </w:numPr>
        <w:spacing w:after="0"/>
        <w:ind w:left="714" w:hanging="357"/>
        <w:rPr>
          <w:rFonts w:asciiTheme="minorHAnsi" w:hAnsiTheme="minorHAnsi" w:cstheme="minorHAnsi"/>
        </w:rPr>
      </w:pPr>
      <w:r w:rsidRPr="00AC36C3">
        <w:rPr>
          <w:rFonts w:asciiTheme="minorHAnsi" w:hAnsiTheme="minorHAnsi" w:cstheme="minorHAnsi"/>
        </w:rPr>
        <w:t>The University of New South Wales, the University of Melbourne and Monash University remain the top 3 performing universities in terms of attrition rates, generally around 5 per cent or lower.</w:t>
      </w:r>
    </w:p>
    <w:p w14:paraId="103E5A12" w14:textId="04490406" w:rsidR="00CA1D9D" w:rsidRDefault="00CA1D9D" w:rsidP="00CA1D9D">
      <w:pPr>
        <w:pStyle w:val="MBPoint"/>
        <w:numPr>
          <w:ilvl w:val="0"/>
          <w:numId w:val="26"/>
        </w:numPr>
        <w:spacing w:after="0"/>
        <w:ind w:left="714" w:hanging="357"/>
        <w:rPr>
          <w:rFonts w:asciiTheme="minorHAnsi" w:hAnsiTheme="minorHAnsi" w:cstheme="minorHAnsi"/>
          <w:sz w:val="22"/>
          <w:szCs w:val="22"/>
        </w:rPr>
      </w:pPr>
      <w:r w:rsidRPr="00AC36C3">
        <w:rPr>
          <w:rFonts w:asciiTheme="minorHAnsi" w:hAnsiTheme="minorHAnsi" w:cstheme="minorHAnsi"/>
          <w:sz w:val="22"/>
          <w:szCs w:val="22"/>
        </w:rPr>
        <w:t xml:space="preserve">The bottom 3 performing higher education institutions also remained unchanged from 2020, Southern Cross University, The University of New England and CQUniversity. These universities have attrition rates </w:t>
      </w:r>
      <w:r w:rsidR="00AC36C3" w:rsidRPr="00AC36C3">
        <w:rPr>
          <w:rFonts w:asciiTheme="minorHAnsi" w:hAnsiTheme="minorHAnsi" w:cstheme="minorHAnsi"/>
          <w:sz w:val="22"/>
          <w:szCs w:val="22"/>
        </w:rPr>
        <w:t>1.5 times more than</w:t>
      </w:r>
      <w:r w:rsidRPr="00AC36C3">
        <w:rPr>
          <w:rFonts w:asciiTheme="minorHAnsi" w:hAnsiTheme="minorHAnsi" w:cstheme="minorHAnsi"/>
          <w:sz w:val="22"/>
          <w:szCs w:val="22"/>
        </w:rPr>
        <w:t xml:space="preserve"> the average. </w:t>
      </w:r>
    </w:p>
    <w:p w14:paraId="5A079C55" w14:textId="3F638F41" w:rsidR="00D53AF6" w:rsidRPr="00AC36C3" w:rsidRDefault="00D53AF6" w:rsidP="00CA1D9D">
      <w:pPr>
        <w:pStyle w:val="MBPoint"/>
        <w:numPr>
          <w:ilvl w:val="0"/>
          <w:numId w:val="26"/>
        </w:numPr>
        <w:spacing w:after="0"/>
        <w:ind w:left="714" w:hanging="357"/>
        <w:rPr>
          <w:rFonts w:asciiTheme="minorHAnsi" w:hAnsiTheme="minorHAnsi" w:cstheme="minorHAnsi"/>
          <w:sz w:val="22"/>
          <w:szCs w:val="22"/>
        </w:rPr>
      </w:pPr>
      <w:r>
        <w:rPr>
          <w:rFonts w:asciiTheme="minorHAnsi" w:hAnsiTheme="minorHAnsi" w:cstheme="minorHAnsi"/>
          <w:sz w:val="22"/>
          <w:szCs w:val="22"/>
        </w:rPr>
        <w:t>Attrition rates at non-university higher education institutions continue to be volatile due to the small size of these institutes.</w:t>
      </w:r>
    </w:p>
    <w:p w14:paraId="6B2FC99E" w14:textId="6B79C49A" w:rsidR="00CA1D9D" w:rsidRDefault="00CA1D9D" w:rsidP="00AC36C3">
      <w:pPr>
        <w:pStyle w:val="Heading3"/>
      </w:pPr>
      <w:bookmarkStart w:id="11" w:name="_Toc152149414"/>
      <w:r>
        <w:lastRenderedPageBreak/>
        <w:t xml:space="preserve">The </w:t>
      </w:r>
      <w:r w:rsidR="001F342F">
        <w:t>six</w:t>
      </w:r>
      <w:r>
        <w:t>-year completion rate is the lowest on record</w:t>
      </w:r>
      <w:r w:rsidR="00D7426E">
        <w:t xml:space="preserve"> in </w:t>
      </w:r>
      <w:proofErr w:type="gramStart"/>
      <w:r w:rsidR="00D7426E">
        <w:t>2022</w:t>
      </w:r>
      <w:bookmarkEnd w:id="11"/>
      <w:proofErr w:type="gramEnd"/>
    </w:p>
    <w:p w14:paraId="2356A21E" w14:textId="238A173C" w:rsidR="00CA1D9D" w:rsidRDefault="00CA1D9D" w:rsidP="00CA1D9D">
      <w:r>
        <w:t xml:space="preserve">Figure </w:t>
      </w:r>
      <w:r w:rsidR="009136A3">
        <w:t>8</w:t>
      </w:r>
      <w:r>
        <w:t xml:space="preserve">: Completion and engagement rates for Table A and B institutions, </w:t>
      </w:r>
      <w:r w:rsidR="00BD523F">
        <w:t xml:space="preserve">commencing </w:t>
      </w:r>
      <w:r>
        <w:t>domestic bachelor students, 2005 to 2019 cohorts</w:t>
      </w:r>
      <w:r w:rsidR="00AC36C3">
        <w:t>.</w:t>
      </w:r>
    </w:p>
    <w:p w14:paraId="4D962C25" w14:textId="77777777" w:rsidR="00CA1D9D" w:rsidRDefault="00CA1D9D" w:rsidP="00CA1D9D">
      <w:r>
        <w:rPr>
          <w:noProof/>
          <w14:ligatures w14:val="standardContextual"/>
        </w:rPr>
        <w:drawing>
          <wp:inline distT="0" distB="0" distL="0" distR="0" wp14:anchorId="30507BEE" wp14:editId="13572C93">
            <wp:extent cx="5295900" cy="2933700"/>
            <wp:effectExtent l="0" t="0" r="0" b="0"/>
            <wp:docPr id="450789453" name="Chart 1">
              <a:extLst xmlns:a="http://schemas.openxmlformats.org/drawingml/2006/main">
                <a:ext uri="{FF2B5EF4-FFF2-40B4-BE49-F238E27FC236}">
                  <a16:creationId xmlns:a16="http://schemas.microsoft.com/office/drawing/2014/main" id="{85B885EC-D7D4-4E2D-B07A-58866AB6E6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52859B7" w14:textId="6725808E" w:rsidR="00CA1D9D" w:rsidRPr="00550A99" w:rsidRDefault="00CA1D9D" w:rsidP="00CA1D9D">
      <w:pPr>
        <w:rPr>
          <w:rFonts w:cstheme="minorHAnsi"/>
        </w:rPr>
      </w:pPr>
      <w:r w:rsidRPr="009D1956">
        <w:rPr>
          <w:rFonts w:cstheme="minorHAnsi"/>
        </w:rPr>
        <w:t xml:space="preserve">[Data </w:t>
      </w:r>
      <w:r>
        <w:rPr>
          <w:rFonts w:cstheme="minorHAnsi"/>
        </w:rPr>
        <w:t>can be found in</w:t>
      </w:r>
      <w:r w:rsidR="001879BF">
        <w:t xml:space="preserve"> the </w:t>
      </w:r>
      <w:hyperlink r:id="rId28" w:history="1">
        <w:r w:rsidR="001879BF" w:rsidRPr="001879BF">
          <w:rPr>
            <w:rStyle w:val="Hyperlink"/>
          </w:rPr>
          <w:t>completion rates of Higher Education students – cohort analysis 2005-2022</w:t>
        </w:r>
      </w:hyperlink>
      <w:r w:rsidRPr="009D1956">
        <w:rPr>
          <w:rFonts w:cstheme="minorHAnsi"/>
        </w:rPr>
        <w:t>]</w:t>
      </w:r>
    </w:p>
    <w:p w14:paraId="66C515A1" w14:textId="704CB16E" w:rsidR="000950DB" w:rsidRDefault="000950DB" w:rsidP="00CA1D9D">
      <w:pPr>
        <w:pStyle w:val="MBPoint"/>
        <w:numPr>
          <w:ilvl w:val="0"/>
          <w:numId w:val="28"/>
        </w:numPr>
        <w:rPr>
          <w:rFonts w:asciiTheme="minorHAnsi" w:hAnsiTheme="minorHAnsi" w:cstheme="minorHAnsi"/>
          <w:sz w:val="22"/>
          <w:szCs w:val="22"/>
        </w:rPr>
      </w:pPr>
      <w:r>
        <w:rPr>
          <w:rFonts w:asciiTheme="minorHAnsi" w:hAnsiTheme="minorHAnsi" w:cstheme="minorHAnsi"/>
          <w:sz w:val="22"/>
          <w:szCs w:val="22"/>
        </w:rPr>
        <w:t xml:space="preserve">The department tracks outcomes for higher education student cohorts over time. The </w:t>
      </w:r>
      <w:r w:rsidRPr="00AC36C3">
        <w:rPr>
          <w:rFonts w:asciiTheme="minorHAnsi" w:hAnsiTheme="minorHAnsi" w:cstheme="minorHAnsi"/>
          <w:sz w:val="22"/>
          <w:szCs w:val="22"/>
        </w:rPr>
        <w:t>completion</w:t>
      </w:r>
      <w:r w:rsidRPr="00AC36C3">
        <w:rPr>
          <w:rStyle w:val="FootnoteReference"/>
          <w:rFonts w:asciiTheme="minorHAnsi" w:hAnsiTheme="minorHAnsi" w:cstheme="minorHAnsi"/>
          <w:sz w:val="22"/>
          <w:szCs w:val="22"/>
        </w:rPr>
        <w:footnoteReference w:id="10"/>
      </w:r>
      <w:r w:rsidRPr="00AC36C3">
        <w:rPr>
          <w:rFonts w:asciiTheme="minorHAnsi" w:hAnsiTheme="minorHAnsi" w:cstheme="minorHAnsi"/>
          <w:sz w:val="22"/>
          <w:szCs w:val="22"/>
        </w:rPr>
        <w:t xml:space="preserve"> </w:t>
      </w:r>
      <w:r>
        <w:rPr>
          <w:rFonts w:asciiTheme="minorHAnsi" w:hAnsiTheme="minorHAnsi" w:cstheme="minorHAnsi"/>
          <w:sz w:val="22"/>
          <w:szCs w:val="22"/>
        </w:rPr>
        <w:t>rates show the percentage of students who have completed their study 4 or 6 years after they commenced their course. Engagement rates show the percentage of students who have completed or are still enrolled 4 or 6 years after they commenced their course.</w:t>
      </w:r>
    </w:p>
    <w:p w14:paraId="480685E4" w14:textId="05CAF42E" w:rsidR="00CA1D9D" w:rsidRDefault="00CA1D9D" w:rsidP="00CA1D9D">
      <w:pPr>
        <w:pStyle w:val="MBPoint"/>
        <w:numPr>
          <w:ilvl w:val="0"/>
          <w:numId w:val="28"/>
        </w:numPr>
        <w:rPr>
          <w:rFonts w:asciiTheme="minorHAnsi" w:hAnsiTheme="minorHAnsi" w:cstheme="minorHAnsi"/>
          <w:sz w:val="22"/>
          <w:szCs w:val="22"/>
        </w:rPr>
      </w:pPr>
      <w:r w:rsidRPr="00AC36C3">
        <w:rPr>
          <w:rFonts w:asciiTheme="minorHAnsi" w:hAnsiTheme="minorHAnsi" w:cstheme="minorHAnsi"/>
          <w:sz w:val="22"/>
          <w:szCs w:val="22"/>
        </w:rPr>
        <w:t>The six-year completion rate for</w:t>
      </w:r>
      <w:r w:rsidR="00BD523F">
        <w:rPr>
          <w:rFonts w:asciiTheme="minorHAnsi" w:hAnsiTheme="minorHAnsi" w:cstheme="minorHAnsi"/>
          <w:sz w:val="22"/>
          <w:szCs w:val="22"/>
        </w:rPr>
        <w:t xml:space="preserve"> commencing</w:t>
      </w:r>
      <w:r w:rsidRPr="00AC36C3">
        <w:rPr>
          <w:rFonts w:asciiTheme="minorHAnsi" w:hAnsiTheme="minorHAnsi" w:cstheme="minorHAnsi"/>
          <w:sz w:val="22"/>
          <w:szCs w:val="22"/>
        </w:rPr>
        <w:t xml:space="preserve"> domestic bachelor students at Table A and B institutions decreased between the 2016 commencing cohort (62.6 per cent) and the 2017 commencing cohort (61.8 per cent). This is the lowest recorded six-year completion rate. </w:t>
      </w:r>
    </w:p>
    <w:p w14:paraId="6EAD15D5" w14:textId="3402AF29" w:rsidR="004866C9" w:rsidRPr="00AC36C3" w:rsidRDefault="004866C9" w:rsidP="00CA1D9D">
      <w:pPr>
        <w:pStyle w:val="MBPoint"/>
        <w:numPr>
          <w:ilvl w:val="0"/>
          <w:numId w:val="28"/>
        </w:numPr>
        <w:rPr>
          <w:rFonts w:asciiTheme="minorHAnsi" w:hAnsiTheme="minorHAnsi" w:cstheme="minorHAnsi"/>
          <w:sz w:val="22"/>
          <w:szCs w:val="22"/>
        </w:rPr>
      </w:pPr>
      <w:r>
        <w:rPr>
          <w:rFonts w:asciiTheme="minorHAnsi" w:hAnsiTheme="minorHAnsi" w:cstheme="minorHAnsi"/>
          <w:sz w:val="22"/>
          <w:szCs w:val="22"/>
        </w:rPr>
        <w:t xml:space="preserve">Data shows students have been studying fewer units on average over the past 5 years, in particular the proportion of students studying 4 units or less has increased from 44 per cent in 2018 to 47 per cent in 2022. This slows completion rates. </w:t>
      </w:r>
    </w:p>
    <w:p w14:paraId="3D4B4F73" w14:textId="77777777" w:rsidR="00CA1D9D" w:rsidRPr="00AC36C3" w:rsidRDefault="00CA1D9D" w:rsidP="00CA1D9D">
      <w:pPr>
        <w:pStyle w:val="MBPoint"/>
        <w:numPr>
          <w:ilvl w:val="0"/>
          <w:numId w:val="28"/>
        </w:numPr>
        <w:rPr>
          <w:rFonts w:asciiTheme="minorHAnsi" w:hAnsiTheme="minorHAnsi" w:cstheme="minorHAnsi"/>
          <w:sz w:val="22"/>
          <w:szCs w:val="22"/>
        </w:rPr>
      </w:pPr>
      <w:r w:rsidRPr="00AC36C3">
        <w:rPr>
          <w:rFonts w:asciiTheme="minorHAnsi" w:hAnsiTheme="minorHAnsi" w:cstheme="minorHAnsi"/>
          <w:sz w:val="22"/>
          <w:szCs w:val="22"/>
        </w:rPr>
        <w:t xml:space="preserve">The proportion of students engaged in higher education (students who have either completed or are still enrolled) after six years decreased from 75.9 per cent for the 2016 commencing cohort to 74.6 per cent for the 2017 commencing cohort.  </w:t>
      </w:r>
    </w:p>
    <w:p w14:paraId="0D33BD88" w14:textId="2C9585B5" w:rsidR="00CA1D9D" w:rsidRPr="00AC36C3" w:rsidRDefault="00CA1D9D" w:rsidP="00CA1D9D">
      <w:pPr>
        <w:pStyle w:val="MBPoint"/>
        <w:numPr>
          <w:ilvl w:val="0"/>
          <w:numId w:val="28"/>
        </w:numPr>
        <w:rPr>
          <w:rFonts w:asciiTheme="minorHAnsi" w:hAnsiTheme="minorHAnsi" w:cstheme="minorHAnsi"/>
        </w:rPr>
      </w:pPr>
      <w:r w:rsidRPr="00AC36C3">
        <w:rPr>
          <w:rFonts w:asciiTheme="minorHAnsi" w:hAnsiTheme="minorHAnsi" w:cstheme="minorHAnsi"/>
          <w:sz w:val="22"/>
          <w:szCs w:val="22"/>
        </w:rPr>
        <w:t xml:space="preserve">The four-year completion rate for </w:t>
      </w:r>
      <w:r w:rsidR="00BD523F" w:rsidRPr="00AC36C3">
        <w:rPr>
          <w:rFonts w:asciiTheme="minorHAnsi" w:hAnsiTheme="minorHAnsi" w:cstheme="minorHAnsi"/>
          <w:sz w:val="22"/>
          <w:szCs w:val="22"/>
        </w:rPr>
        <w:t xml:space="preserve">commencing </w:t>
      </w:r>
      <w:r w:rsidRPr="00AC36C3">
        <w:rPr>
          <w:rFonts w:asciiTheme="minorHAnsi" w:hAnsiTheme="minorHAnsi" w:cstheme="minorHAnsi"/>
          <w:sz w:val="22"/>
          <w:szCs w:val="22"/>
        </w:rPr>
        <w:t>domestic bachelor students at Table A and B institutions decreased by 0.</w:t>
      </w:r>
      <w:r w:rsidR="00F45D3A">
        <w:rPr>
          <w:rFonts w:asciiTheme="minorHAnsi" w:hAnsiTheme="minorHAnsi" w:cstheme="minorHAnsi"/>
          <w:sz w:val="22"/>
          <w:szCs w:val="22"/>
        </w:rPr>
        <w:t>1</w:t>
      </w:r>
      <w:r w:rsidRPr="00AC36C3">
        <w:rPr>
          <w:rFonts w:asciiTheme="minorHAnsi" w:hAnsiTheme="minorHAnsi" w:cstheme="minorHAnsi"/>
          <w:sz w:val="22"/>
          <w:szCs w:val="22"/>
        </w:rPr>
        <w:t xml:space="preserve"> percentage points from 41.0 per cent for the 2018 commencing cohort to 40.9 per cent for the 2019 commencing cohort. The latest four-year </w:t>
      </w:r>
      <w:r w:rsidRPr="00AC36C3">
        <w:rPr>
          <w:rFonts w:asciiTheme="minorHAnsi" w:hAnsiTheme="minorHAnsi" w:cstheme="minorHAnsi"/>
          <w:sz w:val="22"/>
          <w:szCs w:val="22"/>
        </w:rPr>
        <w:lastRenderedPageBreak/>
        <w:t>completion rate is the lowest recorded in the time series</w:t>
      </w:r>
      <w:r w:rsidR="00AC36C3">
        <w:rPr>
          <w:rFonts w:asciiTheme="minorHAnsi" w:hAnsiTheme="minorHAnsi" w:cstheme="minorHAnsi"/>
          <w:sz w:val="22"/>
          <w:szCs w:val="22"/>
        </w:rPr>
        <w:t xml:space="preserve"> which has been trending down since 2005.</w:t>
      </w:r>
    </w:p>
    <w:p w14:paraId="09AD45D3" w14:textId="69ED55D7" w:rsidR="00441331" w:rsidRDefault="00CA1D9D" w:rsidP="00A03232">
      <w:pPr>
        <w:pStyle w:val="MBPoint"/>
        <w:numPr>
          <w:ilvl w:val="0"/>
          <w:numId w:val="28"/>
        </w:numPr>
      </w:pPr>
      <w:r w:rsidRPr="001879BF">
        <w:rPr>
          <w:rFonts w:asciiTheme="minorHAnsi" w:hAnsiTheme="minorHAnsi" w:cstheme="minorHAnsi"/>
          <w:sz w:val="22"/>
          <w:szCs w:val="22"/>
        </w:rPr>
        <w:t>The proportion of students engaged in higher education (students who have either completed or are still enrolled) after four years has also decreased, from 78.9 per cent for the 2018 commencing cohort to 78.3 per cent for the 2019 commencing cohort.</w:t>
      </w:r>
      <w:bookmarkEnd w:id="0"/>
      <w:bookmarkEnd w:id="1"/>
      <w:bookmarkEnd w:id="2"/>
    </w:p>
    <w:sectPr w:rsidR="00441331" w:rsidSect="008C22B5">
      <w:footerReference w:type="default" r:id="rId2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91407" w14:textId="77777777" w:rsidR="00531775" w:rsidRDefault="00531775" w:rsidP="000A6228">
      <w:pPr>
        <w:spacing w:after="0" w:line="240" w:lineRule="auto"/>
      </w:pPr>
      <w:r>
        <w:separator/>
      </w:r>
    </w:p>
  </w:endnote>
  <w:endnote w:type="continuationSeparator" w:id="0">
    <w:p w14:paraId="450181DE" w14:textId="77777777" w:rsidR="00531775" w:rsidRDefault="00531775"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9532A" w14:textId="74892AE4" w:rsidR="00D86284" w:rsidRDefault="004B3150">
    <w:pPr>
      <w:pStyle w:val="Footer"/>
    </w:pPr>
    <w:r>
      <w:fldChar w:fldCharType="begin"/>
    </w:r>
    <w:r>
      <w:instrText xml:space="preserve"> PAGE   \* MERGEFORMAT </w:instrText>
    </w:r>
    <w:r>
      <w:fldChar w:fldCharType="separate"/>
    </w:r>
    <w:r>
      <w:rPr>
        <w:noProof/>
      </w:rPr>
      <w:t>1</w:t>
    </w:r>
    <w:r>
      <w:rPr>
        <w:noProof/>
      </w:rPr>
      <w:fldChar w:fldCharType="end"/>
    </w:r>
    <w:r w:rsidR="00D86284">
      <w:rPr>
        <w:noProof/>
      </w:rPr>
      <w:drawing>
        <wp:anchor distT="0" distB="0" distL="114300" distR="114300" simplePos="0" relativeHeight="251659776" behindDoc="1" locked="1" layoutInCell="1" allowOverlap="1" wp14:anchorId="7801D9FA" wp14:editId="7A144DD1">
          <wp:simplePos x="5425440" y="9593580"/>
          <wp:positionH relativeFrom="page">
            <wp:align>right</wp:align>
          </wp:positionH>
          <wp:positionV relativeFrom="page">
            <wp:align>bottom</wp:align>
          </wp:positionV>
          <wp:extent cx="1213485" cy="647700"/>
          <wp:effectExtent l="0" t="0" r="5715" b="0"/>
          <wp:wrapNone/>
          <wp:docPr id="712225000" name="Picture 7122250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3859"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26BFB" w14:textId="77777777" w:rsidR="00531775" w:rsidRDefault="00531775" w:rsidP="000A6228">
      <w:pPr>
        <w:spacing w:after="0" w:line="240" w:lineRule="auto"/>
      </w:pPr>
      <w:r>
        <w:separator/>
      </w:r>
    </w:p>
  </w:footnote>
  <w:footnote w:type="continuationSeparator" w:id="0">
    <w:p w14:paraId="034E63B2" w14:textId="77777777" w:rsidR="00531775" w:rsidRDefault="00531775" w:rsidP="000A6228">
      <w:pPr>
        <w:spacing w:after="0" w:line="240" w:lineRule="auto"/>
      </w:pPr>
      <w:r>
        <w:continuationSeparator/>
      </w:r>
    </w:p>
  </w:footnote>
  <w:footnote w:id="1">
    <w:p w14:paraId="5E8C2056" w14:textId="45402622" w:rsidR="00F45D3A" w:rsidRDefault="00F45D3A">
      <w:pPr>
        <w:pStyle w:val="FootnoteText"/>
      </w:pPr>
      <w:r>
        <w:rPr>
          <w:rStyle w:val="FootnoteReference"/>
        </w:rPr>
        <w:footnoteRef/>
      </w:r>
      <w:r>
        <w:t xml:space="preserve"> Source: </w:t>
      </w:r>
      <w:hyperlink r:id="rId1" w:anchor=":~:text=Retention%20rates-,In%202022%3A,than%20for%20males%20(76.3%25)." w:history="1">
        <w:r>
          <w:rPr>
            <w:rStyle w:val="Hyperlink"/>
          </w:rPr>
          <w:t>Schools, 2022 | Australian Bureau of Statistics (abs.gov.au)</w:t>
        </w:r>
      </w:hyperlink>
      <w:r>
        <w:t xml:space="preserve"> and </w:t>
      </w:r>
      <w:hyperlink r:id="rId2" w:history="1">
        <w:r>
          <w:rPr>
            <w:rStyle w:val="Hyperlink"/>
          </w:rPr>
          <w:t>Apparent retention (acara.edu.au)</w:t>
        </w:r>
      </w:hyperlink>
    </w:p>
  </w:footnote>
  <w:footnote w:id="2">
    <w:p w14:paraId="18783A00" w14:textId="62C62C26" w:rsidR="00282E45" w:rsidRDefault="00282E45">
      <w:pPr>
        <w:pStyle w:val="FootnoteText"/>
      </w:pPr>
      <w:r>
        <w:rPr>
          <w:rStyle w:val="FootnoteReference"/>
        </w:rPr>
        <w:footnoteRef/>
      </w:r>
      <w:r>
        <w:t xml:space="preserve"> </w:t>
      </w:r>
      <w:r w:rsidR="00C10417">
        <w:t>Every 5 years the ABS updates the Australian Statistical Geography Standard (ASGS) and re</w:t>
      </w:r>
      <w:r w:rsidR="00D53AF6">
        <w:t>-calculates</w:t>
      </w:r>
      <w:r w:rsidR="00C10417">
        <w:t xml:space="preserve"> the boundaries for regional and remote areas as well an area’s socio-economic index (SEIFA). </w:t>
      </w:r>
      <w:r>
        <w:t>The</w:t>
      </w:r>
      <w:r w:rsidR="00C10417">
        <w:t xml:space="preserve"> time</w:t>
      </w:r>
      <w:r>
        <w:t xml:space="preserve"> series for regional and remote and low socio-economic status</w:t>
      </w:r>
      <w:r w:rsidR="00C10417">
        <w:t xml:space="preserve"> (low SES)</w:t>
      </w:r>
      <w:r>
        <w:t xml:space="preserve"> are</w:t>
      </w:r>
      <w:r w:rsidR="00C10417">
        <w:t xml:space="preserve"> presented for two classifications. 2016 – 2020 data are calculated using the 2016 ASGS and 2016 SEIFA, data for 2021 are presented for both 2016 and 2021 ASGS and SEIFA</w:t>
      </w:r>
      <w:r w:rsidR="00D53AF6">
        <w:t>,</w:t>
      </w:r>
      <w:r w:rsidR="00C10417">
        <w:t xml:space="preserve"> and 2022 data are presented for only 2021 ASGS and SEIFA. </w:t>
      </w:r>
    </w:p>
  </w:footnote>
  <w:footnote w:id="3">
    <w:p w14:paraId="2DD5263C" w14:textId="315D7A7E" w:rsidR="00005FE6" w:rsidRDefault="00005FE6">
      <w:pPr>
        <w:pStyle w:val="FootnoteText"/>
      </w:pPr>
      <w:r>
        <w:rPr>
          <w:rStyle w:val="FootnoteReference"/>
        </w:rPr>
        <w:footnoteRef/>
      </w:r>
      <w:r>
        <w:t xml:space="preserve"> The first address series began in 2016, so data has been presented for 2016 – 2022</w:t>
      </w:r>
      <w:r w:rsidR="008C22B5">
        <w:t>.</w:t>
      </w:r>
    </w:p>
  </w:footnote>
  <w:footnote w:id="4">
    <w:p w14:paraId="413ADBDF" w14:textId="1C5F136F" w:rsidR="00C43F97" w:rsidRDefault="00C43F97">
      <w:pPr>
        <w:pStyle w:val="FootnoteText"/>
      </w:pPr>
      <w:r>
        <w:rPr>
          <w:rStyle w:val="FootnoteReference"/>
        </w:rPr>
        <w:footnoteRef/>
      </w:r>
      <w:r>
        <w:t xml:space="preserve"> Equity data excludes domestic students where the permanent home address is overseas. Totals will be slightly different to other domestic tables which include offshore domestic students.</w:t>
      </w:r>
    </w:p>
  </w:footnote>
  <w:footnote w:id="5">
    <w:p w14:paraId="54337EFD" w14:textId="77777777" w:rsidR="00CA1D9D" w:rsidRDefault="00CA1D9D" w:rsidP="00CA1D9D">
      <w:pPr>
        <w:pStyle w:val="FootnoteText"/>
      </w:pPr>
      <w:r>
        <w:rPr>
          <w:rStyle w:val="FootnoteReference"/>
        </w:rPr>
        <w:footnoteRef/>
      </w:r>
      <w:r>
        <w:t xml:space="preserve"> Low socio-economic status is based on the first address recorded for the student. </w:t>
      </w:r>
    </w:p>
  </w:footnote>
  <w:footnote w:id="6">
    <w:p w14:paraId="2D5E0152" w14:textId="77777777" w:rsidR="00482DEB" w:rsidRDefault="00482DEB" w:rsidP="00482DEB">
      <w:pPr>
        <w:pStyle w:val="FootnoteText"/>
      </w:pPr>
      <w:r>
        <w:rPr>
          <w:rStyle w:val="FootnoteReference"/>
        </w:rPr>
        <w:footnoteRef/>
      </w:r>
      <w:r>
        <w:t xml:space="preserve"> Regional and remote status is based on the first postcode recorded for the student.</w:t>
      </w:r>
    </w:p>
  </w:footnote>
  <w:footnote w:id="7">
    <w:p w14:paraId="569B8A6C" w14:textId="77777777" w:rsidR="00CA1D9D" w:rsidRDefault="00CA1D9D" w:rsidP="00CA1D9D">
      <w:pPr>
        <w:pStyle w:val="FootnoteText"/>
      </w:pPr>
      <w:r>
        <w:rPr>
          <w:rStyle w:val="FootnoteReference"/>
        </w:rPr>
        <w:footnoteRef/>
      </w:r>
      <w:r>
        <w:t xml:space="preserve"> The first address series begun in 2016. </w:t>
      </w:r>
    </w:p>
  </w:footnote>
  <w:footnote w:id="8">
    <w:p w14:paraId="0E6791C6" w14:textId="5BA74B92" w:rsidR="001D11C5" w:rsidRDefault="001D11C5">
      <w:pPr>
        <w:pStyle w:val="FootnoteText"/>
      </w:pPr>
      <w:r>
        <w:rPr>
          <w:rStyle w:val="FootnoteReference"/>
        </w:rPr>
        <w:footnoteRef/>
      </w:r>
      <w:r>
        <w:t xml:space="preserve"> Every 5 years the ABS updates the Australian Statistical Geography Standard (ASGS) and re-calculates the boundaries for regional and remote areas as well an area’s socio-economic index (SEIFA). The time series for regional and remote and low socio-economic status (low SES) are presented for two classifications. 2016 – 2020 data are calculated using the 2016 ASGS and 2016 SEIFA, data for 2021 are presented for both 2016 and 2021 ASGS and SEIFA, and 2022 data are presented for only 2021 ASGS and SEIFA.</w:t>
      </w:r>
    </w:p>
  </w:footnote>
  <w:footnote w:id="9">
    <w:p w14:paraId="16323FC7" w14:textId="4B9EA7CA" w:rsidR="00102B00" w:rsidRPr="001653CD" w:rsidRDefault="00102B00" w:rsidP="00102B00">
      <w:pPr>
        <w:pStyle w:val="FootnoteText"/>
        <w:rPr>
          <w:rFonts w:asciiTheme="minorHAnsi" w:hAnsiTheme="minorHAnsi" w:cstheme="minorHAnsi"/>
        </w:rPr>
      </w:pPr>
      <w:r w:rsidRPr="001653CD">
        <w:rPr>
          <w:rStyle w:val="FootnoteReference"/>
          <w:rFonts w:asciiTheme="minorHAnsi" w:hAnsiTheme="minorHAnsi" w:cstheme="minorHAnsi"/>
        </w:rPr>
        <w:footnoteRef/>
      </w:r>
      <w:r w:rsidRPr="001653CD">
        <w:rPr>
          <w:rFonts w:asciiTheme="minorHAnsi" w:hAnsiTheme="minorHAnsi" w:cstheme="minorHAnsi"/>
        </w:rPr>
        <w:t xml:space="preserve"> The </w:t>
      </w:r>
      <w:r w:rsidR="003C6021">
        <w:rPr>
          <w:rFonts w:asciiTheme="minorHAnsi" w:hAnsiTheme="minorHAnsi" w:cstheme="minorHAnsi"/>
        </w:rPr>
        <w:t>a</w:t>
      </w:r>
      <w:r w:rsidRPr="001653CD">
        <w:rPr>
          <w:rFonts w:asciiTheme="minorHAnsi" w:hAnsiTheme="minorHAnsi" w:cstheme="minorHAnsi"/>
        </w:rPr>
        <w:t xml:space="preserve">djusted </w:t>
      </w:r>
      <w:r w:rsidR="003C6021">
        <w:rPr>
          <w:rFonts w:asciiTheme="minorHAnsi" w:hAnsiTheme="minorHAnsi" w:cstheme="minorHAnsi"/>
        </w:rPr>
        <w:t>a</w:t>
      </w:r>
      <w:r w:rsidR="003C6021" w:rsidRPr="001653CD">
        <w:rPr>
          <w:rFonts w:asciiTheme="minorHAnsi" w:hAnsiTheme="minorHAnsi" w:cstheme="minorHAnsi"/>
        </w:rPr>
        <w:t xml:space="preserve">ttrition </w:t>
      </w:r>
      <w:r w:rsidRPr="001653CD">
        <w:rPr>
          <w:rFonts w:asciiTheme="minorHAnsi" w:hAnsiTheme="minorHAnsi" w:cstheme="minorHAnsi"/>
        </w:rPr>
        <w:t xml:space="preserve">rate for year(x) is the proportion of students who commenced a course in year(x) who neither complete in year(x) or </w:t>
      </w:r>
      <w:proofErr w:type="gramStart"/>
      <w:r w:rsidRPr="001653CD">
        <w:rPr>
          <w:rFonts w:asciiTheme="minorHAnsi" w:hAnsiTheme="minorHAnsi" w:cstheme="minorHAnsi"/>
        </w:rPr>
        <w:t>year(</w:t>
      </w:r>
      <w:proofErr w:type="gramEnd"/>
      <w:r w:rsidRPr="001653CD">
        <w:rPr>
          <w:rFonts w:asciiTheme="minorHAnsi" w:hAnsiTheme="minorHAnsi" w:cstheme="minorHAnsi"/>
        </w:rPr>
        <w:t>x + 1) nor return in year(x + 1).</w:t>
      </w:r>
      <w:r w:rsidR="003C6021" w:rsidRPr="001653CD" w:rsidDel="003C6021">
        <w:rPr>
          <w:rFonts w:asciiTheme="minorHAnsi" w:hAnsiTheme="minorHAnsi" w:cstheme="minorHAnsi"/>
        </w:rPr>
        <w:t xml:space="preserve"> </w:t>
      </w:r>
      <w:r w:rsidR="003C6021">
        <w:rPr>
          <w:rFonts w:asciiTheme="minorHAnsi" w:hAnsiTheme="minorHAnsi" w:cstheme="minorHAnsi"/>
        </w:rPr>
        <w:t>I</w:t>
      </w:r>
      <w:r w:rsidRPr="001653CD">
        <w:rPr>
          <w:rFonts w:asciiTheme="minorHAnsi" w:hAnsiTheme="minorHAnsi" w:cstheme="minorHAnsi"/>
        </w:rPr>
        <w:t xml:space="preserve">f a student moves from one institution to another in the following year, they </w:t>
      </w:r>
      <w:r w:rsidR="003C6021">
        <w:rPr>
          <w:rFonts w:asciiTheme="minorHAnsi" w:hAnsiTheme="minorHAnsi" w:cstheme="minorHAnsi"/>
        </w:rPr>
        <w:t>are</w:t>
      </w:r>
      <w:r w:rsidR="003C6021" w:rsidRPr="001653CD">
        <w:rPr>
          <w:rFonts w:asciiTheme="minorHAnsi" w:hAnsiTheme="minorHAnsi" w:cstheme="minorHAnsi"/>
        </w:rPr>
        <w:t xml:space="preserve"> </w:t>
      </w:r>
      <w:r w:rsidRPr="001653CD">
        <w:rPr>
          <w:rFonts w:asciiTheme="minorHAnsi" w:hAnsiTheme="minorHAnsi" w:cstheme="minorHAnsi"/>
        </w:rPr>
        <w:t>counted as retained in the adjusted attrition rate calculation. For the adjusted attrition rate, it is only those students who left the higher education system entirely (that is, they were no longer at any institution) that are counted as not continuing.</w:t>
      </w:r>
    </w:p>
  </w:footnote>
  <w:footnote w:id="10">
    <w:p w14:paraId="4A4BEB60" w14:textId="0DA19872" w:rsidR="000950DB" w:rsidRPr="00707AB7" w:rsidRDefault="000950DB" w:rsidP="00707AB7">
      <w:pPr>
        <w:pStyle w:val="MBPoint"/>
        <w:numPr>
          <w:ilvl w:val="0"/>
          <w:numId w:val="0"/>
        </w:numPr>
        <w:rPr>
          <w:rFonts w:asciiTheme="minorHAnsi" w:hAnsiTheme="minorHAnsi" w:cstheme="minorHAnsi"/>
          <w:sz w:val="20"/>
          <w:szCs w:val="20"/>
        </w:rPr>
      </w:pPr>
      <w:r>
        <w:rPr>
          <w:rStyle w:val="FootnoteReference"/>
        </w:rPr>
        <w:footnoteRef/>
      </w:r>
      <w:r>
        <w:t xml:space="preserve"> </w:t>
      </w:r>
      <w:r w:rsidRPr="00AC36C3">
        <w:rPr>
          <w:rFonts w:asciiTheme="minorHAnsi" w:hAnsiTheme="minorHAnsi" w:cstheme="minorHAnsi"/>
          <w:sz w:val="20"/>
          <w:szCs w:val="20"/>
        </w:rPr>
        <w:t>Completion rates of cohorts of students are measured using the Commonwealth Higher Education Student Support Number (CHESSN) to track students over time.  Empirically, the completion rate of a cohort of students is quite closely related to their attrition rate in the first year of study.  The completion rate, since it measures the outcomes of a cohort of students completing their course of study, lags some years behind the attrition rate.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9484F86"/>
    <w:multiLevelType w:val="hybridMultilevel"/>
    <w:tmpl w:val="61DE01E0"/>
    <w:lvl w:ilvl="0" w:tplc="D9BCC35E">
      <w:start w:val="1"/>
      <w:numFmt w:val="bullet"/>
      <w:lvlText w:val=""/>
      <w:lvlJc w:val="left"/>
      <w:pPr>
        <w:ind w:left="357" w:hanging="357"/>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9966276"/>
    <w:multiLevelType w:val="hybridMultilevel"/>
    <w:tmpl w:val="F29606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2" w15:restartNumberingAfterBreak="0">
    <w:nsid w:val="10802699"/>
    <w:multiLevelType w:val="hybridMultilevel"/>
    <w:tmpl w:val="E60A9A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1D96754"/>
    <w:multiLevelType w:val="hybridMultilevel"/>
    <w:tmpl w:val="92EAA5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2B02E88"/>
    <w:multiLevelType w:val="hybridMultilevel"/>
    <w:tmpl w:val="C1D24D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6"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8"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EEE1745"/>
    <w:multiLevelType w:val="hybridMultilevel"/>
    <w:tmpl w:val="D1AEC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5CD3EE9"/>
    <w:multiLevelType w:val="hybridMultilevel"/>
    <w:tmpl w:val="961C348C"/>
    <w:lvl w:ilvl="0" w:tplc="C6425FB8">
      <w:start w:val="1"/>
      <w:numFmt w:val="bullet"/>
      <w:lvlText w:val=""/>
      <w:lvlJc w:val="left"/>
      <w:pPr>
        <w:ind w:left="153" w:hanging="360"/>
      </w:pPr>
      <w:rPr>
        <w:rFonts w:ascii="Symbol" w:hAnsi="Symbol" w:hint="default"/>
      </w:rPr>
    </w:lvl>
    <w:lvl w:ilvl="1" w:tplc="7200F992">
      <w:start w:val="1"/>
      <w:numFmt w:val="bullet"/>
      <w:lvlText w:val="o"/>
      <w:lvlJc w:val="left"/>
      <w:pPr>
        <w:ind w:left="873" w:hanging="360"/>
      </w:pPr>
      <w:rPr>
        <w:rFonts w:ascii="Courier New" w:hAnsi="Courier New" w:cs="Courier New" w:hint="default"/>
      </w:rPr>
    </w:lvl>
    <w:lvl w:ilvl="2" w:tplc="DAEC1B8C">
      <w:start w:val="1"/>
      <w:numFmt w:val="bullet"/>
      <w:lvlText w:val=""/>
      <w:lvlJc w:val="left"/>
      <w:pPr>
        <w:ind w:left="1593" w:hanging="360"/>
      </w:pPr>
      <w:rPr>
        <w:rFonts w:ascii="Wingdings" w:hAnsi="Wingdings" w:hint="default"/>
      </w:rPr>
    </w:lvl>
    <w:lvl w:ilvl="3" w:tplc="13028014">
      <w:start w:val="1"/>
      <w:numFmt w:val="bullet"/>
      <w:lvlText w:val=""/>
      <w:lvlJc w:val="left"/>
      <w:pPr>
        <w:ind w:left="2313" w:hanging="360"/>
      </w:pPr>
      <w:rPr>
        <w:rFonts w:ascii="Symbol" w:hAnsi="Symbol" w:hint="default"/>
      </w:rPr>
    </w:lvl>
    <w:lvl w:ilvl="4" w:tplc="E62229A4">
      <w:start w:val="1"/>
      <w:numFmt w:val="bullet"/>
      <w:lvlText w:val="o"/>
      <w:lvlJc w:val="left"/>
      <w:pPr>
        <w:ind w:left="3033" w:hanging="360"/>
      </w:pPr>
      <w:rPr>
        <w:rFonts w:ascii="Courier New" w:hAnsi="Courier New" w:cs="Courier New" w:hint="default"/>
      </w:rPr>
    </w:lvl>
    <w:lvl w:ilvl="5" w:tplc="D24058DC">
      <w:start w:val="1"/>
      <w:numFmt w:val="bullet"/>
      <w:lvlText w:val=""/>
      <w:lvlJc w:val="left"/>
      <w:pPr>
        <w:ind w:left="3753" w:hanging="360"/>
      </w:pPr>
      <w:rPr>
        <w:rFonts w:ascii="Wingdings" w:hAnsi="Wingdings" w:hint="default"/>
      </w:rPr>
    </w:lvl>
    <w:lvl w:ilvl="6" w:tplc="5A62C4E6">
      <w:start w:val="1"/>
      <w:numFmt w:val="bullet"/>
      <w:lvlText w:val=""/>
      <w:lvlJc w:val="left"/>
      <w:pPr>
        <w:ind w:left="4473" w:hanging="360"/>
      </w:pPr>
      <w:rPr>
        <w:rFonts w:ascii="Symbol" w:hAnsi="Symbol" w:hint="default"/>
      </w:rPr>
    </w:lvl>
    <w:lvl w:ilvl="7" w:tplc="660680C2">
      <w:start w:val="1"/>
      <w:numFmt w:val="bullet"/>
      <w:lvlText w:val="o"/>
      <w:lvlJc w:val="left"/>
      <w:pPr>
        <w:ind w:left="5193" w:hanging="360"/>
      </w:pPr>
      <w:rPr>
        <w:rFonts w:ascii="Courier New" w:hAnsi="Courier New" w:cs="Courier New" w:hint="default"/>
      </w:rPr>
    </w:lvl>
    <w:lvl w:ilvl="8" w:tplc="F8D0F536">
      <w:start w:val="1"/>
      <w:numFmt w:val="bullet"/>
      <w:lvlText w:val=""/>
      <w:lvlJc w:val="left"/>
      <w:pPr>
        <w:ind w:left="5913" w:hanging="360"/>
      </w:pPr>
      <w:rPr>
        <w:rFonts w:ascii="Wingdings" w:hAnsi="Wingdings" w:hint="default"/>
      </w:rPr>
    </w:lvl>
  </w:abstractNum>
  <w:abstractNum w:abstractNumId="21"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AA73DAE"/>
    <w:multiLevelType w:val="hybridMultilevel"/>
    <w:tmpl w:val="1BC491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B104FCE"/>
    <w:multiLevelType w:val="hybridMultilevel"/>
    <w:tmpl w:val="43F8FD44"/>
    <w:lvl w:ilvl="0" w:tplc="955A40D6">
      <w:start w:val="1"/>
      <w:numFmt w:val="decimal"/>
      <w:pStyle w:val="MBPoint"/>
      <w:lvlText w:val="%1."/>
      <w:lvlJc w:val="left"/>
      <w:pPr>
        <w:ind w:left="-207" w:hanging="360"/>
      </w:pPr>
    </w:lvl>
    <w:lvl w:ilvl="1" w:tplc="A48C2E7C">
      <w:start w:val="1"/>
      <w:numFmt w:val="bullet"/>
      <w:lvlText w:val=""/>
      <w:lvlJc w:val="left"/>
      <w:pPr>
        <w:ind w:left="513" w:hanging="360"/>
      </w:pPr>
      <w:rPr>
        <w:rFonts w:ascii="Symbol" w:hAnsi="Symbol" w:hint="default"/>
      </w:rPr>
    </w:lvl>
    <w:lvl w:ilvl="2" w:tplc="8F204D4E">
      <w:start w:val="1"/>
      <w:numFmt w:val="bullet"/>
      <w:pStyle w:val="MBPointSub"/>
      <w:lvlText w:val="o"/>
      <w:lvlJc w:val="left"/>
      <w:pPr>
        <w:ind w:left="1233" w:hanging="180"/>
      </w:pPr>
      <w:rPr>
        <w:rFonts w:ascii="Courier New" w:hAnsi="Courier New" w:cs="Courier New" w:hint="default"/>
      </w:rPr>
    </w:lvl>
    <w:lvl w:ilvl="3" w:tplc="1DEE8FB2">
      <w:start w:val="1"/>
      <w:numFmt w:val="decimal"/>
      <w:lvlText w:val="%4."/>
      <w:lvlJc w:val="left"/>
      <w:pPr>
        <w:ind w:left="1953" w:hanging="360"/>
      </w:pPr>
    </w:lvl>
    <w:lvl w:ilvl="4" w:tplc="371440E8">
      <w:start w:val="1"/>
      <w:numFmt w:val="lowerLetter"/>
      <w:lvlText w:val="%5."/>
      <w:lvlJc w:val="left"/>
      <w:pPr>
        <w:ind w:left="2673" w:hanging="360"/>
      </w:pPr>
    </w:lvl>
    <w:lvl w:ilvl="5" w:tplc="73642194">
      <w:start w:val="1"/>
      <w:numFmt w:val="lowerRoman"/>
      <w:lvlText w:val="%6."/>
      <w:lvlJc w:val="right"/>
      <w:pPr>
        <w:ind w:left="3393" w:hanging="180"/>
      </w:pPr>
    </w:lvl>
    <w:lvl w:ilvl="6" w:tplc="7D64E4C8">
      <w:start w:val="1"/>
      <w:numFmt w:val="decimal"/>
      <w:lvlText w:val="%7."/>
      <w:lvlJc w:val="left"/>
      <w:pPr>
        <w:ind w:left="4113" w:hanging="360"/>
      </w:pPr>
    </w:lvl>
    <w:lvl w:ilvl="7" w:tplc="6A9E8E44">
      <w:start w:val="1"/>
      <w:numFmt w:val="lowerLetter"/>
      <w:lvlText w:val="%8."/>
      <w:lvlJc w:val="left"/>
      <w:pPr>
        <w:ind w:left="4833" w:hanging="360"/>
      </w:pPr>
    </w:lvl>
    <w:lvl w:ilvl="8" w:tplc="4E742A46">
      <w:start w:val="1"/>
      <w:numFmt w:val="lowerRoman"/>
      <w:lvlText w:val="%9."/>
      <w:lvlJc w:val="right"/>
      <w:pPr>
        <w:ind w:left="5553" w:hanging="180"/>
      </w:pPr>
    </w:lvl>
  </w:abstractNum>
  <w:abstractNum w:abstractNumId="24"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6BB61DB"/>
    <w:multiLevelType w:val="hybridMultilevel"/>
    <w:tmpl w:val="4DD200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6B8358F2"/>
    <w:multiLevelType w:val="hybridMultilevel"/>
    <w:tmpl w:val="064E25D8"/>
    <w:lvl w:ilvl="0" w:tplc="B64AD23E">
      <w:start w:val="1"/>
      <w:numFmt w:val="bullet"/>
      <w:lvlText w:val=""/>
      <w:lvlJc w:val="left"/>
      <w:pPr>
        <w:ind w:left="357" w:hanging="357"/>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E2B2757"/>
    <w:multiLevelType w:val="hybridMultilevel"/>
    <w:tmpl w:val="DBACE88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579560429">
    <w:abstractNumId w:val="16"/>
  </w:num>
  <w:num w:numId="2" w16cid:durableId="1141925489">
    <w:abstractNumId w:val="5"/>
  </w:num>
  <w:num w:numId="3" w16cid:durableId="1430395506">
    <w:abstractNumId w:val="4"/>
  </w:num>
  <w:num w:numId="4" w16cid:durableId="1762024761">
    <w:abstractNumId w:val="3"/>
  </w:num>
  <w:num w:numId="5" w16cid:durableId="861433996">
    <w:abstractNumId w:val="18"/>
  </w:num>
  <w:num w:numId="6" w16cid:durableId="120733662">
    <w:abstractNumId w:val="2"/>
  </w:num>
  <w:num w:numId="7" w16cid:durableId="2022584168">
    <w:abstractNumId w:val="1"/>
  </w:num>
  <w:num w:numId="8" w16cid:durableId="534267804">
    <w:abstractNumId w:val="0"/>
  </w:num>
  <w:num w:numId="9" w16cid:durableId="1265042610">
    <w:abstractNumId w:val="17"/>
  </w:num>
  <w:num w:numId="10" w16cid:durableId="1943879001">
    <w:abstractNumId w:val="7"/>
  </w:num>
  <w:num w:numId="11" w16cid:durableId="419833051">
    <w:abstractNumId w:val="28"/>
  </w:num>
  <w:num w:numId="12" w16cid:durableId="1758015391">
    <w:abstractNumId w:val="15"/>
  </w:num>
  <w:num w:numId="13" w16cid:durableId="13956604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6572246">
    <w:abstractNumId w:val="11"/>
  </w:num>
  <w:num w:numId="15" w16cid:durableId="928125744">
    <w:abstractNumId w:val="6"/>
  </w:num>
  <w:num w:numId="16" w16cid:durableId="1172835113">
    <w:abstractNumId w:val="29"/>
  </w:num>
  <w:num w:numId="17" w16cid:durableId="1022434231">
    <w:abstractNumId w:val="21"/>
  </w:num>
  <w:num w:numId="18" w16cid:durableId="618417265">
    <w:abstractNumId w:val="8"/>
  </w:num>
  <w:num w:numId="19" w16cid:durableId="271010807">
    <w:abstractNumId w:val="24"/>
  </w:num>
  <w:num w:numId="20" w16cid:durableId="1704475831">
    <w:abstractNumId w:val="20"/>
  </w:num>
  <w:num w:numId="21" w16cid:durableId="102001399">
    <w:abstractNumId w:val="14"/>
  </w:num>
  <w:num w:numId="22" w16cid:durableId="713307562">
    <w:abstractNumId w:val="23"/>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05725226">
    <w:abstractNumId w:val="26"/>
  </w:num>
  <w:num w:numId="24" w16cid:durableId="769543247">
    <w:abstractNumId w:val="9"/>
  </w:num>
  <w:num w:numId="25" w16cid:durableId="635454712">
    <w:abstractNumId w:val="10"/>
  </w:num>
  <w:num w:numId="26" w16cid:durableId="342978563">
    <w:abstractNumId w:val="12"/>
  </w:num>
  <w:num w:numId="27" w16cid:durableId="341127587">
    <w:abstractNumId w:val="20"/>
  </w:num>
  <w:num w:numId="28" w16cid:durableId="427895323">
    <w:abstractNumId w:val="22"/>
  </w:num>
  <w:num w:numId="29" w16cid:durableId="1051731103">
    <w:abstractNumId w:val="19"/>
  </w:num>
  <w:num w:numId="30" w16cid:durableId="1063135518">
    <w:abstractNumId w:val="25"/>
  </w:num>
  <w:num w:numId="31" w16cid:durableId="862867910">
    <w:abstractNumId w:val="27"/>
  </w:num>
  <w:num w:numId="32" w16cid:durableId="130640332">
    <w:abstractNumId w:val="13"/>
  </w:num>
  <w:num w:numId="33" w16cid:durableId="3767830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BE2"/>
    <w:rsid w:val="00005FE6"/>
    <w:rsid w:val="00012366"/>
    <w:rsid w:val="00021FBE"/>
    <w:rsid w:val="000475C6"/>
    <w:rsid w:val="000521D7"/>
    <w:rsid w:val="00053EA8"/>
    <w:rsid w:val="0005425E"/>
    <w:rsid w:val="000864AA"/>
    <w:rsid w:val="000950DB"/>
    <w:rsid w:val="000A0B58"/>
    <w:rsid w:val="000A6228"/>
    <w:rsid w:val="000B5D40"/>
    <w:rsid w:val="000B7EC6"/>
    <w:rsid w:val="00102B00"/>
    <w:rsid w:val="00107D87"/>
    <w:rsid w:val="00107DD5"/>
    <w:rsid w:val="0012343A"/>
    <w:rsid w:val="00123BDF"/>
    <w:rsid w:val="0013008D"/>
    <w:rsid w:val="00133B8D"/>
    <w:rsid w:val="0013611E"/>
    <w:rsid w:val="00142C92"/>
    <w:rsid w:val="001515BF"/>
    <w:rsid w:val="00164D58"/>
    <w:rsid w:val="00167DED"/>
    <w:rsid w:val="0017134D"/>
    <w:rsid w:val="001879BF"/>
    <w:rsid w:val="001A0768"/>
    <w:rsid w:val="001C054E"/>
    <w:rsid w:val="001C1523"/>
    <w:rsid w:val="001D11C5"/>
    <w:rsid w:val="001F342F"/>
    <w:rsid w:val="0020416F"/>
    <w:rsid w:val="00221D8F"/>
    <w:rsid w:val="002272DB"/>
    <w:rsid w:val="00235752"/>
    <w:rsid w:val="00257E11"/>
    <w:rsid w:val="00262E34"/>
    <w:rsid w:val="00276047"/>
    <w:rsid w:val="00282E45"/>
    <w:rsid w:val="002934C1"/>
    <w:rsid w:val="002A4458"/>
    <w:rsid w:val="002D2CC2"/>
    <w:rsid w:val="002D589A"/>
    <w:rsid w:val="002E491A"/>
    <w:rsid w:val="002F230F"/>
    <w:rsid w:val="003369C2"/>
    <w:rsid w:val="00357213"/>
    <w:rsid w:val="00370620"/>
    <w:rsid w:val="003850A1"/>
    <w:rsid w:val="003C6021"/>
    <w:rsid w:val="003D3D0D"/>
    <w:rsid w:val="003E2207"/>
    <w:rsid w:val="0040155D"/>
    <w:rsid w:val="00404E6F"/>
    <w:rsid w:val="0041713E"/>
    <w:rsid w:val="00421D3F"/>
    <w:rsid w:val="00423785"/>
    <w:rsid w:val="00432506"/>
    <w:rsid w:val="004350B2"/>
    <w:rsid w:val="00441331"/>
    <w:rsid w:val="00447E7E"/>
    <w:rsid w:val="00452D26"/>
    <w:rsid w:val="00457087"/>
    <w:rsid w:val="00482DEB"/>
    <w:rsid w:val="00485B78"/>
    <w:rsid w:val="004866C9"/>
    <w:rsid w:val="004948AC"/>
    <w:rsid w:val="004A06CD"/>
    <w:rsid w:val="004A4B6F"/>
    <w:rsid w:val="004A4CF9"/>
    <w:rsid w:val="004B3150"/>
    <w:rsid w:val="004D2965"/>
    <w:rsid w:val="004D2D9D"/>
    <w:rsid w:val="004E1688"/>
    <w:rsid w:val="004F598B"/>
    <w:rsid w:val="004F666B"/>
    <w:rsid w:val="00514F11"/>
    <w:rsid w:val="00531775"/>
    <w:rsid w:val="00540086"/>
    <w:rsid w:val="005532D3"/>
    <w:rsid w:val="005545BE"/>
    <w:rsid w:val="0057325F"/>
    <w:rsid w:val="005779DF"/>
    <w:rsid w:val="00582681"/>
    <w:rsid w:val="00591F57"/>
    <w:rsid w:val="005A2BE2"/>
    <w:rsid w:val="005A75C9"/>
    <w:rsid w:val="005B0C97"/>
    <w:rsid w:val="005B187D"/>
    <w:rsid w:val="005D3A81"/>
    <w:rsid w:val="005F40D0"/>
    <w:rsid w:val="00601161"/>
    <w:rsid w:val="00611716"/>
    <w:rsid w:val="006232DC"/>
    <w:rsid w:val="00624105"/>
    <w:rsid w:val="0063094F"/>
    <w:rsid w:val="00631FB5"/>
    <w:rsid w:val="006972A7"/>
    <w:rsid w:val="006B2A69"/>
    <w:rsid w:val="006C1CE8"/>
    <w:rsid w:val="006C6742"/>
    <w:rsid w:val="006D67F3"/>
    <w:rsid w:val="006E7FFE"/>
    <w:rsid w:val="006F1FFF"/>
    <w:rsid w:val="006F6D10"/>
    <w:rsid w:val="00704EE7"/>
    <w:rsid w:val="00707AB7"/>
    <w:rsid w:val="00712B94"/>
    <w:rsid w:val="0073116A"/>
    <w:rsid w:val="00734A55"/>
    <w:rsid w:val="00742144"/>
    <w:rsid w:val="0074425E"/>
    <w:rsid w:val="007604BB"/>
    <w:rsid w:val="007A289E"/>
    <w:rsid w:val="007A2BBE"/>
    <w:rsid w:val="007B0BEA"/>
    <w:rsid w:val="007B2CA1"/>
    <w:rsid w:val="007D0ABC"/>
    <w:rsid w:val="007E232D"/>
    <w:rsid w:val="00802F4E"/>
    <w:rsid w:val="008042F5"/>
    <w:rsid w:val="00811B8B"/>
    <w:rsid w:val="00833982"/>
    <w:rsid w:val="008647B8"/>
    <w:rsid w:val="00873EAA"/>
    <w:rsid w:val="00886959"/>
    <w:rsid w:val="00893A34"/>
    <w:rsid w:val="0089778D"/>
    <w:rsid w:val="008A36E1"/>
    <w:rsid w:val="008A37A7"/>
    <w:rsid w:val="008A7AB4"/>
    <w:rsid w:val="008B0736"/>
    <w:rsid w:val="008B3D14"/>
    <w:rsid w:val="008C1631"/>
    <w:rsid w:val="008C22B5"/>
    <w:rsid w:val="008D2F12"/>
    <w:rsid w:val="008E6D21"/>
    <w:rsid w:val="009136A3"/>
    <w:rsid w:val="009216CB"/>
    <w:rsid w:val="00950B06"/>
    <w:rsid w:val="00962998"/>
    <w:rsid w:val="00970069"/>
    <w:rsid w:val="009721EB"/>
    <w:rsid w:val="009B706E"/>
    <w:rsid w:val="009C423A"/>
    <w:rsid w:val="009E79ED"/>
    <w:rsid w:val="00A028CE"/>
    <w:rsid w:val="00A07596"/>
    <w:rsid w:val="00A10667"/>
    <w:rsid w:val="00A17A08"/>
    <w:rsid w:val="00A32365"/>
    <w:rsid w:val="00A427B4"/>
    <w:rsid w:val="00A44FA5"/>
    <w:rsid w:val="00A46F42"/>
    <w:rsid w:val="00A57BA8"/>
    <w:rsid w:val="00A60673"/>
    <w:rsid w:val="00A611E3"/>
    <w:rsid w:val="00A7130D"/>
    <w:rsid w:val="00AB7983"/>
    <w:rsid w:val="00AC1872"/>
    <w:rsid w:val="00AC21EE"/>
    <w:rsid w:val="00AC36C3"/>
    <w:rsid w:val="00AD631F"/>
    <w:rsid w:val="00AE21FF"/>
    <w:rsid w:val="00AF1F18"/>
    <w:rsid w:val="00B0726E"/>
    <w:rsid w:val="00B13EB4"/>
    <w:rsid w:val="00B219D1"/>
    <w:rsid w:val="00B2313A"/>
    <w:rsid w:val="00B27DA7"/>
    <w:rsid w:val="00B40CCC"/>
    <w:rsid w:val="00B6666B"/>
    <w:rsid w:val="00B70EBB"/>
    <w:rsid w:val="00B72125"/>
    <w:rsid w:val="00B81FA4"/>
    <w:rsid w:val="00B86D41"/>
    <w:rsid w:val="00B8794C"/>
    <w:rsid w:val="00B95EF4"/>
    <w:rsid w:val="00BB6509"/>
    <w:rsid w:val="00BB7F3B"/>
    <w:rsid w:val="00BC248C"/>
    <w:rsid w:val="00BC56AE"/>
    <w:rsid w:val="00BD523F"/>
    <w:rsid w:val="00BF0626"/>
    <w:rsid w:val="00C01EC0"/>
    <w:rsid w:val="00C10417"/>
    <w:rsid w:val="00C14F5E"/>
    <w:rsid w:val="00C23FDC"/>
    <w:rsid w:val="00C244EE"/>
    <w:rsid w:val="00C37B2E"/>
    <w:rsid w:val="00C43F97"/>
    <w:rsid w:val="00C62718"/>
    <w:rsid w:val="00C72224"/>
    <w:rsid w:val="00C75706"/>
    <w:rsid w:val="00C7772F"/>
    <w:rsid w:val="00CA1D9D"/>
    <w:rsid w:val="00CA4815"/>
    <w:rsid w:val="00CC3053"/>
    <w:rsid w:val="00CC6666"/>
    <w:rsid w:val="00CD25CA"/>
    <w:rsid w:val="00CE24FE"/>
    <w:rsid w:val="00CF6562"/>
    <w:rsid w:val="00D127FE"/>
    <w:rsid w:val="00D23ABC"/>
    <w:rsid w:val="00D36D78"/>
    <w:rsid w:val="00D422E8"/>
    <w:rsid w:val="00D53193"/>
    <w:rsid w:val="00D53AF6"/>
    <w:rsid w:val="00D5688A"/>
    <w:rsid w:val="00D7426E"/>
    <w:rsid w:val="00D764F7"/>
    <w:rsid w:val="00D86284"/>
    <w:rsid w:val="00D91DC9"/>
    <w:rsid w:val="00DC2325"/>
    <w:rsid w:val="00DC5980"/>
    <w:rsid w:val="00DD1874"/>
    <w:rsid w:val="00DD2B46"/>
    <w:rsid w:val="00DE0571"/>
    <w:rsid w:val="00DF71A8"/>
    <w:rsid w:val="00E06ED6"/>
    <w:rsid w:val="00E1289B"/>
    <w:rsid w:val="00E143CA"/>
    <w:rsid w:val="00E344B5"/>
    <w:rsid w:val="00E503E8"/>
    <w:rsid w:val="00E529E5"/>
    <w:rsid w:val="00E6168C"/>
    <w:rsid w:val="00E61E11"/>
    <w:rsid w:val="00EA203D"/>
    <w:rsid w:val="00EB4C2F"/>
    <w:rsid w:val="00EC5843"/>
    <w:rsid w:val="00ED0DDF"/>
    <w:rsid w:val="00EE73CC"/>
    <w:rsid w:val="00EF00F2"/>
    <w:rsid w:val="00F0052D"/>
    <w:rsid w:val="00F1000D"/>
    <w:rsid w:val="00F1482F"/>
    <w:rsid w:val="00F311A4"/>
    <w:rsid w:val="00F44A02"/>
    <w:rsid w:val="00F45D3A"/>
    <w:rsid w:val="00F82C2C"/>
    <w:rsid w:val="00F85913"/>
    <w:rsid w:val="00F968A9"/>
    <w:rsid w:val="00FD4D6E"/>
    <w:rsid w:val="00FD6383"/>
    <w:rsid w:val="00FD74E7"/>
    <w:rsid w:val="00FF5BC8"/>
    <w:rsid w:val="00FF7F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FB78E8"/>
  <w15:chartTrackingRefBased/>
  <w15:docId w15:val="{52D1642D-DA78-4A0F-9197-80C448FC4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AC21EE"/>
    <w:pPr>
      <w:keepNext/>
      <w:keepLines/>
      <w:spacing w:before="72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AC21EE"/>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qFormat/>
    <w:rsid w:val="00CA1D9D"/>
    <w:pPr>
      <w:spacing w:after="200" w:line="276" w:lineRule="auto"/>
      <w:ind w:left="720"/>
      <w:contextualSpacing/>
    </w:pPr>
    <w:rPr>
      <w:rFonts w:ascii="Calibri" w:hAnsi="Calibri"/>
    </w:rPr>
  </w:style>
  <w:style w:type="character" w:styleId="CommentReference">
    <w:name w:val="annotation reference"/>
    <w:basedOn w:val="DefaultParagraphFont"/>
    <w:uiPriority w:val="99"/>
    <w:semiHidden/>
    <w:unhideWhenUsed/>
    <w:rsid w:val="00CA1D9D"/>
    <w:rPr>
      <w:sz w:val="16"/>
      <w:szCs w:val="16"/>
    </w:rPr>
  </w:style>
  <w:style w:type="paragraph" w:styleId="CommentText">
    <w:name w:val="annotation text"/>
    <w:basedOn w:val="Normal"/>
    <w:link w:val="CommentTextChar"/>
    <w:uiPriority w:val="99"/>
    <w:unhideWhenUsed/>
    <w:rsid w:val="00CA1D9D"/>
    <w:pPr>
      <w:spacing w:after="200" w:line="240" w:lineRule="auto"/>
    </w:pPr>
    <w:rPr>
      <w:rFonts w:ascii="Calibri" w:hAnsi="Calibri"/>
      <w:sz w:val="20"/>
      <w:szCs w:val="20"/>
    </w:rPr>
  </w:style>
  <w:style w:type="character" w:customStyle="1" w:styleId="CommentTextChar">
    <w:name w:val="Comment Text Char"/>
    <w:basedOn w:val="DefaultParagraphFont"/>
    <w:link w:val="CommentText"/>
    <w:uiPriority w:val="99"/>
    <w:rsid w:val="00CA1D9D"/>
    <w:rPr>
      <w:rFonts w:ascii="Calibri" w:hAnsi="Calibri"/>
      <w:sz w:val="20"/>
      <w:szCs w:val="20"/>
    </w:rPr>
  </w:style>
  <w:style w:type="character" w:customStyle="1" w:styleId="MBPointChar">
    <w:name w:val="MB Point Char"/>
    <w:basedOn w:val="DefaultParagraphFont"/>
    <w:link w:val="MBPoint"/>
    <w:locked/>
    <w:rsid w:val="00CA1D9D"/>
    <w:rPr>
      <w:rFonts w:ascii="Calibri" w:hAnsi="Calibri" w:cs="Calibri"/>
      <w:sz w:val="24"/>
      <w:szCs w:val="24"/>
    </w:rPr>
  </w:style>
  <w:style w:type="paragraph" w:customStyle="1" w:styleId="MBPoint">
    <w:name w:val="MB Point"/>
    <w:basedOn w:val="ListParagraph"/>
    <w:link w:val="MBPointChar"/>
    <w:qFormat/>
    <w:rsid w:val="00CA1D9D"/>
    <w:pPr>
      <w:numPr>
        <w:numId w:val="22"/>
      </w:numPr>
      <w:spacing w:after="60" w:line="240" w:lineRule="auto"/>
      <w:contextualSpacing w:val="0"/>
    </w:pPr>
    <w:rPr>
      <w:rFonts w:cs="Calibri"/>
      <w:sz w:val="24"/>
      <w:szCs w:val="24"/>
    </w:rPr>
  </w:style>
  <w:style w:type="paragraph" w:customStyle="1" w:styleId="MBPointSub">
    <w:name w:val="MB Point Sub"/>
    <w:basedOn w:val="ListParagraph"/>
    <w:qFormat/>
    <w:rsid w:val="00CA1D9D"/>
    <w:pPr>
      <w:numPr>
        <w:ilvl w:val="2"/>
        <w:numId w:val="22"/>
      </w:numPr>
      <w:tabs>
        <w:tab w:val="num" w:pos="360"/>
      </w:tabs>
      <w:spacing w:after="120" w:line="240" w:lineRule="auto"/>
      <w:ind w:left="1231" w:hanging="380"/>
      <w:contextualSpacing w:val="0"/>
    </w:pPr>
    <w:rPr>
      <w:rFonts w:asciiTheme="minorHAnsi" w:hAnsiTheme="minorHAnsi" w:cstheme="minorHAnsi"/>
    </w:rPr>
  </w:style>
  <w:style w:type="paragraph" w:styleId="FootnoteText">
    <w:name w:val="footnote text"/>
    <w:basedOn w:val="Normal"/>
    <w:link w:val="FootnoteTextChar"/>
    <w:uiPriority w:val="99"/>
    <w:semiHidden/>
    <w:unhideWhenUsed/>
    <w:rsid w:val="00CA1D9D"/>
    <w:pPr>
      <w:spacing w:after="0" w:line="240" w:lineRule="auto"/>
    </w:pPr>
    <w:rPr>
      <w:rFonts w:ascii="Calibri" w:hAnsi="Calibri"/>
      <w:sz w:val="20"/>
      <w:szCs w:val="20"/>
    </w:rPr>
  </w:style>
  <w:style w:type="character" w:customStyle="1" w:styleId="FootnoteTextChar">
    <w:name w:val="Footnote Text Char"/>
    <w:basedOn w:val="DefaultParagraphFont"/>
    <w:link w:val="FootnoteText"/>
    <w:uiPriority w:val="99"/>
    <w:semiHidden/>
    <w:rsid w:val="00CA1D9D"/>
    <w:rPr>
      <w:rFonts w:ascii="Calibri" w:hAnsi="Calibri"/>
      <w:sz w:val="20"/>
      <w:szCs w:val="20"/>
    </w:rPr>
  </w:style>
  <w:style w:type="character" w:styleId="FootnoteReference">
    <w:name w:val="footnote reference"/>
    <w:basedOn w:val="DefaultParagraphFont"/>
    <w:uiPriority w:val="99"/>
    <w:semiHidden/>
    <w:unhideWhenUsed/>
    <w:rsid w:val="00CA1D9D"/>
    <w:rPr>
      <w:vertAlign w:val="superscript"/>
    </w:rPr>
  </w:style>
  <w:style w:type="character" w:styleId="FollowedHyperlink">
    <w:name w:val="FollowedHyperlink"/>
    <w:basedOn w:val="DefaultParagraphFont"/>
    <w:uiPriority w:val="99"/>
    <w:semiHidden/>
    <w:unhideWhenUsed/>
    <w:rsid w:val="00AC36C3"/>
    <w:rPr>
      <w:color w:val="CE372F" w:themeColor="followedHyperlink"/>
      <w:u w:val="single"/>
    </w:rPr>
  </w:style>
  <w:style w:type="paragraph" w:styleId="CommentSubject">
    <w:name w:val="annotation subject"/>
    <w:basedOn w:val="CommentText"/>
    <w:next w:val="CommentText"/>
    <w:link w:val="CommentSubjectChar"/>
    <w:uiPriority w:val="99"/>
    <w:semiHidden/>
    <w:unhideWhenUsed/>
    <w:rsid w:val="008C1631"/>
    <w:pPr>
      <w:spacing w:after="240"/>
    </w:pPr>
    <w:rPr>
      <w:rFonts w:asciiTheme="minorHAnsi" w:hAnsiTheme="minorHAnsi"/>
      <w:b/>
      <w:bCs/>
    </w:rPr>
  </w:style>
  <w:style w:type="character" w:customStyle="1" w:styleId="CommentSubjectChar">
    <w:name w:val="Comment Subject Char"/>
    <w:basedOn w:val="CommentTextChar"/>
    <w:link w:val="CommentSubject"/>
    <w:uiPriority w:val="99"/>
    <w:semiHidden/>
    <w:rsid w:val="008C1631"/>
    <w:rPr>
      <w:rFonts w:ascii="Calibri" w:hAnsi="Calibri"/>
      <w:b/>
      <w:bCs/>
      <w:sz w:val="20"/>
      <w:szCs w:val="20"/>
    </w:rPr>
  </w:style>
  <w:style w:type="paragraph" w:styleId="Revision">
    <w:name w:val="Revision"/>
    <w:hidden/>
    <w:uiPriority w:val="99"/>
    <w:semiHidden/>
    <w:rsid w:val="007A2BBE"/>
    <w:pPr>
      <w:spacing w:after="0" w:line="240" w:lineRule="auto"/>
    </w:pPr>
  </w:style>
  <w:style w:type="character" w:customStyle="1" w:styleId="ui-provider">
    <w:name w:val="ui-provider"/>
    <w:basedOn w:val="DefaultParagraphFont"/>
    <w:rsid w:val="00A323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51808">
      <w:bodyDiv w:val="1"/>
      <w:marLeft w:val="0"/>
      <w:marRight w:val="0"/>
      <w:marTop w:val="0"/>
      <w:marBottom w:val="0"/>
      <w:divBdr>
        <w:top w:val="none" w:sz="0" w:space="0" w:color="auto"/>
        <w:left w:val="none" w:sz="0" w:space="0" w:color="auto"/>
        <w:bottom w:val="none" w:sz="0" w:space="0" w:color="auto"/>
        <w:right w:val="none" w:sz="0" w:space="0" w:color="auto"/>
      </w:divBdr>
    </w:div>
    <w:div w:id="200289783">
      <w:bodyDiv w:val="1"/>
      <w:marLeft w:val="0"/>
      <w:marRight w:val="0"/>
      <w:marTop w:val="0"/>
      <w:marBottom w:val="0"/>
      <w:divBdr>
        <w:top w:val="none" w:sz="0" w:space="0" w:color="auto"/>
        <w:left w:val="none" w:sz="0" w:space="0" w:color="auto"/>
        <w:bottom w:val="none" w:sz="0" w:space="0" w:color="auto"/>
        <w:right w:val="none" w:sz="0" w:space="0" w:color="auto"/>
      </w:divBdr>
    </w:div>
    <w:div w:id="296688796">
      <w:bodyDiv w:val="1"/>
      <w:marLeft w:val="0"/>
      <w:marRight w:val="0"/>
      <w:marTop w:val="0"/>
      <w:marBottom w:val="0"/>
      <w:divBdr>
        <w:top w:val="none" w:sz="0" w:space="0" w:color="auto"/>
        <w:left w:val="none" w:sz="0" w:space="0" w:color="auto"/>
        <w:bottom w:val="none" w:sz="0" w:space="0" w:color="auto"/>
        <w:right w:val="none" w:sz="0" w:space="0" w:color="auto"/>
      </w:divBdr>
    </w:div>
    <w:div w:id="326640491">
      <w:bodyDiv w:val="1"/>
      <w:marLeft w:val="0"/>
      <w:marRight w:val="0"/>
      <w:marTop w:val="0"/>
      <w:marBottom w:val="0"/>
      <w:divBdr>
        <w:top w:val="none" w:sz="0" w:space="0" w:color="auto"/>
        <w:left w:val="none" w:sz="0" w:space="0" w:color="auto"/>
        <w:bottom w:val="none" w:sz="0" w:space="0" w:color="auto"/>
        <w:right w:val="none" w:sz="0" w:space="0" w:color="auto"/>
      </w:divBdr>
    </w:div>
    <w:div w:id="533005586">
      <w:bodyDiv w:val="1"/>
      <w:marLeft w:val="0"/>
      <w:marRight w:val="0"/>
      <w:marTop w:val="0"/>
      <w:marBottom w:val="0"/>
      <w:divBdr>
        <w:top w:val="none" w:sz="0" w:space="0" w:color="auto"/>
        <w:left w:val="none" w:sz="0" w:space="0" w:color="auto"/>
        <w:bottom w:val="none" w:sz="0" w:space="0" w:color="auto"/>
        <w:right w:val="none" w:sz="0" w:space="0" w:color="auto"/>
      </w:divBdr>
    </w:div>
    <w:div w:id="594871607">
      <w:bodyDiv w:val="1"/>
      <w:marLeft w:val="0"/>
      <w:marRight w:val="0"/>
      <w:marTop w:val="0"/>
      <w:marBottom w:val="0"/>
      <w:divBdr>
        <w:top w:val="none" w:sz="0" w:space="0" w:color="auto"/>
        <w:left w:val="none" w:sz="0" w:space="0" w:color="auto"/>
        <w:bottom w:val="none" w:sz="0" w:space="0" w:color="auto"/>
        <w:right w:val="none" w:sz="0" w:space="0" w:color="auto"/>
      </w:divBdr>
    </w:div>
    <w:div w:id="741217550">
      <w:bodyDiv w:val="1"/>
      <w:marLeft w:val="0"/>
      <w:marRight w:val="0"/>
      <w:marTop w:val="0"/>
      <w:marBottom w:val="0"/>
      <w:divBdr>
        <w:top w:val="none" w:sz="0" w:space="0" w:color="auto"/>
        <w:left w:val="none" w:sz="0" w:space="0" w:color="auto"/>
        <w:bottom w:val="none" w:sz="0" w:space="0" w:color="auto"/>
        <w:right w:val="none" w:sz="0" w:space="0" w:color="auto"/>
      </w:divBdr>
    </w:div>
    <w:div w:id="806052635">
      <w:bodyDiv w:val="1"/>
      <w:marLeft w:val="0"/>
      <w:marRight w:val="0"/>
      <w:marTop w:val="0"/>
      <w:marBottom w:val="0"/>
      <w:divBdr>
        <w:top w:val="none" w:sz="0" w:space="0" w:color="auto"/>
        <w:left w:val="none" w:sz="0" w:space="0" w:color="auto"/>
        <w:bottom w:val="none" w:sz="0" w:space="0" w:color="auto"/>
        <w:right w:val="none" w:sz="0" w:space="0" w:color="auto"/>
      </w:divBdr>
    </w:div>
    <w:div w:id="820463702">
      <w:bodyDiv w:val="1"/>
      <w:marLeft w:val="0"/>
      <w:marRight w:val="0"/>
      <w:marTop w:val="0"/>
      <w:marBottom w:val="0"/>
      <w:divBdr>
        <w:top w:val="none" w:sz="0" w:space="0" w:color="auto"/>
        <w:left w:val="none" w:sz="0" w:space="0" w:color="auto"/>
        <w:bottom w:val="none" w:sz="0" w:space="0" w:color="auto"/>
        <w:right w:val="none" w:sz="0" w:space="0" w:color="auto"/>
      </w:divBdr>
    </w:div>
    <w:div w:id="887912898">
      <w:bodyDiv w:val="1"/>
      <w:marLeft w:val="0"/>
      <w:marRight w:val="0"/>
      <w:marTop w:val="0"/>
      <w:marBottom w:val="0"/>
      <w:divBdr>
        <w:top w:val="none" w:sz="0" w:space="0" w:color="auto"/>
        <w:left w:val="none" w:sz="0" w:space="0" w:color="auto"/>
        <w:bottom w:val="none" w:sz="0" w:space="0" w:color="auto"/>
        <w:right w:val="none" w:sz="0" w:space="0" w:color="auto"/>
      </w:divBdr>
    </w:div>
    <w:div w:id="1225869642">
      <w:bodyDiv w:val="1"/>
      <w:marLeft w:val="0"/>
      <w:marRight w:val="0"/>
      <w:marTop w:val="0"/>
      <w:marBottom w:val="0"/>
      <w:divBdr>
        <w:top w:val="none" w:sz="0" w:space="0" w:color="auto"/>
        <w:left w:val="none" w:sz="0" w:space="0" w:color="auto"/>
        <w:bottom w:val="none" w:sz="0" w:space="0" w:color="auto"/>
        <w:right w:val="none" w:sz="0" w:space="0" w:color="auto"/>
      </w:divBdr>
    </w:div>
    <w:div w:id="1261791454">
      <w:bodyDiv w:val="1"/>
      <w:marLeft w:val="0"/>
      <w:marRight w:val="0"/>
      <w:marTop w:val="0"/>
      <w:marBottom w:val="0"/>
      <w:divBdr>
        <w:top w:val="none" w:sz="0" w:space="0" w:color="auto"/>
        <w:left w:val="none" w:sz="0" w:space="0" w:color="auto"/>
        <w:bottom w:val="none" w:sz="0" w:space="0" w:color="auto"/>
        <w:right w:val="none" w:sz="0" w:space="0" w:color="auto"/>
      </w:divBdr>
    </w:div>
    <w:div w:id="1581676668">
      <w:bodyDiv w:val="1"/>
      <w:marLeft w:val="0"/>
      <w:marRight w:val="0"/>
      <w:marTop w:val="0"/>
      <w:marBottom w:val="0"/>
      <w:divBdr>
        <w:top w:val="none" w:sz="0" w:space="0" w:color="auto"/>
        <w:left w:val="none" w:sz="0" w:space="0" w:color="auto"/>
        <w:bottom w:val="none" w:sz="0" w:space="0" w:color="auto"/>
        <w:right w:val="none" w:sz="0" w:space="0" w:color="auto"/>
      </w:divBdr>
    </w:div>
    <w:div w:id="1725983591">
      <w:bodyDiv w:val="1"/>
      <w:marLeft w:val="0"/>
      <w:marRight w:val="0"/>
      <w:marTop w:val="0"/>
      <w:marBottom w:val="0"/>
      <w:divBdr>
        <w:top w:val="none" w:sz="0" w:space="0" w:color="auto"/>
        <w:left w:val="none" w:sz="0" w:space="0" w:color="auto"/>
        <w:bottom w:val="none" w:sz="0" w:space="0" w:color="auto"/>
        <w:right w:val="none" w:sz="0" w:space="0" w:color="auto"/>
      </w:divBdr>
    </w:div>
    <w:div w:id="1923828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chart" Target="charts/chart3.xml"/><Relationship Id="rId26" Type="http://schemas.openxmlformats.org/officeDocument/2006/relationships/hyperlink" Target="https://www.education.gov.au/higher-education-statistics/resources/2022-section-15-attrition-success-and-retention" TargetMode="External"/><Relationship Id="rId3" Type="http://schemas.openxmlformats.org/officeDocument/2006/relationships/customXml" Target="../customXml/item3.xml"/><Relationship Id="rId21" Type="http://schemas.openxmlformats.org/officeDocument/2006/relationships/chart" Target="charts/chart4.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education.gov.au/higher-education-statistics/resources/2022-student-summary-time-series" TargetMode="External"/><Relationship Id="rId25" Type="http://schemas.openxmlformats.org/officeDocument/2006/relationships/chart" Target="charts/chart6.xm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hyperlink" Target="https://www.education.gov.au/higher-education-statistics/resources/2022-student-summary-time-serie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education.gov.au/higher-education-statistics/resources/2022-section-11-equity-groups" TargetMode="External"/><Relationship Id="rId5" Type="http://schemas.openxmlformats.org/officeDocument/2006/relationships/numbering" Target="numbering.xml"/><Relationship Id="rId15" Type="http://schemas.openxmlformats.org/officeDocument/2006/relationships/hyperlink" Target="https://www.education.gov.au/higher-education-statistics/resources/2022-student-summary-time-series" TargetMode="External"/><Relationship Id="rId23" Type="http://schemas.openxmlformats.org/officeDocument/2006/relationships/chart" Target="charts/chart5.xml"/><Relationship Id="rId28" Type="http://schemas.openxmlformats.org/officeDocument/2006/relationships/hyperlink" Target="https://www.education.gov.au/higher-education-statistics/resources/completion-rates-higher-education-students-cohort-analysis-20052022" TargetMode="External"/><Relationship Id="rId10" Type="http://schemas.openxmlformats.org/officeDocument/2006/relationships/endnotes" Target="endnotes.xml"/><Relationship Id="rId19" Type="http://schemas.openxmlformats.org/officeDocument/2006/relationships/hyperlink" Target="https://www.education.gov.au/higher-education-statistics/resources/2022-student-summary-time-serie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hyperlink" Target="https://www.education.gov.au/higher-education-statistics/resources/2022-section-11-equity-groups" TargetMode="External"/><Relationship Id="rId27" Type="http://schemas.openxmlformats.org/officeDocument/2006/relationships/chart" Target="charts/chart7.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footnotes.xml.rels><?xml version="1.0" encoding="UTF-8" standalone="yes"?>
<Relationships xmlns="http://schemas.openxmlformats.org/package/2006/relationships"><Relationship Id="rId2" Type="http://schemas.openxmlformats.org/officeDocument/2006/relationships/hyperlink" Target="https://www.acara.edu.au/reporting/national-report-on-schooling-in-australia/apparent-retention" TargetMode="External"/><Relationship Id="rId1" Type="http://schemas.openxmlformats.org/officeDocument/2006/relationships/hyperlink" Target="https://www.abs.gov.au/statistics/people/education/schools/latest-release"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griddata\DET\Restricted\universitystatistics\publications\students\final2022\fullyear\10_brief\Charts%20and%20tables%20-%202022v2%20K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griddata\DET\Restricted\universitystatistics\publications\students\final2022\fullyear\10_brief\Charts%20and%20tables%20-%202022v2%20KN.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griddata\DET\Restricted\universitystatistics\publications\students\final2022\fullyear\10_brief\Charts%20and%20tables%20-%202022v2%20KN.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griddata\DET\Restricted\universitystatistics\publications\students\final2022\fullyear\10_brief\Charts%20and%20tables%20-%202022v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griddata\DET\Restricted\universitystatistics\publications\students\final2022\fullyear\10_brief\Charts%20and%20tables%20-%202022v2.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griddata\DET\Restricted\universitystatistics\publications\students\final2022\fullyear\10_brief\Charts%20and%20tables%20-%202022v2%20KN.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griddata\DET\Restricted\universitystatistics\publications\students\final2022\fullyear\10_brief\Charts%20and%20tables%20-%202022v2%20KN.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11106178493267"/>
          <c:y val="7.1724740962843828E-2"/>
          <c:w val="0.83497075476841365"/>
          <c:h val="0.64676849446184337"/>
        </c:manualLayout>
      </c:layout>
      <c:lineChart>
        <c:grouping val="standard"/>
        <c:varyColors val="0"/>
        <c:ser>
          <c:idx val="0"/>
          <c:order val="0"/>
          <c:tx>
            <c:strRef>
              <c:f>'Dom OS change'!$A$5</c:f>
              <c:strCache>
                <c:ptCount val="1"/>
                <c:pt idx="0">
                  <c:v>Domestic students</c:v>
                </c:pt>
              </c:strCache>
            </c:strRef>
          </c:tx>
          <c:spPr>
            <a:ln w="28575" cap="rnd">
              <a:solidFill>
                <a:schemeClr val="tx2"/>
              </a:solidFill>
              <a:round/>
            </a:ln>
            <a:effectLst/>
          </c:spPr>
          <c:marker>
            <c:symbol val="none"/>
          </c:marker>
          <c:cat>
            <c:numRef>
              <c:f>'Dom OS change'!$D$4:$M$4</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'Dom OS change'!$D$5:$M$5</c:f>
              <c:numCache>
                <c:formatCode>###,###,###,###,###,##0</c:formatCode>
                <c:ptCount val="10"/>
                <c:pt idx="0">
                  <c:v>985374</c:v>
                </c:pt>
                <c:pt idx="1">
                  <c:v>1025670</c:v>
                </c:pt>
                <c:pt idx="2">
                  <c:v>1046835</c:v>
                </c:pt>
                <c:pt idx="3">
                  <c:v>1066073</c:v>
                </c:pt>
                <c:pt idx="4">
                  <c:v>1081945</c:v>
                </c:pt>
                <c:pt idx="5">
                  <c:v>1082533</c:v>
                </c:pt>
                <c:pt idx="6">
                  <c:v>1087850</c:v>
                </c:pt>
                <c:pt idx="7">
                  <c:v>1133633</c:v>
                </c:pt>
                <c:pt idx="8">
                  <c:v>1162260</c:v>
                </c:pt>
                <c:pt idx="9">
                  <c:v>1102757</c:v>
                </c:pt>
              </c:numCache>
            </c:numRef>
          </c:val>
          <c:smooth val="0"/>
          <c:extLst>
            <c:ext xmlns:c16="http://schemas.microsoft.com/office/drawing/2014/chart" uri="{C3380CC4-5D6E-409C-BE32-E72D297353CC}">
              <c16:uniqueId val="{00000000-CA0F-4D45-B8ED-49AC52371079}"/>
            </c:ext>
          </c:extLst>
        </c:ser>
        <c:ser>
          <c:idx val="1"/>
          <c:order val="1"/>
          <c:tx>
            <c:strRef>
              <c:f>'Dom OS change'!$A$7</c:f>
              <c:strCache>
                <c:ptCount val="1"/>
                <c:pt idx="0">
                  <c:v>Overseas students</c:v>
                </c:pt>
              </c:strCache>
            </c:strRef>
          </c:tx>
          <c:spPr>
            <a:ln w="28575" cap="rnd">
              <a:solidFill>
                <a:schemeClr val="accent6"/>
              </a:solidFill>
              <a:round/>
            </a:ln>
            <a:effectLst/>
          </c:spPr>
          <c:marker>
            <c:symbol val="none"/>
          </c:marker>
          <c:cat>
            <c:numRef>
              <c:f>'Dom OS change'!$D$4:$M$4</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'Dom OS change'!$D$7:$M$7</c:f>
              <c:numCache>
                <c:formatCode>###,###,###,###,###,##0</c:formatCode>
                <c:ptCount val="10"/>
                <c:pt idx="0">
                  <c:v>328402</c:v>
                </c:pt>
                <c:pt idx="1">
                  <c:v>347560</c:v>
                </c:pt>
                <c:pt idx="2">
                  <c:v>363298</c:v>
                </c:pt>
                <c:pt idx="3">
                  <c:v>391136</c:v>
                </c:pt>
                <c:pt idx="4">
                  <c:v>431438</c:v>
                </c:pt>
                <c:pt idx="5">
                  <c:v>479987</c:v>
                </c:pt>
                <c:pt idx="6">
                  <c:v>521948</c:v>
                </c:pt>
                <c:pt idx="7">
                  <c:v>489234</c:v>
                </c:pt>
                <c:pt idx="8">
                  <c:v>440309</c:v>
                </c:pt>
                <c:pt idx="9">
                  <c:v>448642</c:v>
                </c:pt>
              </c:numCache>
            </c:numRef>
          </c:val>
          <c:smooth val="0"/>
          <c:extLst>
            <c:ext xmlns:c16="http://schemas.microsoft.com/office/drawing/2014/chart" uri="{C3380CC4-5D6E-409C-BE32-E72D297353CC}">
              <c16:uniqueId val="{00000001-CA0F-4D45-B8ED-49AC52371079}"/>
            </c:ext>
          </c:extLst>
        </c:ser>
        <c:ser>
          <c:idx val="2"/>
          <c:order val="2"/>
          <c:tx>
            <c:strRef>
              <c:f>'Dom OS change'!$A$11</c:f>
              <c:strCache>
                <c:ptCount val="1"/>
                <c:pt idx="0">
                  <c:v>Domestic commencing students</c:v>
                </c:pt>
              </c:strCache>
            </c:strRef>
          </c:tx>
          <c:spPr>
            <a:ln w="28575" cap="rnd">
              <a:solidFill>
                <a:schemeClr val="tx2"/>
              </a:solidFill>
              <a:prstDash val="dash"/>
              <a:round/>
            </a:ln>
            <a:effectLst/>
          </c:spPr>
          <c:marker>
            <c:symbol val="none"/>
          </c:marker>
          <c:cat>
            <c:numRef>
              <c:f>'Dom OS change'!$D$4:$M$4</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'Dom OS change'!$D$11:$M$11</c:f>
              <c:numCache>
                <c:formatCode>_-* #,##0_-;\-* #,##0_-;_-* "-"??_-;_-@_-</c:formatCode>
                <c:ptCount val="10"/>
                <c:pt idx="0">
                  <c:v>390465</c:v>
                </c:pt>
                <c:pt idx="1">
                  <c:v>407522</c:v>
                </c:pt>
                <c:pt idx="2">
                  <c:v>403414</c:v>
                </c:pt>
                <c:pt idx="3">
                  <c:v>411228</c:v>
                </c:pt>
                <c:pt idx="4">
                  <c:v>416371</c:v>
                </c:pt>
                <c:pt idx="5">
                  <c:v>409370</c:v>
                </c:pt>
                <c:pt idx="6">
                  <c:v>408202</c:v>
                </c:pt>
                <c:pt idx="7">
                  <c:v>449695</c:v>
                </c:pt>
                <c:pt idx="8" formatCode="#,##0">
                  <c:v>446836</c:v>
                </c:pt>
                <c:pt idx="9" formatCode="#,##0">
                  <c:v>400341</c:v>
                </c:pt>
              </c:numCache>
            </c:numRef>
          </c:val>
          <c:smooth val="0"/>
          <c:extLst>
            <c:ext xmlns:c16="http://schemas.microsoft.com/office/drawing/2014/chart" uri="{C3380CC4-5D6E-409C-BE32-E72D297353CC}">
              <c16:uniqueId val="{00000002-CA0F-4D45-B8ED-49AC52371079}"/>
            </c:ext>
          </c:extLst>
        </c:ser>
        <c:ser>
          <c:idx val="3"/>
          <c:order val="3"/>
          <c:tx>
            <c:strRef>
              <c:f>'Dom OS change'!$A$12</c:f>
              <c:strCache>
                <c:ptCount val="1"/>
                <c:pt idx="0">
                  <c:v>Overseas commencing students</c:v>
                </c:pt>
              </c:strCache>
            </c:strRef>
          </c:tx>
          <c:spPr>
            <a:ln w="28575" cap="rnd">
              <a:solidFill>
                <a:schemeClr val="accent6"/>
              </a:solidFill>
              <a:prstDash val="dash"/>
              <a:round/>
            </a:ln>
            <a:effectLst/>
          </c:spPr>
          <c:marker>
            <c:symbol val="none"/>
          </c:marker>
          <c:cat>
            <c:numRef>
              <c:f>'Dom OS change'!$D$4:$M$4</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'Dom OS change'!$D$12:$M$12</c:f>
              <c:numCache>
                <c:formatCode>_-* #,##0_-;\-* #,##0_-;_-* "-"??_-;_-@_-</c:formatCode>
                <c:ptCount val="10"/>
                <c:pt idx="0">
                  <c:v>147421</c:v>
                </c:pt>
                <c:pt idx="1">
                  <c:v>161542</c:v>
                </c:pt>
                <c:pt idx="2">
                  <c:v>165651</c:v>
                </c:pt>
                <c:pt idx="3">
                  <c:v>183992</c:v>
                </c:pt>
                <c:pt idx="4">
                  <c:v>202713</c:v>
                </c:pt>
                <c:pt idx="5">
                  <c:v>222484</c:v>
                </c:pt>
                <c:pt idx="6">
                  <c:v>237126</c:v>
                </c:pt>
                <c:pt idx="7" formatCode="###,###,###,###,###,##0">
                  <c:v>191540</c:v>
                </c:pt>
                <c:pt idx="8" formatCode="###,###,###,###,###,##0">
                  <c:v>154075</c:v>
                </c:pt>
                <c:pt idx="9" formatCode="###,###,###,###,###,##0">
                  <c:v>193215</c:v>
                </c:pt>
              </c:numCache>
            </c:numRef>
          </c:val>
          <c:smooth val="0"/>
          <c:extLst>
            <c:ext xmlns:c16="http://schemas.microsoft.com/office/drawing/2014/chart" uri="{C3380CC4-5D6E-409C-BE32-E72D297353CC}">
              <c16:uniqueId val="{00000003-CA0F-4D45-B8ED-49AC52371079}"/>
            </c:ext>
          </c:extLst>
        </c:ser>
        <c:ser>
          <c:idx val="4"/>
          <c:order val="4"/>
          <c:tx>
            <c:strRef>
              <c:f>'Dom OS change'!$A$13</c:f>
              <c:strCache>
                <c:ptCount val="1"/>
                <c:pt idx="0">
                  <c:v>Commonwealth supported commencing </c:v>
                </c:pt>
              </c:strCache>
            </c:strRef>
          </c:tx>
          <c:spPr>
            <a:ln w="28575" cap="rnd">
              <a:solidFill>
                <a:schemeClr val="accent4"/>
              </a:solidFill>
              <a:round/>
            </a:ln>
            <a:effectLst/>
          </c:spPr>
          <c:marker>
            <c:symbol val="none"/>
          </c:marker>
          <c:cat>
            <c:numRef>
              <c:f>'Dom OS change'!$D$4:$M$4</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'Dom OS change'!$D$13:$M$13</c:f>
              <c:numCache>
                <c:formatCode>###,###,###,###,###,##0</c:formatCode>
                <c:ptCount val="10"/>
                <c:pt idx="0">
                  <c:v>289121</c:v>
                </c:pt>
                <c:pt idx="1">
                  <c:v>299942</c:v>
                </c:pt>
                <c:pt idx="2">
                  <c:v>301392</c:v>
                </c:pt>
                <c:pt idx="3">
                  <c:v>305802</c:v>
                </c:pt>
                <c:pt idx="4">
                  <c:v>310665</c:v>
                </c:pt>
                <c:pt idx="5">
                  <c:v>306050</c:v>
                </c:pt>
                <c:pt idx="6">
                  <c:v>302262</c:v>
                </c:pt>
                <c:pt idx="7">
                  <c:v>324658</c:v>
                </c:pt>
                <c:pt idx="8">
                  <c:v>330223</c:v>
                </c:pt>
                <c:pt idx="9">
                  <c:v>296976</c:v>
                </c:pt>
              </c:numCache>
            </c:numRef>
          </c:val>
          <c:smooth val="0"/>
          <c:extLst>
            <c:ext xmlns:c16="http://schemas.microsoft.com/office/drawing/2014/chart" uri="{C3380CC4-5D6E-409C-BE32-E72D297353CC}">
              <c16:uniqueId val="{00000004-CA0F-4D45-B8ED-49AC52371079}"/>
            </c:ext>
          </c:extLst>
        </c:ser>
        <c:ser>
          <c:idx val="5"/>
          <c:order val="5"/>
          <c:tx>
            <c:strRef>
              <c:f>'Dom OS change'!$A$9</c:f>
              <c:strCache>
                <c:ptCount val="1"/>
                <c:pt idx="0">
                  <c:v>Total students</c:v>
                </c:pt>
              </c:strCache>
            </c:strRef>
          </c:tx>
          <c:spPr>
            <a:ln w="28575" cap="rnd">
              <a:solidFill>
                <a:schemeClr val="accent5"/>
              </a:solidFill>
              <a:round/>
            </a:ln>
            <a:effectLst/>
          </c:spPr>
          <c:marker>
            <c:symbol val="none"/>
          </c:marker>
          <c:val>
            <c:numRef>
              <c:f>'Dom OS change'!$D$9:$M$9</c:f>
              <c:numCache>
                <c:formatCode>###,###,###,###,###,##0</c:formatCode>
                <c:ptCount val="10"/>
                <c:pt idx="0">
                  <c:v>1313776</c:v>
                </c:pt>
                <c:pt idx="1">
                  <c:v>1373230</c:v>
                </c:pt>
                <c:pt idx="2">
                  <c:v>1410133</c:v>
                </c:pt>
                <c:pt idx="3">
                  <c:v>1457209</c:v>
                </c:pt>
                <c:pt idx="4">
                  <c:v>1513383</c:v>
                </c:pt>
                <c:pt idx="5">
                  <c:v>1562520</c:v>
                </c:pt>
                <c:pt idx="6">
                  <c:v>1609798</c:v>
                </c:pt>
                <c:pt idx="7">
                  <c:v>1622867</c:v>
                </c:pt>
                <c:pt idx="8">
                  <c:v>1602573</c:v>
                </c:pt>
                <c:pt idx="9">
                  <c:v>1551411</c:v>
                </c:pt>
              </c:numCache>
            </c:numRef>
          </c:val>
          <c:smooth val="0"/>
          <c:extLst>
            <c:ext xmlns:c16="http://schemas.microsoft.com/office/drawing/2014/chart" uri="{C3380CC4-5D6E-409C-BE32-E72D297353CC}">
              <c16:uniqueId val="{00000005-CA0F-4D45-B8ED-49AC52371079}"/>
            </c:ext>
          </c:extLst>
        </c:ser>
        <c:ser>
          <c:idx val="6"/>
          <c:order val="6"/>
          <c:tx>
            <c:strRef>
              <c:f>'Dom OS change'!$A$14</c:f>
              <c:strCache>
                <c:ptCount val="1"/>
                <c:pt idx="0">
                  <c:v>Total commencing students</c:v>
                </c:pt>
              </c:strCache>
            </c:strRef>
          </c:tx>
          <c:spPr>
            <a:ln w="28575" cap="rnd">
              <a:solidFill>
                <a:schemeClr val="accent5"/>
              </a:solidFill>
              <a:prstDash val="sysDash"/>
              <a:round/>
            </a:ln>
            <a:effectLst/>
          </c:spPr>
          <c:marker>
            <c:symbol val="none"/>
          </c:marker>
          <c:val>
            <c:numRef>
              <c:f>'Dom OS change'!$D$14:$M$14</c:f>
              <c:numCache>
                <c:formatCode>###,###,###,###,###,##0</c:formatCode>
                <c:ptCount val="10"/>
                <c:pt idx="0">
                  <c:v>537886</c:v>
                </c:pt>
                <c:pt idx="1">
                  <c:v>569064</c:v>
                </c:pt>
                <c:pt idx="2">
                  <c:v>569065</c:v>
                </c:pt>
                <c:pt idx="3">
                  <c:v>595220</c:v>
                </c:pt>
                <c:pt idx="4">
                  <c:v>619084</c:v>
                </c:pt>
                <c:pt idx="5">
                  <c:v>631854</c:v>
                </c:pt>
                <c:pt idx="6">
                  <c:v>645328</c:v>
                </c:pt>
                <c:pt idx="7">
                  <c:v>641235</c:v>
                </c:pt>
                <c:pt idx="8">
                  <c:v>600915</c:v>
                </c:pt>
                <c:pt idx="9">
                  <c:v>593556</c:v>
                </c:pt>
              </c:numCache>
            </c:numRef>
          </c:val>
          <c:smooth val="0"/>
          <c:extLst>
            <c:ext xmlns:c16="http://schemas.microsoft.com/office/drawing/2014/chart" uri="{C3380CC4-5D6E-409C-BE32-E72D297353CC}">
              <c16:uniqueId val="{00000006-CA0F-4D45-B8ED-49AC52371079}"/>
            </c:ext>
          </c:extLst>
        </c:ser>
        <c:dLbls>
          <c:showLegendKey val="0"/>
          <c:showVal val="0"/>
          <c:showCatName val="0"/>
          <c:showSerName val="0"/>
          <c:showPercent val="0"/>
          <c:showBubbleSize val="0"/>
        </c:dLbls>
        <c:smooth val="0"/>
        <c:axId val="1674406432"/>
        <c:axId val="1674404768"/>
      </c:lineChart>
      <c:catAx>
        <c:axId val="1674406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4404768"/>
        <c:crosses val="autoZero"/>
        <c:auto val="1"/>
        <c:lblAlgn val="ctr"/>
        <c:lblOffset val="100"/>
        <c:noMultiLvlLbl val="0"/>
      </c:catAx>
      <c:valAx>
        <c:axId val="16744047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4406432"/>
        <c:crosses val="autoZero"/>
        <c:crossBetween val="between"/>
      </c:valAx>
      <c:spPr>
        <a:noFill/>
        <a:ln>
          <a:noFill/>
        </a:ln>
        <a:effectLst/>
      </c:spPr>
    </c:plotArea>
    <c:legend>
      <c:legendPos val="b"/>
      <c:layout>
        <c:manualLayout>
          <c:xMode val="edge"/>
          <c:yMode val="edge"/>
          <c:x val="8.005743687091187E-3"/>
          <c:y val="0.82926634014278744"/>
          <c:w val="0.95955289269319954"/>
          <c:h val="0.17073370495276036"/>
        </c:manualLayout>
      </c:layout>
      <c:overlay val="0"/>
      <c:spPr>
        <a:noFill/>
        <a:ln>
          <a:noFill/>
        </a:ln>
        <a:effectLst/>
      </c:spPr>
      <c:txPr>
        <a:bodyPr rot="0" spcFirstLastPara="1" vertOverflow="ellipsis" vert="horz" wrap="square" anchor="b" anchorCtr="0"/>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920976834417436"/>
          <c:y val="4.1643814914978892E-2"/>
          <c:w val="0.7311099872397373"/>
          <c:h val="0.73767288920345631"/>
        </c:manualLayout>
      </c:layout>
      <c:barChart>
        <c:barDir val="col"/>
        <c:grouping val="clustered"/>
        <c:varyColors val="0"/>
        <c:ser>
          <c:idx val="1"/>
          <c:order val="1"/>
          <c:tx>
            <c:strRef>
              <c:f>'Formatted first chart '!$A$35</c:f>
              <c:strCache>
                <c:ptCount val="1"/>
                <c:pt idx="0">
                  <c:v>Domestic commencing undergraduate students</c:v>
                </c:pt>
              </c:strCache>
            </c:strRef>
          </c:tx>
          <c:spPr>
            <a:solidFill>
              <a:schemeClr val="accent4">
                <a:lumMod val="60000"/>
                <a:lumOff val="40000"/>
              </a:schemeClr>
            </a:solidFill>
            <a:ln>
              <a:noFill/>
            </a:ln>
            <a:effectLst/>
          </c:spPr>
          <c:invertIfNegative val="0"/>
          <c:trendline>
            <c:name>Trend (2 period moving average)</c:name>
            <c:spPr>
              <a:ln w="19050" cap="rnd">
                <a:solidFill>
                  <a:schemeClr val="accent4"/>
                </a:solidFill>
                <a:prstDash val="sysDot"/>
              </a:ln>
              <a:effectLst/>
            </c:spPr>
            <c:trendlineType val="movingAvg"/>
            <c:period val="2"/>
            <c:dispRSqr val="0"/>
            <c:dispEq val="0"/>
          </c:trendline>
          <c:cat>
            <c:numRef>
              <c:f>'Formatted first chart '!$E$2:$O$2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extLst/>
            </c:numRef>
          </c:cat>
          <c:val>
            <c:numRef>
              <c:f>'Formatted first chart '!$F$4:$O$4</c:f>
              <c:numCache>
                <c:formatCode>#,##0</c:formatCode>
                <c:ptCount val="10"/>
                <c:pt idx="0">
                  <c:v>263073</c:v>
                </c:pt>
                <c:pt idx="1">
                  <c:v>272229</c:v>
                </c:pt>
                <c:pt idx="2">
                  <c:v>276234</c:v>
                </c:pt>
                <c:pt idx="3">
                  <c:v>281389</c:v>
                </c:pt>
                <c:pt idx="4">
                  <c:v>288035</c:v>
                </c:pt>
                <c:pt idx="5">
                  <c:v>282899</c:v>
                </c:pt>
                <c:pt idx="6">
                  <c:v>276095</c:v>
                </c:pt>
                <c:pt idx="7">
                  <c:v>288794</c:v>
                </c:pt>
                <c:pt idx="8">
                  <c:v>290912</c:v>
                </c:pt>
                <c:pt idx="9">
                  <c:v>267107</c:v>
                </c:pt>
              </c:numCache>
              <c:extLst/>
            </c:numRef>
          </c:val>
          <c:extLst>
            <c:ext xmlns:c16="http://schemas.microsoft.com/office/drawing/2014/chart" uri="{C3380CC4-5D6E-409C-BE32-E72D297353CC}">
              <c16:uniqueId val="{00000001-78AD-407A-82CF-D347CD78DB4C}"/>
            </c:ext>
          </c:extLst>
        </c:ser>
        <c:dLbls>
          <c:showLegendKey val="0"/>
          <c:showVal val="0"/>
          <c:showCatName val="0"/>
          <c:showSerName val="0"/>
          <c:showPercent val="0"/>
          <c:showBubbleSize val="0"/>
        </c:dLbls>
        <c:gapWidth val="219"/>
        <c:overlap val="-27"/>
        <c:axId val="730212680"/>
        <c:axId val="730211696"/>
      </c:barChart>
      <c:lineChart>
        <c:grouping val="standard"/>
        <c:varyColors val="0"/>
        <c:ser>
          <c:idx val="0"/>
          <c:order val="0"/>
          <c:tx>
            <c:v>Annual Growth (%)</c:v>
          </c:tx>
          <c:spPr>
            <a:ln w="28575" cap="rnd">
              <a:solidFill>
                <a:schemeClr val="accent1"/>
              </a:solidFill>
              <a:round/>
            </a:ln>
            <a:effectLst/>
          </c:spPr>
          <c:marker>
            <c:symbol val="square"/>
            <c:size val="8"/>
            <c:spPr>
              <a:solidFill>
                <a:schemeClr val="accent1"/>
              </a:solidFill>
              <a:ln w="9525">
                <a:solidFill>
                  <a:schemeClr val="accent1"/>
                </a:solidFill>
              </a:ln>
              <a:effectLst/>
            </c:spPr>
          </c:marker>
          <c:cat>
            <c:numRef>
              <c:f>'Formatted first chart '!$F$2:$O$2</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extLst/>
            </c:numRef>
          </c:cat>
          <c:val>
            <c:numRef>
              <c:f>'Formatted first chart '!$E$34:$N$34</c:f>
              <c:numCache>
                <c:formatCode>0.0</c:formatCode>
                <c:ptCount val="10"/>
                <c:pt idx="0">
                  <c:v>5.8601263530642624</c:v>
                </c:pt>
                <c:pt idx="1">
                  <c:v>3.4804027779361624</c:v>
                </c:pt>
                <c:pt idx="2">
                  <c:v>1.471187860220623</c:v>
                </c:pt>
                <c:pt idx="3">
                  <c:v>1.8661714343636191</c:v>
                </c:pt>
                <c:pt idx="4">
                  <c:v>2.3618549410247023</c:v>
                </c:pt>
                <c:pt idx="5">
                  <c:v>-1.7831166351311472</c:v>
                </c:pt>
                <c:pt idx="6">
                  <c:v>-2.405098639443759</c:v>
                </c:pt>
                <c:pt idx="7">
                  <c:v>4.5995037939839545</c:v>
                </c:pt>
                <c:pt idx="8">
                  <c:v>0.72958579471872675</c:v>
                </c:pt>
                <c:pt idx="9">
                  <c:v>-8.1794149899794082</c:v>
                </c:pt>
              </c:numCache>
              <c:extLst/>
            </c:numRef>
          </c:val>
          <c:smooth val="0"/>
          <c:extLst>
            <c:ext xmlns:c16="http://schemas.microsoft.com/office/drawing/2014/chart" uri="{C3380CC4-5D6E-409C-BE32-E72D297353CC}">
              <c16:uniqueId val="{00000002-78AD-407A-82CF-D347CD78DB4C}"/>
            </c:ext>
          </c:extLst>
        </c:ser>
        <c:dLbls>
          <c:showLegendKey val="0"/>
          <c:showVal val="0"/>
          <c:showCatName val="0"/>
          <c:showSerName val="0"/>
          <c:showPercent val="0"/>
          <c:showBubbleSize val="0"/>
        </c:dLbls>
        <c:marker val="1"/>
        <c:smooth val="0"/>
        <c:axId val="730216616"/>
        <c:axId val="730219568"/>
      </c:lineChart>
      <c:valAx>
        <c:axId val="730219568"/>
        <c:scaling>
          <c:orientation val="minMax"/>
          <c:max val="12"/>
          <c:min val="-12"/>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Annual Growth (%)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0216616"/>
        <c:crosses val="max"/>
        <c:crossBetween val="between"/>
        <c:majorUnit val="2"/>
        <c:minorUnit val="0.2"/>
      </c:valAx>
      <c:catAx>
        <c:axId val="730216616"/>
        <c:scaling>
          <c:orientation val="minMax"/>
        </c:scaling>
        <c:delete val="0"/>
        <c:axPos val="b"/>
        <c:numFmt formatCode="General"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b" anchorCtr="0"/>
          <a:lstStyle/>
          <a:p>
            <a:pPr>
              <a:defRPr sz="900" b="0" i="0" u="none" strike="noStrike" kern="1200" baseline="0">
                <a:solidFill>
                  <a:schemeClr val="tx1">
                    <a:lumMod val="65000"/>
                    <a:lumOff val="35000"/>
                  </a:schemeClr>
                </a:solidFill>
                <a:latin typeface="+mn-lt"/>
                <a:ea typeface="+mn-ea"/>
                <a:cs typeface="+mn-cs"/>
              </a:defRPr>
            </a:pPr>
            <a:endParaRPr lang="en-US"/>
          </a:p>
        </c:txPr>
        <c:crossAx val="730219568"/>
        <c:crosses val="autoZero"/>
        <c:auto val="1"/>
        <c:lblAlgn val="ctr"/>
        <c:lblOffset val="100"/>
        <c:noMultiLvlLbl val="0"/>
      </c:catAx>
      <c:valAx>
        <c:axId val="730211696"/>
        <c:scaling>
          <c:orientation val="minMax"/>
          <c:max val="300000"/>
          <c:min val="1.0000000000000002E-2"/>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STUDENTS</a:t>
                </a:r>
              </a:p>
            </c:rich>
          </c:tx>
          <c:layout>
            <c:manualLayout>
              <c:xMode val="edge"/>
              <c:yMode val="edge"/>
              <c:x val="2.1544758711055205E-2"/>
              <c:y val="0.3653820519626058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0212680"/>
        <c:crosses val="autoZero"/>
        <c:crossBetween val="between"/>
      </c:valAx>
      <c:catAx>
        <c:axId val="730212680"/>
        <c:scaling>
          <c:orientation val="minMax"/>
        </c:scaling>
        <c:delete val="1"/>
        <c:axPos val="b"/>
        <c:numFmt formatCode="General" sourceLinked="1"/>
        <c:majorTickMark val="out"/>
        <c:minorTickMark val="none"/>
        <c:tickLblPos val="nextTo"/>
        <c:crossAx val="730211696"/>
        <c:crossesAt val="0"/>
        <c:auto val="1"/>
        <c:lblAlgn val="ctr"/>
        <c:lblOffset val="100"/>
        <c:noMultiLvlLbl val="0"/>
      </c:catAx>
      <c:spPr>
        <a:noFill/>
        <a:ln>
          <a:noFill/>
        </a:ln>
        <a:effectLst/>
      </c:spPr>
    </c:plotArea>
    <c:legend>
      <c:legendPos val="b"/>
      <c:layout>
        <c:manualLayout>
          <c:xMode val="edge"/>
          <c:yMode val="edge"/>
          <c:x val="3.037977775490228E-2"/>
          <c:y val="0.85613317998171579"/>
          <c:w val="0.92850261100477871"/>
          <c:h val="0.1405908621611871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742845216753897"/>
          <c:y val="4.2977143973432309E-2"/>
          <c:w val="0.82886720562795724"/>
          <c:h val="0.77701353457014399"/>
        </c:manualLayout>
      </c:layout>
      <c:lineChart>
        <c:grouping val="standard"/>
        <c:varyColors val="0"/>
        <c:ser>
          <c:idx val="0"/>
          <c:order val="0"/>
          <c:tx>
            <c:strRef>
              <c:f>[2]Sheet1!$A$6</c:f>
              <c:strCache>
                <c:ptCount val="1"/>
                <c:pt idx="0">
                  <c:v>01. Postgraduate</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[2]Sheet1!$B$4:$K$4</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[2]Sheet1!$B$6:$K$6</c:f>
              <c:numCache>
                <c:formatCode>General</c:formatCode>
                <c:ptCount val="10"/>
                <c:pt idx="0">
                  <c:v>103508</c:v>
                </c:pt>
                <c:pt idx="1">
                  <c:v>110161</c:v>
                </c:pt>
                <c:pt idx="2">
                  <c:v>102359</c:v>
                </c:pt>
                <c:pt idx="3">
                  <c:v>101214</c:v>
                </c:pt>
                <c:pt idx="4">
                  <c:v>100075</c:v>
                </c:pt>
                <c:pt idx="5">
                  <c:v>98855</c:v>
                </c:pt>
                <c:pt idx="6">
                  <c:v>102698</c:v>
                </c:pt>
                <c:pt idx="7">
                  <c:v>128301</c:v>
                </c:pt>
                <c:pt idx="8">
                  <c:v>130309</c:v>
                </c:pt>
                <c:pt idx="9">
                  <c:v>111420</c:v>
                </c:pt>
              </c:numCache>
            </c:numRef>
          </c:val>
          <c:smooth val="0"/>
          <c:extLst>
            <c:ext xmlns:c16="http://schemas.microsoft.com/office/drawing/2014/chart" uri="{C3380CC4-5D6E-409C-BE32-E72D297353CC}">
              <c16:uniqueId val="{00000000-8900-4931-BBB9-4E7312313283}"/>
            </c:ext>
          </c:extLst>
        </c:ser>
        <c:ser>
          <c:idx val="1"/>
          <c:order val="1"/>
          <c:tx>
            <c:strRef>
              <c:f>[2]Sheet1!$A$7</c:f>
              <c:strCache>
                <c:ptCount val="1"/>
                <c:pt idx="0">
                  <c:v>02. Undergraduate</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[2]Sheet1!$B$4:$K$4</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[2]Sheet1!$B$7:$K$7</c:f>
              <c:numCache>
                <c:formatCode>General</c:formatCode>
                <c:ptCount val="10"/>
                <c:pt idx="0">
                  <c:v>263073</c:v>
                </c:pt>
                <c:pt idx="1">
                  <c:v>272229</c:v>
                </c:pt>
                <c:pt idx="2">
                  <c:v>276234</c:v>
                </c:pt>
                <c:pt idx="3">
                  <c:v>281389</c:v>
                </c:pt>
                <c:pt idx="4">
                  <c:v>288035</c:v>
                </c:pt>
                <c:pt idx="5">
                  <c:v>282899</c:v>
                </c:pt>
                <c:pt idx="6">
                  <c:v>276095</c:v>
                </c:pt>
                <c:pt idx="7">
                  <c:v>288794</c:v>
                </c:pt>
                <c:pt idx="8">
                  <c:v>290901</c:v>
                </c:pt>
                <c:pt idx="9">
                  <c:v>267104</c:v>
                </c:pt>
              </c:numCache>
            </c:numRef>
          </c:val>
          <c:smooth val="0"/>
          <c:extLst>
            <c:ext xmlns:c16="http://schemas.microsoft.com/office/drawing/2014/chart" uri="{C3380CC4-5D6E-409C-BE32-E72D297353CC}">
              <c16:uniqueId val="{00000001-8900-4931-BBB9-4E7312313283}"/>
            </c:ext>
          </c:extLst>
        </c:ser>
        <c:ser>
          <c:idx val="2"/>
          <c:order val="2"/>
          <c:tx>
            <c:strRef>
              <c:f>[2]Sheet1!$A$8</c:f>
              <c:strCache>
                <c:ptCount val="1"/>
                <c:pt idx="0">
                  <c:v>03. Enabling and Non-award</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[2]Sheet1!$B$4:$K$4</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[2]Sheet1!$B$8:$K$8</c:f>
              <c:numCache>
                <c:formatCode>General</c:formatCode>
                <c:ptCount val="10"/>
                <c:pt idx="0">
                  <c:v>23884</c:v>
                </c:pt>
                <c:pt idx="1">
                  <c:v>25132</c:v>
                </c:pt>
                <c:pt idx="2">
                  <c:v>24821</c:v>
                </c:pt>
                <c:pt idx="3">
                  <c:v>28625</c:v>
                </c:pt>
                <c:pt idx="4">
                  <c:v>28261</c:v>
                </c:pt>
                <c:pt idx="5">
                  <c:v>27616</c:v>
                </c:pt>
                <c:pt idx="6">
                  <c:v>29409</c:v>
                </c:pt>
                <c:pt idx="7">
                  <c:v>32600</c:v>
                </c:pt>
                <c:pt idx="8">
                  <c:v>25626</c:v>
                </c:pt>
                <c:pt idx="9">
                  <c:v>21817</c:v>
                </c:pt>
              </c:numCache>
            </c:numRef>
          </c:val>
          <c:smooth val="0"/>
          <c:extLst>
            <c:ext xmlns:c16="http://schemas.microsoft.com/office/drawing/2014/chart" uri="{C3380CC4-5D6E-409C-BE32-E72D297353CC}">
              <c16:uniqueId val="{00000002-8900-4931-BBB9-4E7312313283}"/>
            </c:ext>
          </c:extLst>
        </c:ser>
        <c:ser>
          <c:idx val="3"/>
          <c:order val="3"/>
          <c:tx>
            <c:strRef>
              <c:f>[2]Sheet1!$A$9</c:f>
              <c:strCache>
                <c:ptCount val="1"/>
                <c:pt idx="0">
                  <c:v>Total</c:v>
                </c:pt>
              </c:strCache>
            </c:strRef>
          </c:tx>
          <c:spPr>
            <a:ln w="28575" cap="rnd">
              <a:solidFill>
                <a:schemeClr val="tx2"/>
              </a:solidFill>
              <a:round/>
            </a:ln>
            <a:effectLst/>
          </c:spPr>
          <c:marker>
            <c:symbol val="circle"/>
            <c:size val="5"/>
            <c:spPr>
              <a:solidFill>
                <a:schemeClr val="tx2"/>
              </a:solidFill>
              <a:ln w="9525">
                <a:solidFill>
                  <a:schemeClr val="tx2"/>
                </a:solidFill>
              </a:ln>
              <a:effectLst/>
            </c:spPr>
          </c:marker>
          <c:cat>
            <c:strRef>
              <c:f>[2]Sheet1!$B$4:$K$4</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[2]Sheet1!$B$9:$K$9</c:f>
              <c:numCache>
                <c:formatCode>General</c:formatCode>
                <c:ptCount val="10"/>
                <c:pt idx="0">
                  <c:v>390465</c:v>
                </c:pt>
                <c:pt idx="1">
                  <c:v>407522</c:v>
                </c:pt>
                <c:pt idx="2">
                  <c:v>403414</c:v>
                </c:pt>
                <c:pt idx="3">
                  <c:v>411228</c:v>
                </c:pt>
                <c:pt idx="4">
                  <c:v>416371</c:v>
                </c:pt>
                <c:pt idx="5">
                  <c:v>409370</c:v>
                </c:pt>
                <c:pt idx="6">
                  <c:v>408202</c:v>
                </c:pt>
                <c:pt idx="7">
                  <c:v>449695</c:v>
                </c:pt>
                <c:pt idx="8">
                  <c:v>446836</c:v>
                </c:pt>
                <c:pt idx="9">
                  <c:v>400341</c:v>
                </c:pt>
              </c:numCache>
            </c:numRef>
          </c:val>
          <c:smooth val="0"/>
          <c:extLst>
            <c:ext xmlns:c16="http://schemas.microsoft.com/office/drawing/2014/chart" uri="{C3380CC4-5D6E-409C-BE32-E72D297353CC}">
              <c16:uniqueId val="{00000003-8900-4931-BBB9-4E7312313283}"/>
            </c:ext>
          </c:extLst>
        </c:ser>
        <c:dLbls>
          <c:showLegendKey val="0"/>
          <c:showVal val="0"/>
          <c:showCatName val="0"/>
          <c:showSerName val="0"/>
          <c:showPercent val="0"/>
          <c:showBubbleSize val="0"/>
        </c:dLbls>
        <c:marker val="1"/>
        <c:smooth val="0"/>
        <c:axId val="1264123024"/>
        <c:axId val="1265592160"/>
      </c:lineChart>
      <c:catAx>
        <c:axId val="1264123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5592160"/>
        <c:crosses val="autoZero"/>
        <c:auto val="1"/>
        <c:lblAlgn val="ctr"/>
        <c:lblOffset val="100"/>
        <c:noMultiLvlLbl val="0"/>
      </c:catAx>
      <c:valAx>
        <c:axId val="12655921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STUDENTS</a:t>
                </a:r>
              </a:p>
            </c:rich>
          </c:tx>
          <c:layout>
            <c:manualLayout>
              <c:xMode val="edge"/>
              <c:yMode val="edge"/>
              <c:x val="1.9394461803684947E-2"/>
              <c:y val="0.2344207853096307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4123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'[Charts and tables - 2022v2 KN.xlsx]equity group (all)'!$A$6</c:f>
              <c:strCache>
                <c:ptCount val="1"/>
                <c:pt idx="0">
                  <c:v>First Nations</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'[Charts and tables - 2022v2 KN.xlsx]equity group (all)'!$B$5:$L$5</c:f>
              <c:numCache>
                <c:formatCode>General</c:formatCode>
                <c:ptCount val="7"/>
                <c:pt idx="0">
                  <c:v>2016</c:v>
                </c:pt>
                <c:pt idx="1">
                  <c:v>2017</c:v>
                </c:pt>
                <c:pt idx="2">
                  <c:v>2018</c:v>
                </c:pt>
                <c:pt idx="3">
                  <c:v>2019</c:v>
                </c:pt>
                <c:pt idx="4">
                  <c:v>2020</c:v>
                </c:pt>
                <c:pt idx="5">
                  <c:v>2021</c:v>
                </c:pt>
                <c:pt idx="6">
                  <c:v>2022</c:v>
                </c:pt>
              </c:numCache>
            </c:numRef>
          </c:cat>
          <c:val>
            <c:numRef>
              <c:f>'[Charts and tables - 2022v2 KN.xlsx]equity group (all)'!$B$6:$L$6</c:f>
              <c:numCache>
                <c:formatCode>#,##0</c:formatCode>
                <c:ptCount val="7"/>
                <c:pt idx="0">
                  <c:v>8219</c:v>
                </c:pt>
                <c:pt idx="1">
                  <c:v>8734</c:v>
                </c:pt>
                <c:pt idx="2">
                  <c:v>8776</c:v>
                </c:pt>
                <c:pt idx="3">
                  <c:v>9389</c:v>
                </c:pt>
                <c:pt idx="4">
                  <c:v>10388</c:v>
                </c:pt>
                <c:pt idx="5">
                  <c:v>10506</c:v>
                </c:pt>
                <c:pt idx="6">
                  <c:v>9668</c:v>
                </c:pt>
              </c:numCache>
            </c:numRef>
          </c:val>
          <c:smooth val="0"/>
          <c:extLst>
            <c:ext xmlns:c16="http://schemas.microsoft.com/office/drawing/2014/chart" uri="{C3380CC4-5D6E-409C-BE32-E72D297353CC}">
              <c16:uniqueId val="{00000000-6CFE-4A3D-BA0C-8B293E8B2E4F}"/>
            </c:ext>
          </c:extLst>
        </c:ser>
        <c:ser>
          <c:idx val="1"/>
          <c:order val="1"/>
          <c:tx>
            <c:strRef>
              <c:f>'[Charts and tables - 2022v2 KN.xlsx]equity group (all)'!$A$7</c:f>
              <c:strCache>
                <c:ptCount val="1"/>
                <c:pt idx="0">
                  <c:v>First Address Low SES by SA1 (SEIFA16)</c:v>
                </c:pt>
              </c:strCache>
            </c:strRef>
          </c:tx>
          <c:spPr>
            <a:ln w="22225" cap="rnd">
              <a:solidFill>
                <a:schemeClr val="accent3"/>
              </a:solidFill>
              <a:prstDash val="sysDash"/>
              <a:round/>
            </a:ln>
            <a:effectLst/>
          </c:spPr>
          <c:marker>
            <c:symbol val="square"/>
            <c:size val="6"/>
            <c:spPr>
              <a:solidFill>
                <a:schemeClr val="accent3"/>
              </a:solidFill>
              <a:ln w="9525">
                <a:solidFill>
                  <a:schemeClr val="accent3"/>
                </a:solidFill>
                <a:prstDash val="sysDash"/>
                <a:round/>
              </a:ln>
              <a:effectLst/>
            </c:spPr>
          </c:marker>
          <c:cat>
            <c:numRef>
              <c:f>'[Charts and tables - 2022v2 KN.xlsx]equity group (all)'!$B$5:$L$5</c:f>
              <c:numCache>
                <c:formatCode>General</c:formatCode>
                <c:ptCount val="7"/>
                <c:pt idx="0">
                  <c:v>2016</c:v>
                </c:pt>
                <c:pt idx="1">
                  <c:v>2017</c:v>
                </c:pt>
                <c:pt idx="2">
                  <c:v>2018</c:v>
                </c:pt>
                <c:pt idx="3">
                  <c:v>2019</c:v>
                </c:pt>
                <c:pt idx="4">
                  <c:v>2020</c:v>
                </c:pt>
                <c:pt idx="5">
                  <c:v>2021</c:v>
                </c:pt>
                <c:pt idx="6">
                  <c:v>2022</c:v>
                </c:pt>
              </c:numCache>
            </c:numRef>
          </c:cat>
          <c:val>
            <c:numRef>
              <c:f>'[Charts and tables - 2022v2 KN.xlsx]equity group (all)'!$B$7:$L$7</c:f>
              <c:numCache>
                <c:formatCode>#,##0</c:formatCode>
                <c:ptCount val="7"/>
                <c:pt idx="0">
                  <c:v>72134</c:v>
                </c:pt>
                <c:pt idx="1">
                  <c:v>73296</c:v>
                </c:pt>
                <c:pt idx="2">
                  <c:v>71898</c:v>
                </c:pt>
                <c:pt idx="3">
                  <c:v>70694</c:v>
                </c:pt>
                <c:pt idx="4">
                  <c:v>75255</c:v>
                </c:pt>
                <c:pt idx="5">
                  <c:v>72119</c:v>
                </c:pt>
              </c:numCache>
            </c:numRef>
          </c:val>
          <c:smooth val="0"/>
          <c:extLst>
            <c:ext xmlns:c16="http://schemas.microsoft.com/office/drawing/2014/chart" uri="{C3380CC4-5D6E-409C-BE32-E72D297353CC}">
              <c16:uniqueId val="{00000001-6CFE-4A3D-BA0C-8B293E8B2E4F}"/>
            </c:ext>
          </c:extLst>
        </c:ser>
        <c:ser>
          <c:idx val="2"/>
          <c:order val="2"/>
          <c:tx>
            <c:strRef>
              <c:f>'[Charts and tables - 2022v2 KN.xlsx]equity group (all)'!$A$8</c:f>
              <c:strCache>
                <c:ptCount val="1"/>
                <c:pt idx="0">
                  <c:v>First Address Low SES by SA1 (SEIFA21)</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numRef>
              <c:f>'[Charts and tables - 2022v2 KN.xlsx]equity group (all)'!$B$5:$L$5</c:f>
              <c:numCache>
                <c:formatCode>General</c:formatCode>
                <c:ptCount val="7"/>
                <c:pt idx="0">
                  <c:v>2016</c:v>
                </c:pt>
                <c:pt idx="1">
                  <c:v>2017</c:v>
                </c:pt>
                <c:pt idx="2">
                  <c:v>2018</c:v>
                </c:pt>
                <c:pt idx="3">
                  <c:v>2019</c:v>
                </c:pt>
                <c:pt idx="4">
                  <c:v>2020</c:v>
                </c:pt>
                <c:pt idx="5">
                  <c:v>2021</c:v>
                </c:pt>
                <c:pt idx="6">
                  <c:v>2022</c:v>
                </c:pt>
              </c:numCache>
            </c:numRef>
          </c:cat>
          <c:val>
            <c:numRef>
              <c:f>'[Charts and tables - 2022v2 KN.xlsx]equity group (all)'!$B$8:$L$8</c:f>
              <c:numCache>
                <c:formatCode>General</c:formatCode>
                <c:ptCount val="7"/>
                <c:pt idx="5" formatCode="#,##0">
                  <c:v>75876</c:v>
                </c:pt>
                <c:pt idx="6" formatCode="#,##0">
                  <c:v>67018</c:v>
                </c:pt>
              </c:numCache>
            </c:numRef>
          </c:val>
          <c:smooth val="0"/>
          <c:extLst>
            <c:ext xmlns:c16="http://schemas.microsoft.com/office/drawing/2014/chart" uri="{C3380CC4-5D6E-409C-BE32-E72D297353CC}">
              <c16:uniqueId val="{00000002-6CFE-4A3D-BA0C-8B293E8B2E4F}"/>
            </c:ext>
          </c:extLst>
        </c:ser>
        <c:ser>
          <c:idx val="3"/>
          <c:order val="3"/>
          <c:tx>
            <c:strRef>
              <c:f>'[Charts and tables - 2022v2 KN.xlsx]equity group (all)'!$A$9</c:f>
              <c:strCache>
                <c:ptCount val="1"/>
                <c:pt idx="0">
                  <c:v>First Address Regional and Remote (ASGS16)</c:v>
                </c:pt>
              </c:strCache>
            </c:strRef>
          </c:tx>
          <c:spPr>
            <a:ln w="22225" cap="rnd">
              <a:solidFill>
                <a:schemeClr val="accent4"/>
              </a:solidFill>
              <a:prstDash val="sysDash"/>
              <a:round/>
            </a:ln>
            <a:effectLst/>
          </c:spPr>
          <c:marker>
            <c:symbol val="x"/>
            <c:size val="6"/>
            <c:spPr>
              <a:noFill/>
              <a:ln w="9525">
                <a:solidFill>
                  <a:schemeClr val="accent4"/>
                </a:solidFill>
                <a:prstDash val="sysDash"/>
                <a:round/>
              </a:ln>
              <a:effectLst/>
            </c:spPr>
          </c:marker>
          <c:cat>
            <c:numRef>
              <c:f>'[Charts and tables - 2022v2 KN.xlsx]equity group (all)'!$B$5:$L$5</c:f>
              <c:numCache>
                <c:formatCode>General</c:formatCode>
                <c:ptCount val="7"/>
                <c:pt idx="0">
                  <c:v>2016</c:v>
                </c:pt>
                <c:pt idx="1">
                  <c:v>2017</c:v>
                </c:pt>
                <c:pt idx="2">
                  <c:v>2018</c:v>
                </c:pt>
                <c:pt idx="3">
                  <c:v>2019</c:v>
                </c:pt>
                <c:pt idx="4">
                  <c:v>2020</c:v>
                </c:pt>
                <c:pt idx="5">
                  <c:v>2021</c:v>
                </c:pt>
                <c:pt idx="6">
                  <c:v>2022</c:v>
                </c:pt>
              </c:numCache>
            </c:numRef>
          </c:cat>
          <c:val>
            <c:numRef>
              <c:f>'[Charts and tables - 2022v2 KN.xlsx]equity group (all)'!$B$9:$L$9</c:f>
              <c:numCache>
                <c:formatCode>#,##0</c:formatCode>
                <c:ptCount val="7"/>
                <c:pt idx="0">
                  <c:v>91391</c:v>
                </c:pt>
                <c:pt idx="1">
                  <c:v>91119</c:v>
                </c:pt>
                <c:pt idx="2">
                  <c:v>87939</c:v>
                </c:pt>
                <c:pt idx="3">
                  <c:v>88477</c:v>
                </c:pt>
                <c:pt idx="4">
                  <c:v>92526</c:v>
                </c:pt>
                <c:pt idx="5">
                  <c:v>89472</c:v>
                </c:pt>
              </c:numCache>
            </c:numRef>
          </c:val>
          <c:smooth val="0"/>
          <c:extLst>
            <c:ext xmlns:c16="http://schemas.microsoft.com/office/drawing/2014/chart" uri="{C3380CC4-5D6E-409C-BE32-E72D297353CC}">
              <c16:uniqueId val="{00000003-6CFE-4A3D-BA0C-8B293E8B2E4F}"/>
            </c:ext>
          </c:extLst>
        </c:ser>
        <c:ser>
          <c:idx val="4"/>
          <c:order val="4"/>
          <c:tx>
            <c:strRef>
              <c:f>'[Charts and tables - 2022v2 KN.xlsx]equity group (all)'!$A$10</c:f>
              <c:strCache>
                <c:ptCount val="1"/>
                <c:pt idx="0">
                  <c:v>First Address Regional and Remote (ASGS21)</c:v>
                </c:pt>
              </c:strCache>
            </c:strRef>
          </c:tx>
          <c:spPr>
            <a:ln w="22225" cap="rnd">
              <a:solidFill>
                <a:schemeClr val="accent4"/>
              </a:solidFill>
              <a:round/>
            </a:ln>
            <a:effectLst/>
          </c:spPr>
          <c:marker>
            <c:symbol val="star"/>
            <c:size val="6"/>
            <c:spPr>
              <a:solidFill>
                <a:schemeClr val="accent4"/>
              </a:solidFill>
              <a:ln w="9525">
                <a:solidFill>
                  <a:schemeClr val="accent4"/>
                </a:solidFill>
                <a:round/>
              </a:ln>
              <a:effectLst/>
            </c:spPr>
          </c:marker>
          <c:cat>
            <c:numRef>
              <c:f>'[Charts and tables - 2022v2 KN.xlsx]equity group (all)'!$B$5:$L$5</c:f>
              <c:numCache>
                <c:formatCode>General</c:formatCode>
                <c:ptCount val="7"/>
                <c:pt idx="0">
                  <c:v>2016</c:v>
                </c:pt>
                <c:pt idx="1">
                  <c:v>2017</c:v>
                </c:pt>
                <c:pt idx="2">
                  <c:v>2018</c:v>
                </c:pt>
                <c:pt idx="3">
                  <c:v>2019</c:v>
                </c:pt>
                <c:pt idx="4">
                  <c:v>2020</c:v>
                </c:pt>
                <c:pt idx="5">
                  <c:v>2021</c:v>
                </c:pt>
                <c:pt idx="6">
                  <c:v>2022</c:v>
                </c:pt>
              </c:numCache>
            </c:numRef>
          </c:cat>
          <c:val>
            <c:numRef>
              <c:f>'[Charts and tables - 2022v2 KN.xlsx]equity group (all)'!$B$10:$L$10</c:f>
              <c:numCache>
                <c:formatCode>General</c:formatCode>
                <c:ptCount val="7"/>
                <c:pt idx="5" formatCode="#,##0">
                  <c:v>87351</c:v>
                </c:pt>
                <c:pt idx="6" formatCode="#,##0">
                  <c:v>80285</c:v>
                </c:pt>
              </c:numCache>
            </c:numRef>
          </c:val>
          <c:smooth val="0"/>
          <c:extLst>
            <c:ext xmlns:c16="http://schemas.microsoft.com/office/drawing/2014/chart" uri="{C3380CC4-5D6E-409C-BE32-E72D297353CC}">
              <c16:uniqueId val="{00000004-6CFE-4A3D-BA0C-8B293E8B2E4F}"/>
            </c:ext>
          </c:extLst>
        </c:ser>
        <c:ser>
          <c:idx val="5"/>
          <c:order val="5"/>
          <c:tx>
            <c:strRef>
              <c:f>'[Charts and tables - 2022v2 KN.xlsx]equity group (all)'!$A$11</c:f>
              <c:strCache>
                <c:ptCount val="1"/>
                <c:pt idx="0">
                  <c:v>Non English speaking background</c:v>
                </c:pt>
              </c:strCache>
            </c:strRef>
          </c:tx>
          <c:spPr>
            <a:ln w="22225" cap="rnd">
              <a:solidFill>
                <a:schemeClr val="accent6"/>
              </a:solidFill>
              <a:round/>
            </a:ln>
            <a:effectLst/>
          </c:spPr>
          <c:marker>
            <c:symbol val="circle"/>
            <c:size val="6"/>
            <c:spPr>
              <a:solidFill>
                <a:schemeClr val="accent6"/>
              </a:solidFill>
              <a:ln w="9525">
                <a:solidFill>
                  <a:schemeClr val="accent6"/>
                </a:solidFill>
                <a:round/>
              </a:ln>
              <a:effectLst/>
            </c:spPr>
          </c:marker>
          <c:cat>
            <c:numRef>
              <c:f>'[Charts and tables - 2022v2 KN.xlsx]equity group (all)'!$B$5:$L$5</c:f>
              <c:numCache>
                <c:formatCode>General</c:formatCode>
                <c:ptCount val="7"/>
                <c:pt idx="0">
                  <c:v>2016</c:v>
                </c:pt>
                <c:pt idx="1">
                  <c:v>2017</c:v>
                </c:pt>
                <c:pt idx="2">
                  <c:v>2018</c:v>
                </c:pt>
                <c:pt idx="3">
                  <c:v>2019</c:v>
                </c:pt>
                <c:pt idx="4">
                  <c:v>2020</c:v>
                </c:pt>
                <c:pt idx="5">
                  <c:v>2021</c:v>
                </c:pt>
                <c:pt idx="6">
                  <c:v>2022</c:v>
                </c:pt>
              </c:numCache>
            </c:numRef>
          </c:cat>
          <c:val>
            <c:numRef>
              <c:f>'[Charts and tables - 2022v2 KN.xlsx]equity group (all)'!$B$11:$L$11</c:f>
              <c:numCache>
                <c:formatCode>#,##0</c:formatCode>
                <c:ptCount val="7"/>
                <c:pt idx="0">
                  <c:v>17671</c:v>
                </c:pt>
                <c:pt idx="1">
                  <c:v>17586</c:v>
                </c:pt>
                <c:pt idx="2">
                  <c:v>16085</c:v>
                </c:pt>
                <c:pt idx="3">
                  <c:v>15283</c:v>
                </c:pt>
                <c:pt idx="4">
                  <c:v>16918</c:v>
                </c:pt>
                <c:pt idx="5">
                  <c:v>16219</c:v>
                </c:pt>
                <c:pt idx="6">
                  <c:v>14112</c:v>
                </c:pt>
              </c:numCache>
            </c:numRef>
          </c:val>
          <c:smooth val="0"/>
          <c:extLst>
            <c:ext xmlns:c16="http://schemas.microsoft.com/office/drawing/2014/chart" uri="{C3380CC4-5D6E-409C-BE32-E72D297353CC}">
              <c16:uniqueId val="{00000005-6CFE-4A3D-BA0C-8B293E8B2E4F}"/>
            </c:ext>
          </c:extLst>
        </c:ser>
        <c:ser>
          <c:idx val="6"/>
          <c:order val="6"/>
          <c:tx>
            <c:strRef>
              <c:f>'[Charts and tables - 2022v2 KN.xlsx]equity group (all)'!$A$12</c:f>
              <c:strCache>
                <c:ptCount val="1"/>
                <c:pt idx="0">
                  <c:v>Students with a disability</c:v>
                </c:pt>
              </c:strCache>
            </c:strRef>
          </c:tx>
          <c:spPr>
            <a:ln w="22225" cap="rnd">
              <a:solidFill>
                <a:schemeClr val="accent1">
                  <a:lumMod val="60000"/>
                </a:schemeClr>
              </a:solidFill>
              <a:round/>
            </a:ln>
            <a:effectLst/>
          </c:spPr>
          <c:marker>
            <c:symbol val="plus"/>
            <c:size val="6"/>
            <c:spPr>
              <a:noFill/>
              <a:ln w="9525">
                <a:solidFill>
                  <a:schemeClr val="accent1">
                    <a:lumMod val="60000"/>
                  </a:schemeClr>
                </a:solidFill>
                <a:round/>
              </a:ln>
              <a:effectLst/>
            </c:spPr>
          </c:marker>
          <c:cat>
            <c:numRef>
              <c:f>'[Charts and tables - 2022v2 KN.xlsx]equity group (all)'!$B$5:$L$5</c:f>
              <c:numCache>
                <c:formatCode>General</c:formatCode>
                <c:ptCount val="7"/>
                <c:pt idx="0">
                  <c:v>2016</c:v>
                </c:pt>
                <c:pt idx="1">
                  <c:v>2017</c:v>
                </c:pt>
                <c:pt idx="2">
                  <c:v>2018</c:v>
                </c:pt>
                <c:pt idx="3">
                  <c:v>2019</c:v>
                </c:pt>
                <c:pt idx="4">
                  <c:v>2020</c:v>
                </c:pt>
                <c:pt idx="5">
                  <c:v>2021</c:v>
                </c:pt>
                <c:pt idx="6">
                  <c:v>2022</c:v>
                </c:pt>
              </c:numCache>
            </c:numRef>
          </c:cat>
          <c:val>
            <c:numRef>
              <c:f>'[Charts and tables - 2022v2 KN.xlsx]equity group (all)'!$B$12:$L$12</c:f>
              <c:numCache>
                <c:formatCode>#,##0</c:formatCode>
                <c:ptCount val="7"/>
                <c:pt idx="0">
                  <c:v>22569</c:v>
                </c:pt>
                <c:pt idx="1">
                  <c:v>24636</c:v>
                </c:pt>
                <c:pt idx="2">
                  <c:v>25958</c:v>
                </c:pt>
                <c:pt idx="3">
                  <c:v>26786</c:v>
                </c:pt>
                <c:pt idx="4">
                  <c:v>29812</c:v>
                </c:pt>
                <c:pt idx="5">
                  <c:v>39829</c:v>
                </c:pt>
                <c:pt idx="6">
                  <c:v>40381</c:v>
                </c:pt>
              </c:numCache>
            </c:numRef>
          </c:val>
          <c:smooth val="0"/>
          <c:extLst>
            <c:ext xmlns:c16="http://schemas.microsoft.com/office/drawing/2014/chart" uri="{C3380CC4-5D6E-409C-BE32-E72D297353CC}">
              <c16:uniqueId val="{00000006-6CFE-4A3D-BA0C-8B293E8B2E4F}"/>
            </c:ext>
          </c:extLst>
        </c:ser>
        <c:ser>
          <c:idx val="7"/>
          <c:order val="7"/>
          <c:tx>
            <c:strRef>
              <c:f>'[Charts and tables - 2022v2 KN.xlsx]equity group (all)'!$A$13</c:f>
              <c:strCache>
                <c:ptCount val="1"/>
                <c:pt idx="0">
                  <c:v>Women in Non-Traditional Area</c:v>
                </c:pt>
              </c:strCache>
            </c:strRef>
          </c:tx>
          <c:spPr>
            <a:ln w="22225" cap="rnd">
              <a:solidFill>
                <a:schemeClr val="accent5"/>
              </a:solidFill>
              <a:round/>
            </a:ln>
            <a:effectLst/>
          </c:spPr>
          <c:marker>
            <c:symbol val="dot"/>
            <c:size val="6"/>
            <c:spPr>
              <a:solidFill>
                <a:schemeClr val="accent5"/>
              </a:solidFill>
              <a:ln w="9525">
                <a:solidFill>
                  <a:schemeClr val="accent5"/>
                </a:solidFill>
                <a:round/>
              </a:ln>
              <a:effectLst/>
            </c:spPr>
          </c:marker>
          <c:cat>
            <c:numRef>
              <c:f>'[Charts and tables - 2022v2 KN.xlsx]equity group (all)'!$B$5:$L$5</c:f>
              <c:numCache>
                <c:formatCode>General</c:formatCode>
                <c:ptCount val="7"/>
                <c:pt idx="0">
                  <c:v>2016</c:v>
                </c:pt>
                <c:pt idx="1">
                  <c:v>2017</c:v>
                </c:pt>
                <c:pt idx="2">
                  <c:v>2018</c:v>
                </c:pt>
                <c:pt idx="3">
                  <c:v>2019</c:v>
                </c:pt>
                <c:pt idx="4">
                  <c:v>2020</c:v>
                </c:pt>
                <c:pt idx="5">
                  <c:v>2021</c:v>
                </c:pt>
                <c:pt idx="6">
                  <c:v>2022</c:v>
                </c:pt>
              </c:numCache>
            </c:numRef>
          </c:cat>
          <c:val>
            <c:numRef>
              <c:f>'[Charts and tables - 2022v2 KN.xlsx]equity group (all)'!$B$13:$L$13</c:f>
              <c:numCache>
                <c:formatCode>#,##0</c:formatCode>
                <c:ptCount val="7"/>
                <c:pt idx="0">
                  <c:v>59950</c:v>
                </c:pt>
                <c:pt idx="1">
                  <c:v>60593</c:v>
                </c:pt>
                <c:pt idx="2">
                  <c:v>61165</c:v>
                </c:pt>
                <c:pt idx="3">
                  <c:v>62093</c:v>
                </c:pt>
                <c:pt idx="4">
                  <c:v>69075</c:v>
                </c:pt>
                <c:pt idx="5">
                  <c:v>66643</c:v>
                </c:pt>
                <c:pt idx="6">
                  <c:v>61028</c:v>
                </c:pt>
              </c:numCache>
            </c:numRef>
          </c:val>
          <c:smooth val="0"/>
          <c:extLst>
            <c:ext xmlns:c16="http://schemas.microsoft.com/office/drawing/2014/chart" uri="{C3380CC4-5D6E-409C-BE32-E72D297353CC}">
              <c16:uniqueId val="{00000007-6CFE-4A3D-BA0C-8B293E8B2E4F}"/>
            </c:ext>
          </c:extLst>
        </c:ser>
        <c:dLbls>
          <c:showLegendKey val="0"/>
          <c:showVal val="0"/>
          <c:showCatName val="0"/>
          <c:showSerName val="0"/>
          <c:showPercent val="0"/>
          <c:showBubbleSize val="0"/>
        </c:dLbls>
        <c:marker val="1"/>
        <c:smooth val="0"/>
        <c:axId val="1089736976"/>
        <c:axId val="919764320"/>
      </c:lineChart>
      <c:catAx>
        <c:axId val="10897369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919764320"/>
        <c:crosses val="autoZero"/>
        <c:auto val="1"/>
        <c:lblAlgn val="ctr"/>
        <c:lblOffset val="100"/>
        <c:noMultiLvlLbl val="0"/>
      </c:catAx>
      <c:valAx>
        <c:axId val="919764320"/>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AU"/>
                  <a:t>Number of</a:t>
                </a:r>
                <a:r>
                  <a:rPr lang="en-AU" baseline="0"/>
                  <a:t> students</a:t>
                </a:r>
                <a:endParaRPr lang="en-AU"/>
              </a:p>
            </c:rich>
          </c:tx>
          <c:layout>
            <c:manualLayout>
              <c:xMode val="edge"/>
              <c:yMode val="edge"/>
              <c:x val="2.7253668763102725E-2"/>
              <c:y val="0.10091286089238843"/>
            </c:manualLayout>
          </c:layout>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9736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42772057338986"/>
          <c:y val="3.4920634920634921E-2"/>
          <c:w val="0.87306800592233658"/>
          <c:h val="0.73542157230346206"/>
        </c:manualLayout>
      </c:layout>
      <c:lineChart>
        <c:grouping val="standard"/>
        <c:varyColors val="0"/>
        <c:ser>
          <c:idx val="0"/>
          <c:order val="0"/>
          <c:tx>
            <c:strRef>
              <c:f>'[Charts and tables - 2022v2 KN.xlsx]equity group (all)'!$A$40</c:f>
              <c:strCache>
                <c:ptCount val="1"/>
                <c:pt idx="0">
                  <c:v>First Nations</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'[Charts and tables - 2022v2 KN.xlsx]equity group (all)'!$F$28:$L$28</c:f>
              <c:numCache>
                <c:formatCode>General</c:formatCode>
                <c:ptCount val="7"/>
                <c:pt idx="0">
                  <c:v>2016</c:v>
                </c:pt>
                <c:pt idx="1">
                  <c:v>2017</c:v>
                </c:pt>
                <c:pt idx="2">
                  <c:v>2018</c:v>
                </c:pt>
                <c:pt idx="3">
                  <c:v>2019</c:v>
                </c:pt>
                <c:pt idx="4">
                  <c:v>2020</c:v>
                </c:pt>
                <c:pt idx="5">
                  <c:v>2021</c:v>
                </c:pt>
                <c:pt idx="6">
                  <c:v>2022</c:v>
                </c:pt>
              </c:numCache>
            </c:numRef>
          </c:cat>
          <c:val>
            <c:numRef>
              <c:f>'[Charts and tables - 2022v2 KN.xlsx]equity group (all)'!$B$40:$L$40</c:f>
              <c:numCache>
                <c:formatCode>0.00%</c:formatCode>
                <c:ptCount val="7"/>
                <c:pt idx="0">
                  <c:v>1.6867657120330833E-2</c:v>
                </c:pt>
                <c:pt idx="1">
                  <c:v>1.7954207763699218E-2</c:v>
                </c:pt>
                <c:pt idx="2">
                  <c:v>1.8596429037855185E-2</c:v>
                </c:pt>
                <c:pt idx="3">
                  <c:v>1.9533056584849412E-2</c:v>
                </c:pt>
                <c:pt idx="4">
                  <c:v>2.0362789729761938E-2</c:v>
                </c:pt>
                <c:pt idx="5">
                  <c:v>2.0776732694724978E-2</c:v>
                </c:pt>
                <c:pt idx="6">
                  <c:v>2.1246845964250759E-2</c:v>
                </c:pt>
              </c:numCache>
            </c:numRef>
          </c:val>
          <c:smooth val="0"/>
          <c:extLst>
            <c:ext xmlns:c16="http://schemas.microsoft.com/office/drawing/2014/chart" uri="{C3380CC4-5D6E-409C-BE32-E72D297353CC}">
              <c16:uniqueId val="{00000000-5A62-4E29-8593-2DC1ED8EAC4C}"/>
            </c:ext>
          </c:extLst>
        </c:ser>
        <c:ser>
          <c:idx val="1"/>
          <c:order val="1"/>
          <c:tx>
            <c:strRef>
              <c:f>'[Charts and tables - 2022v2 KN.xlsx]equity group (all)'!$A$41</c:f>
              <c:strCache>
                <c:ptCount val="1"/>
                <c:pt idx="0">
                  <c:v>First Address Low SES by SA1 (SEIFA16)</c:v>
                </c:pt>
              </c:strCache>
            </c:strRef>
          </c:tx>
          <c:spPr>
            <a:ln w="22225" cap="rnd">
              <a:solidFill>
                <a:schemeClr val="accent3"/>
              </a:solidFill>
              <a:prstDash val="sysDash"/>
              <a:round/>
            </a:ln>
            <a:effectLst/>
          </c:spPr>
          <c:marker>
            <c:symbol val="square"/>
            <c:size val="6"/>
            <c:spPr>
              <a:solidFill>
                <a:schemeClr val="accent3"/>
              </a:solidFill>
              <a:ln w="9525">
                <a:solidFill>
                  <a:schemeClr val="accent3"/>
                </a:solidFill>
                <a:prstDash val="sysDash"/>
                <a:round/>
              </a:ln>
              <a:effectLst/>
            </c:spPr>
          </c:marker>
          <c:cat>
            <c:numRef>
              <c:f>'[Charts and tables - 2022v2 KN.xlsx]equity group (all)'!$F$28:$L$28</c:f>
              <c:numCache>
                <c:formatCode>General</c:formatCode>
                <c:ptCount val="7"/>
                <c:pt idx="0">
                  <c:v>2016</c:v>
                </c:pt>
                <c:pt idx="1">
                  <c:v>2017</c:v>
                </c:pt>
                <c:pt idx="2">
                  <c:v>2018</c:v>
                </c:pt>
                <c:pt idx="3">
                  <c:v>2019</c:v>
                </c:pt>
                <c:pt idx="4">
                  <c:v>2020</c:v>
                </c:pt>
                <c:pt idx="5">
                  <c:v>2021</c:v>
                </c:pt>
                <c:pt idx="6">
                  <c:v>2022</c:v>
                </c:pt>
              </c:numCache>
            </c:numRef>
          </c:cat>
          <c:val>
            <c:numRef>
              <c:f>'[Charts and tables - 2022v2 KN.xlsx]equity group (all)'!$B$41:$L$41</c:f>
              <c:numCache>
                <c:formatCode>0.00%</c:formatCode>
                <c:ptCount val="7"/>
                <c:pt idx="0">
                  <c:v>0.17095465253573952</c:v>
                </c:pt>
                <c:pt idx="1">
                  <c:v>0.17013984813075389</c:v>
                </c:pt>
                <c:pt idx="2">
                  <c:v>0.16930353178230936</c:v>
                </c:pt>
                <c:pt idx="3">
                  <c:v>0.16839030823094567</c:v>
                </c:pt>
                <c:pt idx="4">
                  <c:v>0.16574103141705346</c:v>
                </c:pt>
                <c:pt idx="5">
                  <c:v>0.1603320185514282</c:v>
                </c:pt>
              </c:numCache>
            </c:numRef>
          </c:val>
          <c:smooth val="0"/>
          <c:extLst>
            <c:ext xmlns:c16="http://schemas.microsoft.com/office/drawing/2014/chart" uri="{C3380CC4-5D6E-409C-BE32-E72D297353CC}">
              <c16:uniqueId val="{00000001-5A62-4E29-8593-2DC1ED8EAC4C}"/>
            </c:ext>
          </c:extLst>
        </c:ser>
        <c:ser>
          <c:idx val="2"/>
          <c:order val="2"/>
          <c:tx>
            <c:strRef>
              <c:f>'[Charts and tables - 2022v2 KN.xlsx]equity group (all)'!$A$42</c:f>
              <c:strCache>
                <c:ptCount val="1"/>
                <c:pt idx="0">
                  <c:v>First Address Low SES by SA1 (SEIFA21)</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numRef>
              <c:f>'[Charts and tables - 2022v2 KN.xlsx]equity group (all)'!$F$28:$L$28</c:f>
              <c:numCache>
                <c:formatCode>General</c:formatCode>
                <c:ptCount val="7"/>
                <c:pt idx="0">
                  <c:v>2016</c:v>
                </c:pt>
                <c:pt idx="1">
                  <c:v>2017</c:v>
                </c:pt>
                <c:pt idx="2">
                  <c:v>2018</c:v>
                </c:pt>
                <c:pt idx="3">
                  <c:v>2019</c:v>
                </c:pt>
                <c:pt idx="4">
                  <c:v>2020</c:v>
                </c:pt>
                <c:pt idx="5">
                  <c:v>2021</c:v>
                </c:pt>
                <c:pt idx="6">
                  <c:v>2022</c:v>
                </c:pt>
              </c:numCache>
            </c:numRef>
          </c:cat>
          <c:val>
            <c:numRef>
              <c:f>'[Charts and tables - 2022v2 KN.xlsx]equity group (all)'!$B$42:$L$42</c:f>
              <c:numCache>
                <c:formatCode>General</c:formatCode>
                <c:ptCount val="7"/>
                <c:pt idx="5" formatCode="0.00%">
                  <c:v>0.16819383641801397</c:v>
                </c:pt>
                <c:pt idx="6" formatCode="0.00%">
                  <c:v>0.16021359253467954</c:v>
                </c:pt>
              </c:numCache>
            </c:numRef>
          </c:val>
          <c:smooth val="0"/>
          <c:extLst>
            <c:ext xmlns:c16="http://schemas.microsoft.com/office/drawing/2014/chart" uri="{C3380CC4-5D6E-409C-BE32-E72D297353CC}">
              <c16:uniqueId val="{00000002-5A62-4E29-8593-2DC1ED8EAC4C}"/>
            </c:ext>
          </c:extLst>
        </c:ser>
        <c:ser>
          <c:idx val="3"/>
          <c:order val="3"/>
          <c:tx>
            <c:strRef>
              <c:f>'[Charts and tables - 2022v2 KN.xlsx]equity group (all)'!$A$43</c:f>
              <c:strCache>
                <c:ptCount val="1"/>
                <c:pt idx="0">
                  <c:v>First Address Regional and Remote (ASGS16)</c:v>
                </c:pt>
              </c:strCache>
            </c:strRef>
          </c:tx>
          <c:spPr>
            <a:ln w="22225" cap="rnd">
              <a:solidFill>
                <a:schemeClr val="accent4"/>
              </a:solidFill>
              <a:prstDash val="sysDash"/>
              <a:round/>
            </a:ln>
            <a:effectLst/>
          </c:spPr>
          <c:marker>
            <c:symbol val="x"/>
            <c:size val="6"/>
            <c:spPr>
              <a:noFill/>
              <a:ln w="9525">
                <a:solidFill>
                  <a:schemeClr val="accent4"/>
                </a:solidFill>
                <a:prstDash val="sysDash"/>
                <a:round/>
              </a:ln>
              <a:effectLst/>
            </c:spPr>
          </c:marker>
          <c:cat>
            <c:numRef>
              <c:f>'[Charts and tables - 2022v2 KN.xlsx]equity group (all)'!$F$28:$L$28</c:f>
              <c:numCache>
                <c:formatCode>General</c:formatCode>
                <c:ptCount val="7"/>
                <c:pt idx="0">
                  <c:v>2016</c:v>
                </c:pt>
                <c:pt idx="1">
                  <c:v>2017</c:v>
                </c:pt>
                <c:pt idx="2">
                  <c:v>2018</c:v>
                </c:pt>
                <c:pt idx="3">
                  <c:v>2019</c:v>
                </c:pt>
                <c:pt idx="4">
                  <c:v>2020</c:v>
                </c:pt>
                <c:pt idx="5">
                  <c:v>2021</c:v>
                </c:pt>
                <c:pt idx="6">
                  <c:v>2022</c:v>
                </c:pt>
              </c:numCache>
            </c:numRef>
          </c:cat>
          <c:val>
            <c:numRef>
              <c:f>'[Charts and tables - 2022v2 KN.xlsx]equity group (all)'!$B$43:$L$43</c:f>
              <c:numCache>
                <c:formatCode>0.00%</c:formatCode>
                <c:ptCount val="7"/>
                <c:pt idx="0">
                  <c:v>0.21379281589426063</c:v>
                </c:pt>
                <c:pt idx="1">
                  <c:v>0.21155389715599823</c:v>
                </c:pt>
                <c:pt idx="2">
                  <c:v>0.20995914102875055</c:v>
                </c:pt>
                <c:pt idx="3">
                  <c:v>0.2106446010828481</c:v>
                </c:pt>
                <c:pt idx="4">
                  <c:v>0.2017194137949741</c:v>
                </c:pt>
                <c:pt idx="5">
                  <c:v>0.19707771661393092</c:v>
                </c:pt>
              </c:numCache>
            </c:numRef>
          </c:val>
          <c:smooth val="0"/>
          <c:extLst>
            <c:ext xmlns:c16="http://schemas.microsoft.com/office/drawing/2014/chart" uri="{C3380CC4-5D6E-409C-BE32-E72D297353CC}">
              <c16:uniqueId val="{00000003-5A62-4E29-8593-2DC1ED8EAC4C}"/>
            </c:ext>
          </c:extLst>
        </c:ser>
        <c:ser>
          <c:idx val="4"/>
          <c:order val="4"/>
          <c:tx>
            <c:strRef>
              <c:f>'[Charts and tables - 2022v2 KN.xlsx]equity group (all)'!$A$44</c:f>
              <c:strCache>
                <c:ptCount val="1"/>
                <c:pt idx="0">
                  <c:v>First Address Regional and Remote (ASGS21)</c:v>
                </c:pt>
              </c:strCache>
            </c:strRef>
          </c:tx>
          <c:spPr>
            <a:ln w="22225" cap="rnd">
              <a:solidFill>
                <a:schemeClr val="accent4"/>
              </a:solidFill>
              <a:round/>
            </a:ln>
            <a:effectLst/>
          </c:spPr>
          <c:marker>
            <c:symbol val="star"/>
            <c:size val="6"/>
            <c:spPr>
              <a:noFill/>
              <a:ln w="9525">
                <a:solidFill>
                  <a:schemeClr val="accent4"/>
                </a:solidFill>
                <a:round/>
              </a:ln>
              <a:effectLst/>
            </c:spPr>
          </c:marker>
          <c:cat>
            <c:numRef>
              <c:f>'[Charts and tables - 2022v2 KN.xlsx]equity group (all)'!$F$28:$L$28</c:f>
              <c:numCache>
                <c:formatCode>General</c:formatCode>
                <c:ptCount val="7"/>
                <c:pt idx="0">
                  <c:v>2016</c:v>
                </c:pt>
                <c:pt idx="1">
                  <c:v>2017</c:v>
                </c:pt>
                <c:pt idx="2">
                  <c:v>2018</c:v>
                </c:pt>
                <c:pt idx="3">
                  <c:v>2019</c:v>
                </c:pt>
                <c:pt idx="4">
                  <c:v>2020</c:v>
                </c:pt>
                <c:pt idx="5">
                  <c:v>2021</c:v>
                </c:pt>
                <c:pt idx="6">
                  <c:v>2022</c:v>
                </c:pt>
              </c:numCache>
            </c:numRef>
          </c:cat>
          <c:val>
            <c:numRef>
              <c:f>'[Charts and tables - 2022v2 KN.xlsx]equity group (all)'!$B$44:$L$44</c:f>
              <c:numCache>
                <c:formatCode>General</c:formatCode>
                <c:ptCount val="7"/>
                <c:pt idx="5" formatCode="0.00%">
                  <c:v>0.19173594555936024</c:v>
                </c:pt>
                <c:pt idx="6" formatCode="0.00%">
                  <c:v>0.19205690195780972</c:v>
                </c:pt>
              </c:numCache>
            </c:numRef>
          </c:val>
          <c:smooth val="0"/>
          <c:extLst>
            <c:ext xmlns:c16="http://schemas.microsoft.com/office/drawing/2014/chart" uri="{C3380CC4-5D6E-409C-BE32-E72D297353CC}">
              <c16:uniqueId val="{00000004-5A62-4E29-8593-2DC1ED8EAC4C}"/>
            </c:ext>
          </c:extLst>
        </c:ser>
        <c:ser>
          <c:idx val="5"/>
          <c:order val="5"/>
          <c:tx>
            <c:strRef>
              <c:f>'[Charts and tables - 2022v2 KN.xlsx]equity group (all)'!$A$45</c:f>
              <c:strCache>
                <c:ptCount val="1"/>
                <c:pt idx="0">
                  <c:v>Non English speaking background</c:v>
                </c:pt>
              </c:strCache>
            </c:strRef>
          </c:tx>
          <c:spPr>
            <a:ln w="22225" cap="rnd">
              <a:solidFill>
                <a:schemeClr val="accent6"/>
              </a:solidFill>
              <a:round/>
            </a:ln>
            <a:effectLst/>
          </c:spPr>
          <c:marker>
            <c:symbol val="circle"/>
            <c:size val="6"/>
            <c:spPr>
              <a:solidFill>
                <a:schemeClr val="accent6"/>
              </a:solidFill>
              <a:ln w="9525">
                <a:solidFill>
                  <a:schemeClr val="accent6"/>
                </a:solidFill>
                <a:round/>
              </a:ln>
              <a:effectLst/>
            </c:spPr>
          </c:marker>
          <c:cat>
            <c:numRef>
              <c:f>'[Charts and tables - 2022v2 KN.xlsx]equity group (all)'!$F$28:$L$28</c:f>
              <c:numCache>
                <c:formatCode>General</c:formatCode>
                <c:ptCount val="7"/>
                <c:pt idx="0">
                  <c:v>2016</c:v>
                </c:pt>
                <c:pt idx="1">
                  <c:v>2017</c:v>
                </c:pt>
                <c:pt idx="2">
                  <c:v>2018</c:v>
                </c:pt>
                <c:pt idx="3">
                  <c:v>2019</c:v>
                </c:pt>
                <c:pt idx="4">
                  <c:v>2020</c:v>
                </c:pt>
                <c:pt idx="5">
                  <c:v>2021</c:v>
                </c:pt>
                <c:pt idx="6">
                  <c:v>2022</c:v>
                </c:pt>
              </c:numCache>
            </c:numRef>
          </c:cat>
          <c:val>
            <c:numRef>
              <c:f>'[Charts and tables - 2022v2 KN.xlsx]equity group (all)'!$B$45:$L$45</c:f>
              <c:numCache>
                <c:formatCode>0.00%</c:formatCode>
                <c:ptCount val="7"/>
                <c:pt idx="0">
                  <c:v>3.8372972327566111E-2</c:v>
                </c:pt>
                <c:pt idx="1">
                  <c:v>3.7870246619527967E-2</c:v>
                </c:pt>
                <c:pt idx="2">
                  <c:v>3.5445623985522118E-2</c:v>
                </c:pt>
                <c:pt idx="3">
                  <c:v>3.3584078603998924E-2</c:v>
                </c:pt>
                <c:pt idx="4">
                  <c:v>3.4012982312288734E-2</c:v>
                </c:pt>
                <c:pt idx="5">
                  <c:v>3.3337956742230508E-2</c:v>
                </c:pt>
                <c:pt idx="6">
                  <c:v>3.1810409665948662E-2</c:v>
                </c:pt>
              </c:numCache>
            </c:numRef>
          </c:val>
          <c:smooth val="0"/>
          <c:extLst>
            <c:ext xmlns:c16="http://schemas.microsoft.com/office/drawing/2014/chart" uri="{C3380CC4-5D6E-409C-BE32-E72D297353CC}">
              <c16:uniqueId val="{00000005-5A62-4E29-8593-2DC1ED8EAC4C}"/>
            </c:ext>
          </c:extLst>
        </c:ser>
        <c:ser>
          <c:idx val="6"/>
          <c:order val="6"/>
          <c:tx>
            <c:strRef>
              <c:f>'[Charts and tables - 2022v2 KN.xlsx]equity group (all)'!$A$46</c:f>
              <c:strCache>
                <c:ptCount val="1"/>
                <c:pt idx="0">
                  <c:v>Students with a disability</c:v>
                </c:pt>
              </c:strCache>
            </c:strRef>
          </c:tx>
          <c:spPr>
            <a:ln w="22225" cap="rnd">
              <a:solidFill>
                <a:schemeClr val="accent1">
                  <a:lumMod val="60000"/>
                </a:schemeClr>
              </a:solidFill>
              <a:round/>
            </a:ln>
            <a:effectLst/>
          </c:spPr>
          <c:marker>
            <c:symbol val="plus"/>
            <c:size val="6"/>
            <c:spPr>
              <a:noFill/>
              <a:ln w="9525">
                <a:solidFill>
                  <a:schemeClr val="accent1">
                    <a:lumMod val="60000"/>
                  </a:schemeClr>
                </a:solidFill>
                <a:round/>
              </a:ln>
              <a:effectLst/>
            </c:spPr>
          </c:marker>
          <c:cat>
            <c:numRef>
              <c:f>'[Charts and tables - 2022v2 KN.xlsx]equity group (all)'!$F$28:$L$28</c:f>
              <c:numCache>
                <c:formatCode>General</c:formatCode>
                <c:ptCount val="7"/>
                <c:pt idx="0">
                  <c:v>2016</c:v>
                </c:pt>
                <c:pt idx="1">
                  <c:v>2017</c:v>
                </c:pt>
                <c:pt idx="2">
                  <c:v>2018</c:v>
                </c:pt>
                <c:pt idx="3">
                  <c:v>2019</c:v>
                </c:pt>
                <c:pt idx="4">
                  <c:v>2020</c:v>
                </c:pt>
                <c:pt idx="5">
                  <c:v>2021</c:v>
                </c:pt>
                <c:pt idx="6">
                  <c:v>2022</c:v>
                </c:pt>
              </c:numCache>
            </c:numRef>
          </c:cat>
          <c:val>
            <c:numRef>
              <c:f>'[Charts and tables - 2022v2 KN.xlsx]equity group (all)'!$B$46:$L$46</c:f>
              <c:numCache>
                <c:formatCode>0.00%</c:formatCode>
                <c:ptCount val="7"/>
                <c:pt idx="0">
                  <c:v>6.0379579142478636E-2</c:v>
                </c:pt>
                <c:pt idx="1">
                  <c:v>6.397044000268795E-2</c:v>
                </c:pt>
                <c:pt idx="2">
                  <c:v>6.8317505923617974E-2</c:v>
                </c:pt>
                <c:pt idx="3">
                  <c:v>7.2096694805858147E-2</c:v>
                </c:pt>
                <c:pt idx="4">
                  <c:v>7.4423742032792839E-2</c:v>
                </c:pt>
                <c:pt idx="5">
                  <c:v>9.4009795847600885E-2</c:v>
                </c:pt>
                <c:pt idx="6">
                  <c:v>0.10639598696072958</c:v>
                </c:pt>
              </c:numCache>
            </c:numRef>
          </c:val>
          <c:smooth val="0"/>
          <c:extLst>
            <c:ext xmlns:c16="http://schemas.microsoft.com/office/drawing/2014/chart" uri="{C3380CC4-5D6E-409C-BE32-E72D297353CC}">
              <c16:uniqueId val="{00000006-5A62-4E29-8593-2DC1ED8EAC4C}"/>
            </c:ext>
          </c:extLst>
        </c:ser>
        <c:ser>
          <c:idx val="7"/>
          <c:order val="7"/>
          <c:tx>
            <c:strRef>
              <c:f>'[Charts and tables - 2022v2 KN.xlsx]equity group (all)'!$A$47</c:f>
              <c:strCache>
                <c:ptCount val="1"/>
                <c:pt idx="0">
                  <c:v>Women in Non-Traditional Area</c:v>
                </c:pt>
              </c:strCache>
            </c:strRef>
          </c:tx>
          <c:spPr>
            <a:ln w="22225" cap="rnd">
              <a:solidFill>
                <a:schemeClr val="accent5"/>
              </a:solidFill>
              <a:round/>
            </a:ln>
            <a:effectLst/>
          </c:spPr>
          <c:marker>
            <c:symbol val="dot"/>
            <c:size val="6"/>
            <c:spPr>
              <a:solidFill>
                <a:schemeClr val="accent5"/>
              </a:solidFill>
              <a:ln w="9525">
                <a:solidFill>
                  <a:schemeClr val="accent5"/>
                </a:solidFill>
                <a:round/>
              </a:ln>
              <a:effectLst/>
            </c:spPr>
          </c:marker>
          <c:cat>
            <c:numRef>
              <c:f>'[Charts and tables - 2022v2 KN.xlsx]equity group (all)'!$F$28:$L$28</c:f>
              <c:numCache>
                <c:formatCode>General</c:formatCode>
                <c:ptCount val="7"/>
                <c:pt idx="0">
                  <c:v>2016</c:v>
                </c:pt>
                <c:pt idx="1">
                  <c:v>2017</c:v>
                </c:pt>
                <c:pt idx="2">
                  <c:v>2018</c:v>
                </c:pt>
                <c:pt idx="3">
                  <c:v>2019</c:v>
                </c:pt>
                <c:pt idx="4">
                  <c:v>2020</c:v>
                </c:pt>
                <c:pt idx="5">
                  <c:v>2021</c:v>
                </c:pt>
                <c:pt idx="6">
                  <c:v>2022</c:v>
                </c:pt>
              </c:numCache>
            </c:numRef>
          </c:cat>
          <c:val>
            <c:numRef>
              <c:f>'[Charts and tables - 2022v2 KN.xlsx]equity group (all)'!$B$47:$L$47</c:f>
              <c:numCache>
                <c:formatCode>0.00%</c:formatCode>
                <c:ptCount val="7"/>
                <c:pt idx="0">
                  <c:v>0.15865926764044219</c:v>
                </c:pt>
                <c:pt idx="1">
                  <c:v>0.15800393486198117</c:v>
                </c:pt>
                <c:pt idx="2">
                  <c:v>0.16009067333345772</c:v>
                </c:pt>
                <c:pt idx="3">
                  <c:v>0.16094224500599003</c:v>
                </c:pt>
                <c:pt idx="4">
                  <c:v>0.16229046478598927</c:v>
                </c:pt>
                <c:pt idx="5">
                  <c:v>0.16076546313553813</c:v>
                </c:pt>
                <c:pt idx="6">
                  <c:v>0.16058371480297157</c:v>
                </c:pt>
              </c:numCache>
            </c:numRef>
          </c:val>
          <c:smooth val="0"/>
          <c:extLst>
            <c:ext xmlns:c16="http://schemas.microsoft.com/office/drawing/2014/chart" uri="{C3380CC4-5D6E-409C-BE32-E72D297353CC}">
              <c16:uniqueId val="{00000007-5A62-4E29-8593-2DC1ED8EAC4C}"/>
            </c:ext>
          </c:extLst>
        </c:ser>
        <c:dLbls>
          <c:showLegendKey val="0"/>
          <c:showVal val="0"/>
          <c:showCatName val="0"/>
          <c:showSerName val="0"/>
          <c:showPercent val="0"/>
          <c:showBubbleSize val="0"/>
        </c:dLbls>
        <c:marker val="1"/>
        <c:smooth val="0"/>
        <c:axId val="915674080"/>
        <c:axId val="1090716176"/>
      </c:lineChart>
      <c:catAx>
        <c:axId val="9156740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090716176"/>
        <c:crosses val="autoZero"/>
        <c:auto val="1"/>
        <c:lblAlgn val="ctr"/>
        <c:lblOffset val="100"/>
        <c:noMultiLvlLbl val="0"/>
      </c:catAx>
      <c:valAx>
        <c:axId val="1090716176"/>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AU"/>
                  <a:t>Percentgae of all students</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5674080"/>
        <c:crosses val="autoZero"/>
        <c:crossBetween val="between"/>
      </c:valAx>
      <c:spPr>
        <a:noFill/>
        <a:ln>
          <a:noFill/>
        </a:ln>
        <a:effectLst/>
      </c:spPr>
    </c:plotArea>
    <c:legend>
      <c:legendPos val="b"/>
      <c:layout>
        <c:manualLayout>
          <c:xMode val="edge"/>
          <c:yMode val="edge"/>
          <c:x val="9.9998485766202308E-2"/>
          <c:y val="0.83491913510811144"/>
          <c:w val="0.85128507974964673"/>
          <c:h val="0.1460332458442694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9299420776135494E-2"/>
          <c:y val="3.6520584329349272E-2"/>
          <c:w val="0.89567504683998478"/>
          <c:h val="0.63644144232594368"/>
        </c:manualLayout>
      </c:layout>
      <c:lineChart>
        <c:grouping val="standard"/>
        <c:varyColors val="0"/>
        <c:ser>
          <c:idx val="1"/>
          <c:order val="1"/>
          <c:tx>
            <c:strRef>
              <c:f>'Attrition rate TabAB chart'!$A$3</c:f>
              <c:strCache>
                <c:ptCount val="1"/>
                <c:pt idx="0">
                  <c:v>The University of Melbourne</c:v>
                </c:pt>
              </c:strCache>
            </c:strRef>
          </c:tx>
          <c:spPr>
            <a:ln w="28575" cap="rnd">
              <a:solidFill>
                <a:schemeClr val="accent2"/>
              </a:solidFill>
              <a:round/>
            </a:ln>
            <a:effectLst/>
          </c:spPr>
          <c:marker>
            <c:symbol val="plus"/>
            <c:size val="7"/>
            <c:spPr>
              <a:noFill/>
              <a:ln w="9525">
                <a:solidFill>
                  <a:schemeClr val="accent2"/>
                </a:solidFill>
              </a:ln>
              <a:effectLst/>
            </c:spPr>
          </c:marker>
          <c:cat>
            <c:numRef>
              <c:f>'Attrition rate TabAB chart'!$D$2:$M$2</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extLst/>
            </c:numRef>
          </c:cat>
          <c:val>
            <c:numRef>
              <c:f>'Attrition rate TabAB chart'!$D$3:$M$3</c:f>
              <c:numCache>
                <c:formatCode>0</c:formatCode>
                <c:ptCount val="10"/>
                <c:pt idx="0">
                  <c:v>3.69</c:v>
                </c:pt>
                <c:pt idx="1">
                  <c:v>4.2699999999999996</c:v>
                </c:pt>
                <c:pt idx="2">
                  <c:v>3.5</c:v>
                </c:pt>
                <c:pt idx="3">
                  <c:v>3.92</c:v>
                </c:pt>
                <c:pt idx="4">
                  <c:v>4</c:v>
                </c:pt>
                <c:pt idx="5">
                  <c:v>4.4800000000000004</c:v>
                </c:pt>
                <c:pt idx="6">
                  <c:v>4.0599999999999996</c:v>
                </c:pt>
                <c:pt idx="7">
                  <c:v>3.43</c:v>
                </c:pt>
                <c:pt idx="8">
                  <c:v>2.4300000000000002</c:v>
                </c:pt>
                <c:pt idx="9">
                  <c:v>4.66</c:v>
                </c:pt>
              </c:numCache>
              <c:extLst/>
            </c:numRef>
          </c:val>
          <c:smooth val="0"/>
          <c:extLst>
            <c:ext xmlns:c16="http://schemas.microsoft.com/office/drawing/2014/chart" uri="{C3380CC4-5D6E-409C-BE32-E72D297353CC}">
              <c16:uniqueId val="{00000000-48A2-4F96-B7BC-BA442F1F0EB2}"/>
            </c:ext>
          </c:extLst>
        </c:ser>
        <c:ser>
          <c:idx val="2"/>
          <c:order val="2"/>
          <c:tx>
            <c:strRef>
              <c:f>'Attrition rate TabAB chart'!$A$4</c:f>
              <c:strCache>
                <c:ptCount val="1"/>
                <c:pt idx="0">
                  <c:v>University of New South Wales</c:v>
                </c:pt>
              </c:strCache>
            </c:strRef>
          </c:tx>
          <c:spPr>
            <a:ln w="28575" cap="rnd">
              <a:solidFill>
                <a:schemeClr val="accent3"/>
              </a:solidFill>
              <a:round/>
            </a:ln>
            <a:effectLst/>
          </c:spPr>
          <c:marker>
            <c:symbol val="star"/>
            <c:size val="7"/>
            <c:spPr>
              <a:noFill/>
              <a:ln w="9525">
                <a:solidFill>
                  <a:schemeClr val="accent3"/>
                </a:solidFill>
              </a:ln>
              <a:effectLst/>
            </c:spPr>
          </c:marker>
          <c:cat>
            <c:numRef>
              <c:f>'Attrition rate TabAB chart'!$D$2:$M$2</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extLst/>
            </c:numRef>
          </c:cat>
          <c:val>
            <c:numRef>
              <c:f>'Attrition rate TabAB chart'!$D$4:$M$4</c:f>
              <c:numCache>
                <c:formatCode>0</c:formatCode>
                <c:ptCount val="10"/>
                <c:pt idx="0">
                  <c:v>4.79</c:v>
                </c:pt>
                <c:pt idx="1">
                  <c:v>5.28</c:v>
                </c:pt>
                <c:pt idx="2">
                  <c:v>4.7699999999999996</c:v>
                </c:pt>
                <c:pt idx="3">
                  <c:v>4.51</c:v>
                </c:pt>
                <c:pt idx="4">
                  <c:v>4.04</c:v>
                </c:pt>
                <c:pt idx="5">
                  <c:v>4.38</c:v>
                </c:pt>
                <c:pt idx="6">
                  <c:v>3.67</c:v>
                </c:pt>
                <c:pt idx="7">
                  <c:v>3.86</c:v>
                </c:pt>
                <c:pt idx="8">
                  <c:v>3.38</c:v>
                </c:pt>
                <c:pt idx="9">
                  <c:v>4.2699999999999996</c:v>
                </c:pt>
              </c:numCache>
              <c:extLst/>
            </c:numRef>
          </c:val>
          <c:smooth val="0"/>
          <c:extLst>
            <c:ext xmlns:c16="http://schemas.microsoft.com/office/drawing/2014/chart" uri="{C3380CC4-5D6E-409C-BE32-E72D297353CC}">
              <c16:uniqueId val="{00000001-48A2-4F96-B7BC-BA442F1F0EB2}"/>
            </c:ext>
          </c:extLst>
        </c:ser>
        <c:ser>
          <c:idx val="3"/>
          <c:order val="3"/>
          <c:tx>
            <c:strRef>
              <c:f>'Attrition rate TabAB chart'!$A$5</c:f>
              <c:strCache>
                <c:ptCount val="1"/>
                <c:pt idx="0">
                  <c:v>Monash University</c:v>
                </c:pt>
              </c:strCache>
            </c:strRef>
          </c:tx>
          <c:spPr>
            <a:ln w="28575" cap="rnd">
              <a:solidFill>
                <a:schemeClr val="accent4"/>
              </a:solidFill>
              <a:round/>
            </a:ln>
            <a:effectLst/>
          </c:spPr>
          <c:marker>
            <c:symbol val="triangle"/>
            <c:size val="7"/>
            <c:spPr>
              <a:solidFill>
                <a:schemeClr val="accent4"/>
              </a:solidFill>
              <a:ln w="9525">
                <a:solidFill>
                  <a:schemeClr val="accent4"/>
                </a:solidFill>
              </a:ln>
              <a:effectLst/>
            </c:spPr>
          </c:marker>
          <c:cat>
            <c:numRef>
              <c:f>'Attrition rate TabAB chart'!$D$2:$M$2</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extLst/>
            </c:numRef>
          </c:cat>
          <c:val>
            <c:numRef>
              <c:f>'Attrition rate TabAB chart'!$D$5:$M$5</c:f>
              <c:numCache>
                <c:formatCode>0</c:formatCode>
                <c:ptCount val="10"/>
                <c:pt idx="0">
                  <c:v>6.41</c:v>
                </c:pt>
                <c:pt idx="1">
                  <c:v>7.29</c:v>
                </c:pt>
                <c:pt idx="2">
                  <c:v>6.19</c:v>
                </c:pt>
                <c:pt idx="3">
                  <c:v>6.54</c:v>
                </c:pt>
                <c:pt idx="4">
                  <c:v>5.33</c:v>
                </c:pt>
                <c:pt idx="5">
                  <c:v>5.2</c:v>
                </c:pt>
                <c:pt idx="6">
                  <c:v>5.23</c:v>
                </c:pt>
                <c:pt idx="7">
                  <c:v>4.55</c:v>
                </c:pt>
                <c:pt idx="8">
                  <c:v>3.44</c:v>
                </c:pt>
                <c:pt idx="9">
                  <c:v>5.26</c:v>
                </c:pt>
              </c:numCache>
              <c:extLst/>
            </c:numRef>
          </c:val>
          <c:smooth val="0"/>
          <c:extLst>
            <c:ext xmlns:c16="http://schemas.microsoft.com/office/drawing/2014/chart" uri="{C3380CC4-5D6E-409C-BE32-E72D297353CC}">
              <c16:uniqueId val="{00000002-48A2-4F96-B7BC-BA442F1F0EB2}"/>
            </c:ext>
          </c:extLst>
        </c:ser>
        <c:ser>
          <c:idx val="4"/>
          <c:order val="4"/>
          <c:tx>
            <c:strRef>
              <c:f>'Attrition rate TabAB chart'!$A$7</c:f>
              <c:strCache>
                <c:ptCount val="1"/>
                <c:pt idx="0">
                  <c:v>Southern Cross University</c:v>
                </c:pt>
              </c:strCache>
            </c:strRef>
          </c:tx>
          <c:spPr>
            <a:ln w="28575" cap="rnd">
              <a:solidFill>
                <a:schemeClr val="accent5"/>
              </a:solidFill>
              <a:round/>
            </a:ln>
            <a:effectLst/>
          </c:spPr>
          <c:marker>
            <c:symbol val="circle"/>
            <c:size val="7"/>
            <c:spPr>
              <a:solidFill>
                <a:schemeClr val="accent5"/>
              </a:solidFill>
              <a:ln w="9525">
                <a:solidFill>
                  <a:schemeClr val="accent5"/>
                </a:solidFill>
              </a:ln>
              <a:effectLst/>
            </c:spPr>
          </c:marker>
          <c:cat>
            <c:numRef>
              <c:f>'Attrition rate TabAB chart'!$D$2:$M$2</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extLst/>
            </c:numRef>
          </c:cat>
          <c:val>
            <c:numRef>
              <c:f>'Attrition rate TabAB chart'!$D$7:$M$7</c:f>
              <c:numCache>
                <c:formatCode>0</c:formatCode>
                <c:ptCount val="10"/>
                <c:pt idx="0">
                  <c:v>23.87</c:v>
                </c:pt>
                <c:pt idx="1">
                  <c:v>23.29</c:v>
                </c:pt>
                <c:pt idx="2">
                  <c:v>24.07</c:v>
                </c:pt>
                <c:pt idx="3">
                  <c:v>23.64</c:v>
                </c:pt>
                <c:pt idx="4">
                  <c:v>23.37</c:v>
                </c:pt>
                <c:pt idx="5">
                  <c:v>25.54</c:v>
                </c:pt>
                <c:pt idx="6">
                  <c:v>23.96</c:v>
                </c:pt>
                <c:pt idx="7">
                  <c:v>21.85</c:v>
                </c:pt>
                <c:pt idx="8">
                  <c:v>23.51</c:v>
                </c:pt>
                <c:pt idx="9">
                  <c:v>24.76</c:v>
                </c:pt>
              </c:numCache>
              <c:extLst/>
            </c:numRef>
          </c:val>
          <c:smooth val="0"/>
          <c:extLst>
            <c:ext xmlns:c16="http://schemas.microsoft.com/office/drawing/2014/chart" uri="{C3380CC4-5D6E-409C-BE32-E72D297353CC}">
              <c16:uniqueId val="{00000003-48A2-4F96-B7BC-BA442F1F0EB2}"/>
            </c:ext>
          </c:extLst>
        </c:ser>
        <c:ser>
          <c:idx val="5"/>
          <c:order val="5"/>
          <c:tx>
            <c:strRef>
              <c:f>'Attrition rate TabAB chart'!$A$8</c:f>
              <c:strCache>
                <c:ptCount val="1"/>
                <c:pt idx="0">
                  <c:v>The University of New England</c:v>
                </c:pt>
              </c:strCache>
            </c:strRef>
          </c:tx>
          <c:spPr>
            <a:ln w="28575" cap="rnd">
              <a:solidFill>
                <a:schemeClr val="accent6"/>
              </a:solidFill>
              <a:round/>
            </a:ln>
            <a:effectLst/>
          </c:spPr>
          <c:marker>
            <c:symbol val="diamond"/>
            <c:size val="7"/>
            <c:spPr>
              <a:solidFill>
                <a:schemeClr val="accent6"/>
              </a:solidFill>
              <a:ln w="9525">
                <a:solidFill>
                  <a:schemeClr val="accent6"/>
                </a:solidFill>
              </a:ln>
              <a:effectLst/>
            </c:spPr>
          </c:marker>
          <c:cat>
            <c:numRef>
              <c:f>'Attrition rate TabAB chart'!$D$2:$M$2</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extLst/>
            </c:numRef>
          </c:cat>
          <c:val>
            <c:numRef>
              <c:f>'Attrition rate TabAB chart'!$D$8:$M$8</c:f>
              <c:numCache>
                <c:formatCode>0</c:formatCode>
                <c:ptCount val="10"/>
                <c:pt idx="0">
                  <c:v>21.33</c:v>
                </c:pt>
                <c:pt idx="1">
                  <c:v>21.85</c:v>
                </c:pt>
                <c:pt idx="2">
                  <c:v>22.4</c:v>
                </c:pt>
                <c:pt idx="3">
                  <c:v>25.12</c:v>
                </c:pt>
                <c:pt idx="4">
                  <c:v>22.8</c:v>
                </c:pt>
                <c:pt idx="5">
                  <c:v>28.45</c:v>
                </c:pt>
                <c:pt idx="6">
                  <c:v>25.27</c:v>
                </c:pt>
                <c:pt idx="7">
                  <c:v>24.9</c:v>
                </c:pt>
                <c:pt idx="8">
                  <c:v>23.39</c:v>
                </c:pt>
                <c:pt idx="9">
                  <c:v>24.88</c:v>
                </c:pt>
              </c:numCache>
              <c:extLst/>
            </c:numRef>
          </c:val>
          <c:smooth val="0"/>
          <c:extLst>
            <c:ext xmlns:c16="http://schemas.microsoft.com/office/drawing/2014/chart" uri="{C3380CC4-5D6E-409C-BE32-E72D297353CC}">
              <c16:uniqueId val="{00000004-48A2-4F96-B7BC-BA442F1F0EB2}"/>
            </c:ext>
          </c:extLst>
        </c:ser>
        <c:ser>
          <c:idx val="6"/>
          <c:order val="6"/>
          <c:tx>
            <c:strRef>
              <c:f>'Attrition rate TabAB chart'!$A$9</c:f>
              <c:strCache>
                <c:ptCount val="1"/>
                <c:pt idx="0">
                  <c:v>CQUniversity</c:v>
                </c:pt>
              </c:strCache>
            </c:strRef>
          </c:tx>
          <c:spPr>
            <a:ln w="28575" cap="rnd">
              <a:solidFill>
                <a:schemeClr val="accent1">
                  <a:lumMod val="60000"/>
                </a:schemeClr>
              </a:solidFill>
              <a:round/>
            </a:ln>
            <a:effectLst/>
          </c:spPr>
          <c:marker>
            <c:symbol val="x"/>
            <c:size val="7"/>
            <c:spPr>
              <a:noFill/>
              <a:ln w="9525">
                <a:solidFill>
                  <a:schemeClr val="accent1">
                    <a:lumMod val="60000"/>
                  </a:schemeClr>
                </a:solidFill>
              </a:ln>
              <a:effectLst/>
            </c:spPr>
          </c:marker>
          <c:cat>
            <c:numRef>
              <c:f>'Attrition rate TabAB chart'!$D$2:$M$2</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extLst/>
            </c:numRef>
          </c:cat>
          <c:val>
            <c:numRef>
              <c:f>'Attrition rate TabAB chart'!$D$9:$M$9</c:f>
              <c:numCache>
                <c:formatCode>0</c:formatCode>
                <c:ptCount val="10"/>
                <c:pt idx="0">
                  <c:v>25.34</c:v>
                </c:pt>
                <c:pt idx="1">
                  <c:v>24.87</c:v>
                </c:pt>
                <c:pt idx="2">
                  <c:v>23.36</c:v>
                </c:pt>
                <c:pt idx="3">
                  <c:v>22.46</c:v>
                </c:pt>
                <c:pt idx="4">
                  <c:v>23.15</c:v>
                </c:pt>
                <c:pt idx="5">
                  <c:v>24.54</c:v>
                </c:pt>
                <c:pt idx="6">
                  <c:v>24.9</c:v>
                </c:pt>
                <c:pt idx="7">
                  <c:v>22.25</c:v>
                </c:pt>
                <c:pt idx="8">
                  <c:v>22.33</c:v>
                </c:pt>
                <c:pt idx="9">
                  <c:v>25.04</c:v>
                </c:pt>
              </c:numCache>
              <c:extLst/>
            </c:numRef>
          </c:val>
          <c:smooth val="0"/>
          <c:extLst>
            <c:ext xmlns:c16="http://schemas.microsoft.com/office/drawing/2014/chart" uri="{C3380CC4-5D6E-409C-BE32-E72D297353CC}">
              <c16:uniqueId val="{00000005-48A2-4F96-B7BC-BA442F1F0EB2}"/>
            </c:ext>
          </c:extLst>
        </c:ser>
        <c:ser>
          <c:idx val="7"/>
          <c:order val="7"/>
          <c:tx>
            <c:strRef>
              <c:f>'Attrition rate TabAB chart'!$A$10</c:f>
              <c:strCache>
                <c:ptCount val="1"/>
                <c:pt idx="0">
                  <c:v>All Table A and B institutions</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'Attrition rate TabAB chart'!$D$2:$M$2</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extLst/>
            </c:numRef>
          </c:cat>
          <c:val>
            <c:numRef>
              <c:f>'Attrition rate TabAB chart'!$D$10:$M$10</c:f>
              <c:numCache>
                <c:formatCode>0</c:formatCode>
                <c:ptCount val="10"/>
                <c:pt idx="0">
                  <c:v>13.26</c:v>
                </c:pt>
                <c:pt idx="1">
                  <c:v>14.65</c:v>
                </c:pt>
                <c:pt idx="2">
                  <c:v>15</c:v>
                </c:pt>
                <c:pt idx="3">
                  <c:v>14.97</c:v>
                </c:pt>
                <c:pt idx="4">
                  <c:v>14.32</c:v>
                </c:pt>
                <c:pt idx="5">
                  <c:v>14.93</c:v>
                </c:pt>
                <c:pt idx="6">
                  <c:v>14.55</c:v>
                </c:pt>
                <c:pt idx="7">
                  <c:v>13.23</c:v>
                </c:pt>
                <c:pt idx="8">
                  <c:v>12.74</c:v>
                </c:pt>
                <c:pt idx="9">
                  <c:v>14.73</c:v>
                </c:pt>
              </c:numCache>
              <c:extLst/>
            </c:numRef>
          </c:val>
          <c:smooth val="0"/>
          <c:extLst>
            <c:ext xmlns:c16="http://schemas.microsoft.com/office/drawing/2014/chart" uri="{C3380CC4-5D6E-409C-BE32-E72D297353CC}">
              <c16:uniqueId val="{00000006-48A2-4F96-B7BC-BA442F1F0EB2}"/>
            </c:ext>
          </c:extLst>
        </c:ser>
        <c:dLbls>
          <c:showLegendKey val="0"/>
          <c:showVal val="0"/>
          <c:showCatName val="0"/>
          <c:showSerName val="0"/>
          <c:showPercent val="0"/>
          <c:showBubbleSize val="0"/>
        </c:dLbls>
        <c:marker val="1"/>
        <c:smooth val="0"/>
        <c:axId val="715481072"/>
        <c:axId val="715481400"/>
        <c:extLst>
          <c:ext xmlns:c15="http://schemas.microsoft.com/office/drawing/2012/chart" uri="{02D57815-91ED-43cb-92C2-25804820EDAC}">
            <c15:filteredLineSeries>
              <c15:ser>
                <c:idx val="0"/>
                <c:order val="0"/>
                <c:tx>
                  <c:strRef>
                    <c:extLst>
                      <c:ext uri="{02D57815-91ED-43cb-92C2-25804820EDAC}">
                        <c15:formulaRef>
                          <c15:sqref>'Attrition rate TabAB chart'!$A$2</c15:sqref>
                        </c15:formulaRef>
                      </c:ext>
                    </c:extLst>
                    <c:strCache>
                      <c:ptCount val="1"/>
                      <c:pt idx="0">
                        <c:v>New adjusted attrition rate (%)</c:v>
                      </c:pt>
                    </c:strCache>
                  </c:strRef>
                </c:tx>
                <c:spPr>
                  <a:ln w="28575" cap="rnd">
                    <a:solidFill>
                      <a:schemeClr val="accent1"/>
                    </a:solidFill>
                    <a:round/>
                  </a:ln>
                  <a:effectLst/>
                </c:spPr>
                <c:marker>
                  <c:symbol val="none"/>
                </c:marker>
                <c:cat>
                  <c:numRef>
                    <c:extLst>
                      <c:ext uri="{02D57815-91ED-43cb-92C2-25804820EDAC}">
                        <c15:formulaRef>
                          <c15:sqref>'Attrition rate TabAB chart'!$D$2:$M$2</c15:sqref>
                        </c15:formulaRef>
                      </c:ext>
                    </c:extLst>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extLst>
                      <c:ext uri="{02D57815-91ED-43cb-92C2-25804820EDAC}">
                        <c15:formulaRef>
                          <c15:sqref>'Attrition rate TabAB chart'!$C$2:$L$2</c15:sqref>
                        </c15:formulaRef>
                      </c:ext>
                    </c:extLst>
                    <c:numCache>
                      <c:formatCode>General</c:formatCode>
                      <c:ptCount val="9"/>
                      <c:pt idx="0">
                        <c:v>2012</c:v>
                      </c:pt>
                      <c:pt idx="1">
                        <c:v>2013</c:v>
                      </c:pt>
                      <c:pt idx="2">
                        <c:v>2014</c:v>
                      </c:pt>
                      <c:pt idx="3">
                        <c:v>2015</c:v>
                      </c:pt>
                      <c:pt idx="4">
                        <c:v>2016</c:v>
                      </c:pt>
                      <c:pt idx="5">
                        <c:v>2017</c:v>
                      </c:pt>
                      <c:pt idx="6">
                        <c:v>2018</c:v>
                      </c:pt>
                      <c:pt idx="7">
                        <c:v>2019</c:v>
                      </c:pt>
                      <c:pt idx="8">
                        <c:v>2020</c:v>
                      </c:pt>
                    </c:numCache>
                  </c:numRef>
                </c:val>
                <c:smooth val="0"/>
                <c:extLst>
                  <c:ext xmlns:c16="http://schemas.microsoft.com/office/drawing/2014/chart" uri="{C3380CC4-5D6E-409C-BE32-E72D297353CC}">
                    <c16:uniqueId val="{00000007-48A2-4F96-B7BC-BA442F1F0EB2}"/>
                  </c:ext>
                </c:extLst>
              </c15:ser>
            </c15:filteredLineSeries>
          </c:ext>
        </c:extLst>
      </c:lineChart>
      <c:catAx>
        <c:axId val="71548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5481400"/>
        <c:crosses val="autoZero"/>
        <c:auto val="1"/>
        <c:lblAlgn val="ctr"/>
        <c:lblOffset val="100"/>
        <c:noMultiLvlLbl val="0"/>
      </c:catAx>
      <c:valAx>
        <c:axId val="7154814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ATTRITION RATE, %</a:t>
                </a:r>
              </a:p>
            </c:rich>
          </c:tx>
          <c:layout>
            <c:manualLayout>
              <c:xMode val="edge"/>
              <c:yMode val="edge"/>
              <c:x val="1.2317167051578136E-2"/>
              <c:y val="0.3747343573488002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5481072"/>
        <c:crosses val="autoZero"/>
        <c:crossBetween val="between"/>
      </c:valAx>
      <c:spPr>
        <a:noFill/>
        <a:ln>
          <a:noFill/>
        </a:ln>
        <a:effectLst/>
      </c:spPr>
    </c:plotArea>
    <c:legend>
      <c:legendPos val="b"/>
      <c:layout>
        <c:manualLayout>
          <c:xMode val="edge"/>
          <c:yMode val="edge"/>
          <c:x val="3.7797314170680107E-2"/>
          <c:y val="0.77086821774396863"/>
          <c:w val="0.88334004365959107"/>
          <c:h val="0.2119349911769503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166426071741032"/>
          <c:y val="5.0925925925925923E-2"/>
          <c:w val="0.85333573928258966"/>
          <c:h val="0.66459025955088946"/>
        </c:manualLayout>
      </c:layout>
      <c:lineChart>
        <c:grouping val="standard"/>
        <c:varyColors val="0"/>
        <c:ser>
          <c:idx val="2"/>
          <c:order val="0"/>
          <c:tx>
            <c:strRef>
              <c:f>'brief completion rate '!$B$6</c:f>
              <c:strCache>
                <c:ptCount val="1"/>
                <c:pt idx="0">
                  <c:v>Four year completion rate %</c:v>
                </c:pt>
              </c:strCache>
            </c:strRef>
          </c:tx>
          <c:spPr>
            <a:ln w="28575" cap="rnd">
              <a:solidFill>
                <a:schemeClr val="tx2"/>
              </a:solidFill>
              <a:round/>
            </a:ln>
            <a:effectLst/>
          </c:spPr>
          <c:marker>
            <c:symbol val="x"/>
            <c:size val="5"/>
            <c:spPr>
              <a:solidFill>
                <a:schemeClr val="tx2"/>
              </a:solidFill>
              <a:ln w="9525">
                <a:solidFill>
                  <a:schemeClr val="tx2"/>
                </a:solidFill>
              </a:ln>
              <a:effectLst/>
            </c:spPr>
          </c:marker>
          <c:cat>
            <c:numRef>
              <c:f>'brief completion rate '!$C$5:$Q$5</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'brief completion rate '!$C$6:$Q$6</c:f>
              <c:numCache>
                <c:formatCode>0.0</c:formatCode>
                <c:ptCount val="15"/>
                <c:pt idx="0">
                  <c:v>47.390993140471224</c:v>
                </c:pt>
                <c:pt idx="1">
                  <c:v>46.753553104912427</c:v>
                </c:pt>
                <c:pt idx="2">
                  <c:v>46.014417411797325</c:v>
                </c:pt>
                <c:pt idx="3">
                  <c:v>46.806060325470497</c:v>
                </c:pt>
                <c:pt idx="4">
                  <c:v>46.20447682603136</c:v>
                </c:pt>
                <c:pt idx="5">
                  <c:v>45.265423242467719</c:v>
                </c:pt>
                <c:pt idx="6">
                  <c:v>45.147055210201728</c:v>
                </c:pt>
                <c:pt idx="7">
                  <c:v>44.245814058672586</c:v>
                </c:pt>
                <c:pt idx="8">
                  <c:v>42.915208214005389</c:v>
                </c:pt>
                <c:pt idx="9">
                  <c:v>41.976586829276243</c:v>
                </c:pt>
                <c:pt idx="10">
                  <c:v>42.1</c:v>
                </c:pt>
                <c:pt idx="11">
                  <c:v>43</c:v>
                </c:pt>
                <c:pt idx="12">
                  <c:v>41.7</c:v>
                </c:pt>
                <c:pt idx="13">
                  <c:v>41</c:v>
                </c:pt>
                <c:pt idx="14">
                  <c:v>40.9</c:v>
                </c:pt>
              </c:numCache>
            </c:numRef>
          </c:val>
          <c:smooth val="0"/>
          <c:extLst>
            <c:ext xmlns:c16="http://schemas.microsoft.com/office/drawing/2014/chart" uri="{C3380CC4-5D6E-409C-BE32-E72D297353CC}">
              <c16:uniqueId val="{00000000-C0DE-45B0-A643-0C979E908500}"/>
            </c:ext>
          </c:extLst>
        </c:ser>
        <c:ser>
          <c:idx val="3"/>
          <c:order val="1"/>
          <c:tx>
            <c:strRef>
              <c:f>'brief completion rate '!$B$7</c:f>
              <c:strCache>
                <c:ptCount val="1"/>
                <c:pt idx="0">
                  <c:v>Six year completion rate %</c:v>
                </c:pt>
              </c:strCache>
            </c:strRef>
          </c:tx>
          <c:spPr>
            <a:ln w="28575" cap="rnd">
              <a:solidFill>
                <a:schemeClr val="accent4"/>
              </a:solidFill>
              <a:round/>
            </a:ln>
            <a:effectLst/>
          </c:spPr>
          <c:marker>
            <c:symbol val="diamond"/>
            <c:size val="5"/>
            <c:spPr>
              <a:solidFill>
                <a:schemeClr val="accent4"/>
              </a:solidFill>
              <a:ln w="9525">
                <a:solidFill>
                  <a:schemeClr val="accent4"/>
                </a:solidFill>
              </a:ln>
              <a:effectLst/>
            </c:spPr>
          </c:marker>
          <c:cat>
            <c:numRef>
              <c:f>'brief completion rate '!$C$5:$Q$5</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'brief completion rate '!$C$7:$O$7</c:f>
              <c:numCache>
                <c:formatCode>0.0</c:formatCode>
                <c:ptCount val="13"/>
                <c:pt idx="0">
                  <c:v>67.020578586340591</c:v>
                </c:pt>
                <c:pt idx="1">
                  <c:v>66.839653240549623</c:v>
                </c:pt>
                <c:pt idx="2">
                  <c:v>66.636052771423948</c:v>
                </c:pt>
                <c:pt idx="3">
                  <c:v>67.177480960207419</c:v>
                </c:pt>
                <c:pt idx="4">
                  <c:v>66.840753516661835</c:v>
                </c:pt>
                <c:pt idx="5">
                  <c:v>65.965809202416793</c:v>
                </c:pt>
                <c:pt idx="6">
                  <c:v>65.749035602840365</c:v>
                </c:pt>
                <c:pt idx="7">
                  <c:v>64.446703417268608</c:v>
                </c:pt>
                <c:pt idx="8">
                  <c:v>63.3</c:v>
                </c:pt>
                <c:pt idx="9">
                  <c:v>62.4</c:v>
                </c:pt>
                <c:pt idx="10">
                  <c:v>62.3</c:v>
                </c:pt>
                <c:pt idx="11">
                  <c:v>62.6</c:v>
                </c:pt>
                <c:pt idx="12">
                  <c:v>61.77</c:v>
                </c:pt>
              </c:numCache>
            </c:numRef>
          </c:val>
          <c:smooth val="0"/>
          <c:extLst>
            <c:ext xmlns:c16="http://schemas.microsoft.com/office/drawing/2014/chart" uri="{C3380CC4-5D6E-409C-BE32-E72D297353CC}">
              <c16:uniqueId val="{00000001-C0DE-45B0-A643-0C979E908500}"/>
            </c:ext>
          </c:extLst>
        </c:ser>
        <c:ser>
          <c:idx val="0"/>
          <c:order val="2"/>
          <c:tx>
            <c:strRef>
              <c:f>'brief completion rate '!$B$10</c:f>
              <c:strCache>
                <c:ptCount val="1"/>
                <c:pt idx="0">
                  <c:v>Four year engagement rate %</c:v>
                </c:pt>
              </c:strCache>
            </c:strRef>
          </c:tx>
          <c:spPr>
            <a:ln w="28575" cap="rnd">
              <a:solidFill>
                <a:schemeClr val="accent6"/>
              </a:solidFill>
              <a:round/>
            </a:ln>
            <a:effectLst/>
          </c:spPr>
          <c:marker>
            <c:symbol val="x"/>
            <c:size val="5"/>
            <c:spPr>
              <a:solidFill>
                <a:schemeClr val="accent6"/>
              </a:solidFill>
              <a:ln w="9525">
                <a:solidFill>
                  <a:schemeClr val="accent6"/>
                </a:solidFill>
              </a:ln>
              <a:effectLst/>
            </c:spPr>
          </c:marker>
          <c:cat>
            <c:numRef>
              <c:f>'brief completion rate '!$C$5:$Q$5</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'brief completion rate '!$C$10:$Q$10</c:f>
              <c:numCache>
                <c:formatCode>0.0</c:formatCode>
                <c:ptCount val="15"/>
                <c:pt idx="0">
                  <c:v>77.528183716075162</c:v>
                </c:pt>
                <c:pt idx="1">
                  <c:v>79.475143008786929</c:v>
                </c:pt>
                <c:pt idx="2">
                  <c:v>79.733601349321873</c:v>
                </c:pt>
                <c:pt idx="3">
                  <c:v>80.200930577096699</c:v>
                </c:pt>
                <c:pt idx="4">
                  <c:v>80.445318460728373</c:v>
                </c:pt>
                <c:pt idx="5">
                  <c:v>79.868955483258233</c:v>
                </c:pt>
                <c:pt idx="6">
                  <c:v>79.601955822010368</c:v>
                </c:pt>
                <c:pt idx="7">
                  <c:v>78.48567219119866</c:v>
                </c:pt>
                <c:pt idx="8">
                  <c:v>77.193406733278181</c:v>
                </c:pt>
                <c:pt idx="9">
                  <c:v>76.599999999999994</c:v>
                </c:pt>
                <c:pt idx="10">
                  <c:v>76.599999999999994</c:v>
                </c:pt>
                <c:pt idx="11">
                  <c:v>77.2</c:v>
                </c:pt>
                <c:pt idx="12">
                  <c:v>77.599999999999994</c:v>
                </c:pt>
                <c:pt idx="13">
                  <c:v>78.900000000000006</c:v>
                </c:pt>
                <c:pt idx="14">
                  <c:v>78.31615459223093</c:v>
                </c:pt>
              </c:numCache>
            </c:numRef>
          </c:val>
          <c:smooth val="0"/>
          <c:extLst>
            <c:ext xmlns:c16="http://schemas.microsoft.com/office/drawing/2014/chart" uri="{C3380CC4-5D6E-409C-BE32-E72D297353CC}">
              <c16:uniqueId val="{00000002-C0DE-45B0-A643-0C979E908500}"/>
            </c:ext>
          </c:extLst>
        </c:ser>
        <c:ser>
          <c:idx val="1"/>
          <c:order val="3"/>
          <c:tx>
            <c:strRef>
              <c:f>'brief completion rate '!$B$11</c:f>
              <c:strCache>
                <c:ptCount val="1"/>
                <c:pt idx="0">
                  <c:v>Six year engagement rate %</c:v>
                </c:pt>
              </c:strCache>
            </c:strRef>
          </c:tx>
          <c:spPr>
            <a:ln w="28575" cap="rnd">
              <a:solidFill>
                <a:schemeClr val="accent3"/>
              </a:solidFill>
              <a:round/>
            </a:ln>
            <a:effectLst/>
          </c:spPr>
          <c:marker>
            <c:symbol val="diamond"/>
            <c:size val="5"/>
            <c:spPr>
              <a:solidFill>
                <a:schemeClr val="accent3"/>
              </a:solidFill>
              <a:ln w="9525">
                <a:solidFill>
                  <a:schemeClr val="accent3"/>
                </a:solidFill>
              </a:ln>
              <a:effectLst/>
            </c:spPr>
          </c:marker>
          <c:cat>
            <c:numRef>
              <c:f>'brief completion rate '!$C$5:$Q$5</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'brief completion rate '!$C$11:$O$11</c:f>
              <c:numCache>
                <c:formatCode>0.0</c:formatCode>
                <c:ptCount val="13"/>
                <c:pt idx="0">
                  <c:v>77.986280942439606</c:v>
                </c:pt>
                <c:pt idx="1">
                  <c:v>77.809164356902755</c:v>
                </c:pt>
                <c:pt idx="2">
                  <c:v>78.014602250410107</c:v>
                </c:pt>
                <c:pt idx="3">
                  <c:v>78.395333225306146</c:v>
                </c:pt>
                <c:pt idx="4">
                  <c:v>78.450841957080058</c:v>
                </c:pt>
                <c:pt idx="5">
                  <c:v>77.753248327843664</c:v>
                </c:pt>
                <c:pt idx="6">
                  <c:v>77.558662374996928</c:v>
                </c:pt>
                <c:pt idx="7">
                  <c:v>76.380946410099114</c:v>
                </c:pt>
                <c:pt idx="8" formatCode="General">
                  <c:v>75.099999999999994</c:v>
                </c:pt>
                <c:pt idx="9">
                  <c:v>74.5</c:v>
                </c:pt>
                <c:pt idx="10">
                  <c:v>75</c:v>
                </c:pt>
                <c:pt idx="11">
                  <c:v>75.900000000000006</c:v>
                </c:pt>
                <c:pt idx="12">
                  <c:v>74.646708924807868</c:v>
                </c:pt>
              </c:numCache>
            </c:numRef>
          </c:val>
          <c:smooth val="0"/>
          <c:extLst>
            <c:ext xmlns:c16="http://schemas.microsoft.com/office/drawing/2014/chart" uri="{C3380CC4-5D6E-409C-BE32-E72D297353CC}">
              <c16:uniqueId val="{00000003-C0DE-45B0-A643-0C979E908500}"/>
            </c:ext>
          </c:extLst>
        </c:ser>
        <c:dLbls>
          <c:showLegendKey val="0"/>
          <c:showVal val="0"/>
          <c:showCatName val="0"/>
          <c:showSerName val="0"/>
          <c:showPercent val="0"/>
          <c:showBubbleSize val="0"/>
        </c:dLbls>
        <c:marker val="1"/>
        <c:smooth val="0"/>
        <c:axId val="1033580464"/>
        <c:axId val="1033580792"/>
      </c:lineChart>
      <c:catAx>
        <c:axId val="1033580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3580792"/>
        <c:crossesAt val="0"/>
        <c:auto val="1"/>
        <c:lblAlgn val="ctr"/>
        <c:lblOffset val="100"/>
        <c:noMultiLvlLbl val="0"/>
      </c:catAx>
      <c:valAx>
        <c:axId val="1033580792"/>
        <c:scaling>
          <c:orientation val="minMax"/>
          <c:max val="85"/>
          <c:min val="3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PERCENTAGE</a:t>
                </a:r>
              </a:p>
            </c:rich>
          </c:tx>
          <c:layout>
            <c:manualLayout>
              <c:xMode val="edge"/>
              <c:yMode val="edge"/>
              <c:x val="2.208223972003499E-3"/>
              <c:y val="0.2789335477958367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3580464"/>
        <c:crosses val="autoZero"/>
        <c:crossBetween val="between"/>
        <c:maj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CFB91FBA-E741-402B-816C-302129E9392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A5394711AC8A1A4EAB81C627F495EF1F" ma:contentTypeVersion="" ma:contentTypeDescription="PDMS Document Site Content Type" ma:contentTypeScope="" ma:versionID="61e33d34cd4f9e9af934fe911496bd63">
  <xsd:schema xmlns:xsd="http://www.w3.org/2001/XMLSchema" xmlns:xs="http://www.w3.org/2001/XMLSchema" xmlns:p="http://schemas.microsoft.com/office/2006/metadata/properties" xmlns:ns2="CFB91FBA-E741-402B-816C-302129E93924" targetNamespace="http://schemas.microsoft.com/office/2006/metadata/properties" ma:root="true" ma:fieldsID="d702dd4998d236bb4b6d8f9f1200c6e5" ns2:_="">
    <xsd:import namespace="CFB91FBA-E741-402B-816C-302129E93924"/>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B91FBA-E741-402B-816C-302129E93924"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DD2348-D554-4C34-A861-9FFACCA5F80E}">
  <ds:schemaRefs>
    <ds:schemaRef ds:uri="http://schemas.microsoft.com/sharepoint/v3/contenttype/forms"/>
  </ds:schemaRefs>
</ds:datastoreItem>
</file>

<file path=customXml/itemProps2.xml><?xml version="1.0" encoding="utf-8"?>
<ds:datastoreItem xmlns:ds="http://schemas.openxmlformats.org/officeDocument/2006/customXml" ds:itemID="{BAE31BD5-4303-48EE-A649-AAEF20B4BF9E}">
  <ds:schemaRefs>
    <ds:schemaRef ds:uri="http://schemas.microsoft.com/office/2006/documentManagement/types"/>
    <ds:schemaRef ds:uri="CFB91FBA-E741-402B-816C-302129E93924"/>
    <ds:schemaRef ds:uri="http://schemas.microsoft.com/office/2006/metadata/properties"/>
    <ds:schemaRef ds:uri="http://schemas.microsoft.com/office/infopath/2007/PartnerControls"/>
    <ds:schemaRef ds:uri="http://purl.org/dc/terms/"/>
    <ds:schemaRef ds:uri="http://www.w3.org/XML/1998/namespace"/>
    <ds:schemaRef ds:uri="http://schemas.openxmlformats.org/package/2006/metadata/core-properties"/>
    <ds:schemaRef ds:uri="http://purl.org/dc/dcmitype/"/>
    <ds:schemaRef ds:uri="http://purl.org/dc/elements/1.1/"/>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7AA0935F-F38F-461B-B13A-0D28656EB0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B91FBA-E741-402B-816C-302129E939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1929</Words>
  <Characters>10495</Characters>
  <Application>Microsoft Office Word</Application>
  <DocSecurity>4</DocSecurity>
  <Lines>327</Lines>
  <Paragraphs>234</Paragraphs>
  <ScaleCrop>false</ScaleCrop>
  <HeadingPairs>
    <vt:vector size="2" baseType="variant">
      <vt:variant>
        <vt:lpstr>Title</vt:lpstr>
      </vt:variant>
      <vt:variant>
        <vt:i4>1</vt:i4>
      </vt:variant>
    </vt:vector>
  </HeadingPairs>
  <TitlesOfParts>
    <vt:vector size="1" baseType="lpstr">
      <vt:lpstr>Key findings from Selected Higher Education Statistics</vt:lpstr>
    </vt:vector>
  </TitlesOfParts>
  <Company/>
  <LinksUpToDate>false</LinksUpToDate>
  <CharactersWithSpaces>12190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Key findings from Selected Higher Education Statistics</dc:title>
  <dc:subject/>
  <dc:creator>READ,Richard</dc:creator>
  <cp:keywords/>
  <dc:description/>
  <cp:lastModifiedBy>NAYLOR,Kristy</cp:lastModifiedBy>
  <cp:revision>2</cp:revision>
  <cp:lastPrinted>2023-12-12T00:26:00Z</cp:lastPrinted>
  <dcterms:created xsi:type="dcterms:W3CDTF">2023-12-14T06:57:00Z</dcterms:created>
  <dcterms:modified xsi:type="dcterms:W3CDTF">2023-12-14T06:57:00Z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0x010100266966F133664895A6EE3632470D45F500A5394711AC8A1A4EAB81C627F495EF1F</vt:lpwstr>
  </property>
  <property fmtid="{D5CDD505-2E9C-101B-9397-08002B2CF9AE}" pid="10" name="MediaServiceImageTags">
    <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