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5082" w14:textId="3896CE37" w:rsidR="0004487F" w:rsidRPr="00E36891" w:rsidRDefault="0004487F" w:rsidP="006203D9">
      <w:pPr>
        <w:pStyle w:val="Covertitle"/>
        <w:rPr>
          <w:rFonts w:cs="Segoe UI"/>
          <w:b/>
          <w:color w:val="FFFFFF" w:themeColor="background1"/>
          <w:sz w:val="64"/>
          <w:szCs w:val="64"/>
        </w:rPr>
      </w:pPr>
      <w:r>
        <w:rPr>
          <w:noProof/>
        </w:rPr>
        <w:drawing>
          <wp:anchor distT="0" distB="0" distL="114300" distR="114300" simplePos="0" relativeHeight="251658250" behindDoc="1" locked="0" layoutInCell="1" allowOverlap="1" wp14:anchorId="224D52FB" wp14:editId="091D8709">
            <wp:simplePos x="0" y="0"/>
            <wp:positionH relativeFrom="page">
              <wp:align>center</wp:align>
            </wp:positionH>
            <wp:positionV relativeFrom="page">
              <wp:align>center</wp:align>
            </wp:positionV>
            <wp:extent cx="7559998" cy="10693741"/>
            <wp:effectExtent l="0" t="0" r="3175" b="0"/>
            <wp:wrapNone/>
            <wp:docPr id="503" name="Picture 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3741"/>
                    </a:xfrm>
                    <a:prstGeom prst="rect">
                      <a:avLst/>
                    </a:prstGeom>
                  </pic:spPr>
                </pic:pic>
              </a:graphicData>
            </a:graphic>
            <wp14:sizeRelH relativeFrom="page">
              <wp14:pctWidth>0</wp14:pctWidth>
            </wp14:sizeRelH>
            <wp14:sizeRelV relativeFrom="page">
              <wp14:pctHeight>0</wp14:pctHeight>
            </wp14:sizeRelV>
          </wp:anchor>
        </w:drawing>
      </w:r>
      <w:sdt>
        <w:sdtPr>
          <w:rPr>
            <w:rFonts w:cs="Segoe UI"/>
            <w:b/>
            <w:color w:val="FFFFFF" w:themeColor="background1"/>
            <w:sz w:val="64"/>
            <w:szCs w:val="64"/>
          </w:rPr>
          <w:id w:val="-893733391"/>
          <w:docPartObj>
            <w:docPartGallery w:val="Cover Pages"/>
            <w:docPartUnique/>
          </w:docPartObj>
        </w:sdtPr>
        <w:sdtEndPr>
          <w:rPr>
            <w:sz w:val="36"/>
            <w:szCs w:val="36"/>
          </w:rPr>
        </w:sdtEndPr>
        <w:sdtContent>
          <w:r w:rsidR="00AE4881">
            <w:rPr>
              <w:rFonts w:cs="Segoe UI"/>
              <w:b/>
              <w:color w:val="FFFFFF" w:themeColor="background1"/>
              <w:sz w:val="64"/>
              <w:szCs w:val="64"/>
            </w:rPr>
            <w:t>Review of policy interventions to increase socio-economic diversity and improve learning outcomes</w:t>
          </w:r>
        </w:sdtContent>
      </w:sdt>
    </w:p>
    <w:p w14:paraId="00CA4573" w14:textId="03A2CBAD" w:rsidR="0004487F" w:rsidRPr="00F75386" w:rsidRDefault="00293A13" w:rsidP="006203D9">
      <w:pPr>
        <w:pStyle w:val="CoverPage-Client"/>
        <w:spacing w:before="360"/>
        <w:rPr>
          <w:rFonts w:cs="Segoe UI"/>
          <w:color w:val="F8981D" w:themeColor="accent3"/>
        </w:rPr>
      </w:pPr>
      <w:r>
        <w:rPr>
          <w:rStyle w:val="CoverPage-ClientChar"/>
          <w:rFonts w:cs="Segoe UI"/>
          <w:color w:val="F8981D" w:themeColor="accent3"/>
        </w:rPr>
        <w:t xml:space="preserve">Report commissioned by the Independent Expert Panel for the Review </w:t>
      </w:r>
      <w:r w:rsidR="00F95F86">
        <w:rPr>
          <w:rStyle w:val="CoverPage-ClientChar"/>
          <w:rFonts w:cs="Segoe UI"/>
          <w:color w:val="F8981D" w:themeColor="accent3"/>
        </w:rPr>
        <w:t>to Inform a Better and Fairer Education System</w:t>
      </w:r>
    </w:p>
    <w:p w14:paraId="55F7E65D" w14:textId="5533B016" w:rsidR="0004487F" w:rsidRPr="00F61671" w:rsidRDefault="00772EDC" w:rsidP="00F61671">
      <w:pPr>
        <w:pStyle w:val="CoverPage-Date"/>
        <w:spacing w:before="240"/>
        <w:rPr>
          <w:color w:val="FFFFFF" w:themeColor="background1"/>
        </w:rPr>
        <w:sectPr w:rsidR="0004487F" w:rsidRPr="00F61671" w:rsidSect="00000447">
          <w:headerReference w:type="default" r:id="rId10"/>
          <w:footerReference w:type="default" r:id="rId11"/>
          <w:headerReference w:type="first" r:id="rId12"/>
          <w:pgSz w:w="11907" w:h="16839" w:code="9"/>
          <w:pgMar w:top="4820" w:right="1361" w:bottom="1361" w:left="1361" w:header="737" w:footer="567" w:gutter="0"/>
          <w:pgNumType w:start="0"/>
          <w:cols w:space="720"/>
          <w:titlePg/>
          <w:docGrid w:linePitch="360"/>
        </w:sectPr>
      </w:pPr>
      <w:r>
        <w:rPr>
          <w:rStyle w:val="CoverPage-DateChar"/>
          <w:rFonts w:cs="Segoe UI"/>
          <w:color w:val="FFFFFF" w:themeColor="background1"/>
          <w:sz w:val="20"/>
          <w:szCs w:val="20"/>
        </w:rPr>
        <w:t>24 October 2023</w:t>
      </w:r>
    </w:p>
    <w:p w14:paraId="2A51EBD9" w14:textId="00E09181" w:rsidR="00CF7BA0" w:rsidRPr="00760DDA" w:rsidRDefault="00CF7BA0" w:rsidP="00103F8B">
      <w:pPr>
        <w:pStyle w:val="ContentsHeading"/>
      </w:pPr>
      <w:r w:rsidRPr="00760DDA">
        <w:lastRenderedPageBreak/>
        <w:t>Contents</w:t>
      </w:r>
    </w:p>
    <w:p w14:paraId="0F15C6DA" w14:textId="1ED1EF83" w:rsidR="002602EE" w:rsidRDefault="0027699D">
      <w:pPr>
        <w:pStyle w:val="TOC1"/>
        <w:rPr>
          <w:rFonts w:asciiTheme="minorHAnsi" w:eastAsiaTheme="minorEastAsia" w:hAnsiTheme="minorHAnsi"/>
          <w:b w:val="0"/>
          <w:bCs w:val="0"/>
          <w:kern w:val="2"/>
          <w:sz w:val="22"/>
          <w:lang w:val="en-AU" w:eastAsia="en-AU"/>
          <w14:ligatures w14:val="standardContextual"/>
        </w:rPr>
      </w:pPr>
      <w:r w:rsidRPr="0086054F">
        <w:rPr>
          <w:lang w:eastAsia="en-AU"/>
        </w:rPr>
        <w:fldChar w:fldCharType="begin"/>
      </w:r>
      <w:r w:rsidRPr="0086054F">
        <w:rPr>
          <w:lang w:eastAsia="en-AU"/>
        </w:rPr>
        <w:instrText xml:space="preserve"> TOC \o "1-2" \h \z \u </w:instrText>
      </w:r>
      <w:r w:rsidRPr="0086054F">
        <w:rPr>
          <w:lang w:eastAsia="en-AU"/>
        </w:rPr>
        <w:fldChar w:fldCharType="separate"/>
      </w:r>
      <w:hyperlink w:anchor="_Toc149052444" w:history="1">
        <w:r w:rsidR="002602EE" w:rsidRPr="005A1804">
          <w:rPr>
            <w:rStyle w:val="Hyperlink"/>
          </w:rPr>
          <w:t>1</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Executive summary</w:t>
        </w:r>
        <w:r w:rsidR="002602EE">
          <w:rPr>
            <w:webHidden/>
          </w:rPr>
          <w:tab/>
        </w:r>
        <w:r w:rsidR="002602EE">
          <w:rPr>
            <w:webHidden/>
          </w:rPr>
          <w:fldChar w:fldCharType="begin"/>
        </w:r>
        <w:r w:rsidR="002602EE">
          <w:rPr>
            <w:webHidden/>
          </w:rPr>
          <w:instrText xml:space="preserve"> PAGEREF _Toc149052444 \h </w:instrText>
        </w:r>
        <w:r w:rsidR="002602EE">
          <w:rPr>
            <w:webHidden/>
          </w:rPr>
        </w:r>
        <w:r w:rsidR="002602EE">
          <w:rPr>
            <w:webHidden/>
          </w:rPr>
          <w:fldChar w:fldCharType="separate"/>
        </w:r>
        <w:r w:rsidR="009B7086">
          <w:rPr>
            <w:webHidden/>
          </w:rPr>
          <w:t>1</w:t>
        </w:r>
        <w:r w:rsidR="002602EE">
          <w:rPr>
            <w:webHidden/>
          </w:rPr>
          <w:fldChar w:fldCharType="end"/>
        </w:r>
      </w:hyperlink>
    </w:p>
    <w:p w14:paraId="517A52F7" w14:textId="482AAE54" w:rsidR="002602EE" w:rsidRDefault="00000000">
      <w:pPr>
        <w:pStyle w:val="TOC1"/>
        <w:rPr>
          <w:rFonts w:asciiTheme="minorHAnsi" w:eastAsiaTheme="minorEastAsia" w:hAnsiTheme="minorHAnsi"/>
          <w:b w:val="0"/>
          <w:bCs w:val="0"/>
          <w:kern w:val="2"/>
          <w:sz w:val="22"/>
          <w:lang w:val="en-AU" w:eastAsia="en-AU"/>
          <w14:ligatures w14:val="standardContextual"/>
        </w:rPr>
      </w:pPr>
      <w:hyperlink w:anchor="_Toc149052445" w:history="1">
        <w:r w:rsidR="002602EE" w:rsidRPr="005A1804">
          <w:rPr>
            <w:rStyle w:val="Hyperlink"/>
          </w:rPr>
          <w:t>2</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Context and approach</w:t>
        </w:r>
        <w:r w:rsidR="002602EE">
          <w:rPr>
            <w:webHidden/>
          </w:rPr>
          <w:tab/>
        </w:r>
        <w:r w:rsidR="002602EE">
          <w:rPr>
            <w:webHidden/>
          </w:rPr>
          <w:fldChar w:fldCharType="begin"/>
        </w:r>
        <w:r w:rsidR="002602EE">
          <w:rPr>
            <w:webHidden/>
          </w:rPr>
          <w:instrText xml:space="preserve"> PAGEREF _Toc149052445 \h </w:instrText>
        </w:r>
        <w:r w:rsidR="002602EE">
          <w:rPr>
            <w:webHidden/>
          </w:rPr>
        </w:r>
        <w:r w:rsidR="002602EE">
          <w:rPr>
            <w:webHidden/>
          </w:rPr>
          <w:fldChar w:fldCharType="separate"/>
        </w:r>
        <w:r w:rsidR="009B7086">
          <w:rPr>
            <w:webHidden/>
          </w:rPr>
          <w:t>4</w:t>
        </w:r>
        <w:r w:rsidR="002602EE">
          <w:rPr>
            <w:webHidden/>
          </w:rPr>
          <w:fldChar w:fldCharType="end"/>
        </w:r>
      </w:hyperlink>
    </w:p>
    <w:p w14:paraId="5CCDA94B" w14:textId="38E237DE"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46" w:history="1">
        <w:r w:rsidR="002602EE" w:rsidRPr="005A1804">
          <w:rPr>
            <w:rStyle w:val="Hyperlink"/>
            <w:noProof/>
          </w:rPr>
          <w:t>2.1</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Project objective and context</w:t>
        </w:r>
        <w:r w:rsidR="002602EE">
          <w:rPr>
            <w:noProof/>
            <w:webHidden/>
          </w:rPr>
          <w:tab/>
        </w:r>
        <w:r w:rsidR="002602EE">
          <w:rPr>
            <w:noProof/>
            <w:webHidden/>
          </w:rPr>
          <w:fldChar w:fldCharType="begin"/>
        </w:r>
        <w:r w:rsidR="002602EE">
          <w:rPr>
            <w:noProof/>
            <w:webHidden/>
          </w:rPr>
          <w:instrText xml:space="preserve"> PAGEREF _Toc149052446 \h </w:instrText>
        </w:r>
        <w:r w:rsidR="002602EE">
          <w:rPr>
            <w:noProof/>
            <w:webHidden/>
          </w:rPr>
        </w:r>
        <w:r w:rsidR="002602EE">
          <w:rPr>
            <w:noProof/>
            <w:webHidden/>
          </w:rPr>
          <w:fldChar w:fldCharType="separate"/>
        </w:r>
        <w:r w:rsidR="009B7086">
          <w:rPr>
            <w:noProof/>
            <w:webHidden/>
          </w:rPr>
          <w:t>4</w:t>
        </w:r>
        <w:r w:rsidR="002602EE">
          <w:rPr>
            <w:noProof/>
            <w:webHidden/>
          </w:rPr>
          <w:fldChar w:fldCharType="end"/>
        </w:r>
      </w:hyperlink>
    </w:p>
    <w:p w14:paraId="58E47ABC" w14:textId="0858E46A"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47" w:history="1">
        <w:r w:rsidR="002602EE" w:rsidRPr="005A1804">
          <w:rPr>
            <w:rStyle w:val="Hyperlink"/>
            <w:noProof/>
          </w:rPr>
          <w:t>2.2</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Project approach</w:t>
        </w:r>
        <w:r w:rsidR="002602EE">
          <w:rPr>
            <w:noProof/>
            <w:webHidden/>
          </w:rPr>
          <w:tab/>
        </w:r>
        <w:r w:rsidR="002602EE">
          <w:rPr>
            <w:noProof/>
            <w:webHidden/>
          </w:rPr>
          <w:fldChar w:fldCharType="begin"/>
        </w:r>
        <w:r w:rsidR="002602EE">
          <w:rPr>
            <w:noProof/>
            <w:webHidden/>
          </w:rPr>
          <w:instrText xml:space="preserve"> PAGEREF _Toc149052447 \h </w:instrText>
        </w:r>
        <w:r w:rsidR="002602EE">
          <w:rPr>
            <w:noProof/>
            <w:webHidden/>
          </w:rPr>
        </w:r>
        <w:r w:rsidR="002602EE">
          <w:rPr>
            <w:noProof/>
            <w:webHidden/>
          </w:rPr>
          <w:fldChar w:fldCharType="separate"/>
        </w:r>
        <w:r w:rsidR="009B7086">
          <w:rPr>
            <w:noProof/>
            <w:webHidden/>
          </w:rPr>
          <w:t>5</w:t>
        </w:r>
        <w:r w:rsidR="002602EE">
          <w:rPr>
            <w:noProof/>
            <w:webHidden/>
          </w:rPr>
          <w:fldChar w:fldCharType="end"/>
        </w:r>
      </w:hyperlink>
    </w:p>
    <w:p w14:paraId="50456BFE" w14:textId="7C5EBF63" w:rsidR="002602EE" w:rsidRDefault="00000000">
      <w:pPr>
        <w:pStyle w:val="TOC1"/>
        <w:rPr>
          <w:rFonts w:asciiTheme="minorHAnsi" w:eastAsiaTheme="minorEastAsia" w:hAnsiTheme="minorHAnsi"/>
          <w:b w:val="0"/>
          <w:bCs w:val="0"/>
          <w:kern w:val="2"/>
          <w:sz w:val="22"/>
          <w:lang w:val="en-AU" w:eastAsia="en-AU"/>
          <w14:ligatures w14:val="standardContextual"/>
        </w:rPr>
      </w:pPr>
      <w:hyperlink w:anchor="_Toc149052448" w:history="1">
        <w:r w:rsidR="002602EE" w:rsidRPr="005A1804">
          <w:rPr>
            <w:rStyle w:val="Hyperlink"/>
          </w:rPr>
          <w:t>3</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Findings</w:t>
        </w:r>
        <w:r w:rsidR="002602EE">
          <w:rPr>
            <w:webHidden/>
          </w:rPr>
          <w:tab/>
        </w:r>
        <w:r w:rsidR="002602EE">
          <w:rPr>
            <w:webHidden/>
          </w:rPr>
          <w:fldChar w:fldCharType="begin"/>
        </w:r>
        <w:r w:rsidR="002602EE">
          <w:rPr>
            <w:webHidden/>
          </w:rPr>
          <w:instrText xml:space="preserve"> PAGEREF _Toc149052448 \h </w:instrText>
        </w:r>
        <w:r w:rsidR="002602EE">
          <w:rPr>
            <w:webHidden/>
          </w:rPr>
        </w:r>
        <w:r w:rsidR="002602EE">
          <w:rPr>
            <w:webHidden/>
          </w:rPr>
          <w:fldChar w:fldCharType="separate"/>
        </w:r>
        <w:r w:rsidR="009B7086">
          <w:rPr>
            <w:webHidden/>
          </w:rPr>
          <w:t>8</w:t>
        </w:r>
        <w:r w:rsidR="002602EE">
          <w:rPr>
            <w:webHidden/>
          </w:rPr>
          <w:fldChar w:fldCharType="end"/>
        </w:r>
      </w:hyperlink>
    </w:p>
    <w:p w14:paraId="124CC61E" w14:textId="31FEA57D"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49" w:history="1">
        <w:r w:rsidR="002602EE" w:rsidRPr="005A1804">
          <w:rPr>
            <w:rStyle w:val="Hyperlink"/>
            <w:noProof/>
          </w:rPr>
          <w:t>3.1</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Legislated quotas</w:t>
        </w:r>
        <w:r w:rsidR="002602EE">
          <w:rPr>
            <w:noProof/>
            <w:webHidden/>
          </w:rPr>
          <w:tab/>
        </w:r>
        <w:r w:rsidR="002602EE">
          <w:rPr>
            <w:noProof/>
            <w:webHidden/>
          </w:rPr>
          <w:fldChar w:fldCharType="begin"/>
        </w:r>
        <w:r w:rsidR="002602EE">
          <w:rPr>
            <w:noProof/>
            <w:webHidden/>
          </w:rPr>
          <w:instrText xml:space="preserve"> PAGEREF _Toc149052449 \h </w:instrText>
        </w:r>
        <w:r w:rsidR="002602EE">
          <w:rPr>
            <w:noProof/>
            <w:webHidden/>
          </w:rPr>
        </w:r>
        <w:r w:rsidR="002602EE">
          <w:rPr>
            <w:noProof/>
            <w:webHidden/>
          </w:rPr>
          <w:fldChar w:fldCharType="separate"/>
        </w:r>
        <w:r w:rsidR="009B7086">
          <w:rPr>
            <w:noProof/>
            <w:webHidden/>
          </w:rPr>
          <w:t>8</w:t>
        </w:r>
        <w:r w:rsidR="002602EE">
          <w:rPr>
            <w:noProof/>
            <w:webHidden/>
          </w:rPr>
          <w:fldChar w:fldCharType="end"/>
        </w:r>
      </w:hyperlink>
    </w:p>
    <w:p w14:paraId="26593462" w14:textId="7E7A18EE"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0" w:history="1">
        <w:r w:rsidR="002602EE" w:rsidRPr="005A1804">
          <w:rPr>
            <w:rStyle w:val="Hyperlink"/>
            <w:noProof/>
          </w:rPr>
          <w:t>3.2</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Removal of fees</w:t>
        </w:r>
        <w:r w:rsidR="002602EE">
          <w:rPr>
            <w:noProof/>
            <w:webHidden/>
          </w:rPr>
          <w:tab/>
        </w:r>
        <w:r w:rsidR="002602EE">
          <w:rPr>
            <w:noProof/>
            <w:webHidden/>
          </w:rPr>
          <w:fldChar w:fldCharType="begin"/>
        </w:r>
        <w:r w:rsidR="002602EE">
          <w:rPr>
            <w:noProof/>
            <w:webHidden/>
          </w:rPr>
          <w:instrText xml:space="preserve"> PAGEREF _Toc149052450 \h </w:instrText>
        </w:r>
        <w:r w:rsidR="002602EE">
          <w:rPr>
            <w:noProof/>
            <w:webHidden/>
          </w:rPr>
        </w:r>
        <w:r w:rsidR="002602EE">
          <w:rPr>
            <w:noProof/>
            <w:webHidden/>
          </w:rPr>
          <w:fldChar w:fldCharType="separate"/>
        </w:r>
        <w:r w:rsidR="009B7086">
          <w:rPr>
            <w:noProof/>
            <w:webHidden/>
          </w:rPr>
          <w:t>12</w:t>
        </w:r>
        <w:r w:rsidR="002602EE">
          <w:rPr>
            <w:noProof/>
            <w:webHidden/>
          </w:rPr>
          <w:fldChar w:fldCharType="end"/>
        </w:r>
      </w:hyperlink>
    </w:p>
    <w:p w14:paraId="473B5204" w14:textId="100675AD"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1" w:history="1">
        <w:r w:rsidR="002602EE" w:rsidRPr="005A1804">
          <w:rPr>
            <w:rStyle w:val="Hyperlink"/>
            <w:noProof/>
          </w:rPr>
          <w:t>3.3</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Capping fees</w:t>
        </w:r>
        <w:r w:rsidR="002602EE">
          <w:rPr>
            <w:noProof/>
            <w:webHidden/>
          </w:rPr>
          <w:tab/>
        </w:r>
        <w:r w:rsidR="002602EE">
          <w:rPr>
            <w:noProof/>
            <w:webHidden/>
          </w:rPr>
          <w:fldChar w:fldCharType="begin"/>
        </w:r>
        <w:r w:rsidR="002602EE">
          <w:rPr>
            <w:noProof/>
            <w:webHidden/>
          </w:rPr>
          <w:instrText xml:space="preserve"> PAGEREF _Toc149052451 \h </w:instrText>
        </w:r>
        <w:r w:rsidR="002602EE">
          <w:rPr>
            <w:noProof/>
            <w:webHidden/>
          </w:rPr>
        </w:r>
        <w:r w:rsidR="002602EE">
          <w:rPr>
            <w:noProof/>
            <w:webHidden/>
          </w:rPr>
          <w:fldChar w:fldCharType="separate"/>
        </w:r>
        <w:r w:rsidR="009B7086">
          <w:rPr>
            <w:noProof/>
            <w:webHidden/>
          </w:rPr>
          <w:t>16</w:t>
        </w:r>
        <w:r w:rsidR="002602EE">
          <w:rPr>
            <w:noProof/>
            <w:webHidden/>
          </w:rPr>
          <w:fldChar w:fldCharType="end"/>
        </w:r>
      </w:hyperlink>
    </w:p>
    <w:p w14:paraId="49C6490E" w14:textId="592055A4"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2" w:history="1">
        <w:r w:rsidR="002602EE" w:rsidRPr="005A1804">
          <w:rPr>
            <w:rStyle w:val="Hyperlink"/>
            <w:noProof/>
          </w:rPr>
          <w:t>3.4</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Reducing academic selectivity and tracking by schools</w:t>
        </w:r>
        <w:r w:rsidR="002602EE">
          <w:rPr>
            <w:noProof/>
            <w:webHidden/>
          </w:rPr>
          <w:tab/>
        </w:r>
        <w:r w:rsidR="002602EE">
          <w:rPr>
            <w:noProof/>
            <w:webHidden/>
          </w:rPr>
          <w:fldChar w:fldCharType="begin"/>
        </w:r>
        <w:r w:rsidR="002602EE">
          <w:rPr>
            <w:noProof/>
            <w:webHidden/>
          </w:rPr>
          <w:instrText xml:space="preserve"> PAGEREF _Toc149052452 \h </w:instrText>
        </w:r>
        <w:r w:rsidR="002602EE">
          <w:rPr>
            <w:noProof/>
            <w:webHidden/>
          </w:rPr>
        </w:r>
        <w:r w:rsidR="002602EE">
          <w:rPr>
            <w:noProof/>
            <w:webHidden/>
          </w:rPr>
          <w:fldChar w:fldCharType="separate"/>
        </w:r>
        <w:r w:rsidR="009B7086">
          <w:rPr>
            <w:noProof/>
            <w:webHidden/>
          </w:rPr>
          <w:t>21</w:t>
        </w:r>
        <w:r w:rsidR="002602EE">
          <w:rPr>
            <w:noProof/>
            <w:webHidden/>
          </w:rPr>
          <w:fldChar w:fldCharType="end"/>
        </w:r>
      </w:hyperlink>
    </w:p>
    <w:p w14:paraId="56ED839D" w14:textId="4C1AF89E"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3" w:history="1">
        <w:r w:rsidR="002602EE" w:rsidRPr="005A1804">
          <w:rPr>
            <w:rStyle w:val="Hyperlink"/>
            <w:noProof/>
          </w:rPr>
          <w:t>3.5</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School zone flexing and lotteries</w:t>
        </w:r>
        <w:r w:rsidR="002602EE">
          <w:rPr>
            <w:noProof/>
            <w:webHidden/>
          </w:rPr>
          <w:tab/>
        </w:r>
        <w:r w:rsidR="002602EE">
          <w:rPr>
            <w:noProof/>
            <w:webHidden/>
          </w:rPr>
          <w:fldChar w:fldCharType="begin"/>
        </w:r>
        <w:r w:rsidR="002602EE">
          <w:rPr>
            <w:noProof/>
            <w:webHidden/>
          </w:rPr>
          <w:instrText xml:space="preserve"> PAGEREF _Toc149052453 \h </w:instrText>
        </w:r>
        <w:r w:rsidR="002602EE">
          <w:rPr>
            <w:noProof/>
            <w:webHidden/>
          </w:rPr>
        </w:r>
        <w:r w:rsidR="002602EE">
          <w:rPr>
            <w:noProof/>
            <w:webHidden/>
          </w:rPr>
          <w:fldChar w:fldCharType="separate"/>
        </w:r>
        <w:r w:rsidR="009B7086">
          <w:rPr>
            <w:noProof/>
            <w:webHidden/>
          </w:rPr>
          <w:t>25</w:t>
        </w:r>
        <w:r w:rsidR="002602EE">
          <w:rPr>
            <w:noProof/>
            <w:webHidden/>
          </w:rPr>
          <w:fldChar w:fldCharType="end"/>
        </w:r>
      </w:hyperlink>
    </w:p>
    <w:p w14:paraId="70DEFC98" w14:textId="16535134"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4" w:history="1">
        <w:r w:rsidR="002602EE" w:rsidRPr="005A1804">
          <w:rPr>
            <w:rStyle w:val="Hyperlink"/>
            <w:noProof/>
          </w:rPr>
          <w:t>3.6</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Preference matching, including controlled choice</w:t>
        </w:r>
        <w:r w:rsidR="002602EE">
          <w:rPr>
            <w:noProof/>
            <w:webHidden/>
          </w:rPr>
          <w:tab/>
        </w:r>
        <w:r w:rsidR="002602EE">
          <w:rPr>
            <w:noProof/>
            <w:webHidden/>
          </w:rPr>
          <w:fldChar w:fldCharType="begin"/>
        </w:r>
        <w:r w:rsidR="002602EE">
          <w:rPr>
            <w:noProof/>
            <w:webHidden/>
          </w:rPr>
          <w:instrText xml:space="preserve"> PAGEREF _Toc149052454 \h </w:instrText>
        </w:r>
        <w:r w:rsidR="002602EE">
          <w:rPr>
            <w:noProof/>
            <w:webHidden/>
          </w:rPr>
        </w:r>
        <w:r w:rsidR="002602EE">
          <w:rPr>
            <w:noProof/>
            <w:webHidden/>
          </w:rPr>
          <w:fldChar w:fldCharType="separate"/>
        </w:r>
        <w:r w:rsidR="009B7086">
          <w:rPr>
            <w:noProof/>
            <w:webHidden/>
          </w:rPr>
          <w:t>30</w:t>
        </w:r>
        <w:r w:rsidR="002602EE">
          <w:rPr>
            <w:noProof/>
            <w:webHidden/>
          </w:rPr>
          <w:fldChar w:fldCharType="end"/>
        </w:r>
      </w:hyperlink>
    </w:p>
    <w:p w14:paraId="358D35E6" w14:textId="79357BC0"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5" w:history="1">
        <w:r w:rsidR="002602EE" w:rsidRPr="005A1804">
          <w:rPr>
            <w:rStyle w:val="Hyperlink"/>
            <w:noProof/>
          </w:rPr>
          <w:t>3.7</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Financial incentives to schools</w:t>
        </w:r>
        <w:r w:rsidR="002602EE">
          <w:rPr>
            <w:noProof/>
            <w:webHidden/>
          </w:rPr>
          <w:tab/>
        </w:r>
        <w:r w:rsidR="002602EE">
          <w:rPr>
            <w:noProof/>
            <w:webHidden/>
          </w:rPr>
          <w:fldChar w:fldCharType="begin"/>
        </w:r>
        <w:r w:rsidR="002602EE">
          <w:rPr>
            <w:noProof/>
            <w:webHidden/>
          </w:rPr>
          <w:instrText xml:space="preserve"> PAGEREF _Toc149052455 \h </w:instrText>
        </w:r>
        <w:r w:rsidR="002602EE">
          <w:rPr>
            <w:noProof/>
            <w:webHidden/>
          </w:rPr>
        </w:r>
        <w:r w:rsidR="002602EE">
          <w:rPr>
            <w:noProof/>
            <w:webHidden/>
          </w:rPr>
          <w:fldChar w:fldCharType="separate"/>
        </w:r>
        <w:r w:rsidR="009B7086">
          <w:rPr>
            <w:noProof/>
            <w:webHidden/>
          </w:rPr>
          <w:t>35</w:t>
        </w:r>
        <w:r w:rsidR="002602EE">
          <w:rPr>
            <w:noProof/>
            <w:webHidden/>
          </w:rPr>
          <w:fldChar w:fldCharType="end"/>
        </w:r>
      </w:hyperlink>
    </w:p>
    <w:p w14:paraId="05599AF0" w14:textId="19A7981C"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6" w:history="1">
        <w:r w:rsidR="002602EE" w:rsidRPr="005A1804">
          <w:rPr>
            <w:rStyle w:val="Hyperlink"/>
            <w:noProof/>
          </w:rPr>
          <w:t>3.8</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Incentives to educators</w:t>
        </w:r>
        <w:r w:rsidR="002602EE">
          <w:rPr>
            <w:noProof/>
            <w:webHidden/>
          </w:rPr>
          <w:tab/>
        </w:r>
        <w:r w:rsidR="002602EE">
          <w:rPr>
            <w:noProof/>
            <w:webHidden/>
          </w:rPr>
          <w:fldChar w:fldCharType="begin"/>
        </w:r>
        <w:r w:rsidR="002602EE">
          <w:rPr>
            <w:noProof/>
            <w:webHidden/>
          </w:rPr>
          <w:instrText xml:space="preserve"> PAGEREF _Toc149052456 \h </w:instrText>
        </w:r>
        <w:r w:rsidR="002602EE">
          <w:rPr>
            <w:noProof/>
            <w:webHidden/>
          </w:rPr>
        </w:r>
        <w:r w:rsidR="002602EE">
          <w:rPr>
            <w:noProof/>
            <w:webHidden/>
          </w:rPr>
          <w:fldChar w:fldCharType="separate"/>
        </w:r>
        <w:r w:rsidR="009B7086">
          <w:rPr>
            <w:noProof/>
            <w:webHidden/>
          </w:rPr>
          <w:t>39</w:t>
        </w:r>
        <w:r w:rsidR="002602EE">
          <w:rPr>
            <w:noProof/>
            <w:webHidden/>
          </w:rPr>
          <w:fldChar w:fldCharType="end"/>
        </w:r>
      </w:hyperlink>
    </w:p>
    <w:p w14:paraId="5999AF9E" w14:textId="3C8ABEA8"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7" w:history="1">
        <w:r w:rsidR="002602EE" w:rsidRPr="005A1804">
          <w:rPr>
            <w:rStyle w:val="Hyperlink"/>
            <w:noProof/>
          </w:rPr>
          <w:t>3.9</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Alternative teaching, assessment and delivery models</w:t>
        </w:r>
        <w:r w:rsidR="002602EE">
          <w:rPr>
            <w:noProof/>
            <w:webHidden/>
          </w:rPr>
          <w:tab/>
        </w:r>
        <w:r w:rsidR="002602EE">
          <w:rPr>
            <w:noProof/>
            <w:webHidden/>
          </w:rPr>
          <w:fldChar w:fldCharType="begin"/>
        </w:r>
        <w:r w:rsidR="002602EE">
          <w:rPr>
            <w:noProof/>
            <w:webHidden/>
          </w:rPr>
          <w:instrText xml:space="preserve"> PAGEREF _Toc149052457 \h </w:instrText>
        </w:r>
        <w:r w:rsidR="002602EE">
          <w:rPr>
            <w:noProof/>
            <w:webHidden/>
          </w:rPr>
        </w:r>
        <w:r w:rsidR="002602EE">
          <w:rPr>
            <w:noProof/>
            <w:webHidden/>
          </w:rPr>
          <w:fldChar w:fldCharType="separate"/>
        </w:r>
        <w:r w:rsidR="009B7086">
          <w:rPr>
            <w:noProof/>
            <w:webHidden/>
          </w:rPr>
          <w:t>45</w:t>
        </w:r>
        <w:r w:rsidR="002602EE">
          <w:rPr>
            <w:noProof/>
            <w:webHidden/>
          </w:rPr>
          <w:fldChar w:fldCharType="end"/>
        </w:r>
      </w:hyperlink>
    </w:p>
    <w:p w14:paraId="77F336B5" w14:textId="53011C3F"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58" w:history="1">
        <w:r w:rsidR="002602EE" w:rsidRPr="005A1804">
          <w:rPr>
            <w:rStyle w:val="Hyperlink"/>
            <w:noProof/>
          </w:rPr>
          <w:t>3.10</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Networked schools and teaching capacity exchange</w:t>
        </w:r>
        <w:r w:rsidR="002602EE">
          <w:rPr>
            <w:noProof/>
            <w:webHidden/>
          </w:rPr>
          <w:tab/>
        </w:r>
        <w:r w:rsidR="002602EE">
          <w:rPr>
            <w:noProof/>
            <w:webHidden/>
          </w:rPr>
          <w:fldChar w:fldCharType="begin"/>
        </w:r>
        <w:r w:rsidR="002602EE">
          <w:rPr>
            <w:noProof/>
            <w:webHidden/>
          </w:rPr>
          <w:instrText xml:space="preserve"> PAGEREF _Toc149052458 \h </w:instrText>
        </w:r>
        <w:r w:rsidR="002602EE">
          <w:rPr>
            <w:noProof/>
            <w:webHidden/>
          </w:rPr>
        </w:r>
        <w:r w:rsidR="002602EE">
          <w:rPr>
            <w:noProof/>
            <w:webHidden/>
          </w:rPr>
          <w:fldChar w:fldCharType="separate"/>
        </w:r>
        <w:r w:rsidR="009B7086">
          <w:rPr>
            <w:noProof/>
            <w:webHidden/>
          </w:rPr>
          <w:t>51</w:t>
        </w:r>
        <w:r w:rsidR="002602EE">
          <w:rPr>
            <w:noProof/>
            <w:webHidden/>
          </w:rPr>
          <w:fldChar w:fldCharType="end"/>
        </w:r>
      </w:hyperlink>
    </w:p>
    <w:p w14:paraId="4886B6B0" w14:textId="25D38C32" w:rsidR="002602EE" w:rsidRDefault="00000000">
      <w:pPr>
        <w:pStyle w:val="TOC1"/>
        <w:rPr>
          <w:rFonts w:asciiTheme="minorHAnsi" w:eastAsiaTheme="minorEastAsia" w:hAnsiTheme="minorHAnsi"/>
          <w:b w:val="0"/>
          <w:bCs w:val="0"/>
          <w:kern w:val="2"/>
          <w:sz w:val="22"/>
          <w:lang w:val="en-AU" w:eastAsia="en-AU"/>
          <w14:ligatures w14:val="standardContextual"/>
        </w:rPr>
      </w:pPr>
      <w:hyperlink w:anchor="_Toc149052459" w:history="1">
        <w:r w:rsidR="002602EE" w:rsidRPr="005A1804">
          <w:rPr>
            <w:rStyle w:val="Hyperlink"/>
          </w:rPr>
          <w:t>4</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Policy implications for Australia</w:t>
        </w:r>
        <w:r w:rsidR="002602EE">
          <w:rPr>
            <w:webHidden/>
          </w:rPr>
          <w:tab/>
        </w:r>
        <w:r w:rsidR="002602EE">
          <w:rPr>
            <w:webHidden/>
          </w:rPr>
          <w:fldChar w:fldCharType="begin"/>
        </w:r>
        <w:r w:rsidR="002602EE">
          <w:rPr>
            <w:webHidden/>
          </w:rPr>
          <w:instrText xml:space="preserve"> PAGEREF _Toc149052459 \h </w:instrText>
        </w:r>
        <w:r w:rsidR="002602EE">
          <w:rPr>
            <w:webHidden/>
          </w:rPr>
        </w:r>
        <w:r w:rsidR="002602EE">
          <w:rPr>
            <w:webHidden/>
          </w:rPr>
          <w:fldChar w:fldCharType="separate"/>
        </w:r>
        <w:r w:rsidR="009B7086">
          <w:rPr>
            <w:webHidden/>
          </w:rPr>
          <w:t>55</w:t>
        </w:r>
        <w:r w:rsidR="002602EE">
          <w:rPr>
            <w:webHidden/>
          </w:rPr>
          <w:fldChar w:fldCharType="end"/>
        </w:r>
      </w:hyperlink>
    </w:p>
    <w:p w14:paraId="731B5E5E" w14:textId="4B43A40E"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0" w:history="1">
        <w:r w:rsidR="002602EE" w:rsidRPr="005A1804">
          <w:rPr>
            <w:rStyle w:val="Hyperlink"/>
            <w:noProof/>
          </w:rPr>
          <w:t>4.1</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The greatest impact can be achieved through a combination of interventions</w:t>
        </w:r>
        <w:r w:rsidR="002602EE">
          <w:rPr>
            <w:noProof/>
            <w:webHidden/>
          </w:rPr>
          <w:tab/>
        </w:r>
        <w:r w:rsidR="002602EE">
          <w:rPr>
            <w:noProof/>
            <w:webHidden/>
          </w:rPr>
          <w:fldChar w:fldCharType="begin"/>
        </w:r>
        <w:r w:rsidR="002602EE">
          <w:rPr>
            <w:noProof/>
            <w:webHidden/>
          </w:rPr>
          <w:instrText xml:space="preserve"> PAGEREF _Toc149052460 \h </w:instrText>
        </w:r>
        <w:r w:rsidR="002602EE">
          <w:rPr>
            <w:noProof/>
            <w:webHidden/>
          </w:rPr>
        </w:r>
        <w:r w:rsidR="002602EE">
          <w:rPr>
            <w:noProof/>
            <w:webHidden/>
          </w:rPr>
          <w:fldChar w:fldCharType="separate"/>
        </w:r>
        <w:r w:rsidR="009B7086">
          <w:rPr>
            <w:noProof/>
            <w:webHidden/>
          </w:rPr>
          <w:t>55</w:t>
        </w:r>
        <w:r w:rsidR="002602EE">
          <w:rPr>
            <w:noProof/>
            <w:webHidden/>
          </w:rPr>
          <w:fldChar w:fldCharType="end"/>
        </w:r>
      </w:hyperlink>
    </w:p>
    <w:p w14:paraId="7C003395" w14:textId="09B49B0D"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1" w:history="1">
        <w:r w:rsidR="002602EE" w:rsidRPr="005A1804">
          <w:rPr>
            <w:rStyle w:val="Hyperlink"/>
            <w:noProof/>
          </w:rPr>
          <w:t>4.2</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Concurrent policies can also undermine each other</w:t>
        </w:r>
        <w:r w:rsidR="002602EE">
          <w:rPr>
            <w:noProof/>
            <w:webHidden/>
          </w:rPr>
          <w:tab/>
        </w:r>
        <w:r w:rsidR="002602EE">
          <w:rPr>
            <w:noProof/>
            <w:webHidden/>
          </w:rPr>
          <w:fldChar w:fldCharType="begin"/>
        </w:r>
        <w:r w:rsidR="002602EE">
          <w:rPr>
            <w:noProof/>
            <w:webHidden/>
          </w:rPr>
          <w:instrText xml:space="preserve"> PAGEREF _Toc149052461 \h </w:instrText>
        </w:r>
        <w:r w:rsidR="002602EE">
          <w:rPr>
            <w:noProof/>
            <w:webHidden/>
          </w:rPr>
        </w:r>
        <w:r w:rsidR="002602EE">
          <w:rPr>
            <w:noProof/>
            <w:webHidden/>
          </w:rPr>
          <w:fldChar w:fldCharType="separate"/>
        </w:r>
        <w:r w:rsidR="009B7086">
          <w:rPr>
            <w:noProof/>
            <w:webHidden/>
          </w:rPr>
          <w:t>55</w:t>
        </w:r>
        <w:r w:rsidR="002602EE">
          <w:rPr>
            <w:noProof/>
            <w:webHidden/>
          </w:rPr>
          <w:fldChar w:fldCharType="end"/>
        </w:r>
      </w:hyperlink>
    </w:p>
    <w:p w14:paraId="2EC7C9A6" w14:textId="382A6179"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2" w:history="1">
        <w:r w:rsidR="002602EE" w:rsidRPr="005A1804">
          <w:rPr>
            <w:rStyle w:val="Hyperlink"/>
            <w:noProof/>
          </w:rPr>
          <w:t>4.3</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Concentrations of First Nations students are a special case</w:t>
        </w:r>
        <w:r w:rsidR="002602EE">
          <w:rPr>
            <w:noProof/>
            <w:webHidden/>
          </w:rPr>
          <w:tab/>
        </w:r>
        <w:r w:rsidR="002602EE">
          <w:rPr>
            <w:noProof/>
            <w:webHidden/>
          </w:rPr>
          <w:fldChar w:fldCharType="begin"/>
        </w:r>
        <w:r w:rsidR="002602EE">
          <w:rPr>
            <w:noProof/>
            <w:webHidden/>
          </w:rPr>
          <w:instrText xml:space="preserve"> PAGEREF _Toc149052462 \h </w:instrText>
        </w:r>
        <w:r w:rsidR="002602EE">
          <w:rPr>
            <w:noProof/>
            <w:webHidden/>
          </w:rPr>
        </w:r>
        <w:r w:rsidR="002602EE">
          <w:rPr>
            <w:noProof/>
            <w:webHidden/>
          </w:rPr>
          <w:fldChar w:fldCharType="separate"/>
        </w:r>
        <w:r w:rsidR="009B7086">
          <w:rPr>
            <w:noProof/>
            <w:webHidden/>
          </w:rPr>
          <w:t>56</w:t>
        </w:r>
        <w:r w:rsidR="002602EE">
          <w:rPr>
            <w:noProof/>
            <w:webHidden/>
          </w:rPr>
          <w:fldChar w:fldCharType="end"/>
        </w:r>
      </w:hyperlink>
    </w:p>
    <w:p w14:paraId="418FBC26" w14:textId="50413F67"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3" w:history="1">
        <w:r w:rsidR="002602EE" w:rsidRPr="005A1804">
          <w:rPr>
            <w:rStyle w:val="Hyperlink"/>
            <w:noProof/>
          </w:rPr>
          <w:t>4.4</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International lessons transcend differences in politics, culture and geography</w:t>
        </w:r>
        <w:r w:rsidR="002602EE">
          <w:rPr>
            <w:noProof/>
            <w:webHidden/>
          </w:rPr>
          <w:tab/>
        </w:r>
        <w:r w:rsidR="002602EE">
          <w:rPr>
            <w:noProof/>
            <w:webHidden/>
          </w:rPr>
          <w:fldChar w:fldCharType="begin"/>
        </w:r>
        <w:r w:rsidR="002602EE">
          <w:rPr>
            <w:noProof/>
            <w:webHidden/>
          </w:rPr>
          <w:instrText xml:space="preserve"> PAGEREF _Toc149052463 \h </w:instrText>
        </w:r>
        <w:r w:rsidR="002602EE">
          <w:rPr>
            <w:noProof/>
            <w:webHidden/>
          </w:rPr>
        </w:r>
        <w:r w:rsidR="002602EE">
          <w:rPr>
            <w:noProof/>
            <w:webHidden/>
          </w:rPr>
          <w:fldChar w:fldCharType="separate"/>
        </w:r>
        <w:r w:rsidR="009B7086">
          <w:rPr>
            <w:noProof/>
            <w:webHidden/>
          </w:rPr>
          <w:t>58</w:t>
        </w:r>
        <w:r w:rsidR="002602EE">
          <w:rPr>
            <w:noProof/>
            <w:webHidden/>
          </w:rPr>
          <w:fldChar w:fldCharType="end"/>
        </w:r>
      </w:hyperlink>
    </w:p>
    <w:p w14:paraId="4231C549" w14:textId="56EAF1E8"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4" w:history="1">
        <w:r w:rsidR="002602EE" w:rsidRPr="005A1804">
          <w:rPr>
            <w:rStyle w:val="Hyperlink"/>
            <w:noProof/>
          </w:rPr>
          <w:t>4.5</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Changes can be phased in</w:t>
        </w:r>
        <w:r w:rsidR="002602EE">
          <w:rPr>
            <w:noProof/>
            <w:webHidden/>
          </w:rPr>
          <w:tab/>
        </w:r>
        <w:r w:rsidR="002602EE">
          <w:rPr>
            <w:noProof/>
            <w:webHidden/>
          </w:rPr>
          <w:fldChar w:fldCharType="begin"/>
        </w:r>
        <w:r w:rsidR="002602EE">
          <w:rPr>
            <w:noProof/>
            <w:webHidden/>
          </w:rPr>
          <w:instrText xml:space="preserve"> PAGEREF _Toc149052464 \h </w:instrText>
        </w:r>
        <w:r w:rsidR="002602EE">
          <w:rPr>
            <w:noProof/>
            <w:webHidden/>
          </w:rPr>
        </w:r>
        <w:r w:rsidR="002602EE">
          <w:rPr>
            <w:noProof/>
            <w:webHidden/>
          </w:rPr>
          <w:fldChar w:fldCharType="separate"/>
        </w:r>
        <w:r w:rsidR="009B7086">
          <w:rPr>
            <w:noProof/>
            <w:webHidden/>
          </w:rPr>
          <w:t>58</w:t>
        </w:r>
        <w:r w:rsidR="002602EE">
          <w:rPr>
            <w:noProof/>
            <w:webHidden/>
          </w:rPr>
          <w:fldChar w:fldCharType="end"/>
        </w:r>
      </w:hyperlink>
    </w:p>
    <w:p w14:paraId="0A6A664D" w14:textId="0F61087D"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5" w:history="1">
        <w:r w:rsidR="002602EE" w:rsidRPr="005A1804">
          <w:rPr>
            <w:rStyle w:val="Hyperlink"/>
            <w:noProof/>
          </w:rPr>
          <w:t>4.6</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There are several factors common to successful interventions</w:t>
        </w:r>
        <w:r w:rsidR="002602EE">
          <w:rPr>
            <w:noProof/>
            <w:webHidden/>
          </w:rPr>
          <w:tab/>
        </w:r>
        <w:r w:rsidR="002602EE">
          <w:rPr>
            <w:noProof/>
            <w:webHidden/>
          </w:rPr>
          <w:fldChar w:fldCharType="begin"/>
        </w:r>
        <w:r w:rsidR="002602EE">
          <w:rPr>
            <w:noProof/>
            <w:webHidden/>
          </w:rPr>
          <w:instrText xml:space="preserve"> PAGEREF _Toc149052465 \h </w:instrText>
        </w:r>
        <w:r w:rsidR="002602EE">
          <w:rPr>
            <w:noProof/>
            <w:webHidden/>
          </w:rPr>
        </w:r>
        <w:r w:rsidR="002602EE">
          <w:rPr>
            <w:noProof/>
            <w:webHidden/>
          </w:rPr>
          <w:fldChar w:fldCharType="separate"/>
        </w:r>
        <w:r w:rsidR="009B7086">
          <w:rPr>
            <w:noProof/>
            <w:webHidden/>
          </w:rPr>
          <w:t>58</w:t>
        </w:r>
        <w:r w:rsidR="002602EE">
          <w:rPr>
            <w:noProof/>
            <w:webHidden/>
          </w:rPr>
          <w:fldChar w:fldCharType="end"/>
        </w:r>
      </w:hyperlink>
    </w:p>
    <w:p w14:paraId="2EE35737" w14:textId="4CF6E04B" w:rsidR="002602EE" w:rsidRDefault="00000000">
      <w:pPr>
        <w:pStyle w:val="TOC1"/>
        <w:rPr>
          <w:rFonts w:asciiTheme="minorHAnsi" w:eastAsiaTheme="minorEastAsia" w:hAnsiTheme="minorHAnsi"/>
          <w:b w:val="0"/>
          <w:bCs w:val="0"/>
          <w:kern w:val="2"/>
          <w:sz w:val="22"/>
          <w:lang w:val="en-AU" w:eastAsia="en-AU"/>
          <w14:ligatures w14:val="standardContextual"/>
        </w:rPr>
      </w:pPr>
      <w:hyperlink w:anchor="_Toc149052466" w:history="1">
        <w:r w:rsidR="002602EE" w:rsidRPr="005A1804">
          <w:rPr>
            <w:rStyle w:val="Hyperlink"/>
          </w:rPr>
          <w:t>5</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Recommendations</w:t>
        </w:r>
        <w:r w:rsidR="002602EE">
          <w:rPr>
            <w:webHidden/>
          </w:rPr>
          <w:tab/>
        </w:r>
        <w:r w:rsidR="002602EE">
          <w:rPr>
            <w:webHidden/>
          </w:rPr>
          <w:fldChar w:fldCharType="begin"/>
        </w:r>
        <w:r w:rsidR="002602EE">
          <w:rPr>
            <w:webHidden/>
          </w:rPr>
          <w:instrText xml:space="preserve"> PAGEREF _Toc149052466 \h </w:instrText>
        </w:r>
        <w:r w:rsidR="002602EE">
          <w:rPr>
            <w:webHidden/>
          </w:rPr>
        </w:r>
        <w:r w:rsidR="002602EE">
          <w:rPr>
            <w:webHidden/>
          </w:rPr>
          <w:fldChar w:fldCharType="separate"/>
        </w:r>
        <w:r w:rsidR="009B7086">
          <w:rPr>
            <w:webHidden/>
          </w:rPr>
          <w:t>59</w:t>
        </w:r>
        <w:r w:rsidR="002602EE">
          <w:rPr>
            <w:webHidden/>
          </w:rPr>
          <w:fldChar w:fldCharType="end"/>
        </w:r>
      </w:hyperlink>
    </w:p>
    <w:p w14:paraId="62959825" w14:textId="57EED2F9"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7" w:history="1">
        <w:r w:rsidR="002602EE" w:rsidRPr="005A1804">
          <w:rPr>
            <w:rStyle w:val="Hyperlink"/>
            <w:noProof/>
          </w:rPr>
          <w:t>5.2</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Policy interventions that could be tested</w:t>
        </w:r>
        <w:r w:rsidR="002602EE">
          <w:rPr>
            <w:noProof/>
            <w:webHidden/>
          </w:rPr>
          <w:tab/>
        </w:r>
        <w:r w:rsidR="002602EE">
          <w:rPr>
            <w:noProof/>
            <w:webHidden/>
          </w:rPr>
          <w:fldChar w:fldCharType="begin"/>
        </w:r>
        <w:r w:rsidR="002602EE">
          <w:rPr>
            <w:noProof/>
            <w:webHidden/>
          </w:rPr>
          <w:instrText xml:space="preserve"> PAGEREF _Toc149052467 \h </w:instrText>
        </w:r>
        <w:r w:rsidR="002602EE">
          <w:rPr>
            <w:noProof/>
            <w:webHidden/>
          </w:rPr>
        </w:r>
        <w:r w:rsidR="002602EE">
          <w:rPr>
            <w:noProof/>
            <w:webHidden/>
          </w:rPr>
          <w:fldChar w:fldCharType="separate"/>
        </w:r>
        <w:r w:rsidR="009B7086">
          <w:rPr>
            <w:noProof/>
            <w:webHidden/>
          </w:rPr>
          <w:t>59</w:t>
        </w:r>
        <w:r w:rsidR="002602EE">
          <w:rPr>
            <w:noProof/>
            <w:webHidden/>
          </w:rPr>
          <w:fldChar w:fldCharType="end"/>
        </w:r>
      </w:hyperlink>
    </w:p>
    <w:p w14:paraId="1FFAA201" w14:textId="799B87F3"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8" w:history="1">
        <w:r w:rsidR="002602EE" w:rsidRPr="005A1804">
          <w:rPr>
            <w:rStyle w:val="Hyperlink"/>
            <w:noProof/>
          </w:rPr>
          <w:t>5.3</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Proposals to strengthen accountability and regulation</w:t>
        </w:r>
        <w:r w:rsidR="002602EE">
          <w:rPr>
            <w:noProof/>
            <w:webHidden/>
          </w:rPr>
          <w:tab/>
        </w:r>
        <w:r w:rsidR="002602EE">
          <w:rPr>
            <w:noProof/>
            <w:webHidden/>
          </w:rPr>
          <w:fldChar w:fldCharType="begin"/>
        </w:r>
        <w:r w:rsidR="002602EE">
          <w:rPr>
            <w:noProof/>
            <w:webHidden/>
          </w:rPr>
          <w:instrText xml:space="preserve"> PAGEREF _Toc149052468 \h </w:instrText>
        </w:r>
        <w:r w:rsidR="002602EE">
          <w:rPr>
            <w:noProof/>
            <w:webHidden/>
          </w:rPr>
        </w:r>
        <w:r w:rsidR="002602EE">
          <w:rPr>
            <w:noProof/>
            <w:webHidden/>
          </w:rPr>
          <w:fldChar w:fldCharType="separate"/>
        </w:r>
        <w:r w:rsidR="009B7086">
          <w:rPr>
            <w:noProof/>
            <w:webHidden/>
          </w:rPr>
          <w:t>60</w:t>
        </w:r>
        <w:r w:rsidR="002602EE">
          <w:rPr>
            <w:noProof/>
            <w:webHidden/>
          </w:rPr>
          <w:fldChar w:fldCharType="end"/>
        </w:r>
      </w:hyperlink>
    </w:p>
    <w:p w14:paraId="6D25BCAE" w14:textId="5640EAB7" w:rsidR="002602EE" w:rsidRDefault="00000000" w:rsidP="005F7FD4">
      <w:pPr>
        <w:pStyle w:val="TOC2"/>
        <w:rPr>
          <w:rFonts w:asciiTheme="minorHAnsi" w:eastAsiaTheme="minorEastAsia" w:hAnsiTheme="minorHAnsi"/>
          <w:noProof/>
          <w:kern w:val="2"/>
          <w:sz w:val="22"/>
          <w:lang w:val="en-AU" w:eastAsia="en-AU"/>
          <w14:ligatures w14:val="standardContextual"/>
        </w:rPr>
      </w:pPr>
      <w:hyperlink w:anchor="_Toc149052469" w:history="1">
        <w:r w:rsidR="002602EE" w:rsidRPr="005A1804">
          <w:rPr>
            <w:rStyle w:val="Hyperlink"/>
            <w:noProof/>
          </w:rPr>
          <w:t>5.4</w:t>
        </w:r>
        <w:r w:rsidR="002602EE">
          <w:rPr>
            <w:rFonts w:asciiTheme="minorHAnsi" w:eastAsiaTheme="minorEastAsia" w:hAnsiTheme="minorHAnsi"/>
            <w:noProof/>
            <w:kern w:val="2"/>
            <w:sz w:val="22"/>
            <w:lang w:val="en-AU" w:eastAsia="en-AU"/>
            <w14:ligatures w14:val="standardContextual"/>
          </w:rPr>
          <w:tab/>
        </w:r>
        <w:r w:rsidR="002602EE" w:rsidRPr="005A1804">
          <w:rPr>
            <w:rStyle w:val="Hyperlink"/>
            <w:noProof/>
          </w:rPr>
          <w:t>Recommended follow-up areas of enquiry</w:t>
        </w:r>
        <w:r w:rsidR="002602EE">
          <w:rPr>
            <w:noProof/>
            <w:webHidden/>
          </w:rPr>
          <w:tab/>
        </w:r>
        <w:r w:rsidR="002602EE">
          <w:rPr>
            <w:noProof/>
            <w:webHidden/>
          </w:rPr>
          <w:fldChar w:fldCharType="begin"/>
        </w:r>
        <w:r w:rsidR="002602EE">
          <w:rPr>
            <w:noProof/>
            <w:webHidden/>
          </w:rPr>
          <w:instrText xml:space="preserve"> PAGEREF _Toc149052469 \h </w:instrText>
        </w:r>
        <w:r w:rsidR="002602EE">
          <w:rPr>
            <w:noProof/>
            <w:webHidden/>
          </w:rPr>
        </w:r>
        <w:r w:rsidR="002602EE">
          <w:rPr>
            <w:noProof/>
            <w:webHidden/>
          </w:rPr>
          <w:fldChar w:fldCharType="separate"/>
        </w:r>
        <w:r w:rsidR="009B7086">
          <w:rPr>
            <w:noProof/>
            <w:webHidden/>
          </w:rPr>
          <w:t>62</w:t>
        </w:r>
        <w:r w:rsidR="002602EE">
          <w:rPr>
            <w:noProof/>
            <w:webHidden/>
          </w:rPr>
          <w:fldChar w:fldCharType="end"/>
        </w:r>
      </w:hyperlink>
    </w:p>
    <w:p w14:paraId="5BC44184" w14:textId="311449BA" w:rsidR="002602EE" w:rsidRDefault="00000000">
      <w:pPr>
        <w:pStyle w:val="TOC1"/>
        <w:rPr>
          <w:rFonts w:asciiTheme="minorHAnsi" w:eastAsiaTheme="minorEastAsia" w:hAnsiTheme="minorHAnsi"/>
          <w:b w:val="0"/>
          <w:bCs w:val="0"/>
          <w:kern w:val="2"/>
          <w:sz w:val="22"/>
          <w:lang w:val="en-AU" w:eastAsia="en-AU"/>
          <w14:ligatures w14:val="standardContextual"/>
        </w:rPr>
      </w:pPr>
      <w:hyperlink w:anchor="_Toc149052470" w:history="1">
        <w:r w:rsidR="002602EE" w:rsidRPr="005A1804">
          <w:rPr>
            <w:rStyle w:val="Hyperlink"/>
          </w:rPr>
          <w:t>Appendix A</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Measuring school and community differences</w:t>
        </w:r>
        <w:r w:rsidR="002602EE">
          <w:rPr>
            <w:webHidden/>
          </w:rPr>
          <w:tab/>
        </w:r>
        <w:r w:rsidR="002602EE">
          <w:rPr>
            <w:webHidden/>
          </w:rPr>
          <w:fldChar w:fldCharType="begin"/>
        </w:r>
        <w:r w:rsidR="002602EE">
          <w:rPr>
            <w:webHidden/>
          </w:rPr>
          <w:instrText xml:space="preserve"> PAGEREF _Toc149052470 \h </w:instrText>
        </w:r>
        <w:r w:rsidR="002602EE">
          <w:rPr>
            <w:webHidden/>
          </w:rPr>
        </w:r>
        <w:r w:rsidR="002602EE">
          <w:rPr>
            <w:webHidden/>
          </w:rPr>
          <w:fldChar w:fldCharType="separate"/>
        </w:r>
        <w:r w:rsidR="009B7086">
          <w:rPr>
            <w:webHidden/>
          </w:rPr>
          <w:t>64</w:t>
        </w:r>
        <w:r w:rsidR="002602EE">
          <w:rPr>
            <w:webHidden/>
          </w:rPr>
          <w:fldChar w:fldCharType="end"/>
        </w:r>
      </w:hyperlink>
    </w:p>
    <w:p w14:paraId="13124AC9" w14:textId="7BF40D8D" w:rsidR="002602EE" w:rsidRDefault="00000000">
      <w:pPr>
        <w:pStyle w:val="TOC1"/>
        <w:rPr>
          <w:rFonts w:asciiTheme="minorHAnsi" w:eastAsiaTheme="minorEastAsia" w:hAnsiTheme="minorHAnsi"/>
          <w:b w:val="0"/>
          <w:bCs w:val="0"/>
          <w:kern w:val="2"/>
          <w:sz w:val="22"/>
          <w:lang w:val="en-AU" w:eastAsia="en-AU"/>
          <w14:ligatures w14:val="standardContextual"/>
        </w:rPr>
      </w:pPr>
      <w:hyperlink w:anchor="_Toc149052471" w:history="1">
        <w:r w:rsidR="002602EE" w:rsidRPr="005A1804">
          <w:rPr>
            <w:rStyle w:val="Hyperlink"/>
          </w:rPr>
          <w:t>Appendix B</w:t>
        </w:r>
        <w:r w:rsidR="002602EE">
          <w:rPr>
            <w:rFonts w:asciiTheme="minorHAnsi" w:eastAsiaTheme="minorEastAsia" w:hAnsiTheme="minorHAnsi"/>
            <w:b w:val="0"/>
            <w:bCs w:val="0"/>
            <w:kern w:val="2"/>
            <w:sz w:val="22"/>
            <w:lang w:val="en-AU" w:eastAsia="en-AU"/>
            <w14:ligatures w14:val="standardContextual"/>
          </w:rPr>
          <w:tab/>
        </w:r>
        <w:r w:rsidR="002602EE" w:rsidRPr="005A1804">
          <w:rPr>
            <w:rStyle w:val="Hyperlink"/>
          </w:rPr>
          <w:t>Additional PISA analysis</w:t>
        </w:r>
        <w:r w:rsidR="002602EE">
          <w:rPr>
            <w:webHidden/>
          </w:rPr>
          <w:tab/>
        </w:r>
        <w:r w:rsidR="002602EE">
          <w:rPr>
            <w:webHidden/>
          </w:rPr>
          <w:fldChar w:fldCharType="begin"/>
        </w:r>
        <w:r w:rsidR="002602EE">
          <w:rPr>
            <w:webHidden/>
          </w:rPr>
          <w:instrText xml:space="preserve"> PAGEREF _Toc149052471 \h </w:instrText>
        </w:r>
        <w:r w:rsidR="002602EE">
          <w:rPr>
            <w:webHidden/>
          </w:rPr>
        </w:r>
        <w:r w:rsidR="002602EE">
          <w:rPr>
            <w:webHidden/>
          </w:rPr>
          <w:fldChar w:fldCharType="separate"/>
        </w:r>
        <w:r w:rsidR="009B7086">
          <w:rPr>
            <w:webHidden/>
          </w:rPr>
          <w:t>66</w:t>
        </w:r>
        <w:r w:rsidR="002602EE">
          <w:rPr>
            <w:webHidden/>
          </w:rPr>
          <w:fldChar w:fldCharType="end"/>
        </w:r>
      </w:hyperlink>
    </w:p>
    <w:p w14:paraId="23D1A5FF" w14:textId="3FCBAEBA" w:rsidR="000D5CE3" w:rsidRPr="0086054F" w:rsidRDefault="0027699D" w:rsidP="000D5CE3">
      <w:pPr>
        <w:rPr>
          <w:lang w:eastAsia="en-AU"/>
        </w:rPr>
      </w:pPr>
      <w:r w:rsidRPr="0086054F">
        <w:rPr>
          <w:lang w:eastAsia="en-AU"/>
        </w:rPr>
        <w:fldChar w:fldCharType="end"/>
      </w:r>
    </w:p>
    <w:p w14:paraId="3CD9EA06" w14:textId="77777777" w:rsidR="00A3197E" w:rsidRPr="0086054F" w:rsidRDefault="00A3197E" w:rsidP="000D5CE3">
      <w:pPr>
        <w:rPr>
          <w:lang w:eastAsia="en-AU"/>
        </w:rPr>
      </w:pPr>
    </w:p>
    <w:p w14:paraId="0EF3BF79" w14:textId="4D324A43" w:rsidR="00A3197E" w:rsidRPr="0086054F" w:rsidRDefault="00A3197E" w:rsidP="000D5CE3">
      <w:pPr>
        <w:rPr>
          <w:lang w:eastAsia="en-AU"/>
        </w:rPr>
      </w:pPr>
    </w:p>
    <w:p w14:paraId="38054FE3" w14:textId="77777777" w:rsidR="00347671" w:rsidRPr="0086054F" w:rsidRDefault="00347671" w:rsidP="000D5CE3">
      <w:pPr>
        <w:rPr>
          <w:lang w:eastAsia="en-AU"/>
        </w:rPr>
      </w:pPr>
    </w:p>
    <w:p w14:paraId="3ED68384" w14:textId="77777777" w:rsidR="00347671" w:rsidRPr="0086054F" w:rsidRDefault="00347671" w:rsidP="000D5CE3">
      <w:pPr>
        <w:rPr>
          <w:lang w:eastAsia="en-AU"/>
        </w:rPr>
        <w:sectPr w:rsidR="00347671" w:rsidRPr="0086054F" w:rsidSect="00000447">
          <w:headerReference w:type="default" r:id="rId13"/>
          <w:footerReference w:type="default" r:id="rId14"/>
          <w:pgSz w:w="11907" w:h="16839" w:code="9"/>
          <w:pgMar w:top="1418" w:right="1361" w:bottom="1361" w:left="1361" w:header="720" w:footer="720" w:gutter="0"/>
          <w:cols w:space="720"/>
          <w:docGrid w:linePitch="360"/>
        </w:sectPr>
      </w:pPr>
    </w:p>
    <w:p w14:paraId="468046CE" w14:textId="28A97AD9" w:rsidR="00BC0F96" w:rsidRPr="00714702" w:rsidRDefault="00714702" w:rsidP="00942447">
      <w:pPr>
        <w:pStyle w:val="Heading1"/>
        <w:rPr>
          <w:color w:val="FFFFFF" w:themeColor="background1"/>
        </w:rPr>
      </w:pPr>
      <w:bookmarkStart w:id="0" w:name="_Toc149052444"/>
      <w:r w:rsidRPr="00714702">
        <w:rPr>
          <w:noProof/>
          <w:color w:val="FFFFFF" w:themeColor="background1"/>
        </w:rPr>
        <w:lastRenderedPageBreak/>
        <w:drawing>
          <wp:anchor distT="0" distB="0" distL="114300" distR="114300" simplePos="0" relativeHeight="251658249" behindDoc="1" locked="0" layoutInCell="1" allowOverlap="1" wp14:anchorId="024EF1A5" wp14:editId="5709ECB1">
            <wp:simplePos x="0" y="0"/>
            <wp:positionH relativeFrom="column">
              <wp:posOffset>-855609</wp:posOffset>
            </wp:positionH>
            <wp:positionV relativeFrom="paragraph">
              <wp:posOffset>-788287</wp:posOffset>
            </wp:positionV>
            <wp:extent cx="7552178" cy="1259457"/>
            <wp:effectExtent l="0" t="0" r="0" b="0"/>
            <wp:wrapNone/>
            <wp:docPr id="1172407294" name="Picture 1172407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07294" name="Picture 1172407294">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b="34259"/>
                    <a:stretch/>
                  </pic:blipFill>
                  <pic:spPr bwMode="auto">
                    <a:xfrm>
                      <a:off x="0" y="0"/>
                      <a:ext cx="7613028" cy="1269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447" w:rsidRPr="00714702">
        <w:rPr>
          <w:color w:val="FFFFFF" w:themeColor="background1"/>
        </w:rPr>
        <w:t>Executive summary</w:t>
      </w:r>
      <w:bookmarkEnd w:id="0"/>
    </w:p>
    <w:p w14:paraId="2219A655" w14:textId="0B56D641" w:rsidR="00F959B5" w:rsidRPr="0086054F" w:rsidRDefault="00F959B5" w:rsidP="00F959B5">
      <w:pPr>
        <w:spacing w:after="160"/>
        <w:rPr>
          <w:lang w:eastAsia="en-AU"/>
        </w:rPr>
      </w:pPr>
      <w:r w:rsidRPr="0086054F">
        <w:rPr>
          <w:lang w:eastAsia="en-AU"/>
        </w:rPr>
        <w:t xml:space="preserve">Governments and school systems around the world use different policy interventions to address the risk or </w:t>
      </w:r>
      <w:r w:rsidR="0062129B" w:rsidRPr="0086054F">
        <w:rPr>
          <w:lang w:eastAsia="en-AU"/>
        </w:rPr>
        <w:t>emergenc</w:t>
      </w:r>
      <w:r w:rsidR="00B020B5">
        <w:rPr>
          <w:lang w:eastAsia="en-AU"/>
        </w:rPr>
        <w:t>e</w:t>
      </w:r>
      <w:r w:rsidR="0062129B" w:rsidRPr="0086054F">
        <w:rPr>
          <w:lang w:eastAsia="en-AU"/>
        </w:rPr>
        <w:t xml:space="preserve"> of</w:t>
      </w:r>
      <w:r w:rsidRPr="0086054F">
        <w:rPr>
          <w:lang w:eastAsia="en-AU"/>
        </w:rPr>
        <w:t xml:space="preserve"> </w:t>
      </w:r>
      <w:r w:rsidR="00B020B5">
        <w:rPr>
          <w:lang w:eastAsia="en-AU"/>
        </w:rPr>
        <w:t>concentrations of disadvant</w:t>
      </w:r>
      <w:r w:rsidR="005513AB">
        <w:rPr>
          <w:lang w:eastAsia="en-AU"/>
        </w:rPr>
        <w:t>age and segregation</w:t>
      </w:r>
      <w:r w:rsidRPr="0086054F">
        <w:rPr>
          <w:lang w:eastAsia="en-AU"/>
        </w:rPr>
        <w:t xml:space="preserve"> along racial or socio</w:t>
      </w:r>
      <w:r w:rsidR="00F9347A">
        <w:rPr>
          <w:lang w:eastAsia="en-AU"/>
        </w:rPr>
        <w:t>-</w:t>
      </w:r>
      <w:r w:rsidRPr="0086054F">
        <w:rPr>
          <w:lang w:eastAsia="en-AU"/>
        </w:rPr>
        <w:t xml:space="preserve">economic lines. </w:t>
      </w:r>
      <w:r w:rsidR="00071B6E">
        <w:rPr>
          <w:lang w:eastAsia="en-AU"/>
        </w:rPr>
        <w:t xml:space="preserve">Nous Group (Nous) was engaged </w:t>
      </w:r>
      <w:r w:rsidR="002C154D">
        <w:rPr>
          <w:lang w:eastAsia="en-AU"/>
        </w:rPr>
        <w:t xml:space="preserve">by the Australian Government Department of Education </w:t>
      </w:r>
      <w:r w:rsidR="00071B6E">
        <w:rPr>
          <w:lang w:eastAsia="en-AU"/>
        </w:rPr>
        <w:t xml:space="preserve">to </w:t>
      </w:r>
      <w:r w:rsidR="005C3E0B">
        <w:rPr>
          <w:lang w:eastAsia="en-AU"/>
        </w:rPr>
        <w:t xml:space="preserve">undertake a policy scan of </w:t>
      </w:r>
      <w:r w:rsidR="003E5496">
        <w:rPr>
          <w:lang w:eastAsia="en-AU"/>
        </w:rPr>
        <w:t xml:space="preserve">such reforms </w:t>
      </w:r>
      <w:r w:rsidR="00071B6E">
        <w:rPr>
          <w:lang w:eastAsia="en-AU"/>
        </w:rPr>
        <w:t>to e</w:t>
      </w:r>
      <w:r w:rsidR="00927A7B">
        <w:rPr>
          <w:lang w:eastAsia="en-AU"/>
        </w:rPr>
        <w:t>xplore the</w:t>
      </w:r>
      <w:r w:rsidR="00A8753D">
        <w:rPr>
          <w:lang w:eastAsia="en-AU"/>
        </w:rPr>
        <w:t>ir</w:t>
      </w:r>
      <w:r w:rsidR="00927A7B">
        <w:rPr>
          <w:lang w:eastAsia="en-AU"/>
        </w:rPr>
        <w:t xml:space="preserve"> efficacy</w:t>
      </w:r>
      <w:r w:rsidR="00A8753D">
        <w:rPr>
          <w:lang w:eastAsia="en-AU"/>
        </w:rPr>
        <w:t xml:space="preserve"> and transferability to an</w:t>
      </w:r>
      <w:r w:rsidR="004A67A3">
        <w:rPr>
          <w:lang w:eastAsia="en-AU"/>
        </w:rPr>
        <w:t xml:space="preserve"> </w:t>
      </w:r>
      <w:r w:rsidR="005506E2">
        <w:rPr>
          <w:lang w:eastAsia="en-AU"/>
        </w:rPr>
        <w:t xml:space="preserve">Australian context. </w:t>
      </w:r>
      <w:r w:rsidR="00E163C7">
        <w:rPr>
          <w:lang w:eastAsia="en-AU"/>
        </w:rPr>
        <w:t xml:space="preserve">This report provides </w:t>
      </w:r>
      <w:r w:rsidR="0006664C">
        <w:rPr>
          <w:lang w:eastAsia="en-AU"/>
        </w:rPr>
        <w:t xml:space="preserve">our </w:t>
      </w:r>
      <w:r w:rsidR="00E163C7">
        <w:rPr>
          <w:lang w:eastAsia="en-AU"/>
        </w:rPr>
        <w:t xml:space="preserve">findings </w:t>
      </w:r>
      <w:r w:rsidR="003348A3">
        <w:rPr>
          <w:lang w:eastAsia="en-AU"/>
        </w:rPr>
        <w:t xml:space="preserve">to inform the work of the </w:t>
      </w:r>
      <w:r w:rsidR="005D642F">
        <w:rPr>
          <w:lang w:eastAsia="en-AU"/>
        </w:rPr>
        <w:t>Review to Inform a</w:t>
      </w:r>
      <w:r w:rsidR="003348A3">
        <w:rPr>
          <w:lang w:eastAsia="en-AU"/>
        </w:rPr>
        <w:t xml:space="preserve"> Better and Fairer Education System</w:t>
      </w:r>
      <w:r w:rsidR="006D5956">
        <w:rPr>
          <w:lang w:eastAsia="en-AU"/>
        </w:rPr>
        <w:t xml:space="preserve"> (the Review)</w:t>
      </w:r>
      <w:r w:rsidR="003348A3">
        <w:rPr>
          <w:lang w:eastAsia="en-AU"/>
        </w:rPr>
        <w:t xml:space="preserve">, which in turn will serve as a key input into negotiations on a new </w:t>
      </w:r>
      <w:bookmarkStart w:id="1" w:name="_Hlk149638599"/>
      <w:r w:rsidR="003348A3">
        <w:rPr>
          <w:lang w:eastAsia="en-AU"/>
        </w:rPr>
        <w:t>National School Reform Agreement</w:t>
      </w:r>
      <w:r w:rsidR="006D5956">
        <w:rPr>
          <w:lang w:eastAsia="en-AU"/>
        </w:rPr>
        <w:t xml:space="preserve"> </w:t>
      </w:r>
      <w:bookmarkEnd w:id="1"/>
      <w:r w:rsidR="006D5956">
        <w:rPr>
          <w:lang w:eastAsia="en-AU"/>
        </w:rPr>
        <w:t>(NSRA)</w:t>
      </w:r>
      <w:r w:rsidR="003348A3">
        <w:rPr>
          <w:lang w:eastAsia="en-AU"/>
        </w:rPr>
        <w:t xml:space="preserve">. </w:t>
      </w:r>
    </w:p>
    <w:p w14:paraId="349B3F32" w14:textId="5620BBEB" w:rsidR="00232130" w:rsidRPr="009068B4" w:rsidRDefault="009068B4" w:rsidP="00F959B5">
      <w:pPr>
        <w:spacing w:after="160"/>
        <w:rPr>
          <w:b/>
          <w:lang w:eastAsia="en-AU"/>
        </w:rPr>
      </w:pPr>
      <w:r w:rsidRPr="009068B4">
        <w:rPr>
          <w:b/>
          <w:bCs/>
          <w:lang w:eastAsia="en-AU"/>
        </w:rPr>
        <w:t>Conceptual framework and method</w:t>
      </w:r>
    </w:p>
    <w:p w14:paraId="6C03044A" w14:textId="26F083B1" w:rsidR="00CB282F" w:rsidRPr="0086054F" w:rsidRDefault="003348A3" w:rsidP="00F959B5">
      <w:pPr>
        <w:spacing w:after="160"/>
        <w:rPr>
          <w:lang w:eastAsia="en-AU"/>
        </w:rPr>
      </w:pPr>
      <w:r>
        <w:rPr>
          <w:lang w:eastAsia="en-AU"/>
        </w:rPr>
        <w:t xml:space="preserve">To structure the research, Nous – working with two associates, Chris Bonnor and Tom Greenwell – developed a taxonomy of relevant interventions. We found </w:t>
      </w:r>
      <w:r w:rsidR="00F55350">
        <w:rPr>
          <w:lang w:eastAsia="en-AU"/>
        </w:rPr>
        <w:t>ten</w:t>
      </w:r>
      <w:r>
        <w:rPr>
          <w:lang w:eastAsia="en-AU"/>
        </w:rPr>
        <w:t xml:space="preserve"> interventions that are relevant to the goal of </w:t>
      </w:r>
      <w:r w:rsidR="0068454F">
        <w:rPr>
          <w:lang w:eastAsia="en-AU"/>
        </w:rPr>
        <w:t>reducing the concentrations of disadvantage</w:t>
      </w:r>
      <w:r w:rsidR="00B676D8">
        <w:rPr>
          <w:lang w:eastAsia="en-AU"/>
        </w:rPr>
        <w:t xml:space="preserve"> in some</w:t>
      </w:r>
      <w:r w:rsidR="001A65D3">
        <w:rPr>
          <w:lang w:eastAsia="en-AU"/>
        </w:rPr>
        <w:t xml:space="preserve"> schools</w:t>
      </w:r>
      <w:r w:rsidR="0037604C">
        <w:rPr>
          <w:lang w:eastAsia="en-AU"/>
        </w:rPr>
        <w:t>. These interventions</w:t>
      </w:r>
      <w:r w:rsidR="00602D79">
        <w:rPr>
          <w:lang w:eastAsia="en-AU"/>
        </w:rPr>
        <w:t xml:space="preserve"> </w:t>
      </w:r>
      <w:r w:rsidR="00386BDE">
        <w:rPr>
          <w:lang w:eastAsia="en-AU"/>
        </w:rPr>
        <w:t xml:space="preserve">fall </w:t>
      </w:r>
      <w:r w:rsidR="00F959B5" w:rsidRPr="0086054F">
        <w:rPr>
          <w:lang w:eastAsia="en-AU"/>
        </w:rPr>
        <w:t xml:space="preserve">into </w:t>
      </w:r>
      <w:r w:rsidR="00602D79">
        <w:rPr>
          <w:lang w:eastAsia="en-AU"/>
        </w:rPr>
        <w:t xml:space="preserve">two </w:t>
      </w:r>
      <w:r w:rsidR="00F959B5" w:rsidRPr="0086054F">
        <w:rPr>
          <w:lang w:eastAsia="en-AU"/>
        </w:rPr>
        <w:t>categories</w:t>
      </w:r>
      <w:r w:rsidR="00CB282F" w:rsidRPr="0086054F">
        <w:rPr>
          <w:lang w:eastAsia="en-AU"/>
        </w:rPr>
        <w:t xml:space="preserve"> – those that</w:t>
      </w:r>
      <w:r w:rsidR="001D45F6" w:rsidRPr="0086054F">
        <w:rPr>
          <w:lang w:eastAsia="en-AU"/>
        </w:rPr>
        <w:t xml:space="preserve"> seek to</w:t>
      </w:r>
      <w:r w:rsidR="00CB282F" w:rsidRPr="0086054F">
        <w:rPr>
          <w:lang w:eastAsia="en-AU"/>
        </w:rPr>
        <w:t>:</w:t>
      </w:r>
    </w:p>
    <w:p w14:paraId="09DD5BA2" w14:textId="763BDBD3" w:rsidR="00CB282F" w:rsidRDefault="002C12DD" w:rsidP="00A76950">
      <w:pPr>
        <w:pStyle w:val="Listnumbered"/>
        <w:ind w:left="426"/>
      </w:pPr>
      <w:r>
        <w:rPr>
          <w:rFonts w:asciiTheme="majorHAnsi" w:hAnsiTheme="majorHAnsi" w:cstheme="majorHAnsi"/>
          <w:noProof/>
        </w:rPr>
        <mc:AlternateContent>
          <mc:Choice Requires="wps">
            <w:drawing>
              <wp:anchor distT="0" distB="0" distL="114300" distR="114300" simplePos="0" relativeHeight="251658247" behindDoc="0" locked="0" layoutInCell="1" allowOverlap="1" wp14:anchorId="67B0D854" wp14:editId="58ABEF58">
                <wp:simplePos x="0" y="0"/>
                <wp:positionH relativeFrom="column">
                  <wp:posOffset>10160</wp:posOffset>
                </wp:positionH>
                <wp:positionV relativeFrom="paragraph">
                  <wp:posOffset>19685</wp:posOffset>
                </wp:positionV>
                <wp:extent cx="72000" cy="828000"/>
                <wp:effectExtent l="0" t="0" r="4445" b="0"/>
                <wp:wrapSquare wrapText="bothSides"/>
                <wp:docPr id="1989648493" name="Rectangle 19896484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 cy="8280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F6D99" id="Rectangle 1989648493" o:spid="_x0000_s1026" alt="&quot;&quot;" style="position:absolute;margin-left:.8pt;margin-top:1.55pt;width:5.65pt;height:65.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2NcQIAAGAFAAAOAAAAZHJzL2Uyb0RvYy54bWysVMFu2zAMvQ/YPwi6L06CtuuCOkXQIsOA&#10;oi2aDj2rslQLkEWNUuJkXz9KdpwsK3YYdrEpkXwkn0heXW8byzYKgwFX8slozJlyEirj3kr+/Xn5&#10;6ZKzEIWrhAWnSr5TgV/PP364av1MTaEGWylkBOLCrPUlr2P0s6IIslaNCCPwypFSAzYi0hHfigpF&#10;S+iNLabj8UXRAlYeQaoQ6Pa2U/J5xtdayfigdVCR2ZJTbjF/MX9f07eYX4nZGwpfG9mnIf4hi0YY&#10;R0EHqFsRBVuj+QOqMRIhgI4jCU0BWhupcg1UzWR8Us2qFl7lWoic4Aeawv+DlfeblX9EoqH1YRZI&#10;TFVsNTbpT/mxbSZrN5CltpFJuvxM9BOjkjSX08skE0hx8PUY4lcFDUtCyZGeIjMkNnchdqZ7kxQq&#10;gDXV0libD+n51Y1FthH0cEJK5eJFH+A3S+uSvYPk2YGmm+JQTJbizqpkZ92T0sxUlP40J5P77DTQ&#10;pFPVolJd/HOqbl/e4JGLzYAJWVP8AbsHeK+ISV9Eb59cVW7TwXn8t8S6EgePHBlcHJwb4wDfA7Bx&#10;iNzZ70nqqEksvUK1e0SG0A1J8HJp6OnuRIiPAmkq6LVp0uMDfbSFtuTQS5zVgD/fu0/21Kyk5ayl&#10;KSt5+LEWqDiz3xy18ZfJ2Vkay3w4O6ee4gyPNa/HGrduboD6YUI7xcssJvto96JGaF5oISxSVFIJ&#10;Jyl2yWXE/eEmdtNPK0WqxSKb0Sh6Ee/cyssEnlhNrfm8fRHo+/6N1Pf3sJ9IMTtp4842eTpYrCNo&#10;k3v8wGvPN41xbpx+5aQ9cXzOVofFOP8FAAD//wMAUEsDBBQABgAIAAAAIQA5efDq3QAAAAYBAAAP&#10;AAAAZHJzL2Rvd25yZXYueG1sTI5BS8NAFITvgv9heYI3u2mCVWM2RYreCsVGUW/b7GsSmn0bs5s0&#10;+uv7etLTMMww82XLybZixN43jhTMZxEIpNKZhioFb8XLzT0IHzQZ3TpCBT/oYZlfXmQ6Ne5Irzhu&#10;QyV4hHyqFdQhdKmUvqzRaj9zHRJne9dbHdj2lTS9PvK4bWUcRQtpdUP8UOsOVzWWh+1gFWzWY7H6&#10;jj/fy81w93X4WP/u8blQ6vpqenoEEXAKf2U44zM65My0cwMZL1r2Cy4qSOYgzmn8AGLHmiS3IPNM&#10;/sfPTwAAAP//AwBQSwECLQAUAAYACAAAACEAtoM4kv4AAADhAQAAEwAAAAAAAAAAAAAAAAAAAAAA&#10;W0NvbnRlbnRfVHlwZXNdLnhtbFBLAQItABQABgAIAAAAIQA4/SH/1gAAAJQBAAALAAAAAAAAAAAA&#10;AAAAAC8BAABfcmVscy8ucmVsc1BLAQItABQABgAIAAAAIQDmHH2NcQIAAGAFAAAOAAAAAAAAAAAA&#10;AAAAAC4CAABkcnMvZTJvRG9jLnhtbFBLAQItABQABgAIAAAAIQA5efDq3QAAAAYBAAAPAAAAAAAA&#10;AAAAAAAAAMsEAABkcnMvZG93bnJldi54bWxQSwUGAAAAAAQABADzAAAA1QUAAAAA&#10;" fillcolor="#25b3e0 [3209]" stroked="f" strokeweight="2pt">
                <w10:wrap type="square"/>
              </v:rect>
            </w:pict>
          </mc:Fallback>
        </mc:AlternateContent>
      </w:r>
      <w:r w:rsidR="00756142">
        <w:rPr>
          <w:rFonts w:asciiTheme="majorHAnsi" w:hAnsiTheme="majorHAnsi" w:cstheme="majorHAnsi"/>
        </w:rPr>
        <w:t>P</w:t>
      </w:r>
      <w:r w:rsidR="009F5CB1" w:rsidRPr="000E3764">
        <w:rPr>
          <w:rFonts w:asciiTheme="majorHAnsi" w:hAnsiTheme="majorHAnsi" w:cstheme="majorHAnsi"/>
        </w:rPr>
        <w:t xml:space="preserve">revent </w:t>
      </w:r>
      <w:r w:rsidR="002D4173">
        <w:rPr>
          <w:rFonts w:asciiTheme="majorHAnsi" w:hAnsiTheme="majorHAnsi" w:cstheme="majorHAnsi"/>
        </w:rPr>
        <w:t>or reduce</w:t>
      </w:r>
      <w:r w:rsidR="009F5CB1" w:rsidRPr="000E3764">
        <w:rPr>
          <w:rFonts w:asciiTheme="majorHAnsi" w:hAnsiTheme="majorHAnsi" w:cstheme="majorHAnsi"/>
        </w:rPr>
        <w:t xml:space="preserve"> concentrations of disadvantage by </w:t>
      </w:r>
      <w:r w:rsidR="001D1AE8" w:rsidRPr="000E3764">
        <w:rPr>
          <w:rFonts w:asciiTheme="majorHAnsi" w:hAnsiTheme="majorHAnsi" w:cstheme="majorHAnsi"/>
        </w:rPr>
        <w:t>influencing</w:t>
      </w:r>
      <w:r w:rsidR="009F5CB1" w:rsidRPr="000E3764">
        <w:rPr>
          <w:rFonts w:asciiTheme="majorHAnsi" w:hAnsiTheme="majorHAnsi" w:cstheme="majorHAnsi"/>
        </w:rPr>
        <w:t xml:space="preserve"> who </w:t>
      </w:r>
      <w:r w:rsidR="00D64C85">
        <w:rPr>
          <w:rFonts w:asciiTheme="majorHAnsi" w:hAnsiTheme="majorHAnsi" w:cstheme="majorHAnsi"/>
        </w:rPr>
        <w:t>enrols</w:t>
      </w:r>
      <w:r w:rsidR="009F5CB1">
        <w:t xml:space="preserve"> </w:t>
      </w:r>
      <w:r w:rsidR="0020122A">
        <w:t xml:space="preserve">in a school and weighting those enrolments </w:t>
      </w:r>
      <w:r w:rsidR="001D1AE8">
        <w:t xml:space="preserve">in such a way as </w:t>
      </w:r>
      <w:r w:rsidR="0020122A">
        <w:t>to promote more diversity</w:t>
      </w:r>
      <w:r w:rsidR="009B24B5">
        <w:t>.</w:t>
      </w:r>
      <w:r w:rsidR="00EA74E5">
        <w:t xml:space="preserve"> </w:t>
      </w:r>
      <w:r w:rsidR="009B24B5">
        <w:t xml:space="preserve">These interventions </w:t>
      </w:r>
      <w:r w:rsidR="00E844B1">
        <w:t>look to overcome the ‘natural’ advantages of location</w:t>
      </w:r>
      <w:r w:rsidR="003D1768">
        <w:t xml:space="preserve"> where </w:t>
      </w:r>
      <w:r w:rsidR="000E3764">
        <w:t>an advantaged school reflects an advantaged neighbourhood</w:t>
      </w:r>
      <w:r w:rsidR="00E844B1">
        <w:t xml:space="preserve">, or to </w:t>
      </w:r>
      <w:r w:rsidR="00D46644">
        <w:t>deliberately incentivise more mixed school enrolments by schools that are selective</w:t>
      </w:r>
      <w:r w:rsidR="005A139F">
        <w:t xml:space="preserve"> or in demand</w:t>
      </w:r>
      <w:r w:rsidR="00D46644">
        <w:t>.</w:t>
      </w:r>
    </w:p>
    <w:p w14:paraId="0EAC30B4" w14:textId="4FCD9019" w:rsidR="001D1AE8" w:rsidRDefault="002C12DD" w:rsidP="00A76950">
      <w:pPr>
        <w:pStyle w:val="Listnumbered"/>
        <w:ind w:left="426"/>
      </w:pPr>
      <w:r>
        <w:rPr>
          <w:rFonts w:asciiTheme="majorHAnsi" w:hAnsiTheme="majorHAnsi" w:cstheme="majorHAnsi"/>
          <w:noProof/>
        </w:rPr>
        <mc:AlternateContent>
          <mc:Choice Requires="wps">
            <w:drawing>
              <wp:anchor distT="0" distB="0" distL="114300" distR="114300" simplePos="0" relativeHeight="251658248" behindDoc="0" locked="0" layoutInCell="1" allowOverlap="1" wp14:anchorId="4C73A6A2" wp14:editId="257BF739">
                <wp:simplePos x="0" y="0"/>
                <wp:positionH relativeFrom="column">
                  <wp:posOffset>10160</wp:posOffset>
                </wp:positionH>
                <wp:positionV relativeFrom="paragraph">
                  <wp:posOffset>42545</wp:posOffset>
                </wp:positionV>
                <wp:extent cx="72000" cy="972000"/>
                <wp:effectExtent l="0" t="0" r="4445" b="0"/>
                <wp:wrapSquare wrapText="bothSides"/>
                <wp:docPr id="42486767" name="Rectangle 424867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 cy="97200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35C62" id="Rectangle 42486767" o:spid="_x0000_s1026" alt="&quot;&quot;" style="position:absolute;margin-left:.8pt;margin-top:3.35pt;width:5.65pt;height:76.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ZceAIAAF0FAAAOAAAAZHJzL2Uyb0RvYy54bWysVMFu2zAMvQ/YPwi6r3aKdl2DOkWQosOA&#10;oivWDj0rshQbkEWNUuJkXz9Ksp2uK3YYdrEpkXwkn0heXe87w3YKfQu24rOTkjNlJdSt3VT8+9Pt&#10;h0+c+SBsLQxYVfGD8vx68f7dVe/m6hQaMLVCRiDWz3tX8SYENy8KLxvVCX8CTllSasBOBDripqhR&#10;9ITemeK0LD8WPWDtEKTynm5vspIvEr7WSoavWnsVmKk45RbSF9N3Hb/F4krMNyhc08ohDfEPWXSi&#10;tRR0groRQbAttn9Ada1E8KDDiYSuAK1bqVINVM2sfFXNYyOcSrUQOd5NNPn/Byvvd4/uAYmG3vm5&#10;JzFWsdfYxT/lx/aJrMNEltoHJunygugnRiVpLrNMIMXR16EPnxV0LAoVR3qKxJDY3fmQTUeTGMqD&#10;aevb1ph0wM16ZZDtRHy28qJcpZci9N/MjI3GFqJbRow3xbGSJIWDUdHO2G9Ks7am3E9TJqnJ1BRH&#10;SKlsmGVVI2qVw59TmVP02JbRI1WaACOypvgT9gAwWmaQETtnOdhHV5V6dHIu/5ZYdp48UmSwYXLu&#10;Wgv4FoChqobI2X4kKVMTWVpDfXhAhpAnxDt529K73QkfHgTSSNBT05iHr/TRBvqKwyBx1gD+fOs+&#10;2lOnkpaznkas4v7HVqDizHyx1MOXs7OzOJPpcHZOTcQZvtSsX2rstlsBtcOMFoqTSYz2wYyiRuie&#10;aRssY1RSCSspdsVlwPGwCnn0aZ9ItVwmM5pDJ8KdfXQygkdWY18+7Z8FuqF5AzX9PYzjKOavejjb&#10;Rk8Ly20A3aYGP/I68E0znBpn2DdxSbw8J6vjVlz8AgAA//8DAFBLAwQUAAYACAAAACEAUOFMWtgA&#10;AAAGAQAADwAAAGRycy9kb3ducmV2LnhtbEyOwW7CMBBE75X6D9Yi9VZsqAiQxkFVKy7cGhBnE2/j&#10;iHidxgbSv+9yak+j0YxmXrEZfSeuOMQ2kIbZVIFAqoNtqdFw2G+fVyBiMmRNFwg1/GCETfn4UJjc&#10;hht94rVKjeARirnR4FLqcylj7dCbOA09EmdfYfAmsR0aaQdz43HfyblSmfSmJX5wpsd3h/W5ungN&#10;fku4U0flvlOzUEeq1MfL7qz102R8ewWRcEx/ZbjjMzqUzHQKF7JRdOwzLmrIliDu6XwN4sS6WK9A&#10;loX8j1/+AgAA//8DAFBLAQItABQABgAIAAAAIQC2gziS/gAAAOEBAAATAAAAAAAAAAAAAAAAAAAA&#10;AABbQ29udGVudF9UeXBlc10ueG1sUEsBAi0AFAAGAAgAAAAhADj9If/WAAAAlAEAAAsAAAAAAAAA&#10;AAAAAAAALwEAAF9yZWxzLy5yZWxzUEsBAi0AFAAGAAgAAAAhAGYZhlx4AgAAXQUAAA4AAAAAAAAA&#10;AAAAAAAALgIAAGRycy9lMm9Eb2MueG1sUEsBAi0AFAAGAAgAAAAhAFDhTFrYAAAABgEAAA8AAAAA&#10;AAAAAAAAAAAA0gQAAGRycy9kb3ducmV2LnhtbFBLBQYAAAAABAAEAPMAAADXBQAAAAA=&#10;" fillcolor="#0070c0" stroked="f" strokeweight="2pt">
                <w10:wrap type="square"/>
              </v:rect>
            </w:pict>
          </mc:Fallback>
        </mc:AlternateContent>
      </w:r>
      <w:r w:rsidR="00756142">
        <w:rPr>
          <w:rFonts w:asciiTheme="majorHAnsi" w:hAnsiTheme="majorHAnsi" w:cstheme="majorHAnsi"/>
        </w:rPr>
        <w:t>I</w:t>
      </w:r>
      <w:r w:rsidR="00180362" w:rsidRPr="00F9744A">
        <w:rPr>
          <w:rFonts w:asciiTheme="majorHAnsi" w:hAnsiTheme="majorHAnsi" w:cstheme="majorHAnsi"/>
        </w:rPr>
        <w:t>mprove</w:t>
      </w:r>
      <w:r w:rsidR="00180362" w:rsidRPr="00223CFB">
        <w:rPr>
          <w:rFonts w:asciiTheme="majorHAnsi" w:hAnsiTheme="majorHAnsi" w:cstheme="majorHAnsi"/>
        </w:rPr>
        <w:t xml:space="preserve"> the </w:t>
      </w:r>
      <w:r w:rsidR="00987727" w:rsidRPr="00223CFB">
        <w:rPr>
          <w:rFonts w:asciiTheme="majorHAnsi" w:hAnsiTheme="majorHAnsi" w:cstheme="majorHAnsi"/>
        </w:rPr>
        <w:t xml:space="preserve">performance and reputation of the </w:t>
      </w:r>
      <w:r w:rsidR="00B76A9F" w:rsidRPr="00223CFB">
        <w:rPr>
          <w:rFonts w:asciiTheme="majorHAnsi" w:hAnsiTheme="majorHAnsi" w:cstheme="majorHAnsi"/>
        </w:rPr>
        <w:t xml:space="preserve">local </w:t>
      </w:r>
      <w:r w:rsidR="00223CFB">
        <w:rPr>
          <w:rFonts w:asciiTheme="majorHAnsi" w:hAnsiTheme="majorHAnsi" w:cstheme="majorHAnsi"/>
        </w:rPr>
        <w:t xml:space="preserve">(typically </w:t>
      </w:r>
      <w:r w:rsidR="00B76A9F" w:rsidRPr="00223CFB">
        <w:rPr>
          <w:rFonts w:asciiTheme="majorHAnsi" w:hAnsiTheme="majorHAnsi" w:cstheme="majorHAnsi"/>
        </w:rPr>
        <w:t>public</w:t>
      </w:r>
      <w:r w:rsidR="00C578DD">
        <w:rPr>
          <w:rFonts w:asciiTheme="majorHAnsi" w:hAnsiTheme="majorHAnsi" w:cstheme="majorHAnsi"/>
        </w:rPr>
        <w:t>)</w:t>
      </w:r>
      <w:r w:rsidR="00B76A9F" w:rsidRPr="00223CFB">
        <w:rPr>
          <w:rFonts w:asciiTheme="majorHAnsi" w:hAnsiTheme="majorHAnsi" w:cstheme="majorHAnsi"/>
        </w:rPr>
        <w:t xml:space="preserve"> </w:t>
      </w:r>
      <w:r w:rsidR="00987727" w:rsidRPr="00223CFB">
        <w:rPr>
          <w:rFonts w:asciiTheme="majorHAnsi" w:hAnsiTheme="majorHAnsi" w:cstheme="majorHAnsi"/>
        </w:rPr>
        <w:t>school</w:t>
      </w:r>
      <w:r w:rsidR="00987727">
        <w:t xml:space="preserve"> </w:t>
      </w:r>
      <w:r w:rsidR="00C578DD">
        <w:t>with large concentration</w:t>
      </w:r>
      <w:r w:rsidR="008B4B91">
        <w:t>s</w:t>
      </w:r>
      <w:r w:rsidR="00C578DD">
        <w:t xml:space="preserve"> of disadvantaged students</w:t>
      </w:r>
      <w:r w:rsidR="00B76BC4">
        <w:t>. These interventions look</w:t>
      </w:r>
      <w:r w:rsidR="00C578DD">
        <w:t xml:space="preserve"> </w:t>
      </w:r>
      <w:r w:rsidR="00987727">
        <w:t xml:space="preserve">to arrest and reverse a </w:t>
      </w:r>
      <w:r w:rsidR="008D03DC">
        <w:t xml:space="preserve">tendency for </w:t>
      </w:r>
      <w:r w:rsidR="004F50BC">
        <w:t xml:space="preserve">families with </w:t>
      </w:r>
      <w:r w:rsidR="00F43162">
        <w:t xml:space="preserve">the </w:t>
      </w:r>
      <w:r w:rsidR="004F50BC">
        <w:t>means to</w:t>
      </w:r>
      <w:r w:rsidR="00F43162">
        <w:t xml:space="preserve"> </w:t>
      </w:r>
      <w:r w:rsidR="00A85E48">
        <w:t xml:space="preserve">avoid </w:t>
      </w:r>
      <w:r w:rsidR="00B76A9F">
        <w:t>sending their children there</w:t>
      </w:r>
      <w:r w:rsidR="00216AA1">
        <w:t xml:space="preserve"> by</w:t>
      </w:r>
      <w:r w:rsidR="00C622E8">
        <w:t xml:space="preserve"> </w:t>
      </w:r>
      <w:r w:rsidR="00405DBC">
        <w:t>relocating</w:t>
      </w:r>
      <w:r w:rsidR="00C622E8">
        <w:t xml:space="preserve"> or </w:t>
      </w:r>
      <w:r w:rsidR="001A61AF">
        <w:t>seek</w:t>
      </w:r>
      <w:r w:rsidR="008B4B91">
        <w:t>ing</w:t>
      </w:r>
      <w:r w:rsidR="001A61AF">
        <w:t xml:space="preserve"> out-of-zone enrolments at </w:t>
      </w:r>
      <w:r w:rsidR="00F13BF5">
        <w:t xml:space="preserve">a different </w:t>
      </w:r>
      <w:r w:rsidR="001A61AF">
        <w:t>public school</w:t>
      </w:r>
      <w:r w:rsidR="00F13BF5">
        <w:t xml:space="preserve"> (including selective ones)</w:t>
      </w:r>
      <w:r w:rsidR="001A61AF">
        <w:t xml:space="preserve"> or </w:t>
      </w:r>
      <w:r w:rsidR="005E2240">
        <w:t xml:space="preserve">to opt for a non-government school with </w:t>
      </w:r>
      <w:r w:rsidR="00223CFB">
        <w:t>a better reputation</w:t>
      </w:r>
      <w:r w:rsidR="000D2BF1">
        <w:t>,</w:t>
      </w:r>
      <w:r w:rsidR="005414EE">
        <w:t xml:space="preserve"> broader curriculum</w:t>
      </w:r>
      <w:r w:rsidR="000D2BF1">
        <w:t xml:space="preserve"> and additional </w:t>
      </w:r>
      <w:r w:rsidR="00FF68E3">
        <w:t>features</w:t>
      </w:r>
      <w:r w:rsidR="00223CFB">
        <w:t>.</w:t>
      </w:r>
      <w:r w:rsidR="00443119">
        <w:t xml:space="preserve"> </w:t>
      </w:r>
      <w:r w:rsidR="004D0DEB">
        <w:t xml:space="preserve">Such interventions also may aim to attract </w:t>
      </w:r>
      <w:r w:rsidR="00CF69F2">
        <w:t>more highly effective</w:t>
      </w:r>
      <w:r w:rsidR="004D0DEB">
        <w:t xml:space="preserve"> teachers </w:t>
      </w:r>
      <w:r w:rsidR="00A73639">
        <w:t>and principals</w:t>
      </w:r>
      <w:r w:rsidR="004D0DEB">
        <w:t xml:space="preserve"> to the school. </w:t>
      </w:r>
    </w:p>
    <w:p w14:paraId="4D0ECB3E" w14:textId="4465406B" w:rsidR="00F959B5" w:rsidRPr="0086054F" w:rsidRDefault="008C6CC6" w:rsidP="00F959B5">
      <w:pPr>
        <w:spacing w:after="160"/>
        <w:rPr>
          <w:lang w:eastAsia="en-AU"/>
        </w:rPr>
      </w:pPr>
      <w:r w:rsidRPr="0086054F">
        <w:rPr>
          <w:lang w:eastAsia="en-AU"/>
        </w:rPr>
        <w:t>The latt</w:t>
      </w:r>
      <w:r w:rsidR="00770DD5" w:rsidRPr="0086054F">
        <w:rPr>
          <w:lang w:eastAsia="en-AU"/>
        </w:rPr>
        <w:t xml:space="preserve">er </w:t>
      </w:r>
      <w:r w:rsidR="00F959B5" w:rsidRPr="0086054F">
        <w:rPr>
          <w:lang w:eastAsia="en-AU"/>
        </w:rPr>
        <w:t>intervention</w:t>
      </w:r>
      <w:r w:rsidR="00770DD5" w:rsidRPr="0086054F">
        <w:rPr>
          <w:lang w:eastAsia="en-AU"/>
        </w:rPr>
        <w:t xml:space="preserve">s (numbers </w:t>
      </w:r>
      <w:r w:rsidR="007B7950">
        <w:rPr>
          <w:lang w:eastAsia="en-AU"/>
        </w:rPr>
        <w:t>seven</w:t>
      </w:r>
      <w:r w:rsidR="00C75B8C">
        <w:rPr>
          <w:lang w:eastAsia="en-AU"/>
        </w:rPr>
        <w:t xml:space="preserve"> </w:t>
      </w:r>
      <w:r w:rsidR="003C6465">
        <w:rPr>
          <w:lang w:eastAsia="en-AU"/>
        </w:rPr>
        <w:t>through</w:t>
      </w:r>
      <w:r w:rsidR="007B7950">
        <w:rPr>
          <w:lang w:eastAsia="en-AU"/>
        </w:rPr>
        <w:t xml:space="preserve"> ten</w:t>
      </w:r>
      <w:r w:rsidR="00770DD5" w:rsidRPr="0086054F">
        <w:rPr>
          <w:lang w:eastAsia="en-AU"/>
        </w:rPr>
        <w:t xml:space="preserve"> in </w:t>
      </w:r>
      <w:r w:rsidR="00770DD5" w:rsidRPr="0086054F">
        <w:rPr>
          <w:lang w:eastAsia="en-AU"/>
        </w:rPr>
        <w:fldChar w:fldCharType="begin"/>
      </w:r>
      <w:r w:rsidR="00770DD5" w:rsidRPr="0086054F">
        <w:rPr>
          <w:lang w:eastAsia="en-AU"/>
        </w:rPr>
        <w:instrText xml:space="preserve"> REF _Ref146461199 \h </w:instrText>
      </w:r>
      <w:r w:rsidR="00770DD5" w:rsidRPr="0086054F">
        <w:rPr>
          <w:lang w:eastAsia="en-AU"/>
        </w:rPr>
      </w:r>
      <w:r w:rsidR="00770DD5" w:rsidRPr="0086054F">
        <w:rPr>
          <w:lang w:eastAsia="en-AU"/>
        </w:rPr>
        <w:fldChar w:fldCharType="separate"/>
      </w:r>
      <w:r w:rsidR="009B7086">
        <w:t xml:space="preserve">Table </w:t>
      </w:r>
      <w:r w:rsidR="009B7086">
        <w:rPr>
          <w:noProof/>
        </w:rPr>
        <w:t>1</w:t>
      </w:r>
      <w:r w:rsidR="00770DD5" w:rsidRPr="0086054F">
        <w:rPr>
          <w:lang w:eastAsia="en-AU"/>
        </w:rPr>
        <w:fldChar w:fldCharType="end"/>
      </w:r>
      <w:r w:rsidR="00F959B5" w:rsidRPr="0086054F">
        <w:rPr>
          <w:lang w:eastAsia="en-AU"/>
        </w:rPr>
        <w:t xml:space="preserve"> </w:t>
      </w:r>
      <w:r w:rsidR="00132D47" w:rsidRPr="0086054F">
        <w:rPr>
          <w:lang w:eastAsia="en-AU"/>
        </w:rPr>
        <w:t>below) do</w:t>
      </w:r>
      <w:r w:rsidR="00F959B5" w:rsidRPr="0086054F">
        <w:rPr>
          <w:lang w:eastAsia="en-AU"/>
        </w:rPr>
        <w:t xml:space="preserve"> not strive for desegregation but can be seen as a mechanism for </w:t>
      </w:r>
      <w:r w:rsidR="00E825C0">
        <w:rPr>
          <w:lang w:eastAsia="en-AU"/>
        </w:rPr>
        <w:t>cultivating</w:t>
      </w:r>
      <w:r w:rsidR="00FC3755" w:rsidRPr="0086054F">
        <w:rPr>
          <w:lang w:eastAsia="en-AU"/>
        </w:rPr>
        <w:t xml:space="preserve"> more diverse</w:t>
      </w:r>
      <w:r w:rsidR="00F959B5" w:rsidRPr="0086054F">
        <w:rPr>
          <w:lang w:eastAsia="en-AU"/>
        </w:rPr>
        <w:t xml:space="preserve"> peer groups </w:t>
      </w:r>
      <w:r w:rsidR="008B422C" w:rsidRPr="0086054F">
        <w:rPr>
          <w:lang w:eastAsia="en-AU"/>
        </w:rPr>
        <w:t>(i.e.</w:t>
      </w:r>
      <w:r w:rsidR="007C4A81">
        <w:rPr>
          <w:lang w:eastAsia="en-AU"/>
        </w:rPr>
        <w:t>,</w:t>
      </w:r>
      <w:r w:rsidR="002936F9">
        <w:rPr>
          <w:lang w:eastAsia="en-AU"/>
        </w:rPr>
        <w:t xml:space="preserve"> </w:t>
      </w:r>
      <w:r w:rsidR="008B422C" w:rsidRPr="0086054F">
        <w:rPr>
          <w:lang w:eastAsia="en-AU"/>
        </w:rPr>
        <w:t xml:space="preserve">by attracting higher </w:t>
      </w:r>
      <w:r w:rsidR="00F9347A">
        <w:rPr>
          <w:lang w:eastAsia="en-AU"/>
        </w:rPr>
        <w:t xml:space="preserve">socio-economic status </w:t>
      </w:r>
      <w:r w:rsidR="000573DA">
        <w:rPr>
          <w:lang w:eastAsia="en-AU"/>
        </w:rPr>
        <w:t>[</w:t>
      </w:r>
      <w:r w:rsidR="008B422C" w:rsidRPr="0086054F">
        <w:rPr>
          <w:lang w:eastAsia="en-AU"/>
        </w:rPr>
        <w:t>SES</w:t>
      </w:r>
      <w:r w:rsidR="000573DA">
        <w:rPr>
          <w:lang w:eastAsia="en-AU"/>
        </w:rPr>
        <w:t>]</w:t>
      </w:r>
      <w:r w:rsidR="008B422C" w:rsidRPr="0086054F">
        <w:rPr>
          <w:lang w:eastAsia="en-AU"/>
        </w:rPr>
        <w:t xml:space="preserve"> students to the school) </w:t>
      </w:r>
      <w:r w:rsidR="00F959B5" w:rsidRPr="0086054F">
        <w:rPr>
          <w:lang w:eastAsia="en-AU"/>
        </w:rPr>
        <w:t>and</w:t>
      </w:r>
      <w:r w:rsidR="00FC3755" w:rsidRPr="0086054F">
        <w:rPr>
          <w:lang w:eastAsia="en-AU"/>
        </w:rPr>
        <w:t>, at the same time, providing the conditions for</w:t>
      </w:r>
      <w:r w:rsidR="00F959B5" w:rsidRPr="0086054F">
        <w:rPr>
          <w:lang w:eastAsia="en-AU"/>
        </w:rPr>
        <w:t xml:space="preserve"> </w:t>
      </w:r>
      <w:r w:rsidR="00673B15">
        <w:rPr>
          <w:lang w:eastAsia="en-AU"/>
        </w:rPr>
        <w:t>improved</w:t>
      </w:r>
      <w:r w:rsidR="00B044E0" w:rsidRPr="0086054F">
        <w:rPr>
          <w:lang w:eastAsia="en-AU"/>
        </w:rPr>
        <w:t xml:space="preserve"> </w:t>
      </w:r>
      <w:r w:rsidR="005B53C9">
        <w:rPr>
          <w:lang w:eastAsia="en-AU"/>
        </w:rPr>
        <w:t>learning</w:t>
      </w:r>
      <w:r w:rsidR="00B044E0" w:rsidRPr="0086054F">
        <w:rPr>
          <w:lang w:eastAsia="en-AU"/>
        </w:rPr>
        <w:t xml:space="preserve"> </w:t>
      </w:r>
      <w:r w:rsidR="00F959B5" w:rsidRPr="0086054F">
        <w:rPr>
          <w:lang w:eastAsia="en-AU"/>
        </w:rPr>
        <w:t xml:space="preserve">engagement </w:t>
      </w:r>
      <w:r w:rsidR="005B53C9">
        <w:rPr>
          <w:lang w:eastAsia="en-AU"/>
        </w:rPr>
        <w:t xml:space="preserve">and </w:t>
      </w:r>
      <w:r w:rsidR="00673B15">
        <w:rPr>
          <w:lang w:eastAsia="en-AU"/>
        </w:rPr>
        <w:t>outcomes</w:t>
      </w:r>
      <w:r w:rsidR="00F959B5" w:rsidRPr="0086054F">
        <w:rPr>
          <w:lang w:eastAsia="en-AU"/>
        </w:rPr>
        <w:t xml:space="preserve"> </w:t>
      </w:r>
      <w:r w:rsidR="008B422C" w:rsidRPr="0086054F">
        <w:rPr>
          <w:lang w:eastAsia="en-AU"/>
        </w:rPr>
        <w:t xml:space="preserve">among </w:t>
      </w:r>
      <w:r w:rsidR="00D36D3E">
        <w:rPr>
          <w:lang w:eastAsia="en-AU"/>
        </w:rPr>
        <w:t>low-SES</w:t>
      </w:r>
      <w:r w:rsidR="00681729">
        <w:rPr>
          <w:lang w:eastAsia="en-AU"/>
        </w:rPr>
        <w:t xml:space="preserve"> and </w:t>
      </w:r>
      <w:r w:rsidR="00D36D3E">
        <w:rPr>
          <w:lang w:eastAsia="en-AU"/>
        </w:rPr>
        <w:t xml:space="preserve">other </w:t>
      </w:r>
      <w:r w:rsidR="00BD53C2">
        <w:rPr>
          <w:lang w:eastAsia="en-AU"/>
        </w:rPr>
        <w:t xml:space="preserve">equity </w:t>
      </w:r>
      <w:r w:rsidR="00A21360">
        <w:rPr>
          <w:lang w:eastAsia="en-AU"/>
        </w:rPr>
        <w:t>cohorts</w:t>
      </w:r>
      <w:r w:rsidR="00681729">
        <w:rPr>
          <w:lang w:eastAsia="en-AU"/>
        </w:rPr>
        <w:t>, including First Nations students and those in regional, rural and remote areas</w:t>
      </w:r>
      <w:r w:rsidR="008B422C" w:rsidRPr="0086054F">
        <w:rPr>
          <w:lang w:eastAsia="en-AU"/>
        </w:rPr>
        <w:t xml:space="preserve">. In other words, </w:t>
      </w:r>
      <w:r w:rsidR="00471EDF" w:rsidRPr="0086054F">
        <w:rPr>
          <w:lang w:eastAsia="en-AU"/>
        </w:rPr>
        <w:t>these interventions</w:t>
      </w:r>
      <w:r w:rsidR="008B422C" w:rsidRPr="0086054F">
        <w:rPr>
          <w:lang w:eastAsia="en-AU"/>
        </w:rPr>
        <w:t xml:space="preserve"> may </w:t>
      </w:r>
      <w:r w:rsidR="00F959B5" w:rsidRPr="0086054F">
        <w:rPr>
          <w:lang w:eastAsia="en-AU"/>
        </w:rPr>
        <w:t>revers</w:t>
      </w:r>
      <w:r w:rsidR="007C4D1A">
        <w:rPr>
          <w:lang w:eastAsia="en-AU"/>
        </w:rPr>
        <w:t>e</w:t>
      </w:r>
      <w:r w:rsidR="00F959B5" w:rsidRPr="0086054F">
        <w:rPr>
          <w:lang w:eastAsia="en-AU"/>
        </w:rPr>
        <w:t xml:space="preserve"> concentrations of disadvantage</w:t>
      </w:r>
      <w:r w:rsidR="00681729">
        <w:rPr>
          <w:lang w:eastAsia="en-AU"/>
        </w:rPr>
        <w:t xml:space="preserve"> </w:t>
      </w:r>
      <w:r w:rsidR="00F959B5" w:rsidRPr="0086054F">
        <w:rPr>
          <w:lang w:eastAsia="en-AU"/>
        </w:rPr>
        <w:t xml:space="preserve">even if that is not </w:t>
      </w:r>
      <w:r w:rsidR="008528A6">
        <w:rPr>
          <w:lang w:eastAsia="en-AU"/>
        </w:rPr>
        <w:t>their primary</w:t>
      </w:r>
      <w:r w:rsidR="00F959B5" w:rsidRPr="0086054F">
        <w:rPr>
          <w:lang w:eastAsia="en-AU"/>
        </w:rPr>
        <w:t xml:space="preserve"> goal. </w:t>
      </w:r>
    </w:p>
    <w:p w14:paraId="4EC243F1" w14:textId="117568FD" w:rsidR="00E50553" w:rsidRDefault="00976F1A" w:rsidP="009068B4">
      <w:pPr>
        <w:spacing w:after="160"/>
        <w:rPr>
          <w:lang w:eastAsia="en-AU"/>
        </w:rPr>
      </w:pPr>
      <w:r w:rsidRPr="0086054F">
        <w:rPr>
          <w:lang w:eastAsia="en-AU"/>
        </w:rPr>
        <w:t xml:space="preserve">For this research, </w:t>
      </w:r>
      <w:r w:rsidR="00F959B5" w:rsidRPr="0086054F">
        <w:rPr>
          <w:lang w:eastAsia="en-AU"/>
        </w:rPr>
        <w:t xml:space="preserve">Nous examined the literature on </w:t>
      </w:r>
      <w:r w:rsidR="00B2238B">
        <w:rPr>
          <w:lang w:eastAsia="en-AU"/>
        </w:rPr>
        <w:t xml:space="preserve">the </w:t>
      </w:r>
      <w:r w:rsidR="007B7950">
        <w:rPr>
          <w:lang w:eastAsia="en-AU"/>
        </w:rPr>
        <w:t>ten</w:t>
      </w:r>
      <w:r w:rsidR="00F959B5" w:rsidRPr="0086054F">
        <w:rPr>
          <w:lang w:eastAsia="en-AU"/>
        </w:rPr>
        <w:t xml:space="preserve"> interventions, </w:t>
      </w:r>
      <w:r w:rsidR="00CF4B75" w:rsidRPr="0086054F">
        <w:rPr>
          <w:lang w:eastAsia="en-AU"/>
        </w:rPr>
        <w:t>analysed</w:t>
      </w:r>
      <w:r w:rsidR="00AC1753">
        <w:rPr>
          <w:lang w:eastAsia="en-AU"/>
        </w:rPr>
        <w:t xml:space="preserve"> </w:t>
      </w:r>
      <w:r w:rsidR="00533473">
        <w:rPr>
          <w:lang w:eastAsia="en-AU"/>
        </w:rPr>
        <w:t xml:space="preserve">national and international data sets, including from </w:t>
      </w:r>
      <w:r w:rsidR="00AC1753">
        <w:rPr>
          <w:lang w:eastAsia="en-AU"/>
        </w:rPr>
        <w:t xml:space="preserve">the </w:t>
      </w:r>
      <w:r w:rsidR="00AC1753" w:rsidRPr="00885E44">
        <w:rPr>
          <w:lang w:eastAsia="en-AU"/>
        </w:rPr>
        <w:t xml:space="preserve">Organisation for Economic Co-operation and Development </w:t>
      </w:r>
      <w:r w:rsidR="00AC1753">
        <w:rPr>
          <w:lang w:eastAsia="en-AU"/>
        </w:rPr>
        <w:t>(OECD)</w:t>
      </w:r>
      <w:r w:rsidR="0034514D">
        <w:rPr>
          <w:lang w:eastAsia="en-AU"/>
        </w:rPr>
        <w:t>’s</w:t>
      </w:r>
      <w:r w:rsidR="00F959B5" w:rsidRPr="0086054F">
        <w:rPr>
          <w:lang w:eastAsia="en-AU"/>
        </w:rPr>
        <w:t xml:space="preserve"> </w:t>
      </w:r>
      <w:r w:rsidR="001B7C7A" w:rsidRPr="001B7C7A">
        <w:rPr>
          <w:lang w:eastAsia="en-AU"/>
        </w:rPr>
        <w:t>Program for International Student Assessment</w:t>
      </w:r>
      <w:r w:rsidR="00F959B5" w:rsidRPr="0086054F">
        <w:rPr>
          <w:lang w:eastAsia="en-AU"/>
        </w:rPr>
        <w:t xml:space="preserve"> </w:t>
      </w:r>
      <w:r w:rsidR="001B7C7A">
        <w:rPr>
          <w:lang w:eastAsia="en-AU"/>
        </w:rPr>
        <w:t>(</w:t>
      </w:r>
      <w:r w:rsidR="00F959B5" w:rsidRPr="0086054F">
        <w:rPr>
          <w:lang w:eastAsia="en-AU"/>
        </w:rPr>
        <w:t>PISA</w:t>
      </w:r>
      <w:r w:rsidR="001B7C7A">
        <w:rPr>
          <w:lang w:eastAsia="en-AU"/>
        </w:rPr>
        <w:t>)</w:t>
      </w:r>
      <w:r w:rsidR="00F959B5" w:rsidRPr="0086054F">
        <w:rPr>
          <w:lang w:eastAsia="en-AU"/>
        </w:rPr>
        <w:t xml:space="preserve">, and conducted </w:t>
      </w:r>
      <w:r w:rsidR="007B7950">
        <w:rPr>
          <w:lang w:eastAsia="en-AU"/>
        </w:rPr>
        <w:t>ten</w:t>
      </w:r>
      <w:r w:rsidR="00233921">
        <w:rPr>
          <w:lang w:eastAsia="en-AU"/>
        </w:rPr>
        <w:t xml:space="preserve"> research interviews with </w:t>
      </w:r>
      <w:r w:rsidR="005D4D56">
        <w:rPr>
          <w:lang w:eastAsia="en-AU"/>
        </w:rPr>
        <w:t xml:space="preserve">leading </w:t>
      </w:r>
      <w:r w:rsidR="00233921">
        <w:rPr>
          <w:lang w:eastAsia="en-AU"/>
        </w:rPr>
        <w:t xml:space="preserve">international </w:t>
      </w:r>
      <w:r w:rsidR="00952B26">
        <w:rPr>
          <w:lang w:eastAsia="en-AU"/>
        </w:rPr>
        <w:t xml:space="preserve">education economics and policy </w:t>
      </w:r>
      <w:r w:rsidR="005D4D56">
        <w:rPr>
          <w:lang w:eastAsia="en-AU"/>
        </w:rPr>
        <w:t>experts. This included the OECD’s Education Director, Andreas Schleicher</w:t>
      </w:r>
      <w:r w:rsidR="006103BA">
        <w:rPr>
          <w:lang w:eastAsia="en-AU"/>
        </w:rPr>
        <w:t xml:space="preserve"> </w:t>
      </w:r>
      <w:r w:rsidR="006103BA" w:rsidRPr="006103BA">
        <w:rPr>
          <w:lang w:eastAsia="en-AU"/>
        </w:rPr>
        <w:t xml:space="preserve">and former </w:t>
      </w:r>
      <w:r w:rsidR="00842D9F">
        <w:rPr>
          <w:lang w:eastAsia="en-AU"/>
        </w:rPr>
        <w:t xml:space="preserve">OECD </w:t>
      </w:r>
      <w:r w:rsidR="006103BA" w:rsidRPr="006103BA">
        <w:rPr>
          <w:lang w:eastAsia="en-AU"/>
        </w:rPr>
        <w:t>Education Director, Barry McGaw</w:t>
      </w:r>
      <w:r w:rsidRPr="0086054F">
        <w:rPr>
          <w:lang w:eastAsia="en-AU"/>
        </w:rPr>
        <w:t xml:space="preserve">. </w:t>
      </w:r>
      <w:r w:rsidR="00684773" w:rsidRPr="0086054F">
        <w:rPr>
          <w:lang w:eastAsia="en-AU"/>
        </w:rPr>
        <w:t>The report presents our</w:t>
      </w:r>
      <w:r w:rsidR="00F959B5" w:rsidRPr="0086054F">
        <w:rPr>
          <w:lang w:eastAsia="en-AU"/>
        </w:rPr>
        <w:t xml:space="preserve"> high-level assessment of the effectiveness </w:t>
      </w:r>
      <w:r w:rsidR="00AF6BCD" w:rsidRPr="0086054F">
        <w:rPr>
          <w:lang w:eastAsia="en-AU"/>
        </w:rPr>
        <w:t>of each intervention</w:t>
      </w:r>
      <w:r w:rsidR="00F959B5" w:rsidRPr="0086054F">
        <w:rPr>
          <w:lang w:eastAsia="en-AU"/>
        </w:rPr>
        <w:t xml:space="preserve"> in terms of</w:t>
      </w:r>
      <w:r w:rsidR="009068B4">
        <w:rPr>
          <w:lang w:eastAsia="en-AU"/>
        </w:rPr>
        <w:t xml:space="preserve"> a) </w:t>
      </w:r>
      <w:r w:rsidR="00F959B5" w:rsidRPr="0086054F">
        <w:rPr>
          <w:lang w:eastAsia="en-AU"/>
        </w:rPr>
        <w:t xml:space="preserve">improving in-school diversity </w:t>
      </w:r>
      <w:r w:rsidR="0023529A">
        <w:rPr>
          <w:lang w:eastAsia="en-AU"/>
        </w:rPr>
        <w:t xml:space="preserve">(in </w:t>
      </w:r>
      <w:r w:rsidR="009768BC">
        <w:rPr>
          <w:lang w:eastAsia="en-AU"/>
        </w:rPr>
        <w:t>respect</w:t>
      </w:r>
      <w:r w:rsidR="0023529A">
        <w:rPr>
          <w:lang w:eastAsia="en-AU"/>
        </w:rPr>
        <w:t xml:space="preserve"> of racial, migrant-background or socio</w:t>
      </w:r>
      <w:r w:rsidR="00115985">
        <w:rPr>
          <w:lang w:eastAsia="en-AU"/>
        </w:rPr>
        <w:t>-e</w:t>
      </w:r>
      <w:r w:rsidR="0023529A">
        <w:rPr>
          <w:lang w:eastAsia="en-AU"/>
        </w:rPr>
        <w:t>conomic status</w:t>
      </w:r>
      <w:r w:rsidR="00107547">
        <w:rPr>
          <w:lang w:eastAsia="en-AU"/>
        </w:rPr>
        <w:t>)</w:t>
      </w:r>
      <w:r w:rsidR="0023529A">
        <w:rPr>
          <w:lang w:eastAsia="en-AU"/>
        </w:rPr>
        <w:t xml:space="preserve"> </w:t>
      </w:r>
      <w:r w:rsidR="00F959B5" w:rsidRPr="0086054F">
        <w:rPr>
          <w:lang w:eastAsia="en-AU"/>
        </w:rPr>
        <w:t>and b) improving educational outcomes</w:t>
      </w:r>
      <w:r w:rsidR="0023529A">
        <w:rPr>
          <w:lang w:eastAsia="en-AU"/>
        </w:rPr>
        <w:t xml:space="preserve"> (which are generally assessed in terms of </w:t>
      </w:r>
      <w:r w:rsidR="00E50553">
        <w:rPr>
          <w:lang w:eastAsia="en-AU"/>
        </w:rPr>
        <w:t>improved attendance, graduation rates or performance on standardised tests</w:t>
      </w:r>
      <w:r w:rsidR="00107547">
        <w:rPr>
          <w:lang w:eastAsia="en-AU"/>
        </w:rPr>
        <w:t>)</w:t>
      </w:r>
      <w:r w:rsidR="00F959B5" w:rsidRPr="0086054F">
        <w:rPr>
          <w:lang w:eastAsia="en-AU"/>
        </w:rPr>
        <w:t xml:space="preserve">. </w:t>
      </w:r>
    </w:p>
    <w:p w14:paraId="3245A5E0" w14:textId="7AEDA9C0" w:rsidR="00E50553" w:rsidRDefault="00F959B5" w:rsidP="00F959B5">
      <w:pPr>
        <w:spacing w:after="160"/>
        <w:rPr>
          <w:lang w:eastAsia="en-AU"/>
        </w:rPr>
      </w:pPr>
      <w:r w:rsidRPr="0086054F">
        <w:rPr>
          <w:lang w:eastAsia="en-AU"/>
        </w:rPr>
        <w:t xml:space="preserve">We also analysed the extent to which each of the interventions could be deployed in an Australian context </w:t>
      </w:r>
      <w:r w:rsidR="00AF6BCD" w:rsidRPr="0086054F">
        <w:rPr>
          <w:lang w:eastAsia="en-AU"/>
        </w:rPr>
        <w:t xml:space="preserve">using </w:t>
      </w:r>
      <w:r w:rsidR="00E50553">
        <w:rPr>
          <w:lang w:eastAsia="en-AU"/>
        </w:rPr>
        <w:t>the following</w:t>
      </w:r>
      <w:r w:rsidR="00AF6BCD" w:rsidRPr="0086054F">
        <w:rPr>
          <w:lang w:eastAsia="en-AU"/>
        </w:rPr>
        <w:t xml:space="preserve"> </w:t>
      </w:r>
      <w:r w:rsidR="00CE1AAF">
        <w:rPr>
          <w:lang w:eastAsia="en-AU"/>
        </w:rPr>
        <w:t>questions</w:t>
      </w:r>
      <w:r w:rsidR="00E50553">
        <w:rPr>
          <w:lang w:eastAsia="en-AU"/>
        </w:rPr>
        <w:t>:</w:t>
      </w:r>
      <w:r w:rsidRPr="0086054F">
        <w:rPr>
          <w:lang w:eastAsia="en-AU"/>
        </w:rPr>
        <w:t xml:space="preserve"> </w:t>
      </w:r>
    </w:p>
    <w:p w14:paraId="6EF81C7D" w14:textId="557110AA" w:rsidR="005F7DA5" w:rsidRDefault="001C5150" w:rsidP="00E45BFE">
      <w:pPr>
        <w:pStyle w:val="Listnumbered"/>
        <w:numPr>
          <w:ilvl w:val="0"/>
          <w:numId w:val="16"/>
        </w:numPr>
        <w:rPr>
          <w:lang w:eastAsia="en-AU"/>
        </w:rPr>
      </w:pPr>
      <w:r w:rsidRPr="00CE1AAF">
        <w:rPr>
          <w:rFonts w:asciiTheme="majorHAnsi" w:hAnsiTheme="majorHAnsi" w:cstheme="majorHAnsi"/>
          <w:lang w:eastAsia="en-AU"/>
        </w:rPr>
        <w:t>How scalable is it?</w:t>
      </w:r>
      <w:r>
        <w:rPr>
          <w:lang w:eastAsia="en-AU"/>
        </w:rPr>
        <w:t xml:space="preserve"> (i.e</w:t>
      </w:r>
      <w:r w:rsidR="00BF6672">
        <w:rPr>
          <w:lang w:eastAsia="en-AU"/>
        </w:rPr>
        <w:t>.,</w:t>
      </w:r>
      <w:r>
        <w:rPr>
          <w:lang w:eastAsia="en-AU"/>
        </w:rPr>
        <w:t xml:space="preserve"> can it be applied on a wide scale but in such a way as to also take</w:t>
      </w:r>
      <w:r w:rsidR="00C15756">
        <w:rPr>
          <w:lang w:eastAsia="en-AU"/>
        </w:rPr>
        <w:t>s</w:t>
      </w:r>
      <w:r>
        <w:rPr>
          <w:lang w:eastAsia="en-AU"/>
        </w:rPr>
        <w:t xml:space="preserve"> account of distinctive rural and regional contexts</w:t>
      </w:r>
      <w:r w:rsidR="001778DE">
        <w:rPr>
          <w:lang w:eastAsia="en-AU"/>
        </w:rPr>
        <w:t>?</w:t>
      </w:r>
      <w:r>
        <w:rPr>
          <w:lang w:eastAsia="en-AU"/>
        </w:rPr>
        <w:t>)</w:t>
      </w:r>
    </w:p>
    <w:p w14:paraId="4C003ED8" w14:textId="2DEA008F" w:rsidR="005F7DA5" w:rsidRDefault="001C5150" w:rsidP="00E45BFE">
      <w:pPr>
        <w:pStyle w:val="Listnumbered"/>
        <w:numPr>
          <w:ilvl w:val="0"/>
          <w:numId w:val="16"/>
        </w:numPr>
        <w:rPr>
          <w:lang w:eastAsia="en-AU"/>
        </w:rPr>
      </w:pPr>
      <w:r w:rsidRPr="005F7DA5">
        <w:rPr>
          <w:rFonts w:asciiTheme="majorHAnsi" w:hAnsiTheme="majorHAnsi" w:cstheme="majorHAnsi"/>
          <w:lang w:eastAsia="en-AU"/>
        </w:rPr>
        <w:t>How similar is it to current approaches in Australia?</w:t>
      </w:r>
      <w:r>
        <w:rPr>
          <w:lang w:eastAsia="en-AU"/>
        </w:rPr>
        <w:t xml:space="preserve"> (i.e., is it radically different to current approaches used in Australia?</w:t>
      </w:r>
      <w:r w:rsidR="001778DE">
        <w:rPr>
          <w:lang w:eastAsia="en-AU"/>
        </w:rPr>
        <w:t>)</w:t>
      </w:r>
    </w:p>
    <w:p w14:paraId="12296AD9" w14:textId="0384207C" w:rsidR="005F7DA5" w:rsidRDefault="001C5150" w:rsidP="00E45BFE">
      <w:pPr>
        <w:pStyle w:val="Listnumbered"/>
        <w:numPr>
          <w:ilvl w:val="0"/>
          <w:numId w:val="16"/>
        </w:numPr>
        <w:rPr>
          <w:lang w:eastAsia="en-AU"/>
        </w:rPr>
      </w:pPr>
      <w:r w:rsidRPr="005F7DA5">
        <w:rPr>
          <w:rFonts w:asciiTheme="majorHAnsi" w:hAnsiTheme="majorHAnsi" w:cstheme="majorHAnsi"/>
          <w:lang w:eastAsia="en-AU"/>
        </w:rPr>
        <w:lastRenderedPageBreak/>
        <w:t xml:space="preserve">How likely is it to be widely supported? </w:t>
      </w:r>
      <w:r w:rsidR="00426070">
        <w:rPr>
          <w:lang w:eastAsia="en-AU"/>
        </w:rPr>
        <w:t>Is it likely to receive broad support</w:t>
      </w:r>
      <w:r w:rsidR="005B7670">
        <w:rPr>
          <w:lang w:eastAsia="en-AU"/>
        </w:rPr>
        <w:t>,</w:t>
      </w:r>
      <w:r w:rsidR="00426070">
        <w:rPr>
          <w:lang w:eastAsia="en-AU"/>
        </w:rPr>
        <w:t xml:space="preserve"> including from political parties, </w:t>
      </w:r>
      <w:r>
        <w:rPr>
          <w:lang w:eastAsia="en-AU"/>
        </w:rPr>
        <w:t>education stakeholders and the public</w:t>
      </w:r>
      <w:r w:rsidR="00CE1AAF">
        <w:rPr>
          <w:lang w:eastAsia="en-AU"/>
        </w:rPr>
        <w:t>?</w:t>
      </w:r>
    </w:p>
    <w:p w14:paraId="5CBB2281" w14:textId="507D2D2A" w:rsidR="00E50553" w:rsidRDefault="001C5150" w:rsidP="00E45BFE">
      <w:pPr>
        <w:pStyle w:val="Listnumbered"/>
        <w:numPr>
          <w:ilvl w:val="0"/>
          <w:numId w:val="16"/>
        </w:numPr>
        <w:rPr>
          <w:lang w:eastAsia="en-AU"/>
        </w:rPr>
      </w:pPr>
      <w:r w:rsidRPr="005F7DA5">
        <w:rPr>
          <w:rFonts w:asciiTheme="majorHAnsi" w:hAnsiTheme="majorHAnsi" w:cstheme="majorHAnsi"/>
          <w:lang w:eastAsia="en-AU"/>
        </w:rPr>
        <w:t>How easy will it be to implement in practical terms</w:t>
      </w:r>
      <w:r>
        <w:rPr>
          <w:lang w:eastAsia="en-AU"/>
        </w:rPr>
        <w:t>? Is extensive legislation change or funding increases required?</w:t>
      </w:r>
    </w:p>
    <w:p w14:paraId="2D844B88" w14:textId="5175066C" w:rsidR="009068B4" w:rsidRPr="009068B4" w:rsidRDefault="009068B4" w:rsidP="00F959B5">
      <w:pPr>
        <w:spacing w:after="160"/>
        <w:rPr>
          <w:b/>
          <w:bCs/>
          <w:lang w:eastAsia="en-AU"/>
        </w:rPr>
      </w:pPr>
      <w:r w:rsidRPr="009068B4">
        <w:rPr>
          <w:b/>
          <w:bCs/>
          <w:lang w:eastAsia="en-AU"/>
        </w:rPr>
        <w:t>Overview of findings</w:t>
      </w:r>
    </w:p>
    <w:p w14:paraId="4579FF96" w14:textId="23F5A53F" w:rsidR="00BA51A2" w:rsidRPr="0086054F" w:rsidRDefault="007E014C" w:rsidP="00F959B5">
      <w:pPr>
        <w:spacing w:after="160"/>
        <w:rPr>
          <w:lang w:eastAsia="en-AU"/>
        </w:rPr>
      </w:pPr>
      <w:r w:rsidRPr="0086054F">
        <w:rPr>
          <w:lang w:eastAsia="en-AU"/>
        </w:rPr>
        <w:t>The results are s</w:t>
      </w:r>
      <w:r w:rsidR="00AF6BCD" w:rsidRPr="0086054F">
        <w:rPr>
          <w:lang w:eastAsia="en-AU"/>
        </w:rPr>
        <w:t>ummarised</w:t>
      </w:r>
      <w:r w:rsidRPr="0086054F">
        <w:rPr>
          <w:lang w:eastAsia="en-AU"/>
        </w:rPr>
        <w:t xml:space="preserve"> in </w:t>
      </w:r>
      <w:r w:rsidR="00152F7A">
        <w:rPr>
          <w:lang w:eastAsia="en-AU"/>
        </w:rPr>
        <w:fldChar w:fldCharType="begin"/>
      </w:r>
      <w:r w:rsidR="00152F7A">
        <w:rPr>
          <w:lang w:eastAsia="en-AU"/>
        </w:rPr>
        <w:instrText xml:space="preserve"> REF _Ref146461199 \h </w:instrText>
      </w:r>
      <w:r w:rsidR="00152F7A">
        <w:rPr>
          <w:lang w:eastAsia="en-AU"/>
        </w:rPr>
      </w:r>
      <w:r w:rsidR="00152F7A">
        <w:rPr>
          <w:lang w:eastAsia="en-AU"/>
        </w:rPr>
        <w:fldChar w:fldCharType="separate"/>
      </w:r>
      <w:r w:rsidR="009B7086">
        <w:t xml:space="preserve">Table </w:t>
      </w:r>
      <w:r w:rsidR="009B7086">
        <w:rPr>
          <w:noProof/>
        </w:rPr>
        <w:t>1</w:t>
      </w:r>
      <w:r w:rsidR="00152F7A">
        <w:rPr>
          <w:lang w:eastAsia="en-AU"/>
        </w:rPr>
        <w:fldChar w:fldCharType="end"/>
      </w:r>
      <w:r w:rsidR="00066B58">
        <w:rPr>
          <w:lang w:eastAsia="en-AU"/>
        </w:rPr>
        <w:t>, below</w:t>
      </w:r>
      <w:r w:rsidR="004D0DEB" w:rsidRPr="0086054F">
        <w:rPr>
          <w:lang w:eastAsia="en-AU"/>
        </w:rPr>
        <w:t>.</w:t>
      </w:r>
      <w:r w:rsidR="00E50553">
        <w:rPr>
          <w:lang w:eastAsia="en-AU"/>
        </w:rPr>
        <w:t xml:space="preserve"> </w:t>
      </w:r>
      <w:bookmarkStart w:id="2" w:name="_Hlk146904408"/>
      <w:r w:rsidR="00E50553">
        <w:rPr>
          <w:lang w:eastAsia="en-AU"/>
        </w:rPr>
        <w:t>Note that th</w:t>
      </w:r>
      <w:r w:rsidR="00FC4B67">
        <w:rPr>
          <w:lang w:eastAsia="en-AU"/>
        </w:rPr>
        <w:t>ese</w:t>
      </w:r>
      <w:r w:rsidR="00E50553">
        <w:rPr>
          <w:lang w:eastAsia="en-AU"/>
        </w:rPr>
        <w:t xml:space="preserve"> are </w:t>
      </w:r>
      <w:r w:rsidR="00F252B0">
        <w:rPr>
          <w:lang w:eastAsia="en-AU"/>
        </w:rPr>
        <w:t>indicative and offered as a high-level guide only</w:t>
      </w:r>
      <w:r w:rsidR="00FC4B67">
        <w:rPr>
          <w:lang w:eastAsia="en-AU"/>
        </w:rPr>
        <w:t>. There is more detail and nuance in the body of the report</w:t>
      </w:r>
      <w:r w:rsidR="00F252B0">
        <w:rPr>
          <w:lang w:eastAsia="en-AU"/>
        </w:rPr>
        <w:t>.</w:t>
      </w:r>
      <w:r w:rsidR="009068B4">
        <w:rPr>
          <w:lang w:eastAsia="en-AU"/>
        </w:rPr>
        <w:t xml:space="preserve"> Also</w:t>
      </w:r>
      <w:r w:rsidR="0095556C">
        <w:rPr>
          <w:lang w:eastAsia="en-AU"/>
        </w:rPr>
        <w:t xml:space="preserve">, the success or otherwise of interventions </w:t>
      </w:r>
      <w:r w:rsidR="00260BEF">
        <w:rPr>
          <w:lang w:eastAsia="en-AU"/>
        </w:rPr>
        <w:t xml:space="preserve">depends significantly on how they were implemented, so </w:t>
      </w:r>
      <w:r w:rsidR="00EF4AB1">
        <w:rPr>
          <w:lang w:eastAsia="en-AU"/>
        </w:rPr>
        <w:t>while the research</w:t>
      </w:r>
      <w:r w:rsidR="00260BEF">
        <w:rPr>
          <w:lang w:eastAsia="en-AU"/>
        </w:rPr>
        <w:t xml:space="preserve"> </w:t>
      </w:r>
      <w:r w:rsidR="002A4903">
        <w:rPr>
          <w:lang w:eastAsia="en-AU"/>
        </w:rPr>
        <w:t>evidence</w:t>
      </w:r>
      <w:r w:rsidR="00260BEF">
        <w:rPr>
          <w:lang w:eastAsia="en-AU"/>
        </w:rPr>
        <w:t xml:space="preserve"> </w:t>
      </w:r>
      <w:r w:rsidR="00EF4AB1">
        <w:rPr>
          <w:lang w:eastAsia="en-AU"/>
        </w:rPr>
        <w:t xml:space="preserve">reviewed </w:t>
      </w:r>
      <w:r w:rsidR="00260BEF">
        <w:rPr>
          <w:lang w:eastAsia="en-AU"/>
        </w:rPr>
        <w:t>on an intervention may suggest it was ineffective in one setting,</w:t>
      </w:r>
      <w:r w:rsidR="00EF4AB1">
        <w:rPr>
          <w:lang w:eastAsia="en-AU"/>
        </w:rPr>
        <w:t xml:space="preserve"> it</w:t>
      </w:r>
      <w:r w:rsidR="00260BEF">
        <w:rPr>
          <w:lang w:eastAsia="en-AU"/>
        </w:rPr>
        <w:t xml:space="preserve"> may be more successful elsewhere. </w:t>
      </w:r>
      <w:bookmarkEnd w:id="2"/>
    </w:p>
    <w:p w14:paraId="4B8C3864" w14:textId="4EFFB124" w:rsidR="007E014C" w:rsidRDefault="007E014C" w:rsidP="007E014C">
      <w:pPr>
        <w:pStyle w:val="Caption"/>
        <w:rPr>
          <w:lang w:eastAsia="en-AU"/>
        </w:rPr>
      </w:pPr>
      <w:bookmarkStart w:id="3" w:name="_Ref146461199"/>
      <w:r>
        <w:t xml:space="preserve">Table </w:t>
      </w:r>
      <w:r>
        <w:fldChar w:fldCharType="begin"/>
      </w:r>
      <w:r>
        <w:instrText xml:space="preserve"> SEQ Table \* ARABIC </w:instrText>
      </w:r>
      <w:r>
        <w:fldChar w:fldCharType="separate"/>
      </w:r>
      <w:r w:rsidR="009B7086">
        <w:rPr>
          <w:noProof/>
        </w:rPr>
        <w:t>1</w:t>
      </w:r>
      <w:r>
        <w:fldChar w:fldCharType="end"/>
      </w:r>
      <w:bookmarkEnd w:id="3"/>
      <w:r w:rsidR="00994F58">
        <w:t xml:space="preserve"> </w:t>
      </w:r>
      <w:r w:rsidR="00C863B6">
        <w:t>|</w:t>
      </w:r>
      <w:r>
        <w:t xml:space="preserve"> </w:t>
      </w:r>
      <w:r w:rsidR="00FA1EBA">
        <w:t>The impact and transferability of selected policy interventions improving diversity in schools</w:t>
      </w:r>
    </w:p>
    <w:tbl>
      <w:tblPr>
        <w:tblStyle w:val="NousTableStyletopandsideheading"/>
        <w:tblW w:w="5000" w:type="pct"/>
        <w:tblLook w:val="04A0" w:firstRow="1" w:lastRow="0" w:firstColumn="1" w:lastColumn="0" w:noHBand="0" w:noVBand="1"/>
      </w:tblPr>
      <w:tblGrid>
        <w:gridCol w:w="324"/>
        <w:gridCol w:w="4103"/>
        <w:gridCol w:w="1586"/>
        <w:gridCol w:w="1586"/>
        <w:gridCol w:w="1586"/>
      </w:tblGrid>
      <w:tr w:rsidR="0059039C" w14:paraId="4D923F9E" w14:textId="77777777" w:rsidTr="000F3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gridSpan w:val="2"/>
            <w:tcBorders>
              <w:top w:val="single" w:sz="4" w:space="0" w:color="auto"/>
              <w:bottom w:val="single" w:sz="8" w:space="0" w:color="F9F9F9"/>
            </w:tcBorders>
            <w:shd w:val="clear" w:color="auto" w:fill="00264D" w:themeFill="background2"/>
          </w:tcPr>
          <w:p w14:paraId="5943CC54" w14:textId="771931C8" w:rsidR="00FF304C" w:rsidRPr="00B64232" w:rsidRDefault="000307D6" w:rsidP="00F07EBA">
            <w:pPr>
              <w:pStyle w:val="TableNheader"/>
              <w:rPr>
                <w:rFonts w:asciiTheme="minorHAnsi" w:hAnsiTheme="minorHAnsi" w:cstheme="minorHAnsi"/>
                <w:color w:val="FFFFFF" w:themeColor="background1"/>
                <w:sz w:val="16"/>
                <w:szCs w:val="16"/>
              </w:rPr>
            </w:pPr>
            <w:r w:rsidRPr="00B64232">
              <w:rPr>
                <w:rFonts w:asciiTheme="minorHAnsi" w:hAnsiTheme="minorHAnsi" w:cstheme="minorHAnsi"/>
                <w:color w:val="FFFFFF" w:themeColor="background1"/>
                <w:sz w:val="16"/>
                <w:szCs w:val="16"/>
              </w:rPr>
              <w:t>Policy i</w:t>
            </w:r>
            <w:r w:rsidR="00543BFF" w:rsidRPr="00B64232">
              <w:rPr>
                <w:rFonts w:asciiTheme="minorHAnsi" w:hAnsiTheme="minorHAnsi" w:cstheme="minorHAnsi"/>
                <w:color w:val="FFFFFF" w:themeColor="background1"/>
                <w:sz w:val="16"/>
                <w:szCs w:val="16"/>
              </w:rPr>
              <w:t>ntervention</w:t>
            </w:r>
          </w:p>
        </w:tc>
        <w:tc>
          <w:tcPr>
            <w:tcW w:w="864" w:type="pct"/>
            <w:tcBorders>
              <w:top w:val="single" w:sz="4" w:space="0" w:color="auto"/>
              <w:bottom w:val="single" w:sz="8" w:space="0" w:color="F9F9F9"/>
            </w:tcBorders>
            <w:shd w:val="clear" w:color="auto" w:fill="00264D" w:themeFill="background2"/>
          </w:tcPr>
          <w:p w14:paraId="19028AC9" w14:textId="1B05ADFE" w:rsidR="00FF304C" w:rsidRPr="00B64232" w:rsidRDefault="00543BFF" w:rsidP="00F07EBA">
            <w:pPr>
              <w:pStyle w:val="TableNhead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B64232">
              <w:rPr>
                <w:rFonts w:asciiTheme="minorHAnsi" w:hAnsiTheme="minorHAnsi" w:cstheme="minorHAnsi"/>
                <w:color w:val="FFFFFF" w:themeColor="background1"/>
                <w:sz w:val="16"/>
                <w:szCs w:val="16"/>
              </w:rPr>
              <w:t>Impact</w:t>
            </w:r>
            <w:r w:rsidR="007D7887" w:rsidRPr="00B64232">
              <w:rPr>
                <w:rFonts w:asciiTheme="minorHAnsi" w:hAnsiTheme="minorHAnsi" w:cstheme="minorHAnsi"/>
                <w:color w:val="FFFFFF" w:themeColor="background1"/>
                <w:sz w:val="16"/>
                <w:szCs w:val="16"/>
              </w:rPr>
              <w:t xml:space="preserve"> on </w:t>
            </w:r>
            <w:r w:rsidR="000307D6" w:rsidRPr="00B64232">
              <w:rPr>
                <w:rFonts w:asciiTheme="minorHAnsi" w:hAnsiTheme="minorHAnsi" w:cstheme="minorHAnsi"/>
                <w:color w:val="FFFFFF" w:themeColor="background1"/>
                <w:sz w:val="16"/>
                <w:szCs w:val="16"/>
              </w:rPr>
              <w:t xml:space="preserve">SES </w:t>
            </w:r>
            <w:r w:rsidR="007D7887" w:rsidRPr="00B64232">
              <w:rPr>
                <w:rFonts w:asciiTheme="minorHAnsi" w:hAnsiTheme="minorHAnsi" w:cstheme="minorHAnsi"/>
                <w:color w:val="FFFFFF" w:themeColor="background1"/>
                <w:sz w:val="16"/>
                <w:szCs w:val="16"/>
              </w:rPr>
              <w:t>diversity</w:t>
            </w:r>
          </w:p>
        </w:tc>
        <w:tc>
          <w:tcPr>
            <w:tcW w:w="864" w:type="pct"/>
            <w:tcBorders>
              <w:top w:val="single" w:sz="4" w:space="0" w:color="auto"/>
              <w:bottom w:val="single" w:sz="8" w:space="0" w:color="F9F9F9"/>
            </w:tcBorders>
            <w:shd w:val="clear" w:color="auto" w:fill="00264D" w:themeFill="background2"/>
          </w:tcPr>
          <w:p w14:paraId="47EDF17B" w14:textId="23BE8378" w:rsidR="0020572A" w:rsidRPr="00B64232" w:rsidRDefault="0020572A" w:rsidP="00F07EBA">
            <w:pPr>
              <w:pStyle w:val="TableNhead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B64232">
              <w:rPr>
                <w:rFonts w:asciiTheme="minorHAnsi" w:hAnsiTheme="minorHAnsi" w:cstheme="minorHAnsi"/>
                <w:color w:val="FFFFFF" w:themeColor="background1"/>
                <w:sz w:val="16"/>
                <w:szCs w:val="16"/>
              </w:rPr>
              <w:t>Impact on education</w:t>
            </w:r>
            <w:r w:rsidR="00963167" w:rsidRPr="00B64232">
              <w:rPr>
                <w:rFonts w:asciiTheme="minorHAnsi" w:hAnsiTheme="minorHAnsi" w:cstheme="minorHAnsi"/>
                <w:color w:val="FFFFFF" w:themeColor="background1"/>
                <w:sz w:val="16"/>
                <w:szCs w:val="16"/>
              </w:rPr>
              <w:t>al outcomes</w:t>
            </w:r>
          </w:p>
        </w:tc>
        <w:tc>
          <w:tcPr>
            <w:tcW w:w="864" w:type="pct"/>
            <w:tcBorders>
              <w:top w:val="single" w:sz="4" w:space="0" w:color="auto"/>
              <w:bottom w:val="single" w:sz="8" w:space="0" w:color="F9F9F9"/>
            </w:tcBorders>
            <w:shd w:val="clear" w:color="auto" w:fill="00264D" w:themeFill="background2"/>
          </w:tcPr>
          <w:p w14:paraId="1192F373" w14:textId="75C1A2AA" w:rsidR="00FF304C" w:rsidRPr="00B64232" w:rsidRDefault="00FF304C" w:rsidP="00F07EBA">
            <w:pPr>
              <w:pStyle w:val="TableNhead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6"/>
                <w:szCs w:val="16"/>
              </w:rPr>
            </w:pPr>
            <w:r w:rsidRPr="00B64232">
              <w:rPr>
                <w:rFonts w:asciiTheme="minorHAnsi" w:hAnsiTheme="minorHAnsi" w:cstheme="minorHAnsi"/>
                <w:color w:val="FFFFFF" w:themeColor="background1"/>
                <w:sz w:val="16"/>
                <w:szCs w:val="16"/>
              </w:rPr>
              <w:t xml:space="preserve">Transferability </w:t>
            </w:r>
            <w:r w:rsidR="00F10CC7" w:rsidRPr="00B64232">
              <w:rPr>
                <w:rFonts w:asciiTheme="minorHAnsi" w:hAnsiTheme="minorHAnsi" w:cstheme="minorHAnsi"/>
                <w:color w:val="FFFFFF" w:themeColor="background1"/>
                <w:sz w:val="16"/>
                <w:szCs w:val="16"/>
              </w:rPr>
              <w:t>to Australia</w:t>
            </w:r>
            <w:r w:rsidR="00FC4B67" w:rsidRPr="00B64232">
              <w:rPr>
                <w:rFonts w:asciiTheme="minorHAnsi" w:hAnsiTheme="minorHAnsi" w:cstheme="minorHAnsi"/>
                <w:color w:val="FFFFFF" w:themeColor="background1"/>
                <w:sz w:val="16"/>
                <w:szCs w:val="16"/>
              </w:rPr>
              <w:t xml:space="preserve"> (High, Mixed, Low)</w:t>
            </w:r>
          </w:p>
        </w:tc>
      </w:tr>
      <w:tr w:rsidR="00FF304C" w:rsidRPr="00B64232" w14:paraId="74F013EC" w14:textId="77777777" w:rsidTr="000F303A">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25B3E0" w:themeFill="accent6"/>
          </w:tcPr>
          <w:p w14:paraId="42EC0E5E" w14:textId="75978293" w:rsidR="00FF304C" w:rsidRPr="00B64232" w:rsidRDefault="00F07EBA" w:rsidP="00F07EBA">
            <w:pPr>
              <w:pStyle w:val="TableNheader"/>
              <w:rPr>
                <w:b w:val="0"/>
                <w:color w:val="FFFFFF" w:themeColor="background1"/>
                <w:sz w:val="16"/>
                <w:szCs w:val="16"/>
              </w:rPr>
            </w:pPr>
            <w:r w:rsidRPr="00B64232">
              <w:rPr>
                <w:b w:val="0"/>
                <w:color w:val="FFFFFF" w:themeColor="background1"/>
                <w:sz w:val="16"/>
                <w:szCs w:val="16"/>
              </w:rPr>
              <w:t xml:space="preserve">Interventions to diversify enrolments at schools with </w:t>
            </w:r>
            <w:r w:rsidR="00984CD1">
              <w:rPr>
                <w:b w:val="0"/>
                <w:color w:val="FFFFFF" w:themeColor="background1"/>
                <w:sz w:val="16"/>
                <w:szCs w:val="16"/>
              </w:rPr>
              <w:t xml:space="preserve">high </w:t>
            </w:r>
            <w:r w:rsidRPr="00B64232">
              <w:rPr>
                <w:b w:val="0"/>
                <w:color w:val="FFFFFF" w:themeColor="background1"/>
                <w:sz w:val="16"/>
                <w:szCs w:val="16"/>
              </w:rPr>
              <w:t>concentrations of disadvantage</w:t>
            </w:r>
          </w:p>
        </w:tc>
      </w:tr>
      <w:tr w:rsidR="00072B28" w14:paraId="64F19F72" w14:textId="77777777" w:rsidTr="000F303A">
        <w:tc>
          <w:tcPr>
            <w:cnfStyle w:val="001000000000" w:firstRow="0" w:lastRow="0" w:firstColumn="1" w:lastColumn="0" w:oddVBand="0" w:evenVBand="0" w:oddHBand="0" w:evenHBand="0" w:firstRowFirstColumn="0" w:firstRowLastColumn="0" w:lastRowFirstColumn="0" w:lastRowLastColumn="0"/>
            <w:tcW w:w="174" w:type="pct"/>
          </w:tcPr>
          <w:p w14:paraId="363CEB7B" w14:textId="3381CE81" w:rsidR="00F07EBA" w:rsidRPr="00B64232" w:rsidRDefault="00F07EBA" w:rsidP="00E354BF">
            <w:pPr>
              <w:pStyle w:val="TableExpText"/>
              <w:spacing w:before="0" w:after="0"/>
              <w:rPr>
                <w:rFonts w:asciiTheme="majorHAnsi" w:hAnsiTheme="majorHAnsi" w:cstheme="majorHAnsi"/>
                <w:b w:val="0"/>
                <w:color w:val="25B3E0" w:themeColor="accent6"/>
                <w:szCs w:val="16"/>
              </w:rPr>
            </w:pPr>
            <w:r w:rsidRPr="00B64232">
              <w:rPr>
                <w:rFonts w:asciiTheme="majorHAnsi" w:hAnsiTheme="majorHAnsi" w:cstheme="majorHAnsi"/>
                <w:b w:val="0"/>
                <w:color w:val="25B3E0" w:themeColor="accent6"/>
                <w:szCs w:val="16"/>
              </w:rPr>
              <w:t>1</w:t>
            </w:r>
          </w:p>
        </w:tc>
        <w:tc>
          <w:tcPr>
            <w:tcW w:w="2234" w:type="pct"/>
            <w:shd w:val="clear" w:color="auto" w:fill="E6E6E1" w:themeFill="accent5"/>
          </w:tcPr>
          <w:p w14:paraId="5A22A0ED" w14:textId="77FBECAE" w:rsidR="00F07EBA" w:rsidRPr="00B64232" w:rsidRDefault="00F07EBA"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Legislated quotas</w:t>
            </w:r>
          </w:p>
        </w:tc>
        <w:tc>
          <w:tcPr>
            <w:tcW w:w="864" w:type="pct"/>
            <w:shd w:val="clear" w:color="auto" w:fill="E6E6E1" w:themeFill="accent5"/>
          </w:tcPr>
          <w:p w14:paraId="7D849CBB" w14:textId="16B3BC4F" w:rsidR="00F07EBA" w:rsidRPr="00B64232" w:rsidRDefault="00F07EBA"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Mixed</w:t>
            </w:r>
          </w:p>
        </w:tc>
        <w:tc>
          <w:tcPr>
            <w:tcW w:w="864" w:type="pct"/>
            <w:shd w:val="clear" w:color="auto" w:fill="E6E6E1" w:themeFill="accent5"/>
          </w:tcPr>
          <w:p w14:paraId="3DA5A22B" w14:textId="41F82F9F" w:rsidR="0020572A" w:rsidRPr="00B64232" w:rsidRDefault="00620646"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Mixed </w:t>
            </w:r>
          </w:p>
        </w:tc>
        <w:tc>
          <w:tcPr>
            <w:tcW w:w="864" w:type="pct"/>
            <w:shd w:val="clear" w:color="auto" w:fill="E6E6E1" w:themeFill="accent5"/>
          </w:tcPr>
          <w:p w14:paraId="637D9CB4" w14:textId="764A20AB" w:rsidR="00F07EBA" w:rsidRPr="00B64232" w:rsidRDefault="00F07EBA"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Low</w:t>
            </w:r>
            <w:r w:rsidR="009156CB">
              <w:rPr>
                <w:szCs w:val="16"/>
              </w:rPr>
              <w:t xml:space="preserve"> </w:t>
            </w:r>
            <w:r w:rsidRPr="00B64232">
              <w:rPr>
                <w:szCs w:val="16"/>
              </w:rPr>
              <w:t>-</w:t>
            </w:r>
            <w:r w:rsidR="009156CB">
              <w:rPr>
                <w:szCs w:val="16"/>
              </w:rPr>
              <w:t xml:space="preserve"> </w:t>
            </w:r>
            <w:r w:rsidRPr="00B64232">
              <w:rPr>
                <w:szCs w:val="16"/>
              </w:rPr>
              <w:t>med</w:t>
            </w:r>
            <w:r w:rsidR="009156CB">
              <w:rPr>
                <w:szCs w:val="16"/>
              </w:rPr>
              <w:t>ium</w:t>
            </w:r>
            <w:r w:rsidRPr="00B64232">
              <w:rPr>
                <w:szCs w:val="16"/>
              </w:rPr>
              <w:t xml:space="preserve"> </w:t>
            </w:r>
          </w:p>
        </w:tc>
      </w:tr>
      <w:tr w:rsidR="00072B28" w:rsidRPr="00B64232" w14:paraId="71AE77E1" w14:textId="77777777" w:rsidTr="000F303A">
        <w:tc>
          <w:tcPr>
            <w:cnfStyle w:val="001000000000" w:firstRow="0" w:lastRow="0" w:firstColumn="1" w:lastColumn="0" w:oddVBand="0" w:evenVBand="0" w:oddHBand="0" w:evenHBand="0" w:firstRowFirstColumn="0" w:firstRowLastColumn="0" w:lastRowFirstColumn="0" w:lastRowLastColumn="0"/>
            <w:tcW w:w="174" w:type="pct"/>
          </w:tcPr>
          <w:p w14:paraId="3BB9DC1C" w14:textId="2BF70665" w:rsidR="00543BFF" w:rsidRPr="00B64232" w:rsidRDefault="00543BFF" w:rsidP="00E354BF">
            <w:pPr>
              <w:pStyle w:val="TableExpText"/>
              <w:spacing w:before="0" w:after="0"/>
              <w:rPr>
                <w:rFonts w:asciiTheme="majorHAnsi" w:hAnsiTheme="majorHAnsi" w:cstheme="majorHAnsi"/>
                <w:b w:val="0"/>
                <w:color w:val="25B3E0" w:themeColor="accent6"/>
                <w:szCs w:val="16"/>
              </w:rPr>
            </w:pPr>
            <w:r w:rsidRPr="00B64232">
              <w:rPr>
                <w:rFonts w:asciiTheme="majorHAnsi" w:hAnsiTheme="majorHAnsi" w:cstheme="majorHAnsi"/>
                <w:b w:val="0"/>
                <w:color w:val="25B3E0" w:themeColor="accent6"/>
                <w:szCs w:val="16"/>
              </w:rPr>
              <w:t>2</w:t>
            </w:r>
          </w:p>
        </w:tc>
        <w:tc>
          <w:tcPr>
            <w:tcW w:w="2234" w:type="pct"/>
            <w:shd w:val="clear" w:color="auto" w:fill="E6E6E1" w:themeFill="accent5"/>
          </w:tcPr>
          <w:p w14:paraId="39393487" w14:textId="22B2AD94" w:rsidR="00FF304C" w:rsidRPr="00B64232" w:rsidRDefault="00FF304C"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Removal of fees </w:t>
            </w:r>
          </w:p>
        </w:tc>
        <w:tc>
          <w:tcPr>
            <w:tcW w:w="864" w:type="pct"/>
            <w:shd w:val="clear" w:color="auto" w:fill="E6E6E1" w:themeFill="accent5"/>
          </w:tcPr>
          <w:p w14:paraId="62A0F92E" w14:textId="72C7F62B" w:rsidR="00FF304C" w:rsidRPr="00B64232" w:rsidRDefault="00945E91"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w:t>
            </w:r>
            <w:r w:rsidR="00FF304C" w:rsidRPr="00B64232">
              <w:rPr>
                <w:szCs w:val="16"/>
              </w:rPr>
              <w:t>igh</w:t>
            </w:r>
          </w:p>
        </w:tc>
        <w:tc>
          <w:tcPr>
            <w:tcW w:w="864" w:type="pct"/>
            <w:shd w:val="clear" w:color="auto" w:fill="E6E6E1" w:themeFill="accent5"/>
          </w:tcPr>
          <w:p w14:paraId="76F5081E" w14:textId="3E711E17" w:rsidR="0020572A" w:rsidRPr="00B64232" w:rsidRDefault="00EB364B"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Mixed</w:t>
            </w:r>
          </w:p>
        </w:tc>
        <w:tc>
          <w:tcPr>
            <w:tcW w:w="864" w:type="pct"/>
            <w:shd w:val="clear" w:color="auto" w:fill="E6E6E1" w:themeFill="accent5"/>
          </w:tcPr>
          <w:p w14:paraId="54844741" w14:textId="254DED1E" w:rsidR="00FF304C" w:rsidRPr="00B64232" w:rsidRDefault="00FF304C"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Low</w:t>
            </w:r>
            <w:r w:rsidR="009156CB">
              <w:rPr>
                <w:szCs w:val="16"/>
              </w:rPr>
              <w:t xml:space="preserve"> </w:t>
            </w:r>
            <w:r w:rsidRPr="00B64232">
              <w:rPr>
                <w:szCs w:val="16"/>
              </w:rPr>
              <w:t>-</w:t>
            </w:r>
            <w:r w:rsidR="009156CB">
              <w:rPr>
                <w:szCs w:val="16"/>
              </w:rPr>
              <w:t xml:space="preserve"> </w:t>
            </w:r>
            <w:r w:rsidRPr="00B64232">
              <w:rPr>
                <w:szCs w:val="16"/>
              </w:rPr>
              <w:t>med</w:t>
            </w:r>
            <w:r w:rsidR="009156CB">
              <w:rPr>
                <w:szCs w:val="16"/>
              </w:rPr>
              <w:t>ium</w:t>
            </w:r>
            <w:r w:rsidRPr="00B64232">
              <w:rPr>
                <w:szCs w:val="16"/>
              </w:rPr>
              <w:t xml:space="preserve"> </w:t>
            </w:r>
          </w:p>
        </w:tc>
      </w:tr>
      <w:tr w:rsidR="00072B28" w:rsidRPr="00B64232" w14:paraId="487A8471" w14:textId="77777777" w:rsidTr="000F303A">
        <w:tc>
          <w:tcPr>
            <w:cnfStyle w:val="001000000000" w:firstRow="0" w:lastRow="0" w:firstColumn="1" w:lastColumn="0" w:oddVBand="0" w:evenVBand="0" w:oddHBand="0" w:evenHBand="0" w:firstRowFirstColumn="0" w:firstRowLastColumn="0" w:lastRowFirstColumn="0" w:lastRowLastColumn="0"/>
            <w:tcW w:w="174" w:type="pct"/>
          </w:tcPr>
          <w:p w14:paraId="07A0901B" w14:textId="0D268283" w:rsidR="00543BFF" w:rsidRPr="00B64232" w:rsidRDefault="00543BFF" w:rsidP="00E354BF">
            <w:pPr>
              <w:pStyle w:val="TableExpText"/>
              <w:spacing w:before="0" w:after="0"/>
              <w:rPr>
                <w:rFonts w:asciiTheme="majorHAnsi" w:hAnsiTheme="majorHAnsi" w:cstheme="majorHAnsi"/>
                <w:b w:val="0"/>
                <w:color w:val="25B3E0" w:themeColor="accent6"/>
                <w:szCs w:val="16"/>
              </w:rPr>
            </w:pPr>
            <w:r w:rsidRPr="00B64232">
              <w:rPr>
                <w:rFonts w:asciiTheme="majorHAnsi" w:hAnsiTheme="majorHAnsi" w:cstheme="majorHAnsi"/>
                <w:b w:val="0"/>
                <w:color w:val="25B3E0" w:themeColor="accent6"/>
                <w:szCs w:val="16"/>
              </w:rPr>
              <w:t>3</w:t>
            </w:r>
          </w:p>
        </w:tc>
        <w:tc>
          <w:tcPr>
            <w:tcW w:w="2234" w:type="pct"/>
            <w:shd w:val="clear" w:color="auto" w:fill="E6E6E1" w:themeFill="accent5"/>
          </w:tcPr>
          <w:p w14:paraId="5478EBFB" w14:textId="5625EA76" w:rsidR="00613684" w:rsidRPr="00B64232" w:rsidRDefault="00613684"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Capping fees</w:t>
            </w:r>
          </w:p>
        </w:tc>
        <w:tc>
          <w:tcPr>
            <w:tcW w:w="864" w:type="pct"/>
            <w:shd w:val="clear" w:color="auto" w:fill="E6E6E1" w:themeFill="accent5"/>
          </w:tcPr>
          <w:p w14:paraId="3E01CFF4" w14:textId="7740A6D9" w:rsidR="00613684" w:rsidRPr="00B64232" w:rsidRDefault="0020572A"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Mixed</w:t>
            </w:r>
            <w:r w:rsidR="00DA05F0" w:rsidRPr="00B64232">
              <w:rPr>
                <w:szCs w:val="16"/>
              </w:rPr>
              <w:t xml:space="preserve"> </w:t>
            </w:r>
          </w:p>
        </w:tc>
        <w:tc>
          <w:tcPr>
            <w:tcW w:w="864" w:type="pct"/>
            <w:shd w:val="clear" w:color="auto" w:fill="E6E6E1" w:themeFill="accent5"/>
          </w:tcPr>
          <w:p w14:paraId="304E2184" w14:textId="5A2F506B" w:rsidR="0020572A" w:rsidRPr="00B64232" w:rsidRDefault="00C60AA6"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Unclear</w:t>
            </w:r>
          </w:p>
        </w:tc>
        <w:tc>
          <w:tcPr>
            <w:tcW w:w="864" w:type="pct"/>
            <w:shd w:val="clear" w:color="auto" w:fill="E6E6E1" w:themeFill="accent5"/>
          </w:tcPr>
          <w:p w14:paraId="6693A053" w14:textId="0FF8C2B2" w:rsidR="00613684" w:rsidRPr="00B64232" w:rsidRDefault="00BB6735"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iCs/>
                <w:szCs w:val="16"/>
              </w:rPr>
              <w:t xml:space="preserve">Low </w:t>
            </w:r>
          </w:p>
        </w:tc>
      </w:tr>
      <w:tr w:rsidR="00072B28" w:rsidRPr="00B64232" w14:paraId="697FF6EE" w14:textId="77777777" w:rsidTr="000F303A">
        <w:tc>
          <w:tcPr>
            <w:cnfStyle w:val="001000000000" w:firstRow="0" w:lastRow="0" w:firstColumn="1" w:lastColumn="0" w:oddVBand="0" w:evenVBand="0" w:oddHBand="0" w:evenHBand="0" w:firstRowFirstColumn="0" w:firstRowLastColumn="0" w:lastRowFirstColumn="0" w:lastRowLastColumn="0"/>
            <w:tcW w:w="174" w:type="pct"/>
          </w:tcPr>
          <w:p w14:paraId="7890F208" w14:textId="66C4EE4E" w:rsidR="00543BFF" w:rsidRPr="00B64232" w:rsidRDefault="00543BFF" w:rsidP="00E354BF">
            <w:pPr>
              <w:pStyle w:val="TableExpText"/>
              <w:spacing w:before="0" w:after="0"/>
              <w:rPr>
                <w:rFonts w:asciiTheme="majorHAnsi" w:hAnsiTheme="majorHAnsi" w:cstheme="majorHAnsi"/>
                <w:b w:val="0"/>
                <w:color w:val="25B3E0" w:themeColor="accent6"/>
                <w:szCs w:val="16"/>
              </w:rPr>
            </w:pPr>
            <w:r w:rsidRPr="00B64232">
              <w:rPr>
                <w:rFonts w:asciiTheme="majorHAnsi" w:hAnsiTheme="majorHAnsi" w:cstheme="majorHAnsi"/>
                <w:b w:val="0"/>
                <w:color w:val="25B3E0" w:themeColor="accent6"/>
                <w:szCs w:val="16"/>
              </w:rPr>
              <w:t>4</w:t>
            </w:r>
          </w:p>
        </w:tc>
        <w:tc>
          <w:tcPr>
            <w:tcW w:w="2234" w:type="pct"/>
            <w:shd w:val="clear" w:color="auto" w:fill="E6E6E1" w:themeFill="accent5"/>
          </w:tcPr>
          <w:p w14:paraId="4D39E8D3" w14:textId="4E1F8A83" w:rsidR="00FF304C" w:rsidRPr="00B64232" w:rsidRDefault="00593C0D"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Re</w:t>
            </w:r>
            <w:r w:rsidR="003B5FD9" w:rsidRPr="00B64232">
              <w:rPr>
                <w:szCs w:val="16"/>
              </w:rPr>
              <w:t>ducing academic selectivity in schools</w:t>
            </w:r>
          </w:p>
        </w:tc>
        <w:tc>
          <w:tcPr>
            <w:tcW w:w="864" w:type="pct"/>
            <w:shd w:val="clear" w:color="auto" w:fill="E6E6E1" w:themeFill="accent5"/>
          </w:tcPr>
          <w:p w14:paraId="41A5CAAF" w14:textId="77777777" w:rsidR="00FF304C" w:rsidRPr="00B64232" w:rsidRDefault="00FF304C"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High</w:t>
            </w:r>
          </w:p>
        </w:tc>
        <w:tc>
          <w:tcPr>
            <w:tcW w:w="864" w:type="pct"/>
            <w:shd w:val="clear" w:color="auto" w:fill="E6E6E1" w:themeFill="accent5"/>
          </w:tcPr>
          <w:p w14:paraId="5219C776" w14:textId="1C04CF02" w:rsidR="0020572A" w:rsidRPr="00B64232" w:rsidRDefault="00443B07"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Mixed</w:t>
            </w:r>
          </w:p>
        </w:tc>
        <w:tc>
          <w:tcPr>
            <w:tcW w:w="864" w:type="pct"/>
            <w:shd w:val="clear" w:color="auto" w:fill="E6E6E1" w:themeFill="accent5"/>
          </w:tcPr>
          <w:p w14:paraId="105D61DC" w14:textId="43386236" w:rsidR="00FF304C" w:rsidRPr="00B64232" w:rsidRDefault="00F8608A"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Pr>
                <w:szCs w:val="16"/>
              </w:rPr>
              <w:t>M</w:t>
            </w:r>
            <w:r w:rsidR="00FF304C" w:rsidRPr="00B64232">
              <w:rPr>
                <w:szCs w:val="16"/>
              </w:rPr>
              <w:t>ed</w:t>
            </w:r>
            <w:r>
              <w:rPr>
                <w:szCs w:val="16"/>
              </w:rPr>
              <w:t>ium</w:t>
            </w:r>
            <w:r w:rsidR="00FF304C" w:rsidRPr="00B64232">
              <w:rPr>
                <w:szCs w:val="16"/>
              </w:rPr>
              <w:t xml:space="preserve"> </w:t>
            </w:r>
          </w:p>
        </w:tc>
      </w:tr>
      <w:tr w:rsidR="00072B28" w:rsidRPr="00B64232" w14:paraId="0DE8296E" w14:textId="77777777" w:rsidTr="000F303A">
        <w:tc>
          <w:tcPr>
            <w:cnfStyle w:val="001000000000" w:firstRow="0" w:lastRow="0" w:firstColumn="1" w:lastColumn="0" w:oddVBand="0" w:evenVBand="0" w:oddHBand="0" w:evenHBand="0" w:firstRowFirstColumn="0" w:firstRowLastColumn="0" w:lastRowFirstColumn="0" w:lastRowLastColumn="0"/>
            <w:tcW w:w="174" w:type="pct"/>
          </w:tcPr>
          <w:p w14:paraId="08561CA2" w14:textId="0C106C16" w:rsidR="00543BFF" w:rsidRPr="00B64232" w:rsidRDefault="00A108C4" w:rsidP="00E354BF">
            <w:pPr>
              <w:pStyle w:val="TableExpText"/>
              <w:spacing w:before="0" w:after="0"/>
              <w:rPr>
                <w:rFonts w:asciiTheme="majorHAnsi" w:hAnsiTheme="majorHAnsi" w:cstheme="majorHAnsi"/>
                <w:b w:val="0"/>
                <w:color w:val="25B3E0" w:themeColor="accent6"/>
                <w:szCs w:val="16"/>
              </w:rPr>
            </w:pPr>
            <w:r w:rsidRPr="00B64232">
              <w:rPr>
                <w:rFonts w:asciiTheme="majorHAnsi" w:hAnsiTheme="majorHAnsi" w:cstheme="majorHAnsi"/>
                <w:b w:val="0"/>
                <w:color w:val="25B3E0" w:themeColor="accent6"/>
                <w:szCs w:val="16"/>
              </w:rPr>
              <w:t>5</w:t>
            </w:r>
          </w:p>
        </w:tc>
        <w:tc>
          <w:tcPr>
            <w:tcW w:w="2234" w:type="pct"/>
            <w:shd w:val="clear" w:color="auto" w:fill="E6E6E1" w:themeFill="accent5"/>
          </w:tcPr>
          <w:p w14:paraId="6D3109A3" w14:textId="501E60FE" w:rsidR="00FF304C" w:rsidRPr="00B64232" w:rsidRDefault="003560F2"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School zone flexing </w:t>
            </w:r>
            <w:r w:rsidR="0030245B" w:rsidRPr="00B64232">
              <w:rPr>
                <w:szCs w:val="16"/>
              </w:rPr>
              <w:t>including lotteries</w:t>
            </w:r>
          </w:p>
        </w:tc>
        <w:tc>
          <w:tcPr>
            <w:tcW w:w="864" w:type="pct"/>
            <w:shd w:val="clear" w:color="auto" w:fill="E6E6E1" w:themeFill="accent5"/>
          </w:tcPr>
          <w:p w14:paraId="0D4B91C0" w14:textId="0BA27773" w:rsidR="00FF304C" w:rsidRPr="00B64232" w:rsidRDefault="00DA05F0"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Mixed </w:t>
            </w:r>
          </w:p>
        </w:tc>
        <w:tc>
          <w:tcPr>
            <w:tcW w:w="864" w:type="pct"/>
            <w:shd w:val="clear" w:color="auto" w:fill="E6E6E1" w:themeFill="accent5"/>
          </w:tcPr>
          <w:p w14:paraId="5E593870" w14:textId="6854D4FE" w:rsidR="0020572A" w:rsidRPr="00B64232" w:rsidRDefault="00447417"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Mixed</w:t>
            </w:r>
          </w:p>
        </w:tc>
        <w:tc>
          <w:tcPr>
            <w:tcW w:w="864" w:type="pct"/>
            <w:shd w:val="clear" w:color="auto" w:fill="E6E6E1" w:themeFill="accent5"/>
          </w:tcPr>
          <w:p w14:paraId="27233D01" w14:textId="4225FDA9" w:rsidR="00FF304C" w:rsidRPr="00B64232" w:rsidRDefault="003560F2"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Medium </w:t>
            </w:r>
          </w:p>
        </w:tc>
      </w:tr>
      <w:tr w:rsidR="00072B28" w:rsidRPr="00B64232" w14:paraId="17D46443" w14:textId="77777777" w:rsidTr="000F303A">
        <w:tc>
          <w:tcPr>
            <w:cnfStyle w:val="001000000000" w:firstRow="0" w:lastRow="0" w:firstColumn="1" w:lastColumn="0" w:oddVBand="0" w:evenVBand="0" w:oddHBand="0" w:evenHBand="0" w:firstRowFirstColumn="0" w:firstRowLastColumn="0" w:lastRowFirstColumn="0" w:lastRowLastColumn="0"/>
            <w:tcW w:w="174" w:type="pct"/>
          </w:tcPr>
          <w:p w14:paraId="37638E6A" w14:textId="39B86915" w:rsidR="00543BFF" w:rsidRPr="00B64232" w:rsidRDefault="00A108C4" w:rsidP="00E354BF">
            <w:pPr>
              <w:pStyle w:val="TableExpText"/>
              <w:spacing w:before="0" w:after="0"/>
              <w:rPr>
                <w:rFonts w:asciiTheme="majorHAnsi" w:hAnsiTheme="majorHAnsi" w:cstheme="majorHAnsi"/>
                <w:b w:val="0"/>
                <w:color w:val="25B3E0" w:themeColor="accent6"/>
                <w:szCs w:val="16"/>
              </w:rPr>
            </w:pPr>
            <w:r w:rsidRPr="00B64232">
              <w:rPr>
                <w:rFonts w:asciiTheme="majorHAnsi" w:hAnsiTheme="majorHAnsi" w:cstheme="majorHAnsi"/>
                <w:b w:val="0"/>
                <w:color w:val="25B3E0" w:themeColor="accent6"/>
                <w:szCs w:val="16"/>
              </w:rPr>
              <w:t>6</w:t>
            </w:r>
          </w:p>
        </w:tc>
        <w:tc>
          <w:tcPr>
            <w:tcW w:w="2234" w:type="pct"/>
            <w:shd w:val="clear" w:color="auto" w:fill="E6E6E1" w:themeFill="accent5"/>
          </w:tcPr>
          <w:p w14:paraId="1E8A212D" w14:textId="235A9077" w:rsidR="00FF304C" w:rsidRPr="00B64232" w:rsidRDefault="001B5BF3"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C</w:t>
            </w:r>
            <w:r w:rsidR="00661AC8" w:rsidRPr="00B64232">
              <w:rPr>
                <w:szCs w:val="16"/>
              </w:rPr>
              <w:t>ontrolled choice</w:t>
            </w:r>
            <w:r w:rsidRPr="00B64232">
              <w:rPr>
                <w:szCs w:val="16"/>
              </w:rPr>
              <w:t xml:space="preserve"> including preference matching</w:t>
            </w:r>
          </w:p>
        </w:tc>
        <w:tc>
          <w:tcPr>
            <w:tcW w:w="864" w:type="pct"/>
            <w:shd w:val="clear" w:color="auto" w:fill="E6E6E1" w:themeFill="accent5"/>
          </w:tcPr>
          <w:p w14:paraId="34278860" w14:textId="18A576F4" w:rsidR="00FF304C" w:rsidRPr="00B64232" w:rsidRDefault="006364B6"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highlight w:val="yellow"/>
              </w:rPr>
            </w:pPr>
            <w:r w:rsidRPr="00B64232">
              <w:rPr>
                <w:szCs w:val="16"/>
              </w:rPr>
              <w:t>High</w:t>
            </w:r>
            <w:r w:rsidR="000B5C3C" w:rsidRPr="00B64232">
              <w:rPr>
                <w:szCs w:val="16"/>
              </w:rPr>
              <w:t xml:space="preserve"> </w:t>
            </w:r>
          </w:p>
        </w:tc>
        <w:tc>
          <w:tcPr>
            <w:tcW w:w="864" w:type="pct"/>
            <w:shd w:val="clear" w:color="auto" w:fill="E6E6E1" w:themeFill="accent5"/>
          </w:tcPr>
          <w:p w14:paraId="4945481C" w14:textId="651C79EC" w:rsidR="0020572A" w:rsidRPr="00B64232" w:rsidRDefault="00F97AB8"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highlight w:val="yellow"/>
              </w:rPr>
            </w:pPr>
            <w:r w:rsidRPr="00B64232">
              <w:rPr>
                <w:szCs w:val="16"/>
              </w:rPr>
              <w:t>M</w:t>
            </w:r>
            <w:r w:rsidR="00B45609">
              <w:rPr>
                <w:szCs w:val="16"/>
              </w:rPr>
              <w:t>edium</w:t>
            </w:r>
          </w:p>
        </w:tc>
        <w:tc>
          <w:tcPr>
            <w:tcW w:w="864" w:type="pct"/>
            <w:shd w:val="clear" w:color="auto" w:fill="E6E6E1" w:themeFill="accent5"/>
          </w:tcPr>
          <w:p w14:paraId="6BA79A39" w14:textId="2CBE7292" w:rsidR="00FF304C" w:rsidRPr="00B64232" w:rsidRDefault="001F5150"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Low </w:t>
            </w:r>
          </w:p>
        </w:tc>
      </w:tr>
      <w:tr w:rsidR="00F07EBA" w:rsidRPr="00B64232" w14:paraId="3F37DDD3" w14:textId="77777777" w:rsidTr="000F303A">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70C0"/>
          </w:tcPr>
          <w:p w14:paraId="2F4D3004" w14:textId="578C9C9C" w:rsidR="00F07EBA" w:rsidRPr="00B64232" w:rsidRDefault="00F07EBA" w:rsidP="00F07EBA">
            <w:pPr>
              <w:pStyle w:val="Tablecolumnheading"/>
              <w:rPr>
                <w:color w:val="FFFFFF" w:themeColor="background1"/>
                <w:sz w:val="16"/>
                <w:szCs w:val="16"/>
              </w:rPr>
            </w:pPr>
            <w:r w:rsidRPr="00B64232">
              <w:rPr>
                <w:b w:val="0"/>
                <w:color w:val="FFFFFF" w:themeColor="background1"/>
                <w:sz w:val="16"/>
                <w:szCs w:val="16"/>
              </w:rPr>
              <w:t>Interventions to make disadvantaged schools more attractive to a diverse range of students</w:t>
            </w:r>
          </w:p>
        </w:tc>
      </w:tr>
      <w:tr w:rsidR="00644EC4" w:rsidRPr="00B64232" w14:paraId="7E93DFFF" w14:textId="77777777" w:rsidTr="000F303A">
        <w:tc>
          <w:tcPr>
            <w:cnfStyle w:val="001000000000" w:firstRow="0" w:lastRow="0" w:firstColumn="1" w:lastColumn="0" w:oddVBand="0" w:evenVBand="0" w:oddHBand="0" w:evenHBand="0" w:firstRowFirstColumn="0" w:firstRowLastColumn="0" w:lastRowFirstColumn="0" w:lastRowLastColumn="0"/>
            <w:tcW w:w="174" w:type="pct"/>
            <w:tcBorders>
              <w:bottom w:val="single" w:sz="8" w:space="0" w:color="F9F9F9"/>
            </w:tcBorders>
          </w:tcPr>
          <w:p w14:paraId="2A5BA9FE" w14:textId="15DC0B4D" w:rsidR="00543BFF" w:rsidRPr="00B64232" w:rsidRDefault="00F07EBA" w:rsidP="00E354BF">
            <w:pPr>
              <w:pStyle w:val="TableExpText"/>
              <w:spacing w:before="0" w:after="0"/>
              <w:rPr>
                <w:rFonts w:asciiTheme="majorHAnsi" w:hAnsiTheme="majorHAnsi" w:cstheme="majorHAnsi"/>
                <w:b w:val="0"/>
                <w:color w:val="0070C0"/>
                <w:szCs w:val="16"/>
              </w:rPr>
            </w:pPr>
            <w:r w:rsidRPr="00B64232">
              <w:rPr>
                <w:rFonts w:asciiTheme="majorHAnsi" w:hAnsiTheme="majorHAnsi" w:cstheme="majorHAnsi"/>
                <w:b w:val="0"/>
                <w:color w:val="0070C0"/>
                <w:szCs w:val="16"/>
              </w:rPr>
              <w:t>7</w:t>
            </w:r>
          </w:p>
        </w:tc>
        <w:tc>
          <w:tcPr>
            <w:tcW w:w="2234" w:type="pct"/>
            <w:tcBorders>
              <w:bottom w:val="single" w:sz="8" w:space="0" w:color="F9F9F9"/>
            </w:tcBorders>
            <w:shd w:val="clear" w:color="auto" w:fill="E6E6E1" w:themeFill="accent5"/>
          </w:tcPr>
          <w:p w14:paraId="4A171304" w14:textId="38160B1F" w:rsidR="00FF304C" w:rsidRPr="00B64232" w:rsidRDefault="00F07EBA"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Financial incentives </w:t>
            </w:r>
            <w:r w:rsidR="00FD00C8">
              <w:rPr>
                <w:szCs w:val="16"/>
              </w:rPr>
              <w:t>to schools</w:t>
            </w:r>
          </w:p>
        </w:tc>
        <w:tc>
          <w:tcPr>
            <w:tcW w:w="864" w:type="pct"/>
            <w:shd w:val="clear" w:color="auto" w:fill="E6E6E1" w:themeFill="accent5"/>
          </w:tcPr>
          <w:p w14:paraId="72414E87" w14:textId="77777777" w:rsidR="00FF304C" w:rsidRPr="00B64232" w:rsidRDefault="00FF304C"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High</w:t>
            </w:r>
          </w:p>
        </w:tc>
        <w:tc>
          <w:tcPr>
            <w:tcW w:w="864" w:type="pct"/>
            <w:shd w:val="clear" w:color="auto" w:fill="E6E6E1" w:themeFill="accent5"/>
          </w:tcPr>
          <w:p w14:paraId="51DEB328" w14:textId="76DFDEA6" w:rsidR="0020572A" w:rsidRPr="00B64232" w:rsidRDefault="003C1E3F"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High</w:t>
            </w:r>
          </w:p>
        </w:tc>
        <w:tc>
          <w:tcPr>
            <w:tcW w:w="864" w:type="pct"/>
            <w:shd w:val="clear" w:color="auto" w:fill="E6E6E1" w:themeFill="accent5"/>
          </w:tcPr>
          <w:p w14:paraId="4E6E7539" w14:textId="52BD1E75" w:rsidR="00FF304C" w:rsidRPr="00B64232" w:rsidRDefault="00FF304C" w:rsidP="00E354BF">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iCs/>
                <w:szCs w:val="16"/>
              </w:rPr>
              <w:t xml:space="preserve">High </w:t>
            </w:r>
          </w:p>
        </w:tc>
      </w:tr>
      <w:tr w:rsidR="00323B24" w:rsidRPr="00B64232" w14:paraId="3ADFE207" w14:textId="77777777" w:rsidTr="000F303A">
        <w:tc>
          <w:tcPr>
            <w:cnfStyle w:val="001000000000" w:firstRow="0" w:lastRow="0" w:firstColumn="1" w:lastColumn="0" w:oddVBand="0" w:evenVBand="0" w:oddHBand="0" w:evenHBand="0" w:firstRowFirstColumn="0" w:firstRowLastColumn="0" w:lastRowFirstColumn="0" w:lastRowLastColumn="0"/>
            <w:tcW w:w="174" w:type="pct"/>
            <w:tcBorders>
              <w:bottom w:val="single" w:sz="8" w:space="0" w:color="F9F9F9"/>
            </w:tcBorders>
          </w:tcPr>
          <w:p w14:paraId="5201065E" w14:textId="31602862" w:rsidR="00323B24" w:rsidRPr="00303F5B" w:rsidRDefault="00323B24" w:rsidP="00323B24">
            <w:pPr>
              <w:pStyle w:val="TableExpText"/>
              <w:spacing w:before="0" w:after="0"/>
              <w:rPr>
                <w:rFonts w:asciiTheme="majorHAnsi" w:hAnsiTheme="majorHAnsi" w:cstheme="majorHAnsi"/>
                <w:b w:val="0"/>
                <w:bCs/>
                <w:color w:val="0070C0"/>
                <w:szCs w:val="16"/>
              </w:rPr>
            </w:pPr>
            <w:r w:rsidRPr="00303F5B">
              <w:rPr>
                <w:rFonts w:asciiTheme="majorHAnsi" w:hAnsiTheme="majorHAnsi" w:cstheme="majorHAnsi"/>
                <w:b w:val="0"/>
                <w:bCs/>
                <w:color w:val="0070C0"/>
                <w:szCs w:val="16"/>
              </w:rPr>
              <w:t>8</w:t>
            </w:r>
          </w:p>
        </w:tc>
        <w:tc>
          <w:tcPr>
            <w:tcW w:w="2234" w:type="pct"/>
            <w:tcBorders>
              <w:bottom w:val="single" w:sz="8" w:space="0" w:color="F9F9F9"/>
            </w:tcBorders>
            <w:shd w:val="clear" w:color="auto" w:fill="E6E6E1" w:themeFill="accent5"/>
          </w:tcPr>
          <w:p w14:paraId="0C5E15D3" w14:textId="5521A252" w:rsidR="00323B24" w:rsidRPr="00F81BDB" w:rsidRDefault="002D76E7"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F81BDB">
              <w:rPr>
                <w:szCs w:val="16"/>
              </w:rPr>
              <w:t>I</w:t>
            </w:r>
            <w:r w:rsidR="00323B24" w:rsidRPr="00F81BDB">
              <w:rPr>
                <w:szCs w:val="16"/>
              </w:rPr>
              <w:t>ncentives to educators</w:t>
            </w:r>
          </w:p>
        </w:tc>
        <w:tc>
          <w:tcPr>
            <w:tcW w:w="864" w:type="pct"/>
            <w:shd w:val="clear" w:color="auto" w:fill="E6E6E1" w:themeFill="accent5"/>
          </w:tcPr>
          <w:p w14:paraId="1077F2AF" w14:textId="04536B97" w:rsidR="00323B24" w:rsidRPr="00F81BDB" w:rsidRDefault="002D76E7"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F81BDB">
              <w:rPr>
                <w:szCs w:val="16"/>
              </w:rPr>
              <w:t>Unclear</w:t>
            </w:r>
          </w:p>
        </w:tc>
        <w:tc>
          <w:tcPr>
            <w:tcW w:w="864" w:type="pct"/>
            <w:shd w:val="clear" w:color="auto" w:fill="E6E6E1" w:themeFill="accent5"/>
          </w:tcPr>
          <w:p w14:paraId="64A5CB6F" w14:textId="2C9B6745" w:rsidR="00323B24" w:rsidRPr="00F81BDB" w:rsidRDefault="00B638C0"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F81BDB">
              <w:rPr>
                <w:szCs w:val="16"/>
              </w:rPr>
              <w:t>Mixed</w:t>
            </w:r>
          </w:p>
        </w:tc>
        <w:tc>
          <w:tcPr>
            <w:tcW w:w="864" w:type="pct"/>
            <w:shd w:val="clear" w:color="auto" w:fill="E6E6E1" w:themeFill="accent5"/>
          </w:tcPr>
          <w:p w14:paraId="477A5371" w14:textId="065D0D71" w:rsidR="00323B24" w:rsidRPr="00F81BDB" w:rsidRDefault="00B638C0"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iCs/>
                <w:szCs w:val="16"/>
              </w:rPr>
            </w:pPr>
            <w:r w:rsidRPr="00F81BDB">
              <w:rPr>
                <w:iCs/>
                <w:szCs w:val="16"/>
              </w:rPr>
              <w:t>High</w:t>
            </w:r>
          </w:p>
        </w:tc>
      </w:tr>
      <w:tr w:rsidR="00323B24" w:rsidRPr="00CE7DCE" w14:paraId="6BD5F038" w14:textId="77777777" w:rsidTr="000F303A">
        <w:tc>
          <w:tcPr>
            <w:cnfStyle w:val="001000000000" w:firstRow="0" w:lastRow="0" w:firstColumn="1" w:lastColumn="0" w:oddVBand="0" w:evenVBand="0" w:oddHBand="0" w:evenHBand="0" w:firstRowFirstColumn="0" w:firstRowLastColumn="0" w:lastRowFirstColumn="0" w:lastRowLastColumn="0"/>
            <w:tcW w:w="174" w:type="pct"/>
            <w:tcBorders>
              <w:top w:val="single" w:sz="8" w:space="0" w:color="F9F9F9"/>
              <w:bottom w:val="single" w:sz="8" w:space="0" w:color="F9F9F9"/>
            </w:tcBorders>
          </w:tcPr>
          <w:p w14:paraId="16D2674B" w14:textId="50F9F737" w:rsidR="00323B24" w:rsidRPr="00B64232" w:rsidRDefault="00323B24" w:rsidP="00323B24">
            <w:pPr>
              <w:pStyle w:val="TableExpText"/>
              <w:spacing w:before="0" w:after="0"/>
              <w:rPr>
                <w:rFonts w:asciiTheme="majorHAnsi" w:hAnsiTheme="majorHAnsi" w:cstheme="majorHAnsi"/>
                <w:b w:val="0"/>
                <w:color w:val="0070C0"/>
                <w:szCs w:val="16"/>
              </w:rPr>
            </w:pPr>
            <w:r w:rsidRPr="00B64232">
              <w:rPr>
                <w:rFonts w:asciiTheme="majorHAnsi" w:hAnsiTheme="majorHAnsi" w:cstheme="majorHAnsi"/>
                <w:b w:val="0"/>
                <w:color w:val="0070C0"/>
                <w:szCs w:val="16"/>
              </w:rPr>
              <w:t xml:space="preserve">9 </w:t>
            </w:r>
          </w:p>
        </w:tc>
        <w:tc>
          <w:tcPr>
            <w:tcW w:w="2234" w:type="pct"/>
            <w:tcBorders>
              <w:top w:val="single" w:sz="8" w:space="0" w:color="F9F9F9"/>
              <w:bottom w:val="single" w:sz="8" w:space="0" w:color="F9F9F9"/>
            </w:tcBorders>
            <w:shd w:val="clear" w:color="auto" w:fill="E6E6E1" w:themeFill="accent5"/>
          </w:tcPr>
          <w:p w14:paraId="20D1568E" w14:textId="2A066E44"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 xml:space="preserve">Alternative teaching, assessment and delivery models </w:t>
            </w:r>
          </w:p>
        </w:tc>
        <w:tc>
          <w:tcPr>
            <w:tcW w:w="864" w:type="pct"/>
            <w:tcBorders>
              <w:top w:val="single" w:sz="8" w:space="0" w:color="F9F9F9"/>
              <w:bottom w:val="single" w:sz="8" w:space="0" w:color="F9F9F9"/>
            </w:tcBorders>
            <w:shd w:val="clear" w:color="auto" w:fill="E6E6E1" w:themeFill="accent5"/>
          </w:tcPr>
          <w:p w14:paraId="19F242CE" w14:textId="5D193773"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High</w:t>
            </w:r>
          </w:p>
        </w:tc>
        <w:tc>
          <w:tcPr>
            <w:tcW w:w="864" w:type="pct"/>
            <w:tcBorders>
              <w:top w:val="single" w:sz="8" w:space="0" w:color="F9F9F9"/>
              <w:bottom w:val="single" w:sz="8" w:space="0" w:color="F9F9F9"/>
            </w:tcBorders>
            <w:shd w:val="clear" w:color="auto" w:fill="E6E6E1" w:themeFill="accent5"/>
          </w:tcPr>
          <w:p w14:paraId="0F25CD5D" w14:textId="46103D6C"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High</w:t>
            </w:r>
          </w:p>
        </w:tc>
        <w:tc>
          <w:tcPr>
            <w:tcW w:w="864" w:type="pct"/>
            <w:tcBorders>
              <w:top w:val="single" w:sz="8" w:space="0" w:color="F9F9F9"/>
              <w:bottom w:val="single" w:sz="8" w:space="0" w:color="F9F9F9"/>
            </w:tcBorders>
            <w:shd w:val="clear" w:color="auto" w:fill="E6E6E1" w:themeFill="accent5"/>
          </w:tcPr>
          <w:p w14:paraId="7DF99BAB" w14:textId="70304BD3"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iCs/>
                <w:szCs w:val="16"/>
              </w:rPr>
              <w:t>High</w:t>
            </w:r>
          </w:p>
        </w:tc>
      </w:tr>
      <w:tr w:rsidR="00225EA6" w:rsidRPr="00CE7DCE" w14:paraId="4AFF6FE6" w14:textId="77777777" w:rsidTr="000F303A">
        <w:trPr>
          <w:trHeight w:val="208"/>
        </w:trPr>
        <w:tc>
          <w:tcPr>
            <w:cnfStyle w:val="001000000000" w:firstRow="0" w:lastRow="0" w:firstColumn="1" w:lastColumn="0" w:oddVBand="0" w:evenVBand="0" w:oddHBand="0" w:evenHBand="0" w:firstRowFirstColumn="0" w:firstRowLastColumn="0" w:lastRowFirstColumn="0" w:lastRowLastColumn="0"/>
            <w:tcW w:w="174" w:type="pct"/>
            <w:tcBorders>
              <w:top w:val="single" w:sz="8" w:space="0" w:color="F9F9F9"/>
              <w:bottom w:val="single" w:sz="4" w:space="0" w:color="auto"/>
            </w:tcBorders>
          </w:tcPr>
          <w:p w14:paraId="6D882189" w14:textId="7379BE3A" w:rsidR="00323B24" w:rsidRPr="00B64232" w:rsidRDefault="00323B24" w:rsidP="00323B24">
            <w:pPr>
              <w:pStyle w:val="TableExpText"/>
              <w:spacing w:before="0" w:after="0"/>
              <w:rPr>
                <w:rFonts w:asciiTheme="majorHAnsi" w:hAnsiTheme="majorHAnsi" w:cstheme="majorHAnsi"/>
                <w:b w:val="0"/>
                <w:color w:val="0070C0"/>
                <w:szCs w:val="16"/>
              </w:rPr>
            </w:pPr>
            <w:r>
              <w:rPr>
                <w:rFonts w:asciiTheme="majorHAnsi" w:hAnsiTheme="majorHAnsi" w:cstheme="majorHAnsi"/>
                <w:b w:val="0"/>
                <w:color w:val="0070C0"/>
                <w:szCs w:val="16"/>
              </w:rPr>
              <w:t>10</w:t>
            </w:r>
          </w:p>
        </w:tc>
        <w:tc>
          <w:tcPr>
            <w:tcW w:w="2234" w:type="pct"/>
            <w:tcBorders>
              <w:top w:val="single" w:sz="8" w:space="0" w:color="F9F9F9"/>
              <w:bottom w:val="single" w:sz="4" w:space="0" w:color="auto"/>
            </w:tcBorders>
            <w:shd w:val="clear" w:color="auto" w:fill="E6E6E1" w:themeFill="accent5"/>
          </w:tcPr>
          <w:p w14:paraId="1A7B6641" w14:textId="35C21C2C"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B64232">
              <w:rPr>
                <w:rFonts w:asciiTheme="minorHAnsi" w:hAnsiTheme="minorHAnsi" w:cstheme="minorHAnsi"/>
                <w:szCs w:val="16"/>
              </w:rPr>
              <w:t xml:space="preserve">Networked schools and teaching capacity exchange </w:t>
            </w:r>
          </w:p>
        </w:tc>
        <w:tc>
          <w:tcPr>
            <w:tcW w:w="864" w:type="pct"/>
            <w:tcBorders>
              <w:top w:val="single" w:sz="8" w:space="0" w:color="F9F9F9"/>
              <w:bottom w:val="single" w:sz="4" w:space="0" w:color="auto"/>
            </w:tcBorders>
            <w:shd w:val="clear" w:color="auto" w:fill="E6E6E1" w:themeFill="accent5"/>
          </w:tcPr>
          <w:p w14:paraId="0B0E8B3B" w14:textId="607C6342"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Unclear</w:t>
            </w:r>
          </w:p>
        </w:tc>
        <w:tc>
          <w:tcPr>
            <w:tcW w:w="864" w:type="pct"/>
            <w:tcBorders>
              <w:top w:val="single" w:sz="8" w:space="0" w:color="F9F9F9"/>
              <w:bottom w:val="single" w:sz="4" w:space="0" w:color="auto"/>
            </w:tcBorders>
            <w:shd w:val="clear" w:color="auto" w:fill="E6E6E1" w:themeFill="accent5"/>
          </w:tcPr>
          <w:p w14:paraId="48001214" w14:textId="2D4F2731"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szCs w:val="16"/>
              </w:rPr>
              <w:t>High</w:t>
            </w:r>
          </w:p>
        </w:tc>
        <w:tc>
          <w:tcPr>
            <w:tcW w:w="864" w:type="pct"/>
            <w:tcBorders>
              <w:top w:val="single" w:sz="8" w:space="0" w:color="F9F9F9"/>
              <w:bottom w:val="single" w:sz="4" w:space="0" w:color="auto"/>
            </w:tcBorders>
            <w:shd w:val="clear" w:color="auto" w:fill="E6E6E1" w:themeFill="accent5"/>
          </w:tcPr>
          <w:p w14:paraId="45C25338" w14:textId="7E0E7E8E" w:rsidR="00323B24" w:rsidRPr="00B64232" w:rsidRDefault="00323B24" w:rsidP="00323B24">
            <w:pPr>
              <w:pStyle w:val="TableExpText"/>
              <w:spacing w:before="0" w:after="0"/>
              <w:cnfStyle w:val="000000000000" w:firstRow="0" w:lastRow="0" w:firstColumn="0" w:lastColumn="0" w:oddVBand="0" w:evenVBand="0" w:oddHBand="0" w:evenHBand="0" w:firstRowFirstColumn="0" w:firstRowLastColumn="0" w:lastRowFirstColumn="0" w:lastRowLastColumn="0"/>
              <w:rPr>
                <w:szCs w:val="16"/>
              </w:rPr>
            </w:pPr>
            <w:r w:rsidRPr="00B64232">
              <w:rPr>
                <w:iCs/>
                <w:szCs w:val="16"/>
              </w:rPr>
              <w:t>High</w:t>
            </w:r>
          </w:p>
        </w:tc>
      </w:tr>
    </w:tbl>
    <w:p w14:paraId="601A9566" w14:textId="3C486B55" w:rsidR="006B056F" w:rsidRPr="0086054F" w:rsidRDefault="006B056F" w:rsidP="00304079">
      <w:pPr>
        <w:rPr>
          <w:sz w:val="16"/>
          <w:szCs w:val="16"/>
          <w:lang w:eastAsia="en-AU"/>
        </w:rPr>
      </w:pPr>
    </w:p>
    <w:p w14:paraId="4F5F96CE" w14:textId="7D61C98E" w:rsidR="00765457" w:rsidRPr="00765457" w:rsidRDefault="00765457" w:rsidP="004E3E35">
      <w:pPr>
        <w:tabs>
          <w:tab w:val="left" w:pos="7660"/>
        </w:tabs>
        <w:rPr>
          <w:b/>
          <w:bCs/>
          <w:lang w:eastAsia="en-AU"/>
        </w:rPr>
      </w:pPr>
      <w:r w:rsidRPr="00765457">
        <w:rPr>
          <w:b/>
          <w:bCs/>
          <w:lang w:eastAsia="en-AU"/>
        </w:rPr>
        <w:t>Policy implications and recommendations</w:t>
      </w:r>
    </w:p>
    <w:p w14:paraId="4FEA6BDB" w14:textId="0A666413" w:rsidR="00606B52" w:rsidRDefault="00DF2D6A" w:rsidP="004E3E35">
      <w:pPr>
        <w:tabs>
          <w:tab w:val="left" w:pos="7660"/>
        </w:tabs>
        <w:rPr>
          <w:lang w:eastAsia="en-AU"/>
        </w:rPr>
      </w:pPr>
      <w:r w:rsidRPr="0086054F">
        <w:rPr>
          <w:lang w:eastAsia="en-AU"/>
        </w:rPr>
        <w:t>Several policy</w:t>
      </w:r>
      <w:r w:rsidR="0050258B" w:rsidRPr="0086054F">
        <w:rPr>
          <w:lang w:eastAsia="en-AU"/>
        </w:rPr>
        <w:t>-</w:t>
      </w:r>
      <w:r w:rsidR="00A22127">
        <w:rPr>
          <w:lang w:eastAsia="en-AU"/>
        </w:rPr>
        <w:t>relevant</w:t>
      </w:r>
      <w:r w:rsidR="0050258B" w:rsidRPr="0086054F">
        <w:rPr>
          <w:lang w:eastAsia="en-AU"/>
        </w:rPr>
        <w:t xml:space="preserve"> insights</w:t>
      </w:r>
      <w:r w:rsidRPr="0086054F">
        <w:rPr>
          <w:lang w:eastAsia="en-AU"/>
        </w:rPr>
        <w:t xml:space="preserve"> emerge from this </w:t>
      </w:r>
      <w:r w:rsidR="00587B49" w:rsidRPr="0086054F">
        <w:rPr>
          <w:lang w:eastAsia="en-AU"/>
        </w:rPr>
        <w:t>review</w:t>
      </w:r>
      <w:r w:rsidR="00A22127">
        <w:rPr>
          <w:lang w:eastAsia="en-AU"/>
        </w:rPr>
        <w:t>:</w:t>
      </w:r>
    </w:p>
    <w:p w14:paraId="7B3F442E" w14:textId="7DBD165D" w:rsidR="00606B52" w:rsidRDefault="00EA3E59" w:rsidP="00E45BFE">
      <w:pPr>
        <w:pStyle w:val="Listnumbered"/>
        <w:numPr>
          <w:ilvl w:val="0"/>
          <w:numId w:val="17"/>
        </w:numPr>
        <w:rPr>
          <w:lang w:eastAsia="en-AU"/>
        </w:rPr>
      </w:pPr>
      <w:r w:rsidRPr="0015358F">
        <w:rPr>
          <w:rFonts w:asciiTheme="majorHAnsi" w:hAnsiTheme="majorHAnsi" w:cstheme="majorHAnsi"/>
          <w:lang w:eastAsia="en-AU"/>
        </w:rPr>
        <w:t xml:space="preserve">The greatest impact </w:t>
      </w:r>
      <w:r w:rsidR="0015358F">
        <w:rPr>
          <w:rFonts w:asciiTheme="majorHAnsi" w:hAnsiTheme="majorHAnsi" w:cstheme="majorHAnsi"/>
          <w:lang w:eastAsia="en-AU"/>
        </w:rPr>
        <w:t>can be</w:t>
      </w:r>
      <w:r>
        <w:rPr>
          <w:rFonts w:asciiTheme="majorHAnsi" w:hAnsiTheme="majorHAnsi" w:cstheme="majorHAnsi"/>
          <w:lang w:eastAsia="en-AU"/>
        </w:rPr>
        <w:t xml:space="preserve"> </w:t>
      </w:r>
      <w:r w:rsidRPr="0015358F">
        <w:rPr>
          <w:rFonts w:asciiTheme="majorHAnsi" w:hAnsiTheme="majorHAnsi" w:cstheme="majorHAnsi"/>
          <w:lang w:eastAsia="en-AU"/>
        </w:rPr>
        <w:t>achieved through a combination of interventions</w:t>
      </w:r>
      <w:r>
        <w:rPr>
          <w:lang w:eastAsia="en-AU"/>
        </w:rPr>
        <w:t xml:space="preserve"> – </w:t>
      </w:r>
      <w:r w:rsidR="00234C13">
        <w:rPr>
          <w:lang w:eastAsia="en-AU"/>
        </w:rPr>
        <w:t>t</w:t>
      </w:r>
      <w:r w:rsidR="007A04D6" w:rsidRPr="0086054F">
        <w:rPr>
          <w:lang w:eastAsia="en-AU"/>
        </w:rPr>
        <w:t>he</w:t>
      </w:r>
      <w:r w:rsidR="0050258B" w:rsidRPr="0086054F">
        <w:rPr>
          <w:lang w:eastAsia="en-AU"/>
        </w:rPr>
        <w:t>re is no single ‘fix’</w:t>
      </w:r>
      <w:r w:rsidR="00F45E7D">
        <w:rPr>
          <w:lang w:eastAsia="en-AU"/>
        </w:rPr>
        <w:t>.</w:t>
      </w:r>
      <w:r w:rsidR="006F7786" w:rsidRPr="0086054F">
        <w:rPr>
          <w:lang w:eastAsia="en-AU"/>
        </w:rPr>
        <w:t xml:space="preserve"> </w:t>
      </w:r>
      <w:r w:rsidR="00F45E7D">
        <w:rPr>
          <w:lang w:eastAsia="en-AU"/>
        </w:rPr>
        <w:t>T</w:t>
      </w:r>
      <w:r w:rsidR="006F7786" w:rsidRPr="0086054F">
        <w:rPr>
          <w:lang w:eastAsia="en-AU"/>
        </w:rPr>
        <w:t>he</w:t>
      </w:r>
      <w:r w:rsidR="00304079" w:rsidRPr="0086054F">
        <w:rPr>
          <w:lang w:eastAsia="en-AU"/>
        </w:rPr>
        <w:t xml:space="preserve"> most effective policy interventions have been accompanied by other reforms that draw on a range of levers including funding, regulation and governance.</w:t>
      </w:r>
      <w:r w:rsidR="00A57A4E" w:rsidRPr="0086054F">
        <w:rPr>
          <w:lang w:eastAsia="en-AU"/>
        </w:rPr>
        <w:t xml:space="preserve"> </w:t>
      </w:r>
    </w:p>
    <w:p w14:paraId="3CB29E37" w14:textId="2F6AADE3" w:rsidR="00E50F88" w:rsidRDefault="0015358F" w:rsidP="00E45BFE">
      <w:pPr>
        <w:pStyle w:val="Listnumbered"/>
        <w:numPr>
          <w:ilvl w:val="0"/>
          <w:numId w:val="17"/>
        </w:numPr>
        <w:rPr>
          <w:lang w:eastAsia="en-AU"/>
        </w:rPr>
      </w:pPr>
      <w:r w:rsidRPr="0015358F">
        <w:rPr>
          <w:rFonts w:asciiTheme="majorHAnsi" w:hAnsiTheme="majorHAnsi" w:cstheme="majorHAnsi"/>
          <w:lang w:eastAsia="en-AU"/>
        </w:rPr>
        <w:t>C</w:t>
      </w:r>
      <w:r w:rsidR="00E50F88" w:rsidRPr="0015358F">
        <w:rPr>
          <w:rFonts w:asciiTheme="majorHAnsi" w:hAnsiTheme="majorHAnsi" w:cstheme="majorHAnsi"/>
          <w:lang w:eastAsia="en-AU"/>
        </w:rPr>
        <w:t xml:space="preserve">oncurrent policies can </w:t>
      </w:r>
      <w:r w:rsidRPr="0015358F">
        <w:rPr>
          <w:rFonts w:asciiTheme="majorHAnsi" w:hAnsiTheme="majorHAnsi" w:cstheme="majorHAnsi"/>
          <w:lang w:eastAsia="en-AU"/>
        </w:rPr>
        <w:t>also undermine each other</w:t>
      </w:r>
      <w:r>
        <w:rPr>
          <w:lang w:eastAsia="en-AU"/>
        </w:rPr>
        <w:t xml:space="preserve"> – </w:t>
      </w:r>
      <w:r w:rsidR="00234C13">
        <w:rPr>
          <w:lang w:eastAsia="en-AU"/>
        </w:rPr>
        <w:t>s</w:t>
      </w:r>
      <w:r w:rsidR="00E50F88">
        <w:rPr>
          <w:lang w:eastAsia="en-AU"/>
        </w:rPr>
        <w:t xml:space="preserve">ometimes </w:t>
      </w:r>
      <w:r>
        <w:rPr>
          <w:lang w:eastAsia="en-AU"/>
        </w:rPr>
        <w:t>they</w:t>
      </w:r>
      <w:r w:rsidR="00E50F88">
        <w:rPr>
          <w:lang w:eastAsia="en-AU"/>
        </w:rPr>
        <w:t xml:space="preserve"> </w:t>
      </w:r>
      <w:r w:rsidR="00A22127">
        <w:rPr>
          <w:lang w:eastAsia="en-AU"/>
        </w:rPr>
        <w:t>work</w:t>
      </w:r>
      <w:r w:rsidR="00E50F88">
        <w:rPr>
          <w:lang w:eastAsia="en-AU"/>
        </w:rPr>
        <w:t xml:space="preserve"> at cross-purposes</w:t>
      </w:r>
      <w:r>
        <w:rPr>
          <w:lang w:eastAsia="en-AU"/>
        </w:rPr>
        <w:t>, as in the case of</w:t>
      </w:r>
      <w:r w:rsidR="00E50F88">
        <w:rPr>
          <w:lang w:eastAsia="en-AU"/>
        </w:rPr>
        <w:t xml:space="preserve"> the continuation of ‘tracking’ of students alongside the introduction of </w:t>
      </w:r>
      <w:r w:rsidR="0014616E">
        <w:rPr>
          <w:lang w:eastAsia="en-AU"/>
        </w:rPr>
        <w:t xml:space="preserve">legislated </w:t>
      </w:r>
      <w:r w:rsidR="00E50F88">
        <w:rPr>
          <w:lang w:eastAsia="en-AU"/>
        </w:rPr>
        <w:t>quotas.</w:t>
      </w:r>
    </w:p>
    <w:p w14:paraId="47A6E784" w14:textId="5BBFBD4C" w:rsidR="00756142" w:rsidRDefault="00756142" w:rsidP="00E45BFE">
      <w:pPr>
        <w:pStyle w:val="Listnumbered"/>
        <w:numPr>
          <w:ilvl w:val="0"/>
          <w:numId w:val="17"/>
        </w:numPr>
        <w:rPr>
          <w:lang w:eastAsia="en-AU"/>
        </w:rPr>
      </w:pPr>
      <w:r w:rsidRPr="0015358F">
        <w:rPr>
          <w:rFonts w:asciiTheme="majorHAnsi" w:hAnsiTheme="majorHAnsi" w:cstheme="majorHAnsi"/>
          <w:lang w:eastAsia="en-AU"/>
        </w:rPr>
        <w:t>Concentrations of First Nations students are a special case</w:t>
      </w:r>
      <w:r>
        <w:rPr>
          <w:lang w:eastAsia="en-AU"/>
        </w:rPr>
        <w:t xml:space="preserve"> – while we did not go deeply into Australian examples in our research, we are aware of the importance </w:t>
      </w:r>
      <w:r w:rsidR="00827A96">
        <w:rPr>
          <w:lang w:eastAsia="en-AU"/>
        </w:rPr>
        <w:t>of</w:t>
      </w:r>
      <w:r>
        <w:rPr>
          <w:lang w:eastAsia="en-AU"/>
        </w:rPr>
        <w:t xml:space="preserve"> ensuring that schools</w:t>
      </w:r>
      <w:r w:rsidR="00151F44">
        <w:rPr>
          <w:lang w:eastAsia="en-AU"/>
        </w:rPr>
        <w:t xml:space="preserve"> are culturally safe which</w:t>
      </w:r>
      <w:r w:rsidR="002A7A91">
        <w:rPr>
          <w:lang w:eastAsia="en-AU"/>
        </w:rPr>
        <w:t>,</w:t>
      </w:r>
      <w:r w:rsidR="00151F44">
        <w:rPr>
          <w:lang w:eastAsia="en-AU"/>
        </w:rPr>
        <w:t xml:space="preserve"> for some students, can mean a critical mass of people from the same </w:t>
      </w:r>
      <w:r w:rsidR="00347F9B">
        <w:rPr>
          <w:lang w:eastAsia="en-AU"/>
        </w:rPr>
        <w:t>cultur</w:t>
      </w:r>
      <w:r w:rsidR="00211115">
        <w:rPr>
          <w:lang w:eastAsia="en-AU"/>
        </w:rPr>
        <w:t>al</w:t>
      </w:r>
      <w:r w:rsidR="00347F9B">
        <w:rPr>
          <w:lang w:eastAsia="en-AU"/>
        </w:rPr>
        <w:t xml:space="preserve"> and language background. This is particularly important with respect to our Indigenous students who</w:t>
      </w:r>
      <w:r w:rsidR="00DD4331">
        <w:rPr>
          <w:lang w:eastAsia="en-AU"/>
        </w:rPr>
        <w:t xml:space="preserve"> should be brought into the centre in terms of education design and delivery rather than marginalised in a system dominated by </w:t>
      </w:r>
      <w:r w:rsidR="00682A91">
        <w:rPr>
          <w:lang w:eastAsia="en-AU"/>
        </w:rPr>
        <w:t>a non-Indigenous paradigm</w:t>
      </w:r>
      <w:r w:rsidR="00F36BC8">
        <w:rPr>
          <w:lang w:eastAsia="en-AU"/>
        </w:rPr>
        <w:t xml:space="preserve"> and </w:t>
      </w:r>
      <w:r w:rsidR="00211115">
        <w:rPr>
          <w:lang w:eastAsia="en-AU"/>
        </w:rPr>
        <w:t xml:space="preserve">multiple </w:t>
      </w:r>
      <w:r w:rsidR="00F36BC8">
        <w:rPr>
          <w:lang w:eastAsia="en-AU"/>
        </w:rPr>
        <w:t>structural issues</w:t>
      </w:r>
      <w:r w:rsidR="0004588F">
        <w:rPr>
          <w:lang w:eastAsia="en-AU"/>
        </w:rPr>
        <w:t xml:space="preserve"> including </w:t>
      </w:r>
      <w:r w:rsidR="009E032F">
        <w:rPr>
          <w:lang w:eastAsia="en-AU"/>
        </w:rPr>
        <w:t>legacies of racist policies, practices and attitudes</w:t>
      </w:r>
      <w:r w:rsidR="00682A91">
        <w:rPr>
          <w:lang w:eastAsia="en-AU"/>
        </w:rPr>
        <w:t>.</w:t>
      </w:r>
    </w:p>
    <w:p w14:paraId="2E85B9C1" w14:textId="3806E841" w:rsidR="00A22127" w:rsidRDefault="00A22127" w:rsidP="00E45BFE">
      <w:pPr>
        <w:pStyle w:val="Listnumbered"/>
        <w:numPr>
          <w:ilvl w:val="0"/>
          <w:numId w:val="17"/>
        </w:numPr>
        <w:rPr>
          <w:lang w:eastAsia="en-AU"/>
        </w:rPr>
      </w:pPr>
      <w:r w:rsidRPr="0015358F">
        <w:rPr>
          <w:rFonts w:asciiTheme="majorHAnsi" w:hAnsiTheme="majorHAnsi" w:cstheme="majorHAnsi"/>
          <w:lang w:eastAsia="en-AU"/>
        </w:rPr>
        <w:t>International lessons transcend differences in politics, culture and geography</w:t>
      </w:r>
      <w:r>
        <w:rPr>
          <w:lang w:eastAsia="en-AU"/>
        </w:rPr>
        <w:t xml:space="preserve"> – it would </w:t>
      </w:r>
      <w:r w:rsidR="00681B63">
        <w:rPr>
          <w:lang w:eastAsia="en-AU"/>
        </w:rPr>
        <w:t xml:space="preserve">be </w:t>
      </w:r>
      <w:r>
        <w:rPr>
          <w:lang w:eastAsia="en-AU"/>
        </w:rPr>
        <w:t xml:space="preserve">simplistic to assume that interventions applied in other </w:t>
      </w:r>
      <w:r w:rsidRPr="004B2237">
        <w:rPr>
          <w:lang w:eastAsia="en-AU"/>
        </w:rPr>
        <w:t>Anglo</w:t>
      </w:r>
      <w:r w:rsidR="00FD2DDF">
        <w:rPr>
          <w:lang w:eastAsia="en-AU"/>
        </w:rPr>
        <w:t xml:space="preserve"> countries </w:t>
      </w:r>
      <w:r w:rsidR="0085512F">
        <w:rPr>
          <w:lang w:eastAsia="en-AU"/>
        </w:rPr>
        <w:t>would</w:t>
      </w:r>
      <w:r w:rsidR="00FD2DDF">
        <w:rPr>
          <w:lang w:eastAsia="en-AU"/>
        </w:rPr>
        <w:t xml:space="preserve"> be more transferable, </w:t>
      </w:r>
      <w:r w:rsidR="00FD2DDF">
        <w:rPr>
          <w:lang w:eastAsia="en-AU"/>
        </w:rPr>
        <w:lastRenderedPageBreak/>
        <w:t>as this obscures the great many differences between systems in Canada, the United Kingdom, New Zealand and Australia.</w:t>
      </w:r>
    </w:p>
    <w:p w14:paraId="0AA3C0D6" w14:textId="50EB6BFC" w:rsidR="00606B52" w:rsidRPr="0086054F" w:rsidRDefault="0015358F" w:rsidP="00E45BFE">
      <w:pPr>
        <w:pStyle w:val="Listnumbered"/>
        <w:numPr>
          <w:ilvl w:val="0"/>
          <w:numId w:val="17"/>
        </w:numPr>
        <w:rPr>
          <w:lang w:eastAsia="en-AU"/>
        </w:rPr>
      </w:pPr>
      <w:r w:rsidRPr="0015358F">
        <w:rPr>
          <w:rFonts w:asciiTheme="majorHAnsi" w:hAnsiTheme="majorHAnsi" w:cstheme="majorHAnsi"/>
          <w:lang w:eastAsia="en-AU"/>
        </w:rPr>
        <w:t>Changes can be phased in</w:t>
      </w:r>
      <w:r>
        <w:rPr>
          <w:lang w:eastAsia="en-AU"/>
        </w:rPr>
        <w:t xml:space="preserve"> –</w:t>
      </w:r>
      <w:r w:rsidR="00606B52" w:rsidRPr="0086054F">
        <w:rPr>
          <w:lang w:eastAsia="en-AU"/>
        </w:rPr>
        <w:t xml:space="preserve"> </w:t>
      </w:r>
      <w:r>
        <w:rPr>
          <w:lang w:eastAsia="en-AU"/>
        </w:rPr>
        <w:t>even where a package of reforms may be progressed in tandem, this should not imply a ‘big bang’ approach. There are several interventions that could be introduced gradually.</w:t>
      </w:r>
    </w:p>
    <w:p w14:paraId="65B5C282" w14:textId="47F0302F" w:rsidR="00204CD7" w:rsidRPr="0086054F" w:rsidRDefault="00204CD7" w:rsidP="00E45BFE">
      <w:pPr>
        <w:pStyle w:val="Listnumbered"/>
        <w:numPr>
          <w:ilvl w:val="0"/>
          <w:numId w:val="19"/>
        </w:numPr>
        <w:rPr>
          <w:lang w:eastAsia="en-AU"/>
        </w:rPr>
      </w:pPr>
      <w:r w:rsidRPr="39F7ECC0">
        <w:rPr>
          <w:rFonts w:asciiTheme="majorHAnsi" w:hAnsiTheme="majorHAnsi" w:cstheme="majorBidi"/>
          <w:lang w:eastAsia="en-AU"/>
        </w:rPr>
        <w:t>There are several factors common to successful interventions</w:t>
      </w:r>
      <w:r w:rsidRPr="39F7ECC0">
        <w:rPr>
          <w:lang w:eastAsia="en-AU"/>
        </w:rPr>
        <w:t xml:space="preserve"> – aspects such as community engagement and careful attention to </w:t>
      </w:r>
      <w:r w:rsidR="007C32A1" w:rsidRPr="39F7ECC0">
        <w:rPr>
          <w:lang w:eastAsia="en-AU"/>
        </w:rPr>
        <w:t>learni</w:t>
      </w:r>
      <w:r w:rsidR="001A44C3" w:rsidRPr="39F7ECC0">
        <w:rPr>
          <w:lang w:eastAsia="en-AU"/>
        </w:rPr>
        <w:t>ng</w:t>
      </w:r>
      <w:r w:rsidR="00EC7075">
        <w:rPr>
          <w:lang w:eastAsia="en-AU"/>
        </w:rPr>
        <w:t xml:space="preserve">s from past </w:t>
      </w:r>
      <w:r w:rsidR="00A144C4">
        <w:rPr>
          <w:lang w:eastAsia="en-AU"/>
        </w:rPr>
        <w:t xml:space="preserve">experiences and comparable </w:t>
      </w:r>
      <w:r w:rsidR="00BD7D1C">
        <w:rPr>
          <w:lang w:eastAsia="en-AU"/>
        </w:rPr>
        <w:t>examples</w:t>
      </w:r>
      <w:r w:rsidR="001A44C3" w:rsidRPr="39F7ECC0">
        <w:rPr>
          <w:lang w:eastAsia="en-AU"/>
        </w:rPr>
        <w:t>.</w:t>
      </w:r>
    </w:p>
    <w:p w14:paraId="67479B0B" w14:textId="53D3B2D2" w:rsidR="00606B52" w:rsidRDefault="00C46496" w:rsidP="0080152D">
      <w:pPr>
        <w:rPr>
          <w:lang w:eastAsia="en-AU"/>
        </w:rPr>
      </w:pPr>
      <w:r>
        <w:rPr>
          <w:lang w:eastAsia="en-AU"/>
        </w:rPr>
        <w:t xml:space="preserve">Our recommendations build on these insights and offer proposals for practical next steps in terms of what might be taken into the </w:t>
      </w:r>
      <w:r w:rsidR="006D5956">
        <w:rPr>
          <w:lang w:eastAsia="en-AU"/>
        </w:rPr>
        <w:t>NSRA</w:t>
      </w:r>
      <w:r>
        <w:rPr>
          <w:lang w:eastAsia="en-AU"/>
        </w:rPr>
        <w:t xml:space="preserve"> negotiations and what further work could be done to build the evidence base. </w:t>
      </w:r>
    </w:p>
    <w:p w14:paraId="57FAC303" w14:textId="2ACCD488" w:rsidR="00C46496" w:rsidRDefault="00C46496" w:rsidP="0080152D">
      <w:pPr>
        <w:rPr>
          <w:lang w:eastAsia="en-AU"/>
        </w:rPr>
      </w:pPr>
      <w:r>
        <w:rPr>
          <w:lang w:eastAsia="en-AU"/>
        </w:rPr>
        <w:t xml:space="preserve">Our </w:t>
      </w:r>
      <w:r w:rsidRPr="00C06000">
        <w:rPr>
          <w:rFonts w:asciiTheme="majorHAnsi" w:hAnsiTheme="majorHAnsi" w:cstheme="majorHAnsi"/>
          <w:lang w:eastAsia="en-AU"/>
        </w:rPr>
        <w:t>first recommendation</w:t>
      </w:r>
      <w:r>
        <w:rPr>
          <w:lang w:eastAsia="en-AU"/>
        </w:rPr>
        <w:t xml:space="preserve"> concerns testing three </w:t>
      </w:r>
      <w:r w:rsidR="00220B09">
        <w:rPr>
          <w:lang w:eastAsia="en-AU"/>
        </w:rPr>
        <w:t>specific combinations of interventions to gauge levels of interest</w:t>
      </w:r>
      <w:r w:rsidR="00FA2694">
        <w:rPr>
          <w:lang w:eastAsia="en-AU"/>
        </w:rPr>
        <w:t xml:space="preserve"> and, where there is strong buy-in, </w:t>
      </w:r>
      <w:r w:rsidR="00996E3B">
        <w:rPr>
          <w:lang w:eastAsia="en-AU"/>
        </w:rPr>
        <w:t>conducting further research and pilot</w:t>
      </w:r>
      <w:r w:rsidR="00392D51">
        <w:rPr>
          <w:lang w:eastAsia="en-AU"/>
        </w:rPr>
        <w:t>s with evaluations</w:t>
      </w:r>
      <w:r w:rsidR="00E85473">
        <w:rPr>
          <w:lang w:eastAsia="en-AU"/>
        </w:rPr>
        <w:t>.</w:t>
      </w:r>
      <w:r w:rsidR="00392D51">
        <w:rPr>
          <w:lang w:eastAsia="en-AU"/>
        </w:rPr>
        <w:t xml:space="preserve"> </w:t>
      </w:r>
      <w:r w:rsidR="00E85473">
        <w:rPr>
          <w:lang w:eastAsia="en-AU"/>
        </w:rPr>
        <w:t xml:space="preserve">The three proposed combinations are set </w:t>
      </w:r>
      <w:r w:rsidR="004B6232">
        <w:rPr>
          <w:lang w:eastAsia="en-AU"/>
        </w:rPr>
        <w:t>out in</w:t>
      </w:r>
      <w:r w:rsidR="00E85473">
        <w:rPr>
          <w:lang w:eastAsia="en-AU"/>
        </w:rPr>
        <w:t xml:space="preserve"> </w:t>
      </w:r>
      <w:r w:rsidR="0091009B">
        <w:rPr>
          <w:lang w:eastAsia="en-AU"/>
        </w:rPr>
        <w:fldChar w:fldCharType="begin"/>
      </w:r>
      <w:r w:rsidR="0091009B">
        <w:rPr>
          <w:lang w:eastAsia="en-AU"/>
        </w:rPr>
        <w:instrText xml:space="preserve"> REF _Ref146873604 \h </w:instrText>
      </w:r>
      <w:r w:rsidR="0080152D">
        <w:rPr>
          <w:lang w:eastAsia="en-AU"/>
        </w:rPr>
        <w:instrText xml:space="preserve"> \* MERGEFORMAT </w:instrText>
      </w:r>
      <w:r w:rsidR="0091009B">
        <w:rPr>
          <w:lang w:eastAsia="en-AU"/>
        </w:rPr>
      </w:r>
      <w:r w:rsidR="0091009B">
        <w:rPr>
          <w:lang w:eastAsia="en-AU"/>
        </w:rPr>
        <w:fldChar w:fldCharType="separate"/>
      </w:r>
      <w:r w:rsidR="009B7086">
        <w:t xml:space="preserve">Figure </w:t>
      </w:r>
      <w:r w:rsidR="009B7086">
        <w:rPr>
          <w:noProof/>
        </w:rPr>
        <w:t>1</w:t>
      </w:r>
      <w:r w:rsidR="0091009B">
        <w:rPr>
          <w:lang w:eastAsia="en-AU"/>
        </w:rPr>
        <w:fldChar w:fldCharType="end"/>
      </w:r>
      <w:r w:rsidR="00E85473" w:rsidRPr="00EA6A7A">
        <w:rPr>
          <w:lang w:eastAsia="en-AU"/>
        </w:rPr>
        <w:t xml:space="preserve"> </w:t>
      </w:r>
      <w:r w:rsidR="00E85473">
        <w:rPr>
          <w:lang w:eastAsia="en-AU"/>
        </w:rPr>
        <w:t xml:space="preserve">below. </w:t>
      </w:r>
    </w:p>
    <w:p w14:paraId="6FC770C0" w14:textId="239A9B57" w:rsidR="00B73D0E" w:rsidRDefault="00E2492C" w:rsidP="00E2492C">
      <w:pPr>
        <w:pStyle w:val="Caption"/>
        <w:rPr>
          <w:lang w:eastAsia="en-AU"/>
        </w:rPr>
      </w:pPr>
      <w:bookmarkStart w:id="4" w:name="_Ref146873604"/>
      <w:r>
        <w:t xml:space="preserve">Figure </w:t>
      </w:r>
      <w:r>
        <w:fldChar w:fldCharType="begin"/>
      </w:r>
      <w:r>
        <w:instrText xml:space="preserve"> SEQ Figure \* ARABIC </w:instrText>
      </w:r>
      <w:r>
        <w:fldChar w:fldCharType="separate"/>
      </w:r>
      <w:r w:rsidR="009B7086">
        <w:rPr>
          <w:noProof/>
        </w:rPr>
        <w:t>1</w:t>
      </w:r>
      <w:r>
        <w:fldChar w:fldCharType="end"/>
      </w:r>
      <w:bookmarkEnd w:id="4"/>
      <w:r w:rsidR="009E6518">
        <w:t xml:space="preserve"> |</w:t>
      </w:r>
      <w:r>
        <w:t xml:space="preserve"> </w:t>
      </w:r>
      <w:bookmarkStart w:id="5" w:name="_Ref146873595"/>
      <w:r>
        <w:t>Recommended policy combinations</w:t>
      </w:r>
      <w:bookmarkEnd w:id="5"/>
    </w:p>
    <w:p w14:paraId="17B6EAEF" w14:textId="486553E1" w:rsidR="00B73D0E" w:rsidRDefault="00CB69E7" w:rsidP="004E3E35">
      <w:pPr>
        <w:tabs>
          <w:tab w:val="left" w:pos="7660"/>
        </w:tabs>
        <w:rPr>
          <w:lang w:eastAsia="en-AU"/>
        </w:rPr>
      </w:pPr>
      <w:r w:rsidRPr="00CB69E7">
        <w:rPr>
          <w:noProof/>
        </w:rPr>
        <w:drawing>
          <wp:inline distT="0" distB="0" distL="0" distR="0" wp14:anchorId="404749EF" wp14:editId="268585E7">
            <wp:extent cx="5670000" cy="4188808"/>
            <wp:effectExtent l="0" t="0" r="6985" b="2540"/>
            <wp:docPr id="419184823" name="Picture 419184823" descr="The figure outlines three recommended policy combinations. Firstly, tightening conditions of funding and move towards fee removal (policy interventions 2, 4 and 7). Secondly, reduce selectivity and promote alternative learning, assessment and delivery approaches (policy interventions 4, 7 and 9). Thirdly, strengthen financial incentives including to boost 'capacity exchange' between (policy interventions 7, 8 and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84823" name="Picture 419184823" descr="The figure outlines three recommended policy combinations. Firstly, tightening conditions of funding and move towards fee removal (policy interventions 2, 4 and 7). Secondly, reduce selectivity and promote alternative learning, assessment and delivery approaches (policy interventions 4, 7 and 9). Thirdly, strengthen financial incentives including to boost 'capacity exchange' between (policy interventions 7, 8 and 10). "/>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70000" cy="4188808"/>
                    </a:xfrm>
                    <a:prstGeom prst="rect">
                      <a:avLst/>
                    </a:prstGeom>
                    <a:noFill/>
                    <a:ln>
                      <a:noFill/>
                    </a:ln>
                  </pic:spPr>
                </pic:pic>
              </a:graphicData>
            </a:graphic>
          </wp:inline>
        </w:drawing>
      </w:r>
    </w:p>
    <w:p w14:paraId="079E0652" w14:textId="110D8336" w:rsidR="00C20442" w:rsidRDefault="001A1C60" w:rsidP="00735467">
      <w:r>
        <w:t xml:space="preserve">The </w:t>
      </w:r>
      <w:r w:rsidRPr="00C06000">
        <w:rPr>
          <w:rFonts w:asciiTheme="majorHAnsi" w:hAnsiTheme="majorHAnsi" w:cstheme="majorHAnsi"/>
          <w:lang w:eastAsia="en-AU"/>
        </w:rPr>
        <w:t>second recommendation</w:t>
      </w:r>
      <w:r>
        <w:t xml:space="preserve"> offers more specificity on how to tighten accountability and incentivise more focused attention on the </w:t>
      </w:r>
      <w:r w:rsidR="000E254C">
        <w:t xml:space="preserve">issues of socio-economic diversity in schools. Our focus here is on specific metrics to include in reporting, and </w:t>
      </w:r>
      <w:r w:rsidR="003C1D07">
        <w:t xml:space="preserve">on potential to adopt a different regulatory approach that </w:t>
      </w:r>
      <w:r w:rsidR="00E57D07">
        <w:t xml:space="preserve">both </w:t>
      </w:r>
      <w:r w:rsidR="003C1D07">
        <w:t xml:space="preserve">widens the focus of what regulators look for </w:t>
      </w:r>
      <w:r w:rsidR="00E32633">
        <w:t>as measures of success</w:t>
      </w:r>
      <w:r w:rsidR="00E57D07">
        <w:t xml:space="preserve"> and raises the bar to promote </w:t>
      </w:r>
      <w:r w:rsidR="00F07807">
        <w:t>striving for excellence and continuous improvement rather than compliance with minimum standards.</w:t>
      </w:r>
    </w:p>
    <w:p w14:paraId="46C92D6A" w14:textId="3005B3F4" w:rsidR="001A1C60" w:rsidRDefault="00F07807" w:rsidP="00304079">
      <w:r>
        <w:t xml:space="preserve">The </w:t>
      </w:r>
      <w:r w:rsidRPr="00C06000">
        <w:rPr>
          <w:rFonts w:asciiTheme="majorHAnsi" w:hAnsiTheme="majorHAnsi" w:cstheme="majorHAnsi"/>
          <w:lang w:eastAsia="en-AU"/>
        </w:rPr>
        <w:t>final recommendation</w:t>
      </w:r>
      <w:r>
        <w:t xml:space="preserve"> sets out potential areas of further research that the Department of Education may wish to </w:t>
      </w:r>
      <w:r w:rsidR="006D5956">
        <w:t>consider,</w:t>
      </w:r>
      <w:r>
        <w:t xml:space="preserve"> or the Review </w:t>
      </w:r>
      <w:r w:rsidR="00356701">
        <w:t xml:space="preserve">may wish to </w:t>
      </w:r>
      <w:r>
        <w:t>recommend</w:t>
      </w:r>
      <w:r w:rsidR="00051DCA">
        <w:t>, or for which there is strong stakeholder interest</w:t>
      </w:r>
      <w:r>
        <w:t>.</w:t>
      </w:r>
    </w:p>
    <w:p w14:paraId="46BBBF0C" w14:textId="18E35F22" w:rsidR="00942447" w:rsidRPr="00714702" w:rsidRDefault="00714702" w:rsidP="00942447">
      <w:pPr>
        <w:pStyle w:val="Heading1"/>
        <w:rPr>
          <w:color w:val="FFFFFF" w:themeColor="background1"/>
        </w:rPr>
      </w:pPr>
      <w:bookmarkStart w:id="6" w:name="_Toc149052445"/>
      <w:r w:rsidRPr="00714702">
        <w:rPr>
          <w:noProof/>
          <w:color w:val="FFFFFF" w:themeColor="background1"/>
        </w:rPr>
        <w:lastRenderedPageBreak/>
        <w:drawing>
          <wp:anchor distT="0" distB="0" distL="114300" distR="114300" simplePos="0" relativeHeight="251658252" behindDoc="1" locked="0" layoutInCell="1" allowOverlap="1" wp14:anchorId="5D144377" wp14:editId="32CA2775">
            <wp:simplePos x="0" y="0"/>
            <wp:positionH relativeFrom="column">
              <wp:posOffset>-858520</wp:posOffset>
            </wp:positionH>
            <wp:positionV relativeFrom="paragraph">
              <wp:posOffset>-791581</wp:posOffset>
            </wp:positionV>
            <wp:extent cx="7552178" cy="1259457"/>
            <wp:effectExtent l="0" t="0" r="0" b="0"/>
            <wp:wrapNone/>
            <wp:docPr id="2118150632" name="Picture 2118150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50632" name="Picture 2118150632">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b="34259"/>
                    <a:stretch/>
                  </pic:blipFill>
                  <pic:spPr bwMode="auto">
                    <a:xfrm>
                      <a:off x="0" y="0"/>
                      <a:ext cx="7552178" cy="12594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447" w:rsidRPr="00714702">
        <w:rPr>
          <w:color w:val="FFFFFF" w:themeColor="background1"/>
        </w:rPr>
        <w:t>Context and approach</w:t>
      </w:r>
      <w:bookmarkEnd w:id="6"/>
    </w:p>
    <w:tbl>
      <w:tblPr>
        <w:tblStyle w:val="NousLongformcallout"/>
        <w:tblW w:w="5000" w:type="pct"/>
        <w:tblCellMar>
          <w:top w:w="170" w:type="dxa"/>
          <w:bottom w:w="170" w:type="dxa"/>
        </w:tblCellMar>
        <w:tblLook w:val="04A0" w:firstRow="1" w:lastRow="0" w:firstColumn="1" w:lastColumn="0" w:noHBand="0" w:noVBand="1"/>
      </w:tblPr>
      <w:tblGrid>
        <w:gridCol w:w="9162"/>
      </w:tblGrid>
      <w:tr w:rsidR="000351F9" w14:paraId="0F6E7691" w14:textId="77777777" w:rsidTr="00755651">
        <w:tc>
          <w:tcPr>
            <w:tcW w:w="5000" w:type="pct"/>
          </w:tcPr>
          <w:p w14:paraId="555DED89" w14:textId="7457AA3D" w:rsidR="000351F9" w:rsidRPr="002B7A6E" w:rsidRDefault="00DD4405" w:rsidP="00DD4405">
            <w:pPr>
              <w:pStyle w:val="Longformcallout"/>
            </w:pPr>
            <w:r>
              <w:t xml:space="preserve">This section provides the policy context for this review and describes the approach and </w:t>
            </w:r>
            <w:r w:rsidR="00171C0B">
              <w:t>methodology</w:t>
            </w:r>
            <w:r>
              <w:t xml:space="preserve">, including </w:t>
            </w:r>
            <w:r w:rsidR="009F001E">
              <w:t xml:space="preserve">a </w:t>
            </w:r>
            <w:r>
              <w:t>taxonomy of policy interventions, framework for assessing transferability, and limitations of the data and method.</w:t>
            </w:r>
          </w:p>
        </w:tc>
      </w:tr>
    </w:tbl>
    <w:p w14:paraId="4BDC3E59" w14:textId="606BB1BF" w:rsidR="005559B1" w:rsidRDefault="00835682" w:rsidP="00835682">
      <w:pPr>
        <w:pStyle w:val="Heading2"/>
      </w:pPr>
      <w:bookmarkStart w:id="7" w:name="_Toc149052446"/>
      <w:r>
        <w:t>Project objective and context</w:t>
      </w:r>
      <w:bookmarkEnd w:id="7"/>
    </w:p>
    <w:p w14:paraId="4C480294" w14:textId="2D69946B" w:rsidR="00785A38" w:rsidRDefault="00785A38" w:rsidP="00785A38">
      <w:r>
        <w:t>This review of policy interventions to improve socio</w:t>
      </w:r>
      <w:r w:rsidR="00115985">
        <w:t>-eco</w:t>
      </w:r>
      <w:r>
        <w:t xml:space="preserve">nomic </w:t>
      </w:r>
      <w:r w:rsidR="00580B70">
        <w:t xml:space="preserve">diversity </w:t>
      </w:r>
      <w:r>
        <w:t xml:space="preserve">was commissioned by the Australian Department of Education on behalf of the Expert Panel </w:t>
      </w:r>
      <w:r w:rsidR="005B3EF0">
        <w:t xml:space="preserve">conducting </w:t>
      </w:r>
      <w:r w:rsidR="00BD53C2">
        <w:t>the</w:t>
      </w:r>
      <w:r w:rsidR="005B3EF0">
        <w:t xml:space="preserve"> Review to Inform a</w:t>
      </w:r>
      <w:r w:rsidR="00BD53C2">
        <w:t xml:space="preserve"> </w:t>
      </w:r>
      <w:r>
        <w:t xml:space="preserve">Better and Fairer Education System. It is intended to be one input to </w:t>
      </w:r>
      <w:r w:rsidR="00703249">
        <w:t>their</w:t>
      </w:r>
      <w:r>
        <w:t xml:space="preserve"> </w:t>
      </w:r>
      <w:r w:rsidR="004028D7">
        <w:t xml:space="preserve">report </w:t>
      </w:r>
      <w:r w:rsidR="00BE3EBC">
        <w:t>which will</w:t>
      </w:r>
      <w:r>
        <w:t xml:space="preserve"> inform the ne</w:t>
      </w:r>
      <w:r w:rsidR="000711B5">
        <w:t xml:space="preserve">gotiation of </w:t>
      </w:r>
      <w:r w:rsidR="00BD53C2">
        <w:t xml:space="preserve">the next </w:t>
      </w:r>
      <w:r w:rsidR="00BD53C2">
        <w:rPr>
          <w:lang w:eastAsia="en-AU"/>
        </w:rPr>
        <w:t>National School Reform Agreement</w:t>
      </w:r>
      <w:r>
        <w:t xml:space="preserve">. </w:t>
      </w:r>
    </w:p>
    <w:p w14:paraId="2AB832F6" w14:textId="54AD5037" w:rsidR="00D37541" w:rsidRDefault="00DD4405" w:rsidP="00D37541">
      <w:pPr>
        <w:pStyle w:val="Heading5"/>
      </w:pPr>
      <w:r>
        <w:t>Co</w:t>
      </w:r>
      <w:r w:rsidR="00D37541">
        <w:t>ncentrat</w:t>
      </w:r>
      <w:r w:rsidR="005707CA">
        <w:t>ed</w:t>
      </w:r>
      <w:r w:rsidR="00D37541">
        <w:t xml:space="preserve"> disadvantage in Australian schools is growing with </w:t>
      </w:r>
      <w:r w:rsidR="009E302C">
        <w:t xml:space="preserve">apparent </w:t>
      </w:r>
      <w:r w:rsidR="00D37541">
        <w:t>deleterious effects</w:t>
      </w:r>
    </w:p>
    <w:p w14:paraId="6AA09BBC" w14:textId="0C8CB59F" w:rsidR="00FE2F36" w:rsidRPr="0086054F" w:rsidRDefault="00892D28" w:rsidP="00DD4405">
      <w:pPr>
        <w:rPr>
          <w:lang w:eastAsia="en-AU"/>
        </w:rPr>
      </w:pPr>
      <w:r w:rsidRPr="0086054F">
        <w:rPr>
          <w:noProof/>
          <w:lang w:eastAsia="en-AU"/>
        </w:rPr>
        <mc:AlternateContent>
          <mc:Choice Requires="wps">
            <w:drawing>
              <wp:anchor distT="0" distB="0" distL="114300" distR="114300" simplePos="0" relativeHeight="251658246" behindDoc="0" locked="0" layoutInCell="1" allowOverlap="1" wp14:anchorId="639B7D1C" wp14:editId="6540D9E1">
                <wp:simplePos x="0" y="0"/>
                <wp:positionH relativeFrom="column">
                  <wp:posOffset>4391660</wp:posOffset>
                </wp:positionH>
                <wp:positionV relativeFrom="paragraph">
                  <wp:posOffset>1062990</wp:posOffset>
                </wp:positionV>
                <wp:extent cx="1466850" cy="2390775"/>
                <wp:effectExtent l="0" t="0" r="0" b="9525"/>
                <wp:wrapSquare wrapText="bothSides"/>
                <wp:docPr id="507" name="Text Box 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66850" cy="2390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9F383" w14:textId="6D411E4C" w:rsidR="0084243D" w:rsidRDefault="0080152D" w:rsidP="00A52261">
                            <w:pPr>
                              <w:pStyle w:val="Callout"/>
                              <w:rPr>
                                <w:color w:val="F25E21" w:themeColor="accent2"/>
                              </w:rPr>
                            </w:pPr>
                            <w:r>
                              <w:rPr>
                                <w:color w:val="F25E21" w:themeColor="accent2"/>
                              </w:rPr>
                              <w:t>“</w:t>
                            </w:r>
                            <w:r w:rsidR="0084243D" w:rsidRPr="0086054F">
                              <w:rPr>
                                <w:color w:val="F25E21" w:themeColor="accent2"/>
                              </w:rPr>
                              <w:t>Some consensus has emerged on the detrimental impact of attending schools with many low achievers – and the benefits of having high-achieving schoolmates.</w:t>
                            </w:r>
                            <w:r>
                              <w:rPr>
                                <w:color w:val="F25E21" w:themeColor="accent2"/>
                              </w:rPr>
                              <w:t>”</w:t>
                            </w:r>
                          </w:p>
                          <w:p w14:paraId="69FFBF81" w14:textId="32A7989C" w:rsidR="0084243D" w:rsidRPr="00A52261" w:rsidRDefault="00DB6D75" w:rsidP="0084243D">
                            <w:pPr>
                              <w:pStyle w:val="Callout"/>
                              <w:jc w:val="right"/>
                              <w:rPr>
                                <w:color w:val="F25E21" w:themeColor="accent2"/>
                                <w:sz w:val="18"/>
                                <w:szCs w:val="18"/>
                              </w:rPr>
                            </w:pPr>
                            <w:r>
                              <w:rPr>
                                <w:color w:val="F25E21" w:themeColor="accent2"/>
                                <w:sz w:val="18"/>
                                <w:szCs w:val="18"/>
                              </w:rPr>
                              <w:t>OECD</w:t>
                            </w:r>
                            <w:r w:rsidR="007E18E5">
                              <w:rPr>
                                <w:color w:val="F25E21" w:themeColor="accent2"/>
                                <w:sz w:val="18"/>
                                <w:szCs w:val="18"/>
                              </w:rPr>
                              <w:t xml:space="preserve"> 201</w:t>
                            </w:r>
                            <w:r w:rsidR="00764DE9">
                              <w:rPr>
                                <w:color w:val="F25E21" w:themeColor="accent2"/>
                                <w:sz w:val="18"/>
                                <w:szCs w:val="18"/>
                              </w:rPr>
                              <w:t>8</w:t>
                            </w:r>
                            <w:r w:rsidR="007E18E5">
                              <w:rPr>
                                <w:color w:val="F25E21" w:themeColor="accent2"/>
                                <w:sz w:val="18"/>
                                <w:szCs w:val="18"/>
                              </w:rPr>
                              <w:t xml:space="preserve"> </w:t>
                            </w:r>
                            <w:r w:rsidR="00A52261" w:rsidRPr="00DB6D75">
                              <w:rPr>
                                <w:i/>
                                <w:color w:val="F25E21" w:themeColor="accent2"/>
                                <w:sz w:val="18"/>
                                <w:szCs w:val="18"/>
                              </w:rPr>
                              <w:t>Balancing School Choice and Equity</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9B7D1C" id="_x0000_t202" coordsize="21600,21600" o:spt="202" path="m,l,21600r21600,l21600,xe">
                <v:stroke joinstyle="miter"/>
                <v:path gradientshapeok="t" o:connecttype="rect"/>
              </v:shapetype>
              <v:shape id="Text Box 507" o:spid="_x0000_s1026" type="#_x0000_t202" alt="&quot;&quot;" style="position:absolute;margin-left:345.8pt;margin-top:83.7pt;width:115.5pt;height:188.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w8dQIAAGIFAAAOAAAAZHJzL2Uyb0RvYy54bWysVN9P2zAQfp+0/8Hy+0goUFhFijoQ0yQE&#10;aGXi2XVsas3xefa1SffXc3bSljFemPaSnH3f/fruzucXXWPZWoVowFX88KDkTDkJtXFPFf/xcP3p&#10;jLOIwtXCglMV36jIL6YfP5y3fqJGsARbq8DIiYuT1ld8iegnRRHlUjUiHoBXjpQaQiOQjuGpqINo&#10;yXtji1FZjosWQu0DSBUj3V71Sj7N/rVWEu+0jgqZrTjlhvkb8neRvsX0XEyegvBLI4c0xD9k0Qjj&#10;KOjO1ZVAwVbB/OWqMTJABI0HEpoCtDZS5RqomsPyVTXzpfAq10LkRL+jKf4/t/J2Pff3gWH3BTpq&#10;YCKk9XES6TLV0+nQpD9lykhPFG52tKkOmUxGx+Px2QmpJOlGR5/L09OT5KfYm/sQ8auChiWh4oH6&#10;kukS65uIPXQLSdEiWFNfG2vzIc2CurSBrQV10WJOkpz/gbKOtRUfH1EeychBMu89W5duVJ6GIdy+&#10;xCzhxqqEse670szUudI3YgspldvFz+iE0hTqPYYDfp/Ve4z7OsgiRwaHO+PGOAi5+rw+e8rqn1vK&#10;dI+n3ryoO4nYLbqh9QuoNzQRAfpliV5eG+rajYh4LwJtB3WaNh7v6KMtEOswSJwtIfx+6z7haWhJ&#10;y1lL21bx+GslguLMfnM0zmk1s3B8cjqiQ8iHo3FZ0mHxUuNWzSXQGBzSu+JlFhMe7VbUAZpHehRm&#10;KSKphJMUt+K4FS+x3396VKSazTKIltELvHFzL5PrRG2ax4fuUQQ/DC3SvN/CdifF5NXs9thk6WC2&#10;QtAmD3Yit2d0IJ0WOa/G8Oikl+LlOaP2T+P0GQAA//8DAFBLAwQUAAYACAAAACEAgr/dx+IAAAAL&#10;AQAADwAAAGRycy9kb3ducmV2LnhtbEyPy07DMBBF90j8gzVI7KhTU0IS4lQIhAQLKjUgBDs3njwg&#10;tiPbbcPfM6xgOXOP7pwp17MZ2QF9GJyVsFwkwNA2Tg+2k/D68nCRAQtRWa1GZ1HCNwZYV6cnpSq0&#10;O9otHurYMSqxoVAS+hingvPQ9GhUWLgJLWWt80ZFGn3HtVdHKjcjF0mScqMGSxd6NeFdj81XvTcS&#10;Ni0+ivsPk729t1v/LDb151M2SHl+Nt/eAIs4xz8YfvVJHSpy2rm91YGNEtJ8mRJKQXq9AkZELgRt&#10;dhKuVpc58Krk/3+ofgAAAP//AwBQSwECLQAUAAYACAAAACEAtoM4kv4AAADhAQAAEwAAAAAAAAAA&#10;AAAAAAAAAAAAW0NvbnRlbnRfVHlwZXNdLnhtbFBLAQItABQABgAIAAAAIQA4/SH/1gAAAJQBAAAL&#10;AAAAAAAAAAAAAAAAAC8BAABfcmVscy8ucmVsc1BLAQItABQABgAIAAAAIQAW4uw8dQIAAGIFAAAO&#10;AAAAAAAAAAAAAAAAAC4CAABkcnMvZTJvRG9jLnhtbFBLAQItABQABgAIAAAAIQCCv93H4gAAAAsB&#10;AAAPAAAAAAAAAAAAAAAAAM8EAABkcnMvZG93bnJldi54bWxQSwUGAAAAAAQABADzAAAA3gUAAAAA&#10;" fillcolor="white [3201]" stroked="f" strokeweight=".5pt">
                <v:textbox inset="0,,1mm">
                  <w:txbxContent>
                    <w:p w14:paraId="22F9F383" w14:textId="6D411E4C" w:rsidR="0084243D" w:rsidRDefault="0080152D" w:rsidP="00A52261">
                      <w:pPr>
                        <w:pStyle w:val="Callout"/>
                        <w:rPr>
                          <w:color w:val="F25E21" w:themeColor="accent2"/>
                        </w:rPr>
                      </w:pPr>
                      <w:r>
                        <w:rPr>
                          <w:color w:val="F25E21" w:themeColor="accent2"/>
                        </w:rPr>
                        <w:t>“</w:t>
                      </w:r>
                      <w:r w:rsidR="0084243D" w:rsidRPr="0086054F">
                        <w:rPr>
                          <w:color w:val="F25E21" w:themeColor="accent2"/>
                        </w:rPr>
                        <w:t>Some consensus has emerged on the detrimental impact of attending schools with many low achievers – and the benefits of having high-achieving schoolmates.</w:t>
                      </w:r>
                      <w:r>
                        <w:rPr>
                          <w:color w:val="F25E21" w:themeColor="accent2"/>
                        </w:rPr>
                        <w:t>”</w:t>
                      </w:r>
                    </w:p>
                    <w:p w14:paraId="69FFBF81" w14:textId="32A7989C" w:rsidR="0084243D" w:rsidRPr="00A52261" w:rsidRDefault="00DB6D75" w:rsidP="0084243D">
                      <w:pPr>
                        <w:pStyle w:val="Callout"/>
                        <w:jc w:val="right"/>
                        <w:rPr>
                          <w:color w:val="F25E21" w:themeColor="accent2"/>
                          <w:sz w:val="18"/>
                          <w:szCs w:val="18"/>
                        </w:rPr>
                      </w:pPr>
                      <w:r>
                        <w:rPr>
                          <w:color w:val="F25E21" w:themeColor="accent2"/>
                          <w:sz w:val="18"/>
                          <w:szCs w:val="18"/>
                        </w:rPr>
                        <w:t>OECD</w:t>
                      </w:r>
                      <w:r w:rsidR="007E18E5">
                        <w:rPr>
                          <w:color w:val="F25E21" w:themeColor="accent2"/>
                          <w:sz w:val="18"/>
                          <w:szCs w:val="18"/>
                        </w:rPr>
                        <w:t xml:space="preserve"> 201</w:t>
                      </w:r>
                      <w:r w:rsidR="00764DE9">
                        <w:rPr>
                          <w:color w:val="F25E21" w:themeColor="accent2"/>
                          <w:sz w:val="18"/>
                          <w:szCs w:val="18"/>
                        </w:rPr>
                        <w:t>8</w:t>
                      </w:r>
                      <w:r w:rsidR="007E18E5">
                        <w:rPr>
                          <w:color w:val="F25E21" w:themeColor="accent2"/>
                          <w:sz w:val="18"/>
                          <w:szCs w:val="18"/>
                        </w:rPr>
                        <w:t xml:space="preserve"> </w:t>
                      </w:r>
                      <w:r w:rsidR="00A52261" w:rsidRPr="00DB6D75">
                        <w:rPr>
                          <w:i/>
                          <w:color w:val="F25E21" w:themeColor="accent2"/>
                          <w:sz w:val="18"/>
                          <w:szCs w:val="18"/>
                        </w:rPr>
                        <w:t>Balancing School Choice and Equity</w:t>
                      </w:r>
                    </w:p>
                  </w:txbxContent>
                </v:textbox>
                <w10:wrap type="square"/>
              </v:shape>
            </w:pict>
          </mc:Fallback>
        </mc:AlternateContent>
      </w:r>
      <w:r w:rsidR="009D15A2" w:rsidRPr="0086054F">
        <w:rPr>
          <w:lang w:eastAsia="en-AU"/>
        </w:rPr>
        <w:t xml:space="preserve">The </w:t>
      </w:r>
      <w:r w:rsidR="00F029CD" w:rsidRPr="0086054F">
        <w:rPr>
          <w:lang w:eastAsia="en-AU"/>
        </w:rPr>
        <w:t xml:space="preserve">increasing </w:t>
      </w:r>
      <w:r w:rsidR="009D15A2" w:rsidRPr="0086054F">
        <w:rPr>
          <w:lang w:eastAsia="en-AU"/>
        </w:rPr>
        <w:t xml:space="preserve">segregation of students </w:t>
      </w:r>
      <w:r w:rsidR="00F029CD" w:rsidRPr="0086054F">
        <w:rPr>
          <w:lang w:eastAsia="en-AU"/>
        </w:rPr>
        <w:t>by economic status</w:t>
      </w:r>
      <w:r w:rsidR="00EE72A9">
        <w:rPr>
          <w:lang w:eastAsia="en-AU"/>
        </w:rPr>
        <w:t>,</w:t>
      </w:r>
      <w:r w:rsidR="00A30C90">
        <w:rPr>
          <w:lang w:eastAsia="en-AU"/>
        </w:rPr>
        <w:t xml:space="preserve"> </w:t>
      </w:r>
      <w:r w:rsidR="00EE72A9">
        <w:rPr>
          <w:lang w:eastAsia="en-AU"/>
        </w:rPr>
        <w:t xml:space="preserve">and resulting residualisation of schools with large and growing concentrations </w:t>
      </w:r>
      <w:r w:rsidR="007C7925">
        <w:rPr>
          <w:lang w:eastAsia="en-AU"/>
        </w:rPr>
        <w:t>of disadvantage</w:t>
      </w:r>
      <w:r w:rsidR="00A02DC2">
        <w:rPr>
          <w:lang w:eastAsia="en-AU"/>
        </w:rPr>
        <w:t>,</w:t>
      </w:r>
      <w:r w:rsidR="007C7925">
        <w:rPr>
          <w:lang w:eastAsia="en-AU"/>
        </w:rPr>
        <w:t xml:space="preserve"> </w:t>
      </w:r>
      <w:r w:rsidR="006C30B5">
        <w:rPr>
          <w:lang w:eastAsia="en-AU"/>
        </w:rPr>
        <w:t xml:space="preserve">is a </w:t>
      </w:r>
      <w:r w:rsidR="00BC3201">
        <w:rPr>
          <w:lang w:eastAsia="en-AU"/>
        </w:rPr>
        <w:t>clearly evident</w:t>
      </w:r>
      <w:r w:rsidR="006C30B5">
        <w:rPr>
          <w:lang w:eastAsia="en-AU"/>
        </w:rPr>
        <w:t xml:space="preserve"> </w:t>
      </w:r>
      <w:r w:rsidR="00F029CD" w:rsidRPr="0086054F">
        <w:rPr>
          <w:lang w:eastAsia="en-AU"/>
        </w:rPr>
        <w:t>phenomenon in Australia</w:t>
      </w:r>
      <w:r w:rsidR="006C30B5">
        <w:rPr>
          <w:lang w:eastAsia="en-AU"/>
        </w:rPr>
        <w:t>.</w:t>
      </w:r>
      <w:r w:rsidR="00842BB8">
        <w:rPr>
          <w:lang w:eastAsia="en-AU"/>
        </w:rPr>
        <w:t xml:space="preserve"> </w:t>
      </w:r>
      <w:r w:rsidR="001F228F" w:rsidRPr="0086054F">
        <w:rPr>
          <w:lang w:eastAsia="en-AU"/>
        </w:rPr>
        <w:t xml:space="preserve">Driven by </w:t>
      </w:r>
      <w:r w:rsidR="00722181" w:rsidRPr="0086054F">
        <w:rPr>
          <w:lang w:eastAsia="en-AU"/>
        </w:rPr>
        <w:t xml:space="preserve">a pattern of </w:t>
      </w:r>
      <w:r w:rsidR="002B312C">
        <w:rPr>
          <w:lang w:eastAsia="en-AU"/>
        </w:rPr>
        <w:t xml:space="preserve">socio-economically </w:t>
      </w:r>
      <w:r w:rsidR="004F1847">
        <w:rPr>
          <w:lang w:eastAsia="en-AU"/>
        </w:rPr>
        <w:t>advantaged</w:t>
      </w:r>
      <w:r w:rsidR="004A57AB">
        <w:rPr>
          <w:lang w:eastAsia="en-AU"/>
        </w:rPr>
        <w:t xml:space="preserve"> and aspirational</w:t>
      </w:r>
      <w:r w:rsidR="004F1847">
        <w:rPr>
          <w:lang w:eastAsia="en-AU"/>
        </w:rPr>
        <w:t xml:space="preserve"> families</w:t>
      </w:r>
      <w:r w:rsidR="00D80AD5" w:rsidRPr="0086054F">
        <w:rPr>
          <w:lang w:eastAsia="en-AU"/>
        </w:rPr>
        <w:t xml:space="preserve"> </w:t>
      </w:r>
      <w:r w:rsidR="008F181E" w:rsidRPr="0086054F">
        <w:rPr>
          <w:lang w:eastAsia="en-AU"/>
        </w:rPr>
        <w:t>removing their (typically better-performing) children from schools that have large proportions of disadvantaged families</w:t>
      </w:r>
      <w:r w:rsidR="00B02A06" w:rsidRPr="0086054F">
        <w:rPr>
          <w:lang w:eastAsia="en-AU"/>
        </w:rPr>
        <w:t>, t</w:t>
      </w:r>
      <w:r w:rsidR="006C2010" w:rsidRPr="0086054F">
        <w:rPr>
          <w:lang w:eastAsia="en-AU"/>
        </w:rPr>
        <w:t>h</w:t>
      </w:r>
      <w:r w:rsidR="00D4649F">
        <w:rPr>
          <w:lang w:eastAsia="en-AU"/>
        </w:rPr>
        <w:t>is</w:t>
      </w:r>
      <w:r w:rsidR="006C2010" w:rsidRPr="0086054F">
        <w:rPr>
          <w:lang w:eastAsia="en-AU"/>
        </w:rPr>
        <w:t xml:space="preserve"> r</w:t>
      </w:r>
      <w:r w:rsidR="000B671F" w:rsidRPr="0086054F">
        <w:rPr>
          <w:lang w:eastAsia="en-AU"/>
        </w:rPr>
        <w:t>esidualisation</w:t>
      </w:r>
      <w:r w:rsidR="006C2010" w:rsidRPr="0086054F">
        <w:rPr>
          <w:lang w:eastAsia="en-AU"/>
        </w:rPr>
        <w:t xml:space="preserve"> </w:t>
      </w:r>
      <w:r w:rsidR="000B4133" w:rsidRPr="0086054F">
        <w:rPr>
          <w:lang w:eastAsia="en-AU"/>
        </w:rPr>
        <w:t xml:space="preserve">effect </w:t>
      </w:r>
      <w:r w:rsidR="00A86F5E" w:rsidRPr="0086054F">
        <w:rPr>
          <w:lang w:eastAsia="en-AU"/>
        </w:rPr>
        <w:t>both reflects and contributes</w:t>
      </w:r>
      <w:r w:rsidR="000B671F" w:rsidRPr="0086054F">
        <w:rPr>
          <w:lang w:eastAsia="en-AU"/>
        </w:rPr>
        <w:t xml:space="preserve"> to growing inequity</w:t>
      </w:r>
      <w:r w:rsidR="00DE71C3" w:rsidRPr="0086054F">
        <w:rPr>
          <w:lang w:eastAsia="en-AU"/>
        </w:rPr>
        <w:t>. Further, it</w:t>
      </w:r>
      <w:r w:rsidR="000B671F" w:rsidRPr="0086054F">
        <w:rPr>
          <w:lang w:eastAsia="en-AU"/>
        </w:rPr>
        <w:t xml:space="preserve"> compounds the challenges of improving education outcomes </w:t>
      </w:r>
      <w:r w:rsidR="00E874EC" w:rsidRPr="0086054F">
        <w:rPr>
          <w:lang w:eastAsia="en-AU"/>
        </w:rPr>
        <w:t>to break cycles of disadvantage</w:t>
      </w:r>
      <w:r w:rsidR="00DE71C3" w:rsidRPr="0086054F">
        <w:rPr>
          <w:lang w:eastAsia="en-AU"/>
        </w:rPr>
        <w:t xml:space="preserve"> by making residualised schools less </w:t>
      </w:r>
      <w:r w:rsidR="001E0CED">
        <w:rPr>
          <w:lang w:eastAsia="en-AU"/>
        </w:rPr>
        <w:t>appealing</w:t>
      </w:r>
      <w:r w:rsidR="00DE71C3" w:rsidRPr="0086054F">
        <w:rPr>
          <w:lang w:eastAsia="en-AU"/>
        </w:rPr>
        <w:t xml:space="preserve"> to </w:t>
      </w:r>
      <w:r w:rsidR="005B67AF">
        <w:rPr>
          <w:lang w:eastAsia="en-AU"/>
        </w:rPr>
        <w:t>hig</w:t>
      </w:r>
      <w:r w:rsidR="00B521C8">
        <w:rPr>
          <w:lang w:eastAsia="en-AU"/>
        </w:rPr>
        <w:t xml:space="preserve">hly capable </w:t>
      </w:r>
      <w:r w:rsidR="00DE71C3" w:rsidRPr="0086054F">
        <w:rPr>
          <w:lang w:eastAsia="en-AU"/>
        </w:rPr>
        <w:t xml:space="preserve">teachers and </w:t>
      </w:r>
      <w:r w:rsidR="001778A8">
        <w:rPr>
          <w:lang w:eastAsia="en-AU"/>
        </w:rPr>
        <w:t xml:space="preserve">leaders owing to the greater </w:t>
      </w:r>
      <w:r w:rsidR="00A26988">
        <w:rPr>
          <w:lang w:eastAsia="en-AU"/>
        </w:rPr>
        <w:t>professional difficulties</w:t>
      </w:r>
      <w:r w:rsidR="005B67AF">
        <w:rPr>
          <w:lang w:eastAsia="en-AU"/>
        </w:rPr>
        <w:t>,</w:t>
      </w:r>
      <w:r w:rsidR="00A26988">
        <w:rPr>
          <w:lang w:eastAsia="en-AU"/>
        </w:rPr>
        <w:t xml:space="preserve"> </w:t>
      </w:r>
      <w:r w:rsidR="00DE71C3" w:rsidRPr="0086054F">
        <w:rPr>
          <w:lang w:eastAsia="en-AU"/>
        </w:rPr>
        <w:t>and less likely to attract additional private resources</w:t>
      </w:r>
      <w:r w:rsidR="00DF6BAB">
        <w:rPr>
          <w:lang w:eastAsia="en-AU"/>
        </w:rPr>
        <w:t xml:space="preserve"> (</w:t>
      </w:r>
      <w:r w:rsidR="005B67AF">
        <w:rPr>
          <w:lang w:eastAsia="en-AU"/>
        </w:rPr>
        <w:t>i.e.</w:t>
      </w:r>
      <w:r w:rsidR="005C1B72">
        <w:rPr>
          <w:lang w:eastAsia="en-AU"/>
        </w:rPr>
        <w:t>,</w:t>
      </w:r>
      <w:r w:rsidR="005B67AF">
        <w:rPr>
          <w:lang w:eastAsia="en-AU"/>
        </w:rPr>
        <w:t xml:space="preserve"> </w:t>
      </w:r>
      <w:r w:rsidR="00DF6BAB">
        <w:rPr>
          <w:lang w:eastAsia="en-AU"/>
        </w:rPr>
        <w:t>from advantaged families)</w:t>
      </w:r>
      <w:r w:rsidR="00AF5B95" w:rsidRPr="00F6031B">
        <w:rPr>
          <w:lang w:eastAsia="en-AU"/>
        </w:rPr>
        <w:t>.</w:t>
      </w:r>
      <w:r w:rsidR="00021B4E" w:rsidRPr="00F6031B">
        <w:rPr>
          <w:rStyle w:val="FootnoteReference"/>
          <w:lang w:eastAsia="en-AU"/>
        </w:rPr>
        <w:footnoteReference w:id="2"/>
      </w:r>
      <w:r w:rsidR="003431E8" w:rsidRPr="0086054F">
        <w:rPr>
          <w:lang w:eastAsia="en-AU"/>
        </w:rPr>
        <w:t xml:space="preserve"> </w:t>
      </w:r>
    </w:p>
    <w:p w14:paraId="3044F097" w14:textId="403AE795" w:rsidR="00D82A82" w:rsidRPr="0086054F" w:rsidRDefault="00F5188B" w:rsidP="00DD4405">
      <w:pPr>
        <w:rPr>
          <w:lang w:eastAsia="en-AU"/>
        </w:rPr>
      </w:pPr>
      <w:r w:rsidRPr="0086054F">
        <w:rPr>
          <w:lang w:eastAsia="en-AU"/>
        </w:rPr>
        <w:t xml:space="preserve">The </w:t>
      </w:r>
      <w:r w:rsidR="00782D59" w:rsidRPr="0086054F">
        <w:rPr>
          <w:lang w:eastAsia="en-AU"/>
        </w:rPr>
        <w:t xml:space="preserve">growing </w:t>
      </w:r>
      <w:r w:rsidR="007521E9">
        <w:rPr>
          <w:lang w:eastAsia="en-AU"/>
        </w:rPr>
        <w:t>socio-</w:t>
      </w:r>
      <w:r w:rsidR="00782D59" w:rsidRPr="0086054F">
        <w:rPr>
          <w:lang w:eastAsia="en-AU"/>
        </w:rPr>
        <w:t xml:space="preserve">economic segregation </w:t>
      </w:r>
      <w:r w:rsidR="00C10B12" w:rsidRPr="0086054F">
        <w:rPr>
          <w:lang w:eastAsia="en-AU"/>
        </w:rPr>
        <w:t>among</w:t>
      </w:r>
      <w:r w:rsidR="000B671F" w:rsidRPr="0086054F">
        <w:rPr>
          <w:lang w:eastAsia="en-AU"/>
        </w:rPr>
        <w:t xml:space="preserve"> Australian </w:t>
      </w:r>
      <w:r w:rsidR="00C10B12" w:rsidRPr="0086054F">
        <w:rPr>
          <w:lang w:eastAsia="en-AU"/>
        </w:rPr>
        <w:t xml:space="preserve">schools and school communities </w:t>
      </w:r>
      <w:r w:rsidR="00CA3343">
        <w:rPr>
          <w:lang w:eastAsia="en-AU"/>
        </w:rPr>
        <w:t>i</w:t>
      </w:r>
      <w:r w:rsidR="00C10B12" w:rsidRPr="0086054F">
        <w:rPr>
          <w:lang w:eastAsia="en-AU"/>
        </w:rPr>
        <w:t xml:space="preserve">s </w:t>
      </w:r>
      <w:r w:rsidR="007606E3" w:rsidRPr="0086054F">
        <w:rPr>
          <w:lang w:eastAsia="en-AU"/>
        </w:rPr>
        <w:t>correlated with a</w:t>
      </w:r>
      <w:r w:rsidR="00E9474B" w:rsidRPr="0086054F">
        <w:rPr>
          <w:lang w:eastAsia="en-AU"/>
        </w:rPr>
        <w:t xml:space="preserve"> </w:t>
      </w:r>
      <w:r w:rsidR="00F7693F" w:rsidRPr="0086054F">
        <w:rPr>
          <w:lang w:eastAsia="en-AU"/>
        </w:rPr>
        <w:t xml:space="preserve">sharply declining </w:t>
      </w:r>
      <w:r w:rsidR="00A07CFE" w:rsidRPr="0086054F">
        <w:rPr>
          <w:lang w:eastAsia="en-AU"/>
        </w:rPr>
        <w:t>share of low SES students</w:t>
      </w:r>
      <w:r w:rsidR="002029EE" w:rsidRPr="0086054F">
        <w:rPr>
          <w:lang w:eastAsia="en-AU"/>
        </w:rPr>
        <w:t xml:space="preserve"> and schools</w:t>
      </w:r>
      <w:r w:rsidR="00A07CFE" w:rsidRPr="0086054F">
        <w:rPr>
          <w:lang w:eastAsia="en-AU"/>
        </w:rPr>
        <w:t xml:space="preserve"> achieving top Year 12 results, </w:t>
      </w:r>
      <w:r w:rsidR="002029EE" w:rsidRPr="0086054F">
        <w:rPr>
          <w:lang w:eastAsia="en-AU"/>
        </w:rPr>
        <w:t xml:space="preserve">and a decline in the reading performance of Australian </w:t>
      </w:r>
      <w:r w:rsidR="00CD21E8" w:rsidRPr="0086054F">
        <w:rPr>
          <w:lang w:eastAsia="en-AU"/>
        </w:rPr>
        <w:t xml:space="preserve">disadvantaged </w:t>
      </w:r>
      <w:r w:rsidR="00CD21E8" w:rsidRPr="00CD5A81">
        <w:rPr>
          <w:iCs/>
          <w:lang w:eastAsia="en-AU"/>
        </w:rPr>
        <w:t>and</w:t>
      </w:r>
      <w:r w:rsidR="00CD21E8" w:rsidRPr="0086054F">
        <w:rPr>
          <w:i/>
          <w:lang w:eastAsia="en-AU"/>
        </w:rPr>
        <w:t xml:space="preserve"> </w:t>
      </w:r>
      <w:r w:rsidR="00CD21E8" w:rsidRPr="0086054F">
        <w:rPr>
          <w:lang w:eastAsia="en-AU"/>
        </w:rPr>
        <w:t xml:space="preserve">advantaged </w:t>
      </w:r>
      <w:r w:rsidR="002029EE" w:rsidRPr="0086054F">
        <w:rPr>
          <w:lang w:eastAsia="en-AU"/>
        </w:rPr>
        <w:t xml:space="preserve">students </w:t>
      </w:r>
      <w:r w:rsidR="00CD21E8" w:rsidRPr="0086054F">
        <w:rPr>
          <w:lang w:eastAsia="en-AU"/>
        </w:rPr>
        <w:t>between 2009 and 2018.</w:t>
      </w:r>
      <w:r w:rsidR="00CD21E8" w:rsidRPr="0086054F">
        <w:rPr>
          <w:rStyle w:val="FootnoteReference"/>
          <w:lang w:eastAsia="en-AU"/>
        </w:rPr>
        <w:footnoteReference w:id="3"/>
      </w:r>
      <w:r w:rsidR="0076628A" w:rsidRPr="0086054F">
        <w:rPr>
          <w:lang w:eastAsia="en-AU"/>
        </w:rPr>
        <w:t xml:space="preserve"> </w:t>
      </w:r>
      <w:r w:rsidR="00A735F1">
        <w:rPr>
          <w:lang w:eastAsia="en-AU"/>
        </w:rPr>
        <w:t xml:space="preserve">In other words, </w:t>
      </w:r>
      <w:r w:rsidR="00FE37FB">
        <w:rPr>
          <w:lang w:eastAsia="en-AU"/>
        </w:rPr>
        <w:t xml:space="preserve">this </w:t>
      </w:r>
      <w:r w:rsidR="004F0D37">
        <w:rPr>
          <w:lang w:eastAsia="en-AU"/>
        </w:rPr>
        <w:t>increasing residualisa</w:t>
      </w:r>
      <w:r w:rsidR="0000651C">
        <w:rPr>
          <w:lang w:eastAsia="en-AU"/>
        </w:rPr>
        <w:t>ti</w:t>
      </w:r>
      <w:r w:rsidR="004F0D37">
        <w:rPr>
          <w:lang w:eastAsia="en-AU"/>
        </w:rPr>
        <w:t xml:space="preserve">on is </w:t>
      </w:r>
      <w:r w:rsidR="009846E7">
        <w:rPr>
          <w:lang w:eastAsia="en-AU"/>
        </w:rPr>
        <w:t xml:space="preserve">harming </w:t>
      </w:r>
      <w:r w:rsidR="00A735F1">
        <w:rPr>
          <w:lang w:eastAsia="en-AU"/>
        </w:rPr>
        <w:t>students of all backgrounds</w:t>
      </w:r>
      <w:r w:rsidR="0030117B">
        <w:rPr>
          <w:lang w:eastAsia="en-AU"/>
        </w:rPr>
        <w:t>, limiting their potential</w:t>
      </w:r>
      <w:r w:rsidR="0000651C">
        <w:rPr>
          <w:lang w:eastAsia="en-AU"/>
        </w:rPr>
        <w:t>, with knock-on effects for national productivity a</w:t>
      </w:r>
      <w:r w:rsidR="004D7980">
        <w:rPr>
          <w:lang w:eastAsia="en-AU"/>
        </w:rPr>
        <w:t>nd social cohesion.</w:t>
      </w:r>
      <w:r w:rsidR="00A735F1" w:rsidRPr="0086054F">
        <w:rPr>
          <w:lang w:eastAsia="en-AU"/>
        </w:rPr>
        <w:t xml:space="preserve"> </w:t>
      </w:r>
      <w:r w:rsidR="00771AA1" w:rsidRPr="0086054F">
        <w:rPr>
          <w:lang w:eastAsia="en-AU"/>
        </w:rPr>
        <w:t>Conversely, m</w:t>
      </w:r>
      <w:r w:rsidR="00A47882" w:rsidRPr="0086054F">
        <w:rPr>
          <w:lang w:eastAsia="en-AU"/>
        </w:rPr>
        <w:t xml:space="preserve">odelling </w:t>
      </w:r>
      <w:r w:rsidR="000C646C" w:rsidRPr="0086054F">
        <w:rPr>
          <w:lang w:eastAsia="en-AU"/>
        </w:rPr>
        <w:t xml:space="preserve">based on </w:t>
      </w:r>
      <w:r w:rsidR="004044C9" w:rsidRPr="0086054F">
        <w:rPr>
          <w:lang w:eastAsia="en-AU"/>
        </w:rPr>
        <w:t xml:space="preserve">evidence about positive </w:t>
      </w:r>
      <w:r w:rsidR="000C646C" w:rsidRPr="0086054F">
        <w:rPr>
          <w:lang w:eastAsia="en-AU"/>
        </w:rPr>
        <w:t xml:space="preserve">peer effects </w:t>
      </w:r>
      <w:r w:rsidR="00A47882" w:rsidRPr="0086054F">
        <w:rPr>
          <w:lang w:eastAsia="en-AU"/>
        </w:rPr>
        <w:t xml:space="preserve">suggests that </w:t>
      </w:r>
      <w:r w:rsidR="00F319E3" w:rsidRPr="0086054F">
        <w:rPr>
          <w:lang w:eastAsia="en-AU"/>
        </w:rPr>
        <w:t xml:space="preserve">a socio-economically </w:t>
      </w:r>
      <w:r w:rsidR="00F6407E">
        <w:rPr>
          <w:lang w:eastAsia="en-AU"/>
        </w:rPr>
        <w:t>mixed</w:t>
      </w:r>
      <w:r w:rsidR="00F6407E" w:rsidRPr="0086054F">
        <w:rPr>
          <w:lang w:eastAsia="en-AU"/>
        </w:rPr>
        <w:t xml:space="preserve"> </w:t>
      </w:r>
      <w:r w:rsidR="00F319E3" w:rsidRPr="0086054F">
        <w:rPr>
          <w:lang w:eastAsia="en-AU"/>
        </w:rPr>
        <w:t>classroom will lift the education outcomes of lower-performing disadvantaged students.</w:t>
      </w:r>
      <w:r w:rsidR="00F319E3" w:rsidRPr="0086054F">
        <w:rPr>
          <w:rStyle w:val="FootnoteReference"/>
          <w:lang w:eastAsia="en-AU"/>
        </w:rPr>
        <w:footnoteReference w:id="4"/>
      </w:r>
      <w:r w:rsidR="00A47882" w:rsidRPr="0086054F">
        <w:rPr>
          <w:lang w:eastAsia="en-AU"/>
        </w:rPr>
        <w:t xml:space="preserve"> </w:t>
      </w:r>
    </w:p>
    <w:p w14:paraId="1BF51A14" w14:textId="77777777" w:rsidR="007521E9" w:rsidRPr="007521E9" w:rsidRDefault="004044C9" w:rsidP="00DD4405">
      <w:pPr>
        <w:rPr>
          <w:lang w:eastAsia="en-AU"/>
        </w:rPr>
      </w:pPr>
      <w:r w:rsidRPr="0086054F">
        <w:rPr>
          <w:lang w:eastAsia="en-AU"/>
        </w:rPr>
        <w:t xml:space="preserve">The purpose of this research is to explore the hypothesis about the </w:t>
      </w:r>
      <w:r w:rsidR="006E2EBF" w:rsidRPr="0086054F">
        <w:rPr>
          <w:lang w:eastAsia="en-AU"/>
        </w:rPr>
        <w:t xml:space="preserve">extent to which </w:t>
      </w:r>
      <w:r w:rsidR="006C0096" w:rsidRPr="0086054F">
        <w:rPr>
          <w:lang w:eastAsia="en-AU"/>
        </w:rPr>
        <w:t>socio-economic desegregation leads to improved outcomes for disadvantaged students</w:t>
      </w:r>
      <w:r w:rsidR="00573228" w:rsidRPr="0086054F">
        <w:rPr>
          <w:lang w:eastAsia="en-AU"/>
        </w:rPr>
        <w:t xml:space="preserve"> </w:t>
      </w:r>
      <w:r w:rsidR="007521E9">
        <w:rPr>
          <w:lang w:eastAsia="en-AU"/>
        </w:rPr>
        <w:t xml:space="preserve">(with no adverse consequences for their advantaged classmates) </w:t>
      </w:r>
      <w:r w:rsidR="00573228" w:rsidRPr="0086054F">
        <w:rPr>
          <w:lang w:eastAsia="en-AU"/>
        </w:rPr>
        <w:t xml:space="preserve">by </w:t>
      </w:r>
      <w:r w:rsidR="00F7798C" w:rsidRPr="0086054F">
        <w:rPr>
          <w:lang w:eastAsia="en-AU"/>
        </w:rPr>
        <w:t xml:space="preserve">looking at </w:t>
      </w:r>
      <w:r w:rsidR="003240BC" w:rsidRPr="0086054F">
        <w:rPr>
          <w:lang w:eastAsia="en-AU"/>
        </w:rPr>
        <w:t xml:space="preserve">policy interventions </w:t>
      </w:r>
      <w:r w:rsidR="00C318B5" w:rsidRPr="0086054F">
        <w:rPr>
          <w:lang w:eastAsia="en-AU"/>
        </w:rPr>
        <w:t xml:space="preserve">that aim to create more socially mixed classrooms. </w:t>
      </w:r>
      <w:r w:rsidR="006F4CA9" w:rsidRPr="0086054F">
        <w:rPr>
          <w:lang w:eastAsia="en-AU"/>
        </w:rPr>
        <w:t>Key questions driving our inquiry</w:t>
      </w:r>
      <w:r w:rsidR="0006639B" w:rsidRPr="0086054F">
        <w:rPr>
          <w:lang w:eastAsia="en-AU"/>
        </w:rPr>
        <w:t xml:space="preserve"> concern</w:t>
      </w:r>
      <w:r w:rsidR="00AC2002" w:rsidRPr="0086054F">
        <w:rPr>
          <w:lang w:eastAsia="en-AU"/>
        </w:rPr>
        <w:t xml:space="preserve">: </w:t>
      </w:r>
    </w:p>
    <w:p w14:paraId="1557DFA6" w14:textId="5C0CCFAA" w:rsidR="007521E9" w:rsidRPr="007521E9" w:rsidRDefault="00181412" w:rsidP="00E45BFE">
      <w:pPr>
        <w:pStyle w:val="Bullet"/>
        <w:numPr>
          <w:ilvl w:val="0"/>
          <w:numId w:val="28"/>
        </w:numPr>
      </w:pPr>
      <w:r>
        <w:t>W</w:t>
      </w:r>
      <w:r w:rsidR="00AC2002" w:rsidRPr="007521E9">
        <w:t>hich interventions have a positive effect on diversity and education outcomes</w:t>
      </w:r>
      <w:r w:rsidR="00931EDB">
        <w:t>?</w:t>
      </w:r>
    </w:p>
    <w:p w14:paraId="3123A6CC" w14:textId="4CC0C1A0" w:rsidR="007521E9" w:rsidRPr="007521E9" w:rsidRDefault="00080276" w:rsidP="00E45BFE">
      <w:pPr>
        <w:pStyle w:val="Bullet"/>
        <w:numPr>
          <w:ilvl w:val="0"/>
          <w:numId w:val="28"/>
        </w:numPr>
      </w:pPr>
      <w:r>
        <w:t>Have</w:t>
      </w:r>
      <w:r w:rsidR="007826B1" w:rsidRPr="007521E9">
        <w:t xml:space="preserve"> there been unintended consequences</w:t>
      </w:r>
      <w:r w:rsidR="00931EDB">
        <w:t>?</w:t>
      </w:r>
    </w:p>
    <w:p w14:paraId="2E09CEBD" w14:textId="7B287D63" w:rsidR="004044C9" w:rsidRPr="007521E9" w:rsidRDefault="00181412" w:rsidP="00E45BFE">
      <w:pPr>
        <w:pStyle w:val="Bullet"/>
        <w:numPr>
          <w:ilvl w:val="0"/>
          <w:numId w:val="28"/>
        </w:numPr>
      </w:pPr>
      <w:r>
        <w:lastRenderedPageBreak/>
        <w:t>W</w:t>
      </w:r>
      <w:r w:rsidR="00023057" w:rsidRPr="007521E9">
        <w:t xml:space="preserve">hat </w:t>
      </w:r>
      <w:r w:rsidR="00B521AD" w:rsidRPr="0086054F">
        <w:t xml:space="preserve">might be </w:t>
      </w:r>
      <w:r w:rsidR="00922427" w:rsidRPr="0086054F">
        <w:t xml:space="preserve">transferable to an Australian context to </w:t>
      </w:r>
      <w:r w:rsidR="00D15D13" w:rsidRPr="0086054F">
        <w:t>reverse the residualisation trend</w:t>
      </w:r>
      <w:r w:rsidR="00931EDB">
        <w:t>?</w:t>
      </w:r>
    </w:p>
    <w:p w14:paraId="63CC6F57" w14:textId="12526C4B" w:rsidR="00D37541" w:rsidRDefault="00DD4405" w:rsidP="00DD4405">
      <w:pPr>
        <w:pStyle w:val="Heading5"/>
      </w:pPr>
      <w:r>
        <w:t xml:space="preserve">School systems can </w:t>
      </w:r>
      <w:r w:rsidR="009E302C">
        <w:t>counter</w:t>
      </w:r>
      <w:r>
        <w:t xml:space="preserve"> this phenomenon </w:t>
      </w:r>
      <w:r w:rsidR="00AF5B95">
        <w:t>through targeted policy interventions</w:t>
      </w:r>
    </w:p>
    <w:p w14:paraId="21536FDB" w14:textId="5A73B07D" w:rsidR="00D15D13" w:rsidRPr="0086054F" w:rsidRDefault="00D37541" w:rsidP="00BB1B59">
      <w:pPr>
        <w:rPr>
          <w:lang w:eastAsia="en-AU"/>
        </w:rPr>
      </w:pPr>
      <w:r w:rsidRPr="0086054F">
        <w:rPr>
          <w:lang w:eastAsia="en-AU"/>
        </w:rPr>
        <w:t>Analysis of PISA data suggests that school systems can mitigate the impact of socio-economic disadvantage on a child’s learning and life outcomes.</w:t>
      </w:r>
      <w:r w:rsidRPr="0086054F">
        <w:rPr>
          <w:rStyle w:val="FootnoteReference"/>
          <w:lang w:eastAsia="en-AU"/>
        </w:rPr>
        <w:footnoteReference w:id="5"/>
      </w:r>
      <w:r w:rsidR="005017F2">
        <w:rPr>
          <w:rStyle w:val="CommentReference"/>
        </w:rPr>
        <w:t xml:space="preserve"> </w:t>
      </w:r>
      <w:r w:rsidR="00C36E0F" w:rsidRPr="0086054F">
        <w:rPr>
          <w:lang w:eastAsia="en-AU"/>
        </w:rPr>
        <w:t>High-equity</w:t>
      </w:r>
      <w:r w:rsidR="00D72935" w:rsidRPr="0086054F">
        <w:rPr>
          <w:lang w:eastAsia="en-AU"/>
        </w:rPr>
        <w:t xml:space="preserve"> countries </w:t>
      </w:r>
      <w:r w:rsidR="00C36E0F" w:rsidRPr="0086054F">
        <w:rPr>
          <w:lang w:eastAsia="en-AU"/>
        </w:rPr>
        <w:t>have</w:t>
      </w:r>
      <w:r w:rsidR="00D72935" w:rsidRPr="0086054F">
        <w:rPr>
          <w:lang w:eastAsia="en-AU"/>
        </w:rPr>
        <w:t xml:space="preserve"> a smaller gap between most and least advantaged children than there is between highest and lowest mean SES status.</w:t>
      </w:r>
      <w:r w:rsidR="00D72935" w:rsidRPr="0086054F">
        <w:rPr>
          <w:rStyle w:val="FootnoteReference"/>
          <w:lang w:eastAsia="en-AU"/>
        </w:rPr>
        <w:footnoteReference w:id="6"/>
      </w:r>
      <w:r w:rsidR="00D72935" w:rsidRPr="0086054F">
        <w:rPr>
          <w:lang w:eastAsia="en-AU"/>
        </w:rPr>
        <w:t xml:space="preserve"> </w:t>
      </w:r>
      <w:r w:rsidR="00D15D13" w:rsidRPr="0086054F">
        <w:rPr>
          <w:lang w:eastAsia="en-AU"/>
        </w:rPr>
        <w:t xml:space="preserve">Evidence suggests also that creating more diverse </w:t>
      </w:r>
      <w:r w:rsidR="005F4375">
        <w:rPr>
          <w:lang w:eastAsia="en-AU"/>
        </w:rPr>
        <w:t>and inclusive</w:t>
      </w:r>
      <w:r w:rsidR="00D15D13" w:rsidRPr="0086054F">
        <w:rPr>
          <w:lang w:eastAsia="en-AU"/>
        </w:rPr>
        <w:t xml:space="preserve"> classrooms can i</w:t>
      </w:r>
      <w:r w:rsidR="00D15D13" w:rsidRPr="00D15D13">
        <w:rPr>
          <w:lang w:eastAsia="en-AU"/>
        </w:rPr>
        <w:t>mprove both the sense of belong</w:t>
      </w:r>
      <w:r w:rsidR="00175790">
        <w:rPr>
          <w:lang w:eastAsia="en-AU"/>
        </w:rPr>
        <w:t>ing</w:t>
      </w:r>
      <w:r w:rsidR="00D15D13" w:rsidRPr="00D15D13">
        <w:rPr>
          <w:lang w:eastAsia="en-AU"/>
        </w:rPr>
        <w:t>ness and wellbeing of students from minority cohorts or disadvantaged backgrounds</w:t>
      </w:r>
      <w:r w:rsidR="00532EC2">
        <w:rPr>
          <w:lang w:eastAsia="en-AU"/>
        </w:rPr>
        <w:t xml:space="preserve">, which </w:t>
      </w:r>
      <w:r w:rsidR="00E36346">
        <w:rPr>
          <w:lang w:eastAsia="en-AU"/>
        </w:rPr>
        <w:t xml:space="preserve">combined </w:t>
      </w:r>
      <w:r w:rsidR="004C5734">
        <w:rPr>
          <w:lang w:eastAsia="en-AU"/>
        </w:rPr>
        <w:t xml:space="preserve">with the </w:t>
      </w:r>
      <w:r w:rsidR="002818FD">
        <w:rPr>
          <w:lang w:eastAsia="en-AU"/>
        </w:rPr>
        <w:t xml:space="preserve">academic benefits helps children achieve their </w:t>
      </w:r>
      <w:r w:rsidR="00A37999">
        <w:rPr>
          <w:lang w:eastAsia="en-AU"/>
        </w:rPr>
        <w:t>potential</w:t>
      </w:r>
      <w:r w:rsidR="00B30CBE">
        <w:rPr>
          <w:lang w:eastAsia="en-AU"/>
        </w:rPr>
        <w:t xml:space="preserve"> as well as foster social-emotional growth, self-esteem and peer acceptance</w:t>
      </w:r>
      <w:r w:rsidR="00D15D13">
        <w:rPr>
          <w:lang w:eastAsia="en-AU"/>
        </w:rPr>
        <w:t>.</w:t>
      </w:r>
      <w:r w:rsidR="00C114A2">
        <w:rPr>
          <w:rStyle w:val="FootnoteReference"/>
          <w:lang w:eastAsia="en-AU"/>
        </w:rPr>
        <w:footnoteReference w:id="7"/>
      </w:r>
      <w:r w:rsidR="00D15D13">
        <w:rPr>
          <w:lang w:eastAsia="en-AU"/>
        </w:rPr>
        <w:t xml:space="preserve"> Importantly, such </w:t>
      </w:r>
      <w:r w:rsidR="00D15D13" w:rsidRPr="00D15D13">
        <w:rPr>
          <w:lang w:eastAsia="en-AU"/>
        </w:rPr>
        <w:t xml:space="preserve">improvements do not necessarily come at the </w:t>
      </w:r>
      <w:r w:rsidR="00166536">
        <w:rPr>
          <w:lang w:eastAsia="en-AU"/>
        </w:rPr>
        <w:t xml:space="preserve">cost of the wellbeing or educational </w:t>
      </w:r>
      <w:r w:rsidR="00D15D13" w:rsidRPr="00D15D13">
        <w:rPr>
          <w:lang w:eastAsia="en-AU"/>
        </w:rPr>
        <w:t xml:space="preserve">achievement of advantaged students in the same </w:t>
      </w:r>
      <w:r w:rsidR="007277E1">
        <w:rPr>
          <w:lang w:eastAsia="en-AU"/>
        </w:rPr>
        <w:t>school or</w:t>
      </w:r>
      <w:r w:rsidR="00D15D13" w:rsidRPr="00D15D13">
        <w:rPr>
          <w:lang w:eastAsia="en-AU"/>
        </w:rPr>
        <w:t xml:space="preserve"> classroom.</w:t>
      </w:r>
      <w:r w:rsidR="00430548">
        <w:rPr>
          <w:rStyle w:val="FootnoteReference"/>
          <w:lang w:eastAsia="en-AU"/>
        </w:rPr>
        <w:footnoteReference w:id="8"/>
      </w:r>
      <w:r w:rsidR="00B20CF6">
        <w:rPr>
          <w:lang w:eastAsia="en-AU"/>
        </w:rPr>
        <w:t xml:space="preserve"> </w:t>
      </w:r>
    </w:p>
    <w:p w14:paraId="5E3A3846" w14:textId="5CE81330" w:rsidR="00835682" w:rsidRPr="0086054F" w:rsidRDefault="00856CCA" w:rsidP="00835682">
      <w:pPr>
        <w:rPr>
          <w:lang w:eastAsia="en-AU"/>
        </w:rPr>
      </w:pPr>
      <w:r w:rsidRPr="0086054F">
        <w:rPr>
          <w:lang w:eastAsia="en-AU"/>
        </w:rPr>
        <w:t xml:space="preserve">These </w:t>
      </w:r>
      <w:r w:rsidR="003C33F9" w:rsidRPr="0086054F">
        <w:rPr>
          <w:lang w:eastAsia="en-AU"/>
        </w:rPr>
        <w:t xml:space="preserve">results </w:t>
      </w:r>
      <w:r w:rsidR="00AE733B" w:rsidRPr="0086054F">
        <w:rPr>
          <w:lang w:eastAsia="en-AU"/>
        </w:rPr>
        <w:t>have been achieved t</w:t>
      </w:r>
      <w:r w:rsidR="00D37541" w:rsidRPr="0086054F">
        <w:rPr>
          <w:lang w:eastAsia="en-AU"/>
        </w:rPr>
        <w:t>hrough various policy interventions</w:t>
      </w:r>
      <w:r w:rsidR="003963B7" w:rsidRPr="0086054F">
        <w:rPr>
          <w:lang w:eastAsia="en-AU"/>
        </w:rPr>
        <w:t xml:space="preserve"> – some historic</w:t>
      </w:r>
      <w:r w:rsidR="00F643B8" w:rsidRPr="0086054F">
        <w:rPr>
          <w:lang w:eastAsia="en-AU"/>
        </w:rPr>
        <w:t xml:space="preserve"> and organic, and others more recent and deliberate</w:t>
      </w:r>
      <w:r w:rsidR="00CF31CB" w:rsidRPr="0086054F">
        <w:rPr>
          <w:lang w:eastAsia="en-AU"/>
        </w:rPr>
        <w:t xml:space="preserve"> –</w:t>
      </w:r>
      <w:r w:rsidR="00C15395">
        <w:rPr>
          <w:lang w:eastAsia="en-AU"/>
        </w:rPr>
        <w:t xml:space="preserve"> </w:t>
      </w:r>
      <w:r w:rsidR="00166536" w:rsidRPr="0086054F">
        <w:rPr>
          <w:lang w:eastAsia="en-AU"/>
        </w:rPr>
        <w:t xml:space="preserve">at </w:t>
      </w:r>
      <w:r w:rsidR="00CF31CB" w:rsidRPr="0086054F">
        <w:rPr>
          <w:lang w:eastAsia="en-AU"/>
        </w:rPr>
        <w:t xml:space="preserve">the </w:t>
      </w:r>
      <w:r w:rsidR="00AF5B95" w:rsidRPr="0086054F">
        <w:rPr>
          <w:lang w:eastAsia="en-AU"/>
        </w:rPr>
        <w:t>national</w:t>
      </w:r>
      <w:r w:rsidR="00820A88" w:rsidRPr="0086054F">
        <w:rPr>
          <w:lang w:eastAsia="en-AU"/>
        </w:rPr>
        <w:t xml:space="preserve">, </w:t>
      </w:r>
      <w:r w:rsidR="00AF5B95" w:rsidRPr="0086054F">
        <w:rPr>
          <w:lang w:eastAsia="en-AU"/>
        </w:rPr>
        <w:t>subnational</w:t>
      </w:r>
      <w:r w:rsidR="00CF31CB" w:rsidRPr="0086054F">
        <w:rPr>
          <w:lang w:eastAsia="en-AU"/>
        </w:rPr>
        <w:t xml:space="preserve"> </w:t>
      </w:r>
      <w:r w:rsidR="00AF5B95" w:rsidRPr="0086054F">
        <w:rPr>
          <w:lang w:eastAsia="en-AU"/>
        </w:rPr>
        <w:t>levels</w:t>
      </w:r>
      <w:r w:rsidR="00820A88" w:rsidRPr="0086054F">
        <w:rPr>
          <w:lang w:eastAsia="en-AU"/>
        </w:rPr>
        <w:t xml:space="preserve">, </w:t>
      </w:r>
      <w:r w:rsidR="004E1DA7" w:rsidRPr="0086054F">
        <w:rPr>
          <w:lang w:eastAsia="en-AU"/>
        </w:rPr>
        <w:t xml:space="preserve">district </w:t>
      </w:r>
      <w:r w:rsidR="00820A88" w:rsidRPr="0086054F">
        <w:rPr>
          <w:lang w:eastAsia="en-AU"/>
        </w:rPr>
        <w:t>or</w:t>
      </w:r>
      <w:r w:rsidR="004E1DA7" w:rsidRPr="0086054F">
        <w:rPr>
          <w:lang w:eastAsia="en-AU"/>
        </w:rPr>
        <w:t xml:space="preserve"> </w:t>
      </w:r>
      <w:r w:rsidR="005E299A" w:rsidRPr="0086054F">
        <w:rPr>
          <w:lang w:eastAsia="en-AU"/>
        </w:rPr>
        <w:t>school level (an example of the latter is ‘de-tracking’ students)</w:t>
      </w:r>
      <w:r w:rsidR="00820A88" w:rsidRPr="0086054F">
        <w:rPr>
          <w:lang w:eastAsia="en-AU"/>
        </w:rPr>
        <w:t xml:space="preserve">. Of note is that many of the deliberate interventions were targeted at improving </w:t>
      </w:r>
      <w:r w:rsidR="003068D5" w:rsidRPr="0086054F">
        <w:rPr>
          <w:lang w:eastAsia="en-AU"/>
        </w:rPr>
        <w:t xml:space="preserve">social diversity as a </w:t>
      </w:r>
      <w:r w:rsidR="00E32DE2" w:rsidRPr="0086054F">
        <w:rPr>
          <w:lang w:eastAsia="en-AU"/>
        </w:rPr>
        <w:t>public good in its own right</w:t>
      </w:r>
      <w:r w:rsidR="004351C5" w:rsidRPr="0086054F">
        <w:rPr>
          <w:lang w:eastAsia="en-AU"/>
        </w:rPr>
        <w:t>, without necessarily forming part of a more comprehensive strategy to improve</w:t>
      </w:r>
      <w:r w:rsidR="003656C1" w:rsidRPr="0086054F">
        <w:rPr>
          <w:lang w:eastAsia="en-AU"/>
        </w:rPr>
        <w:t xml:space="preserve"> </w:t>
      </w:r>
      <w:r w:rsidR="0092173E" w:rsidRPr="0086054F">
        <w:rPr>
          <w:lang w:eastAsia="en-AU"/>
        </w:rPr>
        <w:t>education outcomes</w:t>
      </w:r>
      <w:r w:rsidR="00D15D13" w:rsidRPr="0086054F">
        <w:rPr>
          <w:lang w:eastAsia="en-AU"/>
        </w:rPr>
        <w:t>.</w:t>
      </w:r>
      <w:r w:rsidR="00B6787B" w:rsidRPr="0086054F">
        <w:rPr>
          <w:lang w:eastAsia="en-AU"/>
        </w:rPr>
        <w:t xml:space="preserve"> Part of our challenge in this research is to assess w</w:t>
      </w:r>
      <w:r w:rsidR="000B381B">
        <w:rPr>
          <w:lang w:eastAsia="en-AU"/>
        </w:rPr>
        <w:t>hether</w:t>
      </w:r>
      <w:r w:rsidR="00B6787B" w:rsidRPr="0086054F">
        <w:rPr>
          <w:lang w:eastAsia="en-AU"/>
        </w:rPr>
        <w:t xml:space="preserve"> the improved social diversity was accompanied by improved education outcomes for all students</w:t>
      </w:r>
      <w:r w:rsidR="00BF2229" w:rsidRPr="0086054F">
        <w:rPr>
          <w:lang w:eastAsia="en-AU"/>
        </w:rPr>
        <w:t>.</w:t>
      </w:r>
    </w:p>
    <w:p w14:paraId="2ABD2264" w14:textId="090AD85C" w:rsidR="00835682" w:rsidRDefault="00835682" w:rsidP="00835682">
      <w:pPr>
        <w:pStyle w:val="Heading2"/>
      </w:pPr>
      <w:bookmarkStart w:id="8" w:name="_Toc149052447"/>
      <w:r>
        <w:t>Project appro</w:t>
      </w:r>
      <w:r w:rsidR="00395D7D">
        <w:t>a</w:t>
      </w:r>
      <w:r>
        <w:t>ch</w:t>
      </w:r>
      <w:bookmarkEnd w:id="8"/>
    </w:p>
    <w:tbl>
      <w:tblPr>
        <w:tblStyle w:val="TableGrid"/>
        <w:tblpPr w:leftFromText="180" w:rightFromText="180" w:vertAnchor="text" w:horzAnchor="page" w:tblpX="7450" w:tblpY="14"/>
        <w:tblW w:w="0" w:type="auto"/>
        <w:tblBorders>
          <w:top w:val="none" w:sz="0" w:space="0" w:color="auto"/>
          <w:left w:val="none" w:sz="0" w:space="0" w:color="auto"/>
          <w:bottom w:val="none" w:sz="0" w:space="0" w:color="auto"/>
          <w:right w:val="none" w:sz="0" w:space="0" w:color="auto"/>
          <w:insideV w:val="none" w:sz="0" w:space="0" w:color="auto"/>
        </w:tblBorders>
        <w:tblLook w:val="0620" w:firstRow="1" w:lastRow="0" w:firstColumn="0" w:lastColumn="0" w:noHBand="1" w:noVBand="1"/>
      </w:tblPr>
      <w:tblGrid>
        <w:gridCol w:w="421"/>
        <w:gridCol w:w="3496"/>
      </w:tblGrid>
      <w:tr w:rsidR="00904D42" w14:paraId="22A8D235" w14:textId="77777777" w:rsidTr="00057A8E">
        <w:trPr>
          <w:trHeight w:val="402"/>
        </w:trPr>
        <w:tc>
          <w:tcPr>
            <w:tcW w:w="3780" w:type="dxa"/>
            <w:gridSpan w:val="2"/>
            <w:shd w:val="clear" w:color="auto" w:fill="00264D" w:themeFill="background2"/>
          </w:tcPr>
          <w:p w14:paraId="624C42BA" w14:textId="77777777" w:rsidR="00904D42" w:rsidRDefault="00904D42" w:rsidP="008479BF">
            <w:pPr>
              <w:rPr>
                <w:lang w:eastAsia="en-AU"/>
              </w:rPr>
            </w:pPr>
            <w:r>
              <w:rPr>
                <w:b/>
                <w:bCs/>
                <w:lang w:eastAsia="en-AU"/>
              </w:rPr>
              <w:t>Interviews</w:t>
            </w:r>
            <w:r w:rsidRPr="000C6F5C">
              <w:rPr>
                <w:b/>
                <w:bCs/>
                <w:lang w:eastAsia="en-AU"/>
              </w:rPr>
              <w:t xml:space="preserve">   </w:t>
            </w:r>
          </w:p>
        </w:tc>
      </w:tr>
      <w:tr w:rsidR="00904D42" w14:paraId="66B287FC" w14:textId="77777777" w:rsidTr="00057A8E">
        <w:trPr>
          <w:trHeight w:val="386"/>
        </w:trPr>
        <w:tc>
          <w:tcPr>
            <w:tcW w:w="284" w:type="dxa"/>
            <w:shd w:val="clear" w:color="auto" w:fill="E6E6E1" w:themeFill="accent5"/>
            <w:vAlign w:val="center"/>
          </w:tcPr>
          <w:p w14:paraId="4194FFAA" w14:textId="77777777" w:rsidR="00904D42" w:rsidRPr="001E36A8" w:rsidRDefault="00904D42" w:rsidP="008479BF">
            <w:pPr>
              <w:spacing w:before="60" w:after="60"/>
              <w:rPr>
                <w:lang w:eastAsia="en-AU"/>
              </w:rPr>
            </w:pPr>
            <w:r w:rsidRPr="001E36A8">
              <w:t>1</w:t>
            </w:r>
          </w:p>
        </w:tc>
        <w:tc>
          <w:tcPr>
            <w:tcW w:w="3496" w:type="dxa"/>
            <w:vAlign w:val="center"/>
          </w:tcPr>
          <w:p w14:paraId="0C20F062" w14:textId="64A3B937" w:rsidR="00904D42" w:rsidRPr="009C02A1" w:rsidRDefault="00904D42" w:rsidP="008479BF">
            <w:pPr>
              <w:spacing w:before="60" w:after="60"/>
              <w:rPr>
                <w:lang w:eastAsia="en-AU"/>
              </w:rPr>
            </w:pPr>
            <w:r>
              <w:rPr>
                <w:lang w:eastAsia="en-AU"/>
              </w:rPr>
              <w:t>Andrea</w:t>
            </w:r>
            <w:r w:rsidR="00041C9D">
              <w:rPr>
                <w:lang w:eastAsia="en-AU"/>
              </w:rPr>
              <w:t>s</w:t>
            </w:r>
            <w:r>
              <w:rPr>
                <w:lang w:eastAsia="en-AU"/>
              </w:rPr>
              <w:t xml:space="preserve"> Schleicher (OECD)</w:t>
            </w:r>
          </w:p>
        </w:tc>
      </w:tr>
      <w:tr w:rsidR="00904D42" w14:paraId="7C288E56" w14:textId="77777777" w:rsidTr="00057A8E">
        <w:trPr>
          <w:trHeight w:val="402"/>
        </w:trPr>
        <w:tc>
          <w:tcPr>
            <w:tcW w:w="284" w:type="dxa"/>
            <w:shd w:val="clear" w:color="auto" w:fill="E6E6E1" w:themeFill="accent5"/>
            <w:vAlign w:val="center"/>
          </w:tcPr>
          <w:p w14:paraId="48CEEB6A" w14:textId="49172E06" w:rsidR="00904D42" w:rsidRPr="001E36A8" w:rsidRDefault="00E867E5" w:rsidP="008479BF">
            <w:pPr>
              <w:spacing w:before="60" w:after="60"/>
              <w:rPr>
                <w:lang w:eastAsia="en-AU"/>
              </w:rPr>
            </w:pPr>
            <w:r>
              <w:rPr>
                <w:lang w:eastAsia="en-AU"/>
              </w:rPr>
              <w:t>2</w:t>
            </w:r>
          </w:p>
        </w:tc>
        <w:tc>
          <w:tcPr>
            <w:tcW w:w="3496" w:type="dxa"/>
            <w:vAlign w:val="center"/>
          </w:tcPr>
          <w:p w14:paraId="452A205E" w14:textId="7B325A1A" w:rsidR="00904D42" w:rsidRPr="009C02A1" w:rsidRDefault="00904D42" w:rsidP="008479BF">
            <w:pPr>
              <w:spacing w:before="60" w:after="60"/>
              <w:rPr>
                <w:lang w:eastAsia="en-AU"/>
              </w:rPr>
            </w:pPr>
            <w:r>
              <w:rPr>
                <w:lang w:eastAsia="en-AU"/>
              </w:rPr>
              <w:t>Toby Greany (U</w:t>
            </w:r>
            <w:r w:rsidR="008F344B">
              <w:rPr>
                <w:lang w:eastAsia="en-AU"/>
              </w:rPr>
              <w:t xml:space="preserve">nited </w:t>
            </w:r>
            <w:r>
              <w:rPr>
                <w:lang w:eastAsia="en-AU"/>
              </w:rPr>
              <w:t>K</w:t>
            </w:r>
            <w:r w:rsidR="008F344B">
              <w:rPr>
                <w:lang w:eastAsia="en-AU"/>
              </w:rPr>
              <w:t xml:space="preserve">ingdom, </w:t>
            </w:r>
            <w:r>
              <w:rPr>
                <w:lang w:eastAsia="en-AU"/>
              </w:rPr>
              <w:t>UK)</w:t>
            </w:r>
          </w:p>
        </w:tc>
      </w:tr>
      <w:tr w:rsidR="00904D42" w14:paraId="346DCF15" w14:textId="77777777" w:rsidTr="00057A8E">
        <w:trPr>
          <w:trHeight w:val="386"/>
        </w:trPr>
        <w:tc>
          <w:tcPr>
            <w:tcW w:w="284" w:type="dxa"/>
            <w:shd w:val="clear" w:color="auto" w:fill="E6E6E1" w:themeFill="accent5"/>
            <w:vAlign w:val="center"/>
          </w:tcPr>
          <w:p w14:paraId="3AE9716E" w14:textId="4D9579E4" w:rsidR="00904D42" w:rsidRPr="001E36A8" w:rsidRDefault="00E867E5" w:rsidP="008479BF">
            <w:pPr>
              <w:spacing w:before="60" w:after="60"/>
              <w:rPr>
                <w:lang w:eastAsia="en-AU"/>
              </w:rPr>
            </w:pPr>
            <w:r>
              <w:rPr>
                <w:lang w:eastAsia="en-AU"/>
              </w:rPr>
              <w:t>3</w:t>
            </w:r>
          </w:p>
        </w:tc>
        <w:tc>
          <w:tcPr>
            <w:tcW w:w="3496" w:type="dxa"/>
            <w:vAlign w:val="center"/>
          </w:tcPr>
          <w:p w14:paraId="28B149ED" w14:textId="16B83592" w:rsidR="00904D42" w:rsidRPr="009C02A1" w:rsidRDefault="00904D42" w:rsidP="008479BF">
            <w:pPr>
              <w:spacing w:before="60" w:after="60"/>
              <w:rPr>
                <w:lang w:eastAsia="en-AU"/>
              </w:rPr>
            </w:pPr>
            <w:r>
              <w:rPr>
                <w:lang w:eastAsia="en-AU"/>
              </w:rPr>
              <w:t>Kenneth Wong (</w:t>
            </w:r>
            <w:r w:rsidR="008F344B">
              <w:rPr>
                <w:lang w:eastAsia="en-AU"/>
              </w:rPr>
              <w:t>United States (</w:t>
            </w:r>
            <w:r>
              <w:rPr>
                <w:lang w:eastAsia="en-AU"/>
              </w:rPr>
              <w:t>US)</w:t>
            </w:r>
          </w:p>
        </w:tc>
      </w:tr>
      <w:tr w:rsidR="00904D42" w14:paraId="176F248F" w14:textId="77777777" w:rsidTr="00057A8E">
        <w:trPr>
          <w:trHeight w:val="402"/>
        </w:trPr>
        <w:tc>
          <w:tcPr>
            <w:tcW w:w="284" w:type="dxa"/>
            <w:shd w:val="clear" w:color="auto" w:fill="E6E6E1" w:themeFill="accent5"/>
            <w:vAlign w:val="center"/>
          </w:tcPr>
          <w:p w14:paraId="73AE2521" w14:textId="01CBC390" w:rsidR="00904D42" w:rsidRPr="001E36A8" w:rsidRDefault="00E867E5" w:rsidP="008479BF">
            <w:pPr>
              <w:spacing w:before="60" w:after="60"/>
              <w:rPr>
                <w:lang w:eastAsia="en-AU"/>
              </w:rPr>
            </w:pPr>
            <w:r>
              <w:rPr>
                <w:lang w:eastAsia="en-AU"/>
              </w:rPr>
              <w:t>4</w:t>
            </w:r>
          </w:p>
        </w:tc>
        <w:tc>
          <w:tcPr>
            <w:tcW w:w="3496" w:type="dxa"/>
            <w:vAlign w:val="center"/>
          </w:tcPr>
          <w:p w14:paraId="7AD34E48" w14:textId="229856B7" w:rsidR="00904D42" w:rsidRPr="009C02A1" w:rsidRDefault="00904D42" w:rsidP="008479BF">
            <w:pPr>
              <w:spacing w:before="60" w:after="60"/>
              <w:rPr>
                <w:lang w:eastAsia="en-AU"/>
              </w:rPr>
            </w:pPr>
            <w:r>
              <w:rPr>
                <w:lang w:eastAsia="en-AU"/>
              </w:rPr>
              <w:t>Mike Hollings (N</w:t>
            </w:r>
            <w:r w:rsidR="008F344B">
              <w:rPr>
                <w:lang w:eastAsia="en-AU"/>
              </w:rPr>
              <w:t>ew Zealand (</w:t>
            </w:r>
            <w:r>
              <w:rPr>
                <w:lang w:eastAsia="en-AU"/>
              </w:rPr>
              <w:t>NZ)</w:t>
            </w:r>
          </w:p>
        </w:tc>
      </w:tr>
      <w:tr w:rsidR="00904D42" w14:paraId="3F6CB2A5" w14:textId="77777777" w:rsidTr="00057A8E">
        <w:trPr>
          <w:trHeight w:val="386"/>
        </w:trPr>
        <w:tc>
          <w:tcPr>
            <w:tcW w:w="284" w:type="dxa"/>
            <w:shd w:val="clear" w:color="auto" w:fill="E6E6E1" w:themeFill="accent5"/>
            <w:vAlign w:val="center"/>
          </w:tcPr>
          <w:p w14:paraId="1DDA33EE" w14:textId="63DC68E1" w:rsidR="00904D42" w:rsidRPr="001E36A8" w:rsidRDefault="00E867E5" w:rsidP="008479BF">
            <w:pPr>
              <w:spacing w:before="60" w:after="60"/>
              <w:rPr>
                <w:lang w:eastAsia="en-AU"/>
              </w:rPr>
            </w:pPr>
            <w:r>
              <w:rPr>
                <w:lang w:eastAsia="en-AU"/>
              </w:rPr>
              <w:t>5</w:t>
            </w:r>
          </w:p>
        </w:tc>
        <w:tc>
          <w:tcPr>
            <w:tcW w:w="3496" w:type="dxa"/>
            <w:vAlign w:val="center"/>
          </w:tcPr>
          <w:p w14:paraId="5706EADB" w14:textId="77777777" w:rsidR="00904D42" w:rsidRPr="009C02A1" w:rsidRDefault="00904D42" w:rsidP="008479BF">
            <w:pPr>
              <w:spacing w:before="60" w:after="60"/>
              <w:rPr>
                <w:lang w:eastAsia="en-AU"/>
              </w:rPr>
            </w:pPr>
            <w:r>
              <w:rPr>
                <w:lang w:eastAsia="en-AU"/>
              </w:rPr>
              <w:t>Darren Leafe (UK)</w:t>
            </w:r>
          </w:p>
        </w:tc>
      </w:tr>
      <w:tr w:rsidR="00904D42" w14:paraId="14B43CCA" w14:textId="77777777" w:rsidTr="00057A8E">
        <w:trPr>
          <w:trHeight w:val="402"/>
        </w:trPr>
        <w:tc>
          <w:tcPr>
            <w:tcW w:w="284" w:type="dxa"/>
            <w:shd w:val="clear" w:color="auto" w:fill="E6E6E1" w:themeFill="accent5"/>
            <w:vAlign w:val="center"/>
          </w:tcPr>
          <w:p w14:paraId="480E2AAC" w14:textId="222EC402" w:rsidR="00904D42" w:rsidRPr="001E36A8" w:rsidRDefault="00E867E5" w:rsidP="008479BF">
            <w:pPr>
              <w:spacing w:before="60" w:after="60"/>
            </w:pPr>
            <w:r>
              <w:t>6</w:t>
            </w:r>
          </w:p>
        </w:tc>
        <w:tc>
          <w:tcPr>
            <w:tcW w:w="3496" w:type="dxa"/>
            <w:vAlign w:val="center"/>
          </w:tcPr>
          <w:p w14:paraId="6287F44E" w14:textId="57AA6155" w:rsidR="00904D42" w:rsidRDefault="00904D42" w:rsidP="008479BF">
            <w:pPr>
              <w:spacing w:before="60" w:after="60"/>
              <w:rPr>
                <w:lang w:eastAsia="en-AU"/>
              </w:rPr>
            </w:pPr>
            <w:r>
              <w:rPr>
                <w:lang w:eastAsia="en-AU"/>
              </w:rPr>
              <w:t>Ricky Cambell-Allen (UK, US, Aus</w:t>
            </w:r>
            <w:r w:rsidR="00903156">
              <w:rPr>
                <w:lang w:eastAsia="en-AU"/>
              </w:rPr>
              <w:t>tralia</w:t>
            </w:r>
            <w:r>
              <w:rPr>
                <w:lang w:eastAsia="en-AU"/>
              </w:rPr>
              <w:t>)</w:t>
            </w:r>
          </w:p>
        </w:tc>
      </w:tr>
      <w:tr w:rsidR="001573DC" w14:paraId="1D9DBF04" w14:textId="77777777" w:rsidTr="00057A8E">
        <w:trPr>
          <w:trHeight w:val="660"/>
        </w:trPr>
        <w:tc>
          <w:tcPr>
            <w:tcW w:w="284" w:type="dxa"/>
            <w:shd w:val="clear" w:color="auto" w:fill="E6E6E1" w:themeFill="accent5"/>
            <w:vAlign w:val="center"/>
          </w:tcPr>
          <w:p w14:paraId="0CA528CC" w14:textId="0AE9725D" w:rsidR="001573DC" w:rsidRPr="00F81BDB" w:rsidRDefault="001573DC" w:rsidP="008479BF">
            <w:pPr>
              <w:spacing w:before="60" w:after="60"/>
            </w:pPr>
            <w:r w:rsidRPr="00F81BDB">
              <w:t>7</w:t>
            </w:r>
          </w:p>
        </w:tc>
        <w:tc>
          <w:tcPr>
            <w:tcW w:w="3496" w:type="dxa"/>
            <w:vAlign w:val="center"/>
          </w:tcPr>
          <w:p w14:paraId="371AE3B1" w14:textId="62CBF998" w:rsidR="001573DC" w:rsidRPr="00F81BDB" w:rsidRDefault="001573DC" w:rsidP="008479BF">
            <w:pPr>
              <w:spacing w:before="60" w:after="60"/>
              <w:rPr>
                <w:lang w:eastAsia="en-AU"/>
              </w:rPr>
            </w:pPr>
            <w:r w:rsidRPr="00F81BDB">
              <w:rPr>
                <w:lang w:eastAsia="en-AU"/>
              </w:rPr>
              <w:t>Barry McGaw (</w:t>
            </w:r>
            <w:r w:rsidR="008F344B">
              <w:rPr>
                <w:lang w:eastAsia="en-AU"/>
              </w:rPr>
              <w:t xml:space="preserve">OECD, </w:t>
            </w:r>
            <w:r w:rsidRPr="00F81BDB">
              <w:rPr>
                <w:lang w:eastAsia="en-AU"/>
              </w:rPr>
              <w:t>Poland and</w:t>
            </w:r>
            <w:r w:rsidR="00AA4620">
              <w:rPr>
                <w:lang w:eastAsia="en-AU"/>
              </w:rPr>
              <w:t xml:space="preserve"> </w:t>
            </w:r>
            <w:r w:rsidR="008F344B">
              <w:rPr>
                <w:lang w:eastAsia="en-AU"/>
              </w:rPr>
              <w:t>Australia</w:t>
            </w:r>
            <w:r w:rsidRPr="00F81BDB">
              <w:rPr>
                <w:lang w:eastAsia="en-AU"/>
              </w:rPr>
              <w:t>)</w:t>
            </w:r>
          </w:p>
        </w:tc>
      </w:tr>
      <w:tr w:rsidR="001573DC" w14:paraId="44A2AC96" w14:textId="77777777" w:rsidTr="00057A8E">
        <w:trPr>
          <w:trHeight w:val="402"/>
        </w:trPr>
        <w:tc>
          <w:tcPr>
            <w:tcW w:w="284" w:type="dxa"/>
            <w:shd w:val="clear" w:color="auto" w:fill="E6E6E1" w:themeFill="accent5"/>
            <w:vAlign w:val="center"/>
          </w:tcPr>
          <w:p w14:paraId="3CA46C10" w14:textId="46331E4D" w:rsidR="001573DC" w:rsidRPr="00F81BDB" w:rsidRDefault="001573DC" w:rsidP="008479BF">
            <w:pPr>
              <w:spacing w:before="60" w:after="60"/>
            </w:pPr>
            <w:r w:rsidRPr="00F81BDB">
              <w:t>8</w:t>
            </w:r>
          </w:p>
        </w:tc>
        <w:tc>
          <w:tcPr>
            <w:tcW w:w="3496" w:type="dxa"/>
            <w:vAlign w:val="center"/>
          </w:tcPr>
          <w:p w14:paraId="0AD26613" w14:textId="321E40E5" w:rsidR="001573DC" w:rsidRPr="00F81BDB" w:rsidRDefault="001573DC" w:rsidP="008479BF">
            <w:pPr>
              <w:spacing w:before="60" w:after="60"/>
              <w:rPr>
                <w:lang w:eastAsia="en-AU"/>
              </w:rPr>
            </w:pPr>
            <w:r w:rsidRPr="00F81BDB">
              <w:rPr>
                <w:lang w:eastAsia="en-AU"/>
              </w:rPr>
              <w:t>Emiliana Vegas (Chile)</w:t>
            </w:r>
          </w:p>
        </w:tc>
      </w:tr>
      <w:tr w:rsidR="001573DC" w14:paraId="1BCA6FBE" w14:textId="77777777" w:rsidTr="00057A8E">
        <w:trPr>
          <w:trHeight w:val="386"/>
        </w:trPr>
        <w:tc>
          <w:tcPr>
            <w:tcW w:w="284" w:type="dxa"/>
            <w:shd w:val="clear" w:color="auto" w:fill="E6E6E1" w:themeFill="accent5"/>
            <w:vAlign w:val="center"/>
          </w:tcPr>
          <w:p w14:paraId="02F815FB" w14:textId="4DAC71A0" w:rsidR="001573DC" w:rsidRPr="00F81BDB" w:rsidRDefault="001573DC" w:rsidP="008479BF">
            <w:pPr>
              <w:spacing w:before="60" w:after="60"/>
            </w:pPr>
            <w:r w:rsidRPr="00F81BDB">
              <w:t>9</w:t>
            </w:r>
          </w:p>
        </w:tc>
        <w:tc>
          <w:tcPr>
            <w:tcW w:w="3496" w:type="dxa"/>
            <w:vAlign w:val="center"/>
          </w:tcPr>
          <w:p w14:paraId="026FF303" w14:textId="6B8FD832" w:rsidR="001573DC" w:rsidRPr="00F81BDB" w:rsidRDefault="001573DC" w:rsidP="008479BF">
            <w:pPr>
              <w:spacing w:before="60" w:after="60"/>
              <w:rPr>
                <w:lang w:eastAsia="en-AU"/>
              </w:rPr>
            </w:pPr>
            <w:r w:rsidRPr="00F81BDB">
              <w:rPr>
                <w:lang w:eastAsia="en-AU"/>
              </w:rPr>
              <w:t>Julien Grenet (France and Belgium</w:t>
            </w:r>
            <w:r w:rsidR="00903156">
              <w:rPr>
                <w:lang w:eastAsia="en-AU"/>
              </w:rPr>
              <w:t>, US</w:t>
            </w:r>
            <w:r w:rsidRPr="00F81BDB">
              <w:rPr>
                <w:lang w:eastAsia="en-AU"/>
              </w:rPr>
              <w:t>)</w:t>
            </w:r>
          </w:p>
        </w:tc>
      </w:tr>
      <w:tr w:rsidR="008D103A" w14:paraId="12EF2C65" w14:textId="77777777" w:rsidTr="00057A8E">
        <w:trPr>
          <w:trHeight w:val="402"/>
        </w:trPr>
        <w:tc>
          <w:tcPr>
            <w:tcW w:w="284" w:type="dxa"/>
            <w:shd w:val="clear" w:color="auto" w:fill="E6E6E1" w:themeFill="accent5"/>
            <w:vAlign w:val="center"/>
          </w:tcPr>
          <w:p w14:paraId="0D433ADC" w14:textId="3EFB3EC8" w:rsidR="008D103A" w:rsidRPr="008D103A" w:rsidRDefault="008D103A" w:rsidP="008479BF">
            <w:pPr>
              <w:spacing w:before="60" w:after="60"/>
            </w:pPr>
            <w:r>
              <w:t>10</w:t>
            </w:r>
          </w:p>
        </w:tc>
        <w:tc>
          <w:tcPr>
            <w:tcW w:w="3496" w:type="dxa"/>
            <w:vAlign w:val="center"/>
          </w:tcPr>
          <w:p w14:paraId="6735B860" w14:textId="6804DE03" w:rsidR="008D103A" w:rsidRPr="008D103A" w:rsidRDefault="004B20C7" w:rsidP="008479BF">
            <w:pPr>
              <w:spacing w:before="60" w:after="60"/>
              <w:rPr>
                <w:lang w:eastAsia="en-AU"/>
              </w:rPr>
            </w:pPr>
            <w:r w:rsidRPr="004B20C7">
              <w:rPr>
                <w:lang w:eastAsia="en-AU"/>
              </w:rPr>
              <w:t>Johan</w:t>
            </w:r>
            <w:r>
              <w:rPr>
                <w:lang w:eastAsia="en-AU"/>
              </w:rPr>
              <w:t xml:space="preserve"> </w:t>
            </w:r>
            <w:r w:rsidR="00B57F7B" w:rsidRPr="00B57F7B">
              <w:rPr>
                <w:lang w:eastAsia="en-AU"/>
              </w:rPr>
              <w:t>Wennstrom</w:t>
            </w:r>
            <w:r w:rsidR="00B57F7B">
              <w:rPr>
                <w:lang w:eastAsia="en-AU"/>
              </w:rPr>
              <w:t xml:space="preserve"> (Sweden)</w:t>
            </w:r>
          </w:p>
        </w:tc>
      </w:tr>
    </w:tbl>
    <w:p w14:paraId="261E0377" w14:textId="70D928AF" w:rsidR="0016156F" w:rsidRPr="0086054F" w:rsidRDefault="001573DC" w:rsidP="00AE2C3A">
      <w:pPr>
        <w:rPr>
          <w:lang w:eastAsia="en-AU"/>
        </w:rPr>
      </w:pPr>
      <w:r w:rsidRPr="001573DC">
        <w:rPr>
          <w:lang w:eastAsia="en-AU"/>
        </w:rPr>
        <w:t xml:space="preserve">This research was undertaken in September and October 2023 and involved </w:t>
      </w:r>
      <w:r w:rsidR="00F403C9">
        <w:rPr>
          <w:lang w:eastAsia="en-AU"/>
        </w:rPr>
        <w:t xml:space="preserve">both </w:t>
      </w:r>
      <w:r w:rsidRPr="001573DC">
        <w:rPr>
          <w:lang w:eastAsia="en-AU"/>
        </w:rPr>
        <w:t>desktop analysis of data and documentation</w:t>
      </w:r>
      <w:r w:rsidR="00F403C9">
        <w:rPr>
          <w:lang w:eastAsia="en-AU"/>
        </w:rPr>
        <w:t xml:space="preserve">, and </w:t>
      </w:r>
      <w:r w:rsidR="000F5DB6" w:rsidRPr="0086054F">
        <w:rPr>
          <w:lang w:eastAsia="en-AU"/>
        </w:rPr>
        <w:t xml:space="preserve">interviews with </w:t>
      </w:r>
      <w:r w:rsidR="00212FA9">
        <w:rPr>
          <w:lang w:eastAsia="en-AU"/>
        </w:rPr>
        <w:t xml:space="preserve">leading experts in selected international school systems. </w:t>
      </w:r>
    </w:p>
    <w:p w14:paraId="4863DD67" w14:textId="0E99B451" w:rsidR="003C7E75" w:rsidRDefault="000F5DB6" w:rsidP="00791C17">
      <w:pPr>
        <w:rPr>
          <w:lang w:eastAsia="en-AU"/>
        </w:rPr>
      </w:pPr>
      <w:r w:rsidRPr="0086054F">
        <w:rPr>
          <w:lang w:eastAsia="en-AU"/>
        </w:rPr>
        <w:t>Nous developed</w:t>
      </w:r>
      <w:r w:rsidR="00FD5EB1" w:rsidRPr="0086054F">
        <w:rPr>
          <w:lang w:eastAsia="en-AU"/>
        </w:rPr>
        <w:t xml:space="preserve"> a taxonomy of policy interventions </w:t>
      </w:r>
      <w:r w:rsidRPr="0086054F">
        <w:rPr>
          <w:lang w:eastAsia="en-AU"/>
        </w:rPr>
        <w:t xml:space="preserve">to structure the </w:t>
      </w:r>
      <w:r w:rsidR="004D1D95">
        <w:rPr>
          <w:lang w:eastAsia="en-AU"/>
        </w:rPr>
        <w:t>i</w:t>
      </w:r>
      <w:r w:rsidRPr="0086054F">
        <w:rPr>
          <w:lang w:eastAsia="en-AU"/>
        </w:rPr>
        <w:t xml:space="preserve">nquiry. This </w:t>
      </w:r>
      <w:r w:rsidR="00091FEF" w:rsidRPr="0086054F">
        <w:rPr>
          <w:lang w:eastAsia="en-AU"/>
        </w:rPr>
        <w:t xml:space="preserve">aimed to categorise </w:t>
      </w:r>
      <w:r w:rsidR="00A67DE9" w:rsidRPr="0086054F">
        <w:rPr>
          <w:lang w:eastAsia="en-AU"/>
        </w:rPr>
        <w:t xml:space="preserve">the </w:t>
      </w:r>
      <w:r w:rsidR="00EF3AA5" w:rsidRPr="0086054F">
        <w:rPr>
          <w:lang w:eastAsia="en-AU"/>
        </w:rPr>
        <w:t>policy approaches</w:t>
      </w:r>
      <w:r w:rsidR="006F25DF" w:rsidRPr="0086054F">
        <w:rPr>
          <w:lang w:eastAsia="en-AU"/>
        </w:rPr>
        <w:t xml:space="preserve"> discussed in national and international policy and academic literature, </w:t>
      </w:r>
      <w:r w:rsidR="00B14BC8" w:rsidRPr="0086054F">
        <w:rPr>
          <w:lang w:eastAsia="en-AU"/>
        </w:rPr>
        <w:t xml:space="preserve">and relate them to </w:t>
      </w:r>
      <w:r w:rsidR="006F25DF" w:rsidRPr="0086054F">
        <w:rPr>
          <w:lang w:eastAsia="en-AU"/>
        </w:rPr>
        <w:t>key government levers</w:t>
      </w:r>
      <w:r w:rsidR="00B14BC8" w:rsidRPr="0086054F">
        <w:rPr>
          <w:lang w:eastAsia="en-AU"/>
        </w:rPr>
        <w:t xml:space="preserve"> </w:t>
      </w:r>
      <w:r w:rsidR="00F87ED6" w:rsidRPr="0086054F">
        <w:rPr>
          <w:lang w:eastAsia="en-AU"/>
        </w:rPr>
        <w:t>(i.e</w:t>
      </w:r>
      <w:r w:rsidR="004D1D95" w:rsidRPr="0086054F">
        <w:rPr>
          <w:lang w:eastAsia="en-AU"/>
        </w:rPr>
        <w:t>.,</w:t>
      </w:r>
      <w:r w:rsidR="006F25DF" w:rsidRPr="0086054F">
        <w:rPr>
          <w:lang w:eastAsia="en-AU"/>
        </w:rPr>
        <w:t xml:space="preserve"> regulation</w:t>
      </w:r>
      <w:r w:rsidR="000D7CF8" w:rsidRPr="0086054F">
        <w:rPr>
          <w:lang w:eastAsia="en-AU"/>
        </w:rPr>
        <w:t>,</w:t>
      </w:r>
      <w:r w:rsidR="006F25DF" w:rsidRPr="0086054F">
        <w:rPr>
          <w:lang w:eastAsia="en-AU"/>
        </w:rPr>
        <w:t xml:space="preserve"> legislation</w:t>
      </w:r>
      <w:r w:rsidR="00DD3D08" w:rsidRPr="0086054F">
        <w:rPr>
          <w:lang w:eastAsia="en-AU"/>
        </w:rPr>
        <w:t xml:space="preserve">, </w:t>
      </w:r>
      <w:r w:rsidR="000D7CF8" w:rsidRPr="0086054F">
        <w:rPr>
          <w:lang w:eastAsia="en-AU"/>
        </w:rPr>
        <w:t>funding, governance).</w:t>
      </w:r>
      <w:r w:rsidR="002246F9" w:rsidRPr="0086054F">
        <w:rPr>
          <w:lang w:eastAsia="en-AU"/>
        </w:rPr>
        <w:t xml:space="preserve"> </w:t>
      </w:r>
      <w:r w:rsidR="006F25DF" w:rsidRPr="0086054F">
        <w:rPr>
          <w:lang w:eastAsia="en-AU"/>
        </w:rPr>
        <w:t xml:space="preserve">Priority was given to policy interventions </w:t>
      </w:r>
      <w:r w:rsidR="009D2FB8" w:rsidRPr="0086054F">
        <w:rPr>
          <w:lang w:eastAsia="en-AU"/>
        </w:rPr>
        <w:t>focused</w:t>
      </w:r>
      <w:r w:rsidR="0063311A" w:rsidRPr="0086054F">
        <w:rPr>
          <w:lang w:eastAsia="en-AU"/>
        </w:rPr>
        <w:t xml:space="preserve"> on </w:t>
      </w:r>
      <w:r w:rsidR="003D1296" w:rsidRPr="0086054F">
        <w:rPr>
          <w:lang w:eastAsia="en-AU"/>
        </w:rPr>
        <w:t xml:space="preserve">improving economic </w:t>
      </w:r>
      <w:r w:rsidR="00CA7EC1">
        <w:rPr>
          <w:lang w:eastAsia="en-AU"/>
        </w:rPr>
        <w:t xml:space="preserve">or racial </w:t>
      </w:r>
      <w:r w:rsidR="003D1296" w:rsidRPr="0086054F">
        <w:rPr>
          <w:lang w:eastAsia="en-AU"/>
        </w:rPr>
        <w:t>diversity</w:t>
      </w:r>
      <w:r w:rsidR="00407684">
        <w:rPr>
          <w:lang w:eastAsia="en-AU"/>
        </w:rPr>
        <w:t>, with adequate data, and</w:t>
      </w:r>
      <w:r w:rsidR="00D87FF4" w:rsidRPr="0086054F">
        <w:rPr>
          <w:lang w:eastAsia="en-AU"/>
        </w:rPr>
        <w:t xml:space="preserve"> which we</w:t>
      </w:r>
      <w:r w:rsidR="0063311A" w:rsidRPr="0086054F">
        <w:rPr>
          <w:lang w:eastAsia="en-AU"/>
        </w:rPr>
        <w:t xml:space="preserve"> </w:t>
      </w:r>
      <w:r w:rsidR="006F25DF" w:rsidRPr="0086054F">
        <w:rPr>
          <w:lang w:eastAsia="en-AU"/>
        </w:rPr>
        <w:t xml:space="preserve">assessed as being </w:t>
      </w:r>
      <w:r w:rsidR="00D87FF4" w:rsidRPr="0086054F">
        <w:rPr>
          <w:lang w:eastAsia="en-AU"/>
        </w:rPr>
        <w:t>relevant to</w:t>
      </w:r>
      <w:r w:rsidR="006F25DF" w:rsidRPr="0086054F">
        <w:rPr>
          <w:lang w:eastAsia="en-AU"/>
        </w:rPr>
        <w:t xml:space="preserve"> the </w:t>
      </w:r>
      <w:r w:rsidR="005B1525" w:rsidRPr="0086054F">
        <w:rPr>
          <w:lang w:eastAsia="en-AU"/>
        </w:rPr>
        <w:t xml:space="preserve">challenge in </w:t>
      </w:r>
      <w:r w:rsidR="006F25DF" w:rsidRPr="0086054F">
        <w:rPr>
          <w:lang w:eastAsia="en-AU"/>
        </w:rPr>
        <w:t xml:space="preserve">Australia </w:t>
      </w:r>
      <w:r w:rsidR="005C262D">
        <w:rPr>
          <w:lang w:eastAsia="en-AU"/>
        </w:rPr>
        <w:t>(</w:t>
      </w:r>
      <w:r w:rsidR="003B692E">
        <w:rPr>
          <w:lang w:eastAsia="en-AU"/>
        </w:rPr>
        <w:t>s</w:t>
      </w:r>
      <w:r w:rsidR="005C262D">
        <w:rPr>
          <w:lang w:eastAsia="en-AU"/>
        </w:rPr>
        <w:t>ee</w:t>
      </w:r>
      <w:r w:rsidR="003B692E">
        <w:rPr>
          <w:lang w:eastAsia="en-AU"/>
        </w:rPr>
        <w:t xml:space="preserve"> </w:t>
      </w:r>
      <w:r w:rsidR="00910452">
        <w:rPr>
          <w:lang w:eastAsia="en-AU"/>
        </w:rPr>
        <w:fldChar w:fldCharType="begin"/>
      </w:r>
      <w:r w:rsidR="00910452">
        <w:rPr>
          <w:lang w:eastAsia="en-AU"/>
        </w:rPr>
        <w:instrText xml:space="preserve"> REF _Ref146904389 \h </w:instrText>
      </w:r>
      <w:r w:rsidR="00910452">
        <w:rPr>
          <w:lang w:eastAsia="en-AU"/>
        </w:rPr>
      </w:r>
      <w:r w:rsidR="00910452">
        <w:rPr>
          <w:lang w:eastAsia="en-AU"/>
        </w:rPr>
        <w:fldChar w:fldCharType="separate"/>
      </w:r>
      <w:r w:rsidR="009B7086">
        <w:t xml:space="preserve">Figure </w:t>
      </w:r>
      <w:r w:rsidR="009B7086">
        <w:rPr>
          <w:noProof/>
        </w:rPr>
        <w:t>2</w:t>
      </w:r>
      <w:r w:rsidR="00910452">
        <w:rPr>
          <w:lang w:eastAsia="en-AU"/>
        </w:rPr>
        <w:fldChar w:fldCharType="end"/>
      </w:r>
      <w:r w:rsidR="005C262D">
        <w:rPr>
          <w:lang w:eastAsia="en-AU"/>
        </w:rPr>
        <w:t>, overleaf)</w:t>
      </w:r>
      <w:r w:rsidR="00450323">
        <w:rPr>
          <w:lang w:eastAsia="en-AU"/>
        </w:rPr>
        <w:t>. In terms of quantitative data, we</w:t>
      </w:r>
      <w:r w:rsidR="00E970B0">
        <w:rPr>
          <w:lang w:eastAsia="en-AU"/>
        </w:rPr>
        <w:t xml:space="preserve"> focussed on </w:t>
      </w:r>
      <w:r w:rsidR="00F30B7C">
        <w:rPr>
          <w:lang w:eastAsia="en-AU"/>
        </w:rPr>
        <w:t xml:space="preserve">OECD </w:t>
      </w:r>
      <w:r w:rsidR="00E970B0">
        <w:rPr>
          <w:lang w:eastAsia="en-AU"/>
        </w:rPr>
        <w:t xml:space="preserve">PISA </w:t>
      </w:r>
      <w:r w:rsidR="00F30B7C">
        <w:rPr>
          <w:lang w:eastAsia="en-AU"/>
        </w:rPr>
        <w:t xml:space="preserve">and school graduation </w:t>
      </w:r>
      <w:r w:rsidR="00E970B0">
        <w:rPr>
          <w:lang w:eastAsia="en-AU"/>
        </w:rPr>
        <w:t xml:space="preserve">data for its comparability and availability since 2000 which supports identification of trends within and across systems. This was </w:t>
      </w:r>
      <w:r w:rsidR="008B49BE">
        <w:rPr>
          <w:lang w:eastAsia="en-AU"/>
        </w:rPr>
        <w:t xml:space="preserve">supplemented by targeted analyses </w:t>
      </w:r>
      <w:r w:rsidR="00080668">
        <w:rPr>
          <w:lang w:eastAsia="en-AU"/>
        </w:rPr>
        <w:t xml:space="preserve">and reviews </w:t>
      </w:r>
      <w:r w:rsidR="008B49BE">
        <w:rPr>
          <w:lang w:eastAsia="en-AU"/>
        </w:rPr>
        <w:t xml:space="preserve">of national and subnational data, such as of </w:t>
      </w:r>
      <w:r w:rsidR="00080668">
        <w:rPr>
          <w:lang w:eastAsia="en-AU"/>
        </w:rPr>
        <w:t xml:space="preserve">school enrolments and diversity </w:t>
      </w:r>
      <w:r w:rsidR="00B35FCA">
        <w:rPr>
          <w:lang w:eastAsia="en-AU"/>
        </w:rPr>
        <w:t>measures.</w:t>
      </w:r>
    </w:p>
    <w:p w14:paraId="44729E7D" w14:textId="77777777" w:rsidR="004F4B79" w:rsidRDefault="00586D89" w:rsidP="00986516">
      <w:r w:rsidRPr="00586D89">
        <w:t xml:space="preserve">Each intervention was analysed to determine its </w:t>
      </w:r>
      <w:r w:rsidR="00A43FAF">
        <w:t>merits</w:t>
      </w:r>
      <w:r w:rsidRPr="00586D89">
        <w:t xml:space="preserve"> with respect to improving </w:t>
      </w:r>
      <w:r w:rsidR="004F4B79">
        <w:t>both:</w:t>
      </w:r>
    </w:p>
    <w:p w14:paraId="7C36FD45" w14:textId="034D9EC9" w:rsidR="00F339BE" w:rsidRPr="00887A6C" w:rsidRDefault="00F339BE" w:rsidP="00E45BFE">
      <w:pPr>
        <w:pStyle w:val="Bullet"/>
        <w:numPr>
          <w:ilvl w:val="0"/>
          <w:numId w:val="10"/>
        </w:numPr>
        <w:rPr>
          <w:rFonts w:ascii="Segoe UI Semibold" w:hAnsi="Segoe UI Semibold"/>
          <w:color w:val="00264D"/>
          <w:sz w:val="26"/>
        </w:rPr>
      </w:pPr>
      <w:r w:rsidRPr="00D10403">
        <w:rPr>
          <w:rFonts w:asciiTheme="majorHAnsi" w:hAnsiTheme="majorHAnsi" w:cstheme="majorHAnsi"/>
        </w:rPr>
        <w:lastRenderedPageBreak/>
        <w:t>Diversity</w:t>
      </w:r>
      <w:r w:rsidRPr="00586D89">
        <w:t xml:space="preserve"> </w:t>
      </w:r>
      <w:r>
        <w:t>– measured in terms of racial or socio-economic diversity (e.g</w:t>
      </w:r>
      <w:r w:rsidR="00BF54F8">
        <w:t>.,</w:t>
      </w:r>
      <w:r>
        <w:t xml:space="preserve"> the OECD’s ‘dissimilarity index</w:t>
      </w:r>
      <w:r w:rsidR="00BD53C2">
        <w:t>’</w:t>
      </w:r>
      <w:r>
        <w:t>) or ability to improve the representation of target cohorts (e.g</w:t>
      </w:r>
      <w:r w:rsidR="005B1AF1">
        <w:t>.,</w:t>
      </w:r>
      <w:r>
        <w:t xml:space="preserve"> migrant children)</w:t>
      </w:r>
      <w:r w:rsidR="00667533">
        <w:t xml:space="preserve"> </w:t>
      </w:r>
      <w:r w:rsidR="00DA7364">
        <w:t>as</w:t>
      </w:r>
      <w:r w:rsidR="00667533">
        <w:t xml:space="preserve"> </w:t>
      </w:r>
      <w:r w:rsidR="00DA7364">
        <w:t>l</w:t>
      </w:r>
      <w:r w:rsidR="00667533">
        <w:t xml:space="preserve">ow, medium, mixed, </w:t>
      </w:r>
      <w:r w:rsidR="00883B02">
        <w:t xml:space="preserve">or </w:t>
      </w:r>
      <w:r w:rsidR="00667533">
        <w:t>high</w:t>
      </w:r>
      <w:r w:rsidR="00883B02">
        <w:t>.</w:t>
      </w:r>
    </w:p>
    <w:p w14:paraId="649F346E" w14:textId="241DAEA9" w:rsidR="00F339BE" w:rsidRPr="004F4B79" w:rsidRDefault="00F339BE" w:rsidP="00E45BFE">
      <w:pPr>
        <w:pStyle w:val="Bullet"/>
        <w:numPr>
          <w:ilvl w:val="0"/>
          <w:numId w:val="10"/>
        </w:numPr>
        <w:rPr>
          <w:rFonts w:ascii="Segoe UI Semibold" w:hAnsi="Segoe UI Semibold"/>
          <w:color w:val="00264D"/>
          <w:sz w:val="26"/>
        </w:rPr>
      </w:pPr>
      <w:r w:rsidRPr="00D10403">
        <w:rPr>
          <w:rFonts w:asciiTheme="majorHAnsi" w:hAnsiTheme="majorHAnsi" w:cstheme="majorHAnsi"/>
        </w:rPr>
        <w:t>Education outcomes</w:t>
      </w:r>
      <w:r>
        <w:t xml:space="preserve"> – measured in terms of improved attendance, graduation rates and / or performance in standardised tests</w:t>
      </w:r>
      <w:r w:rsidR="006040B1">
        <w:t xml:space="preserve"> as low, medium, mixed, or high.</w:t>
      </w:r>
    </w:p>
    <w:p w14:paraId="29B4FB18" w14:textId="03EF233F" w:rsidR="00BE28A8" w:rsidRPr="004F4B79" w:rsidRDefault="00BE28A8" w:rsidP="00BE28A8">
      <w:pPr>
        <w:rPr>
          <w:rFonts w:ascii="Segoe UI Semibold" w:hAnsi="Segoe UI Semibold"/>
          <w:color w:val="00264D"/>
          <w:sz w:val="26"/>
        </w:rPr>
      </w:pPr>
      <w:r>
        <w:t xml:space="preserve">See </w:t>
      </w:r>
      <w:r w:rsidR="0007712C">
        <w:fldChar w:fldCharType="begin"/>
      </w:r>
      <w:r w:rsidR="0007712C">
        <w:instrText xml:space="preserve"> REF _Ref146904389 \h </w:instrText>
      </w:r>
      <w:r w:rsidR="0007712C">
        <w:fldChar w:fldCharType="separate"/>
      </w:r>
      <w:r w:rsidR="009B7086">
        <w:t xml:space="preserve">Figure </w:t>
      </w:r>
      <w:r w:rsidR="009B7086">
        <w:rPr>
          <w:noProof/>
        </w:rPr>
        <w:t>2</w:t>
      </w:r>
      <w:r w:rsidR="0007712C">
        <w:fldChar w:fldCharType="end"/>
      </w:r>
      <w:r w:rsidR="0007712C">
        <w:t xml:space="preserve"> which summarises the results of these assessments</w:t>
      </w:r>
      <w:r w:rsidR="0007712C">
        <w:rPr>
          <w:lang w:eastAsia="en-AU"/>
        </w:rPr>
        <w:t>.</w:t>
      </w:r>
      <w:r w:rsidR="0007712C" w:rsidRPr="0007712C">
        <w:rPr>
          <w:lang w:eastAsia="en-AU"/>
        </w:rPr>
        <w:t xml:space="preserve"> </w:t>
      </w:r>
      <w:r w:rsidR="0007712C" w:rsidRPr="0007712C">
        <w:t>Note that these are indicative and offered as a high-level guide only. Also, the success or otherwise of interventions depends significantly on how they were implemented</w:t>
      </w:r>
      <w:r w:rsidR="0007712C">
        <w:t xml:space="preserve">; some (such as legislated quotas and </w:t>
      </w:r>
      <w:r w:rsidR="003B16DE">
        <w:t xml:space="preserve">school zone flexing) are particularly sensitive to variations in design or implementation approach. </w:t>
      </w:r>
      <w:r w:rsidR="00CF38ED">
        <w:t>This means</w:t>
      </w:r>
      <w:r w:rsidR="0007712C" w:rsidRPr="0007712C">
        <w:t xml:space="preserve"> the research reviewed may suggest </w:t>
      </w:r>
      <w:r w:rsidR="00CF38ED">
        <w:t>an</w:t>
      </w:r>
      <w:r w:rsidR="0007712C" w:rsidRPr="0007712C">
        <w:t xml:space="preserve"> intervention was ineffective in one </w:t>
      </w:r>
      <w:r w:rsidR="005727BA" w:rsidRPr="0007712C">
        <w:t>setting</w:t>
      </w:r>
      <w:r w:rsidR="005727BA">
        <w:t xml:space="preserve"> but</w:t>
      </w:r>
      <w:r w:rsidR="0007712C" w:rsidRPr="0007712C">
        <w:t xml:space="preserve"> </w:t>
      </w:r>
      <w:r w:rsidR="00242FF2">
        <w:t xml:space="preserve">was </w:t>
      </w:r>
      <w:r w:rsidR="0007712C" w:rsidRPr="0007712C">
        <w:t xml:space="preserve">more successful elsewhere. </w:t>
      </w:r>
    </w:p>
    <w:p w14:paraId="29E262BB" w14:textId="35BF02E4" w:rsidR="00C032B1" w:rsidRDefault="00F21A56" w:rsidP="00774A29">
      <w:pPr>
        <w:pStyle w:val="Caption"/>
        <w:rPr>
          <w:lang w:eastAsia="en-AU"/>
        </w:rPr>
      </w:pPr>
      <w:bookmarkStart w:id="9" w:name="_Ref146904389"/>
      <w:r>
        <w:t xml:space="preserve">Figure </w:t>
      </w:r>
      <w:r>
        <w:fldChar w:fldCharType="begin"/>
      </w:r>
      <w:r>
        <w:instrText xml:space="preserve"> SEQ Figure \* ARABIC </w:instrText>
      </w:r>
      <w:r>
        <w:fldChar w:fldCharType="separate"/>
      </w:r>
      <w:r w:rsidR="009B7086">
        <w:rPr>
          <w:noProof/>
        </w:rPr>
        <w:t>2</w:t>
      </w:r>
      <w:r>
        <w:fldChar w:fldCharType="end"/>
      </w:r>
      <w:bookmarkEnd w:id="9"/>
      <w:r w:rsidR="00A86393">
        <w:t xml:space="preserve"> |</w:t>
      </w:r>
      <w:r w:rsidR="00F339BE">
        <w:t xml:space="preserve"> Policy interventions examined in this review</w:t>
      </w:r>
      <w:r w:rsidR="008908DF" w:rsidRPr="008908DF">
        <w:rPr>
          <w:lang w:eastAsia="en-AU"/>
        </w:rPr>
        <w:t xml:space="preserve"> </w:t>
      </w:r>
      <w:r w:rsidR="008908DF" w:rsidRPr="008908DF">
        <w:rPr>
          <w:noProof/>
        </w:rPr>
        <w:drawing>
          <wp:inline distT="0" distB="0" distL="0" distR="0" wp14:anchorId="4B27C22E" wp14:editId="6A61D8BC">
            <wp:extent cx="5810142" cy="2710351"/>
            <wp:effectExtent l="0" t="0" r="635" b="0"/>
            <wp:docPr id="140724798" name="Picture 140724798" descr="Lists interventions to diversify enrolments at schools with concentrations of disadvantage (policy interventions 1 to 6) and interventions to make disadvantaged schools more attractive to a diverse range of students (policy interventions 7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4798" name="Picture 140724798" descr="Lists interventions to diversify enrolments at schools with concentrations of disadvantage (policy interventions 1 to 6) and interventions to make disadvantaged schools more attractive to a diverse range of students (policy interventions 7 to 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810142" cy="2710351"/>
                    </a:xfrm>
                    <a:prstGeom prst="rect">
                      <a:avLst/>
                    </a:prstGeom>
                  </pic:spPr>
                </pic:pic>
              </a:graphicData>
            </a:graphic>
          </wp:inline>
        </w:drawing>
      </w:r>
    </w:p>
    <w:p w14:paraId="0F90070C" w14:textId="367D92A0" w:rsidR="00986516" w:rsidRDefault="00586D89" w:rsidP="00986516">
      <w:pPr>
        <w:rPr>
          <w:rFonts w:ascii="Segoe UI Semibold" w:hAnsi="Segoe UI Semibold"/>
          <w:color w:val="00264D"/>
          <w:sz w:val="26"/>
        </w:rPr>
      </w:pPr>
      <w:r w:rsidRPr="00586D89">
        <w:t xml:space="preserve">We then assessed </w:t>
      </w:r>
      <w:r w:rsidR="008E6E6D">
        <w:t>these interventions</w:t>
      </w:r>
      <w:r w:rsidR="00162BED">
        <w:t>’</w:t>
      </w:r>
      <w:r w:rsidR="008E6E6D">
        <w:t xml:space="preserve"> relevance</w:t>
      </w:r>
      <w:r w:rsidRPr="00586D89">
        <w:t xml:space="preserve"> to Australia by considering questions of scalability, degree of departure from current arrangements, the likely appetite for change, and the practical aspects of implementation</w:t>
      </w:r>
      <w:r>
        <w:t>.</w:t>
      </w:r>
      <w:r w:rsidR="008255B0">
        <w:t xml:space="preserve"> This was done through applying </w:t>
      </w:r>
      <w:r w:rsidR="00986516">
        <w:t>four key questions, each answered on a sliding scale</w:t>
      </w:r>
      <w:r w:rsidR="006A26EE">
        <w:t xml:space="preserve">: low, medium, </w:t>
      </w:r>
      <w:r w:rsidR="00B7124B">
        <w:t xml:space="preserve">or </w:t>
      </w:r>
      <w:r w:rsidR="006A26EE">
        <w:t>high.</w:t>
      </w:r>
    </w:p>
    <w:p w14:paraId="4E9F743B" w14:textId="47E9A2DC" w:rsidR="008802FC" w:rsidRPr="0013368E" w:rsidRDefault="008802FC" w:rsidP="00343ADB">
      <w:pPr>
        <w:pStyle w:val="Listnumbered"/>
        <w:numPr>
          <w:ilvl w:val="0"/>
          <w:numId w:val="7"/>
        </w:numPr>
        <w:rPr>
          <w:lang w:eastAsia="en-AU"/>
        </w:rPr>
      </w:pPr>
      <w:bookmarkStart w:id="10" w:name="_Hlk146790471"/>
      <w:r w:rsidRPr="0013368E">
        <w:rPr>
          <w:rFonts w:asciiTheme="majorHAnsi" w:hAnsiTheme="majorHAnsi" w:cstheme="majorHAnsi"/>
          <w:lang w:eastAsia="en-AU"/>
        </w:rPr>
        <w:t>How scalable is it?</w:t>
      </w:r>
      <w:r w:rsidRPr="0013368E">
        <w:rPr>
          <w:lang w:eastAsia="en-AU"/>
        </w:rPr>
        <w:t xml:space="preserve"> </w:t>
      </w:r>
      <w:r w:rsidR="009D7D5F">
        <w:rPr>
          <w:lang w:eastAsia="en-AU"/>
        </w:rPr>
        <w:t>I</w:t>
      </w:r>
      <w:r w:rsidRPr="0013368E">
        <w:rPr>
          <w:lang w:eastAsia="en-AU"/>
        </w:rPr>
        <w:t>.e</w:t>
      </w:r>
      <w:r w:rsidR="004862F4" w:rsidRPr="0013368E">
        <w:rPr>
          <w:lang w:eastAsia="en-AU"/>
        </w:rPr>
        <w:t>.,</w:t>
      </w:r>
      <w:r w:rsidRPr="0013368E">
        <w:rPr>
          <w:lang w:eastAsia="en-AU"/>
        </w:rPr>
        <w:t xml:space="preserve"> </w:t>
      </w:r>
      <w:r w:rsidR="00F56937">
        <w:rPr>
          <w:lang w:eastAsia="en-AU"/>
        </w:rPr>
        <w:t>can it be applied on a wide scale but in such a way as to also take</w:t>
      </w:r>
      <w:r w:rsidR="000A19AF">
        <w:rPr>
          <w:lang w:eastAsia="en-AU"/>
        </w:rPr>
        <w:t>s</w:t>
      </w:r>
      <w:r w:rsidR="00F56937">
        <w:rPr>
          <w:lang w:eastAsia="en-AU"/>
        </w:rPr>
        <w:t xml:space="preserve"> account of </w:t>
      </w:r>
      <w:r w:rsidR="005E5C9E">
        <w:rPr>
          <w:lang w:eastAsia="en-AU"/>
        </w:rPr>
        <w:t>distinctive rural and regional contexts</w:t>
      </w:r>
      <w:r w:rsidR="00785AA3">
        <w:rPr>
          <w:lang w:eastAsia="en-AU"/>
        </w:rPr>
        <w:t>?</w:t>
      </w:r>
    </w:p>
    <w:p w14:paraId="563AE681" w14:textId="2F888452" w:rsidR="008802FC" w:rsidRPr="0013368E" w:rsidRDefault="008802FC" w:rsidP="00343ADB">
      <w:pPr>
        <w:pStyle w:val="Listnumbered"/>
        <w:numPr>
          <w:ilvl w:val="0"/>
          <w:numId w:val="7"/>
        </w:numPr>
        <w:rPr>
          <w:lang w:eastAsia="en-AU"/>
        </w:rPr>
      </w:pPr>
      <w:r w:rsidRPr="0013368E">
        <w:rPr>
          <w:rFonts w:asciiTheme="majorHAnsi" w:hAnsiTheme="majorHAnsi" w:cstheme="majorHAnsi"/>
          <w:lang w:eastAsia="en-AU"/>
        </w:rPr>
        <w:t>How similar is it to current approaches in Australia?</w:t>
      </w:r>
      <w:r w:rsidRPr="0013368E">
        <w:rPr>
          <w:lang w:eastAsia="en-AU"/>
        </w:rPr>
        <w:t xml:space="preserve"> </w:t>
      </w:r>
      <w:r w:rsidR="002C6171">
        <w:rPr>
          <w:lang w:eastAsia="en-AU"/>
        </w:rPr>
        <w:t>I.</w:t>
      </w:r>
      <w:r w:rsidRPr="0013368E">
        <w:rPr>
          <w:lang w:eastAsia="en-AU"/>
        </w:rPr>
        <w:t>e., is it radically different to current approaches used in Australia?</w:t>
      </w:r>
    </w:p>
    <w:p w14:paraId="2CA9D25C" w14:textId="067ED654" w:rsidR="008802FC" w:rsidRPr="0013368E" w:rsidRDefault="008802FC" w:rsidP="00343ADB">
      <w:pPr>
        <w:pStyle w:val="Listnumbered"/>
        <w:numPr>
          <w:ilvl w:val="0"/>
          <w:numId w:val="7"/>
        </w:numPr>
        <w:rPr>
          <w:lang w:eastAsia="en-AU"/>
        </w:rPr>
      </w:pPr>
      <w:r w:rsidRPr="0013368E">
        <w:rPr>
          <w:rFonts w:asciiTheme="majorHAnsi" w:hAnsiTheme="majorHAnsi" w:cstheme="majorHAnsi"/>
          <w:lang w:eastAsia="en-AU"/>
        </w:rPr>
        <w:t>How likely is it to be widely supported?</w:t>
      </w:r>
      <w:r w:rsidRPr="0013368E">
        <w:rPr>
          <w:lang w:eastAsia="en-AU"/>
        </w:rPr>
        <w:t xml:space="preserve"> Are Australia’s </w:t>
      </w:r>
      <w:r w:rsidR="00746DC8">
        <w:rPr>
          <w:lang w:eastAsia="en-AU"/>
        </w:rPr>
        <w:t xml:space="preserve">political </w:t>
      </w:r>
      <w:r w:rsidRPr="0013368E">
        <w:rPr>
          <w:lang w:eastAsia="en-AU"/>
        </w:rPr>
        <w:t>parties, education stakeholders and the public likely to support the change?</w:t>
      </w:r>
    </w:p>
    <w:p w14:paraId="09F7D1B1" w14:textId="2F903EB9" w:rsidR="008802FC" w:rsidRDefault="008802FC" w:rsidP="00343ADB">
      <w:pPr>
        <w:pStyle w:val="Listnumbered"/>
        <w:numPr>
          <w:ilvl w:val="0"/>
          <w:numId w:val="7"/>
        </w:numPr>
        <w:rPr>
          <w:lang w:eastAsia="en-AU"/>
        </w:rPr>
      </w:pPr>
      <w:r w:rsidRPr="0013368E">
        <w:rPr>
          <w:rFonts w:asciiTheme="majorHAnsi" w:hAnsiTheme="majorHAnsi" w:cstheme="majorHAnsi"/>
          <w:lang w:eastAsia="en-AU"/>
        </w:rPr>
        <w:t>How easy will it be to implement in practical terms?</w:t>
      </w:r>
      <w:r w:rsidRPr="0013368E">
        <w:rPr>
          <w:lang w:eastAsia="en-AU"/>
        </w:rPr>
        <w:t xml:space="preserve"> </w:t>
      </w:r>
      <w:r w:rsidR="009D0588">
        <w:rPr>
          <w:lang w:eastAsia="en-AU"/>
        </w:rPr>
        <w:t>Are</w:t>
      </w:r>
      <w:r w:rsidRPr="0013368E">
        <w:rPr>
          <w:lang w:eastAsia="en-AU"/>
        </w:rPr>
        <w:t xml:space="preserve"> extensive legislation change</w:t>
      </w:r>
      <w:r w:rsidR="009D0588">
        <w:rPr>
          <w:lang w:eastAsia="en-AU"/>
        </w:rPr>
        <w:t>s</w:t>
      </w:r>
      <w:r w:rsidRPr="0013368E">
        <w:rPr>
          <w:lang w:eastAsia="en-AU"/>
        </w:rPr>
        <w:t xml:space="preserve"> or funding increases required?</w:t>
      </w:r>
    </w:p>
    <w:bookmarkEnd w:id="10"/>
    <w:p w14:paraId="56039410" w14:textId="2D182FC5" w:rsidR="000046F2" w:rsidRDefault="000046F2" w:rsidP="000046F2">
      <w:pPr>
        <w:pStyle w:val="Heading5"/>
      </w:pPr>
      <w:r>
        <w:t>Scope</w:t>
      </w:r>
    </w:p>
    <w:p w14:paraId="41E1382D" w14:textId="45C0A6F5" w:rsidR="000046F2" w:rsidRPr="0086054F" w:rsidRDefault="000046F2" w:rsidP="000046F2">
      <w:pPr>
        <w:rPr>
          <w:lang w:eastAsia="en-AU"/>
        </w:rPr>
      </w:pPr>
      <w:r w:rsidRPr="0086054F">
        <w:rPr>
          <w:lang w:eastAsia="en-AU"/>
        </w:rPr>
        <w:t xml:space="preserve">This targeted scope and limited timeframe resulted in some types of interventions being excluded, such as relocation </w:t>
      </w:r>
      <w:r w:rsidR="00802AD1">
        <w:rPr>
          <w:lang w:eastAsia="en-AU"/>
        </w:rPr>
        <w:t>and tra</w:t>
      </w:r>
      <w:r w:rsidR="00040B3E">
        <w:rPr>
          <w:lang w:eastAsia="en-AU"/>
        </w:rPr>
        <w:t xml:space="preserve">nsport </w:t>
      </w:r>
      <w:r w:rsidR="00E063B8">
        <w:rPr>
          <w:lang w:eastAsia="en-AU"/>
        </w:rPr>
        <w:t>interventions</w:t>
      </w:r>
      <w:r w:rsidRPr="0086054F">
        <w:rPr>
          <w:lang w:eastAsia="en-AU"/>
        </w:rPr>
        <w:t>.</w:t>
      </w:r>
      <w:r w:rsidRPr="0086054F">
        <w:rPr>
          <w:rStyle w:val="FootnoteReference"/>
          <w:lang w:eastAsia="en-AU"/>
        </w:rPr>
        <w:footnoteReference w:id="9"/>
      </w:r>
      <w:r w:rsidRPr="0086054F">
        <w:rPr>
          <w:lang w:eastAsia="en-AU"/>
        </w:rPr>
        <w:t xml:space="preserve"> </w:t>
      </w:r>
      <w:r>
        <w:rPr>
          <w:lang w:eastAsia="en-AU"/>
        </w:rPr>
        <w:t xml:space="preserve">We also didn’t focus on initiatives within schools to reduce </w:t>
      </w:r>
      <w:r>
        <w:rPr>
          <w:lang w:eastAsia="en-AU"/>
        </w:rPr>
        <w:lastRenderedPageBreak/>
        <w:t>inequalities, despite this estimated to account for up to 75</w:t>
      </w:r>
      <w:r w:rsidR="003434CF">
        <w:rPr>
          <w:lang w:eastAsia="en-AU"/>
        </w:rPr>
        <w:t xml:space="preserve"> per cent</w:t>
      </w:r>
      <w:r>
        <w:rPr>
          <w:lang w:eastAsia="en-AU"/>
        </w:rPr>
        <w:t xml:space="preserve"> of the difference observed in student academic performance across the OECD,</w:t>
      </w:r>
      <w:r>
        <w:rPr>
          <w:rStyle w:val="FootnoteReference"/>
          <w:lang w:eastAsia="en-AU"/>
        </w:rPr>
        <w:footnoteReference w:id="10"/>
      </w:r>
      <w:r>
        <w:rPr>
          <w:lang w:eastAsia="en-AU"/>
        </w:rPr>
        <w:t xml:space="preserve"> recognising that this has been explored separately by the Expert Panel. Finally, this review did not</w:t>
      </w:r>
      <w:r w:rsidRPr="0086054F">
        <w:rPr>
          <w:lang w:eastAsia="en-AU"/>
        </w:rPr>
        <w:t xml:space="preserve"> examine in any detail </w:t>
      </w:r>
      <w:r>
        <w:rPr>
          <w:lang w:eastAsia="en-AU"/>
        </w:rPr>
        <w:t xml:space="preserve">the </w:t>
      </w:r>
      <w:r w:rsidRPr="0086054F">
        <w:rPr>
          <w:lang w:eastAsia="en-AU"/>
        </w:rPr>
        <w:t xml:space="preserve">potential impact of using two or more levers in combination, though it </w:t>
      </w:r>
      <w:r w:rsidR="00D90C2D">
        <w:rPr>
          <w:lang w:eastAsia="en-AU"/>
        </w:rPr>
        <w:t xml:space="preserve">notes that </w:t>
      </w:r>
      <w:r w:rsidR="0037061A">
        <w:rPr>
          <w:lang w:eastAsia="en-AU"/>
        </w:rPr>
        <w:t xml:space="preserve">this is what other school systems do and </w:t>
      </w:r>
      <w:r w:rsidRPr="0086054F">
        <w:rPr>
          <w:lang w:eastAsia="en-AU"/>
        </w:rPr>
        <w:t>offers commentary on what might be most efficacious in an Australian context.</w:t>
      </w:r>
    </w:p>
    <w:p w14:paraId="6D8BF3A0" w14:textId="59C37CCF" w:rsidR="00F06D5C" w:rsidRDefault="00F06D5C" w:rsidP="000046F2">
      <w:pPr>
        <w:pStyle w:val="Heading5"/>
        <w:numPr>
          <w:ilvl w:val="0"/>
          <w:numId w:val="0"/>
        </w:numPr>
      </w:pPr>
      <w:r>
        <w:t>Data</w:t>
      </w:r>
      <w:r w:rsidR="00C935EB">
        <w:t xml:space="preserve"> </w:t>
      </w:r>
      <w:r w:rsidR="00C935EB" w:rsidRPr="0086054F">
        <w:t xml:space="preserve">analysis and limitations </w:t>
      </w:r>
    </w:p>
    <w:p w14:paraId="202B4EC1" w14:textId="4F82F59A" w:rsidR="00C935EB" w:rsidRPr="0086054F" w:rsidRDefault="00A665DB" w:rsidP="00C935EB">
      <w:pPr>
        <w:rPr>
          <w:lang w:eastAsia="en-AU"/>
        </w:rPr>
      </w:pPr>
      <w:r w:rsidRPr="0086054F">
        <w:rPr>
          <w:lang w:eastAsia="en-AU"/>
        </w:rPr>
        <w:t xml:space="preserve">Nous interrogated </w:t>
      </w:r>
      <w:r w:rsidR="000D2937" w:rsidRPr="0086054F">
        <w:rPr>
          <w:lang w:eastAsia="en-AU"/>
        </w:rPr>
        <w:t>PISA data for the locations and periods indicated in our literature review</w:t>
      </w:r>
      <w:r w:rsidRPr="0086054F">
        <w:rPr>
          <w:lang w:eastAsia="en-AU"/>
        </w:rPr>
        <w:t>, in an effort to draw more conclusive findings about the impact of national and subnational jurisdictions’ interventions on key indicators of e</w:t>
      </w:r>
      <w:r w:rsidR="00EB6B00" w:rsidRPr="0086054F">
        <w:rPr>
          <w:lang w:eastAsia="en-AU"/>
        </w:rPr>
        <w:t xml:space="preserve">quity and </w:t>
      </w:r>
      <w:r w:rsidR="00711BB0" w:rsidRPr="0086054F">
        <w:rPr>
          <w:lang w:eastAsia="en-AU"/>
        </w:rPr>
        <w:t>learning outcomes.</w:t>
      </w:r>
    </w:p>
    <w:p w14:paraId="01AA0613" w14:textId="65060F30" w:rsidR="00B42941" w:rsidRPr="0086054F" w:rsidRDefault="00B42941" w:rsidP="003476E6">
      <w:pPr>
        <w:rPr>
          <w:lang w:eastAsia="en-AU"/>
        </w:rPr>
      </w:pPr>
      <w:r w:rsidRPr="0086054F">
        <w:rPr>
          <w:lang w:eastAsia="en-AU"/>
        </w:rPr>
        <w:t xml:space="preserve">It </w:t>
      </w:r>
      <w:r w:rsidR="00711BB0" w:rsidRPr="0086054F">
        <w:rPr>
          <w:lang w:eastAsia="en-AU"/>
        </w:rPr>
        <w:t>was</w:t>
      </w:r>
      <w:r w:rsidRPr="0086054F">
        <w:rPr>
          <w:lang w:eastAsia="en-AU"/>
        </w:rPr>
        <w:t xml:space="preserve"> difficult to disentangle and isolate the impact of specific policy interventions for myriad reasons, including</w:t>
      </w:r>
      <w:r w:rsidR="00D30C44">
        <w:rPr>
          <w:lang w:eastAsia="en-AU"/>
        </w:rPr>
        <w:t xml:space="preserve"> the following</w:t>
      </w:r>
      <w:r w:rsidRPr="0086054F">
        <w:rPr>
          <w:lang w:eastAsia="en-AU"/>
        </w:rPr>
        <w:t>:</w:t>
      </w:r>
    </w:p>
    <w:p w14:paraId="38C26620" w14:textId="7A3000F3" w:rsidR="00B42941" w:rsidRDefault="00CF38ED" w:rsidP="00E45BFE">
      <w:pPr>
        <w:pStyle w:val="Bullet"/>
        <w:numPr>
          <w:ilvl w:val="0"/>
          <w:numId w:val="29"/>
        </w:numPr>
      </w:pPr>
      <w:r>
        <w:rPr>
          <w:rFonts w:asciiTheme="majorHAnsi" w:hAnsiTheme="majorHAnsi" w:cstheme="majorHAnsi"/>
        </w:rPr>
        <w:t>Concurrent</w:t>
      </w:r>
      <w:r w:rsidR="000A63E1" w:rsidRPr="005136DA">
        <w:rPr>
          <w:rFonts w:asciiTheme="majorHAnsi" w:hAnsiTheme="majorHAnsi" w:cstheme="majorHAnsi"/>
        </w:rPr>
        <w:t xml:space="preserve"> reforms</w:t>
      </w:r>
      <w:r w:rsidR="000A63E1">
        <w:t xml:space="preserve">: </w:t>
      </w:r>
      <w:r w:rsidR="00177B1A">
        <w:t>p</w:t>
      </w:r>
      <w:r w:rsidR="00B42941">
        <w:t xml:space="preserve">olicy interventions </w:t>
      </w:r>
      <w:r w:rsidR="003A3539">
        <w:t xml:space="preserve">directed at the same purpose </w:t>
      </w:r>
      <w:r w:rsidR="00B42941">
        <w:t xml:space="preserve">are often </w:t>
      </w:r>
      <w:r w:rsidR="003A3539">
        <w:t>deployed in combination</w:t>
      </w:r>
      <w:r w:rsidR="00B42941">
        <w:t xml:space="preserve"> as part of a multi-dimensional policy solution. For example</w:t>
      </w:r>
      <w:r w:rsidR="009E5726">
        <w:t>,</w:t>
      </w:r>
      <w:r w:rsidR="00B42941">
        <w:t xml:space="preserve"> Chile’s system-wide reform to its public school system from 2017 included removal of fees, removal of selectivity, introduction </w:t>
      </w:r>
      <w:r w:rsidR="00144F41">
        <w:t xml:space="preserve">of </w:t>
      </w:r>
      <w:r w:rsidR="00B42941">
        <w:t>financial incentives</w:t>
      </w:r>
      <w:r w:rsidR="00B53C28">
        <w:t>,</w:t>
      </w:r>
      <w:r w:rsidR="00B42941">
        <w:t xml:space="preserve"> transition arrangements</w:t>
      </w:r>
      <w:r w:rsidR="00B53C28">
        <w:t xml:space="preserve"> and governance reform</w:t>
      </w:r>
      <w:r w:rsidR="00B42941">
        <w:t>.</w:t>
      </w:r>
    </w:p>
    <w:p w14:paraId="3A726C0A" w14:textId="2ADF2BB3" w:rsidR="00B42941" w:rsidRDefault="000A63E1" w:rsidP="00E45BFE">
      <w:pPr>
        <w:pStyle w:val="Bullet"/>
        <w:numPr>
          <w:ilvl w:val="0"/>
          <w:numId w:val="29"/>
        </w:numPr>
      </w:pPr>
      <w:r w:rsidRPr="005136DA">
        <w:rPr>
          <w:rFonts w:asciiTheme="majorHAnsi" w:hAnsiTheme="majorHAnsi" w:cstheme="majorHAnsi"/>
        </w:rPr>
        <w:t xml:space="preserve">Iterated </w:t>
      </w:r>
      <w:r w:rsidR="002C7335" w:rsidRPr="005136DA">
        <w:rPr>
          <w:rFonts w:asciiTheme="majorHAnsi" w:hAnsiTheme="majorHAnsi" w:cstheme="majorHAnsi"/>
        </w:rPr>
        <w:t>mechanisms</w:t>
      </w:r>
      <w:r w:rsidR="002C7335">
        <w:t xml:space="preserve">: </w:t>
      </w:r>
      <w:r w:rsidR="00177B1A">
        <w:t>p</w:t>
      </w:r>
      <w:r w:rsidR="00B42941">
        <w:t xml:space="preserve">olicy interventions </w:t>
      </w:r>
      <w:r w:rsidR="00D30C44">
        <w:t>can be</w:t>
      </w:r>
      <w:r w:rsidR="00B42941">
        <w:t xml:space="preserve"> </w:t>
      </w:r>
      <w:r w:rsidR="0091538B">
        <w:t xml:space="preserve">iterative, </w:t>
      </w:r>
      <w:r w:rsidR="00D30C44">
        <w:t>evolving through</w:t>
      </w:r>
      <w:r w:rsidR="0091538B">
        <w:t xml:space="preserve"> multiple </w:t>
      </w:r>
      <w:r w:rsidR="00227FFC">
        <w:t>versions</w:t>
      </w:r>
      <w:r w:rsidR="0091538B">
        <w:t xml:space="preserve"> over time.</w:t>
      </w:r>
    </w:p>
    <w:p w14:paraId="17ED4E4A" w14:textId="7142697D" w:rsidR="00B42941" w:rsidRDefault="0091538B" w:rsidP="00E45BFE">
      <w:pPr>
        <w:pStyle w:val="Bullet"/>
        <w:numPr>
          <w:ilvl w:val="0"/>
          <w:numId w:val="29"/>
        </w:numPr>
      </w:pPr>
      <w:r w:rsidRPr="005136DA">
        <w:rPr>
          <w:rFonts w:asciiTheme="majorHAnsi" w:hAnsiTheme="majorHAnsi" w:cstheme="majorHAnsi"/>
        </w:rPr>
        <w:t>Variation in i</w:t>
      </w:r>
      <w:r w:rsidR="00B42941" w:rsidRPr="005136DA">
        <w:rPr>
          <w:rFonts w:asciiTheme="majorHAnsi" w:hAnsiTheme="majorHAnsi" w:cstheme="majorHAnsi"/>
        </w:rPr>
        <w:t>mplementation</w:t>
      </w:r>
      <w:r w:rsidR="00177B1A">
        <w:t>:</w:t>
      </w:r>
      <w:r w:rsidR="00B42941">
        <w:t xml:space="preserve"> </w:t>
      </w:r>
      <w:r>
        <w:t xml:space="preserve">fidelity </w:t>
      </w:r>
      <w:r w:rsidR="00654EDC">
        <w:t xml:space="preserve">in implementation is not </w:t>
      </w:r>
      <w:r w:rsidR="0028479B">
        <w:t xml:space="preserve">always </w:t>
      </w:r>
      <w:r w:rsidR="00654EDC">
        <w:t>clear</w:t>
      </w:r>
      <w:r w:rsidR="00B42941">
        <w:t xml:space="preserve"> </w:t>
      </w:r>
      <w:r w:rsidR="008D116A">
        <w:t xml:space="preserve">or sought </w:t>
      </w:r>
      <w:r w:rsidR="00B42941">
        <w:t xml:space="preserve">across subnational and local </w:t>
      </w:r>
      <w:r>
        <w:t>levels</w:t>
      </w:r>
      <w:r w:rsidR="0005637D">
        <w:t xml:space="preserve"> (where </w:t>
      </w:r>
      <w:r w:rsidR="00561C9B">
        <w:t xml:space="preserve">local </w:t>
      </w:r>
      <w:r w:rsidR="00C72687">
        <w:t>adap</w:t>
      </w:r>
      <w:r w:rsidR="00C540F5">
        <w:t>ta</w:t>
      </w:r>
      <w:r w:rsidR="00C72687">
        <w:t xml:space="preserve">tion </w:t>
      </w:r>
      <w:r w:rsidR="00561C9B">
        <w:t xml:space="preserve">to context </w:t>
      </w:r>
      <w:r w:rsidR="00C75C60">
        <w:t>can help)</w:t>
      </w:r>
      <w:r w:rsidR="00654EDC">
        <w:t xml:space="preserve">, while other </w:t>
      </w:r>
      <w:r w:rsidR="005136DA">
        <w:t xml:space="preserve">unobservable </w:t>
      </w:r>
      <w:r w:rsidR="00654EDC">
        <w:t xml:space="preserve">aspects of implementation may </w:t>
      </w:r>
      <w:r w:rsidR="005136DA">
        <w:t xml:space="preserve">considerably influence the </w:t>
      </w:r>
      <w:r w:rsidR="000046F2">
        <w:t>intervention’s</w:t>
      </w:r>
      <w:r w:rsidR="005136DA">
        <w:t xml:space="preserve"> success or failure</w:t>
      </w:r>
      <w:r w:rsidR="004D1B40">
        <w:t>.</w:t>
      </w:r>
    </w:p>
    <w:p w14:paraId="0A0ED0F9" w14:textId="602272CF" w:rsidR="000239AC" w:rsidRDefault="004E7021" w:rsidP="00E45BFE">
      <w:pPr>
        <w:pStyle w:val="Bullet"/>
        <w:numPr>
          <w:ilvl w:val="0"/>
          <w:numId w:val="29"/>
        </w:numPr>
      </w:pPr>
      <w:r w:rsidRPr="00265D5F">
        <w:rPr>
          <w:rFonts w:asciiTheme="majorHAnsi" w:hAnsiTheme="majorHAnsi" w:cstheme="majorHAnsi"/>
        </w:rPr>
        <w:t xml:space="preserve">Small </w:t>
      </w:r>
      <w:r w:rsidR="00265D5F">
        <w:rPr>
          <w:rFonts w:asciiTheme="majorHAnsi" w:hAnsiTheme="majorHAnsi" w:cstheme="majorHAnsi"/>
        </w:rPr>
        <w:t>footprint</w:t>
      </w:r>
      <w:r>
        <w:t>: the impact of l</w:t>
      </w:r>
      <w:r w:rsidR="000239AC">
        <w:t xml:space="preserve">ocalised interventions </w:t>
      </w:r>
      <w:r w:rsidR="00265D5F">
        <w:t>is likely to be</w:t>
      </w:r>
      <w:r w:rsidR="000239AC">
        <w:t xml:space="preserve"> hidden (or hard to discern) within national aggregated data</w:t>
      </w:r>
      <w:r w:rsidR="004D1B40">
        <w:t>.</w:t>
      </w:r>
    </w:p>
    <w:p w14:paraId="6D0170E8" w14:textId="37DB1781" w:rsidR="00B42941" w:rsidRDefault="003A3539" w:rsidP="00E45BFE">
      <w:pPr>
        <w:pStyle w:val="Bullet"/>
        <w:numPr>
          <w:ilvl w:val="0"/>
          <w:numId w:val="29"/>
        </w:numPr>
      </w:pPr>
      <w:r w:rsidRPr="003A3539">
        <w:rPr>
          <w:rFonts w:asciiTheme="majorHAnsi" w:hAnsiTheme="majorHAnsi" w:cstheme="majorHAnsi"/>
        </w:rPr>
        <w:t>Presence of other</w:t>
      </w:r>
      <w:r w:rsidR="002919E8">
        <w:rPr>
          <w:rFonts w:asciiTheme="majorHAnsi" w:hAnsiTheme="majorHAnsi" w:cstheme="majorHAnsi"/>
        </w:rPr>
        <w:t xml:space="preserve">, unrelated </w:t>
      </w:r>
      <w:r w:rsidRPr="003A3539">
        <w:rPr>
          <w:rFonts w:asciiTheme="majorHAnsi" w:hAnsiTheme="majorHAnsi" w:cstheme="majorHAnsi"/>
        </w:rPr>
        <w:t>education reforms</w:t>
      </w:r>
      <w:r>
        <w:t xml:space="preserve">: </w:t>
      </w:r>
      <w:r w:rsidR="000046F2">
        <w:t>educational</w:t>
      </w:r>
      <w:r w:rsidR="00B42941">
        <w:t xml:space="preserve"> outcomes </w:t>
      </w:r>
      <w:r w:rsidR="00F600B9">
        <w:t>can be</w:t>
      </w:r>
      <w:r w:rsidR="00B42941">
        <w:t xml:space="preserve"> impacted by many other factors, including curriculum</w:t>
      </w:r>
      <w:r w:rsidR="00F600B9">
        <w:t xml:space="preserve"> reform</w:t>
      </w:r>
      <w:r w:rsidR="00D0728C">
        <w:t xml:space="preserve"> or</w:t>
      </w:r>
      <w:r w:rsidR="00B42941">
        <w:t xml:space="preserve"> </w:t>
      </w:r>
      <w:r w:rsidR="009120D7">
        <w:t xml:space="preserve">improvements in </w:t>
      </w:r>
      <w:r w:rsidR="00B42941">
        <w:t xml:space="preserve">teaching </w:t>
      </w:r>
      <w:r w:rsidR="009120D7">
        <w:t>effectiveness</w:t>
      </w:r>
      <w:r w:rsidR="00B42941">
        <w:t xml:space="preserve">. </w:t>
      </w:r>
    </w:p>
    <w:p w14:paraId="144DB0CD" w14:textId="22AAC01B" w:rsidR="008E79EB" w:rsidRPr="0086054F" w:rsidRDefault="004B2E87" w:rsidP="00F81BDB">
      <w:pPr>
        <w:rPr>
          <w:lang w:eastAsia="en-AU"/>
        </w:rPr>
      </w:pPr>
      <w:r>
        <w:rPr>
          <w:lang w:eastAsia="en-AU"/>
        </w:rPr>
        <w:t>Further</w:t>
      </w:r>
      <w:r w:rsidR="004F7B4B">
        <w:rPr>
          <w:lang w:eastAsia="en-AU"/>
        </w:rPr>
        <w:t>,</w:t>
      </w:r>
      <w:r>
        <w:rPr>
          <w:lang w:eastAsia="en-AU"/>
        </w:rPr>
        <w:t xml:space="preserve"> it is important to note that </w:t>
      </w:r>
      <w:r w:rsidR="000E20F9">
        <w:rPr>
          <w:lang w:eastAsia="en-AU"/>
        </w:rPr>
        <w:t xml:space="preserve">socio-economic status is measured differently in different </w:t>
      </w:r>
      <w:r w:rsidR="00BF472C" w:rsidRPr="0086054F">
        <w:rPr>
          <w:lang w:eastAsia="en-AU"/>
        </w:rPr>
        <w:t>c</w:t>
      </w:r>
      <w:r w:rsidR="003476E6" w:rsidRPr="0086054F">
        <w:rPr>
          <w:lang w:eastAsia="en-AU"/>
        </w:rPr>
        <w:t xml:space="preserve">ountries, subnational </w:t>
      </w:r>
      <w:r w:rsidR="000046F2">
        <w:rPr>
          <w:lang w:eastAsia="en-AU"/>
        </w:rPr>
        <w:t>jurisdictions</w:t>
      </w:r>
      <w:r w:rsidR="003476E6" w:rsidRPr="0086054F">
        <w:rPr>
          <w:lang w:eastAsia="en-AU"/>
        </w:rPr>
        <w:t xml:space="preserve"> and local school districts. </w:t>
      </w:r>
      <w:r w:rsidR="00D86D6F">
        <w:rPr>
          <w:lang w:eastAsia="en-AU"/>
        </w:rPr>
        <w:t xml:space="preserve">The research </w:t>
      </w:r>
      <w:r w:rsidR="00727920">
        <w:rPr>
          <w:lang w:eastAsia="en-AU"/>
        </w:rPr>
        <w:t>relies most heavily on the</w:t>
      </w:r>
      <w:r w:rsidR="003476E6" w:rsidRPr="0086054F">
        <w:rPr>
          <w:lang w:eastAsia="en-AU"/>
        </w:rPr>
        <w:t xml:space="preserve"> PISA</w:t>
      </w:r>
      <w:r w:rsidR="0071306B">
        <w:rPr>
          <w:lang w:eastAsia="en-AU"/>
        </w:rPr>
        <w:t xml:space="preserve"> measurement of </w:t>
      </w:r>
      <w:r w:rsidR="003476E6" w:rsidRPr="0086054F">
        <w:rPr>
          <w:lang w:eastAsia="en-AU"/>
        </w:rPr>
        <w:t>socio</w:t>
      </w:r>
      <w:r w:rsidR="004F7B4B">
        <w:rPr>
          <w:lang w:eastAsia="en-AU"/>
        </w:rPr>
        <w:t>-</w:t>
      </w:r>
      <w:r w:rsidR="003476E6" w:rsidRPr="0086054F">
        <w:rPr>
          <w:lang w:eastAsia="en-AU"/>
        </w:rPr>
        <w:t>economic status</w:t>
      </w:r>
      <w:r w:rsidR="0071306B">
        <w:rPr>
          <w:lang w:eastAsia="en-AU"/>
        </w:rPr>
        <w:t xml:space="preserve">, which </w:t>
      </w:r>
      <w:r w:rsidR="00265791">
        <w:rPr>
          <w:lang w:eastAsia="en-AU"/>
        </w:rPr>
        <w:t xml:space="preserve">is </w:t>
      </w:r>
      <w:r w:rsidR="003F521C">
        <w:rPr>
          <w:lang w:eastAsia="en-AU"/>
        </w:rPr>
        <w:t>the</w:t>
      </w:r>
      <w:r w:rsidR="003476E6" w:rsidRPr="0086054F">
        <w:rPr>
          <w:lang w:eastAsia="en-AU"/>
        </w:rPr>
        <w:t xml:space="preserve"> index of economic, social and cultural status (ESCS)</w:t>
      </w:r>
      <w:r w:rsidR="00451848">
        <w:rPr>
          <w:lang w:eastAsia="en-AU"/>
        </w:rPr>
        <w:t>. This is</w:t>
      </w:r>
      <w:r w:rsidR="003476E6" w:rsidRPr="0086054F">
        <w:rPr>
          <w:lang w:eastAsia="en-AU"/>
        </w:rPr>
        <w:t xml:space="preserve"> described by the OECD as </w:t>
      </w:r>
      <w:r w:rsidR="00451848">
        <w:rPr>
          <w:lang w:eastAsia="en-AU"/>
        </w:rPr>
        <w:t>“</w:t>
      </w:r>
      <w:r w:rsidR="003476E6" w:rsidRPr="0086054F">
        <w:rPr>
          <w:lang w:eastAsia="en-AU"/>
        </w:rPr>
        <w:t>a composite measure that combines into a single score the financial, social, cultural and human-capital resources available to students</w:t>
      </w:r>
      <w:r w:rsidR="00451848">
        <w:rPr>
          <w:lang w:eastAsia="en-AU"/>
        </w:rPr>
        <w:t>”</w:t>
      </w:r>
      <w:r w:rsidR="003476E6" w:rsidRPr="0086054F">
        <w:rPr>
          <w:lang w:eastAsia="en-AU"/>
        </w:rPr>
        <w:t xml:space="preserve">. </w:t>
      </w:r>
      <w:r w:rsidR="00980CB5">
        <w:rPr>
          <w:lang w:eastAsia="en-AU"/>
        </w:rPr>
        <w:t>The index</w:t>
      </w:r>
      <w:r w:rsidR="003476E6" w:rsidRPr="0086054F">
        <w:rPr>
          <w:lang w:eastAsia="en-AU"/>
        </w:rPr>
        <w:t xml:space="preserve"> is derived from several variables related to students’ family background that are then grouped into three components: parents’ education, parents’ occupations, and an index summarising a number of home possessions that can be taken as proxies for material wealth or cultural capital.</w:t>
      </w:r>
      <w:r w:rsidR="003476E6" w:rsidRPr="0086054F">
        <w:rPr>
          <w:rStyle w:val="FootnoteReference"/>
          <w:lang w:eastAsia="en-AU"/>
        </w:rPr>
        <w:footnoteReference w:id="11"/>
      </w:r>
      <w:r w:rsidR="00DC0251">
        <w:rPr>
          <w:lang w:eastAsia="en-AU"/>
        </w:rPr>
        <w:br w:type="page"/>
      </w:r>
    </w:p>
    <w:p w14:paraId="0D34A0C1" w14:textId="2FCCAEBC" w:rsidR="00942447" w:rsidRPr="00714702" w:rsidRDefault="00714702" w:rsidP="00995D07">
      <w:pPr>
        <w:pStyle w:val="Heading1"/>
        <w:rPr>
          <w:color w:val="FFFFFF" w:themeColor="background1"/>
        </w:rPr>
      </w:pPr>
      <w:bookmarkStart w:id="11" w:name="_Toc149052448"/>
      <w:r w:rsidRPr="00714702">
        <w:rPr>
          <w:noProof/>
          <w:color w:val="FFFFFF" w:themeColor="background1"/>
        </w:rPr>
        <w:lastRenderedPageBreak/>
        <w:drawing>
          <wp:anchor distT="0" distB="0" distL="114300" distR="114300" simplePos="0" relativeHeight="251658253" behindDoc="1" locked="0" layoutInCell="1" allowOverlap="1" wp14:anchorId="65204EFF" wp14:editId="141158A1">
            <wp:simplePos x="0" y="0"/>
            <wp:positionH relativeFrom="column">
              <wp:posOffset>-862330</wp:posOffset>
            </wp:positionH>
            <wp:positionV relativeFrom="paragraph">
              <wp:posOffset>-791581</wp:posOffset>
            </wp:positionV>
            <wp:extent cx="7552178" cy="1259457"/>
            <wp:effectExtent l="0" t="0" r="0" b="0"/>
            <wp:wrapNone/>
            <wp:docPr id="235069924" name="Picture 235069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69924" name="Picture 235069924">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b="34259"/>
                    <a:stretch/>
                  </pic:blipFill>
                  <pic:spPr bwMode="auto">
                    <a:xfrm>
                      <a:off x="0" y="0"/>
                      <a:ext cx="7552178" cy="12594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447" w:rsidRPr="00714702">
        <w:rPr>
          <w:color w:val="FFFFFF" w:themeColor="background1"/>
        </w:rPr>
        <w:t>Findings</w:t>
      </w:r>
      <w:bookmarkEnd w:id="11"/>
    </w:p>
    <w:tbl>
      <w:tblPr>
        <w:tblStyle w:val="NousLongformcallout"/>
        <w:tblW w:w="5000" w:type="pct"/>
        <w:tblCellMar>
          <w:top w:w="170" w:type="dxa"/>
          <w:bottom w:w="170" w:type="dxa"/>
        </w:tblCellMar>
        <w:tblLook w:val="04A0" w:firstRow="1" w:lastRow="0" w:firstColumn="1" w:lastColumn="0" w:noHBand="0" w:noVBand="1"/>
      </w:tblPr>
      <w:tblGrid>
        <w:gridCol w:w="9162"/>
      </w:tblGrid>
      <w:tr w:rsidR="000351F9" w14:paraId="70B65514" w14:textId="77777777" w:rsidTr="00ED48DD">
        <w:trPr>
          <w:trHeight w:val="671"/>
        </w:trPr>
        <w:tc>
          <w:tcPr>
            <w:tcW w:w="5000" w:type="pct"/>
          </w:tcPr>
          <w:p w14:paraId="09BA2927" w14:textId="473C125F" w:rsidR="00982D94" w:rsidRDefault="00A76CC5" w:rsidP="00982D94">
            <w:r>
              <w:t xml:space="preserve">This section </w:t>
            </w:r>
            <w:r w:rsidR="008C74B9">
              <w:t>presents the findings of our review of selected policy intervention with reference to</w:t>
            </w:r>
            <w:r w:rsidR="00982D94">
              <w:t>:</w:t>
            </w:r>
          </w:p>
          <w:p w14:paraId="71FEEE00" w14:textId="77777777" w:rsidR="0043398A" w:rsidRDefault="0043398A" w:rsidP="009D74E7">
            <w:pPr>
              <w:pStyle w:val="TableExpBullet"/>
            </w:pPr>
            <w:r>
              <w:t>Drivers and objectives</w:t>
            </w:r>
          </w:p>
          <w:p w14:paraId="0F87E3D1" w14:textId="0CD04A07" w:rsidR="0043398A" w:rsidRDefault="009D74E7" w:rsidP="009D74E7">
            <w:pPr>
              <w:pStyle w:val="TableExpBullet"/>
            </w:pPr>
            <w:r>
              <w:t>Operation and locations</w:t>
            </w:r>
          </w:p>
          <w:p w14:paraId="1E3AC9BF" w14:textId="204BF8C0" w:rsidR="009D74E7" w:rsidRDefault="009D74E7" w:rsidP="009D74E7">
            <w:pPr>
              <w:pStyle w:val="TableExpBullet"/>
            </w:pPr>
            <w:r>
              <w:t xml:space="preserve">Outcomes (on diversity and </w:t>
            </w:r>
            <w:r w:rsidR="00CF38ED">
              <w:t>education)</w:t>
            </w:r>
          </w:p>
          <w:p w14:paraId="001AAC37" w14:textId="733748A1" w:rsidR="00415B21" w:rsidRDefault="00415B21" w:rsidP="009D74E7">
            <w:pPr>
              <w:pStyle w:val="TableExpBullet"/>
            </w:pPr>
            <w:r w:rsidRPr="009D74E7">
              <w:t>Evidence base</w:t>
            </w:r>
            <w:r w:rsidR="009A2CEE" w:rsidRPr="009D74E7">
              <w:t xml:space="preserve"> (extent and validity of </w:t>
            </w:r>
            <w:r w:rsidR="00CF38ED">
              <w:t>sources cited</w:t>
            </w:r>
            <w:r w:rsidR="009A2CEE" w:rsidRPr="009D74E7">
              <w:t>)</w:t>
            </w:r>
          </w:p>
          <w:p w14:paraId="49B2F037" w14:textId="76F90A46" w:rsidR="004525B5" w:rsidRPr="009D74E7" w:rsidRDefault="009D74E7" w:rsidP="009D74E7">
            <w:pPr>
              <w:pStyle w:val="TableExpBullet"/>
            </w:pPr>
            <w:r>
              <w:t xml:space="preserve">Transferability </w:t>
            </w:r>
          </w:p>
        </w:tc>
      </w:tr>
    </w:tbl>
    <w:p w14:paraId="14679333" w14:textId="77777777" w:rsidR="0099335F" w:rsidRDefault="0099335F" w:rsidP="0099335F"/>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D2144F" w14:paraId="5E929F2E" w14:textId="77777777" w:rsidTr="00AC52C5">
        <w:tc>
          <w:tcPr>
            <w:tcW w:w="9401" w:type="dxa"/>
            <w:tcBorders>
              <w:top w:val="single" w:sz="24" w:space="0" w:color="25B3E0" w:themeColor="accent6"/>
              <w:left w:val="nil"/>
              <w:bottom w:val="nil"/>
              <w:right w:val="nil"/>
            </w:tcBorders>
            <w:shd w:val="clear" w:color="auto" w:fill="E6E6E1" w:themeFill="accent5"/>
            <w:vAlign w:val="center"/>
          </w:tcPr>
          <w:p w14:paraId="6376C5E4" w14:textId="17548056" w:rsidR="00D358EF" w:rsidRDefault="00D358EF" w:rsidP="006813DB">
            <w:pPr>
              <w:pStyle w:val="Heading2"/>
              <w:spacing w:beforeLines="40" w:before="96" w:afterLines="40" w:after="96" w:line="240" w:lineRule="auto"/>
              <w:ind w:left="578" w:hanging="578"/>
            </w:pPr>
            <w:bookmarkStart w:id="12" w:name="_Toc149052449"/>
            <w:r w:rsidRPr="00130948">
              <w:rPr>
                <w:color w:val="00264D" w:themeColor="background2"/>
              </w:rPr>
              <w:t>Legislated quotas</w:t>
            </w:r>
            <w:bookmarkEnd w:id="12"/>
          </w:p>
        </w:tc>
      </w:tr>
      <w:tr w:rsidR="00AB3114" w14:paraId="0D58EC3B" w14:textId="77777777" w:rsidTr="00AC52C5">
        <w:tc>
          <w:tcPr>
            <w:tcW w:w="9401" w:type="dxa"/>
            <w:tcBorders>
              <w:top w:val="nil"/>
              <w:left w:val="nil"/>
              <w:bottom w:val="single" w:sz="4" w:space="0" w:color="25B3E0" w:themeColor="accent6"/>
              <w:right w:val="nil"/>
            </w:tcBorders>
            <w:shd w:val="clear" w:color="auto" w:fill="F2F2F2" w:themeFill="background1" w:themeFillShade="F2"/>
            <w:tcMar>
              <w:top w:w="113" w:type="dxa"/>
            </w:tcMar>
            <w:vAlign w:val="bottom"/>
          </w:tcPr>
          <w:p w14:paraId="0CE37700" w14:textId="1D7053AD" w:rsidR="00AB3114" w:rsidRPr="00130948" w:rsidRDefault="002824C1" w:rsidP="00AB3114">
            <w:r>
              <w:rPr>
                <w:noProof/>
              </w:rPr>
              <w:drawing>
                <wp:inline distT="0" distB="0" distL="0" distR="0" wp14:anchorId="2FC0B40F" wp14:editId="585C1279">
                  <wp:extent cx="3530172" cy="270665"/>
                  <wp:effectExtent l="0" t="0" r="0" b="0"/>
                  <wp:docPr id="1108440358" name="Picture 1108440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40358" name="Picture 1108440358">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7A6FFF50" w14:textId="77777777" w:rsidR="0099335F" w:rsidRDefault="0099335F" w:rsidP="0099335F"/>
    <w:p w14:paraId="2C2AEC91" w14:textId="60A61988" w:rsidR="004F01E2" w:rsidRPr="0086054F" w:rsidRDefault="004F01E2" w:rsidP="004F01E2">
      <w:pPr>
        <w:rPr>
          <w:lang w:eastAsia="en-AU"/>
        </w:rPr>
      </w:pPr>
      <w:r w:rsidRPr="0086054F">
        <w:rPr>
          <w:lang w:eastAsia="en-AU"/>
        </w:rPr>
        <w:t>Legislated quotas are a policy intervention characterised by the use of legislation and regulation which stipulates a minimum number or percentage of students from vulnerable cohorts in high-demand schools or these cohorts’ prioritisation for spare places,</w:t>
      </w:r>
      <w:r w:rsidR="00BA7B37" w:rsidRPr="0086054F">
        <w:rPr>
          <w:lang w:eastAsia="en-AU"/>
        </w:rPr>
        <w:t xml:space="preserve"> in order</w:t>
      </w:r>
      <w:r w:rsidRPr="0086054F">
        <w:rPr>
          <w:lang w:eastAsia="en-AU"/>
        </w:rPr>
        <w:t xml:space="preserve"> to reduce concentrations of disadvantage and associated learning challenges. Vulnerable cohorts</w:t>
      </w:r>
      <w:r w:rsidR="004768F4" w:rsidRPr="0086054F">
        <w:rPr>
          <w:lang w:eastAsia="en-AU"/>
        </w:rPr>
        <w:t xml:space="preserve"> targeted</w:t>
      </w:r>
      <w:r w:rsidRPr="0086054F">
        <w:rPr>
          <w:lang w:eastAsia="en-AU"/>
        </w:rPr>
        <w:t xml:space="preserve"> are typically </w:t>
      </w:r>
      <w:r w:rsidR="00BA7B37" w:rsidRPr="0086054F">
        <w:rPr>
          <w:lang w:eastAsia="en-AU"/>
        </w:rPr>
        <w:t xml:space="preserve">children </w:t>
      </w:r>
      <w:r w:rsidRPr="0086054F">
        <w:rPr>
          <w:lang w:eastAsia="en-AU"/>
        </w:rPr>
        <w:t>of migrant or refugee background</w:t>
      </w:r>
      <w:r w:rsidR="00BA7B37" w:rsidRPr="0086054F">
        <w:rPr>
          <w:lang w:eastAsia="en-AU"/>
        </w:rPr>
        <w:t xml:space="preserve">, </w:t>
      </w:r>
      <w:r w:rsidR="00F96278">
        <w:rPr>
          <w:lang w:eastAsia="en-AU"/>
        </w:rPr>
        <w:t>which</w:t>
      </w:r>
      <w:r w:rsidR="00BA7B37" w:rsidRPr="0086054F">
        <w:rPr>
          <w:lang w:eastAsia="en-AU"/>
        </w:rPr>
        <w:t xml:space="preserve"> in the countries examined</w:t>
      </w:r>
      <w:r w:rsidR="00F96278">
        <w:rPr>
          <w:lang w:eastAsia="en-AU"/>
        </w:rPr>
        <w:t xml:space="preserve"> </w:t>
      </w:r>
      <w:r w:rsidR="00700893">
        <w:rPr>
          <w:lang w:eastAsia="en-AU"/>
        </w:rPr>
        <w:t xml:space="preserve">are typically from </w:t>
      </w:r>
      <w:r w:rsidR="00BA7B37" w:rsidRPr="0086054F">
        <w:rPr>
          <w:lang w:eastAsia="en-AU"/>
        </w:rPr>
        <w:t xml:space="preserve">low </w:t>
      </w:r>
      <w:r w:rsidR="00700893">
        <w:rPr>
          <w:lang w:eastAsia="en-AU"/>
        </w:rPr>
        <w:t xml:space="preserve">and very low </w:t>
      </w:r>
      <w:r w:rsidR="00BA7B37" w:rsidRPr="0086054F">
        <w:rPr>
          <w:lang w:eastAsia="en-AU"/>
        </w:rPr>
        <w:t xml:space="preserve">SES households. </w:t>
      </w:r>
      <w:r w:rsidRPr="0086054F">
        <w:rPr>
          <w:lang w:eastAsia="en-AU"/>
        </w:rPr>
        <w:t>Noncompliance incurs penalties such as reduced public funding</w:t>
      </w:r>
      <w:r w:rsidR="00FA3616">
        <w:rPr>
          <w:lang w:eastAsia="en-AU"/>
        </w:rPr>
        <w:t xml:space="preserve">. (Residential segregation is discussed further in </w:t>
      </w:r>
      <w:r w:rsidR="005E6172">
        <w:rPr>
          <w:lang w:eastAsia="en-AU"/>
        </w:rPr>
        <w:fldChar w:fldCharType="begin"/>
      </w:r>
      <w:r w:rsidR="005E6172">
        <w:rPr>
          <w:lang w:eastAsia="en-AU"/>
        </w:rPr>
        <w:instrText xml:space="preserve"> REF _Ref149039670 \n \h </w:instrText>
      </w:r>
      <w:r w:rsidR="005E6172">
        <w:rPr>
          <w:lang w:eastAsia="en-AU"/>
        </w:rPr>
      </w:r>
      <w:r w:rsidR="005E6172">
        <w:rPr>
          <w:lang w:eastAsia="en-AU"/>
        </w:rPr>
        <w:fldChar w:fldCharType="separate"/>
      </w:r>
      <w:r w:rsidR="009B7086">
        <w:rPr>
          <w:lang w:eastAsia="en-AU"/>
        </w:rPr>
        <w:t>Appendix A</w:t>
      </w:r>
      <w:r w:rsidR="005E6172">
        <w:rPr>
          <w:lang w:eastAsia="en-AU"/>
        </w:rPr>
        <w:fldChar w:fldCharType="end"/>
      </w:r>
      <w:r w:rsidR="00FA3616">
        <w:rPr>
          <w:lang w:eastAsia="en-AU"/>
        </w:rPr>
        <w:t>).</w:t>
      </w:r>
    </w:p>
    <w:p w14:paraId="05C2528B" w14:textId="5F4E5AE9" w:rsidR="004F01E2" w:rsidRPr="004F01E2" w:rsidRDefault="001251FF" w:rsidP="000E6DD5">
      <w:pPr>
        <w:pStyle w:val="Heading3"/>
      </w:pPr>
      <w:r>
        <w:rPr>
          <w:rStyle w:val="Heading3Char"/>
        </w:rPr>
        <w:t>Drivers and o</w:t>
      </w:r>
      <w:r w:rsidR="004E2E0C">
        <w:rPr>
          <w:rStyle w:val="Heading3Char"/>
        </w:rPr>
        <w:t>bjectives</w:t>
      </w:r>
      <w:r w:rsidR="00602EF8">
        <w:rPr>
          <w:rStyle w:val="Heading3Char"/>
        </w:rPr>
        <w:t xml:space="preserve"> </w:t>
      </w:r>
    </w:p>
    <w:p w14:paraId="18C06391" w14:textId="689FFBF1" w:rsidR="004F01E2" w:rsidRPr="0086054F" w:rsidRDefault="004F01E2" w:rsidP="004F01E2">
      <w:pPr>
        <w:rPr>
          <w:lang w:eastAsia="en-AU"/>
        </w:rPr>
      </w:pPr>
      <w:r w:rsidRPr="00602EF8">
        <w:rPr>
          <w:rFonts w:asciiTheme="minorHAnsi" w:hAnsiTheme="minorHAnsi" w:cstheme="minorHAnsi"/>
          <w:lang w:eastAsia="en-AU"/>
        </w:rPr>
        <w:t>Legislated quotas respond to a mix of political, ideological and economic concerns</w:t>
      </w:r>
      <w:r w:rsidRPr="00424149">
        <w:rPr>
          <w:rFonts w:asciiTheme="majorHAnsi" w:hAnsiTheme="majorHAnsi" w:cstheme="majorHAnsi"/>
          <w:lang w:eastAsia="en-AU"/>
        </w:rPr>
        <w:t xml:space="preserve"> </w:t>
      </w:r>
      <w:r w:rsidRPr="00424149">
        <w:rPr>
          <w:rFonts w:asciiTheme="minorHAnsi" w:hAnsiTheme="minorHAnsi" w:cstheme="minorHAnsi"/>
          <w:lang w:eastAsia="en-AU"/>
        </w:rPr>
        <w:t xml:space="preserve">regarding the negative </w:t>
      </w:r>
      <w:r w:rsidR="00F33F8E" w:rsidRPr="00424149">
        <w:rPr>
          <w:rFonts w:asciiTheme="minorHAnsi" w:hAnsiTheme="minorHAnsi" w:cstheme="minorHAnsi"/>
          <w:lang w:eastAsia="en-AU"/>
        </w:rPr>
        <w:t xml:space="preserve">educational, economic and social cohesion </w:t>
      </w:r>
      <w:r w:rsidRPr="00424149">
        <w:rPr>
          <w:rFonts w:asciiTheme="minorHAnsi" w:hAnsiTheme="minorHAnsi" w:cstheme="minorHAnsi"/>
          <w:lang w:eastAsia="en-AU"/>
        </w:rPr>
        <w:t>consequences to individual</w:t>
      </w:r>
      <w:r w:rsidR="004D15AC" w:rsidRPr="00424149">
        <w:rPr>
          <w:rFonts w:asciiTheme="minorHAnsi" w:hAnsiTheme="minorHAnsi" w:cstheme="minorHAnsi"/>
          <w:lang w:eastAsia="en-AU"/>
        </w:rPr>
        <w:t>s, families</w:t>
      </w:r>
      <w:r w:rsidRPr="00424149">
        <w:rPr>
          <w:rFonts w:asciiTheme="minorHAnsi" w:hAnsiTheme="minorHAnsi" w:cstheme="minorHAnsi"/>
          <w:lang w:eastAsia="en-AU"/>
        </w:rPr>
        <w:t xml:space="preserve"> and </w:t>
      </w:r>
      <w:r w:rsidR="00C64A3B" w:rsidRPr="00424149">
        <w:rPr>
          <w:rFonts w:asciiTheme="minorHAnsi" w:hAnsiTheme="minorHAnsi" w:cstheme="minorHAnsi"/>
          <w:lang w:eastAsia="en-AU"/>
        </w:rPr>
        <w:t xml:space="preserve">communities </w:t>
      </w:r>
      <w:r w:rsidR="00B73450" w:rsidRPr="00424149">
        <w:rPr>
          <w:rFonts w:asciiTheme="minorHAnsi" w:hAnsiTheme="minorHAnsi" w:cstheme="minorHAnsi"/>
          <w:lang w:eastAsia="en-AU"/>
        </w:rPr>
        <w:t>of</w:t>
      </w:r>
      <w:r w:rsidRPr="00424149">
        <w:rPr>
          <w:rFonts w:asciiTheme="minorHAnsi" w:hAnsiTheme="minorHAnsi" w:cstheme="minorHAnsi"/>
          <w:lang w:eastAsia="en-AU"/>
        </w:rPr>
        <w:t xml:space="preserve"> high and increasing socio-economic </w:t>
      </w:r>
      <w:r w:rsidR="000C4190" w:rsidRPr="00424149">
        <w:rPr>
          <w:rFonts w:asciiTheme="minorHAnsi" w:hAnsiTheme="minorHAnsi" w:cstheme="minorHAnsi"/>
          <w:lang w:eastAsia="en-AU"/>
        </w:rPr>
        <w:t xml:space="preserve">and cultural </w:t>
      </w:r>
      <w:r w:rsidRPr="00424149">
        <w:rPr>
          <w:rFonts w:asciiTheme="minorHAnsi" w:hAnsiTheme="minorHAnsi" w:cstheme="minorHAnsi"/>
          <w:lang w:eastAsia="en-AU"/>
        </w:rPr>
        <w:t>concentration</w:t>
      </w:r>
      <w:r w:rsidR="000C4190" w:rsidRPr="00424149">
        <w:rPr>
          <w:rFonts w:asciiTheme="minorHAnsi" w:hAnsiTheme="minorHAnsi" w:cstheme="minorHAnsi"/>
          <w:lang w:eastAsia="en-AU"/>
        </w:rPr>
        <w:t xml:space="preserve"> of students </w:t>
      </w:r>
      <w:r w:rsidR="00891D21" w:rsidRPr="00424149">
        <w:rPr>
          <w:rFonts w:asciiTheme="minorHAnsi" w:hAnsiTheme="minorHAnsi" w:cstheme="minorHAnsi"/>
          <w:lang w:eastAsia="en-AU"/>
        </w:rPr>
        <w:t>in schools</w:t>
      </w:r>
      <w:r w:rsidR="00B73450" w:rsidRPr="00424149">
        <w:rPr>
          <w:rFonts w:asciiTheme="minorHAnsi" w:hAnsiTheme="minorHAnsi" w:cstheme="minorHAnsi"/>
          <w:lang w:eastAsia="en-AU"/>
        </w:rPr>
        <w:t>.</w:t>
      </w:r>
      <w:r w:rsidR="00B73450" w:rsidRPr="0086054F">
        <w:rPr>
          <w:lang w:eastAsia="en-AU"/>
        </w:rPr>
        <w:t xml:space="preserve"> A key concern </w:t>
      </w:r>
      <w:r w:rsidR="00940D7D">
        <w:rPr>
          <w:lang w:eastAsia="en-AU"/>
        </w:rPr>
        <w:t>is</w:t>
      </w:r>
      <w:r w:rsidR="00B73450" w:rsidRPr="0086054F">
        <w:rPr>
          <w:lang w:eastAsia="en-AU"/>
        </w:rPr>
        <w:t xml:space="preserve"> </w:t>
      </w:r>
      <w:r w:rsidR="00884ABB">
        <w:rPr>
          <w:lang w:eastAsia="en-AU"/>
        </w:rPr>
        <w:t>lower academic performance</w:t>
      </w:r>
      <w:r w:rsidR="00F33F8E">
        <w:rPr>
          <w:lang w:eastAsia="en-AU"/>
        </w:rPr>
        <w:t xml:space="preserve"> in </w:t>
      </w:r>
      <w:r w:rsidR="00884ABB">
        <w:rPr>
          <w:lang w:eastAsia="en-AU"/>
        </w:rPr>
        <w:t>these schools with high disadvantage</w:t>
      </w:r>
      <w:r w:rsidR="00340CFB">
        <w:rPr>
          <w:lang w:eastAsia="en-AU"/>
        </w:rPr>
        <w:t xml:space="preserve">, </w:t>
      </w:r>
      <w:r w:rsidR="000E376D">
        <w:rPr>
          <w:lang w:eastAsia="en-AU"/>
        </w:rPr>
        <w:t>which results in</w:t>
      </w:r>
      <w:r w:rsidR="00F33F8E">
        <w:rPr>
          <w:lang w:eastAsia="en-AU"/>
        </w:rPr>
        <w:t xml:space="preserve"> </w:t>
      </w:r>
      <w:r w:rsidR="00B63C75">
        <w:rPr>
          <w:lang w:eastAsia="en-AU"/>
        </w:rPr>
        <w:t xml:space="preserve">a </w:t>
      </w:r>
      <w:r w:rsidR="00027150">
        <w:rPr>
          <w:lang w:eastAsia="en-AU"/>
        </w:rPr>
        <w:t>disproportionately</w:t>
      </w:r>
      <w:r w:rsidR="00B63C75">
        <w:rPr>
          <w:lang w:eastAsia="en-AU"/>
        </w:rPr>
        <w:t xml:space="preserve"> high amount of these students being </w:t>
      </w:r>
      <w:r w:rsidR="00F33F8E">
        <w:rPr>
          <w:lang w:eastAsia="en-AU"/>
        </w:rPr>
        <w:t xml:space="preserve">tracked (streamed) to </w:t>
      </w:r>
      <w:r w:rsidR="0093710E">
        <w:rPr>
          <w:lang w:eastAsia="en-AU"/>
        </w:rPr>
        <w:t>lower-</w:t>
      </w:r>
      <w:r w:rsidR="00544EA5">
        <w:rPr>
          <w:lang w:eastAsia="en-AU"/>
        </w:rPr>
        <w:t>prestige</w:t>
      </w:r>
      <w:r w:rsidR="00917526">
        <w:rPr>
          <w:lang w:eastAsia="en-AU"/>
        </w:rPr>
        <w:t>,</w:t>
      </w:r>
      <w:r w:rsidR="0093710E">
        <w:rPr>
          <w:lang w:eastAsia="en-AU"/>
        </w:rPr>
        <w:t xml:space="preserve"> </w:t>
      </w:r>
      <w:r w:rsidR="00B51D31">
        <w:rPr>
          <w:lang w:eastAsia="en-AU"/>
        </w:rPr>
        <w:t>vocationally-</w:t>
      </w:r>
      <w:r w:rsidR="00F33F8E">
        <w:rPr>
          <w:lang w:eastAsia="en-AU"/>
        </w:rPr>
        <w:t>oriented senior secondary schools</w:t>
      </w:r>
      <w:r w:rsidR="000B6BCA">
        <w:rPr>
          <w:lang w:eastAsia="en-AU"/>
        </w:rPr>
        <w:t xml:space="preserve"> </w:t>
      </w:r>
      <w:r w:rsidR="001C7CA4">
        <w:rPr>
          <w:lang w:eastAsia="en-AU"/>
        </w:rPr>
        <w:t>with reduced</w:t>
      </w:r>
      <w:r w:rsidR="00B63C75">
        <w:rPr>
          <w:lang w:eastAsia="en-AU"/>
        </w:rPr>
        <w:t xml:space="preserve"> post-school</w:t>
      </w:r>
      <w:r w:rsidRPr="0086054F">
        <w:rPr>
          <w:lang w:eastAsia="en-AU"/>
        </w:rPr>
        <w:t xml:space="preserve"> options</w:t>
      </w:r>
      <w:r w:rsidR="00AE05C3">
        <w:rPr>
          <w:lang w:eastAsia="en-AU"/>
        </w:rPr>
        <w:t xml:space="preserve"> compared to general or university-oriented schools</w:t>
      </w:r>
      <w:r w:rsidR="00B63C75">
        <w:rPr>
          <w:lang w:eastAsia="en-AU"/>
        </w:rPr>
        <w:t>.</w:t>
      </w:r>
    </w:p>
    <w:p w14:paraId="4FCDC475" w14:textId="085868E7" w:rsidR="0038096D" w:rsidRDefault="004E2E0C" w:rsidP="000E6DD5">
      <w:pPr>
        <w:pStyle w:val="Heading3"/>
      </w:pPr>
      <w:r>
        <w:t>Operation</w:t>
      </w:r>
      <w:r w:rsidR="001251FF">
        <w:t xml:space="preserve"> and locations</w:t>
      </w:r>
      <w:r>
        <w:t xml:space="preserve"> </w:t>
      </w:r>
    </w:p>
    <w:p w14:paraId="5BA1F33F" w14:textId="7CA59677" w:rsidR="00544EA5" w:rsidRPr="0086054F" w:rsidRDefault="00544EA5" w:rsidP="00544EA5">
      <w:pPr>
        <w:rPr>
          <w:lang w:eastAsia="en-AU"/>
        </w:rPr>
      </w:pPr>
      <w:r w:rsidRPr="0086054F">
        <w:rPr>
          <w:lang w:eastAsia="en-AU"/>
        </w:rPr>
        <w:t xml:space="preserve">Legislated quotas were introduced in </w:t>
      </w:r>
      <w:r w:rsidRPr="007F4468">
        <w:rPr>
          <w:rFonts w:asciiTheme="majorHAnsi" w:hAnsiTheme="majorHAnsi" w:cstheme="majorHAnsi"/>
          <w:lang w:eastAsia="en-AU"/>
        </w:rPr>
        <w:t>Belgium</w:t>
      </w:r>
      <w:r w:rsidRPr="0086054F">
        <w:rPr>
          <w:lang w:eastAsia="en-AU"/>
        </w:rPr>
        <w:t xml:space="preserve"> from </w:t>
      </w:r>
      <w:r w:rsidRPr="007E4755">
        <w:rPr>
          <w:lang w:eastAsia="en-AU"/>
        </w:rPr>
        <w:t>2007</w:t>
      </w:r>
      <w:r w:rsidRPr="0086054F">
        <w:rPr>
          <w:lang w:eastAsia="en-AU"/>
        </w:rPr>
        <w:t xml:space="preserve"> to increase the social diversity of schools after previous attempts</w:t>
      </w:r>
      <w:r>
        <w:rPr>
          <w:lang w:eastAsia="en-AU"/>
        </w:rPr>
        <w:t xml:space="preserve"> to increase diversity</w:t>
      </w:r>
      <w:r w:rsidRPr="0086054F">
        <w:rPr>
          <w:lang w:eastAsia="en-AU"/>
        </w:rPr>
        <w:t xml:space="preserve"> had failed, resulting in school segregation that exceeded residential segregation, and which contributed to much higher proportions of children of immigration background being allocated to </w:t>
      </w:r>
      <w:r>
        <w:rPr>
          <w:lang w:eastAsia="en-AU"/>
        </w:rPr>
        <w:t>vocational secondary schools</w:t>
      </w:r>
      <w:r w:rsidRPr="0086054F">
        <w:rPr>
          <w:lang w:eastAsia="en-AU"/>
        </w:rPr>
        <w:t>. Such segregation is linked to a strong tradition of parent choice in both the Flemish and French communities of Belgium, which was uncontrolled</w:t>
      </w:r>
      <w:r w:rsidR="00CB1CF1">
        <w:rPr>
          <w:lang w:eastAsia="en-AU"/>
        </w:rPr>
        <w:t xml:space="preserve"> before </w:t>
      </w:r>
      <w:r w:rsidRPr="0086054F">
        <w:rPr>
          <w:lang w:eastAsia="en-AU"/>
        </w:rPr>
        <w:t>the</w:t>
      </w:r>
      <w:r>
        <w:rPr>
          <w:lang w:eastAsia="en-AU"/>
        </w:rPr>
        <w:t>se reforms</w:t>
      </w:r>
      <w:r w:rsidRPr="0086054F">
        <w:rPr>
          <w:lang w:eastAsia="en-AU"/>
        </w:rPr>
        <w:t xml:space="preserve">. </w:t>
      </w:r>
    </w:p>
    <w:p w14:paraId="1A60C129" w14:textId="4DCEA6F4" w:rsidR="004F01E2" w:rsidRPr="0086054F" w:rsidRDefault="004F01E2" w:rsidP="004F01E2">
      <w:pPr>
        <w:rPr>
          <w:lang w:eastAsia="en-AU"/>
        </w:rPr>
      </w:pPr>
      <w:r w:rsidRPr="00E73FEF">
        <w:rPr>
          <w:rFonts w:asciiTheme="minorHAnsi" w:hAnsiTheme="minorHAnsi" w:cstheme="minorHAnsi"/>
          <w:lang w:eastAsia="en-AU"/>
        </w:rPr>
        <w:t>Belgium</w:t>
      </w:r>
      <w:r w:rsidR="001251DF">
        <w:rPr>
          <w:lang w:eastAsia="en-AU"/>
        </w:rPr>
        <w:t xml:space="preserve"> introduced </w:t>
      </w:r>
      <w:r w:rsidRPr="0086054F">
        <w:rPr>
          <w:lang w:eastAsia="en-AU"/>
        </w:rPr>
        <w:t xml:space="preserve">national </w:t>
      </w:r>
      <w:r w:rsidR="001251DF">
        <w:rPr>
          <w:lang w:eastAsia="en-AU"/>
        </w:rPr>
        <w:t>legislation</w:t>
      </w:r>
      <w:r w:rsidRPr="0086054F">
        <w:rPr>
          <w:lang w:eastAsia="en-AU"/>
        </w:rPr>
        <w:t xml:space="preserve"> with local regulation and administration by French Community and Flemish Community school systems through use of student data and allocation mechanisms. </w:t>
      </w:r>
      <w:r w:rsidR="00F076B2">
        <w:rPr>
          <w:lang w:eastAsia="en-AU"/>
        </w:rPr>
        <w:t>In the beginning, it applied only to in-demand pub</w:t>
      </w:r>
      <w:r w:rsidR="00764AD7">
        <w:rPr>
          <w:lang w:eastAsia="en-AU"/>
        </w:rPr>
        <w:t>l</w:t>
      </w:r>
      <w:r w:rsidR="00F076B2">
        <w:rPr>
          <w:lang w:eastAsia="en-AU"/>
        </w:rPr>
        <w:t>ic schools</w:t>
      </w:r>
      <w:r w:rsidR="00DD57E3">
        <w:rPr>
          <w:lang w:eastAsia="en-AU"/>
        </w:rPr>
        <w:t xml:space="preserve">, but </w:t>
      </w:r>
      <w:r w:rsidR="00E23E77">
        <w:rPr>
          <w:lang w:eastAsia="en-AU"/>
        </w:rPr>
        <w:t>was extended</w:t>
      </w:r>
      <w:r w:rsidRPr="0086054F">
        <w:rPr>
          <w:lang w:eastAsia="en-AU"/>
        </w:rPr>
        <w:t xml:space="preserve"> </w:t>
      </w:r>
      <w:r w:rsidR="00044009">
        <w:rPr>
          <w:lang w:eastAsia="en-AU"/>
        </w:rPr>
        <w:t xml:space="preserve">over time. </w:t>
      </w:r>
      <w:r w:rsidR="00E13FB4" w:rsidRPr="00E13FB4">
        <w:rPr>
          <w:lang w:eastAsia="en-AU"/>
        </w:rPr>
        <w:t>For example,</w:t>
      </w:r>
      <w:r w:rsidR="00021AFF">
        <w:rPr>
          <w:lang w:eastAsia="en-AU"/>
        </w:rPr>
        <w:t xml:space="preserve"> a</w:t>
      </w:r>
      <w:r w:rsidR="00E13FB4" w:rsidRPr="00E13FB4">
        <w:rPr>
          <w:lang w:eastAsia="en-AU"/>
        </w:rPr>
        <w:t xml:space="preserve"> 20</w:t>
      </w:r>
      <w:r w:rsidR="002E47E1">
        <w:rPr>
          <w:lang w:eastAsia="en-AU"/>
        </w:rPr>
        <w:t xml:space="preserve"> per cent</w:t>
      </w:r>
      <w:r w:rsidR="00E13FB4" w:rsidRPr="00E13FB4">
        <w:rPr>
          <w:lang w:eastAsia="en-AU"/>
        </w:rPr>
        <w:t xml:space="preserve"> quota for disadvantaged students in every French Community school in Belgium</w:t>
      </w:r>
      <w:r w:rsidR="00D7752B">
        <w:rPr>
          <w:lang w:eastAsia="en-AU"/>
        </w:rPr>
        <w:t>,</w:t>
      </w:r>
      <w:r w:rsidR="00E13FB4" w:rsidRPr="00E13FB4">
        <w:rPr>
          <w:lang w:eastAsia="en-AU"/>
        </w:rPr>
        <w:t xml:space="preserve"> </w:t>
      </w:r>
      <w:r w:rsidR="00021AFF">
        <w:rPr>
          <w:lang w:eastAsia="en-AU"/>
        </w:rPr>
        <w:t>introduced in</w:t>
      </w:r>
      <w:r w:rsidR="00021AFF" w:rsidRPr="00E13FB4">
        <w:rPr>
          <w:lang w:eastAsia="en-AU"/>
        </w:rPr>
        <w:t xml:space="preserve"> </w:t>
      </w:r>
      <w:r w:rsidR="00E13FB4" w:rsidRPr="00E13FB4">
        <w:rPr>
          <w:lang w:eastAsia="en-AU"/>
        </w:rPr>
        <w:t>2011</w:t>
      </w:r>
      <w:r w:rsidR="00D7752B">
        <w:rPr>
          <w:lang w:eastAsia="en-AU"/>
        </w:rPr>
        <w:t>,</w:t>
      </w:r>
      <w:r w:rsidR="00021AFF">
        <w:rPr>
          <w:lang w:eastAsia="en-AU"/>
        </w:rPr>
        <w:t xml:space="preserve"> </w:t>
      </w:r>
      <w:r w:rsidR="00936DC1">
        <w:rPr>
          <w:lang w:eastAsia="en-AU"/>
        </w:rPr>
        <w:t>followed</w:t>
      </w:r>
      <w:r w:rsidRPr="0086054F">
        <w:rPr>
          <w:lang w:eastAsia="en-AU"/>
        </w:rPr>
        <w:t xml:space="preserve"> two years of local experimentation with different enrolment systems to identify most effective approaches. Administration of the law varied due to </w:t>
      </w:r>
      <w:r w:rsidR="00A14670">
        <w:rPr>
          <w:lang w:eastAsia="en-AU"/>
        </w:rPr>
        <w:t>the</w:t>
      </w:r>
      <w:r w:rsidRPr="0086054F">
        <w:rPr>
          <w:lang w:eastAsia="en-AU"/>
        </w:rPr>
        <w:t xml:space="preserve"> devolution of implementation to local negotiation </w:t>
      </w:r>
      <w:r w:rsidRPr="0086054F">
        <w:rPr>
          <w:lang w:eastAsia="en-AU"/>
        </w:rPr>
        <w:lastRenderedPageBreak/>
        <w:t>platforms (over 72 in Flemish Community system</w:t>
      </w:r>
      <w:r w:rsidR="009E42CE">
        <w:rPr>
          <w:lang w:eastAsia="en-AU"/>
        </w:rPr>
        <w:t xml:space="preserve"> alone</w:t>
      </w:r>
      <w:r w:rsidRPr="0086054F">
        <w:rPr>
          <w:lang w:eastAsia="en-AU"/>
        </w:rPr>
        <w:t>) who worked with local schools</w:t>
      </w:r>
      <w:r w:rsidR="005A10C1">
        <w:rPr>
          <w:lang w:eastAsia="en-AU"/>
        </w:rPr>
        <w:t xml:space="preserve"> and</w:t>
      </w:r>
      <w:r w:rsidRPr="0086054F">
        <w:rPr>
          <w:lang w:eastAsia="en-AU"/>
        </w:rPr>
        <w:t xml:space="preserve"> </w:t>
      </w:r>
      <w:r w:rsidR="005A10C1">
        <w:rPr>
          <w:lang w:eastAsia="en-AU"/>
        </w:rPr>
        <w:t>other</w:t>
      </w:r>
      <w:r w:rsidRPr="0086054F">
        <w:rPr>
          <w:lang w:eastAsia="en-AU"/>
        </w:rPr>
        <w:t xml:space="preserve"> stakeholders </w:t>
      </w:r>
      <w:r w:rsidR="005A10C1">
        <w:rPr>
          <w:lang w:eastAsia="en-AU"/>
        </w:rPr>
        <w:t>to determine</w:t>
      </w:r>
      <w:r w:rsidRPr="0086054F">
        <w:rPr>
          <w:lang w:eastAsia="en-AU"/>
        </w:rPr>
        <w:t xml:space="preserve"> </w:t>
      </w:r>
      <w:r w:rsidR="005A10C1">
        <w:rPr>
          <w:lang w:eastAsia="en-AU"/>
        </w:rPr>
        <w:t>the</w:t>
      </w:r>
      <w:r w:rsidRPr="0086054F">
        <w:rPr>
          <w:lang w:eastAsia="en-AU"/>
        </w:rPr>
        <w:t xml:space="preserve"> criteria for choosing students from within the priority cohort, such as proximity, students’ ranking of preferences or first-come-first-served basis.</w:t>
      </w:r>
      <w:r w:rsidR="00DE3CE4">
        <w:rPr>
          <w:rStyle w:val="FootnoteReference"/>
          <w:lang w:eastAsia="en-AU"/>
        </w:rPr>
        <w:footnoteReference w:id="12"/>
      </w:r>
      <w:r w:rsidRPr="0086054F">
        <w:rPr>
          <w:lang w:eastAsia="en-AU"/>
        </w:rPr>
        <w:t xml:space="preserve"> </w:t>
      </w:r>
    </w:p>
    <w:p w14:paraId="5B0474A1" w14:textId="17BE1FDD" w:rsidR="00544EA5" w:rsidRPr="0086054F" w:rsidRDefault="00544EA5" w:rsidP="00544EA5">
      <w:pPr>
        <w:rPr>
          <w:lang w:eastAsia="en-AU"/>
        </w:rPr>
      </w:pPr>
      <w:r w:rsidRPr="0086054F">
        <w:rPr>
          <w:lang w:eastAsia="en-AU"/>
        </w:rPr>
        <w:t>Legislated quotas in Belgium were not widely supported</w:t>
      </w:r>
      <w:r w:rsidR="00C81151">
        <w:rPr>
          <w:lang w:eastAsia="en-AU"/>
        </w:rPr>
        <w:t>. B</w:t>
      </w:r>
      <w:r w:rsidRPr="0086054F">
        <w:rPr>
          <w:lang w:eastAsia="en-AU"/>
        </w:rPr>
        <w:t xml:space="preserve">acklash </w:t>
      </w:r>
      <w:r w:rsidR="00B1059A">
        <w:rPr>
          <w:lang w:eastAsia="en-AU"/>
        </w:rPr>
        <w:t>at all levels</w:t>
      </w:r>
      <w:r w:rsidRPr="0086054F">
        <w:rPr>
          <w:lang w:eastAsia="en-AU"/>
        </w:rPr>
        <w:t xml:space="preserve"> and </w:t>
      </w:r>
      <w:r w:rsidR="00B1059A">
        <w:rPr>
          <w:lang w:eastAsia="en-AU"/>
        </w:rPr>
        <w:t xml:space="preserve">some </w:t>
      </w:r>
      <w:r w:rsidRPr="0086054F">
        <w:rPr>
          <w:lang w:eastAsia="en-AU"/>
        </w:rPr>
        <w:t xml:space="preserve">turmoil </w:t>
      </w:r>
      <w:r w:rsidR="00510F76">
        <w:rPr>
          <w:lang w:eastAsia="en-AU"/>
        </w:rPr>
        <w:t>at local levels</w:t>
      </w:r>
      <w:r w:rsidRPr="0086054F">
        <w:rPr>
          <w:lang w:eastAsia="en-AU"/>
        </w:rPr>
        <w:t xml:space="preserve"> resulted in multiple </w:t>
      </w:r>
      <w:r w:rsidR="00883D7B">
        <w:rPr>
          <w:lang w:eastAsia="en-AU"/>
        </w:rPr>
        <w:t>changes</w:t>
      </w:r>
      <w:r w:rsidRPr="0086054F">
        <w:rPr>
          <w:lang w:eastAsia="en-AU"/>
        </w:rPr>
        <w:t xml:space="preserve"> to the legislation and implementation guidance. However, greater support and implementation success was observed in areas where there was greater </w:t>
      </w:r>
      <w:r w:rsidR="00691EF6">
        <w:rPr>
          <w:lang w:eastAsia="en-AU"/>
        </w:rPr>
        <w:t>devolution</w:t>
      </w:r>
      <w:r w:rsidR="008D23D6">
        <w:rPr>
          <w:lang w:eastAsia="en-AU"/>
        </w:rPr>
        <w:t xml:space="preserve"> to the local </w:t>
      </w:r>
      <w:r w:rsidR="005B519A">
        <w:rPr>
          <w:lang w:eastAsia="en-AU"/>
        </w:rPr>
        <w:t>platforms and greater</w:t>
      </w:r>
      <w:r w:rsidR="008D23D6">
        <w:rPr>
          <w:lang w:eastAsia="en-AU"/>
        </w:rPr>
        <w:t xml:space="preserve"> </w:t>
      </w:r>
      <w:r w:rsidRPr="0086054F">
        <w:rPr>
          <w:lang w:eastAsia="en-AU"/>
        </w:rPr>
        <w:t xml:space="preserve">input from families and schools </w:t>
      </w:r>
      <w:r w:rsidR="005B519A">
        <w:rPr>
          <w:lang w:eastAsia="en-AU"/>
        </w:rPr>
        <w:t xml:space="preserve">to these platforms </w:t>
      </w:r>
      <w:r w:rsidRPr="0086054F">
        <w:rPr>
          <w:lang w:eastAsia="en-AU"/>
        </w:rPr>
        <w:t xml:space="preserve">around the specifics of </w:t>
      </w:r>
      <w:r w:rsidR="00691EF6">
        <w:rPr>
          <w:lang w:eastAsia="en-AU"/>
        </w:rPr>
        <w:t>administration</w:t>
      </w:r>
      <w:r w:rsidRPr="0086054F">
        <w:rPr>
          <w:lang w:eastAsia="en-AU"/>
        </w:rPr>
        <w:t>.</w:t>
      </w:r>
      <w:r w:rsidR="00883D7B">
        <w:rPr>
          <w:rStyle w:val="FootnoteReference"/>
        </w:rPr>
        <w:footnoteReference w:id="13"/>
      </w:r>
    </w:p>
    <w:p w14:paraId="0CDF03FC" w14:textId="101103D2" w:rsidR="004F01E2" w:rsidRPr="0086054F" w:rsidRDefault="004F01E2" w:rsidP="004F01E2">
      <w:pPr>
        <w:rPr>
          <w:lang w:eastAsia="en-AU"/>
        </w:rPr>
      </w:pPr>
      <w:r w:rsidRPr="0086054F">
        <w:rPr>
          <w:lang w:eastAsia="en-AU"/>
        </w:rPr>
        <w:t xml:space="preserve">In </w:t>
      </w:r>
      <w:r w:rsidRPr="00602EF8">
        <w:rPr>
          <w:rFonts w:asciiTheme="majorHAnsi" w:hAnsiTheme="majorHAnsi" w:cstheme="majorHAnsi"/>
          <w:lang w:eastAsia="en-AU"/>
        </w:rPr>
        <w:t>Chile</w:t>
      </w:r>
      <w:r w:rsidRPr="0086054F">
        <w:rPr>
          <w:lang w:eastAsia="en-AU"/>
        </w:rPr>
        <w:t xml:space="preserve">, quotas were included as part of a </w:t>
      </w:r>
      <w:r w:rsidR="00883D7B">
        <w:rPr>
          <w:lang w:eastAsia="en-AU"/>
        </w:rPr>
        <w:t>package</w:t>
      </w:r>
      <w:r w:rsidRPr="0086054F">
        <w:rPr>
          <w:lang w:eastAsia="en-AU"/>
        </w:rPr>
        <w:t xml:space="preserve"> of educational reforms to create a more equitable education system from what had become one of the most </w:t>
      </w:r>
      <w:r w:rsidR="004E197A" w:rsidRPr="0086054F">
        <w:rPr>
          <w:lang w:eastAsia="en-AU"/>
        </w:rPr>
        <w:t>privatized</w:t>
      </w:r>
      <w:r w:rsidRPr="0086054F">
        <w:rPr>
          <w:lang w:eastAsia="en-AU"/>
        </w:rPr>
        <w:t xml:space="preserve"> and inequitable in the world.</w:t>
      </w:r>
      <w:r w:rsidR="0092722D">
        <w:rPr>
          <w:rStyle w:val="FootnoteReference"/>
          <w:lang w:eastAsia="en-AU"/>
        </w:rPr>
        <w:footnoteReference w:id="14"/>
      </w:r>
      <w:r w:rsidRPr="0086054F">
        <w:rPr>
          <w:lang w:eastAsia="en-AU"/>
        </w:rPr>
        <w:t xml:space="preserve"> </w:t>
      </w:r>
      <w:r w:rsidR="0088770E">
        <w:rPr>
          <w:lang w:eastAsia="en-AU"/>
        </w:rPr>
        <w:t>Chile’s</w:t>
      </w:r>
      <w:r w:rsidR="00D27D53">
        <w:rPr>
          <w:lang w:eastAsia="en-AU"/>
        </w:rPr>
        <w:t xml:space="preserve"> </w:t>
      </w:r>
      <w:r w:rsidRPr="0086054F">
        <w:rPr>
          <w:lang w:eastAsia="en-AU"/>
        </w:rPr>
        <w:t>2015 Law of Inclusion and accompanying regulation required (previously) private schools to reserve 15</w:t>
      </w:r>
      <w:r w:rsidR="00E75FDE">
        <w:rPr>
          <w:lang w:eastAsia="en-AU"/>
        </w:rPr>
        <w:t xml:space="preserve"> per cent</w:t>
      </w:r>
      <w:r w:rsidRPr="0086054F">
        <w:rPr>
          <w:lang w:eastAsia="en-AU"/>
        </w:rPr>
        <w:t xml:space="preserve"> of places for students classified as vulnerable as a condition of receiving government funding, with penalties for non-compliance. (The law also requires phasing out of school fees and academic selection of students and provided additional resources for these vulnerable students </w:t>
      </w:r>
      <w:r w:rsidR="00160480">
        <w:rPr>
          <w:lang w:eastAsia="en-AU"/>
        </w:rPr>
        <w:t>[</w:t>
      </w:r>
      <w:r w:rsidRPr="0086054F">
        <w:rPr>
          <w:lang w:eastAsia="en-AU"/>
        </w:rPr>
        <w:t>an incentive</w:t>
      </w:r>
      <w:r w:rsidR="00160480">
        <w:rPr>
          <w:lang w:eastAsia="en-AU"/>
        </w:rPr>
        <w:t>]</w:t>
      </w:r>
      <w:r w:rsidRPr="007E4755">
        <w:rPr>
          <w:lang w:eastAsia="en-AU"/>
        </w:rPr>
        <w:t>.</w:t>
      </w:r>
      <w:r w:rsidRPr="0086054F">
        <w:rPr>
          <w:lang w:eastAsia="en-AU"/>
        </w:rPr>
        <w:t xml:space="preserve"> </w:t>
      </w:r>
      <w:r w:rsidR="00E87435">
        <w:rPr>
          <w:lang w:eastAsia="en-AU"/>
        </w:rPr>
        <w:t>These are discussed in sections</w:t>
      </w:r>
      <w:r w:rsidR="00A76C2C">
        <w:rPr>
          <w:lang w:eastAsia="en-AU"/>
        </w:rPr>
        <w:t xml:space="preserve"> </w:t>
      </w:r>
      <w:r w:rsidR="00CF38ED">
        <w:rPr>
          <w:lang w:eastAsia="en-AU"/>
        </w:rPr>
        <w:fldChar w:fldCharType="begin"/>
      </w:r>
      <w:r w:rsidR="00CF38ED">
        <w:rPr>
          <w:lang w:eastAsia="en-AU"/>
        </w:rPr>
        <w:instrText xml:space="preserve"> REF _Ref146904802 \r \h </w:instrText>
      </w:r>
      <w:r w:rsidR="00CF38ED">
        <w:rPr>
          <w:lang w:eastAsia="en-AU"/>
        </w:rPr>
      </w:r>
      <w:r w:rsidR="00CF38ED">
        <w:rPr>
          <w:lang w:eastAsia="en-AU"/>
        </w:rPr>
        <w:fldChar w:fldCharType="separate"/>
      </w:r>
      <w:r w:rsidR="009B7086">
        <w:rPr>
          <w:lang w:eastAsia="en-AU"/>
        </w:rPr>
        <w:t>3.4</w:t>
      </w:r>
      <w:r w:rsidR="00CF38ED">
        <w:rPr>
          <w:lang w:eastAsia="en-AU"/>
        </w:rPr>
        <w:fldChar w:fldCharType="end"/>
      </w:r>
      <w:r w:rsidR="00A76C2C">
        <w:rPr>
          <w:lang w:eastAsia="en-AU"/>
        </w:rPr>
        <w:t xml:space="preserve"> on reversing academic selectivity and</w:t>
      </w:r>
      <w:r w:rsidR="00E87435">
        <w:rPr>
          <w:lang w:eastAsia="en-AU"/>
        </w:rPr>
        <w:t xml:space="preserve"> </w:t>
      </w:r>
      <w:r w:rsidR="00A76C2C">
        <w:rPr>
          <w:lang w:eastAsia="en-AU"/>
        </w:rPr>
        <w:t>3.7 on financial incentives</w:t>
      </w:r>
      <w:r w:rsidR="00E87435">
        <w:rPr>
          <w:lang w:eastAsia="en-AU"/>
        </w:rPr>
        <w:t>).</w:t>
      </w:r>
    </w:p>
    <w:p w14:paraId="37D9BE05" w14:textId="4980D447" w:rsidR="00552F66" w:rsidRDefault="00552F66" w:rsidP="004F01E2">
      <w:pPr>
        <w:rPr>
          <w:lang w:eastAsia="en-AU"/>
        </w:rPr>
      </w:pPr>
      <w:r>
        <w:rPr>
          <w:lang w:eastAsia="en-AU"/>
        </w:rPr>
        <w:t xml:space="preserve">In </w:t>
      </w:r>
      <w:r w:rsidRPr="00D36125">
        <w:rPr>
          <w:rFonts w:asciiTheme="majorHAnsi" w:hAnsiTheme="majorHAnsi" w:cstheme="majorHAnsi"/>
          <w:lang w:eastAsia="en-AU"/>
        </w:rPr>
        <w:t>Shang</w:t>
      </w:r>
      <w:r w:rsidR="001D5E45" w:rsidRPr="00D36125">
        <w:rPr>
          <w:rFonts w:asciiTheme="majorHAnsi" w:hAnsiTheme="majorHAnsi" w:cstheme="majorHAnsi"/>
          <w:lang w:eastAsia="en-AU"/>
        </w:rPr>
        <w:t>hai</w:t>
      </w:r>
      <w:r w:rsidR="001D5E45">
        <w:rPr>
          <w:lang w:eastAsia="en-AU"/>
        </w:rPr>
        <w:t xml:space="preserve">, </w:t>
      </w:r>
      <w:r w:rsidR="00E1007C">
        <w:rPr>
          <w:lang w:eastAsia="en-AU"/>
        </w:rPr>
        <w:t xml:space="preserve">quotas </w:t>
      </w:r>
      <w:r w:rsidR="00F31EFA">
        <w:rPr>
          <w:lang w:eastAsia="en-AU"/>
        </w:rPr>
        <w:t>were</w:t>
      </w:r>
      <w:r w:rsidR="00E1007C">
        <w:rPr>
          <w:lang w:eastAsia="en-AU"/>
        </w:rPr>
        <w:t xml:space="preserve"> introduced </w:t>
      </w:r>
      <w:r w:rsidR="00F31EFA">
        <w:rPr>
          <w:lang w:eastAsia="en-AU"/>
        </w:rPr>
        <w:t xml:space="preserve">from around 2013 </w:t>
      </w:r>
      <w:r w:rsidR="00A706EB">
        <w:rPr>
          <w:lang w:eastAsia="en-AU"/>
        </w:rPr>
        <w:t xml:space="preserve">for graduates of </w:t>
      </w:r>
      <w:r w:rsidR="008F25C6">
        <w:rPr>
          <w:lang w:eastAsia="en-AU"/>
        </w:rPr>
        <w:t>high</w:t>
      </w:r>
      <w:r w:rsidR="00A62635">
        <w:rPr>
          <w:lang w:eastAsia="en-AU"/>
        </w:rPr>
        <w:t xml:space="preserve"> achieving </w:t>
      </w:r>
      <w:r w:rsidR="00A706EB">
        <w:rPr>
          <w:lang w:eastAsia="en-AU"/>
        </w:rPr>
        <w:t xml:space="preserve">students from low-performing primary and secondary schools to proceed </w:t>
      </w:r>
      <w:r w:rsidR="008711E5">
        <w:rPr>
          <w:lang w:eastAsia="en-AU"/>
        </w:rPr>
        <w:t xml:space="preserve">to “the best” senior secondary schools, </w:t>
      </w:r>
      <w:r w:rsidR="00F35D68">
        <w:rPr>
          <w:lang w:eastAsia="en-AU"/>
        </w:rPr>
        <w:t>colleges</w:t>
      </w:r>
      <w:r w:rsidR="008711E5">
        <w:rPr>
          <w:lang w:eastAsia="en-AU"/>
        </w:rPr>
        <w:t xml:space="preserve"> and universities. The </w:t>
      </w:r>
      <w:r w:rsidR="00F35D68">
        <w:rPr>
          <w:lang w:eastAsia="en-AU"/>
        </w:rPr>
        <w:t xml:space="preserve">thinking behind this </w:t>
      </w:r>
      <w:r w:rsidR="001A570E">
        <w:rPr>
          <w:lang w:eastAsia="en-AU"/>
        </w:rPr>
        <w:t xml:space="preserve">intervention is that these students must be exceptionally bright and </w:t>
      </w:r>
      <w:r w:rsidR="00E92B26">
        <w:rPr>
          <w:lang w:eastAsia="en-AU"/>
        </w:rPr>
        <w:t>diligent and</w:t>
      </w:r>
      <w:r w:rsidR="001A570E">
        <w:rPr>
          <w:lang w:eastAsia="en-AU"/>
        </w:rPr>
        <w:t xml:space="preserve"> could achieve even greater </w:t>
      </w:r>
      <w:r w:rsidR="00DD1049">
        <w:rPr>
          <w:lang w:eastAsia="en-AU"/>
        </w:rPr>
        <w:t xml:space="preserve">potential in higher-performing </w:t>
      </w:r>
      <w:r w:rsidR="00192C6F">
        <w:rPr>
          <w:lang w:eastAsia="en-AU"/>
        </w:rPr>
        <w:t xml:space="preserve">institutions. It is also </w:t>
      </w:r>
      <w:r w:rsidR="00BA1511">
        <w:rPr>
          <w:lang w:eastAsia="en-AU"/>
        </w:rPr>
        <w:t>thought that these reserved sp</w:t>
      </w:r>
      <w:r w:rsidR="00723E45">
        <w:rPr>
          <w:lang w:eastAsia="en-AU"/>
        </w:rPr>
        <w:t>a</w:t>
      </w:r>
      <w:r w:rsidR="00BA1511">
        <w:rPr>
          <w:lang w:eastAsia="en-AU"/>
        </w:rPr>
        <w:t xml:space="preserve">ces </w:t>
      </w:r>
      <w:r w:rsidR="004F3EC5">
        <w:rPr>
          <w:lang w:eastAsia="en-AU"/>
        </w:rPr>
        <w:t>“will improve the morale</w:t>
      </w:r>
      <w:r w:rsidR="00142318">
        <w:rPr>
          <w:lang w:eastAsia="en-AU"/>
        </w:rPr>
        <w:t xml:space="preserve">” of the teachers, </w:t>
      </w:r>
      <w:r w:rsidR="00EA1871">
        <w:rPr>
          <w:lang w:eastAsia="en-AU"/>
        </w:rPr>
        <w:t>principals</w:t>
      </w:r>
      <w:r w:rsidR="00B9535B">
        <w:rPr>
          <w:lang w:eastAsia="en-AU"/>
        </w:rPr>
        <w:t xml:space="preserve"> and students in the school of origin, presumably because they know </w:t>
      </w:r>
      <w:r w:rsidR="005855EA">
        <w:rPr>
          <w:lang w:eastAsia="en-AU"/>
        </w:rPr>
        <w:t xml:space="preserve">academic brilliance is recognised </w:t>
      </w:r>
      <w:r w:rsidR="005649B3">
        <w:rPr>
          <w:lang w:eastAsia="en-AU"/>
        </w:rPr>
        <w:t xml:space="preserve">and rewarded. However, </w:t>
      </w:r>
      <w:r w:rsidR="00546D41">
        <w:rPr>
          <w:lang w:eastAsia="en-AU"/>
        </w:rPr>
        <w:t xml:space="preserve">the </w:t>
      </w:r>
      <w:r w:rsidR="00043B14">
        <w:rPr>
          <w:lang w:eastAsia="en-AU"/>
        </w:rPr>
        <w:t>‘</w:t>
      </w:r>
      <w:r w:rsidR="00546D41">
        <w:rPr>
          <w:lang w:eastAsia="en-AU"/>
        </w:rPr>
        <w:t>creaming</w:t>
      </w:r>
      <w:r w:rsidR="00043B14">
        <w:rPr>
          <w:lang w:eastAsia="en-AU"/>
        </w:rPr>
        <w:t>’</w:t>
      </w:r>
      <w:r w:rsidR="00546D41">
        <w:rPr>
          <w:lang w:eastAsia="en-AU"/>
        </w:rPr>
        <w:t xml:space="preserve"> of these students from </w:t>
      </w:r>
      <w:r w:rsidR="00EA1871">
        <w:rPr>
          <w:lang w:eastAsia="en-AU"/>
        </w:rPr>
        <w:t>local senior schools could</w:t>
      </w:r>
      <w:r w:rsidR="008711E5">
        <w:rPr>
          <w:lang w:eastAsia="en-AU"/>
        </w:rPr>
        <w:t xml:space="preserve"> </w:t>
      </w:r>
      <w:r w:rsidR="00EA1871">
        <w:rPr>
          <w:lang w:eastAsia="en-AU"/>
        </w:rPr>
        <w:t>exacerbate residualisation.</w:t>
      </w:r>
      <w:r w:rsidR="00B56EA2">
        <w:rPr>
          <w:rStyle w:val="FootnoteReference"/>
          <w:lang w:eastAsia="en-AU"/>
        </w:rPr>
        <w:footnoteReference w:id="15"/>
      </w:r>
      <w:r w:rsidR="00EA1871">
        <w:rPr>
          <w:lang w:eastAsia="en-AU"/>
        </w:rPr>
        <w:t xml:space="preserve"> </w:t>
      </w:r>
    </w:p>
    <w:p w14:paraId="6B8F3B3B" w14:textId="2F5C8D4C" w:rsidR="00A76C2C" w:rsidRPr="0086054F" w:rsidRDefault="00A76C2C" w:rsidP="004F01E2">
      <w:pPr>
        <w:rPr>
          <w:lang w:eastAsia="en-AU"/>
        </w:rPr>
      </w:pPr>
      <w:r>
        <w:rPr>
          <w:lang w:eastAsia="en-AU"/>
        </w:rPr>
        <w:t xml:space="preserve">In the </w:t>
      </w:r>
      <w:r w:rsidRPr="00214BD2">
        <w:rPr>
          <w:rFonts w:asciiTheme="majorHAnsi" w:hAnsiTheme="majorHAnsi" w:cstheme="majorHAnsi"/>
          <w:lang w:eastAsia="en-AU"/>
        </w:rPr>
        <w:t>US</w:t>
      </w:r>
      <w:r>
        <w:rPr>
          <w:lang w:eastAsia="en-AU"/>
        </w:rPr>
        <w:t xml:space="preserve">, </w:t>
      </w:r>
      <w:r w:rsidR="00091E1D">
        <w:rPr>
          <w:lang w:eastAsia="en-AU"/>
        </w:rPr>
        <w:t>‘</w:t>
      </w:r>
      <w:r>
        <w:rPr>
          <w:lang w:eastAsia="en-AU"/>
        </w:rPr>
        <w:t>soft quotas</w:t>
      </w:r>
      <w:r w:rsidR="00091E1D">
        <w:rPr>
          <w:lang w:eastAsia="en-AU"/>
        </w:rPr>
        <w:t>’</w:t>
      </w:r>
      <w:r>
        <w:rPr>
          <w:lang w:eastAsia="en-AU"/>
        </w:rPr>
        <w:t xml:space="preserve"> are used by magnet schoo</w:t>
      </w:r>
      <w:r w:rsidR="00CE333D">
        <w:rPr>
          <w:lang w:eastAsia="en-AU"/>
        </w:rPr>
        <w:t>ls (public schools with advanced courses attracting high-performing students from aspirational families) to ensure a mix of different racial and cultural backgrounds broadly representative of the school district and/or nearby schools.</w:t>
      </w:r>
      <w:r w:rsidR="00CE333D">
        <w:rPr>
          <w:rStyle w:val="FootnoteReference"/>
          <w:lang w:eastAsia="en-AU"/>
        </w:rPr>
        <w:footnoteReference w:id="16"/>
      </w:r>
    </w:p>
    <w:p w14:paraId="7379AF0D" w14:textId="3F238B4C" w:rsidR="002964D0" w:rsidRDefault="002964D0">
      <w:pPr>
        <w:pStyle w:val="Heading3"/>
      </w:pPr>
      <w:r>
        <w:t>Outcomes</w:t>
      </w:r>
    </w:p>
    <w:p w14:paraId="5F24B802" w14:textId="00367E9F" w:rsidR="00E34BAB" w:rsidRPr="00E34BAB" w:rsidRDefault="00E34BAB" w:rsidP="002964D0">
      <w:pPr>
        <w:pStyle w:val="Heading5"/>
      </w:pPr>
      <w:r w:rsidRPr="00E34BAB">
        <w:t>Diversity</w:t>
      </w:r>
    </w:p>
    <w:p w14:paraId="1CBDADE9" w14:textId="442C9EAC" w:rsidR="00C47F94" w:rsidRPr="005239C8" w:rsidRDefault="00654F68" w:rsidP="00E34BAB">
      <w:r w:rsidRPr="00654F68">
        <w:t xml:space="preserve">In </w:t>
      </w:r>
      <w:r w:rsidRPr="00602EF8">
        <w:rPr>
          <w:rFonts w:asciiTheme="majorHAnsi" w:hAnsiTheme="majorHAnsi" w:cstheme="majorHAnsi"/>
        </w:rPr>
        <w:t>Belgium</w:t>
      </w:r>
      <w:r w:rsidR="0007515B">
        <w:t xml:space="preserve">, </w:t>
      </w:r>
      <w:r w:rsidR="00E34BAB">
        <w:t>d</w:t>
      </w:r>
      <w:r w:rsidRPr="00654F68">
        <w:t xml:space="preserve">iversity may have slightly increased. </w:t>
      </w:r>
      <w:r w:rsidR="00C47F94" w:rsidRPr="005239C8">
        <w:t>However, statistical analysis of two databases between 2006 and 2015 concluded the law didn’t achieve its objective</w:t>
      </w:r>
      <w:r w:rsidR="00A26AB7">
        <w:t xml:space="preserve"> of increasing social and economic diversity</w:t>
      </w:r>
      <w:r w:rsidR="00C47F94" w:rsidRPr="005239C8">
        <w:t xml:space="preserve"> </w:t>
      </w:r>
      <w:r w:rsidR="002A2327">
        <w:t>and</w:t>
      </w:r>
      <w:r w:rsidR="00C47F94" w:rsidRPr="005239C8">
        <w:t xml:space="preserve"> reducing </w:t>
      </w:r>
      <w:r w:rsidR="00A26AB7" w:rsidRPr="005239C8">
        <w:t>segregation</w:t>
      </w:r>
      <w:r w:rsidR="002A2327">
        <w:t>, particularly at secondary levels.</w:t>
      </w:r>
      <w:r w:rsidR="009B3535">
        <w:rPr>
          <w:rStyle w:val="FootnoteReference"/>
        </w:rPr>
        <w:footnoteReference w:id="17"/>
      </w:r>
      <w:r w:rsidR="002A2327" w:rsidRPr="002A2327">
        <w:t xml:space="preserve"> </w:t>
      </w:r>
      <w:r w:rsidR="00462CBA">
        <w:t>Nevertheless</w:t>
      </w:r>
      <w:r w:rsidR="002A2327">
        <w:t>, more r</w:t>
      </w:r>
      <w:r w:rsidR="007C3B98">
        <w:t>e</w:t>
      </w:r>
      <w:r w:rsidR="002A2327">
        <w:t xml:space="preserve">cent analysis by the OECD </w:t>
      </w:r>
      <w:r w:rsidR="00AD5F9E">
        <w:t xml:space="preserve">suggests </w:t>
      </w:r>
      <w:r w:rsidR="00532CF4">
        <w:t>a</w:t>
      </w:r>
      <w:r w:rsidR="002A2327" w:rsidRPr="005239C8">
        <w:t xml:space="preserve"> slight decrease in social segregation</w:t>
      </w:r>
      <w:r w:rsidR="007C3B98">
        <w:t xml:space="preserve"> between 2009 and 2018</w:t>
      </w:r>
      <w:r w:rsidR="002A2327" w:rsidRPr="005239C8">
        <w:t>.</w:t>
      </w:r>
      <w:r w:rsidR="007C3B98">
        <w:rPr>
          <w:rStyle w:val="FootnoteReference"/>
        </w:rPr>
        <w:footnoteReference w:id="18"/>
      </w:r>
    </w:p>
    <w:p w14:paraId="3C795C8C" w14:textId="645EE496" w:rsidR="008E7AE9" w:rsidRDefault="004F01E2" w:rsidP="00206E1B">
      <w:pPr>
        <w:pStyle w:val="Bullet"/>
        <w:ind w:left="0" w:firstLine="0"/>
      </w:pPr>
      <w:r w:rsidRPr="0086054F">
        <w:t xml:space="preserve">In </w:t>
      </w:r>
      <w:r w:rsidRPr="00602EF8">
        <w:rPr>
          <w:rFonts w:asciiTheme="majorHAnsi" w:hAnsiTheme="majorHAnsi" w:cstheme="majorHAnsi"/>
        </w:rPr>
        <w:t>Chile</w:t>
      </w:r>
      <w:r w:rsidRPr="0086054F">
        <w:t xml:space="preserve">, </w:t>
      </w:r>
      <w:r w:rsidR="00832639" w:rsidRPr="0086054F">
        <w:t>where 15</w:t>
      </w:r>
      <w:r w:rsidR="00FF1449">
        <w:t xml:space="preserve"> per cent</w:t>
      </w:r>
      <w:r w:rsidR="00832639" w:rsidRPr="0086054F">
        <w:t xml:space="preserve"> quotas for low SES students were introduced in private schools from 2016 along with incentives for compliance and penalties for noncompliance</w:t>
      </w:r>
      <w:r w:rsidR="00206E1B">
        <w:t>, s</w:t>
      </w:r>
      <w:r w:rsidRPr="004F01E2">
        <w:t xml:space="preserve">ocio-economic diversity </w:t>
      </w:r>
      <w:r w:rsidR="008E7AE9">
        <w:t xml:space="preserve">improved </w:t>
      </w:r>
      <w:r w:rsidR="00D714B5">
        <w:t xml:space="preserve">in most </w:t>
      </w:r>
      <w:r w:rsidR="001670F2">
        <w:lastRenderedPageBreak/>
        <w:t>public schools and across all but the top SES quintile (for which students remained concentrated in fee-charging private schools</w:t>
      </w:r>
      <w:r w:rsidR="00F82DEE">
        <w:t>)</w:t>
      </w:r>
      <w:r w:rsidR="001670F2">
        <w:t>.</w:t>
      </w:r>
      <w:r w:rsidR="003B0EBA">
        <w:rPr>
          <w:rStyle w:val="FootnoteReference"/>
        </w:rPr>
        <w:footnoteReference w:id="19"/>
      </w:r>
    </w:p>
    <w:p w14:paraId="29EE3E58" w14:textId="412134AF" w:rsidR="00214BD2" w:rsidRPr="00214BD2" w:rsidRDefault="00214BD2" w:rsidP="004F01E2">
      <w:pPr>
        <w:rPr>
          <w:b/>
          <w:bCs/>
          <w:lang w:eastAsia="en-AU"/>
        </w:rPr>
      </w:pPr>
      <w:r w:rsidRPr="00214BD2">
        <w:rPr>
          <w:b/>
          <w:bCs/>
          <w:lang w:eastAsia="en-AU"/>
        </w:rPr>
        <w:t>Education</w:t>
      </w:r>
    </w:p>
    <w:p w14:paraId="52D06AD1" w14:textId="0AD1E01F" w:rsidR="00214BD2" w:rsidRPr="00214BD2" w:rsidRDefault="00214BD2" w:rsidP="00214BD2">
      <w:r>
        <w:rPr>
          <w:lang w:eastAsia="en-AU"/>
        </w:rPr>
        <w:t xml:space="preserve">In </w:t>
      </w:r>
      <w:r w:rsidRPr="00214BD2">
        <w:rPr>
          <w:rFonts w:asciiTheme="majorHAnsi" w:hAnsiTheme="majorHAnsi" w:cstheme="majorHAnsi"/>
          <w:lang w:eastAsia="en-AU"/>
        </w:rPr>
        <w:t>Belgium</w:t>
      </w:r>
      <w:r>
        <w:rPr>
          <w:lang w:eastAsia="en-AU"/>
        </w:rPr>
        <w:t xml:space="preserve">, </w:t>
      </w:r>
      <w:r>
        <w:t>e</w:t>
      </w:r>
      <w:r w:rsidRPr="00214BD2">
        <w:t xml:space="preserve">ducational outcomes </w:t>
      </w:r>
      <w:r>
        <w:t xml:space="preserve">have </w:t>
      </w:r>
      <w:r w:rsidRPr="00214BD2">
        <w:t xml:space="preserve">deteriorated since the introduction of quotas. There was a significant decline in the overall PISA </w:t>
      </w:r>
      <w:r w:rsidR="00040358" w:rsidRPr="00214BD2">
        <w:t>performance and</w:t>
      </w:r>
      <w:r w:rsidRPr="00214BD2">
        <w:t xml:space="preserve"> decline in the reading results of both advantaged and disadvantaged student cohorts between 2009 and 2018. Belgium continues to have one of the greatest correlations between disadvantaged backgrounds and low performance.</w:t>
      </w:r>
      <w:r w:rsidRPr="00214BD2">
        <w:rPr>
          <w:vertAlign w:val="superscript"/>
        </w:rPr>
        <w:footnoteReference w:id="20"/>
      </w:r>
      <w:r w:rsidRPr="00214BD2">
        <w:t xml:space="preserve"> </w:t>
      </w:r>
    </w:p>
    <w:p w14:paraId="65D4EA1D" w14:textId="2667BDA8" w:rsidR="00206E1B" w:rsidRPr="00206E1B" w:rsidRDefault="00206E1B" w:rsidP="002F7C3B">
      <w:r>
        <w:t xml:space="preserve">By contrast, in </w:t>
      </w:r>
      <w:r w:rsidRPr="00206E1B">
        <w:rPr>
          <w:rFonts w:asciiTheme="majorHAnsi" w:hAnsiTheme="majorHAnsi" w:cstheme="majorHAnsi"/>
        </w:rPr>
        <w:t>Chile</w:t>
      </w:r>
      <w:r>
        <w:t>, e</w:t>
      </w:r>
      <w:r w:rsidRPr="00206E1B">
        <w:t>ducational outcomes improved significantly for advantaged and disadvantaged students</w:t>
      </w:r>
      <w:r w:rsidR="008D3E90">
        <w:t xml:space="preserve"> </w:t>
      </w:r>
      <w:r w:rsidR="008D3E90" w:rsidRPr="00206E1B">
        <w:t>on national tests</w:t>
      </w:r>
      <w:r w:rsidRPr="00206E1B">
        <w:t xml:space="preserve">, and </w:t>
      </w:r>
      <w:r w:rsidR="0077469D">
        <w:t xml:space="preserve">the </w:t>
      </w:r>
      <w:r w:rsidRPr="00206E1B">
        <w:t xml:space="preserve">gap between these cohorts closed. </w:t>
      </w:r>
      <w:r w:rsidR="007826D4">
        <w:t xml:space="preserve">Chile’s PISA scores improved </w:t>
      </w:r>
      <w:r w:rsidR="00A56031">
        <w:t xml:space="preserve">faster than the OECD average </w:t>
      </w:r>
      <w:r w:rsidR="007826D4">
        <w:t>between 2009 and 201</w:t>
      </w:r>
      <w:r w:rsidR="00A56031">
        <w:t xml:space="preserve">2, and </w:t>
      </w:r>
      <w:r w:rsidR="001A5A5A">
        <w:t>ahead of</w:t>
      </w:r>
      <w:r w:rsidR="0020764C">
        <w:t xml:space="preserve"> all other Latin American nations.</w:t>
      </w:r>
      <w:r w:rsidR="001A5A5A">
        <w:rPr>
          <w:rStyle w:val="FootnoteReference"/>
        </w:rPr>
        <w:footnoteReference w:id="21"/>
      </w:r>
      <w:r w:rsidRPr="00206E1B">
        <w:t xml:space="preserve"> Secondary school graduation rates have steadily risen from 79</w:t>
      </w:r>
      <w:r w:rsidR="006C3287">
        <w:t xml:space="preserve"> per cent</w:t>
      </w:r>
      <w:r w:rsidRPr="00206E1B">
        <w:t xml:space="preserve"> in 2010 to 91</w:t>
      </w:r>
      <w:r w:rsidR="006C3287">
        <w:t xml:space="preserve"> per cent</w:t>
      </w:r>
      <w:r w:rsidRPr="00206E1B">
        <w:t xml:space="preserve"> in 2020.</w:t>
      </w:r>
      <w:r w:rsidRPr="00206E1B">
        <w:rPr>
          <w:vertAlign w:val="superscript"/>
        </w:rPr>
        <w:footnoteReference w:id="22"/>
      </w:r>
    </w:p>
    <w:p w14:paraId="1385630A" w14:textId="6DDE059A" w:rsidR="00206E1B" w:rsidRDefault="00206E1B" w:rsidP="00206E1B">
      <w:pPr>
        <w:rPr>
          <w:lang w:eastAsia="en-AU"/>
        </w:rPr>
      </w:pPr>
      <w:r w:rsidRPr="00A70B92">
        <w:rPr>
          <w:rFonts w:asciiTheme="majorHAnsi" w:hAnsiTheme="majorHAnsi" w:cstheme="majorHAnsi"/>
          <w:lang w:eastAsia="en-AU"/>
        </w:rPr>
        <w:t>Shanghai</w:t>
      </w:r>
      <w:r>
        <w:rPr>
          <w:lang w:eastAsia="en-AU"/>
        </w:rPr>
        <w:t xml:space="preserve"> has risen to the top of the PISA performance tables across most measures, despite being a city characterised by high </w:t>
      </w:r>
      <w:r w:rsidR="002703BD">
        <w:rPr>
          <w:lang w:eastAsia="en-AU"/>
        </w:rPr>
        <w:t xml:space="preserve">inequalities and </w:t>
      </w:r>
      <w:r>
        <w:rPr>
          <w:lang w:eastAsia="en-AU"/>
        </w:rPr>
        <w:t>social stratification. Of note is that Andreas Schleicher attributes this high performance and equity to investments in teachers and networked capacity (see 3.9) more than any other lever, including quotas.</w:t>
      </w:r>
      <w:r>
        <w:rPr>
          <w:rStyle w:val="FootnoteReference"/>
          <w:lang w:eastAsia="en-AU"/>
        </w:rPr>
        <w:footnoteReference w:id="23"/>
      </w:r>
      <w:r>
        <w:rPr>
          <w:lang w:eastAsia="en-AU"/>
        </w:rPr>
        <w:t xml:space="preserve"> </w:t>
      </w:r>
    </w:p>
    <w:p w14:paraId="3AF6114C" w14:textId="274BFC99" w:rsidR="004F01E2" w:rsidRPr="004F01E2" w:rsidRDefault="004F01E2" w:rsidP="000E6DD5">
      <w:pPr>
        <w:pStyle w:val="Heading3"/>
      </w:pPr>
      <w:r w:rsidRPr="000E6DD5">
        <w:rPr>
          <w:rStyle w:val="Heading3Char"/>
        </w:rPr>
        <w:t xml:space="preserve">Evidence base </w:t>
      </w:r>
    </w:p>
    <w:p w14:paraId="0D026F66" w14:textId="54E188D4" w:rsidR="004F01E2" w:rsidRPr="0086054F" w:rsidRDefault="004F01E2" w:rsidP="004F01E2">
      <w:pPr>
        <w:rPr>
          <w:lang w:eastAsia="en-AU"/>
        </w:rPr>
      </w:pPr>
      <w:r w:rsidRPr="005F29EC">
        <w:rPr>
          <w:rStyle w:val="Heading5Char"/>
          <w:rFonts w:eastAsiaTheme="minorHAnsi"/>
          <w:b w:val="0"/>
          <w:sz w:val="19"/>
          <w:szCs w:val="19"/>
        </w:rPr>
        <w:t>Despite extensive data on schooling diversity and educational outcomes</w:t>
      </w:r>
      <w:r w:rsidR="00F76AF8" w:rsidRPr="005F29EC">
        <w:rPr>
          <w:rStyle w:val="Heading5Char"/>
          <w:rFonts w:eastAsiaTheme="minorHAnsi"/>
          <w:b w:val="0"/>
          <w:sz w:val="19"/>
          <w:szCs w:val="19"/>
        </w:rPr>
        <w:t xml:space="preserve"> in </w:t>
      </w:r>
      <w:r w:rsidR="00F76AF8" w:rsidRPr="008F3430">
        <w:rPr>
          <w:rFonts w:asciiTheme="majorHAnsi" w:hAnsiTheme="majorHAnsi" w:cstheme="majorHAnsi"/>
        </w:rPr>
        <w:t>Belgium</w:t>
      </w:r>
      <w:r w:rsidRPr="005F29EC">
        <w:rPr>
          <w:rStyle w:val="Heading5Char"/>
          <w:rFonts w:eastAsiaTheme="minorHAnsi"/>
          <w:b w:val="0"/>
          <w:sz w:val="19"/>
          <w:szCs w:val="19"/>
        </w:rPr>
        <w:t xml:space="preserve">, it is difficult to </w:t>
      </w:r>
      <w:r w:rsidR="008621CD" w:rsidRPr="005F29EC">
        <w:rPr>
          <w:rStyle w:val="Heading5Char"/>
          <w:rFonts w:eastAsiaTheme="minorHAnsi"/>
          <w:b w:val="0"/>
          <w:sz w:val="19"/>
          <w:szCs w:val="19"/>
        </w:rPr>
        <w:t>confidently</w:t>
      </w:r>
      <w:r w:rsidRPr="005F29EC">
        <w:rPr>
          <w:rStyle w:val="Heading5Char"/>
          <w:rFonts w:eastAsiaTheme="minorHAnsi"/>
          <w:b w:val="0"/>
          <w:sz w:val="19"/>
          <w:szCs w:val="19"/>
        </w:rPr>
        <w:t xml:space="preserve"> attribute any causation to legislated quotas</w:t>
      </w:r>
      <w:r w:rsidRPr="0086054F">
        <w:rPr>
          <w:lang w:eastAsia="en-AU"/>
        </w:rPr>
        <w:t xml:space="preserve"> because of the near-continuous iterations of </w:t>
      </w:r>
      <w:r w:rsidR="00151026" w:rsidRPr="0086054F">
        <w:rPr>
          <w:lang w:eastAsia="en-AU"/>
        </w:rPr>
        <w:t xml:space="preserve">the </w:t>
      </w:r>
      <w:r w:rsidR="00F76AF8">
        <w:rPr>
          <w:lang w:eastAsia="en-AU"/>
        </w:rPr>
        <w:t>legislation</w:t>
      </w:r>
      <w:r w:rsidR="00921ADB">
        <w:rPr>
          <w:lang w:eastAsia="en-AU"/>
        </w:rPr>
        <w:t xml:space="preserve">, </w:t>
      </w:r>
      <w:r w:rsidR="00151026" w:rsidRPr="0086054F">
        <w:rPr>
          <w:lang w:eastAsia="en-AU"/>
        </w:rPr>
        <w:t>regulatory requirements</w:t>
      </w:r>
      <w:r w:rsidR="00921ADB">
        <w:rPr>
          <w:lang w:eastAsia="en-AU"/>
        </w:rPr>
        <w:t xml:space="preserve"> and </w:t>
      </w:r>
      <w:r w:rsidRPr="0086054F">
        <w:rPr>
          <w:lang w:eastAsia="en-AU"/>
        </w:rPr>
        <w:t xml:space="preserve">the diversity in </w:t>
      </w:r>
      <w:r w:rsidR="00922A1E">
        <w:rPr>
          <w:lang w:eastAsia="en-AU"/>
        </w:rPr>
        <w:t>local</w:t>
      </w:r>
      <w:r w:rsidR="00A60E25" w:rsidRPr="0086054F">
        <w:rPr>
          <w:lang w:eastAsia="en-AU"/>
        </w:rPr>
        <w:t xml:space="preserve"> </w:t>
      </w:r>
      <w:r w:rsidRPr="0086054F">
        <w:rPr>
          <w:lang w:eastAsia="en-AU"/>
        </w:rPr>
        <w:t xml:space="preserve">implementation. </w:t>
      </w:r>
    </w:p>
    <w:p w14:paraId="317846EA" w14:textId="5C861193" w:rsidR="004F01E2" w:rsidRPr="0086054F" w:rsidRDefault="004F01E2" w:rsidP="004F01E2">
      <w:pPr>
        <w:rPr>
          <w:lang w:eastAsia="en-AU"/>
        </w:rPr>
      </w:pPr>
      <w:r w:rsidRPr="0086054F">
        <w:rPr>
          <w:lang w:eastAsia="en-AU"/>
        </w:rPr>
        <w:t>Evidence is also muddied by</w:t>
      </w:r>
      <w:r w:rsidR="00F16E4B">
        <w:rPr>
          <w:lang w:eastAsia="en-AU"/>
        </w:rPr>
        <w:t xml:space="preserve"> the impact of</w:t>
      </w:r>
      <w:r w:rsidR="002F7C3B">
        <w:rPr>
          <w:lang w:eastAsia="en-AU"/>
        </w:rPr>
        <w:t xml:space="preserve"> </w:t>
      </w:r>
      <w:r w:rsidRPr="0086054F">
        <w:rPr>
          <w:lang w:eastAsia="en-AU"/>
        </w:rPr>
        <w:t>streaming within Belgium’s school systems which is highly correlated with inequities and stronger connections between students’ educational outcomes and SES background. This means that any benefits of legislated quotas</w:t>
      </w:r>
      <w:r w:rsidR="004211B7">
        <w:rPr>
          <w:lang w:eastAsia="en-AU"/>
        </w:rPr>
        <w:t>, or other</w:t>
      </w:r>
      <w:r w:rsidR="00DE7512">
        <w:rPr>
          <w:lang w:eastAsia="en-AU"/>
        </w:rPr>
        <w:t xml:space="preserve"> </w:t>
      </w:r>
      <w:r w:rsidR="004211B7">
        <w:rPr>
          <w:lang w:eastAsia="en-AU"/>
        </w:rPr>
        <w:t>interventions</w:t>
      </w:r>
      <w:r w:rsidR="000118B1">
        <w:rPr>
          <w:lang w:eastAsia="en-AU"/>
        </w:rPr>
        <w:t xml:space="preserve"> in Belgium</w:t>
      </w:r>
      <w:r w:rsidR="004211B7">
        <w:rPr>
          <w:lang w:eastAsia="en-AU"/>
        </w:rPr>
        <w:t>,</w:t>
      </w:r>
      <w:r w:rsidRPr="0086054F">
        <w:rPr>
          <w:lang w:eastAsia="en-AU"/>
        </w:rPr>
        <w:t xml:space="preserve"> could be hidden or overridden by influence of </w:t>
      </w:r>
      <w:r w:rsidR="00513A7C">
        <w:rPr>
          <w:lang w:eastAsia="en-AU"/>
        </w:rPr>
        <w:t>tracking</w:t>
      </w:r>
      <w:r w:rsidRPr="0086054F">
        <w:rPr>
          <w:lang w:eastAsia="en-AU"/>
        </w:rPr>
        <w:t xml:space="preserve">. </w:t>
      </w:r>
    </w:p>
    <w:p w14:paraId="67BB0F4E" w14:textId="3225FB03" w:rsidR="003610B2" w:rsidRPr="0086054F" w:rsidRDefault="009011D2" w:rsidP="004F01E2">
      <w:pPr>
        <w:rPr>
          <w:lang w:eastAsia="en-AU"/>
        </w:rPr>
      </w:pPr>
      <w:r w:rsidRPr="00481A12">
        <w:rPr>
          <w:lang w:eastAsia="en-AU"/>
        </w:rPr>
        <w:t xml:space="preserve">In </w:t>
      </w:r>
      <w:r w:rsidRPr="00481A12">
        <w:rPr>
          <w:rFonts w:asciiTheme="majorHAnsi" w:hAnsiTheme="majorHAnsi" w:cstheme="majorHAnsi"/>
          <w:lang w:eastAsia="en-AU"/>
        </w:rPr>
        <w:t>Chile</w:t>
      </w:r>
      <w:r w:rsidRPr="00481A12">
        <w:rPr>
          <w:lang w:eastAsia="en-AU"/>
        </w:rPr>
        <w:t xml:space="preserve">, there is strong evidence of improvements to </w:t>
      </w:r>
      <w:r w:rsidR="006B7CAE" w:rsidRPr="00481A12">
        <w:rPr>
          <w:lang w:eastAsia="en-AU"/>
        </w:rPr>
        <w:t xml:space="preserve">both school </w:t>
      </w:r>
      <w:r w:rsidRPr="00481A12">
        <w:rPr>
          <w:lang w:eastAsia="en-AU"/>
        </w:rPr>
        <w:t>diversity and educational performance</w:t>
      </w:r>
      <w:r w:rsidR="00482AED">
        <w:rPr>
          <w:lang w:eastAsia="en-AU"/>
        </w:rPr>
        <w:t xml:space="preserve">. However, </w:t>
      </w:r>
      <w:r w:rsidRPr="00481A12">
        <w:rPr>
          <w:lang w:eastAsia="en-AU"/>
        </w:rPr>
        <w:t xml:space="preserve">it is </w:t>
      </w:r>
      <w:r w:rsidR="003610B2" w:rsidRPr="00481A12">
        <w:rPr>
          <w:lang w:eastAsia="en-AU"/>
        </w:rPr>
        <w:t xml:space="preserve">difficult to isolate the impact of legislated </w:t>
      </w:r>
      <w:r w:rsidR="00482AED">
        <w:rPr>
          <w:lang w:eastAsia="en-AU"/>
        </w:rPr>
        <w:t>quotas</w:t>
      </w:r>
      <w:r w:rsidR="003610B2" w:rsidRPr="00481A12">
        <w:rPr>
          <w:lang w:eastAsia="en-AU"/>
        </w:rPr>
        <w:t xml:space="preserve"> from </w:t>
      </w:r>
      <w:r w:rsidR="00DA0732">
        <w:rPr>
          <w:lang w:eastAsia="en-AU"/>
        </w:rPr>
        <w:t>other interventions introduced as part of a</w:t>
      </w:r>
      <w:r w:rsidR="003610B2" w:rsidRPr="00481A12">
        <w:rPr>
          <w:lang w:eastAsia="en-AU"/>
        </w:rPr>
        <w:t xml:space="preserve"> </w:t>
      </w:r>
      <w:r w:rsidR="00F617DB">
        <w:rPr>
          <w:lang w:eastAsia="en-AU"/>
        </w:rPr>
        <w:t xml:space="preserve">cohesive </w:t>
      </w:r>
      <w:r w:rsidR="00DA0732">
        <w:rPr>
          <w:lang w:eastAsia="en-AU"/>
        </w:rPr>
        <w:t xml:space="preserve">reforms </w:t>
      </w:r>
      <w:r w:rsidR="00F617DB">
        <w:rPr>
          <w:lang w:eastAsia="en-AU"/>
        </w:rPr>
        <w:t xml:space="preserve">package, including the </w:t>
      </w:r>
      <w:r w:rsidR="003610B2" w:rsidRPr="00481A12">
        <w:rPr>
          <w:lang w:eastAsia="en-AU"/>
        </w:rPr>
        <w:t>removal of fees, reversal of selectivity and other interventions.</w:t>
      </w:r>
    </w:p>
    <w:p w14:paraId="47549751" w14:textId="3D34F6E5" w:rsidR="001E6A55" w:rsidRDefault="001E6A55" w:rsidP="00437C40">
      <w:pPr>
        <w:pStyle w:val="Heading3"/>
      </w:pPr>
      <w:r>
        <w:lastRenderedPageBreak/>
        <w:t xml:space="preserve">Transferability </w:t>
      </w:r>
    </w:p>
    <w:p w14:paraId="3D790217" w14:textId="5780C7BE" w:rsidR="004F01E2" w:rsidRDefault="00602EF8" w:rsidP="001E6A55">
      <w:pPr>
        <w:pStyle w:val="Heading5"/>
      </w:pPr>
      <w:r>
        <w:t>Relevance to Australia</w:t>
      </w:r>
    </w:p>
    <w:p w14:paraId="18D75FD2" w14:textId="6C3DA816" w:rsidR="00C70D6F" w:rsidRPr="0086054F" w:rsidRDefault="00C70D6F" w:rsidP="004F01E2">
      <w:pPr>
        <w:rPr>
          <w:lang w:eastAsia="en-AU"/>
        </w:rPr>
      </w:pPr>
      <w:r>
        <w:rPr>
          <w:noProof/>
        </w:rPr>
        <w:drawing>
          <wp:inline distT="0" distB="0" distL="0" distR="0" wp14:anchorId="14665758" wp14:editId="185E6B46">
            <wp:extent cx="5670000" cy="1660621"/>
            <wp:effectExtent l="0" t="0" r="6985" b="0"/>
            <wp:docPr id="1806188109" name="Picture 1806188109" descr="Lists the dimensions of transferability to the Australian context, with a low-medium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88109" name="Picture 1806188109" descr="Lists the dimensions of transferability to the Australian context, with a low-medium level of transferability to Australia. "/>
                    <pic:cNvPicPr/>
                  </pic:nvPicPr>
                  <pic:blipFill>
                    <a:blip r:embed="rId19">
                      <a:extLst>
                        <a:ext uri="{28A0092B-C50C-407E-A947-70E740481C1C}">
                          <a14:useLocalDpi xmlns:a14="http://schemas.microsoft.com/office/drawing/2010/main" val="0"/>
                        </a:ext>
                      </a:extLst>
                    </a:blip>
                    <a:stretch>
                      <a:fillRect/>
                    </a:stretch>
                  </pic:blipFill>
                  <pic:spPr>
                    <a:xfrm>
                      <a:off x="0" y="0"/>
                      <a:ext cx="5670000" cy="1660621"/>
                    </a:xfrm>
                    <a:prstGeom prst="rect">
                      <a:avLst/>
                    </a:prstGeom>
                  </pic:spPr>
                </pic:pic>
              </a:graphicData>
            </a:graphic>
          </wp:inline>
        </w:drawing>
      </w:r>
    </w:p>
    <w:p w14:paraId="29AFC20D" w14:textId="3C8283DB" w:rsidR="00E53CB6" w:rsidRDefault="00C936D8" w:rsidP="004F01E2">
      <w:pPr>
        <w:rPr>
          <w:lang w:eastAsia="en-AU"/>
        </w:rPr>
      </w:pPr>
      <w:r w:rsidRPr="0086054F">
        <w:rPr>
          <w:lang w:eastAsia="en-AU"/>
        </w:rPr>
        <w:t>Legislated quotas are used at national, regional and city levels</w:t>
      </w:r>
      <w:r w:rsidR="00E47993" w:rsidRPr="0086054F">
        <w:rPr>
          <w:lang w:eastAsia="en-AU"/>
        </w:rPr>
        <w:t xml:space="preserve"> elsewhere</w:t>
      </w:r>
      <w:r w:rsidRPr="0086054F">
        <w:rPr>
          <w:lang w:eastAsia="en-AU"/>
        </w:rPr>
        <w:t xml:space="preserve">, indicating in-principle feasibility in </w:t>
      </w:r>
      <w:r w:rsidR="00777992">
        <w:rPr>
          <w:lang w:eastAsia="en-AU"/>
        </w:rPr>
        <w:t>government and non</w:t>
      </w:r>
      <w:r w:rsidR="00BD53C2">
        <w:rPr>
          <w:lang w:eastAsia="en-AU"/>
        </w:rPr>
        <w:t>-</w:t>
      </w:r>
      <w:r w:rsidR="00777992">
        <w:rPr>
          <w:lang w:eastAsia="en-AU"/>
        </w:rPr>
        <w:t>government school</w:t>
      </w:r>
      <w:r w:rsidR="005C1097">
        <w:rPr>
          <w:lang w:eastAsia="en-AU"/>
        </w:rPr>
        <w:t xml:space="preserve"> system</w:t>
      </w:r>
      <w:r w:rsidR="00777992">
        <w:rPr>
          <w:lang w:eastAsia="en-AU"/>
        </w:rPr>
        <w:t xml:space="preserve">s </w:t>
      </w:r>
      <w:r w:rsidR="00294FCC">
        <w:rPr>
          <w:lang w:eastAsia="en-AU"/>
        </w:rPr>
        <w:t>and</w:t>
      </w:r>
      <w:r w:rsidR="00777992">
        <w:rPr>
          <w:lang w:eastAsia="en-AU"/>
        </w:rPr>
        <w:t xml:space="preserve"> in metro, regional and rural areas</w:t>
      </w:r>
      <w:r w:rsidR="00E47993" w:rsidRPr="0086054F">
        <w:rPr>
          <w:lang w:eastAsia="en-AU"/>
        </w:rPr>
        <w:t xml:space="preserve"> in Australia</w:t>
      </w:r>
      <w:r w:rsidRPr="0086054F">
        <w:rPr>
          <w:lang w:eastAsia="en-AU"/>
        </w:rPr>
        <w:t xml:space="preserve">. Enrolment prioritisation is already used across Australia (e.g., through zoning, faith, enrolled siblings). However, reserving places in government and in non-government schools on criteria such as SES </w:t>
      </w:r>
      <w:r w:rsidR="00CF457A">
        <w:rPr>
          <w:lang w:eastAsia="en-AU"/>
        </w:rPr>
        <w:t>or cultural</w:t>
      </w:r>
      <w:r w:rsidRPr="0086054F">
        <w:rPr>
          <w:lang w:eastAsia="en-AU"/>
        </w:rPr>
        <w:t xml:space="preserve"> background </w:t>
      </w:r>
      <w:r w:rsidR="00047F62">
        <w:rPr>
          <w:lang w:eastAsia="en-AU"/>
        </w:rPr>
        <w:t>c</w:t>
      </w:r>
      <w:r w:rsidRPr="0086054F">
        <w:rPr>
          <w:lang w:eastAsia="en-AU"/>
        </w:rPr>
        <w:t>ould be highly contested by parents and school leaders</w:t>
      </w:r>
      <w:r w:rsidR="001558F1">
        <w:rPr>
          <w:lang w:eastAsia="en-AU"/>
        </w:rPr>
        <w:t xml:space="preserve"> as unfair</w:t>
      </w:r>
      <w:r w:rsidR="00790D50">
        <w:rPr>
          <w:lang w:eastAsia="en-AU"/>
        </w:rPr>
        <w:t>. Further</w:t>
      </w:r>
      <w:r w:rsidRPr="0086054F">
        <w:rPr>
          <w:lang w:eastAsia="en-AU"/>
        </w:rPr>
        <w:t>, this intervention would require a new level of administration and oversight, especially of non-government schools</w:t>
      </w:r>
      <w:r w:rsidR="00A042A2" w:rsidRPr="0086054F">
        <w:rPr>
          <w:lang w:eastAsia="en-AU"/>
        </w:rPr>
        <w:t>,</w:t>
      </w:r>
      <w:r w:rsidRPr="0086054F">
        <w:rPr>
          <w:lang w:eastAsia="en-AU"/>
        </w:rPr>
        <w:t xml:space="preserve"> </w:t>
      </w:r>
      <w:r w:rsidR="002D7A6D">
        <w:rPr>
          <w:lang w:eastAsia="en-AU"/>
        </w:rPr>
        <w:t xml:space="preserve">requiring additional resourcing. </w:t>
      </w:r>
    </w:p>
    <w:p w14:paraId="2E9A2DA0" w14:textId="77777777" w:rsidR="008E26B8" w:rsidRDefault="00C936D8" w:rsidP="004F01E2">
      <w:pPr>
        <w:rPr>
          <w:lang w:eastAsia="en-AU"/>
        </w:rPr>
      </w:pPr>
      <w:r w:rsidRPr="0086054F">
        <w:rPr>
          <w:lang w:eastAsia="en-AU"/>
        </w:rPr>
        <w:t xml:space="preserve">Introduction of quotas could be </w:t>
      </w:r>
      <w:r w:rsidR="00F06093">
        <w:rPr>
          <w:lang w:eastAsia="en-AU"/>
        </w:rPr>
        <w:t>phased</w:t>
      </w:r>
      <w:r w:rsidR="0017301E">
        <w:rPr>
          <w:lang w:eastAsia="en-AU"/>
        </w:rPr>
        <w:t xml:space="preserve"> </w:t>
      </w:r>
      <w:r w:rsidR="00F06093">
        <w:rPr>
          <w:lang w:eastAsia="en-AU"/>
        </w:rPr>
        <w:t>i</w:t>
      </w:r>
      <w:r w:rsidR="008E26B8">
        <w:rPr>
          <w:lang w:eastAsia="en-AU"/>
        </w:rPr>
        <w:t>n by</w:t>
      </w:r>
      <w:r w:rsidR="00F90322">
        <w:rPr>
          <w:lang w:eastAsia="en-AU"/>
        </w:rPr>
        <w:t xml:space="preserve">: </w:t>
      </w:r>
    </w:p>
    <w:p w14:paraId="2B734876" w14:textId="306FD562" w:rsidR="008E26B8" w:rsidRPr="00E0377E" w:rsidRDefault="00ED721B" w:rsidP="00E45BFE">
      <w:pPr>
        <w:pStyle w:val="TableNBullet"/>
        <w:numPr>
          <w:ilvl w:val="0"/>
          <w:numId w:val="18"/>
        </w:numPr>
        <w:rPr>
          <w:sz w:val="19"/>
        </w:rPr>
      </w:pPr>
      <w:r>
        <w:rPr>
          <w:sz w:val="19"/>
        </w:rPr>
        <w:t>S</w:t>
      </w:r>
      <w:r w:rsidR="00F90322" w:rsidRPr="00E0377E">
        <w:rPr>
          <w:sz w:val="19"/>
        </w:rPr>
        <w:t xml:space="preserve">tarting low </w:t>
      </w:r>
      <w:r w:rsidR="00B4644F" w:rsidRPr="00E0377E">
        <w:rPr>
          <w:sz w:val="19"/>
        </w:rPr>
        <w:t xml:space="preserve">such as </w:t>
      </w:r>
      <w:r w:rsidR="000B493E">
        <w:rPr>
          <w:sz w:val="19"/>
        </w:rPr>
        <w:t>five</w:t>
      </w:r>
      <w:r>
        <w:rPr>
          <w:sz w:val="19"/>
        </w:rPr>
        <w:t xml:space="preserve"> per cent</w:t>
      </w:r>
      <w:r w:rsidR="00B4644F" w:rsidRPr="00E0377E">
        <w:rPr>
          <w:sz w:val="19"/>
        </w:rPr>
        <w:t xml:space="preserve"> </w:t>
      </w:r>
      <w:r w:rsidR="00F90322" w:rsidRPr="00E0377E">
        <w:rPr>
          <w:sz w:val="19"/>
        </w:rPr>
        <w:t>and increasingly incrementally</w:t>
      </w:r>
      <w:r>
        <w:rPr>
          <w:sz w:val="19"/>
        </w:rPr>
        <w:t>.</w:t>
      </w:r>
    </w:p>
    <w:p w14:paraId="5EEE9841" w14:textId="17514DDF" w:rsidR="00FE0360" w:rsidRPr="00E0377E" w:rsidRDefault="00ED721B" w:rsidP="00E45BFE">
      <w:pPr>
        <w:pStyle w:val="TableNBullet"/>
        <w:numPr>
          <w:ilvl w:val="0"/>
          <w:numId w:val="18"/>
        </w:numPr>
        <w:rPr>
          <w:sz w:val="19"/>
        </w:rPr>
      </w:pPr>
      <w:r>
        <w:rPr>
          <w:sz w:val="19"/>
        </w:rPr>
        <w:t>M</w:t>
      </w:r>
      <w:r w:rsidR="00F90322" w:rsidRPr="00E0377E">
        <w:rPr>
          <w:sz w:val="19"/>
        </w:rPr>
        <w:t xml:space="preserve">aking </w:t>
      </w:r>
      <w:r w:rsidR="00B4644F" w:rsidRPr="00E0377E">
        <w:rPr>
          <w:sz w:val="19"/>
        </w:rPr>
        <w:t>quotas</w:t>
      </w:r>
      <w:r w:rsidR="00DC12E7" w:rsidRPr="00E0377E">
        <w:rPr>
          <w:sz w:val="19"/>
        </w:rPr>
        <w:t xml:space="preserve"> voluntary or </w:t>
      </w:r>
      <w:r w:rsidR="0007155F" w:rsidRPr="00E0377E">
        <w:rPr>
          <w:sz w:val="19"/>
        </w:rPr>
        <w:t>aspirational</w:t>
      </w:r>
      <w:r w:rsidR="008007CE" w:rsidRPr="00E0377E">
        <w:rPr>
          <w:sz w:val="19"/>
        </w:rPr>
        <w:t xml:space="preserve"> (</w:t>
      </w:r>
      <w:r w:rsidR="008E26B8" w:rsidRPr="00E0377E">
        <w:rPr>
          <w:sz w:val="19"/>
        </w:rPr>
        <w:t>i.e</w:t>
      </w:r>
      <w:r w:rsidR="00C0379F" w:rsidRPr="00E0377E">
        <w:rPr>
          <w:sz w:val="19"/>
        </w:rPr>
        <w:t>.,</w:t>
      </w:r>
      <w:r w:rsidR="008E26B8" w:rsidRPr="00E0377E">
        <w:rPr>
          <w:sz w:val="19"/>
        </w:rPr>
        <w:t xml:space="preserve"> ‘</w:t>
      </w:r>
      <w:r w:rsidR="008007CE" w:rsidRPr="00E0377E">
        <w:rPr>
          <w:sz w:val="19"/>
        </w:rPr>
        <w:t>soft</w:t>
      </w:r>
      <w:r w:rsidR="008E26B8" w:rsidRPr="00E0377E">
        <w:rPr>
          <w:sz w:val="19"/>
        </w:rPr>
        <w:t>’</w:t>
      </w:r>
      <w:r w:rsidR="008007CE" w:rsidRPr="00E0377E">
        <w:rPr>
          <w:sz w:val="19"/>
        </w:rPr>
        <w:t xml:space="preserve"> quotas </w:t>
      </w:r>
      <w:r w:rsidR="008E26B8" w:rsidRPr="00E0377E">
        <w:rPr>
          <w:sz w:val="19"/>
        </w:rPr>
        <w:t>or aspirational targets</w:t>
      </w:r>
      <w:r w:rsidR="00FE0360" w:rsidRPr="00E0377E">
        <w:rPr>
          <w:sz w:val="19"/>
        </w:rPr>
        <w:t>)</w:t>
      </w:r>
      <w:r>
        <w:rPr>
          <w:sz w:val="19"/>
        </w:rPr>
        <w:t>.</w:t>
      </w:r>
    </w:p>
    <w:p w14:paraId="03D5AC56" w14:textId="25251398" w:rsidR="00B207DD" w:rsidRPr="00E0377E" w:rsidRDefault="00ED721B" w:rsidP="00E45BFE">
      <w:pPr>
        <w:pStyle w:val="TableNBullet"/>
        <w:numPr>
          <w:ilvl w:val="0"/>
          <w:numId w:val="18"/>
        </w:numPr>
        <w:rPr>
          <w:sz w:val="19"/>
        </w:rPr>
      </w:pPr>
      <w:r>
        <w:rPr>
          <w:sz w:val="19"/>
        </w:rPr>
        <w:t>L</w:t>
      </w:r>
      <w:r w:rsidR="00B207DD" w:rsidRPr="00E0377E">
        <w:rPr>
          <w:sz w:val="19"/>
        </w:rPr>
        <w:t xml:space="preserve">inking them to </w:t>
      </w:r>
      <w:r w:rsidR="00A26260" w:rsidRPr="00E0377E">
        <w:rPr>
          <w:sz w:val="19"/>
        </w:rPr>
        <w:t>funding incentives</w:t>
      </w:r>
      <w:r w:rsidR="00C3772A" w:rsidRPr="00E0377E">
        <w:rPr>
          <w:sz w:val="19"/>
        </w:rPr>
        <w:t xml:space="preserve"> or agreements</w:t>
      </w:r>
      <w:r>
        <w:rPr>
          <w:sz w:val="19"/>
        </w:rPr>
        <w:t>.</w:t>
      </w:r>
    </w:p>
    <w:p w14:paraId="5485D834" w14:textId="7340C4B3" w:rsidR="00283AA8" w:rsidRPr="00E0377E" w:rsidRDefault="00ED721B" w:rsidP="00E45BFE">
      <w:pPr>
        <w:pStyle w:val="TableNBullet"/>
        <w:numPr>
          <w:ilvl w:val="0"/>
          <w:numId w:val="18"/>
        </w:numPr>
        <w:rPr>
          <w:sz w:val="19"/>
        </w:rPr>
      </w:pPr>
      <w:r>
        <w:rPr>
          <w:sz w:val="19"/>
        </w:rPr>
        <w:t>I</w:t>
      </w:r>
      <w:r w:rsidR="00DC12E7" w:rsidRPr="00E0377E">
        <w:rPr>
          <w:sz w:val="19"/>
        </w:rPr>
        <w:t xml:space="preserve">nvolving local </w:t>
      </w:r>
      <w:r w:rsidR="00083DEF" w:rsidRPr="00E0377E">
        <w:rPr>
          <w:sz w:val="19"/>
        </w:rPr>
        <w:t>input into their design and administration.</w:t>
      </w:r>
    </w:p>
    <w:p w14:paraId="31157E52" w14:textId="308FB3F1" w:rsidR="002D7A6D" w:rsidRDefault="00283AA8" w:rsidP="00283AA8">
      <w:r>
        <w:t xml:space="preserve">Any </w:t>
      </w:r>
      <w:r w:rsidR="00E1271D">
        <w:t>quota-based system would require careful regulation</w:t>
      </w:r>
      <w:r w:rsidR="00E44F8B">
        <w:t xml:space="preserve"> and oversight to </w:t>
      </w:r>
      <w:r w:rsidR="00B4644F">
        <w:t xml:space="preserve">prevent </w:t>
      </w:r>
      <w:r w:rsidR="00BB41E4">
        <w:t>‘</w:t>
      </w:r>
      <w:r w:rsidR="00B4644F">
        <w:t>creaming</w:t>
      </w:r>
      <w:r w:rsidR="00E44F8B">
        <w:t>’</w:t>
      </w:r>
      <w:r w:rsidR="00B4644F">
        <w:t xml:space="preserve"> of talent from low SES </w:t>
      </w:r>
      <w:r w:rsidR="009654E7">
        <w:t>schools</w:t>
      </w:r>
      <w:r w:rsidR="00B4644F">
        <w:t>.</w:t>
      </w:r>
      <w:r w:rsidR="006149E6">
        <w:t xml:space="preserve"> </w:t>
      </w:r>
    </w:p>
    <w:p w14:paraId="58080E72" w14:textId="481F0301" w:rsidR="00AA6266" w:rsidRDefault="00AA6266">
      <w:pPr>
        <w:spacing w:after="160"/>
        <w:rPr>
          <w:lang w:eastAsia="en-AU"/>
        </w:rPr>
      </w:pPr>
      <w:r>
        <w:rPr>
          <w:lang w:eastAsia="en-AU"/>
        </w:rPr>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9D6B43" w14:paraId="51DDFBD7" w14:textId="77777777">
        <w:tc>
          <w:tcPr>
            <w:tcW w:w="9401" w:type="dxa"/>
            <w:tcBorders>
              <w:top w:val="single" w:sz="24" w:space="0" w:color="25B3E0" w:themeColor="accent6"/>
              <w:left w:val="nil"/>
              <w:bottom w:val="nil"/>
              <w:right w:val="nil"/>
            </w:tcBorders>
            <w:shd w:val="clear" w:color="auto" w:fill="E6E6E1" w:themeFill="accent5"/>
            <w:vAlign w:val="center"/>
          </w:tcPr>
          <w:p w14:paraId="0AFE1E53" w14:textId="6033D7A8" w:rsidR="009D6B43" w:rsidRDefault="009D6B43" w:rsidP="00CA7524">
            <w:pPr>
              <w:pStyle w:val="Heading2"/>
              <w:spacing w:before="120" w:after="120" w:line="240" w:lineRule="auto"/>
              <w:ind w:left="578" w:hanging="578"/>
            </w:pPr>
            <w:bookmarkStart w:id="13" w:name="_Ref149040933"/>
            <w:bookmarkStart w:id="14" w:name="_Toc149052450"/>
            <w:r w:rsidRPr="009D6B43">
              <w:lastRenderedPageBreak/>
              <w:t>Removal of fees</w:t>
            </w:r>
            <w:bookmarkEnd w:id="13"/>
            <w:bookmarkEnd w:id="14"/>
          </w:p>
        </w:tc>
      </w:tr>
      <w:tr w:rsidR="009D6B43" w14:paraId="1BC8DD68" w14:textId="77777777">
        <w:tc>
          <w:tcPr>
            <w:tcW w:w="9401" w:type="dxa"/>
            <w:tcBorders>
              <w:top w:val="nil"/>
              <w:left w:val="nil"/>
              <w:bottom w:val="single" w:sz="4" w:space="0" w:color="25B3E0" w:themeColor="accent6"/>
              <w:right w:val="nil"/>
            </w:tcBorders>
            <w:shd w:val="clear" w:color="auto" w:fill="F2F2F2" w:themeFill="background1" w:themeFillShade="F2"/>
            <w:tcMar>
              <w:top w:w="113" w:type="dxa"/>
            </w:tcMar>
            <w:vAlign w:val="bottom"/>
          </w:tcPr>
          <w:p w14:paraId="4C134EF5" w14:textId="77777777" w:rsidR="009D6B43" w:rsidRPr="00130948" w:rsidRDefault="009D6B43">
            <w:r>
              <w:rPr>
                <w:noProof/>
              </w:rPr>
              <w:drawing>
                <wp:inline distT="0" distB="0" distL="0" distR="0" wp14:anchorId="03E28E71" wp14:editId="5FB5B134">
                  <wp:extent cx="3530172" cy="270665"/>
                  <wp:effectExtent l="0" t="0" r="0" b="0"/>
                  <wp:docPr id="680428039" name="Picture 680428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28039" name="Picture 680428039">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14BFECBC" w14:textId="5E027250" w:rsidR="3A3D6DBF" w:rsidRDefault="009C170E" w:rsidP="009C170E">
      <w:pPr>
        <w:spacing w:before="240"/>
      </w:pPr>
      <w:r>
        <w:rPr>
          <w:lang w:eastAsia="en-AU"/>
        </w:rPr>
        <w:t xml:space="preserve">This intervention refers to </w:t>
      </w:r>
      <w:r w:rsidR="00DE6A88">
        <w:rPr>
          <w:lang w:eastAsia="en-AU"/>
        </w:rPr>
        <w:t xml:space="preserve">decisions by government to effectively fully-fund schools so that </w:t>
      </w:r>
      <w:r w:rsidR="009C0CF5">
        <w:rPr>
          <w:lang w:eastAsia="en-AU"/>
        </w:rPr>
        <w:t>they</w:t>
      </w:r>
      <w:r w:rsidR="00DE6A88">
        <w:rPr>
          <w:lang w:eastAsia="en-AU"/>
        </w:rPr>
        <w:t xml:space="preserve"> do not (and cannot) charge fees</w:t>
      </w:r>
      <w:r w:rsidR="000202FB">
        <w:rPr>
          <w:lang w:eastAsia="en-AU"/>
        </w:rPr>
        <w:t>. Typically</w:t>
      </w:r>
      <w:r w:rsidR="009C0CF5">
        <w:rPr>
          <w:lang w:eastAsia="en-AU"/>
        </w:rPr>
        <w:t>,</w:t>
      </w:r>
      <w:r w:rsidR="000202FB">
        <w:rPr>
          <w:lang w:eastAsia="en-AU"/>
        </w:rPr>
        <w:t xml:space="preserve"> it involves bringing schools into the public system on the same terms and conditions</w:t>
      </w:r>
      <w:r w:rsidR="00482BA3">
        <w:rPr>
          <w:lang w:eastAsia="en-AU"/>
        </w:rPr>
        <w:t>.</w:t>
      </w:r>
      <w:r w:rsidR="00D40F25">
        <w:rPr>
          <w:lang w:eastAsia="en-AU"/>
        </w:rPr>
        <w:t xml:space="preserve"> </w:t>
      </w:r>
      <w:r w:rsidR="00482BA3">
        <w:rPr>
          <w:lang w:eastAsia="en-AU"/>
        </w:rPr>
        <w:t xml:space="preserve">For example, </w:t>
      </w:r>
      <w:r w:rsidR="00D40F25">
        <w:rPr>
          <w:lang w:eastAsia="en-AU"/>
        </w:rPr>
        <w:t xml:space="preserve"> not being able to </w:t>
      </w:r>
      <w:r w:rsidR="00890248">
        <w:rPr>
          <w:lang w:eastAsia="en-AU"/>
        </w:rPr>
        <w:t>select students for their abilities</w:t>
      </w:r>
      <w:r w:rsidR="00752C6B">
        <w:rPr>
          <w:lang w:eastAsia="en-AU"/>
        </w:rPr>
        <w:t xml:space="preserve"> </w:t>
      </w:r>
      <w:r w:rsidR="000202FB">
        <w:rPr>
          <w:lang w:eastAsia="en-AU"/>
        </w:rPr>
        <w:t xml:space="preserve">while allowing for a continuation of </w:t>
      </w:r>
      <w:r w:rsidR="00426231">
        <w:rPr>
          <w:lang w:eastAsia="en-AU"/>
        </w:rPr>
        <w:t>special characteristics (e.g</w:t>
      </w:r>
      <w:r w:rsidR="007B2D66">
        <w:rPr>
          <w:lang w:eastAsia="en-AU"/>
        </w:rPr>
        <w:t>.,</w:t>
      </w:r>
      <w:r w:rsidR="00426231">
        <w:rPr>
          <w:lang w:eastAsia="en-AU"/>
        </w:rPr>
        <w:t xml:space="preserve"> being faith-based</w:t>
      </w:r>
      <w:r w:rsidR="006958F5">
        <w:rPr>
          <w:lang w:eastAsia="en-AU"/>
        </w:rPr>
        <w:t>, Montessori</w:t>
      </w:r>
      <w:r w:rsidR="00426231">
        <w:rPr>
          <w:lang w:eastAsia="en-AU"/>
        </w:rPr>
        <w:t xml:space="preserve">) to preserve their distinctiveness and attractiveness to </w:t>
      </w:r>
      <w:r w:rsidR="00787B0B">
        <w:rPr>
          <w:lang w:eastAsia="en-AU"/>
        </w:rPr>
        <w:t xml:space="preserve">certain segments of the population. </w:t>
      </w:r>
      <w:r w:rsidR="00787B0B" w:rsidRPr="0086054F">
        <w:rPr>
          <w:lang w:eastAsia="en-AU"/>
        </w:rPr>
        <w:t xml:space="preserve">Fee removal is also arguably an important condition of the success of other policy </w:t>
      </w:r>
      <w:r w:rsidR="00787B0B">
        <w:rPr>
          <w:lang w:eastAsia="en-AU"/>
        </w:rPr>
        <w:t xml:space="preserve">interventions </w:t>
      </w:r>
      <w:r w:rsidR="00902F54">
        <w:rPr>
          <w:lang w:eastAsia="en-AU"/>
        </w:rPr>
        <w:t>that seek to promote greater socio-economic</w:t>
      </w:r>
      <w:r w:rsidR="009E5FB9">
        <w:rPr>
          <w:lang w:eastAsia="en-AU"/>
        </w:rPr>
        <w:t xml:space="preserve"> diversity</w:t>
      </w:r>
      <w:r w:rsidR="0049522A">
        <w:rPr>
          <w:lang w:eastAsia="en-AU"/>
        </w:rPr>
        <w:t>.</w:t>
      </w:r>
    </w:p>
    <w:p w14:paraId="12C2B856" w14:textId="4BD88B1C" w:rsidR="009C170E" w:rsidRDefault="009C170E" w:rsidP="00E477D7">
      <w:pPr>
        <w:pStyle w:val="Heading3"/>
      </w:pPr>
      <w:r>
        <w:t>Drivers and objectives</w:t>
      </w:r>
    </w:p>
    <w:p w14:paraId="1A2BF26F" w14:textId="27AC363F" w:rsidR="009C170E" w:rsidRPr="009C170E" w:rsidRDefault="009C170E" w:rsidP="009C170E">
      <w:pPr>
        <w:rPr>
          <w:lang w:eastAsia="en-AU"/>
        </w:rPr>
      </w:pPr>
      <w:r>
        <w:rPr>
          <w:lang w:eastAsia="en-AU"/>
        </w:rPr>
        <w:t xml:space="preserve">Fee removal is typically intended to remove </w:t>
      </w:r>
      <w:r w:rsidR="00E10A8C">
        <w:rPr>
          <w:lang w:eastAsia="en-AU"/>
        </w:rPr>
        <w:t xml:space="preserve">financial </w:t>
      </w:r>
      <w:r>
        <w:rPr>
          <w:lang w:eastAsia="en-AU"/>
        </w:rPr>
        <w:t>barrier</w:t>
      </w:r>
      <w:r w:rsidR="003A3952">
        <w:rPr>
          <w:lang w:eastAsia="en-AU"/>
        </w:rPr>
        <w:t>s</w:t>
      </w:r>
      <w:r>
        <w:rPr>
          <w:lang w:eastAsia="en-AU"/>
        </w:rPr>
        <w:t xml:space="preserve"> to access</w:t>
      </w:r>
      <w:r w:rsidR="00547FF9">
        <w:rPr>
          <w:lang w:eastAsia="en-AU"/>
        </w:rPr>
        <w:t xml:space="preserve">ing </w:t>
      </w:r>
      <w:r w:rsidR="00C01F7A">
        <w:rPr>
          <w:lang w:eastAsia="en-AU"/>
        </w:rPr>
        <w:t>private</w:t>
      </w:r>
      <w:r w:rsidR="00547FF9">
        <w:rPr>
          <w:lang w:eastAsia="en-AU"/>
        </w:rPr>
        <w:t xml:space="preserve"> </w:t>
      </w:r>
      <w:r w:rsidR="00DE6A88">
        <w:rPr>
          <w:lang w:eastAsia="en-AU"/>
        </w:rPr>
        <w:t xml:space="preserve">schools, so that </w:t>
      </w:r>
      <w:r w:rsidR="00CE38C8">
        <w:rPr>
          <w:lang w:eastAsia="en-AU"/>
        </w:rPr>
        <w:t xml:space="preserve">all </w:t>
      </w:r>
      <w:r w:rsidR="00DE6A88">
        <w:rPr>
          <w:lang w:eastAsia="en-AU"/>
        </w:rPr>
        <w:t>families can exercise choice and/or improve the diversity of schools that otherwise were serving more advantaged students.</w:t>
      </w:r>
      <w:r w:rsidR="0049522A">
        <w:rPr>
          <w:lang w:eastAsia="en-AU"/>
        </w:rPr>
        <w:t xml:space="preserve"> </w:t>
      </w:r>
      <w:r w:rsidR="00C05732">
        <w:rPr>
          <w:lang w:eastAsia="en-AU"/>
        </w:rPr>
        <w:t xml:space="preserve">It may be part of an effort to ‘equalise’ different school sectors and create an even </w:t>
      </w:r>
      <w:r w:rsidR="003B45AD">
        <w:rPr>
          <w:lang w:eastAsia="en-AU"/>
        </w:rPr>
        <w:t xml:space="preserve">playing field in terms of both regulation and funding. </w:t>
      </w:r>
    </w:p>
    <w:p w14:paraId="4D960893" w14:textId="0B6D7B62" w:rsidR="009C170E" w:rsidRPr="009C170E" w:rsidRDefault="009C170E" w:rsidP="00E477D7">
      <w:pPr>
        <w:pStyle w:val="Heading3"/>
      </w:pPr>
      <w:r>
        <w:t>Operation and locations</w:t>
      </w:r>
    </w:p>
    <w:p w14:paraId="4E269DBC" w14:textId="2D22364C" w:rsidR="0FA62AC6" w:rsidRPr="0086054F" w:rsidRDefault="0FA62AC6" w:rsidP="55D0593C">
      <w:pPr>
        <w:rPr>
          <w:lang w:eastAsia="en-AU"/>
        </w:rPr>
      </w:pPr>
      <w:r w:rsidRPr="00A34752">
        <w:rPr>
          <w:rFonts w:asciiTheme="minorHAnsi" w:hAnsiTheme="minorHAnsi" w:cstheme="minorHAnsi"/>
          <w:lang w:eastAsia="en-AU"/>
        </w:rPr>
        <w:t>In</w:t>
      </w:r>
      <w:r w:rsidRPr="007E4755">
        <w:rPr>
          <w:rFonts w:asciiTheme="majorHAnsi" w:hAnsiTheme="majorHAnsi" w:cstheme="majorHAnsi"/>
          <w:lang w:eastAsia="en-AU"/>
        </w:rPr>
        <w:t xml:space="preserve"> </w:t>
      </w:r>
      <w:r w:rsidRPr="0076659C">
        <w:rPr>
          <w:rFonts w:asciiTheme="majorHAnsi" w:hAnsiTheme="majorHAnsi" w:cstheme="majorHAnsi"/>
          <w:lang w:eastAsia="en-AU"/>
        </w:rPr>
        <w:t>Canada</w:t>
      </w:r>
      <w:r w:rsidRPr="00A34752">
        <w:rPr>
          <w:rFonts w:asciiTheme="minorHAnsi" w:hAnsiTheme="minorHAnsi" w:cstheme="minorHAnsi"/>
          <w:lang w:eastAsia="en-AU"/>
        </w:rPr>
        <w:t>, full public funding was in</w:t>
      </w:r>
      <w:r w:rsidR="26D0501B" w:rsidRPr="00A34752">
        <w:rPr>
          <w:rFonts w:asciiTheme="minorHAnsi" w:hAnsiTheme="minorHAnsi" w:cstheme="minorHAnsi"/>
          <w:lang w:eastAsia="en-AU"/>
        </w:rPr>
        <w:t xml:space="preserve">troduced </w:t>
      </w:r>
      <w:r w:rsidRPr="00A34752">
        <w:rPr>
          <w:rFonts w:asciiTheme="minorHAnsi" w:hAnsiTheme="minorHAnsi" w:cstheme="minorHAnsi"/>
          <w:lang w:eastAsia="en-AU"/>
        </w:rPr>
        <w:t>to provide families and minority communities with choice.</w:t>
      </w:r>
      <w:r w:rsidRPr="0086054F">
        <w:rPr>
          <w:lang w:eastAsia="en-AU"/>
        </w:rPr>
        <w:t xml:space="preserve"> In three Canadian provinces a significant </w:t>
      </w:r>
      <w:r w:rsidR="008E713A">
        <w:rPr>
          <w:lang w:eastAsia="en-AU"/>
        </w:rPr>
        <w:t>minority</w:t>
      </w:r>
      <w:r w:rsidRPr="0086054F">
        <w:rPr>
          <w:lang w:eastAsia="en-AU"/>
        </w:rPr>
        <w:t xml:space="preserve"> of students attend separate denominational schools which are fully publicly funded and do not charge </w:t>
      </w:r>
      <w:r w:rsidR="00F40154">
        <w:rPr>
          <w:lang w:eastAsia="en-AU"/>
        </w:rPr>
        <w:t>tuition</w:t>
      </w:r>
      <w:r w:rsidRPr="0086054F">
        <w:rPr>
          <w:lang w:eastAsia="en-AU"/>
        </w:rPr>
        <w:t xml:space="preserve"> fees: Alberta (24</w:t>
      </w:r>
      <w:r w:rsidR="00244AEF">
        <w:rPr>
          <w:lang w:eastAsia="en-AU"/>
        </w:rPr>
        <w:t xml:space="preserve"> per cent</w:t>
      </w:r>
      <w:r w:rsidRPr="0086054F">
        <w:rPr>
          <w:lang w:eastAsia="en-AU"/>
        </w:rPr>
        <w:t>), Ontario (30</w:t>
      </w:r>
      <w:r w:rsidR="00244AEF">
        <w:rPr>
          <w:lang w:eastAsia="en-AU"/>
        </w:rPr>
        <w:t xml:space="preserve"> per cent</w:t>
      </w:r>
      <w:r w:rsidRPr="0086054F">
        <w:rPr>
          <w:lang w:eastAsia="en-AU"/>
        </w:rPr>
        <w:t>) and Saskatchewan (23</w:t>
      </w:r>
      <w:r w:rsidR="00244AEF">
        <w:rPr>
          <w:lang w:eastAsia="en-AU"/>
        </w:rPr>
        <w:t xml:space="preserve"> per cent</w:t>
      </w:r>
      <w:r w:rsidRPr="0086054F">
        <w:rPr>
          <w:lang w:eastAsia="en-AU"/>
        </w:rPr>
        <w:t>).</w:t>
      </w:r>
      <w:r w:rsidRPr="0086054F">
        <w:rPr>
          <w:rStyle w:val="FootnoteReference"/>
          <w:lang w:eastAsia="en-AU"/>
        </w:rPr>
        <w:footnoteReference w:id="24"/>
      </w:r>
      <w:r w:rsidR="6A416DF3" w:rsidRPr="0086054F">
        <w:rPr>
          <w:lang w:eastAsia="en-AU"/>
        </w:rPr>
        <w:t xml:space="preserve"> </w:t>
      </w:r>
      <w:r w:rsidRPr="0086054F">
        <w:rPr>
          <w:lang w:eastAsia="en-AU"/>
        </w:rPr>
        <w:t>In Ontario</w:t>
      </w:r>
      <w:r w:rsidR="00D744C7">
        <w:rPr>
          <w:lang w:eastAsia="en-AU"/>
        </w:rPr>
        <w:t xml:space="preserve"> </w:t>
      </w:r>
      <w:r w:rsidR="00260847">
        <w:rPr>
          <w:lang w:eastAsia="en-AU"/>
        </w:rPr>
        <w:t>–</w:t>
      </w:r>
      <w:r w:rsidRPr="0086054F">
        <w:rPr>
          <w:lang w:eastAsia="en-AU"/>
        </w:rPr>
        <w:t xml:space="preserve"> Canada’s largest province</w:t>
      </w:r>
      <w:r w:rsidR="00260847">
        <w:rPr>
          <w:lang w:eastAsia="en-AU"/>
        </w:rPr>
        <w:t xml:space="preserve"> –</w:t>
      </w:r>
      <w:r w:rsidRPr="0086054F">
        <w:rPr>
          <w:lang w:eastAsia="en-AU"/>
        </w:rPr>
        <w:t xml:space="preserve"> English-language Catholic schools educate over 575,000 students in more than 1</w:t>
      </w:r>
      <w:r w:rsidR="007207EA">
        <w:rPr>
          <w:lang w:eastAsia="en-AU"/>
        </w:rPr>
        <w:t>,</w:t>
      </w:r>
      <w:r w:rsidRPr="0086054F">
        <w:rPr>
          <w:lang w:eastAsia="en-AU"/>
        </w:rPr>
        <w:t>500 schools.</w:t>
      </w:r>
      <w:r w:rsidRPr="0086054F">
        <w:rPr>
          <w:rStyle w:val="FootnoteReference"/>
          <w:lang w:eastAsia="en-AU"/>
        </w:rPr>
        <w:footnoteReference w:id="25"/>
      </w:r>
      <w:r w:rsidR="54315715" w:rsidRPr="0086054F">
        <w:rPr>
          <w:lang w:eastAsia="en-AU"/>
        </w:rPr>
        <w:t xml:space="preserve"> </w:t>
      </w:r>
      <w:r w:rsidRPr="0086054F">
        <w:rPr>
          <w:lang w:eastAsia="en-AU"/>
        </w:rPr>
        <w:t>The</w:t>
      </w:r>
      <w:r w:rsidR="00707662">
        <w:rPr>
          <w:lang w:eastAsia="en-AU"/>
        </w:rPr>
        <w:t>se</w:t>
      </w:r>
      <w:r w:rsidRPr="0086054F">
        <w:rPr>
          <w:lang w:eastAsia="en-AU"/>
        </w:rPr>
        <w:t xml:space="preserve"> schools retain control over curriculum and ethos</w:t>
      </w:r>
      <w:r w:rsidR="001F595C">
        <w:rPr>
          <w:lang w:eastAsia="en-AU"/>
        </w:rPr>
        <w:t>,</w:t>
      </w:r>
      <w:r w:rsidRPr="0086054F">
        <w:rPr>
          <w:lang w:eastAsia="en-AU"/>
        </w:rPr>
        <w:t xml:space="preserve"> and are governed by Boards of Trustees, elected by ratepayers. </w:t>
      </w:r>
    </w:p>
    <w:p w14:paraId="59714420" w14:textId="5717D817" w:rsidR="0FA62AC6" w:rsidRPr="0086054F" w:rsidRDefault="0FA62AC6" w:rsidP="706302AF">
      <w:pPr>
        <w:rPr>
          <w:lang w:eastAsia="en-AU"/>
        </w:rPr>
      </w:pPr>
      <w:r w:rsidRPr="00A34752">
        <w:rPr>
          <w:rFonts w:asciiTheme="minorHAnsi" w:hAnsiTheme="minorHAnsi" w:cstheme="minorHAnsi"/>
          <w:lang w:eastAsia="en-AU"/>
        </w:rPr>
        <w:t>In</w:t>
      </w:r>
      <w:r w:rsidRPr="00E57059">
        <w:rPr>
          <w:rFonts w:asciiTheme="majorHAnsi" w:hAnsiTheme="majorHAnsi" w:cstheme="majorHAnsi"/>
          <w:lang w:eastAsia="en-AU"/>
        </w:rPr>
        <w:t xml:space="preserve"> </w:t>
      </w:r>
      <w:r w:rsidRPr="0076659C">
        <w:rPr>
          <w:rFonts w:asciiTheme="majorHAnsi" w:hAnsiTheme="majorHAnsi" w:cstheme="majorHAnsi"/>
          <w:lang w:eastAsia="en-AU"/>
        </w:rPr>
        <w:t>Chile</w:t>
      </w:r>
      <w:r w:rsidRPr="00A34752">
        <w:rPr>
          <w:rFonts w:asciiTheme="minorHAnsi" w:hAnsiTheme="minorHAnsi" w:cstheme="minorHAnsi"/>
          <w:lang w:eastAsia="en-AU"/>
        </w:rPr>
        <w:t>, fees were removed to reduce social segregation and lift achievement.</w:t>
      </w:r>
      <w:r w:rsidRPr="0086054F">
        <w:rPr>
          <w:lang w:eastAsia="en-AU"/>
        </w:rPr>
        <w:t xml:space="preserve"> Chile’s Preferential School Subsidy (SEP), introduced in 2008, allowed private schools to opt into a scheme which provided a 50</w:t>
      </w:r>
      <w:r w:rsidR="006D1E7A">
        <w:rPr>
          <w:lang w:eastAsia="en-AU"/>
        </w:rPr>
        <w:t xml:space="preserve"> per cent</w:t>
      </w:r>
      <w:r w:rsidRPr="0086054F">
        <w:rPr>
          <w:lang w:eastAsia="en-AU"/>
        </w:rPr>
        <w:t xml:space="preserve"> funding loading for priority students from the bottom 40</w:t>
      </w:r>
      <w:r w:rsidR="006D1E7A">
        <w:rPr>
          <w:lang w:eastAsia="en-AU"/>
        </w:rPr>
        <w:t xml:space="preserve"> per cent</w:t>
      </w:r>
      <w:r w:rsidRPr="0086054F">
        <w:rPr>
          <w:lang w:eastAsia="en-AU"/>
        </w:rPr>
        <w:t xml:space="preserve"> of the income distribution, and prohibited schools from charging fees to priority students or selecting students on the basis of academic tests.</w:t>
      </w:r>
      <w:r w:rsidRPr="0086054F">
        <w:rPr>
          <w:rStyle w:val="FootnoteReference"/>
          <w:lang w:eastAsia="en-AU"/>
        </w:rPr>
        <w:footnoteReference w:id="26"/>
      </w:r>
      <w:r w:rsidR="6D3FE8D4" w:rsidRPr="0086054F">
        <w:rPr>
          <w:lang w:eastAsia="en-AU"/>
        </w:rPr>
        <w:t xml:space="preserve"> </w:t>
      </w:r>
      <w:r w:rsidRPr="0086054F">
        <w:rPr>
          <w:lang w:eastAsia="en-AU"/>
        </w:rPr>
        <w:t xml:space="preserve">The School Inclusion Law </w:t>
      </w:r>
      <w:r w:rsidR="0043422F" w:rsidRPr="00323C6F">
        <w:rPr>
          <w:lang w:eastAsia="en-AU"/>
        </w:rPr>
        <w:t>(</w:t>
      </w:r>
      <w:r w:rsidR="004D2850" w:rsidRPr="00323C6F">
        <w:rPr>
          <w:lang w:eastAsia="en-AU"/>
        </w:rPr>
        <w:t>2015</w:t>
      </w:r>
      <w:r w:rsidR="0043422F" w:rsidRPr="00323C6F">
        <w:rPr>
          <w:lang w:eastAsia="en-AU"/>
        </w:rPr>
        <w:t>)</w:t>
      </w:r>
      <w:r w:rsidRPr="0086054F">
        <w:rPr>
          <w:lang w:eastAsia="en-AU"/>
        </w:rPr>
        <w:t xml:space="preserve"> began a process of gradually expanding the provision of fully publicly funded no-cost school places and the incremental reduction and elimination of private co-payments.</w:t>
      </w:r>
      <w:r w:rsidRPr="0086054F">
        <w:rPr>
          <w:rStyle w:val="FootnoteReference"/>
          <w:lang w:eastAsia="en-AU"/>
        </w:rPr>
        <w:footnoteReference w:id="27"/>
      </w:r>
    </w:p>
    <w:p w14:paraId="389E3475" w14:textId="1C7EEF5A" w:rsidR="00E57059" w:rsidRPr="0086054F" w:rsidRDefault="00E57059" w:rsidP="00E57059">
      <w:pPr>
        <w:rPr>
          <w:lang w:eastAsia="en-AU"/>
        </w:rPr>
      </w:pPr>
      <w:r w:rsidRPr="00A34752">
        <w:rPr>
          <w:rFonts w:asciiTheme="minorHAnsi" w:hAnsiTheme="minorHAnsi" w:cstheme="minorHAnsi"/>
          <w:lang w:eastAsia="en-AU"/>
        </w:rPr>
        <w:t>In</w:t>
      </w:r>
      <w:r w:rsidRPr="00323C6F">
        <w:rPr>
          <w:rFonts w:asciiTheme="majorHAnsi" w:hAnsiTheme="majorHAnsi" w:cstheme="majorHAnsi"/>
          <w:lang w:eastAsia="en-AU"/>
        </w:rPr>
        <w:t xml:space="preserve"> Hong Kong</w:t>
      </w:r>
      <w:r w:rsidR="006656F8" w:rsidRPr="00A34752">
        <w:rPr>
          <w:rFonts w:asciiTheme="minorHAnsi" w:hAnsiTheme="minorHAnsi" w:cstheme="minorHAnsi"/>
          <w:lang w:eastAsia="en-AU"/>
        </w:rPr>
        <w:t>,</w:t>
      </w:r>
      <w:r w:rsidRPr="00A34752">
        <w:rPr>
          <w:rFonts w:asciiTheme="minorHAnsi" w:hAnsiTheme="minorHAnsi" w:cstheme="minorHAnsi"/>
          <w:lang w:eastAsia="en-AU"/>
        </w:rPr>
        <w:t xml:space="preserve"> </w:t>
      </w:r>
      <w:r w:rsidR="00A50A52" w:rsidRPr="00A34752">
        <w:rPr>
          <w:rFonts w:asciiTheme="minorHAnsi" w:hAnsiTheme="minorHAnsi" w:cstheme="minorHAnsi"/>
          <w:lang w:eastAsia="en-AU"/>
        </w:rPr>
        <w:t xml:space="preserve">fee-free </w:t>
      </w:r>
      <w:r w:rsidR="004D773D" w:rsidRPr="00A34752">
        <w:rPr>
          <w:rFonts w:asciiTheme="minorHAnsi" w:hAnsiTheme="minorHAnsi" w:cstheme="minorHAnsi"/>
          <w:lang w:eastAsia="en-AU"/>
        </w:rPr>
        <w:t>non-government</w:t>
      </w:r>
      <w:r w:rsidR="00A50A52" w:rsidRPr="00A34752">
        <w:rPr>
          <w:rFonts w:asciiTheme="minorHAnsi" w:hAnsiTheme="minorHAnsi" w:cstheme="minorHAnsi"/>
          <w:lang w:eastAsia="en-AU"/>
        </w:rPr>
        <w:t xml:space="preserve"> schools </w:t>
      </w:r>
      <w:r w:rsidR="009C170E">
        <w:rPr>
          <w:rFonts w:asciiTheme="minorHAnsi" w:hAnsiTheme="minorHAnsi" w:cstheme="minorHAnsi"/>
          <w:lang w:eastAsia="en-AU"/>
        </w:rPr>
        <w:t xml:space="preserve">have </w:t>
      </w:r>
      <w:r w:rsidR="004D773D" w:rsidRPr="00A34752">
        <w:rPr>
          <w:rFonts w:asciiTheme="minorHAnsi" w:hAnsiTheme="minorHAnsi" w:cstheme="minorHAnsi"/>
          <w:lang w:eastAsia="en-AU"/>
        </w:rPr>
        <w:t xml:space="preserve">historically </w:t>
      </w:r>
      <w:r w:rsidR="009C170E">
        <w:rPr>
          <w:rFonts w:asciiTheme="minorHAnsi" w:hAnsiTheme="minorHAnsi" w:cstheme="minorHAnsi"/>
          <w:lang w:eastAsia="en-AU"/>
        </w:rPr>
        <w:t xml:space="preserve">been a central feature of </w:t>
      </w:r>
      <w:r w:rsidR="004D773D" w:rsidRPr="00A34752">
        <w:rPr>
          <w:rFonts w:asciiTheme="minorHAnsi" w:hAnsiTheme="minorHAnsi" w:cstheme="minorHAnsi"/>
          <w:lang w:eastAsia="en-AU"/>
        </w:rPr>
        <w:t>its education system.</w:t>
      </w:r>
      <w:r w:rsidR="004D773D">
        <w:rPr>
          <w:lang w:eastAsia="en-AU"/>
        </w:rPr>
        <w:t xml:space="preserve"> </w:t>
      </w:r>
      <w:r w:rsidR="006656F8">
        <w:rPr>
          <w:lang w:eastAsia="en-AU"/>
        </w:rPr>
        <w:t>Eighty per cent</w:t>
      </w:r>
      <w:r w:rsidRPr="0086054F">
        <w:rPr>
          <w:lang w:eastAsia="en-AU"/>
        </w:rPr>
        <w:t xml:space="preserve"> of schools, known as aided schools, receive full government funding and do not charge admission fees, but are operated by churches, trade associations and other non-profit organisations. </w:t>
      </w:r>
      <w:r>
        <w:rPr>
          <w:lang w:eastAsia="en-AU"/>
        </w:rPr>
        <w:t>Ninety-four</w:t>
      </w:r>
      <w:r w:rsidRPr="0086054F">
        <w:rPr>
          <w:lang w:eastAsia="en-AU"/>
        </w:rPr>
        <w:t xml:space="preserve"> per cent of Hong Kong primary students are enrolled in aided schools.</w:t>
      </w:r>
      <w:r w:rsidRPr="0086054F">
        <w:rPr>
          <w:rStyle w:val="FootnoteReference"/>
          <w:lang w:eastAsia="en-AU"/>
        </w:rPr>
        <w:footnoteReference w:id="28"/>
      </w:r>
      <w:r w:rsidRPr="0086054F">
        <w:rPr>
          <w:lang w:eastAsia="en-AU"/>
        </w:rPr>
        <w:t xml:space="preserve"> Aided schools </w:t>
      </w:r>
      <w:r w:rsidR="004D773D">
        <w:rPr>
          <w:lang w:eastAsia="en-AU"/>
        </w:rPr>
        <w:t xml:space="preserve">are </w:t>
      </w:r>
      <w:r w:rsidRPr="0086054F">
        <w:rPr>
          <w:lang w:eastAsia="en-AU"/>
        </w:rPr>
        <w:t>complemented by a relatively small number of government-owned and operated schools</w:t>
      </w:r>
      <w:r w:rsidR="00A826C0">
        <w:rPr>
          <w:lang w:eastAsia="en-AU"/>
        </w:rPr>
        <w:t xml:space="preserve">, </w:t>
      </w:r>
      <w:r w:rsidR="00CA47C5">
        <w:rPr>
          <w:lang w:eastAsia="en-AU"/>
        </w:rPr>
        <w:t xml:space="preserve">and </w:t>
      </w:r>
      <w:r w:rsidR="00715056">
        <w:rPr>
          <w:lang w:eastAsia="en-AU"/>
        </w:rPr>
        <w:t xml:space="preserve">a smaller number of </w:t>
      </w:r>
      <w:r w:rsidR="008256B8">
        <w:rPr>
          <w:lang w:eastAsia="en-AU"/>
        </w:rPr>
        <w:t xml:space="preserve">regulated, </w:t>
      </w:r>
      <w:r w:rsidR="00CA47C5">
        <w:rPr>
          <w:lang w:eastAsia="en-AU"/>
        </w:rPr>
        <w:t>high</w:t>
      </w:r>
      <w:r w:rsidR="00212644">
        <w:rPr>
          <w:lang w:eastAsia="en-AU"/>
        </w:rPr>
        <w:t>-fee schools</w:t>
      </w:r>
      <w:r w:rsidRPr="0086054F">
        <w:rPr>
          <w:lang w:eastAsia="en-AU"/>
        </w:rPr>
        <w:t xml:space="preserve">. </w:t>
      </w:r>
    </w:p>
    <w:p w14:paraId="552331D7" w14:textId="7749F526" w:rsidR="0FA62AC6" w:rsidRDefault="0FA62AC6" w:rsidP="2EDCCD5E">
      <w:pPr>
        <w:pStyle w:val="Heading3"/>
      </w:pPr>
      <w:r>
        <w:lastRenderedPageBreak/>
        <w:t>Outcomes</w:t>
      </w:r>
    </w:p>
    <w:p w14:paraId="62FBC58C" w14:textId="0F1D1306" w:rsidR="00902F54" w:rsidRDefault="00902F54">
      <w:pPr>
        <w:rPr>
          <w:lang w:eastAsia="en-AU"/>
        </w:rPr>
      </w:pPr>
      <w:r w:rsidRPr="0086054F">
        <w:rPr>
          <w:lang w:eastAsia="en-AU"/>
        </w:rPr>
        <w:t>A range of international evidence indicates that removal of fees is a powerful lever to increase socio-economic diversity and improve student achievement.</w:t>
      </w:r>
      <w:r w:rsidR="00F11A2B">
        <w:rPr>
          <w:lang w:eastAsia="en-AU"/>
        </w:rPr>
        <w:t xml:space="preserve"> </w:t>
      </w:r>
      <w:r>
        <w:rPr>
          <w:lang w:eastAsia="en-AU"/>
        </w:rPr>
        <w:t xml:space="preserve">This is especially (and unsurprisingly) the case where fees are high enough to be a consideration alongside other factors influencing school choice such as faith and convenience. </w:t>
      </w:r>
    </w:p>
    <w:p w14:paraId="704BDBCD" w14:textId="03EE2B32" w:rsidR="000A7A32" w:rsidRPr="000A7A32" w:rsidRDefault="000A7A32">
      <w:pPr>
        <w:rPr>
          <w:rFonts w:asciiTheme="minorHAnsi" w:hAnsiTheme="minorHAnsi" w:cstheme="minorHAnsi"/>
          <w:b/>
          <w:bCs/>
          <w:szCs w:val="19"/>
          <w:lang w:eastAsia="en-AU"/>
        </w:rPr>
      </w:pPr>
      <w:r w:rsidRPr="000A7A32">
        <w:rPr>
          <w:rFonts w:asciiTheme="minorHAnsi" w:hAnsiTheme="minorHAnsi" w:cstheme="minorHAnsi"/>
          <w:b/>
          <w:bCs/>
          <w:szCs w:val="19"/>
          <w:lang w:eastAsia="en-AU"/>
        </w:rPr>
        <w:t>Diversity</w:t>
      </w:r>
    </w:p>
    <w:p w14:paraId="191CE0E8" w14:textId="7150822B" w:rsidR="006334BE" w:rsidRDefault="0049522A" w:rsidP="71559738">
      <w:r>
        <w:rPr>
          <w:rFonts w:asciiTheme="minorHAnsi" w:hAnsiTheme="minorHAnsi" w:cstheme="minorHAnsi"/>
          <w:szCs w:val="19"/>
          <w:lang w:eastAsia="en-AU"/>
        </w:rPr>
        <w:t>The absence of fee-charging schools is</w:t>
      </w:r>
      <w:r w:rsidR="000810A2" w:rsidRPr="000A7A32">
        <w:rPr>
          <w:rFonts w:asciiTheme="minorHAnsi" w:hAnsiTheme="minorHAnsi" w:cstheme="minorHAnsi"/>
          <w:szCs w:val="19"/>
          <w:lang w:eastAsia="en-AU"/>
        </w:rPr>
        <w:t xml:space="preserve"> associated with l</w:t>
      </w:r>
      <w:r w:rsidR="0FA62AC6" w:rsidRPr="000A7A32">
        <w:rPr>
          <w:rFonts w:asciiTheme="minorHAnsi" w:hAnsiTheme="minorHAnsi" w:cstheme="minorHAnsi"/>
          <w:szCs w:val="19"/>
          <w:lang w:eastAsia="en-AU"/>
        </w:rPr>
        <w:t>ower levels of segregation</w:t>
      </w:r>
      <w:r w:rsidR="000A7A32" w:rsidRPr="000A7A32">
        <w:rPr>
          <w:rFonts w:asciiTheme="minorHAnsi" w:hAnsiTheme="minorHAnsi" w:cstheme="minorHAnsi"/>
          <w:szCs w:val="19"/>
          <w:lang w:eastAsia="en-AU"/>
        </w:rPr>
        <w:t>.</w:t>
      </w:r>
      <w:r>
        <w:rPr>
          <w:rFonts w:asciiTheme="minorHAnsi" w:hAnsiTheme="minorHAnsi" w:cstheme="minorHAnsi"/>
          <w:szCs w:val="19"/>
          <w:lang w:eastAsia="en-AU"/>
        </w:rPr>
        <w:t xml:space="preserve"> This is </w:t>
      </w:r>
      <w:r w:rsidR="0FA62AC6" w:rsidRPr="0086054F">
        <w:rPr>
          <w:lang w:eastAsia="en-AU"/>
        </w:rPr>
        <w:t xml:space="preserve">evident in a comparison of </w:t>
      </w:r>
      <w:r w:rsidR="0FA62AC6" w:rsidRPr="00D51D86">
        <w:rPr>
          <w:rFonts w:asciiTheme="majorHAnsi" w:hAnsiTheme="majorHAnsi" w:cstheme="majorHAnsi"/>
          <w:lang w:eastAsia="en-AU"/>
        </w:rPr>
        <w:t>Canadian provinces</w:t>
      </w:r>
      <w:r w:rsidR="00D32CE7">
        <w:rPr>
          <w:rFonts w:asciiTheme="majorHAnsi" w:hAnsiTheme="majorHAnsi" w:cstheme="majorHAnsi"/>
          <w:lang w:eastAsia="en-AU"/>
        </w:rPr>
        <w:t>,</w:t>
      </w:r>
      <w:r w:rsidR="005736A8">
        <w:rPr>
          <w:rFonts w:asciiTheme="minorHAnsi" w:hAnsiTheme="minorHAnsi" w:cstheme="minorHAnsi"/>
          <w:lang w:eastAsia="en-AU"/>
        </w:rPr>
        <w:t xml:space="preserve"> where </w:t>
      </w:r>
      <w:r w:rsidR="0FA62AC6">
        <w:rPr>
          <w:rFonts w:asciiTheme="minorHAnsi" w:hAnsiTheme="minorHAnsi" w:cstheme="minorHAnsi"/>
          <w:lang w:eastAsia="en-AU"/>
        </w:rPr>
        <w:t xml:space="preserve">social segregation is </w:t>
      </w:r>
      <w:r w:rsidR="005736A8">
        <w:rPr>
          <w:rFonts w:asciiTheme="minorHAnsi" w:hAnsiTheme="minorHAnsi" w:cstheme="minorHAnsi"/>
          <w:lang w:eastAsia="en-AU"/>
        </w:rPr>
        <w:t xml:space="preserve">much lower than other </w:t>
      </w:r>
      <w:r w:rsidR="009931A2">
        <w:rPr>
          <w:rFonts w:asciiTheme="minorHAnsi" w:hAnsiTheme="minorHAnsi" w:cstheme="minorHAnsi"/>
          <w:lang w:eastAsia="en-AU"/>
        </w:rPr>
        <w:t>advanced economies</w:t>
      </w:r>
      <w:r w:rsidR="0FA62AC6" w:rsidRPr="0086054F">
        <w:rPr>
          <w:lang w:eastAsia="en-AU"/>
        </w:rPr>
        <w:t>.</w:t>
      </w:r>
      <w:r w:rsidR="002A5791">
        <w:rPr>
          <w:lang w:eastAsia="en-AU"/>
        </w:rPr>
        <w:t xml:space="preserve"> </w:t>
      </w:r>
    </w:p>
    <w:p w14:paraId="3B1C2517" w14:textId="458C0E7B" w:rsidR="0FA62AC6" w:rsidRPr="0086054F" w:rsidRDefault="006334BE" w:rsidP="006334BE">
      <w:pPr>
        <w:pStyle w:val="Caption"/>
      </w:pPr>
      <w:r>
        <w:t>Figure</w:t>
      </w:r>
      <w:r w:rsidR="00544CDD">
        <w:t xml:space="preserve"> </w:t>
      </w:r>
      <w:r>
        <w:fldChar w:fldCharType="begin"/>
      </w:r>
      <w:r>
        <w:instrText xml:space="preserve"> SEQ Figure \* ARABIC </w:instrText>
      </w:r>
      <w:r>
        <w:fldChar w:fldCharType="separate"/>
      </w:r>
      <w:r w:rsidR="009B7086">
        <w:rPr>
          <w:noProof/>
        </w:rPr>
        <w:t>3</w:t>
      </w:r>
      <w:r>
        <w:fldChar w:fldCharType="end"/>
      </w:r>
      <w:r w:rsidR="00A1279F">
        <w:t xml:space="preserve"> </w:t>
      </w:r>
      <w:r w:rsidR="00E14817">
        <w:t xml:space="preserve">I </w:t>
      </w:r>
      <w:r w:rsidR="00A1279F">
        <w:t>Segregation is much lower in Canadian provinces where fees have been removed</w:t>
      </w:r>
      <w:r w:rsidR="00A1279F">
        <w:rPr>
          <w:rStyle w:val="FootnoteReference"/>
        </w:rPr>
        <w:footnoteReference w:id="29"/>
      </w:r>
      <w:r w:rsidR="0FA62AC6">
        <w:br/>
      </w:r>
      <w:r w:rsidR="007A6FEE">
        <w:rPr>
          <w:noProof/>
          <w:sz w:val="16"/>
          <w:szCs w:val="16"/>
        </w:rPr>
        <w:drawing>
          <wp:inline distT="0" distB="0" distL="0" distR="0" wp14:anchorId="20B94FA2" wp14:editId="2421470C">
            <wp:extent cx="5832329" cy="2650342"/>
            <wp:effectExtent l="0" t="0" r="0" b="0"/>
            <wp:docPr id="810793023" name="Picture 810793023" descr="Figure showing SES segregation between schools by private enrolment (average over 2012 to 2018). Quebec, where 20 per cent of students attend fee-charging publicly funded private schools, has much higher levels of social segregation than any other prov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93023" name="Picture 810793023" descr="Figure showing SES segregation between schools by private enrolment (average over 2012 to 2018). Quebec, where 20 per cent of students attend fee-charging publicly funded private schools, has much higher levels of social segregation than any other provi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2329" cy="2650342"/>
                    </a:xfrm>
                    <a:prstGeom prst="rect">
                      <a:avLst/>
                    </a:prstGeom>
                  </pic:spPr>
                </pic:pic>
              </a:graphicData>
            </a:graphic>
          </wp:inline>
        </w:drawing>
      </w:r>
    </w:p>
    <w:p w14:paraId="1127B28F" w14:textId="02FE6CC9" w:rsidR="006552CB" w:rsidRPr="004D2D0C" w:rsidRDefault="006552CB" w:rsidP="006552CB">
      <w:pPr>
        <w:rPr>
          <w:rFonts w:asciiTheme="minorHAnsi" w:hAnsiTheme="minorHAnsi" w:cstheme="minorHAnsi"/>
          <w:lang w:eastAsia="en-AU"/>
        </w:rPr>
      </w:pPr>
      <w:r>
        <w:rPr>
          <w:lang w:eastAsia="en-AU"/>
        </w:rPr>
        <w:t xml:space="preserve">With respect to </w:t>
      </w:r>
      <w:r w:rsidRPr="00D51D86">
        <w:rPr>
          <w:rFonts w:asciiTheme="majorHAnsi" w:hAnsiTheme="majorHAnsi" w:cstheme="majorHAnsi"/>
          <w:lang w:eastAsia="en-AU"/>
        </w:rPr>
        <w:t>Chile</w:t>
      </w:r>
      <w:r>
        <w:rPr>
          <w:lang w:eastAsia="en-AU"/>
        </w:rPr>
        <w:t xml:space="preserve">, </w:t>
      </w:r>
      <w:r w:rsidRPr="0086054F">
        <w:rPr>
          <w:lang w:eastAsia="en-AU"/>
        </w:rPr>
        <w:t>Nous analysis of OECD data has found a decline in segregation of students in the 20</w:t>
      </w:r>
      <w:r w:rsidRPr="00F81BDB">
        <w:rPr>
          <w:vertAlign w:val="superscript"/>
          <w:lang w:eastAsia="en-AU"/>
        </w:rPr>
        <w:t>th</w:t>
      </w:r>
      <w:r w:rsidRPr="0086054F">
        <w:rPr>
          <w:lang w:eastAsia="en-AU"/>
        </w:rPr>
        <w:t xml:space="preserve"> and 50</w:t>
      </w:r>
      <w:r w:rsidRPr="00F81BDB">
        <w:rPr>
          <w:vertAlign w:val="superscript"/>
          <w:lang w:eastAsia="en-AU"/>
        </w:rPr>
        <w:t>th</w:t>
      </w:r>
      <w:r w:rsidRPr="0086054F">
        <w:rPr>
          <w:lang w:eastAsia="en-AU"/>
        </w:rPr>
        <w:t xml:space="preserve"> ESCS percentiles since the introduction of fee-free places in 2008.</w:t>
      </w:r>
      <w:r>
        <w:rPr>
          <w:lang w:eastAsia="en-AU"/>
        </w:rPr>
        <w:t xml:space="preserve"> The analysis found that dissimilarity indices</w:t>
      </w:r>
      <w:r>
        <w:rPr>
          <w:rStyle w:val="FootnoteReference"/>
          <w:lang w:eastAsia="en-AU"/>
        </w:rPr>
        <w:footnoteReference w:id="30"/>
      </w:r>
      <w:r w:rsidRPr="0086054F">
        <w:rPr>
          <w:lang w:eastAsia="en-AU"/>
        </w:rPr>
        <w:t xml:space="preserve"> </w:t>
      </w:r>
      <w:r>
        <w:rPr>
          <w:lang w:eastAsia="en-AU"/>
        </w:rPr>
        <w:t>of the 20</w:t>
      </w:r>
      <w:r w:rsidRPr="0025708C">
        <w:rPr>
          <w:vertAlign w:val="superscript"/>
          <w:lang w:eastAsia="en-AU"/>
        </w:rPr>
        <w:t>th</w:t>
      </w:r>
      <w:r>
        <w:rPr>
          <w:lang w:eastAsia="en-AU"/>
        </w:rPr>
        <w:t xml:space="preserve"> and 50</w:t>
      </w:r>
      <w:r w:rsidRPr="0025708C">
        <w:rPr>
          <w:vertAlign w:val="superscript"/>
          <w:lang w:eastAsia="en-AU"/>
        </w:rPr>
        <w:t>th</w:t>
      </w:r>
      <w:r>
        <w:rPr>
          <w:lang w:eastAsia="en-AU"/>
        </w:rPr>
        <w:t xml:space="preserve"> ESCS percentiles has dropped from a high of 0.53 and 0.52 in 2006 </w:t>
      </w:r>
      <w:r w:rsidRPr="004D2D0C">
        <w:rPr>
          <w:rFonts w:asciiTheme="minorHAnsi" w:hAnsiTheme="minorHAnsi" w:cstheme="minorHAnsi"/>
          <w:lang w:eastAsia="en-AU"/>
        </w:rPr>
        <w:t xml:space="preserve">to a low of 0.49 and 0.47 respectively. </w:t>
      </w:r>
    </w:p>
    <w:p w14:paraId="32E7E46D" w14:textId="70F684BE" w:rsidR="0076659C" w:rsidRDefault="00CC2827" w:rsidP="0BC82662">
      <w:pPr>
        <w:rPr>
          <w:lang w:eastAsia="en-AU"/>
        </w:rPr>
      </w:pPr>
      <w:r>
        <w:rPr>
          <w:noProof/>
          <w:lang w:eastAsia="en-AU"/>
        </w:rPr>
        <mc:AlternateContent>
          <mc:Choice Requires="wps">
            <w:drawing>
              <wp:anchor distT="0" distB="0" distL="114300" distR="114300" simplePos="0" relativeHeight="251658261" behindDoc="0" locked="0" layoutInCell="1" allowOverlap="1" wp14:anchorId="43BCB979" wp14:editId="7881E177">
                <wp:simplePos x="0" y="0"/>
                <wp:positionH relativeFrom="column">
                  <wp:posOffset>4509135</wp:posOffset>
                </wp:positionH>
                <wp:positionV relativeFrom="paragraph">
                  <wp:posOffset>66675</wp:posOffset>
                </wp:positionV>
                <wp:extent cx="1447800" cy="2066925"/>
                <wp:effectExtent l="0" t="0" r="0" b="0"/>
                <wp:wrapSquare wrapText="bothSides"/>
                <wp:docPr id="25"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47800"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DD956" w14:textId="0FCC4B66" w:rsidR="00BE219A" w:rsidRDefault="007C758B">
                            <w:pPr>
                              <w:pStyle w:val="Callout"/>
                              <w:rPr>
                                <w:color w:val="F25E21" w:themeColor="accent2"/>
                                <w:lang w:val="en-US"/>
                              </w:rPr>
                            </w:pPr>
                            <w:r>
                              <w:rPr>
                                <w:color w:val="F25E21" w:themeColor="accent2"/>
                                <w:lang w:val="en-US"/>
                              </w:rPr>
                              <w:t>“</w:t>
                            </w:r>
                            <w:r w:rsidRPr="007C758B">
                              <w:rPr>
                                <w:color w:val="F25E21" w:themeColor="accent2"/>
                                <w:lang w:val="en-US"/>
                              </w:rPr>
                              <w:t>With a five-year high school graduation rate of 64</w:t>
                            </w:r>
                            <w:r w:rsidR="00D3020D">
                              <w:rPr>
                                <w:color w:val="F25E21" w:themeColor="accent2"/>
                                <w:lang w:val="en-US"/>
                              </w:rPr>
                              <w:t xml:space="preserve"> per cent</w:t>
                            </w:r>
                            <w:r w:rsidRPr="007C758B">
                              <w:rPr>
                                <w:color w:val="F25E21" w:themeColor="accent2"/>
                                <w:lang w:val="en-US"/>
                              </w:rPr>
                              <w:t xml:space="preserve"> for the public network, Quebec presents the worst performance at the Canadian level”</w:t>
                            </w:r>
                          </w:p>
                          <w:p w14:paraId="545CFAC8" w14:textId="666745AC" w:rsidR="007C758B" w:rsidRPr="00F81BDB" w:rsidRDefault="007C758B" w:rsidP="00BE219A">
                            <w:pPr>
                              <w:pStyle w:val="Callout"/>
                              <w:jc w:val="right"/>
                              <w:rPr>
                                <w:color w:val="F25E21" w:themeColor="accent2"/>
                                <w:sz w:val="18"/>
                                <w:szCs w:val="18"/>
                              </w:rPr>
                            </w:pPr>
                            <w:r w:rsidRPr="00F81BDB">
                              <w:rPr>
                                <w:color w:val="F25E21" w:themeColor="accent2"/>
                                <w:sz w:val="18"/>
                                <w:szCs w:val="18"/>
                                <w:lang w:val="en-US"/>
                              </w:rPr>
                              <w:t xml:space="preserve">Institut du Québec </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3BCB979" id="Text Box 25" o:spid="_x0000_s1027" type="#_x0000_t202" alt="&quot;&quot;" style="position:absolute;margin-left:355.05pt;margin-top:5.25pt;width:114pt;height:162.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8NdwIAAGkFAAAOAAAAZHJzL2Uyb0RvYy54bWysVN1P2zAQf5+0/8Hy+5pQaGEVKepAnSZV&#10;gAYTz65j02iOz7PdJt1fz52TfozxwrQX55z7/vl3d3nV1oZtlA8V2IKfDHLOlJVQVva54D8e558u&#10;OAtR2FIYsKrgWxX41fTjh8vGTdQQVmBK5RkGsWHSuIKvYnSTLAtypWoRBuCURaUGX4uIV/+clV40&#10;GL022TDPx1kDvnQepAoB/950Sj5N8bVWMt5pHVRkpuBYW0ynT+eSzmx6KSbPXrhVJfsyxD9UUYvK&#10;YtJ9qBsRBVv76q9QdSU9BNBxIKHOQOtKqtQDdnOSv+rmYSWcSr0gOMHtYQr/L6y83Ty4e89i+wVa&#10;fEACpHFhEvAn9dNqX9MXK2WoRwi3e9hUG5kkp7Oz84scVRJ1w3w8/jwcUZzs4O58iF8V1IyEgnt8&#10;lwSX2CxC7Ex3JpQtgKnKeWVMuhAX1LXxbCPwFU1MRWLwP6yMZU3Bx6ejPAW2QO5dZGMpjEps6NMd&#10;WkxS3BpFNsZ+V5pVZer0jdxCSmX3+ZM1WWlM9R7H3v5Q1Xucuz7QI2UGG/fOdWXBp+7T+BwgK3/u&#10;INOdPb7NUd8kxnbZYuNHDFhCuUVieOhmJjg5r/DxFiLEe+FxSPDBcfDjHR7aAIIPvcTZCvzvt/6T&#10;PXIXtZw1OHQFD7/WwivOzDeLrKYJTcLZ6HyIF58up+Oc2LU81th1fQ3IhhNcL04mkeyj2YnaQ/2E&#10;u2FGGVElrMS8BY878Tp2awB3i1SzWTLCmXQiLuyDkxSaECZaPrZPwrueuxFpfwu70RSTVxTubMkz&#10;uNk6Ig0TvwnjDtEee5znNCH97qGFcXxPVocNOX0BAAD//wMAUEsDBBQABgAIAAAAIQAubHDM4AAA&#10;AAoBAAAPAAAAZHJzL2Rvd25yZXYueG1sTI9NT8MwDIbvSPyHyEhc0JZ0FdsoTSfEhxjixODCLWu8&#10;ptA4VZNt5d/PnOBov49ePy5Xo+/EAYfYBtKQTRUIpDrYlhoNH+9PkyWImAxZ0wVCDT8YYVWdn5Wm&#10;sOFIb3jYpEZwCcXCaHAp9YWUsXboTZyGHomzXRi8STwOjbSDOXK57+RMqbn0piW+4EyP9w7r783e&#10;a1jLr5l9eXWPn8+ZeljT1a4LQWp9eTHe3YJIOKY/GH71WR0qdtqGPdkoOg2LTGWMcqCuQTBwky95&#10;sdWQ53MFsirl/xeqEwAAAP//AwBQSwECLQAUAAYACAAAACEAtoM4kv4AAADhAQAAEwAAAAAAAAAA&#10;AAAAAAAAAAAAW0NvbnRlbnRfVHlwZXNdLnhtbFBLAQItABQABgAIAAAAIQA4/SH/1gAAAJQBAAAL&#10;AAAAAAAAAAAAAAAAAC8BAABfcmVscy8ucmVsc1BLAQItABQABgAIAAAAIQCwR28NdwIAAGkFAAAO&#10;AAAAAAAAAAAAAAAAAC4CAABkcnMvZTJvRG9jLnhtbFBLAQItABQABgAIAAAAIQAubHDM4AAAAAoB&#10;AAAPAAAAAAAAAAAAAAAAANEEAABkcnMvZG93bnJldi54bWxQSwUGAAAAAAQABADzAAAA3gUAAAAA&#10;" fillcolor="white [3201]" stroked="f" strokeweight=".5pt">
                <v:textbox style="mso-fit-shape-to-text:t" inset="0,,1mm">
                  <w:txbxContent>
                    <w:p w14:paraId="589DD956" w14:textId="0FCC4B66" w:rsidR="00BE219A" w:rsidRDefault="007C758B">
                      <w:pPr>
                        <w:pStyle w:val="Callout"/>
                        <w:rPr>
                          <w:color w:val="F25E21" w:themeColor="accent2"/>
                          <w:lang w:val="en-US"/>
                        </w:rPr>
                      </w:pPr>
                      <w:r>
                        <w:rPr>
                          <w:color w:val="F25E21" w:themeColor="accent2"/>
                          <w:lang w:val="en-US"/>
                        </w:rPr>
                        <w:t>“</w:t>
                      </w:r>
                      <w:r w:rsidRPr="007C758B">
                        <w:rPr>
                          <w:color w:val="F25E21" w:themeColor="accent2"/>
                          <w:lang w:val="en-US"/>
                        </w:rPr>
                        <w:t>With a five-year high school graduation rate of 64</w:t>
                      </w:r>
                      <w:r w:rsidR="00D3020D">
                        <w:rPr>
                          <w:color w:val="F25E21" w:themeColor="accent2"/>
                          <w:lang w:val="en-US"/>
                        </w:rPr>
                        <w:t xml:space="preserve"> per cent</w:t>
                      </w:r>
                      <w:r w:rsidRPr="007C758B">
                        <w:rPr>
                          <w:color w:val="F25E21" w:themeColor="accent2"/>
                          <w:lang w:val="en-US"/>
                        </w:rPr>
                        <w:t xml:space="preserve"> for the public network, Quebec presents the worst performance at the Canadian level”</w:t>
                      </w:r>
                    </w:p>
                    <w:p w14:paraId="545CFAC8" w14:textId="666745AC" w:rsidR="007C758B" w:rsidRPr="00F81BDB" w:rsidRDefault="007C758B" w:rsidP="00BE219A">
                      <w:pPr>
                        <w:pStyle w:val="Callout"/>
                        <w:jc w:val="right"/>
                        <w:rPr>
                          <w:color w:val="F25E21" w:themeColor="accent2"/>
                          <w:sz w:val="18"/>
                          <w:szCs w:val="18"/>
                        </w:rPr>
                      </w:pPr>
                      <w:r w:rsidRPr="00F81BDB">
                        <w:rPr>
                          <w:color w:val="F25E21" w:themeColor="accent2"/>
                          <w:sz w:val="18"/>
                          <w:szCs w:val="18"/>
                          <w:lang w:val="en-US"/>
                        </w:rPr>
                        <w:t xml:space="preserve">Institut du Québec </w:t>
                      </w:r>
                    </w:p>
                  </w:txbxContent>
                </v:textbox>
                <w10:wrap type="square"/>
              </v:shape>
            </w:pict>
          </mc:Fallback>
        </mc:AlternateContent>
      </w:r>
      <w:r w:rsidR="0FA62AC6" w:rsidRPr="008B6B40">
        <w:rPr>
          <w:rFonts w:asciiTheme="majorHAnsi" w:hAnsiTheme="majorHAnsi" w:cstheme="majorHAnsi"/>
          <w:lang w:eastAsia="en-AU"/>
        </w:rPr>
        <w:t>Hong Kong</w:t>
      </w:r>
      <w:r w:rsidR="0FA62AC6" w:rsidRPr="004D2D0C">
        <w:rPr>
          <w:rFonts w:asciiTheme="minorHAnsi" w:hAnsiTheme="minorHAnsi" w:cstheme="minorHAnsi"/>
          <w:lang w:eastAsia="en-AU"/>
        </w:rPr>
        <w:t xml:space="preserve"> schools</w:t>
      </w:r>
      <w:r w:rsidR="0FA62AC6" w:rsidRPr="0086054F">
        <w:rPr>
          <w:lang w:eastAsia="en-AU"/>
        </w:rPr>
        <w:t xml:space="preserve"> are less segregated than Australia</w:t>
      </w:r>
      <w:r w:rsidR="00603D89">
        <w:rPr>
          <w:lang w:eastAsia="en-AU"/>
        </w:rPr>
        <w:t>,</w:t>
      </w:r>
      <w:r w:rsidR="0FA62AC6" w:rsidRPr="0086054F">
        <w:rPr>
          <w:lang w:eastAsia="en-AU"/>
        </w:rPr>
        <w:t xml:space="preserve"> despite significant tracking into academic and vocational programs (which normally leads to segregation</w:t>
      </w:r>
      <w:r w:rsidR="00180909">
        <w:rPr>
          <w:lang w:eastAsia="en-AU"/>
        </w:rPr>
        <w:t xml:space="preserve"> – see section </w:t>
      </w:r>
      <w:r w:rsidR="00EA6FD4">
        <w:rPr>
          <w:lang w:eastAsia="en-AU"/>
        </w:rPr>
        <w:t>3.2</w:t>
      </w:r>
      <w:r w:rsidR="003269EC">
        <w:rPr>
          <w:lang w:eastAsia="en-AU"/>
        </w:rPr>
        <w:t xml:space="preserve"> and </w:t>
      </w:r>
      <w:r w:rsidR="008E2618">
        <w:rPr>
          <w:lang w:eastAsia="en-AU"/>
        </w:rPr>
        <w:t xml:space="preserve">section </w:t>
      </w:r>
      <w:r w:rsidR="003269EC">
        <w:rPr>
          <w:lang w:eastAsia="en-AU"/>
        </w:rPr>
        <w:t>4</w:t>
      </w:r>
      <w:r w:rsidR="00B31CF5">
        <w:rPr>
          <w:lang w:eastAsia="en-AU"/>
        </w:rPr>
        <w:t>)</w:t>
      </w:r>
      <w:r w:rsidR="0FA62AC6" w:rsidRPr="0086054F">
        <w:rPr>
          <w:lang w:eastAsia="en-AU"/>
        </w:rPr>
        <w:t>.</w:t>
      </w:r>
      <w:r w:rsidR="0FA62AC6" w:rsidRPr="0086054F">
        <w:rPr>
          <w:rStyle w:val="FootnoteReference"/>
          <w:lang w:eastAsia="en-AU"/>
        </w:rPr>
        <w:footnoteReference w:id="31"/>
      </w:r>
      <w:r w:rsidR="0FA62AC6" w:rsidRPr="0086054F">
        <w:rPr>
          <w:lang w:eastAsia="en-AU"/>
        </w:rPr>
        <w:t xml:space="preserve"> </w:t>
      </w:r>
    </w:p>
    <w:p w14:paraId="3CAE1F6F" w14:textId="66D90062" w:rsidR="000A7A32" w:rsidRPr="000A7A32" w:rsidRDefault="000A7A32" w:rsidP="0BC82662">
      <w:pPr>
        <w:rPr>
          <w:b/>
          <w:bCs/>
          <w:lang w:eastAsia="en-AU"/>
        </w:rPr>
      </w:pPr>
      <w:r w:rsidRPr="000A7A32">
        <w:rPr>
          <w:b/>
          <w:bCs/>
          <w:lang w:eastAsia="en-AU"/>
        </w:rPr>
        <w:t xml:space="preserve">Education </w:t>
      </w:r>
    </w:p>
    <w:p w14:paraId="3836AA75" w14:textId="56D7B4EC" w:rsidR="0FA62AC6" w:rsidRPr="0086054F" w:rsidRDefault="0040261E">
      <w:pPr>
        <w:rPr>
          <w:lang w:eastAsia="en-AU"/>
        </w:rPr>
      </w:pPr>
      <w:r w:rsidRPr="00A53245">
        <w:rPr>
          <w:rFonts w:asciiTheme="minorHAnsi" w:hAnsiTheme="minorHAnsi" w:cstheme="minorHAnsi"/>
          <w:lang w:eastAsia="en-AU"/>
        </w:rPr>
        <w:t xml:space="preserve">In </w:t>
      </w:r>
      <w:r w:rsidRPr="003B45AD">
        <w:rPr>
          <w:rFonts w:asciiTheme="majorHAnsi" w:hAnsiTheme="majorHAnsi" w:cstheme="majorHAnsi"/>
          <w:lang w:eastAsia="en-AU"/>
        </w:rPr>
        <w:t>Canada</w:t>
      </w:r>
      <w:r w:rsidRPr="00A53245">
        <w:rPr>
          <w:rFonts w:asciiTheme="minorHAnsi" w:hAnsiTheme="minorHAnsi" w:cstheme="minorHAnsi"/>
          <w:lang w:eastAsia="en-AU"/>
        </w:rPr>
        <w:t>, t</w:t>
      </w:r>
      <w:r w:rsidR="0FA62AC6" w:rsidRPr="00A53245">
        <w:rPr>
          <w:rFonts w:asciiTheme="minorHAnsi" w:hAnsiTheme="minorHAnsi" w:cstheme="minorHAnsi"/>
          <w:lang w:eastAsia="en-AU"/>
        </w:rPr>
        <w:t xml:space="preserve">here is a </w:t>
      </w:r>
      <w:r w:rsidR="00B324E9" w:rsidRPr="00A53245">
        <w:rPr>
          <w:rFonts w:asciiTheme="minorHAnsi" w:hAnsiTheme="minorHAnsi" w:cstheme="minorHAnsi"/>
          <w:lang w:eastAsia="en-AU"/>
        </w:rPr>
        <w:t>strong</w:t>
      </w:r>
      <w:r w:rsidR="0FA62AC6" w:rsidRPr="00A53245">
        <w:rPr>
          <w:rFonts w:asciiTheme="minorHAnsi" w:hAnsiTheme="minorHAnsi" w:cstheme="minorHAnsi"/>
          <w:lang w:eastAsia="en-AU"/>
        </w:rPr>
        <w:t xml:space="preserve"> association between the absence of fee barriers in separate denominational schools in Ontario</w:t>
      </w:r>
      <w:r w:rsidR="0FA62AC6" w:rsidRPr="0086054F">
        <w:rPr>
          <w:lang w:eastAsia="en-AU"/>
        </w:rPr>
        <w:t>, Alberta and Saskatchewan and high levels of student achievement. Alberta is a very high</w:t>
      </w:r>
      <w:r w:rsidR="00BD53C2">
        <w:rPr>
          <w:lang w:eastAsia="en-AU"/>
        </w:rPr>
        <w:t xml:space="preserve"> </w:t>
      </w:r>
      <w:r w:rsidR="0FA62AC6" w:rsidRPr="0086054F">
        <w:rPr>
          <w:lang w:eastAsia="en-AU"/>
        </w:rPr>
        <w:t>PISA performer. As a province, in 2018 it was third in the world in reading after Singapore and ahead of Macao (China); and it performed extremely well overall.</w:t>
      </w:r>
      <w:r w:rsidR="0FA62AC6" w:rsidRPr="0086054F">
        <w:rPr>
          <w:rStyle w:val="FootnoteReference"/>
          <w:lang w:eastAsia="en-AU"/>
        </w:rPr>
        <w:footnoteReference w:id="32"/>
      </w:r>
      <w:r w:rsidR="3D505F57" w:rsidRPr="0086054F">
        <w:rPr>
          <w:lang w:eastAsia="en-AU"/>
        </w:rPr>
        <w:t xml:space="preserve"> </w:t>
      </w:r>
      <w:r w:rsidR="0FA62AC6" w:rsidRPr="0086054F">
        <w:rPr>
          <w:lang w:eastAsia="en-AU"/>
        </w:rPr>
        <w:t xml:space="preserve">Ontario is also a strong PISA performer, well ahead of Australia. Chmielewski </w:t>
      </w:r>
      <w:r w:rsidR="004C6A93">
        <w:rPr>
          <w:lang w:eastAsia="en-AU"/>
        </w:rPr>
        <w:t>and</w:t>
      </w:r>
      <w:r w:rsidR="0FA62AC6" w:rsidRPr="0086054F">
        <w:rPr>
          <w:lang w:eastAsia="en-AU"/>
        </w:rPr>
        <w:t xml:space="preserve"> Maharaj find an association between SES achievement gaps and variation in social segregation </w:t>
      </w:r>
      <w:r w:rsidR="0FA62AC6" w:rsidRPr="0086054F">
        <w:rPr>
          <w:lang w:eastAsia="en-AU"/>
        </w:rPr>
        <w:lastRenderedPageBreak/>
        <w:t>between provinces, “consistent with the idea that school segregation may be related to inequality in students’ academic outcomes.”</w:t>
      </w:r>
      <w:r w:rsidR="0FA62AC6" w:rsidRPr="0086054F">
        <w:rPr>
          <w:rStyle w:val="FootnoteReference"/>
          <w:lang w:eastAsia="en-AU"/>
        </w:rPr>
        <w:footnoteReference w:id="33"/>
      </w:r>
    </w:p>
    <w:p w14:paraId="3C22FFF6" w14:textId="01E7635C" w:rsidR="0FA62AC6" w:rsidRPr="0086054F" w:rsidRDefault="0FA62AC6">
      <w:pPr>
        <w:rPr>
          <w:lang w:eastAsia="en-AU"/>
        </w:rPr>
      </w:pPr>
      <w:r w:rsidRPr="0086054F">
        <w:rPr>
          <w:lang w:eastAsia="en-AU"/>
        </w:rPr>
        <w:t>Equally significant,</w:t>
      </w:r>
      <w:r w:rsidR="6374FFA5" w:rsidRPr="0086054F">
        <w:rPr>
          <w:lang w:eastAsia="en-AU"/>
        </w:rPr>
        <w:t xml:space="preserve"> </w:t>
      </w:r>
      <w:r w:rsidRPr="0086054F">
        <w:rPr>
          <w:lang w:eastAsia="en-AU"/>
        </w:rPr>
        <w:t>in Quebec</w:t>
      </w:r>
      <w:r w:rsidR="006501BC">
        <w:rPr>
          <w:lang w:eastAsia="en-AU"/>
        </w:rPr>
        <w:t xml:space="preserve"> –</w:t>
      </w:r>
      <w:r w:rsidRPr="0086054F">
        <w:rPr>
          <w:lang w:eastAsia="en-AU"/>
        </w:rPr>
        <w:t xml:space="preserve"> where publicly funded schools are permitted to charge fees and there are higher levels of social segregation</w:t>
      </w:r>
      <w:r w:rsidR="006501BC">
        <w:rPr>
          <w:lang w:eastAsia="en-AU"/>
        </w:rPr>
        <w:t xml:space="preserve"> –</w:t>
      </w:r>
      <w:r w:rsidRPr="0086054F">
        <w:rPr>
          <w:lang w:eastAsia="en-AU"/>
        </w:rPr>
        <w:t xml:space="preserve"> there are dramatically lower levels of secondary school completion than in other Canadian provinces</w:t>
      </w:r>
      <w:r w:rsidR="006501BC">
        <w:rPr>
          <w:lang w:eastAsia="en-AU"/>
        </w:rPr>
        <w:t>. A</w:t>
      </w:r>
      <w:r w:rsidRPr="0086054F">
        <w:rPr>
          <w:lang w:eastAsia="en-AU"/>
        </w:rPr>
        <w:t>nd completion rates are much lower than Ontario’s</w:t>
      </w:r>
      <w:r w:rsidR="004C6A93">
        <w:rPr>
          <w:lang w:eastAsia="en-AU"/>
        </w:rPr>
        <w:t>:</w:t>
      </w:r>
      <w:r w:rsidRPr="0086054F">
        <w:rPr>
          <w:lang w:eastAsia="en-AU"/>
        </w:rPr>
        <w:t xml:space="preserve"> “</w:t>
      </w:r>
      <w:r w:rsidR="004C6A93">
        <w:rPr>
          <w:lang w:eastAsia="en-AU"/>
        </w:rPr>
        <w:t>i</w:t>
      </w:r>
      <w:r w:rsidRPr="0086054F">
        <w:rPr>
          <w:lang w:eastAsia="en-AU"/>
        </w:rPr>
        <w:t>n the public system, the graduation gap between Quebec and Ontario is now 25 percentage points for boys.”</w:t>
      </w:r>
      <w:r w:rsidR="004C6A93" w:rsidRPr="0086054F">
        <w:rPr>
          <w:rStyle w:val="FootnoteReference"/>
          <w:lang w:eastAsia="en-AU"/>
        </w:rPr>
        <w:footnoteReference w:id="34"/>
      </w:r>
    </w:p>
    <w:p w14:paraId="22F5A4A9" w14:textId="207EF1E6" w:rsidR="004C6A93" w:rsidRPr="00A86E54" w:rsidRDefault="0FA62AC6" w:rsidP="0BC82662">
      <w:pPr>
        <w:rPr>
          <w:rFonts w:asciiTheme="minorHAnsi" w:hAnsiTheme="minorHAnsi" w:cstheme="minorHAnsi"/>
          <w:lang w:eastAsia="en-AU"/>
        </w:rPr>
      </w:pPr>
      <w:r w:rsidRPr="003B45AD">
        <w:rPr>
          <w:rFonts w:asciiTheme="majorHAnsi" w:hAnsiTheme="majorHAnsi" w:cstheme="majorHAnsi"/>
          <w:lang w:eastAsia="en-AU"/>
        </w:rPr>
        <w:t>Hong Kong</w:t>
      </w:r>
      <w:r w:rsidRPr="00A86E54">
        <w:rPr>
          <w:rFonts w:asciiTheme="minorHAnsi" w:hAnsiTheme="minorHAnsi" w:cstheme="minorHAnsi"/>
          <w:lang w:eastAsia="en-AU"/>
        </w:rPr>
        <w:t xml:space="preserve"> has one of the most successful school systems in the world in terms of both achievement and equity. In PISA 2018, the gap between socio-economically advantaged students and disadvantaged students in reading was 59 score points compared to the OECD average of 89 score points.</w:t>
      </w:r>
      <w:r w:rsidRPr="00A86E54">
        <w:rPr>
          <w:rStyle w:val="FootnoteReference"/>
          <w:rFonts w:asciiTheme="minorHAnsi" w:hAnsiTheme="minorHAnsi" w:cstheme="minorHAnsi"/>
          <w:lang w:eastAsia="en-AU"/>
        </w:rPr>
        <w:footnoteReference w:id="35"/>
      </w:r>
      <w:r w:rsidRPr="00A86E54">
        <w:rPr>
          <w:rFonts w:asciiTheme="minorHAnsi" w:hAnsiTheme="minorHAnsi" w:cstheme="minorHAnsi"/>
          <w:lang w:eastAsia="en-AU"/>
        </w:rPr>
        <w:t xml:space="preserve"> Socio-economic status explained only 5</w:t>
      </w:r>
      <w:r w:rsidR="006B5D6D">
        <w:rPr>
          <w:rFonts w:asciiTheme="minorHAnsi" w:hAnsiTheme="minorHAnsi" w:cstheme="minorHAnsi"/>
          <w:lang w:eastAsia="en-AU"/>
        </w:rPr>
        <w:t xml:space="preserve"> per cent</w:t>
      </w:r>
      <w:r w:rsidRPr="00A86E54">
        <w:rPr>
          <w:rFonts w:asciiTheme="minorHAnsi" w:hAnsiTheme="minorHAnsi" w:cstheme="minorHAnsi"/>
          <w:lang w:eastAsia="en-AU"/>
        </w:rPr>
        <w:t xml:space="preserve"> of the variation in mathematics performance in PISA 2018 in Hong Kong (China) compared to 14</w:t>
      </w:r>
      <w:r w:rsidR="006B5D6D">
        <w:rPr>
          <w:rFonts w:asciiTheme="minorHAnsi" w:hAnsiTheme="minorHAnsi" w:cstheme="minorHAnsi"/>
          <w:lang w:eastAsia="en-AU"/>
        </w:rPr>
        <w:t xml:space="preserve"> per cent</w:t>
      </w:r>
      <w:r w:rsidRPr="00A86E54">
        <w:rPr>
          <w:rFonts w:asciiTheme="minorHAnsi" w:hAnsiTheme="minorHAnsi" w:cstheme="minorHAnsi"/>
          <w:lang w:eastAsia="en-AU"/>
        </w:rPr>
        <w:t xml:space="preserve"> on average across OECD countries</w:t>
      </w:r>
      <w:r w:rsidR="008D2079" w:rsidRPr="00A86E54">
        <w:rPr>
          <w:rFonts w:asciiTheme="minorHAnsi" w:hAnsiTheme="minorHAnsi" w:cstheme="minorHAnsi"/>
          <w:lang w:eastAsia="en-AU"/>
        </w:rPr>
        <w:t xml:space="preserve">, suggesting a positive impact </w:t>
      </w:r>
      <w:r w:rsidR="009D2140" w:rsidRPr="00A86E54">
        <w:rPr>
          <w:rFonts w:asciiTheme="minorHAnsi" w:hAnsiTheme="minorHAnsi" w:cstheme="minorHAnsi"/>
          <w:lang w:eastAsia="en-AU"/>
        </w:rPr>
        <w:t xml:space="preserve">resulting from </w:t>
      </w:r>
      <w:r w:rsidR="0076659C" w:rsidRPr="00A86E54">
        <w:rPr>
          <w:rFonts w:asciiTheme="minorHAnsi" w:hAnsiTheme="minorHAnsi" w:cstheme="minorHAnsi"/>
          <w:lang w:eastAsia="en-AU"/>
        </w:rPr>
        <w:t>enrolment by 94</w:t>
      </w:r>
      <w:r w:rsidR="006B5D6D">
        <w:rPr>
          <w:rFonts w:asciiTheme="minorHAnsi" w:hAnsiTheme="minorHAnsi" w:cstheme="minorHAnsi"/>
          <w:lang w:eastAsia="en-AU"/>
        </w:rPr>
        <w:t xml:space="preserve"> per cent</w:t>
      </w:r>
      <w:r w:rsidR="0076659C" w:rsidRPr="00A86E54">
        <w:rPr>
          <w:rFonts w:asciiTheme="minorHAnsi" w:hAnsiTheme="minorHAnsi" w:cstheme="minorHAnsi"/>
          <w:lang w:eastAsia="en-AU"/>
        </w:rPr>
        <w:t xml:space="preserve"> of the population in </w:t>
      </w:r>
      <w:r w:rsidR="00D231C1">
        <w:rPr>
          <w:rFonts w:asciiTheme="minorHAnsi" w:hAnsiTheme="minorHAnsi" w:cstheme="minorHAnsi"/>
          <w:lang w:eastAsia="en-AU"/>
        </w:rPr>
        <w:t>a</w:t>
      </w:r>
      <w:r w:rsidR="0076659C" w:rsidRPr="00A86E54">
        <w:rPr>
          <w:rFonts w:asciiTheme="minorHAnsi" w:hAnsiTheme="minorHAnsi" w:cstheme="minorHAnsi"/>
          <w:lang w:eastAsia="en-AU"/>
        </w:rPr>
        <w:t>ided schools.</w:t>
      </w:r>
    </w:p>
    <w:p w14:paraId="0173E2A4" w14:textId="7646F4EF" w:rsidR="0FA62AC6" w:rsidRDefault="0FA62AC6">
      <w:r w:rsidRPr="003B45AD">
        <w:rPr>
          <w:rFonts w:asciiTheme="majorHAnsi" w:hAnsiTheme="majorHAnsi" w:cstheme="majorHAnsi"/>
          <w:lang w:eastAsia="en-AU"/>
        </w:rPr>
        <w:t>Chile</w:t>
      </w:r>
      <w:r w:rsidRPr="00A86E54">
        <w:rPr>
          <w:rFonts w:asciiTheme="minorHAnsi" w:hAnsiTheme="minorHAnsi" w:cstheme="minorHAnsi"/>
          <w:lang w:eastAsia="en-AU"/>
        </w:rPr>
        <w:t xml:space="preserve"> achieved substantial improvement in Year 4 maths after removing fees for disadvantaged students. When fees</w:t>
      </w:r>
      <w:r w:rsidRPr="0086054F">
        <w:rPr>
          <w:lang w:eastAsia="en-AU"/>
        </w:rPr>
        <w:t xml:space="preserve"> were removed for students in the lowest 40</w:t>
      </w:r>
      <w:r w:rsidR="00DE6415">
        <w:rPr>
          <w:lang w:eastAsia="en-AU"/>
        </w:rPr>
        <w:t xml:space="preserve"> per cent</w:t>
      </w:r>
      <w:r w:rsidRPr="0086054F">
        <w:rPr>
          <w:lang w:eastAsia="en-AU"/>
        </w:rPr>
        <w:t xml:space="preserve"> of the income distribution, </w:t>
      </w:r>
      <w:r w:rsidR="009E73A6">
        <w:rPr>
          <w:lang w:eastAsia="en-AU"/>
        </w:rPr>
        <w:t>m</w:t>
      </w:r>
      <w:r w:rsidRPr="0086054F">
        <w:rPr>
          <w:lang w:eastAsia="en-AU"/>
        </w:rPr>
        <w:t>aths scores rose by 16 points for students at the 20</w:t>
      </w:r>
      <w:r w:rsidRPr="00F81BDB">
        <w:rPr>
          <w:vertAlign w:val="superscript"/>
          <w:lang w:eastAsia="en-AU"/>
        </w:rPr>
        <w:t>th</w:t>
      </w:r>
      <w:r w:rsidRPr="0086054F">
        <w:rPr>
          <w:lang w:eastAsia="en-AU"/>
        </w:rPr>
        <w:t xml:space="preserve"> percentile, and 10 points for students at the 80</w:t>
      </w:r>
      <w:r w:rsidRPr="00F81BDB">
        <w:rPr>
          <w:vertAlign w:val="superscript"/>
          <w:lang w:eastAsia="en-AU"/>
        </w:rPr>
        <w:t>th</w:t>
      </w:r>
      <w:r w:rsidRPr="0086054F">
        <w:rPr>
          <w:lang w:eastAsia="en-AU"/>
        </w:rPr>
        <w:t xml:space="preserve"> percentile.</w:t>
      </w:r>
      <w:r w:rsidRPr="0086054F">
        <w:rPr>
          <w:rStyle w:val="FootnoteReference"/>
          <w:lang w:eastAsia="en-AU"/>
        </w:rPr>
        <w:footnoteReference w:id="36"/>
      </w:r>
      <w:r w:rsidR="002C1F3A">
        <w:rPr>
          <w:lang w:eastAsia="en-AU"/>
        </w:rPr>
        <w:t xml:space="preserve"> </w:t>
      </w:r>
    </w:p>
    <w:p w14:paraId="4EE0A781" w14:textId="2246B99D" w:rsidR="004C6A93" w:rsidRDefault="0FA62AC6" w:rsidP="004C6A93">
      <w:pPr>
        <w:pStyle w:val="Heading3"/>
      </w:pPr>
      <w:r w:rsidRPr="0086054F">
        <w:rPr>
          <w:rFonts w:eastAsia="MS Mincho"/>
        </w:rPr>
        <w:t>Evidence</w:t>
      </w:r>
      <w:r w:rsidRPr="0086054F">
        <w:rPr>
          <w:rFonts w:eastAsia="Arial"/>
        </w:rPr>
        <w:t xml:space="preserve"> base</w:t>
      </w:r>
    </w:p>
    <w:p w14:paraId="6FD46BC9" w14:textId="778A5021" w:rsidR="008C5889" w:rsidRDefault="0FA62AC6" w:rsidP="52D61CED">
      <w:pPr>
        <w:rPr>
          <w:lang w:eastAsia="en-AU"/>
        </w:rPr>
      </w:pPr>
      <w:r w:rsidRPr="0086054F">
        <w:rPr>
          <w:lang w:eastAsia="en-AU"/>
        </w:rPr>
        <w:t xml:space="preserve">Data sources drawn on here include PISA and national standardised tests. While </w:t>
      </w:r>
      <w:r w:rsidRPr="008F3430">
        <w:rPr>
          <w:rFonts w:asciiTheme="majorHAnsi" w:hAnsiTheme="majorHAnsi" w:cstheme="majorHAnsi"/>
          <w:lang w:eastAsia="en-AU"/>
        </w:rPr>
        <w:t>Quebec</w:t>
      </w:r>
      <w:r w:rsidRPr="0086054F">
        <w:rPr>
          <w:lang w:eastAsia="en-AU"/>
        </w:rPr>
        <w:t xml:space="preserve"> has very high school dropout rates, its PISA results are comparable to other provinces.</w:t>
      </w:r>
      <w:r w:rsidRPr="0086054F">
        <w:rPr>
          <w:rStyle w:val="FootnoteReference"/>
          <w:lang w:eastAsia="en-AU"/>
        </w:rPr>
        <w:footnoteReference w:id="37"/>
      </w:r>
      <w:r w:rsidR="53C18DB3" w:rsidRPr="0086054F">
        <w:rPr>
          <w:lang w:eastAsia="en-AU"/>
        </w:rPr>
        <w:t xml:space="preserve"> </w:t>
      </w:r>
      <w:r w:rsidR="004C6A93">
        <w:rPr>
          <w:lang w:eastAsia="en-AU"/>
        </w:rPr>
        <w:t>This suggests that w</w:t>
      </w:r>
      <w:r w:rsidRPr="0086054F">
        <w:rPr>
          <w:lang w:eastAsia="en-AU"/>
        </w:rPr>
        <w:t xml:space="preserve">ithdrawal from school by low achievers </w:t>
      </w:r>
      <w:r w:rsidR="00A87C0F">
        <w:rPr>
          <w:lang w:eastAsia="en-AU"/>
        </w:rPr>
        <w:t xml:space="preserve">before the sitting of PISA </w:t>
      </w:r>
      <w:r w:rsidRPr="0086054F">
        <w:rPr>
          <w:lang w:eastAsia="en-AU"/>
        </w:rPr>
        <w:t xml:space="preserve">may </w:t>
      </w:r>
      <w:r w:rsidR="004C6A93">
        <w:rPr>
          <w:lang w:eastAsia="en-AU"/>
        </w:rPr>
        <w:t xml:space="preserve">be </w:t>
      </w:r>
      <w:r w:rsidRPr="0086054F">
        <w:rPr>
          <w:lang w:eastAsia="en-AU"/>
        </w:rPr>
        <w:t>artificially inflat</w:t>
      </w:r>
      <w:r w:rsidR="004C6A93">
        <w:rPr>
          <w:lang w:eastAsia="en-AU"/>
        </w:rPr>
        <w:t>ing</w:t>
      </w:r>
      <w:r w:rsidRPr="0086054F">
        <w:rPr>
          <w:lang w:eastAsia="en-AU"/>
        </w:rPr>
        <w:t xml:space="preserve"> Quebec’s results.</w:t>
      </w:r>
      <w:r w:rsidRPr="0086054F">
        <w:rPr>
          <w:rStyle w:val="FootnoteReference"/>
          <w:lang w:eastAsia="en-AU"/>
        </w:rPr>
        <w:footnoteReference w:id="38"/>
      </w:r>
      <w:r w:rsidR="4F20BDEC" w:rsidRPr="0086054F">
        <w:rPr>
          <w:lang w:eastAsia="en-AU"/>
        </w:rPr>
        <w:t xml:space="preserve"> </w:t>
      </w:r>
    </w:p>
    <w:p w14:paraId="4F5AD379" w14:textId="51FA0DF7" w:rsidR="000A7A32" w:rsidRDefault="0FA62AC6" w:rsidP="00530D72">
      <w:pPr>
        <w:rPr>
          <w:lang w:eastAsia="en-AU"/>
        </w:rPr>
      </w:pPr>
      <w:r w:rsidRPr="0086054F">
        <w:rPr>
          <w:lang w:eastAsia="en-AU"/>
        </w:rPr>
        <w:t xml:space="preserve">While </w:t>
      </w:r>
      <w:r w:rsidRPr="008F3430">
        <w:rPr>
          <w:rFonts w:asciiTheme="majorHAnsi" w:hAnsiTheme="majorHAnsi" w:cstheme="majorHAnsi"/>
          <w:lang w:eastAsia="en-AU"/>
        </w:rPr>
        <w:t>Chile’s</w:t>
      </w:r>
      <w:r w:rsidRPr="0086054F">
        <w:rPr>
          <w:lang w:eastAsia="en-AU"/>
        </w:rPr>
        <w:t xml:space="preserve"> school diversity has improved since 2008, factors such as residential segregation and academic tracking appear to contribute to continued </w:t>
      </w:r>
      <w:r w:rsidR="605D1753" w:rsidRPr="0086054F">
        <w:rPr>
          <w:lang w:eastAsia="en-AU"/>
        </w:rPr>
        <w:t>relatively</w:t>
      </w:r>
      <w:r w:rsidRPr="0086054F">
        <w:rPr>
          <w:lang w:eastAsia="en-AU"/>
        </w:rPr>
        <w:t xml:space="preserve"> high levels of segregation.</w:t>
      </w:r>
      <w:r w:rsidRPr="0086054F">
        <w:rPr>
          <w:rStyle w:val="FootnoteReference"/>
          <w:lang w:eastAsia="en-AU"/>
        </w:rPr>
        <w:footnoteReference w:id="39"/>
      </w:r>
      <w:r w:rsidRPr="0086054F">
        <w:rPr>
          <w:lang w:eastAsia="en-AU"/>
        </w:rPr>
        <w:t xml:space="preserve"> </w:t>
      </w:r>
      <w:r w:rsidR="0075410F">
        <w:rPr>
          <w:lang w:eastAsia="en-AU"/>
        </w:rPr>
        <w:t xml:space="preserve">For broader context, </w:t>
      </w:r>
      <w:r w:rsidRPr="0086054F">
        <w:rPr>
          <w:lang w:eastAsia="en-AU"/>
        </w:rPr>
        <w:t xml:space="preserve">Chile </w:t>
      </w:r>
      <w:r w:rsidR="003C2D0F">
        <w:rPr>
          <w:lang w:eastAsia="en-AU"/>
        </w:rPr>
        <w:t>(</w:t>
      </w:r>
      <w:r w:rsidRPr="0086054F">
        <w:rPr>
          <w:lang w:eastAsia="en-AU"/>
        </w:rPr>
        <w:t>with Uruguay</w:t>
      </w:r>
      <w:r w:rsidR="003C2D0F">
        <w:rPr>
          <w:lang w:eastAsia="en-AU"/>
        </w:rPr>
        <w:t>)</w:t>
      </w:r>
      <w:r w:rsidRPr="0086054F">
        <w:rPr>
          <w:lang w:eastAsia="en-AU"/>
        </w:rPr>
        <w:t xml:space="preserve"> is the highest performing education system in Latin America</w:t>
      </w:r>
      <w:r w:rsidR="008C5889">
        <w:rPr>
          <w:lang w:eastAsia="en-AU"/>
        </w:rPr>
        <w:t>,</w:t>
      </w:r>
      <w:r w:rsidRPr="0086054F">
        <w:rPr>
          <w:lang w:eastAsia="en-AU"/>
        </w:rPr>
        <w:t xml:space="preserve"> but </w:t>
      </w:r>
      <w:r w:rsidR="008C5889">
        <w:rPr>
          <w:lang w:eastAsia="en-AU"/>
        </w:rPr>
        <w:t>i</w:t>
      </w:r>
      <w:r w:rsidR="003B0718">
        <w:rPr>
          <w:lang w:eastAsia="en-AU"/>
        </w:rPr>
        <w:t xml:space="preserve">t </w:t>
      </w:r>
      <w:r w:rsidR="008C5889">
        <w:rPr>
          <w:lang w:eastAsia="en-AU"/>
        </w:rPr>
        <w:t xml:space="preserve">is </w:t>
      </w:r>
      <w:r w:rsidRPr="0086054F">
        <w:rPr>
          <w:lang w:eastAsia="en-AU"/>
        </w:rPr>
        <w:t>two years behind the OECD average</w:t>
      </w:r>
      <w:r w:rsidR="4774FDE8" w:rsidRPr="0086054F">
        <w:rPr>
          <w:lang w:eastAsia="en-AU"/>
        </w:rPr>
        <w:t>.</w:t>
      </w:r>
      <w:r w:rsidRPr="0086054F">
        <w:rPr>
          <w:rStyle w:val="FootnoteReference"/>
          <w:lang w:eastAsia="en-AU"/>
        </w:rPr>
        <w:footnoteReference w:id="40"/>
      </w:r>
      <w:r w:rsidR="4774FDE8" w:rsidRPr="0086054F">
        <w:rPr>
          <w:lang w:eastAsia="en-AU"/>
        </w:rPr>
        <w:t xml:space="preserve"> </w:t>
      </w:r>
      <w:r w:rsidRPr="0086054F">
        <w:rPr>
          <w:lang w:eastAsia="en-AU"/>
        </w:rPr>
        <w:t xml:space="preserve">Chile’s improvement </w:t>
      </w:r>
      <w:r w:rsidR="6D5B80A8" w:rsidRPr="0086054F">
        <w:rPr>
          <w:lang w:eastAsia="en-AU"/>
        </w:rPr>
        <w:t>in PISA</w:t>
      </w:r>
      <w:r w:rsidR="00545855">
        <w:rPr>
          <w:lang w:eastAsia="en-AU"/>
        </w:rPr>
        <w:t xml:space="preserve">, </w:t>
      </w:r>
      <w:r w:rsidR="3479290C" w:rsidRPr="0086054F">
        <w:rPr>
          <w:lang w:eastAsia="en-AU"/>
        </w:rPr>
        <w:t>since</w:t>
      </w:r>
      <w:r w:rsidRPr="0086054F">
        <w:rPr>
          <w:lang w:eastAsia="en-AU"/>
        </w:rPr>
        <w:t xml:space="preserve"> </w:t>
      </w:r>
      <w:r w:rsidR="59F7EDBE" w:rsidRPr="0086054F">
        <w:rPr>
          <w:lang w:eastAsia="en-AU"/>
        </w:rPr>
        <w:t>the test’s</w:t>
      </w:r>
      <w:r w:rsidR="70C70F58" w:rsidRPr="0086054F">
        <w:rPr>
          <w:lang w:eastAsia="en-AU"/>
        </w:rPr>
        <w:t xml:space="preserve"> inception</w:t>
      </w:r>
      <w:r w:rsidR="00545855">
        <w:rPr>
          <w:lang w:eastAsia="en-AU"/>
        </w:rPr>
        <w:t>,</w:t>
      </w:r>
      <w:r w:rsidRPr="0086054F">
        <w:rPr>
          <w:lang w:eastAsia="en-AU"/>
        </w:rPr>
        <w:t xml:space="preserve"> </w:t>
      </w:r>
      <w:r w:rsidR="00A46FA7">
        <w:rPr>
          <w:lang w:eastAsia="en-AU"/>
        </w:rPr>
        <w:t xml:space="preserve">was more marked in the period before </w:t>
      </w:r>
      <w:r w:rsidRPr="0086054F">
        <w:rPr>
          <w:lang w:eastAsia="en-AU"/>
        </w:rPr>
        <w:t>2009</w:t>
      </w:r>
      <w:r w:rsidRPr="0086054F">
        <w:rPr>
          <w:rStyle w:val="FootnoteReference"/>
          <w:lang w:eastAsia="en-AU"/>
        </w:rPr>
        <w:footnoteReference w:id="41"/>
      </w:r>
      <w:r w:rsidRPr="0086054F">
        <w:rPr>
          <w:lang w:eastAsia="en-AU"/>
        </w:rPr>
        <w:t xml:space="preserve"> </w:t>
      </w:r>
      <w:r w:rsidR="00A46FA7">
        <w:rPr>
          <w:lang w:eastAsia="en-AU"/>
        </w:rPr>
        <w:t xml:space="preserve">which may be due to </w:t>
      </w:r>
      <w:r w:rsidR="00554523">
        <w:rPr>
          <w:lang w:eastAsia="en-AU"/>
        </w:rPr>
        <w:t>the earlier implementation of complementary reforms</w:t>
      </w:r>
      <w:r w:rsidR="00554482">
        <w:rPr>
          <w:lang w:eastAsia="en-AU"/>
        </w:rPr>
        <w:t xml:space="preserve"> which provided a foundation for th</w:t>
      </w:r>
      <w:r w:rsidR="00DB2F4E">
        <w:rPr>
          <w:lang w:eastAsia="en-AU"/>
        </w:rPr>
        <w:t xml:space="preserve">is and other </w:t>
      </w:r>
      <w:r w:rsidR="00942B6A">
        <w:rPr>
          <w:lang w:eastAsia="en-AU"/>
        </w:rPr>
        <w:t>interventions.</w:t>
      </w:r>
    </w:p>
    <w:p w14:paraId="10FCC024" w14:textId="1FE0F4AC" w:rsidR="00530D72" w:rsidRPr="00530D72" w:rsidRDefault="00530D72" w:rsidP="00136F5C">
      <w:pPr>
        <w:pStyle w:val="Heading3"/>
        <w:rPr>
          <w:rStyle w:val="Heading3Char"/>
          <w:rFonts w:eastAsiaTheme="minorHAnsi"/>
        </w:rPr>
      </w:pPr>
      <w:r w:rsidRPr="00530D72">
        <w:rPr>
          <w:rStyle w:val="Heading3Char"/>
          <w:rFonts w:eastAsiaTheme="minorHAnsi"/>
        </w:rPr>
        <w:lastRenderedPageBreak/>
        <w:t xml:space="preserve">Transferability </w:t>
      </w:r>
    </w:p>
    <w:p w14:paraId="2DB05EBA" w14:textId="76D3FCFC" w:rsidR="0040558C" w:rsidRPr="0086054F" w:rsidRDefault="0040558C" w:rsidP="0040558C">
      <w:pPr>
        <w:rPr>
          <w:lang w:eastAsia="en-AU"/>
        </w:rPr>
      </w:pPr>
      <w:r>
        <w:rPr>
          <w:noProof/>
        </w:rPr>
        <w:drawing>
          <wp:inline distT="0" distB="0" distL="0" distR="0" wp14:anchorId="3D9D49FB" wp14:editId="7474B794">
            <wp:extent cx="5670000" cy="1668648"/>
            <wp:effectExtent l="0" t="0" r="6985" b="8255"/>
            <wp:docPr id="38868414" name="Picture 38868414" descr="Lists the dimensions of transferability to the Australian context, with a low-medium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8414" name="Picture 38868414" descr="Lists the dimensions of transferability to the Australian context, with a low-medium level of transferability to Australia. "/>
                    <pic:cNvPicPr/>
                  </pic:nvPicPr>
                  <pic:blipFill>
                    <a:blip r:embed="rId22">
                      <a:extLst>
                        <a:ext uri="{28A0092B-C50C-407E-A947-70E740481C1C}">
                          <a14:useLocalDpi xmlns:a14="http://schemas.microsoft.com/office/drawing/2010/main" val="0"/>
                        </a:ext>
                      </a:extLst>
                    </a:blip>
                    <a:stretch>
                      <a:fillRect/>
                    </a:stretch>
                  </pic:blipFill>
                  <pic:spPr>
                    <a:xfrm>
                      <a:off x="0" y="0"/>
                      <a:ext cx="5670000" cy="1668648"/>
                    </a:xfrm>
                    <a:prstGeom prst="rect">
                      <a:avLst/>
                    </a:prstGeom>
                  </pic:spPr>
                </pic:pic>
              </a:graphicData>
            </a:graphic>
          </wp:inline>
        </w:drawing>
      </w:r>
    </w:p>
    <w:p w14:paraId="63FF6D33" w14:textId="1030E738" w:rsidR="00C3176C" w:rsidRDefault="151AFD6D" w:rsidP="00F314F0">
      <w:pPr>
        <w:spacing w:after="160"/>
        <w:rPr>
          <w:lang w:eastAsia="en-AU"/>
        </w:rPr>
      </w:pPr>
      <w:r w:rsidRPr="0086054F">
        <w:rPr>
          <w:lang w:eastAsia="en-AU"/>
        </w:rPr>
        <w:t xml:space="preserve">Removal of fees is a highly effective means of increasing socio-economic diversity and improving student </w:t>
      </w:r>
      <w:r w:rsidRPr="502BD33B">
        <w:rPr>
          <w:lang w:eastAsia="en-AU"/>
        </w:rPr>
        <w:t>achievement</w:t>
      </w:r>
      <w:r w:rsidR="423D8F92" w:rsidRPr="6835D099">
        <w:rPr>
          <w:lang w:eastAsia="en-AU"/>
        </w:rPr>
        <w:t xml:space="preserve">, </w:t>
      </w:r>
      <w:r w:rsidR="009E73A6">
        <w:rPr>
          <w:lang w:eastAsia="en-AU"/>
        </w:rPr>
        <w:t>particularly</w:t>
      </w:r>
      <w:r w:rsidR="00101BBB">
        <w:rPr>
          <w:lang w:eastAsia="en-AU"/>
        </w:rPr>
        <w:t xml:space="preserve"> when the fees charged are </w:t>
      </w:r>
      <w:r w:rsidR="00CA09F2">
        <w:rPr>
          <w:lang w:eastAsia="en-AU"/>
        </w:rPr>
        <w:t xml:space="preserve">high. (See separate discussion on fee capping in section </w:t>
      </w:r>
      <w:r w:rsidR="00DC0D19">
        <w:rPr>
          <w:lang w:eastAsia="en-AU"/>
        </w:rPr>
        <w:t>3.3, overleaf,</w:t>
      </w:r>
      <w:r w:rsidR="00225EEF">
        <w:rPr>
          <w:lang w:eastAsia="en-AU"/>
        </w:rPr>
        <w:t xml:space="preserve"> which looks at the example of N</w:t>
      </w:r>
      <w:r w:rsidR="00C3176C">
        <w:rPr>
          <w:lang w:eastAsia="en-AU"/>
        </w:rPr>
        <w:t>ew Zealand as well as Hong Kong’s non-aided schools</w:t>
      </w:r>
      <w:r w:rsidR="00CA09F2">
        <w:rPr>
          <w:lang w:eastAsia="en-AU"/>
        </w:rPr>
        <w:t xml:space="preserve">.) </w:t>
      </w:r>
    </w:p>
    <w:p w14:paraId="6D7328D6" w14:textId="19E11DEB" w:rsidR="0038128C" w:rsidRDefault="00C3176C" w:rsidP="00F314F0">
      <w:pPr>
        <w:spacing w:after="160"/>
        <w:rPr>
          <w:lang w:eastAsia="en-AU"/>
        </w:rPr>
      </w:pPr>
      <w:r>
        <w:rPr>
          <w:lang w:eastAsia="en-AU"/>
        </w:rPr>
        <w:t>In</w:t>
      </w:r>
      <w:r w:rsidR="423D8F92" w:rsidRPr="3A6960F3">
        <w:rPr>
          <w:lang w:eastAsia="en-AU"/>
        </w:rPr>
        <w:t xml:space="preserve"> an</w:t>
      </w:r>
      <w:r w:rsidR="151AFD6D" w:rsidRPr="3A6960F3">
        <w:rPr>
          <w:lang w:eastAsia="en-AU"/>
        </w:rPr>
        <w:t xml:space="preserve"> </w:t>
      </w:r>
      <w:r w:rsidR="151AFD6D" w:rsidRPr="1EBDE491">
        <w:rPr>
          <w:lang w:eastAsia="en-AU"/>
        </w:rPr>
        <w:t>Australian context</w:t>
      </w:r>
      <w:r w:rsidR="01C592A3" w:rsidRPr="56F18E4B">
        <w:rPr>
          <w:lang w:eastAsia="en-AU"/>
        </w:rPr>
        <w:t>,</w:t>
      </w:r>
      <w:r>
        <w:rPr>
          <w:lang w:eastAsia="en-AU"/>
        </w:rPr>
        <w:t xml:space="preserve"> where fees can </w:t>
      </w:r>
      <w:r w:rsidR="00FA2C09">
        <w:rPr>
          <w:lang w:eastAsia="en-AU"/>
        </w:rPr>
        <w:t>vary significantly,</w:t>
      </w:r>
      <w:r>
        <w:rPr>
          <w:lang w:eastAsia="en-AU"/>
        </w:rPr>
        <w:t xml:space="preserve"> notwithstanding the levels of public subsidisation,</w:t>
      </w:r>
      <w:r w:rsidR="40645026" w:rsidRPr="56F18E4B">
        <w:rPr>
          <w:lang w:eastAsia="en-AU"/>
        </w:rPr>
        <w:t xml:space="preserve"> </w:t>
      </w:r>
      <w:r w:rsidR="00AD7D80">
        <w:rPr>
          <w:lang w:eastAsia="en-AU"/>
        </w:rPr>
        <w:t xml:space="preserve">the </w:t>
      </w:r>
      <w:r w:rsidR="79D080F1" w:rsidRPr="56F18E4B">
        <w:rPr>
          <w:lang w:eastAsia="en-AU"/>
        </w:rPr>
        <w:t xml:space="preserve">removal of fees could </w:t>
      </w:r>
      <w:r w:rsidR="40645026" w:rsidRPr="56F18E4B">
        <w:rPr>
          <w:lang w:eastAsia="en-AU"/>
        </w:rPr>
        <w:t>expand</w:t>
      </w:r>
      <w:r w:rsidR="40645026" w:rsidRPr="3A6960F3">
        <w:rPr>
          <w:lang w:eastAsia="en-AU"/>
        </w:rPr>
        <w:t xml:space="preserve"> access</w:t>
      </w:r>
      <w:r w:rsidR="40645026" w:rsidRPr="1AA12BFD">
        <w:rPr>
          <w:lang w:eastAsia="en-AU"/>
        </w:rPr>
        <w:t xml:space="preserve"> for First Nations students </w:t>
      </w:r>
      <w:r w:rsidR="00710BD6">
        <w:rPr>
          <w:lang w:eastAsia="en-AU"/>
        </w:rPr>
        <w:t xml:space="preserve">and other equity cohorts </w:t>
      </w:r>
      <w:r w:rsidR="40645026" w:rsidRPr="1AA12BFD">
        <w:rPr>
          <w:lang w:eastAsia="en-AU"/>
        </w:rPr>
        <w:t xml:space="preserve">to schools where they are currently </w:t>
      </w:r>
      <w:r w:rsidR="40645026" w:rsidRPr="39E66381">
        <w:rPr>
          <w:lang w:eastAsia="en-AU"/>
        </w:rPr>
        <w:t>under-</w:t>
      </w:r>
      <w:r w:rsidR="40645026" w:rsidRPr="26C7C786">
        <w:rPr>
          <w:lang w:eastAsia="en-AU"/>
        </w:rPr>
        <w:t>represented</w:t>
      </w:r>
      <w:r w:rsidR="004763FC">
        <w:rPr>
          <w:lang w:eastAsia="en-AU"/>
        </w:rPr>
        <w:t xml:space="preserve"> – enabling access through means other than academic scholarships.</w:t>
      </w:r>
      <w:r w:rsidR="151AFD6D" w:rsidRPr="0086054F">
        <w:rPr>
          <w:lang w:eastAsia="en-AU"/>
        </w:rPr>
        <w:t xml:space="preserve"> </w:t>
      </w:r>
      <w:r w:rsidR="3C2C58AB" w:rsidRPr="22A69A88">
        <w:rPr>
          <w:lang w:eastAsia="en-AU"/>
        </w:rPr>
        <w:t>However</w:t>
      </w:r>
      <w:r w:rsidR="004763FC">
        <w:rPr>
          <w:lang w:eastAsia="en-AU"/>
        </w:rPr>
        <w:t>,</w:t>
      </w:r>
      <w:r w:rsidR="3C2C58AB" w:rsidRPr="22A69A88">
        <w:rPr>
          <w:lang w:eastAsia="en-AU"/>
        </w:rPr>
        <w:t xml:space="preserve"> fee removal </w:t>
      </w:r>
      <w:r w:rsidR="0038128C">
        <w:rPr>
          <w:lang w:eastAsia="en-AU"/>
        </w:rPr>
        <w:t>would</w:t>
      </w:r>
      <w:r w:rsidR="3C2C58AB" w:rsidRPr="22A69A88">
        <w:rPr>
          <w:lang w:eastAsia="en-AU"/>
        </w:rPr>
        <w:t xml:space="preserve"> not be applicable in </w:t>
      </w:r>
      <w:r w:rsidR="3C2C58AB" w:rsidRPr="01B5B892">
        <w:rPr>
          <w:lang w:eastAsia="en-AU"/>
        </w:rPr>
        <w:t>locations</w:t>
      </w:r>
      <w:r w:rsidR="0038128C">
        <w:rPr>
          <w:lang w:eastAsia="en-AU"/>
        </w:rPr>
        <w:t xml:space="preserve"> where there </w:t>
      </w:r>
      <w:r w:rsidR="004A6CC4">
        <w:rPr>
          <w:lang w:eastAsia="en-AU"/>
        </w:rPr>
        <w:t>are</w:t>
      </w:r>
      <w:r w:rsidR="0038128C">
        <w:rPr>
          <w:lang w:eastAsia="en-AU"/>
        </w:rPr>
        <w:t xml:space="preserve"> no fee-charging </w:t>
      </w:r>
      <w:r w:rsidR="3C2C58AB" w:rsidRPr="2C5C27EF">
        <w:rPr>
          <w:lang w:eastAsia="en-AU"/>
        </w:rPr>
        <w:t>non-government school</w:t>
      </w:r>
      <w:r w:rsidR="004A6CC4">
        <w:rPr>
          <w:lang w:eastAsia="en-AU"/>
        </w:rPr>
        <w:t>s</w:t>
      </w:r>
      <w:r w:rsidR="00586CA5">
        <w:rPr>
          <w:lang w:eastAsia="en-AU"/>
        </w:rPr>
        <w:t>, the case in many regional, rural and remote locations</w:t>
      </w:r>
      <w:r w:rsidR="3C2C58AB" w:rsidRPr="4B352C7E">
        <w:rPr>
          <w:lang w:eastAsia="en-AU"/>
        </w:rPr>
        <w:t>.</w:t>
      </w:r>
      <w:r w:rsidR="3C2C58AB" w:rsidRPr="01B5B892">
        <w:rPr>
          <w:lang w:eastAsia="en-AU"/>
        </w:rPr>
        <w:t xml:space="preserve"> </w:t>
      </w:r>
    </w:p>
    <w:p w14:paraId="0A05CD58" w14:textId="5B847193" w:rsidR="00544996" w:rsidRDefault="151AFD6D" w:rsidP="00F314F0">
      <w:pPr>
        <w:spacing w:after="160"/>
        <w:rPr>
          <w:lang w:eastAsia="en-AU"/>
        </w:rPr>
      </w:pPr>
      <w:r w:rsidRPr="01B5B892">
        <w:rPr>
          <w:lang w:eastAsia="en-AU"/>
        </w:rPr>
        <w:t>This</w:t>
      </w:r>
      <w:r w:rsidRPr="0086054F">
        <w:rPr>
          <w:lang w:eastAsia="en-AU"/>
        </w:rPr>
        <w:t xml:space="preserve"> </w:t>
      </w:r>
      <w:r w:rsidR="0038128C">
        <w:rPr>
          <w:lang w:eastAsia="en-AU"/>
        </w:rPr>
        <w:t>intervention</w:t>
      </w:r>
      <w:r w:rsidRPr="0086054F">
        <w:rPr>
          <w:lang w:eastAsia="en-AU"/>
        </w:rPr>
        <w:t xml:space="preserve"> is more likely to be accepted if it is targeted, and schools can opt</w:t>
      </w:r>
      <w:r w:rsidR="004671B3" w:rsidRPr="0086054F">
        <w:rPr>
          <w:lang w:eastAsia="en-AU"/>
        </w:rPr>
        <w:t>-</w:t>
      </w:r>
      <w:r w:rsidRPr="0086054F">
        <w:rPr>
          <w:lang w:eastAsia="en-AU"/>
        </w:rPr>
        <w:t>in to a program of offering disadvantaged students fully publicly funded fee-free places</w:t>
      </w:r>
      <w:r w:rsidR="003D2B9A">
        <w:rPr>
          <w:lang w:eastAsia="en-AU"/>
        </w:rPr>
        <w:t xml:space="preserve"> – again, without there being an element of academic selectivity (which would likely defeat the purpose o</w:t>
      </w:r>
      <w:r w:rsidR="00AB2C7A">
        <w:rPr>
          <w:lang w:eastAsia="en-AU"/>
        </w:rPr>
        <w:t>f reducing concentrations of disadvantage)</w:t>
      </w:r>
      <w:r w:rsidRPr="0086054F">
        <w:rPr>
          <w:lang w:eastAsia="en-AU"/>
        </w:rPr>
        <w:t xml:space="preserve">. Chile’s Preferential School Subsidy exemplifies this approach. </w:t>
      </w:r>
      <w:r w:rsidR="00916064">
        <w:rPr>
          <w:lang w:eastAsia="en-AU"/>
        </w:rPr>
        <w:t>It would likely be viewed as fair</w:t>
      </w:r>
      <w:r w:rsidR="00CF71D9">
        <w:rPr>
          <w:lang w:eastAsia="en-AU"/>
        </w:rPr>
        <w:t>.</w:t>
      </w:r>
    </w:p>
    <w:p w14:paraId="44D2D5AA" w14:textId="6E2FEECC" w:rsidR="003F6B83" w:rsidRPr="0086054F" w:rsidRDefault="00544996" w:rsidP="00F314F0">
      <w:pPr>
        <w:spacing w:after="160"/>
        <w:rPr>
          <w:lang w:eastAsia="en-AU"/>
        </w:rPr>
      </w:pPr>
      <w:r>
        <w:rPr>
          <w:lang w:eastAsia="en-AU"/>
        </w:rPr>
        <w:t>Finally, it</w:t>
      </w:r>
      <w:r w:rsidR="151AFD6D" w:rsidRPr="0086054F">
        <w:rPr>
          <w:lang w:eastAsia="en-AU"/>
        </w:rPr>
        <w:t xml:space="preserve"> is </w:t>
      </w:r>
      <w:r>
        <w:rPr>
          <w:lang w:eastAsia="en-AU"/>
        </w:rPr>
        <w:t>important</w:t>
      </w:r>
      <w:r w:rsidR="151AFD6D" w:rsidRPr="0086054F">
        <w:rPr>
          <w:lang w:eastAsia="en-AU"/>
        </w:rPr>
        <w:t xml:space="preserve"> to note that where </w:t>
      </w:r>
      <w:r w:rsidR="52E13B0A" w:rsidRPr="0086054F">
        <w:rPr>
          <w:lang w:eastAsia="en-AU"/>
        </w:rPr>
        <w:t>other</w:t>
      </w:r>
      <w:r w:rsidR="3777C806" w:rsidRPr="0086054F">
        <w:rPr>
          <w:lang w:eastAsia="en-AU"/>
        </w:rPr>
        <w:t xml:space="preserve"> policy</w:t>
      </w:r>
      <w:r w:rsidR="151AFD6D" w:rsidRPr="0086054F">
        <w:rPr>
          <w:lang w:eastAsia="en-AU"/>
        </w:rPr>
        <w:t xml:space="preserve"> </w:t>
      </w:r>
      <w:r w:rsidR="00AB2C7A">
        <w:rPr>
          <w:lang w:eastAsia="en-AU"/>
        </w:rPr>
        <w:t>interventions</w:t>
      </w:r>
      <w:r w:rsidR="151AFD6D" w:rsidRPr="0086054F">
        <w:rPr>
          <w:lang w:eastAsia="en-AU"/>
        </w:rPr>
        <w:t xml:space="preserve"> have succeeded in increasing diversity and achievement</w:t>
      </w:r>
      <w:r>
        <w:rPr>
          <w:lang w:eastAsia="en-AU"/>
        </w:rPr>
        <w:t xml:space="preserve"> – </w:t>
      </w:r>
      <w:r w:rsidR="151AFD6D" w:rsidRPr="0086054F">
        <w:rPr>
          <w:lang w:eastAsia="en-AU"/>
        </w:rPr>
        <w:t>such as financial incentives in England and Wales or alternative modes of delivery in New Zealand</w:t>
      </w:r>
      <w:r>
        <w:rPr>
          <w:lang w:eastAsia="en-AU"/>
        </w:rPr>
        <w:t xml:space="preserve"> –</w:t>
      </w:r>
      <w:r w:rsidR="151AFD6D" w:rsidRPr="0086054F">
        <w:rPr>
          <w:lang w:eastAsia="en-AU"/>
        </w:rPr>
        <w:t xml:space="preserve"> this has occurred within a context where fees have been removed as a </w:t>
      </w:r>
      <w:r w:rsidR="004262D7">
        <w:rPr>
          <w:lang w:eastAsia="en-AU"/>
        </w:rPr>
        <w:t xml:space="preserve">factor in </w:t>
      </w:r>
      <w:r w:rsidR="151AFD6D" w:rsidRPr="0086054F">
        <w:rPr>
          <w:lang w:eastAsia="en-AU"/>
        </w:rPr>
        <w:t xml:space="preserve">segregation. In Australia, fee removal may </w:t>
      </w:r>
      <w:r w:rsidR="004262D7">
        <w:rPr>
          <w:lang w:eastAsia="en-AU"/>
        </w:rPr>
        <w:t xml:space="preserve">similarly be most effective if deployed in concert with other </w:t>
      </w:r>
      <w:r w:rsidR="151AFD6D" w:rsidRPr="0086054F">
        <w:rPr>
          <w:lang w:eastAsia="en-AU"/>
        </w:rPr>
        <w:t xml:space="preserve">policy </w:t>
      </w:r>
      <w:r w:rsidR="00707E85">
        <w:rPr>
          <w:lang w:eastAsia="en-AU"/>
        </w:rPr>
        <w:t xml:space="preserve">interventions. </w:t>
      </w:r>
    </w:p>
    <w:p w14:paraId="570C6525" w14:textId="60A607E9" w:rsidR="0FCA1851" w:rsidRDefault="002667CF" w:rsidP="002D5BFB">
      <w:pPr>
        <w:spacing w:after="160"/>
      </w:pPr>
      <w:r>
        <w:rPr>
          <w:lang w:eastAsia="en-AU"/>
        </w:rPr>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2403E6" w14:paraId="60A0D341" w14:textId="77777777">
        <w:tc>
          <w:tcPr>
            <w:tcW w:w="9401" w:type="dxa"/>
            <w:tcBorders>
              <w:top w:val="single" w:sz="24" w:space="0" w:color="25B3E0" w:themeColor="accent6"/>
              <w:left w:val="nil"/>
              <w:bottom w:val="nil"/>
              <w:right w:val="nil"/>
            </w:tcBorders>
            <w:shd w:val="clear" w:color="auto" w:fill="E6E6E1" w:themeFill="accent5"/>
            <w:vAlign w:val="center"/>
          </w:tcPr>
          <w:p w14:paraId="268F4041" w14:textId="3F23121B" w:rsidR="002403E6" w:rsidRDefault="002403E6">
            <w:pPr>
              <w:pStyle w:val="Heading2"/>
              <w:spacing w:before="120" w:after="120" w:line="240" w:lineRule="auto"/>
              <w:ind w:left="578" w:hanging="578"/>
            </w:pPr>
            <w:bookmarkStart w:id="15" w:name="_Toc149052451"/>
            <w:r w:rsidRPr="002D5BFB">
              <w:rPr>
                <w:color w:val="00264D" w:themeColor="background2"/>
              </w:rPr>
              <w:lastRenderedPageBreak/>
              <w:t>Capping fees</w:t>
            </w:r>
            <w:bookmarkEnd w:id="15"/>
            <w:r w:rsidRPr="002D5BFB">
              <w:rPr>
                <w:color w:val="00264D" w:themeColor="background2"/>
              </w:rPr>
              <w:t xml:space="preserve">   </w:t>
            </w:r>
          </w:p>
        </w:tc>
      </w:tr>
      <w:tr w:rsidR="002403E6" w14:paraId="57533113" w14:textId="77777777">
        <w:tc>
          <w:tcPr>
            <w:tcW w:w="9401" w:type="dxa"/>
            <w:tcBorders>
              <w:top w:val="nil"/>
              <w:left w:val="nil"/>
              <w:bottom w:val="single" w:sz="4" w:space="0" w:color="25B3E0" w:themeColor="accent6"/>
              <w:right w:val="nil"/>
            </w:tcBorders>
            <w:shd w:val="clear" w:color="auto" w:fill="F2F2F2" w:themeFill="background1" w:themeFillShade="F2"/>
            <w:tcMar>
              <w:top w:w="113" w:type="dxa"/>
            </w:tcMar>
            <w:vAlign w:val="bottom"/>
          </w:tcPr>
          <w:p w14:paraId="14D5560F" w14:textId="77777777" w:rsidR="002403E6" w:rsidRPr="00130948" w:rsidRDefault="002403E6">
            <w:r>
              <w:rPr>
                <w:noProof/>
              </w:rPr>
              <w:drawing>
                <wp:inline distT="0" distB="0" distL="0" distR="0" wp14:anchorId="2D8E8583" wp14:editId="75D01AC9">
                  <wp:extent cx="3530172" cy="270665"/>
                  <wp:effectExtent l="0" t="0" r="0" b="0"/>
                  <wp:docPr id="1983611725" name="Picture 1983611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11725" name="Picture 1983611725">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67218022" w14:textId="77777777" w:rsidR="006813DB" w:rsidRDefault="006813DB" w:rsidP="006813DB"/>
    <w:p w14:paraId="141A943D" w14:textId="506BFCB3" w:rsidR="00487FD9" w:rsidRPr="00EB459B" w:rsidRDefault="00EB459B" w:rsidP="00487FD9">
      <w:r>
        <w:t xml:space="preserve">This intervention </w:t>
      </w:r>
      <w:r w:rsidR="00673A9B">
        <w:t>involves</w:t>
      </w:r>
      <w:r>
        <w:t xml:space="preserve"> reg</w:t>
      </w:r>
      <w:r w:rsidR="000B7A08">
        <w:t>ulati</w:t>
      </w:r>
      <w:r w:rsidR="00E658DA">
        <w:t xml:space="preserve">on </w:t>
      </w:r>
      <w:r w:rsidR="009A4378">
        <w:t>that sets</w:t>
      </w:r>
      <w:r w:rsidR="000C54D6">
        <w:t xml:space="preserve"> the upper limit of </w:t>
      </w:r>
      <w:r w:rsidR="004014DB">
        <w:t>school</w:t>
      </w:r>
      <w:r w:rsidR="535F27C7" w:rsidRPr="0086054F">
        <w:t xml:space="preserve"> fees</w:t>
      </w:r>
      <w:r w:rsidR="00DD6C21">
        <w:t xml:space="preserve"> (also known as attendance dues or tuition fees)</w:t>
      </w:r>
      <w:r w:rsidR="00AD2D8C">
        <w:t xml:space="preserve">, </w:t>
      </w:r>
      <w:r w:rsidR="009A4378">
        <w:t>requires</w:t>
      </w:r>
      <w:r w:rsidR="00AD2D8C">
        <w:t xml:space="preserve"> approval of the fees to be charged or attaches conditions to the imposition of fees. </w:t>
      </w:r>
      <w:r w:rsidR="535F27C7" w:rsidRPr="0086054F">
        <w:t>Overseas school systems that limit private school fees have typically done so in exchange for significant public funding.</w:t>
      </w:r>
      <w:r w:rsidR="535F27C7" w:rsidRPr="56FABC17">
        <w:t xml:space="preserve"> </w:t>
      </w:r>
    </w:p>
    <w:p w14:paraId="0631382D" w14:textId="1E6E10D6" w:rsidR="00487FD9" w:rsidRDefault="003B45AD" w:rsidP="00AC182B">
      <w:pPr>
        <w:pStyle w:val="Heading3"/>
        <w:rPr>
          <w:rFonts w:eastAsia="Segoe UI"/>
        </w:rPr>
      </w:pPr>
      <w:r>
        <w:rPr>
          <w:rFonts w:eastAsia="Segoe UI"/>
        </w:rPr>
        <w:t>Drivers and o</w:t>
      </w:r>
      <w:r w:rsidR="535F27C7" w:rsidRPr="0086054F">
        <w:rPr>
          <w:rFonts w:eastAsia="Segoe UI"/>
        </w:rPr>
        <w:t xml:space="preserve">bjectives </w:t>
      </w:r>
    </w:p>
    <w:p w14:paraId="7D1532AC" w14:textId="3FE98E70" w:rsidR="00A9063B" w:rsidRPr="00A9063B" w:rsidRDefault="00A9063B" w:rsidP="00A9063B">
      <w:pPr>
        <w:rPr>
          <w:lang w:eastAsia="en-AU"/>
        </w:rPr>
      </w:pPr>
      <w:r>
        <w:rPr>
          <w:lang w:eastAsia="en-AU"/>
        </w:rPr>
        <w:t xml:space="preserve">As with removing fees, the goal is to make </w:t>
      </w:r>
      <w:r w:rsidR="006D65F4">
        <w:rPr>
          <w:lang w:eastAsia="en-AU"/>
        </w:rPr>
        <w:t>non-government schools more accessible, in the interests of opening up choice and pro</w:t>
      </w:r>
      <w:r w:rsidR="002303FE">
        <w:rPr>
          <w:lang w:eastAsia="en-AU"/>
        </w:rPr>
        <w:t>viding equitable opportunities to find a school that best meets a student</w:t>
      </w:r>
      <w:r w:rsidR="00074828">
        <w:rPr>
          <w:lang w:eastAsia="en-AU"/>
        </w:rPr>
        <w:t xml:space="preserve">’s needs. In this case, the </w:t>
      </w:r>
      <w:r w:rsidR="000B3CDF">
        <w:rPr>
          <w:lang w:eastAsia="en-AU"/>
        </w:rPr>
        <w:t>barrier to access is lowered rather than removed altogether.</w:t>
      </w:r>
    </w:p>
    <w:p w14:paraId="3666D04B" w14:textId="3AF1CAA3" w:rsidR="003B45AD" w:rsidRPr="003B45AD" w:rsidRDefault="00A9063B" w:rsidP="00E477D7">
      <w:pPr>
        <w:pStyle w:val="Heading3"/>
        <w:rPr>
          <w:rFonts w:eastAsia="Segoe UI"/>
        </w:rPr>
      </w:pPr>
      <w:r>
        <w:rPr>
          <w:rFonts w:eastAsia="Segoe UI"/>
        </w:rPr>
        <w:t>Operation and locations</w:t>
      </w:r>
    </w:p>
    <w:p w14:paraId="4BA4221F" w14:textId="30B77776" w:rsidR="00487FD9" w:rsidRPr="0086054F" w:rsidRDefault="535F27C7" w:rsidP="00487FD9">
      <w:r w:rsidRPr="00AC182B">
        <w:rPr>
          <w:rFonts w:asciiTheme="majorHAnsi" w:hAnsiTheme="majorHAnsi" w:cstheme="majorHAnsi"/>
        </w:rPr>
        <w:t>New Zealand</w:t>
      </w:r>
      <w:r w:rsidRPr="00AC182B">
        <w:rPr>
          <w:rFonts w:asciiTheme="minorHAnsi" w:hAnsiTheme="minorHAnsi" w:cstheme="minorHAnsi"/>
        </w:rPr>
        <w:t>’s</w:t>
      </w:r>
      <w:r w:rsidRPr="0086054F">
        <w:t xml:space="preserve"> </w:t>
      </w:r>
      <w:r w:rsidR="5D6A6242" w:rsidRPr="4BD2B240">
        <w:t>s</w:t>
      </w:r>
      <w:r w:rsidRPr="4BD2B240">
        <w:t>tate-</w:t>
      </w:r>
      <w:r w:rsidR="3486FF4C" w:rsidRPr="4BD2B240">
        <w:t>i</w:t>
      </w:r>
      <w:r w:rsidRPr="4BD2B240">
        <w:t>ntegrated</w:t>
      </w:r>
      <w:r w:rsidRPr="0086054F">
        <w:t xml:space="preserve"> </w:t>
      </w:r>
      <w:r w:rsidR="3EDAB45D" w:rsidRPr="3CF505B5">
        <w:t>s</w:t>
      </w:r>
      <w:r w:rsidRPr="3CF505B5">
        <w:t>chools</w:t>
      </w:r>
      <w:r w:rsidRPr="0086054F">
        <w:t xml:space="preserve"> can charge ‘</w:t>
      </w:r>
      <w:r w:rsidR="4A01F1C4" w:rsidRPr="0086054F">
        <w:t xml:space="preserve">attendance </w:t>
      </w:r>
      <w:r w:rsidRPr="0086054F">
        <w:t xml:space="preserve">dues’, approved by the Minister, for reasonable capital expenditure </w:t>
      </w:r>
      <w:r w:rsidRPr="00AA6E3D">
        <w:rPr>
          <w:rFonts w:asciiTheme="minorHAnsi" w:hAnsiTheme="minorHAnsi" w:cstheme="minorHAnsi"/>
        </w:rPr>
        <w:t>only. Th</w:t>
      </w:r>
      <w:r w:rsidR="00916D0A" w:rsidRPr="00AA6E3D">
        <w:rPr>
          <w:rFonts w:asciiTheme="minorHAnsi" w:hAnsiTheme="minorHAnsi" w:cstheme="minorHAnsi"/>
        </w:rPr>
        <w:t>e</w:t>
      </w:r>
      <w:r w:rsidRPr="00AA6E3D">
        <w:rPr>
          <w:rFonts w:asciiTheme="minorHAnsi" w:hAnsiTheme="minorHAnsi" w:cstheme="minorHAnsi"/>
        </w:rPr>
        <w:t xml:space="preserve"> policy </w:t>
      </w:r>
      <w:r w:rsidR="00F81D5B" w:rsidRPr="00AA6E3D">
        <w:rPr>
          <w:rFonts w:asciiTheme="minorHAnsi" w:hAnsiTheme="minorHAnsi" w:cstheme="minorHAnsi"/>
        </w:rPr>
        <w:t>objective</w:t>
      </w:r>
      <w:r w:rsidR="00916D0A" w:rsidRPr="00AA6E3D">
        <w:rPr>
          <w:rFonts w:asciiTheme="minorHAnsi" w:hAnsiTheme="minorHAnsi" w:cstheme="minorHAnsi"/>
        </w:rPr>
        <w:t xml:space="preserve"> is</w:t>
      </w:r>
      <w:r w:rsidRPr="00AA6E3D">
        <w:rPr>
          <w:rFonts w:asciiTheme="minorHAnsi" w:hAnsiTheme="minorHAnsi" w:cstheme="minorHAnsi"/>
        </w:rPr>
        <w:t xml:space="preserve"> to ensure the ongoing viability and affordability of a diverse range of educational options in New Zealand. As in Australia</w:t>
      </w:r>
      <w:r w:rsidRPr="0086054F">
        <w:t xml:space="preserve">, New Zealand’s Catholic system came under significant financial strain in the 1960s and 1970s due to the post-war baby boom, the increase in secondary completion rates and a decline in those entering the teaching workforce as a religious vocation. In response, the </w:t>
      </w:r>
      <w:r w:rsidRPr="002C7AFA">
        <w:rPr>
          <w:i/>
        </w:rPr>
        <w:t>Private Schools Conditional Integration Act</w:t>
      </w:r>
      <w:r w:rsidRPr="0086054F">
        <w:t xml:space="preserve"> </w:t>
      </w:r>
      <w:r w:rsidR="002C7AFA">
        <w:t xml:space="preserve">(the Act) </w:t>
      </w:r>
      <w:r w:rsidRPr="0086054F">
        <w:t>was passed in 1975 and came into force the following year</w:t>
      </w:r>
      <w:r w:rsidR="02F50356" w:rsidRPr="0086054F">
        <w:t>.</w:t>
      </w:r>
    </w:p>
    <w:p w14:paraId="762E7CE1" w14:textId="72178162" w:rsidR="00F96BF4" w:rsidRDefault="002C7AFA" w:rsidP="24E04619">
      <w:r>
        <w:t xml:space="preserve">Of all New Zealand schools, </w:t>
      </w:r>
      <w:r w:rsidRPr="0086054F">
        <w:t>11.4</w:t>
      </w:r>
      <w:r w:rsidR="00F34357">
        <w:t xml:space="preserve"> per cent</w:t>
      </w:r>
      <w:r w:rsidRPr="0086054F">
        <w:t xml:space="preserve"> are </w:t>
      </w:r>
      <w:r w:rsidR="535F27C7">
        <w:t>S</w:t>
      </w:r>
      <w:r w:rsidR="535F27C7" w:rsidRPr="0086054F">
        <w:t>tate-</w:t>
      </w:r>
      <w:r w:rsidR="535F27C7">
        <w:t>I</w:t>
      </w:r>
      <w:r w:rsidR="535F27C7" w:rsidRPr="0086054F">
        <w:t xml:space="preserve">ntegrated </w:t>
      </w:r>
      <w:r w:rsidR="535F27C7">
        <w:t>S</w:t>
      </w:r>
      <w:r w:rsidR="535F27C7" w:rsidRPr="0086054F">
        <w:t>chools</w:t>
      </w:r>
      <w:r w:rsidR="535F27C7">
        <w:t xml:space="preserve"> </w:t>
      </w:r>
      <w:r w:rsidR="0066032E">
        <w:t>(SIS)</w:t>
      </w:r>
      <w:r w:rsidRPr="0086054F">
        <w:t xml:space="preserve">. </w:t>
      </w:r>
      <w:r>
        <w:t>(</w:t>
      </w:r>
      <w:r w:rsidRPr="0086054F">
        <w:t xml:space="preserve">Non-integrated non-government schools constitute just </w:t>
      </w:r>
      <w:r w:rsidR="001E307F">
        <w:t xml:space="preserve">four </w:t>
      </w:r>
      <w:r w:rsidR="0011780A">
        <w:t>per</w:t>
      </w:r>
      <w:r w:rsidRPr="0086054F">
        <w:t xml:space="preserve"> cent of New Zealand’s education sector.</w:t>
      </w:r>
      <w:r w:rsidR="001B487D">
        <w:t>)</w:t>
      </w:r>
      <w:r w:rsidRPr="1B48B37B">
        <w:rPr>
          <w:rStyle w:val="FootnoteReference"/>
        </w:rPr>
        <w:footnoteReference w:id="42"/>
      </w:r>
      <w:r w:rsidR="00B02412">
        <w:t xml:space="preserve"> </w:t>
      </w:r>
      <w:r w:rsidR="535F27C7" w:rsidRPr="0086054F">
        <w:t>S</w:t>
      </w:r>
      <w:r w:rsidR="0066032E">
        <w:t>IS</w:t>
      </w:r>
      <w:r w:rsidR="535F27C7" w:rsidRPr="0086054F">
        <w:t xml:space="preserve"> receive full recurrent funding from the New Zealand Government but retain their special character and ownership of school buildings, for which they are permitted to charge regulated </w:t>
      </w:r>
      <w:r w:rsidR="00B436A2">
        <w:t>‘</w:t>
      </w:r>
      <w:r w:rsidR="535F27C7" w:rsidRPr="0086054F">
        <w:t>attendance dues</w:t>
      </w:r>
      <w:r w:rsidR="00B436A2">
        <w:t>’</w:t>
      </w:r>
      <w:r w:rsidR="535F27C7" w:rsidRPr="0086054F">
        <w:t xml:space="preserve">. State-integrated schools are mostly </w:t>
      </w:r>
      <w:r w:rsidR="00A533FF">
        <w:t xml:space="preserve">systemic </w:t>
      </w:r>
      <w:r w:rsidR="535F27C7" w:rsidRPr="0086054F">
        <w:t>Catholic</w:t>
      </w:r>
      <w:r w:rsidR="00A533FF">
        <w:t xml:space="preserve"> schools</w:t>
      </w:r>
      <w:r w:rsidR="535F27C7" w:rsidRPr="0086054F">
        <w:t xml:space="preserve">, but </w:t>
      </w:r>
      <w:r w:rsidR="00A533FF">
        <w:t>they</w:t>
      </w:r>
      <w:r w:rsidR="535F27C7">
        <w:t xml:space="preserve"> </w:t>
      </w:r>
      <w:r w:rsidR="535F27C7" w:rsidRPr="0086054F">
        <w:t xml:space="preserve">also include Anglican, Muslim, Jewish, Steiner and Montessori schools. </w:t>
      </w:r>
      <w:r w:rsidR="0CCB4679" w:rsidRPr="00F457AF">
        <w:t>A</w:t>
      </w:r>
      <w:r w:rsidRPr="00F457AF">
        <w:t xml:space="preserve">ttendance dues </w:t>
      </w:r>
      <w:r w:rsidR="10FCD051" w:rsidRPr="00F457AF">
        <w:t>are</w:t>
      </w:r>
      <w:r w:rsidR="49DE9075" w:rsidRPr="00F457AF">
        <w:t xml:space="preserve"> approximately</w:t>
      </w:r>
      <w:r w:rsidRPr="00F457AF">
        <w:t xml:space="preserve"> </w:t>
      </w:r>
      <w:r w:rsidR="0097293D">
        <w:t>NZ</w:t>
      </w:r>
      <w:r w:rsidRPr="00F457AF">
        <w:t xml:space="preserve">$500 </w:t>
      </w:r>
      <w:r w:rsidR="52999D4E" w:rsidRPr="00F457AF">
        <w:t xml:space="preserve">for primary school students and around </w:t>
      </w:r>
      <w:r w:rsidR="0097293D">
        <w:t>NZ</w:t>
      </w:r>
      <w:r w:rsidRPr="00F457AF">
        <w:t>$1,000</w:t>
      </w:r>
      <w:r w:rsidR="00A533FF">
        <w:t xml:space="preserve"> </w:t>
      </w:r>
      <w:r w:rsidR="67DDF788">
        <w:t xml:space="preserve">for secondary school </w:t>
      </w:r>
      <w:r w:rsidR="00A533FF">
        <w:t>student</w:t>
      </w:r>
      <w:r w:rsidR="2EA6CEEC">
        <w:t>s</w:t>
      </w:r>
      <w:r w:rsidRPr="00F457AF">
        <w:t>.</w:t>
      </w:r>
      <w:r w:rsidRPr="00F457AF">
        <w:rPr>
          <w:rStyle w:val="FootnoteReference"/>
          <w:rFonts w:eastAsia="Segoe UI" w:cs="Segoe UI"/>
          <w:sz w:val="20"/>
          <w:szCs w:val="20"/>
        </w:rPr>
        <w:footnoteReference w:id="43"/>
      </w:r>
    </w:p>
    <w:p w14:paraId="560484BA" w14:textId="0F516CD6" w:rsidR="00F96BF4" w:rsidRDefault="535F27C7" w:rsidP="24E04619">
      <w:r w:rsidRPr="0086054F">
        <w:t>S</w:t>
      </w:r>
      <w:r w:rsidR="0066032E">
        <w:t>IS</w:t>
      </w:r>
      <w:r w:rsidRPr="0086054F">
        <w:t xml:space="preserve"> cannot increase attendance dues without the approval of the Minister of Education</w:t>
      </w:r>
      <w:r w:rsidR="66AA80D2" w:rsidRPr="6D8235AA">
        <w:t>.</w:t>
      </w:r>
      <w:r w:rsidRPr="0086054F">
        <w:rPr>
          <w:rStyle w:val="FootnoteReference"/>
          <w:rFonts w:eastAsia="Segoe UI" w:cs="Segoe UI"/>
          <w:sz w:val="20"/>
          <w:szCs w:val="20"/>
        </w:rPr>
        <w:footnoteReference w:id="44"/>
      </w:r>
      <w:r w:rsidR="3D212913" w:rsidRPr="37D4D313">
        <w:t xml:space="preserve"> </w:t>
      </w:r>
      <w:r w:rsidR="00A533FF">
        <w:t>Further, t</w:t>
      </w:r>
      <w:r w:rsidR="3D212913" w:rsidRPr="37D4D313">
        <w:t>he Act specifies that attendance dues cannot be used “to provide or improve the school buildings and associated facilities to a standard higher than that approved from time to time</w:t>
      </w:r>
      <w:r w:rsidR="3D212913" w:rsidRPr="789BCAD7">
        <w:t xml:space="preserve"> </w:t>
      </w:r>
      <w:r w:rsidR="3D212913" w:rsidRPr="37D4D313">
        <w:t xml:space="preserve">by the secretary </w:t>
      </w:r>
      <w:r w:rsidR="00FC07E5">
        <w:t>(</w:t>
      </w:r>
      <w:r w:rsidR="3D212913" w:rsidRPr="37D4D313">
        <w:t>of the</w:t>
      </w:r>
      <w:r w:rsidR="007A5B8D">
        <w:t xml:space="preserve"> </w:t>
      </w:r>
      <w:r w:rsidR="00F61914">
        <w:t xml:space="preserve">Ministry of Education </w:t>
      </w:r>
      <w:r w:rsidR="00FC07E5">
        <w:t>)</w:t>
      </w:r>
      <w:r w:rsidR="3D212913" w:rsidRPr="37D4D313">
        <w:t xml:space="preserve"> as appropriate for a comparable state school.”</w:t>
      </w:r>
      <w:r w:rsidRPr="4BD2B240">
        <w:rPr>
          <w:rStyle w:val="FootnoteReference"/>
          <w:rFonts w:eastAsia="Segoe UI" w:cs="Segoe UI"/>
          <w:sz w:val="20"/>
          <w:szCs w:val="20"/>
        </w:rPr>
        <w:footnoteReference w:id="45"/>
      </w:r>
      <w:r w:rsidR="5873A690" w:rsidRPr="6B848084">
        <w:t xml:space="preserve"> </w:t>
      </w:r>
    </w:p>
    <w:p w14:paraId="040E007C" w14:textId="77777777" w:rsidR="00027695" w:rsidRDefault="00027695">
      <w:pPr>
        <w:spacing w:after="160"/>
      </w:pPr>
      <w:r>
        <w:br w:type="page"/>
      </w:r>
    </w:p>
    <w:p w14:paraId="0445509C" w14:textId="76E9D7F0" w:rsidR="00D7747F" w:rsidRDefault="2BDBC5C6" w:rsidP="24E04619">
      <w:r>
        <w:lastRenderedPageBreak/>
        <w:t>D</w:t>
      </w:r>
      <w:r w:rsidR="535F27C7">
        <w:t>onations</w:t>
      </w:r>
      <w:r w:rsidR="535F27C7" w:rsidRPr="0086054F">
        <w:t xml:space="preserve"> </w:t>
      </w:r>
      <w:r w:rsidR="79B36818" w:rsidRPr="0086054F">
        <w:t>over</w:t>
      </w:r>
      <w:r w:rsidR="5873A690" w:rsidRPr="0086054F">
        <w:t xml:space="preserve"> and </w:t>
      </w:r>
      <w:r w:rsidR="79B36818" w:rsidRPr="0086054F">
        <w:t>above</w:t>
      </w:r>
      <w:r w:rsidR="5873A690" w:rsidRPr="0086054F">
        <w:t xml:space="preserve"> attendance</w:t>
      </w:r>
      <w:r w:rsidR="5873A690">
        <w:t xml:space="preserve"> dues</w:t>
      </w:r>
      <w:r w:rsidR="00C52988">
        <w:t xml:space="preserve"> can be made but are</w:t>
      </w:r>
      <w:r w:rsidR="63507973" w:rsidRPr="0086054F">
        <w:t xml:space="preserve"> </w:t>
      </w:r>
      <w:r w:rsidR="535F27C7" w:rsidRPr="0086054F">
        <w:t>voluntary</w:t>
      </w:r>
      <w:r w:rsidR="00AB01B8">
        <w:t>.</w:t>
      </w:r>
      <w:r w:rsidR="535F27C7" w:rsidRPr="0086054F">
        <w:t xml:space="preserve"> </w:t>
      </w:r>
      <w:r w:rsidR="0066032E">
        <w:t>SIS</w:t>
      </w:r>
      <w:r w:rsidR="535F27C7">
        <w:t xml:space="preserve"> and state </w:t>
      </w:r>
      <w:r w:rsidR="006C398A">
        <w:t>(normal public)</w:t>
      </w:r>
      <w:r w:rsidR="535F27C7">
        <w:t xml:space="preserve"> schools </w:t>
      </w:r>
      <w:r w:rsidR="4B022D0A">
        <w:t>in all but the three most advantaged deciles</w:t>
      </w:r>
      <w:r w:rsidR="535F27C7" w:rsidRPr="0086054F">
        <w:t xml:space="preserve"> can receive additional funding of $NZ150 per student for that year in exchange for </w:t>
      </w:r>
      <w:r w:rsidR="535F27C7" w:rsidRPr="00011E86">
        <w:rPr>
          <w:i/>
        </w:rPr>
        <w:t xml:space="preserve">not </w:t>
      </w:r>
      <w:r w:rsidR="535F27C7" w:rsidRPr="0086054F">
        <w:t>seeking donations</w:t>
      </w:r>
      <w:r w:rsidR="4C4011FB" w:rsidRPr="0086054F">
        <w:t>.</w:t>
      </w:r>
      <w:r w:rsidR="535F27C7" w:rsidRPr="0086054F">
        <w:rPr>
          <w:rStyle w:val="FootnoteReference"/>
          <w:rFonts w:eastAsia="Segoe UI" w:cs="Segoe UI"/>
          <w:sz w:val="20"/>
          <w:szCs w:val="20"/>
        </w:rPr>
        <w:footnoteReference w:id="46"/>
      </w:r>
      <w:r w:rsidR="4C4011FB" w:rsidRPr="0086054F">
        <w:t xml:space="preserve"> </w:t>
      </w:r>
      <w:r w:rsidR="535F27C7" w:rsidRPr="0086054F">
        <w:t xml:space="preserve">Additionally, </w:t>
      </w:r>
      <w:r w:rsidR="0066032E">
        <w:t>SIS</w:t>
      </w:r>
      <w:r w:rsidR="535F27C7" w:rsidRPr="0086054F">
        <w:t xml:space="preserve"> are subject to a ‘maximum roll’ which </w:t>
      </w:r>
      <w:r w:rsidR="00826AF4">
        <w:t>stipulates</w:t>
      </w:r>
      <w:r w:rsidR="535F27C7" w:rsidRPr="0086054F">
        <w:t xml:space="preserve"> the</w:t>
      </w:r>
      <w:r w:rsidR="00D7747F">
        <w:t>:</w:t>
      </w:r>
    </w:p>
    <w:p w14:paraId="358487B1" w14:textId="6CBB1E16" w:rsidR="00826AF4" w:rsidRPr="00212490" w:rsidRDefault="00521526" w:rsidP="00E45BFE">
      <w:pPr>
        <w:pStyle w:val="Bullet"/>
        <w:numPr>
          <w:ilvl w:val="0"/>
          <w:numId w:val="30"/>
        </w:numPr>
        <w:rPr>
          <w:rFonts w:eastAsia="Segoe UI"/>
        </w:rPr>
      </w:pPr>
      <w:r>
        <w:rPr>
          <w:rFonts w:eastAsia="Segoe UI"/>
        </w:rPr>
        <w:t>T</w:t>
      </w:r>
      <w:r w:rsidR="535F27C7" w:rsidRPr="00212490">
        <w:rPr>
          <w:rFonts w:eastAsia="Segoe UI"/>
        </w:rPr>
        <w:t>otal number of funded places at the school</w:t>
      </w:r>
      <w:r w:rsidR="0088179A">
        <w:rPr>
          <w:rFonts w:eastAsia="Segoe UI"/>
        </w:rPr>
        <w:t>.</w:t>
      </w:r>
    </w:p>
    <w:p w14:paraId="4C80F411" w14:textId="4904431A" w:rsidR="00487FD9" w:rsidRDefault="00521526" w:rsidP="00E45BFE">
      <w:pPr>
        <w:pStyle w:val="Bullet"/>
        <w:numPr>
          <w:ilvl w:val="0"/>
          <w:numId w:val="30"/>
        </w:numPr>
        <w:rPr>
          <w:rFonts w:eastAsia="Segoe UI"/>
        </w:rPr>
      </w:pPr>
      <w:r>
        <w:rPr>
          <w:rFonts w:eastAsia="Segoe UI"/>
        </w:rPr>
        <w:t>R</w:t>
      </w:r>
      <w:r w:rsidR="00826AF4" w:rsidRPr="00212490">
        <w:rPr>
          <w:rFonts w:eastAsia="Segoe UI"/>
        </w:rPr>
        <w:t>equirement</w:t>
      </w:r>
      <w:r w:rsidR="535F27C7" w:rsidRPr="00212490">
        <w:rPr>
          <w:rFonts w:eastAsia="Segoe UI"/>
        </w:rPr>
        <w:t xml:space="preserve"> that the school only enrol up to a maximum of 5 per cent </w:t>
      </w:r>
      <w:r w:rsidR="00826AF4" w:rsidRPr="00212490">
        <w:rPr>
          <w:rFonts w:eastAsia="Segoe UI"/>
        </w:rPr>
        <w:t xml:space="preserve">of its student body from </w:t>
      </w:r>
      <w:r w:rsidR="535F27C7" w:rsidRPr="00212490">
        <w:rPr>
          <w:rFonts w:eastAsia="Segoe UI"/>
        </w:rPr>
        <w:t xml:space="preserve">outside the school’s </w:t>
      </w:r>
      <w:r w:rsidR="00826AF4" w:rsidRPr="00212490">
        <w:rPr>
          <w:rFonts w:eastAsia="Segoe UI"/>
        </w:rPr>
        <w:t>designated ‘</w:t>
      </w:r>
      <w:r w:rsidR="535F27C7" w:rsidRPr="00212490">
        <w:rPr>
          <w:rFonts w:eastAsia="Segoe UI"/>
        </w:rPr>
        <w:t>special character</w:t>
      </w:r>
      <w:r w:rsidR="00826AF4" w:rsidRPr="00212490">
        <w:rPr>
          <w:rFonts w:eastAsia="Segoe UI"/>
        </w:rPr>
        <w:t>’</w:t>
      </w:r>
      <w:r w:rsidR="535F27C7" w:rsidRPr="00212490">
        <w:rPr>
          <w:rFonts w:eastAsia="Segoe UI"/>
        </w:rPr>
        <w:t xml:space="preserve"> (</w:t>
      </w:r>
      <w:r w:rsidR="00826AF4" w:rsidRPr="00212490">
        <w:rPr>
          <w:rFonts w:eastAsia="Segoe UI"/>
        </w:rPr>
        <w:t>e</w:t>
      </w:r>
      <w:r w:rsidR="004A585D" w:rsidRPr="00212490">
        <w:rPr>
          <w:rFonts w:eastAsia="Segoe UI"/>
        </w:rPr>
        <w:t>.g</w:t>
      </w:r>
      <w:r w:rsidR="002815D6" w:rsidRPr="00212490">
        <w:rPr>
          <w:rFonts w:eastAsia="Segoe UI"/>
        </w:rPr>
        <w:t>.,</w:t>
      </w:r>
      <w:r w:rsidR="535F27C7" w:rsidRPr="00212490">
        <w:rPr>
          <w:rFonts w:eastAsia="Segoe UI"/>
        </w:rPr>
        <w:t xml:space="preserve"> </w:t>
      </w:r>
      <w:r w:rsidR="00C10F2A" w:rsidRPr="00212490">
        <w:rPr>
          <w:rFonts w:eastAsia="Segoe UI"/>
        </w:rPr>
        <w:t>non-</w:t>
      </w:r>
      <w:r w:rsidR="535F27C7" w:rsidRPr="00212490">
        <w:rPr>
          <w:rFonts w:eastAsia="Segoe UI"/>
        </w:rPr>
        <w:t xml:space="preserve">Catholic family background </w:t>
      </w:r>
      <w:r w:rsidR="00552A9F" w:rsidRPr="00212490">
        <w:rPr>
          <w:rFonts w:eastAsia="Segoe UI"/>
        </w:rPr>
        <w:t>with respect to</w:t>
      </w:r>
      <w:r w:rsidR="535F27C7" w:rsidRPr="00212490">
        <w:rPr>
          <w:rFonts w:eastAsia="Segoe UI"/>
        </w:rPr>
        <w:t xml:space="preserve"> a Catholic school).</w:t>
      </w:r>
    </w:p>
    <w:p w14:paraId="44CBA132" w14:textId="4D72ADF1" w:rsidR="00552A9F" w:rsidRPr="00212490" w:rsidRDefault="535F27C7" w:rsidP="00487FD9">
      <w:pPr>
        <w:rPr>
          <w:rFonts w:eastAsia="Segoe UI" w:cs="Segoe UI"/>
          <w:szCs w:val="19"/>
        </w:rPr>
      </w:pPr>
      <w:r w:rsidRPr="00212490">
        <w:rPr>
          <w:rFonts w:asciiTheme="majorHAnsi" w:eastAsia="Segoe UI" w:hAnsiTheme="majorHAnsi" w:cstheme="majorHAnsi"/>
          <w:szCs w:val="19"/>
        </w:rPr>
        <w:t>Hong Kong</w:t>
      </w:r>
      <w:r w:rsidRPr="00212490">
        <w:rPr>
          <w:rFonts w:eastAsia="Segoe UI" w:cs="Segoe UI"/>
          <w:szCs w:val="19"/>
        </w:rPr>
        <w:t xml:space="preserve"> has three </w:t>
      </w:r>
      <w:r w:rsidR="009537CD">
        <w:rPr>
          <w:rFonts w:eastAsia="Segoe UI" w:cs="Segoe UI"/>
          <w:szCs w:val="19"/>
        </w:rPr>
        <w:t>types</w:t>
      </w:r>
      <w:r w:rsidRPr="00212490">
        <w:rPr>
          <w:rFonts w:eastAsia="Segoe UI" w:cs="Segoe UI"/>
          <w:szCs w:val="19"/>
        </w:rPr>
        <w:t xml:space="preserve"> of schools: </w:t>
      </w:r>
    </w:p>
    <w:p w14:paraId="5F6C0D89" w14:textId="4644678D" w:rsidR="00552A9F" w:rsidRDefault="0066032E" w:rsidP="00343ADB">
      <w:pPr>
        <w:pStyle w:val="Listnumbered"/>
        <w:numPr>
          <w:ilvl w:val="0"/>
          <w:numId w:val="8"/>
        </w:numPr>
      </w:pPr>
      <w:r>
        <w:t>S</w:t>
      </w:r>
      <w:r w:rsidR="535F27C7" w:rsidRPr="00212490">
        <w:t>chools</w:t>
      </w:r>
      <w:r w:rsidR="535F27C7" w:rsidRPr="00552A9F">
        <w:t xml:space="preserve"> owned and operated by the government (approximately </w:t>
      </w:r>
      <w:r w:rsidR="005E0317">
        <w:t>ten</w:t>
      </w:r>
      <w:r w:rsidR="535F27C7" w:rsidRPr="00552A9F">
        <w:t xml:space="preserve"> per cent of schools)</w:t>
      </w:r>
      <w:r w:rsidR="002815D6">
        <w:t>,</w:t>
      </w:r>
    </w:p>
    <w:p w14:paraId="22A2769E" w14:textId="0BDD1EFA" w:rsidR="00552A9F" w:rsidRDefault="00C31D28" w:rsidP="00343ADB">
      <w:pPr>
        <w:pStyle w:val="Listnumbered"/>
        <w:numPr>
          <w:ilvl w:val="0"/>
          <w:numId w:val="8"/>
        </w:numPr>
      </w:pPr>
      <w:r>
        <w:t>a</w:t>
      </w:r>
      <w:r w:rsidR="535F27C7" w:rsidRPr="00212490">
        <w:t>ided</w:t>
      </w:r>
      <w:r w:rsidR="535F27C7" w:rsidRPr="00552A9F">
        <w:t xml:space="preserve"> </w:t>
      </w:r>
      <w:r w:rsidR="01FD5304" w:rsidRPr="00552A9F">
        <w:t>s</w:t>
      </w:r>
      <w:r w:rsidR="535F27C7" w:rsidRPr="00552A9F">
        <w:t>chools run by voluntary charitable or religious organisations</w:t>
      </w:r>
      <w:r w:rsidR="00521526" w:rsidRPr="00552A9F">
        <w:t>,</w:t>
      </w:r>
      <w:r w:rsidR="535F27C7" w:rsidRPr="00552A9F">
        <w:t xml:space="preserve"> but which receive full government funding (approximately 80 per cent of schools</w:t>
      </w:r>
      <w:r w:rsidR="00552A9F" w:rsidRPr="00552A9F">
        <w:t xml:space="preserve"> – as discussed in</w:t>
      </w:r>
      <w:r w:rsidR="00DC2B5D">
        <w:t xml:space="preserve"> section</w:t>
      </w:r>
      <w:r w:rsidR="00552A9F" w:rsidRPr="00552A9F">
        <w:t xml:space="preserve"> </w:t>
      </w:r>
      <w:r w:rsidR="00503B53">
        <w:fldChar w:fldCharType="begin"/>
      </w:r>
      <w:r w:rsidR="00503B53">
        <w:instrText xml:space="preserve"> REF _Ref149040933 \n \h </w:instrText>
      </w:r>
      <w:r w:rsidR="00503B53">
        <w:fldChar w:fldCharType="separate"/>
      </w:r>
      <w:r w:rsidR="009B7086">
        <w:t>3.2</w:t>
      </w:r>
      <w:r w:rsidR="00503B53">
        <w:fldChar w:fldCharType="end"/>
      </w:r>
      <w:r w:rsidR="535F27C7" w:rsidRPr="00552A9F">
        <w:t>)</w:t>
      </w:r>
      <w:r w:rsidR="002815D6">
        <w:t>,</w:t>
      </w:r>
    </w:p>
    <w:p w14:paraId="6D173368" w14:textId="2E8A2288" w:rsidR="002A4A7F" w:rsidRDefault="535F27C7" w:rsidP="00343ADB">
      <w:pPr>
        <w:pStyle w:val="Listnumbered"/>
        <w:numPr>
          <w:ilvl w:val="0"/>
          <w:numId w:val="8"/>
        </w:numPr>
      </w:pPr>
      <w:r w:rsidRPr="00552A9F">
        <w:t xml:space="preserve">Direct Subsidy Scheme (DSS) schools, run by voluntary organisations but which are permitted to charge tuition fees in addition to government funding (approximately </w:t>
      </w:r>
      <w:r w:rsidR="008D3E20">
        <w:t>ten</w:t>
      </w:r>
      <w:r w:rsidRPr="00552A9F">
        <w:t xml:space="preserve"> per cent of schools)</w:t>
      </w:r>
      <w:r w:rsidR="3B8A31F5" w:rsidRPr="00552A9F">
        <w:t>.</w:t>
      </w:r>
      <w:r w:rsidRPr="00552A9F">
        <w:t xml:space="preserve"> </w:t>
      </w:r>
    </w:p>
    <w:p w14:paraId="56CB0635" w14:textId="3F1C132E" w:rsidR="00552A9F" w:rsidRPr="00552A9F" w:rsidRDefault="00552A9F" w:rsidP="002A4A7F">
      <w:r w:rsidRPr="00552A9F">
        <w:t xml:space="preserve">Our focus here is </w:t>
      </w:r>
      <w:r w:rsidRPr="00212490">
        <w:t>th</w:t>
      </w:r>
      <w:r w:rsidR="260D6E73" w:rsidRPr="00212490">
        <w:t>e</w:t>
      </w:r>
      <w:r w:rsidRPr="00552A9F">
        <w:t xml:space="preserve"> latter, which numbered 71 in total in 2023.</w:t>
      </w:r>
      <w:r w:rsidRPr="15380E17">
        <w:rPr>
          <w:rStyle w:val="FootnoteReference"/>
          <w:rFonts w:eastAsia="Segoe UI" w:cs="Segoe UI"/>
        </w:rPr>
        <w:footnoteReference w:id="47"/>
      </w:r>
      <w:r w:rsidRPr="00552A9F">
        <w:t xml:space="preserve"> </w:t>
      </w:r>
    </w:p>
    <w:p w14:paraId="23327E60" w14:textId="11AF040E" w:rsidR="004C0CC1" w:rsidRPr="00C52988" w:rsidRDefault="535F27C7" w:rsidP="47FA9E1D">
      <w:pPr>
        <w:rPr>
          <w:rFonts w:asciiTheme="minorHAnsi" w:eastAsia="Segoe UI" w:hAnsiTheme="minorHAnsi" w:cstheme="minorHAnsi"/>
          <w:szCs w:val="19"/>
        </w:rPr>
      </w:pPr>
      <w:r w:rsidRPr="00C52988">
        <w:rPr>
          <w:rFonts w:asciiTheme="minorHAnsi" w:eastAsia="Segoe UI" w:hAnsiTheme="minorHAnsi" w:cstheme="minorHAnsi"/>
        </w:rPr>
        <w:t>The goal of the D</w:t>
      </w:r>
      <w:r w:rsidR="002A4A7F" w:rsidRPr="00C52988">
        <w:rPr>
          <w:rFonts w:asciiTheme="minorHAnsi" w:eastAsia="Segoe UI" w:hAnsiTheme="minorHAnsi" w:cstheme="minorHAnsi"/>
        </w:rPr>
        <w:t>SS</w:t>
      </w:r>
      <w:r w:rsidRPr="00C52988">
        <w:rPr>
          <w:rFonts w:asciiTheme="minorHAnsi" w:eastAsia="Segoe UI" w:hAnsiTheme="minorHAnsi" w:cstheme="minorHAnsi"/>
        </w:rPr>
        <w:t>, established in the 1990s, is to “promote effectiveness, flexibility, innovation, and choice through the market approach for basic education”</w:t>
      </w:r>
      <w:r w:rsidRPr="00C52988">
        <w:rPr>
          <w:rStyle w:val="FootnoteReference"/>
          <w:rFonts w:asciiTheme="minorHAnsi" w:eastAsia="Segoe UI" w:hAnsiTheme="minorHAnsi" w:cstheme="minorHAnsi"/>
        </w:rPr>
        <w:footnoteReference w:id="48"/>
      </w:r>
      <w:r w:rsidR="58587F6A" w:rsidRPr="00C52988">
        <w:rPr>
          <w:rFonts w:asciiTheme="minorHAnsi" w:eastAsia="Segoe UI" w:hAnsiTheme="minorHAnsi" w:cstheme="minorHAnsi"/>
        </w:rPr>
        <w:t xml:space="preserve"> </w:t>
      </w:r>
      <w:r w:rsidR="008E6AE1" w:rsidRPr="00C52988">
        <w:rPr>
          <w:rFonts w:asciiTheme="minorHAnsi" w:eastAsia="Segoe UI" w:hAnsiTheme="minorHAnsi" w:cstheme="minorHAnsi"/>
        </w:rPr>
        <w:t xml:space="preserve">with the underlying rationale that </w:t>
      </w:r>
      <w:r w:rsidR="00B71C7B" w:rsidRPr="00C52988">
        <w:rPr>
          <w:rFonts w:asciiTheme="minorHAnsi" w:eastAsia="Segoe UI" w:hAnsiTheme="minorHAnsi" w:cstheme="minorHAnsi"/>
        </w:rPr>
        <w:t xml:space="preserve">the introduction of </w:t>
      </w:r>
      <w:r w:rsidR="008E6AE1" w:rsidRPr="00C52988">
        <w:rPr>
          <w:rFonts w:asciiTheme="minorHAnsi" w:eastAsia="Segoe UI" w:hAnsiTheme="minorHAnsi" w:cstheme="minorHAnsi"/>
        </w:rPr>
        <w:t xml:space="preserve">competitive pressures </w:t>
      </w:r>
      <w:r w:rsidR="00B71C7B" w:rsidRPr="00C52988">
        <w:rPr>
          <w:rFonts w:asciiTheme="minorHAnsi" w:eastAsia="Segoe UI" w:hAnsiTheme="minorHAnsi" w:cstheme="minorHAnsi"/>
        </w:rPr>
        <w:t>(via the establishment of DSS) will</w:t>
      </w:r>
      <w:r w:rsidR="00EE33BB" w:rsidRPr="00C52988">
        <w:rPr>
          <w:rFonts w:asciiTheme="minorHAnsi" w:eastAsia="Segoe UI" w:hAnsiTheme="minorHAnsi" w:cstheme="minorHAnsi"/>
        </w:rPr>
        <w:t xml:space="preserve"> have a broader positive impact on the </w:t>
      </w:r>
      <w:r w:rsidR="00B71C7B" w:rsidRPr="00C52988">
        <w:rPr>
          <w:rFonts w:asciiTheme="minorHAnsi" w:eastAsia="Segoe UI" w:hAnsiTheme="minorHAnsi" w:cstheme="minorHAnsi"/>
        </w:rPr>
        <w:t xml:space="preserve">whole </w:t>
      </w:r>
      <w:r w:rsidR="008E6AE1" w:rsidRPr="00C52988">
        <w:rPr>
          <w:rFonts w:asciiTheme="minorHAnsi" w:eastAsia="Segoe UI" w:hAnsiTheme="minorHAnsi" w:cstheme="minorHAnsi"/>
        </w:rPr>
        <w:t>Hong Kong school system</w:t>
      </w:r>
      <w:r w:rsidR="00EE33BB" w:rsidRPr="00C52988">
        <w:rPr>
          <w:rFonts w:asciiTheme="minorHAnsi" w:eastAsia="Segoe UI" w:hAnsiTheme="minorHAnsi" w:cstheme="minorHAnsi"/>
        </w:rPr>
        <w:t>, promoting wider-scale innovation and improved system responsiveness.</w:t>
      </w:r>
    </w:p>
    <w:p w14:paraId="4AD7061E" w14:textId="60E8777D" w:rsidR="00530EC8" w:rsidRPr="008C1D8C" w:rsidRDefault="00530EC8" w:rsidP="00530EC8">
      <w:pPr>
        <w:rPr>
          <w:rFonts w:eastAsia="Segoe UI" w:cs="Segoe UI"/>
          <w:szCs w:val="19"/>
        </w:rPr>
      </w:pPr>
      <w:r w:rsidRPr="15380E17">
        <w:rPr>
          <w:rFonts w:eastAsia="Segoe UI" w:cs="Segoe UI"/>
        </w:rPr>
        <w:t>While government and aided schools follow the same curriculum guidelines, use the same officially approved textbooks and prepare students for a common examination, DSS schools have greater autonomy to be “innovative and flexible in their design of curricula, pedagogies, and assessments”</w:t>
      </w:r>
      <w:r w:rsidR="009571FE">
        <w:rPr>
          <w:rFonts w:eastAsia="Segoe UI" w:cs="Segoe UI"/>
        </w:rPr>
        <w:t>,</w:t>
      </w:r>
      <w:r w:rsidRPr="15380E17">
        <w:rPr>
          <w:rFonts w:eastAsia="Segoe UI" w:cs="Segoe UI"/>
        </w:rPr>
        <w:t xml:space="preserve"> ostensibly enabling them to better </w:t>
      </w:r>
      <w:r w:rsidR="00164F70">
        <w:rPr>
          <w:rFonts w:eastAsia="Segoe UI" w:cs="Segoe UI"/>
        </w:rPr>
        <w:t>“</w:t>
      </w:r>
      <w:r w:rsidRPr="15380E17">
        <w:rPr>
          <w:rFonts w:eastAsia="Segoe UI" w:cs="Segoe UI"/>
        </w:rPr>
        <w:t>meet students’ diverse learning needs.”</w:t>
      </w:r>
      <w:r w:rsidRPr="15380E17">
        <w:rPr>
          <w:rStyle w:val="FootnoteReference"/>
          <w:rFonts w:eastAsia="Segoe UI" w:cs="Segoe UI"/>
        </w:rPr>
        <w:footnoteReference w:id="49"/>
      </w:r>
      <w:r w:rsidRPr="15380E17">
        <w:rPr>
          <w:rFonts w:eastAsia="Segoe UI" w:cs="Segoe UI"/>
        </w:rPr>
        <w:t xml:space="preserve"> They also have greater control over their language of instruction, staffing and student admissions. </w:t>
      </w:r>
    </w:p>
    <w:p w14:paraId="762F403E" w14:textId="55E7AE09" w:rsidR="00E2656C" w:rsidRDefault="00D47406" w:rsidP="1AEF4FEF">
      <w:pPr>
        <w:rPr>
          <w:rFonts w:eastAsia="Segoe UI" w:cs="Segoe UI"/>
          <w:sz w:val="20"/>
          <w:szCs w:val="20"/>
        </w:rPr>
      </w:pPr>
      <w:r w:rsidRPr="15380E17">
        <w:rPr>
          <w:rFonts w:eastAsia="Segoe UI" w:cs="Segoe UI"/>
        </w:rPr>
        <w:t xml:space="preserve">The regulation </w:t>
      </w:r>
      <w:r w:rsidR="004C0CC1" w:rsidRPr="15380E17">
        <w:rPr>
          <w:rFonts w:eastAsia="Segoe UI" w:cs="Segoe UI"/>
        </w:rPr>
        <w:t xml:space="preserve">governing </w:t>
      </w:r>
      <w:r w:rsidR="00591A37" w:rsidRPr="15380E17">
        <w:rPr>
          <w:rFonts w:eastAsia="Segoe UI" w:cs="Segoe UI"/>
        </w:rPr>
        <w:t>DSS school</w:t>
      </w:r>
      <w:r w:rsidR="004C0CC1" w:rsidRPr="15380E17">
        <w:rPr>
          <w:rFonts w:eastAsia="Segoe UI" w:cs="Segoe UI"/>
        </w:rPr>
        <w:t>s allow</w:t>
      </w:r>
      <w:r w:rsidR="00BB5E7C" w:rsidRPr="15380E17">
        <w:rPr>
          <w:rFonts w:eastAsia="Segoe UI" w:cs="Segoe UI"/>
        </w:rPr>
        <w:t xml:space="preserve">s them </w:t>
      </w:r>
      <w:r w:rsidR="00EE33BB" w:rsidRPr="15380E17">
        <w:rPr>
          <w:rFonts w:eastAsia="Segoe UI" w:cs="Segoe UI"/>
        </w:rPr>
        <w:t>to charge fees,</w:t>
      </w:r>
      <w:r w:rsidR="00753017" w:rsidRPr="15380E17">
        <w:rPr>
          <w:rFonts w:eastAsia="Segoe UI" w:cs="Segoe UI"/>
        </w:rPr>
        <w:t xml:space="preserve"> </w:t>
      </w:r>
      <w:r w:rsidR="00DC2788">
        <w:rPr>
          <w:rFonts w:eastAsia="Segoe UI" w:cs="Segoe UI"/>
        </w:rPr>
        <w:t xml:space="preserve">with </w:t>
      </w:r>
      <w:r w:rsidR="00530EC8" w:rsidRPr="15380E17">
        <w:rPr>
          <w:rFonts w:eastAsia="Segoe UI" w:cs="Segoe UI"/>
        </w:rPr>
        <w:t xml:space="preserve">conditions intended to enable </w:t>
      </w:r>
      <w:r w:rsidR="00591A37" w:rsidRPr="15380E17">
        <w:rPr>
          <w:rFonts w:eastAsia="Segoe UI" w:cs="Segoe UI"/>
        </w:rPr>
        <w:t>access for low-income families</w:t>
      </w:r>
      <w:r w:rsidR="00591A37" w:rsidRPr="5BF4D0CD">
        <w:rPr>
          <w:rFonts w:eastAsia="Segoe UI" w:cs="Segoe UI"/>
          <w:sz w:val="20"/>
          <w:szCs w:val="20"/>
        </w:rPr>
        <w:t>.</w:t>
      </w:r>
      <w:r w:rsidR="00591A37" w:rsidRPr="0086054F">
        <w:rPr>
          <w:rStyle w:val="FootnoteReference"/>
          <w:rFonts w:eastAsia="Segoe UI" w:cs="Segoe UI"/>
          <w:sz w:val="20"/>
          <w:szCs w:val="20"/>
        </w:rPr>
        <w:footnoteReference w:id="50"/>
      </w:r>
      <w:r w:rsidR="00591A37" w:rsidRPr="0086054F">
        <w:rPr>
          <w:rFonts w:eastAsia="Segoe UI" w:cs="Segoe UI"/>
          <w:sz w:val="20"/>
          <w:szCs w:val="20"/>
        </w:rPr>
        <w:t xml:space="preserve"> </w:t>
      </w:r>
      <w:r w:rsidR="0077559C">
        <w:rPr>
          <w:rFonts w:eastAsia="Segoe UI" w:cs="Segoe UI"/>
          <w:sz w:val="20"/>
          <w:szCs w:val="20"/>
        </w:rPr>
        <w:t>Even so, f</w:t>
      </w:r>
      <w:r w:rsidR="00B35E92" w:rsidRPr="0053316F">
        <w:rPr>
          <w:rFonts w:eastAsia="Segoe UI" w:cs="Segoe UI"/>
        </w:rPr>
        <w:t xml:space="preserve">ees in DSS primary schools range from </w:t>
      </w:r>
      <w:r w:rsidR="008316B4">
        <w:rPr>
          <w:rFonts w:eastAsia="Segoe UI" w:cs="Segoe UI"/>
        </w:rPr>
        <w:t>AUD</w:t>
      </w:r>
      <w:r w:rsidR="00BC6F42" w:rsidRPr="00BC6F42">
        <w:rPr>
          <w:rFonts w:eastAsia="Segoe UI" w:cs="Segoe UI"/>
        </w:rPr>
        <w:t>$</w:t>
      </w:r>
      <w:r w:rsidR="008316B4">
        <w:rPr>
          <w:rFonts w:eastAsia="Segoe UI" w:cs="Segoe UI"/>
        </w:rPr>
        <w:t xml:space="preserve">2,000 </w:t>
      </w:r>
      <w:r w:rsidR="00B35E92" w:rsidRPr="0053316F">
        <w:rPr>
          <w:rFonts w:eastAsia="Segoe UI" w:cs="Segoe UI"/>
        </w:rPr>
        <w:t xml:space="preserve">to </w:t>
      </w:r>
      <w:r w:rsidR="00B22D92" w:rsidRPr="00B22D92">
        <w:rPr>
          <w:rFonts w:eastAsia="Segoe UI" w:cs="Segoe UI"/>
        </w:rPr>
        <w:t>$</w:t>
      </w:r>
      <w:r w:rsidR="00D02F2D">
        <w:rPr>
          <w:rFonts w:eastAsia="Segoe UI" w:cs="Segoe UI"/>
        </w:rPr>
        <w:t>15,000</w:t>
      </w:r>
      <w:r w:rsidR="00DD784B">
        <w:rPr>
          <w:rFonts w:eastAsia="Segoe UI" w:cs="Segoe UI"/>
        </w:rPr>
        <w:t>;</w:t>
      </w:r>
      <w:r w:rsidR="00B35E92" w:rsidRPr="0053316F">
        <w:rPr>
          <w:rFonts w:eastAsia="Segoe UI" w:cs="Segoe UI"/>
        </w:rPr>
        <w:t xml:space="preserve"> in DSS secondary schools they can be as high as </w:t>
      </w:r>
      <w:r w:rsidR="00FD503F">
        <w:rPr>
          <w:rFonts w:eastAsia="Segoe UI" w:cs="Segoe UI"/>
        </w:rPr>
        <w:t>AUD</w:t>
      </w:r>
      <w:r w:rsidR="00B22D92" w:rsidRPr="00B22D92">
        <w:rPr>
          <w:rFonts w:eastAsia="Segoe UI" w:cs="Segoe UI"/>
        </w:rPr>
        <w:t>$</w:t>
      </w:r>
      <w:r w:rsidR="00FD503F">
        <w:rPr>
          <w:rFonts w:eastAsia="Segoe UI" w:cs="Segoe UI"/>
        </w:rPr>
        <w:t>20,000</w:t>
      </w:r>
      <w:r w:rsidR="002C462E">
        <w:rPr>
          <w:rFonts w:eastAsia="Segoe UI" w:cs="Segoe UI"/>
        </w:rPr>
        <w:t>.</w:t>
      </w:r>
      <w:r w:rsidR="00FD503F">
        <w:rPr>
          <w:rStyle w:val="FootnoteReference"/>
          <w:rFonts w:eastAsia="Segoe UI" w:cs="Segoe UI"/>
        </w:rPr>
        <w:footnoteReference w:id="51"/>
      </w:r>
      <w:r w:rsidR="00B35E92" w:rsidRPr="0053316F">
        <w:rPr>
          <w:rFonts w:eastAsia="Segoe UI" w:cs="Segoe UI"/>
        </w:rPr>
        <w:t xml:space="preserve"> </w:t>
      </w:r>
      <w:r w:rsidR="00C15DA8" w:rsidRPr="0053316F">
        <w:rPr>
          <w:rFonts w:eastAsia="Segoe UI" w:cs="Segoe UI"/>
        </w:rPr>
        <w:t>Schools</w:t>
      </w:r>
      <w:r w:rsidR="01DEA77C" w:rsidRPr="0053316F">
        <w:rPr>
          <w:rFonts w:eastAsia="Segoe UI" w:cs="Segoe UI"/>
        </w:rPr>
        <w:t xml:space="preserve"> must set aside </w:t>
      </w:r>
      <w:r w:rsidR="002C54CD">
        <w:rPr>
          <w:rFonts w:eastAsia="Segoe UI" w:cs="Segoe UI"/>
        </w:rPr>
        <w:t>ten</w:t>
      </w:r>
      <w:r w:rsidR="006A764B">
        <w:rPr>
          <w:rFonts w:eastAsia="Segoe UI" w:cs="Segoe UI"/>
        </w:rPr>
        <w:t xml:space="preserve"> per cent</w:t>
      </w:r>
      <w:r w:rsidR="01DEA77C" w:rsidRPr="0053316F">
        <w:rPr>
          <w:rFonts w:eastAsia="Segoe UI" w:cs="Segoe UI"/>
        </w:rPr>
        <w:t xml:space="preserve"> of </w:t>
      </w:r>
      <w:r w:rsidR="00DD784B">
        <w:rPr>
          <w:rFonts w:eastAsia="Segoe UI" w:cs="Segoe UI"/>
        </w:rPr>
        <w:t xml:space="preserve">their </w:t>
      </w:r>
      <w:r w:rsidR="01DEA77C" w:rsidRPr="0053316F">
        <w:rPr>
          <w:rFonts w:eastAsia="Segoe UI" w:cs="Segoe UI"/>
        </w:rPr>
        <w:t>fee income for scholarships. Once fees exceed two-thirds of a baseline resource standard, 50</w:t>
      </w:r>
      <w:r w:rsidR="006A764B">
        <w:rPr>
          <w:rFonts w:eastAsia="Segoe UI" w:cs="Segoe UI"/>
        </w:rPr>
        <w:t xml:space="preserve"> per cent</w:t>
      </w:r>
      <w:r w:rsidR="01DEA77C" w:rsidRPr="0053316F">
        <w:rPr>
          <w:rFonts w:eastAsia="Segoe UI" w:cs="Segoe UI"/>
        </w:rPr>
        <w:t xml:space="preserve"> must be allocated to the scholarship scheme. </w:t>
      </w:r>
      <w:r w:rsidR="00A11D36" w:rsidRPr="0053316F">
        <w:rPr>
          <w:rFonts w:eastAsia="Segoe UI" w:cs="Segoe UI"/>
        </w:rPr>
        <w:t>The fee caps operate</w:t>
      </w:r>
      <w:r w:rsidR="535F27C7" w:rsidRPr="0053316F">
        <w:rPr>
          <w:rFonts w:eastAsia="Segoe UI" w:cs="Segoe UI"/>
        </w:rPr>
        <w:t xml:space="preserve"> on </w:t>
      </w:r>
      <w:r w:rsidR="00A11D36" w:rsidRPr="0053316F">
        <w:rPr>
          <w:rFonts w:eastAsia="Segoe UI" w:cs="Segoe UI"/>
        </w:rPr>
        <w:t>a sliding sc</w:t>
      </w:r>
      <w:r w:rsidR="00A11D36" w:rsidRPr="15380E17">
        <w:rPr>
          <w:rFonts w:eastAsia="Segoe UI" w:cs="Segoe UI"/>
        </w:rPr>
        <w:t>ale: the</w:t>
      </w:r>
      <w:r w:rsidR="01DEA77C" w:rsidRPr="15380E17">
        <w:rPr>
          <w:rFonts w:eastAsia="Segoe UI" w:cs="Segoe UI"/>
        </w:rPr>
        <w:t xml:space="preserve"> subsidy cuts out if fees reach 233</w:t>
      </w:r>
      <w:r w:rsidR="006A764B">
        <w:rPr>
          <w:rFonts w:eastAsia="Segoe UI" w:cs="Segoe UI"/>
        </w:rPr>
        <w:t xml:space="preserve"> per cent</w:t>
      </w:r>
      <w:r w:rsidR="01DEA77C" w:rsidRPr="15380E17">
        <w:rPr>
          <w:rFonts w:eastAsia="Segoe UI" w:cs="Segoe UI"/>
        </w:rPr>
        <w:t xml:space="preserve"> of the baseline. </w:t>
      </w:r>
    </w:p>
    <w:p w14:paraId="111A089B" w14:textId="65463400" w:rsidR="009712E3" w:rsidRDefault="3B66F964" w:rsidP="009712E3">
      <w:pPr>
        <w:rPr>
          <w:rFonts w:eastAsia="Segoe UI" w:cs="Segoe UI"/>
        </w:rPr>
      </w:pPr>
      <w:r w:rsidRPr="25BB5FFA">
        <w:rPr>
          <w:rFonts w:eastAsia="Segoe UI" w:cs="Segoe UI"/>
        </w:rPr>
        <w:t>DSS schools have the autonomy to admit their own students</w:t>
      </w:r>
      <w:r w:rsidR="65366450" w:rsidRPr="25BB5FFA">
        <w:rPr>
          <w:rFonts w:eastAsia="Segoe UI" w:cs="Segoe UI"/>
        </w:rPr>
        <w:t>, including scholarship students,</w:t>
      </w:r>
      <w:r w:rsidRPr="25BB5FFA">
        <w:rPr>
          <w:rFonts w:eastAsia="Segoe UI" w:cs="Segoe UI"/>
        </w:rPr>
        <w:t xml:space="preserve"> according to </w:t>
      </w:r>
      <w:r w:rsidR="7B8142C0" w:rsidRPr="25BB5FFA">
        <w:rPr>
          <w:rFonts w:eastAsia="Segoe UI" w:cs="Segoe UI"/>
        </w:rPr>
        <w:t>self-determined selection criteria</w:t>
      </w:r>
      <w:r w:rsidR="00617426">
        <w:rPr>
          <w:rFonts w:eastAsia="Segoe UI" w:cs="Segoe UI"/>
        </w:rPr>
        <w:t>, which may include academic criteria</w:t>
      </w:r>
      <w:r w:rsidR="7B8142C0" w:rsidRPr="25BB5FFA">
        <w:rPr>
          <w:rFonts w:eastAsia="Segoe UI" w:cs="Segoe UI"/>
        </w:rPr>
        <w:t>.</w:t>
      </w:r>
      <w:r w:rsidR="259F3DA9" w:rsidRPr="2C3BAA7F">
        <w:rPr>
          <w:rFonts w:eastAsia="Segoe UI" w:cs="Segoe UI"/>
        </w:rPr>
        <w:t xml:space="preserve"> </w:t>
      </w:r>
      <w:r w:rsidR="009568A7">
        <w:rPr>
          <w:rFonts w:eastAsia="Segoe UI" w:cs="Segoe UI"/>
        </w:rPr>
        <w:t>H</w:t>
      </w:r>
      <w:r w:rsidR="009568A7" w:rsidRPr="009568A7">
        <w:rPr>
          <w:rFonts w:eastAsia="Segoe UI" w:cs="Segoe UI"/>
        </w:rPr>
        <w:t>owever, transparency is expected</w:t>
      </w:r>
      <w:r w:rsidR="009568A7">
        <w:rPr>
          <w:rFonts w:eastAsia="Segoe UI" w:cs="Segoe UI"/>
        </w:rPr>
        <w:t>: s</w:t>
      </w:r>
      <w:r w:rsidR="01DEA77C" w:rsidRPr="2C3BAA7F">
        <w:rPr>
          <w:rFonts w:eastAsia="Segoe UI" w:cs="Segoe UI"/>
        </w:rPr>
        <w:t>chools</w:t>
      </w:r>
      <w:r w:rsidR="01DEA77C" w:rsidRPr="25BB5FFA">
        <w:rPr>
          <w:rFonts w:eastAsia="Segoe UI" w:cs="Segoe UI"/>
        </w:rPr>
        <w:t xml:space="preserve"> are required to publish full details of the scholarship scheme in their prospectus, admission application form, and on the school website.</w:t>
      </w:r>
      <w:r w:rsidR="4077C884" w:rsidRPr="25BB5FFA">
        <w:rPr>
          <w:rFonts w:eastAsia="Segoe UI" w:cs="Segoe UI"/>
        </w:rPr>
        <w:t xml:space="preserve"> </w:t>
      </w:r>
    </w:p>
    <w:p w14:paraId="27EBFF4C" w14:textId="007D9311" w:rsidR="00487FD9" w:rsidRPr="00952CA4" w:rsidRDefault="535F27C7" w:rsidP="00E07876">
      <w:pPr>
        <w:pStyle w:val="Heading3"/>
        <w:rPr>
          <w:rStyle w:val="Heading3Char"/>
          <w:rFonts w:eastAsia="Segoe UI"/>
        </w:rPr>
      </w:pPr>
      <w:r w:rsidRPr="00C53003">
        <w:rPr>
          <w:rStyle w:val="Heading3Char"/>
          <w:rFonts w:eastAsia="Segoe UI"/>
        </w:rPr>
        <w:lastRenderedPageBreak/>
        <w:t>Outcomes</w:t>
      </w:r>
    </w:p>
    <w:p w14:paraId="08D47F41" w14:textId="5FBEE114" w:rsidR="00A5705F" w:rsidRPr="00A5705F" w:rsidRDefault="00A5705F" w:rsidP="00E477D7">
      <w:pPr>
        <w:pStyle w:val="Heading5"/>
        <w:rPr>
          <w:rFonts w:eastAsia="Segoe UI"/>
        </w:rPr>
      </w:pPr>
      <w:r>
        <w:rPr>
          <w:rFonts w:eastAsia="Segoe UI"/>
        </w:rPr>
        <w:t>Diversity</w:t>
      </w:r>
    </w:p>
    <w:p w14:paraId="5872C7CC" w14:textId="4667C03D" w:rsidR="000C54D6" w:rsidRPr="0006387B" w:rsidRDefault="000C54D6" w:rsidP="0080152D">
      <w:pPr>
        <w:rPr>
          <w:rFonts w:asciiTheme="minorHAnsi" w:eastAsia="Segoe UI" w:hAnsiTheme="minorHAnsi" w:cstheme="minorHAnsi"/>
          <w:b/>
          <w:bCs/>
        </w:rPr>
      </w:pPr>
      <w:r w:rsidRPr="0006387B">
        <w:t>International evidence indicates fee</w:t>
      </w:r>
      <w:r w:rsidRPr="0006387B">
        <w:rPr>
          <w:b/>
          <w:bCs/>
        </w:rPr>
        <w:t xml:space="preserve"> </w:t>
      </w:r>
      <w:r w:rsidRPr="004D2D3B">
        <w:t>capping regulation can successfully enhance socio-economic diversity, but the effectiveness of this intervention significantly depends on its design</w:t>
      </w:r>
      <w:r w:rsidRPr="000B493E">
        <w:t>.</w:t>
      </w:r>
    </w:p>
    <w:p w14:paraId="77D9ABE6" w14:textId="79091015" w:rsidR="00487FD9" w:rsidRPr="009B6408" w:rsidRDefault="008C1D8C" w:rsidP="00487FD9">
      <w:pPr>
        <w:rPr>
          <w:rFonts w:asciiTheme="minorHAnsi" w:hAnsiTheme="minorHAnsi" w:cstheme="minorHAnsi"/>
        </w:rPr>
      </w:pPr>
      <w:r w:rsidRPr="0014344E">
        <w:rPr>
          <w:rFonts w:asciiTheme="minorHAnsi" w:hAnsiTheme="minorHAnsi" w:cstheme="minorHAnsi"/>
        </w:rPr>
        <w:t>New Zealand</w:t>
      </w:r>
      <w:r w:rsidR="00B328DD" w:rsidRPr="007358DF">
        <w:rPr>
          <w:rFonts w:asciiTheme="minorHAnsi" w:hAnsiTheme="minorHAnsi" w:cstheme="minorHAnsi"/>
        </w:rPr>
        <w:t>’s</w:t>
      </w:r>
      <w:r w:rsidR="00B328DD" w:rsidRPr="009B6408">
        <w:rPr>
          <w:rFonts w:asciiTheme="minorHAnsi" w:hAnsiTheme="minorHAnsi" w:cstheme="minorHAnsi"/>
        </w:rPr>
        <w:t xml:space="preserve"> </w:t>
      </w:r>
      <w:r w:rsidR="006646B3">
        <w:rPr>
          <w:rFonts w:asciiTheme="minorHAnsi" w:hAnsiTheme="minorHAnsi" w:cstheme="minorHAnsi"/>
        </w:rPr>
        <w:t>SIS</w:t>
      </w:r>
      <w:r w:rsidR="00B328DD" w:rsidRPr="009B6408">
        <w:rPr>
          <w:rFonts w:asciiTheme="minorHAnsi" w:hAnsiTheme="minorHAnsi" w:cstheme="minorHAnsi"/>
        </w:rPr>
        <w:t xml:space="preserve"> have promoted diversity, unlike Hong Kong’s </w:t>
      </w:r>
      <w:r w:rsidR="003224B9">
        <w:rPr>
          <w:rFonts w:asciiTheme="minorHAnsi" w:hAnsiTheme="minorHAnsi" w:cstheme="minorHAnsi"/>
        </w:rPr>
        <w:t>DSS</w:t>
      </w:r>
      <w:r w:rsidR="003D241D" w:rsidRPr="009B6408">
        <w:rPr>
          <w:rFonts w:asciiTheme="minorHAnsi" w:hAnsiTheme="minorHAnsi" w:cstheme="minorHAnsi"/>
        </w:rPr>
        <w:t xml:space="preserve"> schools</w:t>
      </w:r>
      <w:r w:rsidR="009B6408" w:rsidRPr="009B6408">
        <w:rPr>
          <w:rFonts w:asciiTheme="minorHAnsi" w:hAnsiTheme="minorHAnsi" w:cstheme="minorHAnsi"/>
        </w:rPr>
        <w:t xml:space="preserve">. </w:t>
      </w:r>
      <w:r w:rsidR="535F27C7" w:rsidRPr="009B6408">
        <w:rPr>
          <w:rFonts w:asciiTheme="minorHAnsi" w:hAnsiTheme="minorHAnsi" w:cstheme="minorHAnsi"/>
        </w:rPr>
        <w:t xml:space="preserve">In New </w:t>
      </w:r>
      <w:r w:rsidR="69BA1555" w:rsidRPr="009B6408">
        <w:rPr>
          <w:rFonts w:asciiTheme="minorHAnsi" w:hAnsiTheme="minorHAnsi" w:cstheme="minorHAnsi"/>
        </w:rPr>
        <w:t xml:space="preserve">Zealand’s </w:t>
      </w:r>
      <w:r w:rsidR="0066032E" w:rsidRPr="009B6408">
        <w:rPr>
          <w:rFonts w:asciiTheme="minorHAnsi" w:hAnsiTheme="minorHAnsi" w:cstheme="minorHAnsi"/>
        </w:rPr>
        <w:t>SIS</w:t>
      </w:r>
      <w:r w:rsidR="69BA1555" w:rsidRPr="009B6408">
        <w:rPr>
          <w:rFonts w:asciiTheme="minorHAnsi" w:hAnsiTheme="minorHAnsi" w:cstheme="minorHAnsi"/>
        </w:rPr>
        <w:t>, d</w:t>
      </w:r>
      <w:r w:rsidR="535F27C7" w:rsidRPr="009B6408">
        <w:rPr>
          <w:rFonts w:asciiTheme="minorHAnsi" w:hAnsiTheme="minorHAnsi" w:cstheme="minorHAnsi"/>
        </w:rPr>
        <w:t xml:space="preserve">isadvantaged students are represented in significant numbers, though the proportions of highly disadvantaged students are lower than for mainstream state schools. While students from the two most disadvantaged deciles are under-represented in </w:t>
      </w:r>
      <w:r w:rsidR="008B2DE0" w:rsidRPr="009B6408">
        <w:rPr>
          <w:rFonts w:asciiTheme="minorHAnsi" w:hAnsiTheme="minorHAnsi" w:cstheme="minorHAnsi"/>
        </w:rPr>
        <w:t>SIS</w:t>
      </w:r>
      <w:r w:rsidR="535F27C7" w:rsidRPr="009B6408">
        <w:rPr>
          <w:rFonts w:asciiTheme="minorHAnsi" w:hAnsiTheme="minorHAnsi" w:cstheme="minorHAnsi"/>
        </w:rPr>
        <w:t xml:space="preserve">, the proportion of students in the next three most disadvantaged deciles in </w:t>
      </w:r>
      <w:r w:rsidR="008B2DE0" w:rsidRPr="009B6408">
        <w:rPr>
          <w:rFonts w:asciiTheme="minorHAnsi" w:hAnsiTheme="minorHAnsi" w:cstheme="minorHAnsi"/>
        </w:rPr>
        <w:t>SIS</w:t>
      </w:r>
      <w:r w:rsidR="535F27C7" w:rsidRPr="009B6408">
        <w:rPr>
          <w:rFonts w:asciiTheme="minorHAnsi" w:hAnsiTheme="minorHAnsi" w:cstheme="minorHAnsi"/>
        </w:rPr>
        <w:t xml:space="preserve"> is broadly representative of the general population. </w:t>
      </w:r>
    </w:p>
    <w:p w14:paraId="31F2561A" w14:textId="220E80D4" w:rsidR="000B2FB8" w:rsidRPr="0014344E" w:rsidRDefault="535F27C7" w:rsidP="00487FD9">
      <w:pPr>
        <w:rPr>
          <w:rFonts w:asciiTheme="minorHAnsi" w:eastAsia="Segoe UI" w:hAnsiTheme="minorHAnsi" w:cstheme="minorHAnsi"/>
          <w:color w:val="000000" w:themeColor="text1"/>
          <w:szCs w:val="19"/>
        </w:rPr>
      </w:pPr>
      <w:r w:rsidRPr="0014344E">
        <w:rPr>
          <w:rFonts w:asciiTheme="minorHAnsi" w:eastAsia="Segoe UI" w:hAnsiTheme="minorHAnsi" w:cstheme="minorHAnsi"/>
          <w:color w:val="000000" w:themeColor="text1"/>
          <w:szCs w:val="19"/>
        </w:rPr>
        <w:t xml:space="preserve">Significantly, a much higher proportion of New Zealand </w:t>
      </w:r>
      <w:r w:rsidR="008B2DE0" w:rsidRPr="0014344E">
        <w:rPr>
          <w:rFonts w:asciiTheme="minorHAnsi" w:eastAsia="Segoe UI" w:hAnsiTheme="minorHAnsi" w:cstheme="minorHAnsi"/>
          <w:color w:val="000000" w:themeColor="text1"/>
          <w:szCs w:val="19"/>
        </w:rPr>
        <w:t>SIS</w:t>
      </w:r>
      <w:r w:rsidRPr="0014344E">
        <w:rPr>
          <w:rFonts w:asciiTheme="minorHAnsi" w:eastAsia="Segoe UI" w:hAnsiTheme="minorHAnsi" w:cstheme="minorHAnsi"/>
          <w:color w:val="000000" w:themeColor="text1"/>
          <w:szCs w:val="19"/>
        </w:rPr>
        <w:t xml:space="preserve"> serve </w:t>
      </w:r>
      <w:r w:rsidR="164B9C5E" w:rsidRPr="0014344E">
        <w:rPr>
          <w:rFonts w:asciiTheme="minorHAnsi" w:eastAsia="Segoe UI" w:hAnsiTheme="minorHAnsi" w:cstheme="minorHAnsi"/>
          <w:color w:val="000000" w:themeColor="text1"/>
          <w:szCs w:val="19"/>
        </w:rPr>
        <w:t>s</w:t>
      </w:r>
      <w:r w:rsidRPr="0014344E">
        <w:rPr>
          <w:rFonts w:asciiTheme="minorHAnsi" w:eastAsia="Segoe UI" w:hAnsiTheme="minorHAnsi" w:cstheme="minorHAnsi"/>
          <w:color w:val="000000" w:themeColor="text1"/>
          <w:szCs w:val="19"/>
        </w:rPr>
        <w:t>tudent</w:t>
      </w:r>
      <w:r w:rsidR="60022661" w:rsidRPr="0014344E">
        <w:rPr>
          <w:rFonts w:asciiTheme="minorHAnsi" w:eastAsia="Segoe UI" w:hAnsiTheme="minorHAnsi" w:cstheme="minorHAnsi"/>
          <w:color w:val="000000" w:themeColor="text1"/>
          <w:szCs w:val="19"/>
        </w:rPr>
        <w:t xml:space="preserve"> populations</w:t>
      </w:r>
      <w:r w:rsidRPr="0014344E">
        <w:rPr>
          <w:rFonts w:asciiTheme="minorHAnsi" w:eastAsia="Segoe UI" w:hAnsiTheme="minorHAnsi" w:cstheme="minorHAnsi"/>
          <w:color w:val="000000" w:themeColor="text1"/>
          <w:szCs w:val="19"/>
        </w:rPr>
        <w:t xml:space="preserve"> tha</w:t>
      </w:r>
      <w:r w:rsidR="784F5D73" w:rsidRPr="0014344E">
        <w:rPr>
          <w:rFonts w:asciiTheme="minorHAnsi" w:eastAsia="Segoe UI" w:hAnsiTheme="minorHAnsi" w:cstheme="minorHAnsi"/>
          <w:color w:val="000000" w:themeColor="text1"/>
          <w:szCs w:val="19"/>
        </w:rPr>
        <w:t>t are disadvantaged</w:t>
      </w:r>
      <w:r w:rsidR="003C1920">
        <w:rPr>
          <w:rFonts w:asciiTheme="minorHAnsi" w:eastAsia="Segoe UI" w:hAnsiTheme="minorHAnsi" w:cstheme="minorHAnsi"/>
          <w:color w:val="000000" w:themeColor="text1"/>
          <w:szCs w:val="19"/>
        </w:rPr>
        <w:t>,</w:t>
      </w:r>
      <w:r w:rsidR="784F5D73" w:rsidRPr="0014344E">
        <w:rPr>
          <w:rFonts w:asciiTheme="minorHAnsi" w:eastAsia="Segoe UI" w:hAnsiTheme="minorHAnsi" w:cstheme="minorHAnsi"/>
          <w:color w:val="000000" w:themeColor="text1"/>
          <w:szCs w:val="19"/>
        </w:rPr>
        <w:t xml:space="preserve"> </w:t>
      </w:r>
      <w:r w:rsidR="001B1D24" w:rsidRPr="0014344E">
        <w:rPr>
          <w:rFonts w:asciiTheme="minorHAnsi" w:eastAsia="Segoe UI" w:hAnsiTheme="minorHAnsi" w:cstheme="minorHAnsi"/>
          <w:color w:val="000000" w:themeColor="text1"/>
          <w:szCs w:val="19"/>
        </w:rPr>
        <w:t>compared to the proportion of</w:t>
      </w:r>
      <w:r w:rsidR="784F5D73" w:rsidRPr="0014344E">
        <w:rPr>
          <w:rFonts w:asciiTheme="minorHAnsi" w:eastAsia="Segoe UI" w:hAnsiTheme="minorHAnsi" w:cstheme="minorHAnsi"/>
          <w:color w:val="000000" w:themeColor="text1"/>
          <w:szCs w:val="19"/>
        </w:rPr>
        <w:t xml:space="preserve"> </w:t>
      </w:r>
      <w:r w:rsidRPr="0014344E">
        <w:rPr>
          <w:rFonts w:asciiTheme="minorHAnsi" w:eastAsia="Segoe UI" w:hAnsiTheme="minorHAnsi" w:cstheme="minorHAnsi"/>
          <w:color w:val="000000" w:themeColor="text1"/>
          <w:szCs w:val="19"/>
        </w:rPr>
        <w:t>Australian systemic Catholic schools</w:t>
      </w:r>
      <w:r w:rsidR="001B1D24" w:rsidRPr="0014344E">
        <w:rPr>
          <w:rFonts w:asciiTheme="minorHAnsi" w:eastAsia="Segoe UI" w:hAnsiTheme="minorHAnsi" w:cstheme="minorHAnsi"/>
          <w:color w:val="000000" w:themeColor="text1"/>
          <w:szCs w:val="19"/>
        </w:rPr>
        <w:t xml:space="preserve"> serving disadvantaged students</w:t>
      </w:r>
      <w:r w:rsidR="000B2FB8" w:rsidRPr="0014344E">
        <w:rPr>
          <w:rFonts w:asciiTheme="minorHAnsi" w:eastAsia="Segoe UI" w:hAnsiTheme="minorHAnsi" w:cstheme="minorHAnsi"/>
          <w:color w:val="000000" w:themeColor="text1"/>
          <w:szCs w:val="19"/>
        </w:rPr>
        <w:t>:</w:t>
      </w:r>
    </w:p>
    <w:p w14:paraId="2780D960" w14:textId="340C7313" w:rsidR="000B2FB8" w:rsidRPr="00DB09F0" w:rsidRDefault="00143ADB" w:rsidP="00E45BFE">
      <w:pPr>
        <w:pStyle w:val="Bullet"/>
        <w:numPr>
          <w:ilvl w:val="0"/>
          <w:numId w:val="20"/>
        </w:numPr>
        <w:rPr>
          <w:rFonts w:asciiTheme="minorHAnsi" w:eastAsia="Segoe UI" w:hAnsiTheme="minorHAnsi" w:cstheme="minorHAnsi"/>
        </w:rPr>
      </w:pPr>
      <w:r>
        <w:rPr>
          <w:rFonts w:asciiTheme="minorHAnsi" w:eastAsia="Segoe UI" w:hAnsiTheme="minorHAnsi" w:cstheme="minorHAnsi"/>
        </w:rPr>
        <w:t>42</w:t>
      </w:r>
      <w:r w:rsidR="00CD514E">
        <w:rPr>
          <w:rFonts w:asciiTheme="minorHAnsi" w:eastAsia="Segoe UI" w:hAnsiTheme="minorHAnsi" w:cstheme="minorHAnsi"/>
        </w:rPr>
        <w:t xml:space="preserve"> per cent</w:t>
      </w:r>
      <w:r w:rsidR="535F27C7" w:rsidRPr="00DB09F0">
        <w:rPr>
          <w:rFonts w:asciiTheme="minorHAnsi" w:eastAsia="Segoe UI" w:hAnsiTheme="minorHAnsi" w:cstheme="minorHAnsi"/>
        </w:rPr>
        <w:t xml:space="preserve"> of New Zealand </w:t>
      </w:r>
      <w:r w:rsidR="00A76075" w:rsidRPr="00DB09F0">
        <w:rPr>
          <w:rFonts w:asciiTheme="minorHAnsi" w:eastAsia="Segoe UI" w:hAnsiTheme="minorHAnsi" w:cstheme="minorHAnsi"/>
        </w:rPr>
        <w:t>SIS</w:t>
      </w:r>
      <w:r w:rsidR="535F27C7" w:rsidRPr="00DB09F0">
        <w:rPr>
          <w:rFonts w:asciiTheme="minorHAnsi" w:eastAsia="Segoe UI" w:hAnsiTheme="minorHAnsi" w:cstheme="minorHAnsi"/>
        </w:rPr>
        <w:t xml:space="preserve"> are in the five most disadvantaged deciles </w:t>
      </w:r>
      <w:r w:rsidR="000B2FB8" w:rsidRPr="00DB09F0">
        <w:rPr>
          <w:rFonts w:asciiTheme="minorHAnsi" w:eastAsia="Segoe UI" w:hAnsiTheme="minorHAnsi" w:cstheme="minorHAnsi"/>
        </w:rPr>
        <w:t xml:space="preserve">– </w:t>
      </w:r>
      <w:r w:rsidR="535F27C7" w:rsidRPr="00DB09F0">
        <w:rPr>
          <w:rFonts w:asciiTheme="minorHAnsi" w:eastAsia="Segoe UI" w:hAnsiTheme="minorHAnsi" w:cstheme="minorHAnsi"/>
        </w:rPr>
        <w:t xml:space="preserve">Decile 1 </w:t>
      </w:r>
      <w:r w:rsidR="00164F70">
        <w:rPr>
          <w:rFonts w:asciiTheme="minorHAnsi" w:eastAsia="Segoe UI" w:hAnsiTheme="minorHAnsi" w:cstheme="minorHAnsi"/>
        </w:rPr>
        <w:t>–</w:t>
      </w:r>
      <w:r w:rsidR="535F27C7" w:rsidRPr="00DB09F0">
        <w:rPr>
          <w:rFonts w:asciiTheme="minorHAnsi" w:eastAsia="Segoe UI" w:hAnsiTheme="minorHAnsi" w:cstheme="minorHAnsi"/>
        </w:rPr>
        <w:t xml:space="preserve"> 5</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xml:space="preserve">; Decile 2 </w:t>
      </w:r>
      <w:r w:rsidR="00164F70">
        <w:rPr>
          <w:rFonts w:asciiTheme="minorHAnsi" w:eastAsia="Segoe UI" w:hAnsiTheme="minorHAnsi" w:cstheme="minorHAnsi"/>
        </w:rPr>
        <w:t>–</w:t>
      </w:r>
      <w:r w:rsidR="535F27C7" w:rsidRPr="00DB09F0">
        <w:rPr>
          <w:rFonts w:asciiTheme="minorHAnsi" w:eastAsia="Segoe UI" w:hAnsiTheme="minorHAnsi" w:cstheme="minorHAnsi"/>
        </w:rPr>
        <w:t xml:space="preserve"> 6</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xml:space="preserve">; Decile 3 </w:t>
      </w:r>
      <w:r w:rsidR="00164F70">
        <w:rPr>
          <w:rFonts w:asciiTheme="minorHAnsi" w:eastAsia="Segoe UI" w:hAnsiTheme="minorHAnsi" w:cstheme="minorHAnsi"/>
        </w:rPr>
        <w:t>–</w:t>
      </w:r>
      <w:r w:rsidR="535F27C7" w:rsidRPr="00DB09F0">
        <w:rPr>
          <w:rFonts w:asciiTheme="minorHAnsi" w:eastAsia="Segoe UI" w:hAnsiTheme="minorHAnsi" w:cstheme="minorHAnsi"/>
        </w:rPr>
        <w:t xml:space="preserve"> 10</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xml:space="preserve">; Decile 4 </w:t>
      </w:r>
      <w:r w:rsidR="00164F70">
        <w:rPr>
          <w:rFonts w:asciiTheme="minorHAnsi" w:eastAsia="Segoe UI" w:hAnsiTheme="minorHAnsi" w:cstheme="minorHAnsi"/>
        </w:rPr>
        <w:t>–</w:t>
      </w:r>
      <w:r w:rsidR="535F27C7" w:rsidRPr="00DB09F0">
        <w:rPr>
          <w:rFonts w:asciiTheme="minorHAnsi" w:eastAsia="Segoe UI" w:hAnsiTheme="minorHAnsi" w:cstheme="minorHAnsi"/>
        </w:rPr>
        <w:t xml:space="preserve"> 10</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xml:space="preserve">; Decile 5 </w:t>
      </w:r>
      <w:r w:rsidR="00164F70">
        <w:rPr>
          <w:rFonts w:asciiTheme="minorHAnsi" w:eastAsia="Segoe UI" w:hAnsiTheme="minorHAnsi" w:cstheme="minorHAnsi"/>
        </w:rPr>
        <w:t>–</w:t>
      </w:r>
      <w:r w:rsidR="535F27C7" w:rsidRPr="00DB09F0">
        <w:rPr>
          <w:rFonts w:asciiTheme="minorHAnsi" w:eastAsia="Segoe UI" w:hAnsiTheme="minorHAnsi" w:cstheme="minorHAnsi"/>
        </w:rPr>
        <w:t xml:space="preserve"> 11</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00032410">
        <w:rPr>
          <w:rFonts w:asciiTheme="minorHAnsi" w:eastAsia="Segoe UI" w:hAnsiTheme="minorHAnsi" w:cstheme="minorHAnsi"/>
        </w:rPr>
        <w:t>.</w:t>
      </w:r>
    </w:p>
    <w:p w14:paraId="3317D976" w14:textId="686547EA" w:rsidR="00205F62" w:rsidRPr="00DB09F0" w:rsidRDefault="00205F62" w:rsidP="00E45BFE">
      <w:pPr>
        <w:pStyle w:val="Bullet"/>
        <w:numPr>
          <w:ilvl w:val="0"/>
          <w:numId w:val="20"/>
        </w:numPr>
        <w:rPr>
          <w:rFonts w:asciiTheme="minorHAnsi" w:eastAsia="Segoe UI" w:hAnsiTheme="minorHAnsi" w:cstheme="minorHAnsi"/>
        </w:rPr>
      </w:pPr>
      <w:r w:rsidRPr="00DB09F0">
        <w:rPr>
          <w:rFonts w:asciiTheme="minorHAnsi" w:eastAsia="Segoe UI" w:hAnsiTheme="minorHAnsi" w:cstheme="minorHAnsi"/>
        </w:rPr>
        <w:t>F</w:t>
      </w:r>
      <w:r w:rsidR="000B2FB8" w:rsidRPr="00DB09F0">
        <w:rPr>
          <w:rFonts w:asciiTheme="minorHAnsi" w:eastAsia="Segoe UI" w:hAnsiTheme="minorHAnsi" w:cstheme="minorHAnsi"/>
        </w:rPr>
        <w:t>ewer</w:t>
      </w:r>
      <w:r w:rsidR="535F27C7" w:rsidRPr="00DB09F0">
        <w:rPr>
          <w:rFonts w:asciiTheme="minorHAnsi" w:eastAsia="Segoe UI" w:hAnsiTheme="minorHAnsi" w:cstheme="minorHAnsi"/>
        </w:rPr>
        <w:t xml:space="preserve"> than </w:t>
      </w:r>
      <w:r w:rsidR="00786409">
        <w:rPr>
          <w:rFonts w:asciiTheme="minorHAnsi" w:eastAsia="Segoe UI" w:hAnsiTheme="minorHAnsi" w:cstheme="minorHAnsi"/>
        </w:rPr>
        <w:t>22</w:t>
      </w:r>
      <w:r w:rsidR="007E29FD">
        <w:rPr>
          <w:rFonts w:asciiTheme="minorHAnsi" w:eastAsia="Segoe UI" w:hAnsiTheme="minorHAnsi" w:cstheme="minorHAnsi"/>
        </w:rPr>
        <w:t xml:space="preserve"> per cent </w:t>
      </w:r>
      <w:r w:rsidR="535F27C7" w:rsidRPr="00DB09F0">
        <w:rPr>
          <w:rFonts w:asciiTheme="minorHAnsi" w:eastAsia="Segoe UI" w:hAnsiTheme="minorHAnsi" w:cstheme="minorHAnsi"/>
        </w:rPr>
        <w:t xml:space="preserve">of Australian Catholic schools are found in the five most disadvantaged deciles </w:t>
      </w:r>
      <w:r w:rsidRPr="00DB09F0">
        <w:rPr>
          <w:rFonts w:asciiTheme="minorHAnsi" w:eastAsia="Segoe UI" w:hAnsiTheme="minorHAnsi" w:cstheme="minorHAnsi"/>
        </w:rPr>
        <w:t xml:space="preserve">– </w:t>
      </w:r>
      <w:r w:rsidR="535F27C7" w:rsidRPr="00DB09F0">
        <w:rPr>
          <w:rFonts w:asciiTheme="minorHAnsi" w:eastAsia="Segoe UI" w:hAnsiTheme="minorHAnsi" w:cstheme="minorHAnsi"/>
        </w:rPr>
        <w:t>Decile 1: 3.24</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Decile 2: 1.65</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Decile 3: 3.12</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Decile 4: 4.89</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 xml:space="preserve"> Decile 5: 8.77</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535F27C7" w:rsidRPr="00DB09F0">
        <w:rPr>
          <w:rFonts w:asciiTheme="minorHAnsi" w:eastAsia="Segoe UI" w:hAnsiTheme="minorHAnsi" w:cstheme="minorHAnsi"/>
        </w:rPr>
        <w:t>).</w:t>
      </w:r>
      <w:r w:rsidR="535F27C7" w:rsidRPr="00DB09F0">
        <w:rPr>
          <w:rStyle w:val="FootnoteReference"/>
          <w:rFonts w:asciiTheme="minorHAnsi" w:eastAsia="Segoe UI" w:hAnsiTheme="minorHAnsi" w:cstheme="minorHAnsi"/>
          <w:color w:val="000000" w:themeColor="text1"/>
        </w:rPr>
        <w:footnoteReference w:id="52"/>
      </w:r>
      <w:r w:rsidR="535F27C7" w:rsidRPr="00DB09F0">
        <w:rPr>
          <w:rFonts w:asciiTheme="minorHAnsi" w:eastAsia="Segoe UI" w:hAnsiTheme="minorHAnsi" w:cstheme="minorHAnsi"/>
        </w:rPr>
        <w:t xml:space="preserve"> </w:t>
      </w:r>
      <w:r w:rsidR="00C24309" w:rsidRPr="00DB09F0">
        <w:rPr>
          <w:rFonts w:asciiTheme="minorHAnsi" w:eastAsia="Segoe UI" w:hAnsiTheme="minorHAnsi" w:cstheme="minorHAnsi"/>
        </w:rPr>
        <w:t xml:space="preserve">See </w:t>
      </w:r>
      <w:r w:rsidR="0011630B" w:rsidRPr="00DB09F0">
        <w:rPr>
          <w:rFonts w:asciiTheme="minorHAnsi" w:eastAsia="Segoe UI" w:hAnsiTheme="minorHAnsi" w:cstheme="minorHAnsi"/>
        </w:rPr>
        <w:fldChar w:fldCharType="begin"/>
      </w:r>
      <w:r w:rsidR="0011630B" w:rsidRPr="00DB09F0">
        <w:rPr>
          <w:rFonts w:asciiTheme="minorHAnsi" w:eastAsia="Segoe UI" w:hAnsiTheme="minorHAnsi" w:cstheme="minorHAnsi"/>
        </w:rPr>
        <w:instrText xml:space="preserve"> REF _Ref146882286 \h </w:instrText>
      </w:r>
      <w:r w:rsidR="0014344E" w:rsidRPr="00DB09F0">
        <w:rPr>
          <w:rFonts w:asciiTheme="minorHAnsi" w:eastAsia="Segoe UI" w:hAnsiTheme="minorHAnsi" w:cstheme="minorHAnsi"/>
        </w:rPr>
        <w:instrText xml:space="preserve"> \* MERGEFORMAT </w:instrText>
      </w:r>
      <w:r w:rsidR="0011630B" w:rsidRPr="00DB09F0">
        <w:rPr>
          <w:rFonts w:asciiTheme="minorHAnsi" w:eastAsia="Segoe UI" w:hAnsiTheme="minorHAnsi" w:cstheme="minorHAnsi"/>
        </w:rPr>
      </w:r>
      <w:r w:rsidR="0011630B" w:rsidRPr="00DB09F0">
        <w:rPr>
          <w:rFonts w:asciiTheme="minorHAnsi" w:eastAsia="Segoe UI" w:hAnsiTheme="minorHAnsi" w:cstheme="minorHAnsi"/>
        </w:rPr>
        <w:fldChar w:fldCharType="separate"/>
      </w:r>
      <w:r w:rsidR="009B7086" w:rsidRPr="009B7086">
        <w:rPr>
          <w:rFonts w:asciiTheme="minorHAnsi" w:hAnsiTheme="minorHAnsi" w:cstheme="minorHAnsi"/>
        </w:rPr>
        <w:t xml:space="preserve">Figure </w:t>
      </w:r>
      <w:r w:rsidR="009B7086" w:rsidRPr="009B7086">
        <w:rPr>
          <w:rFonts w:asciiTheme="minorHAnsi" w:hAnsiTheme="minorHAnsi" w:cstheme="minorHAnsi"/>
          <w:noProof/>
        </w:rPr>
        <w:t>4</w:t>
      </w:r>
      <w:r w:rsidR="0011630B" w:rsidRPr="00DB09F0">
        <w:rPr>
          <w:rFonts w:asciiTheme="minorHAnsi" w:eastAsia="Segoe UI" w:hAnsiTheme="minorHAnsi" w:cstheme="minorHAnsi"/>
        </w:rPr>
        <w:fldChar w:fldCharType="end"/>
      </w:r>
      <w:r w:rsidR="0011630B" w:rsidRPr="00DB09F0">
        <w:rPr>
          <w:rFonts w:asciiTheme="minorHAnsi" w:eastAsia="Segoe UI" w:hAnsiTheme="minorHAnsi" w:cstheme="minorHAnsi"/>
        </w:rPr>
        <w:t xml:space="preserve"> </w:t>
      </w:r>
      <w:r w:rsidR="001D172B">
        <w:rPr>
          <w:rFonts w:asciiTheme="minorHAnsi" w:eastAsia="Segoe UI" w:hAnsiTheme="minorHAnsi" w:cstheme="minorHAnsi"/>
        </w:rPr>
        <w:t>below</w:t>
      </w:r>
      <w:r w:rsidR="002D6AF7" w:rsidRPr="00DB09F0">
        <w:rPr>
          <w:rFonts w:asciiTheme="minorHAnsi" w:eastAsia="Segoe UI" w:hAnsiTheme="minorHAnsi" w:cstheme="minorHAnsi"/>
        </w:rPr>
        <w:t>.</w:t>
      </w:r>
    </w:p>
    <w:p w14:paraId="4C7EA327" w14:textId="19F6E606" w:rsidR="00D8431C" w:rsidRPr="0014344E" w:rsidRDefault="00D8431C" w:rsidP="00205F62">
      <w:pPr>
        <w:rPr>
          <w:rFonts w:asciiTheme="minorHAnsi" w:eastAsia="Segoe UI" w:hAnsiTheme="minorHAnsi" w:cstheme="minorHAnsi"/>
          <w:szCs w:val="19"/>
        </w:rPr>
      </w:pPr>
      <w:r w:rsidRPr="0014344E">
        <w:rPr>
          <w:rFonts w:asciiTheme="minorHAnsi" w:eastAsia="Segoe UI" w:hAnsiTheme="minorHAnsi" w:cstheme="minorHAnsi"/>
          <w:szCs w:val="19"/>
        </w:rPr>
        <w:t>Overall, New Zealand rates 82.4</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Pr="0014344E">
        <w:rPr>
          <w:rFonts w:asciiTheme="minorHAnsi" w:eastAsia="Segoe UI" w:hAnsiTheme="minorHAnsi" w:cstheme="minorHAnsi"/>
          <w:szCs w:val="19"/>
        </w:rPr>
        <w:t xml:space="preserve"> on the OECD </w:t>
      </w:r>
      <w:r w:rsidR="001D172B">
        <w:rPr>
          <w:rFonts w:asciiTheme="minorHAnsi" w:eastAsia="Segoe UI" w:hAnsiTheme="minorHAnsi" w:cstheme="minorHAnsi"/>
          <w:szCs w:val="19"/>
        </w:rPr>
        <w:t>i</w:t>
      </w:r>
      <w:r w:rsidRPr="0014344E">
        <w:rPr>
          <w:rFonts w:asciiTheme="minorHAnsi" w:eastAsia="Segoe UI" w:hAnsiTheme="minorHAnsi" w:cstheme="minorHAnsi"/>
          <w:szCs w:val="19"/>
        </w:rPr>
        <w:t>ndex of social inclusion, indicating lower levels of social segregation than Australia, which is at 75.6</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Pr="0014344E">
        <w:rPr>
          <w:rFonts w:asciiTheme="minorHAnsi" w:eastAsia="Segoe UI" w:hAnsiTheme="minorHAnsi" w:cstheme="minorHAnsi"/>
          <w:szCs w:val="19"/>
        </w:rPr>
        <w:t>. (The OECD average is 76.1</w:t>
      </w:r>
      <w:r w:rsidR="005873C3" w:rsidRPr="005873C3">
        <w:rPr>
          <w:rFonts w:asciiTheme="minorHAnsi" w:eastAsia="Segoe UI" w:hAnsiTheme="minorHAnsi" w:cstheme="minorHAnsi"/>
        </w:rPr>
        <w:t xml:space="preserve"> </w:t>
      </w:r>
      <w:r w:rsidR="005873C3">
        <w:rPr>
          <w:rFonts w:asciiTheme="minorHAnsi" w:eastAsia="Segoe UI" w:hAnsiTheme="minorHAnsi" w:cstheme="minorHAnsi"/>
        </w:rPr>
        <w:t>per cent</w:t>
      </w:r>
      <w:r w:rsidRPr="0014344E">
        <w:rPr>
          <w:rFonts w:asciiTheme="minorHAnsi" w:eastAsia="Segoe UI" w:hAnsiTheme="minorHAnsi" w:cstheme="minorHAnsi"/>
          <w:szCs w:val="19"/>
        </w:rPr>
        <w:t>.)</w:t>
      </w:r>
    </w:p>
    <w:p w14:paraId="13DE8C4C" w14:textId="69ACEF0A" w:rsidR="00487FD9" w:rsidRPr="0014344E" w:rsidRDefault="535F27C7" w:rsidP="00487FD9">
      <w:pPr>
        <w:rPr>
          <w:rFonts w:asciiTheme="minorHAnsi" w:eastAsia="Segoe UI" w:hAnsiTheme="minorHAnsi" w:cstheme="minorHAnsi"/>
          <w:szCs w:val="19"/>
        </w:rPr>
      </w:pPr>
      <w:r w:rsidRPr="0014344E">
        <w:rPr>
          <w:rFonts w:asciiTheme="minorHAnsi" w:eastAsia="Segoe UI" w:hAnsiTheme="minorHAnsi" w:cstheme="minorHAnsi"/>
          <w:szCs w:val="19"/>
        </w:rPr>
        <w:t xml:space="preserve">This </w:t>
      </w:r>
      <w:r w:rsidR="464307B3" w:rsidRPr="0014344E">
        <w:rPr>
          <w:rFonts w:asciiTheme="minorHAnsi" w:eastAsia="Segoe UI" w:hAnsiTheme="minorHAnsi" w:cstheme="minorHAnsi"/>
          <w:szCs w:val="19"/>
        </w:rPr>
        <w:t>provides clear</w:t>
      </w:r>
      <w:r w:rsidRPr="0014344E">
        <w:rPr>
          <w:rFonts w:asciiTheme="minorHAnsi" w:eastAsia="Segoe UI" w:hAnsiTheme="minorHAnsi" w:cstheme="minorHAnsi"/>
          <w:szCs w:val="19"/>
        </w:rPr>
        <w:t xml:space="preserve"> evidence that New Zealand</w:t>
      </w:r>
      <w:r w:rsidR="00D6281B" w:rsidRPr="0014344E">
        <w:rPr>
          <w:rFonts w:asciiTheme="minorHAnsi" w:eastAsia="Segoe UI" w:hAnsiTheme="minorHAnsi" w:cstheme="minorHAnsi"/>
          <w:szCs w:val="19"/>
        </w:rPr>
        <w:t>’s</w:t>
      </w:r>
      <w:r w:rsidRPr="0014344E">
        <w:rPr>
          <w:rFonts w:asciiTheme="minorHAnsi" w:eastAsia="Segoe UI" w:hAnsiTheme="minorHAnsi" w:cstheme="minorHAnsi"/>
          <w:szCs w:val="19"/>
        </w:rPr>
        <w:t xml:space="preserve"> Catholic schools </w:t>
      </w:r>
      <w:r w:rsidR="00205F62" w:rsidRPr="0014344E">
        <w:rPr>
          <w:rFonts w:asciiTheme="minorHAnsi" w:hAnsiTheme="minorHAnsi" w:cstheme="minorHAnsi"/>
          <w:szCs w:val="19"/>
        </w:rPr>
        <w:t xml:space="preserve">(being the majority of SIS) </w:t>
      </w:r>
      <w:r w:rsidRPr="0014344E">
        <w:rPr>
          <w:rFonts w:asciiTheme="minorHAnsi" w:eastAsia="Segoe UI" w:hAnsiTheme="minorHAnsi" w:cstheme="minorHAnsi"/>
          <w:szCs w:val="19"/>
        </w:rPr>
        <w:t xml:space="preserve">are significantly more inclusive than Australian Catholic schools, and a powerful indicator of the effectiveness of fee capping in </w:t>
      </w:r>
      <w:r w:rsidR="00C24309" w:rsidRPr="0014344E">
        <w:rPr>
          <w:rFonts w:asciiTheme="minorHAnsi" w:eastAsia="Segoe UI" w:hAnsiTheme="minorHAnsi" w:cstheme="minorHAnsi"/>
          <w:szCs w:val="19"/>
        </w:rPr>
        <w:t>facilitating</w:t>
      </w:r>
      <w:r w:rsidRPr="0014344E">
        <w:rPr>
          <w:rFonts w:asciiTheme="minorHAnsi" w:eastAsia="Segoe UI" w:hAnsiTheme="minorHAnsi" w:cstheme="minorHAnsi"/>
          <w:szCs w:val="19"/>
        </w:rPr>
        <w:t xml:space="preserve"> access </w:t>
      </w:r>
      <w:r w:rsidR="00E61C26" w:rsidRPr="0014344E">
        <w:rPr>
          <w:rFonts w:asciiTheme="minorHAnsi" w:eastAsia="Segoe UI" w:hAnsiTheme="minorHAnsi" w:cstheme="minorHAnsi"/>
          <w:szCs w:val="19"/>
        </w:rPr>
        <w:t xml:space="preserve">to </w:t>
      </w:r>
      <w:r w:rsidRPr="0014344E">
        <w:rPr>
          <w:rFonts w:asciiTheme="minorHAnsi" w:eastAsia="Segoe UI" w:hAnsiTheme="minorHAnsi" w:cstheme="minorHAnsi"/>
          <w:szCs w:val="19"/>
        </w:rPr>
        <w:t>non-government schools</w:t>
      </w:r>
      <w:r w:rsidR="00E61C26" w:rsidRPr="0014344E">
        <w:rPr>
          <w:rFonts w:asciiTheme="minorHAnsi" w:eastAsia="Segoe UI" w:hAnsiTheme="minorHAnsi" w:cstheme="minorHAnsi"/>
          <w:szCs w:val="19"/>
        </w:rPr>
        <w:t xml:space="preserve"> by </w:t>
      </w:r>
      <w:r w:rsidRPr="0014344E">
        <w:rPr>
          <w:rFonts w:asciiTheme="minorHAnsi" w:eastAsia="Segoe UI" w:hAnsiTheme="minorHAnsi" w:cstheme="minorHAnsi"/>
          <w:szCs w:val="19"/>
        </w:rPr>
        <w:t xml:space="preserve">low-income families, </w:t>
      </w:r>
      <w:r w:rsidR="00C24309" w:rsidRPr="0014344E">
        <w:rPr>
          <w:rFonts w:asciiTheme="minorHAnsi" w:eastAsia="Segoe UI" w:hAnsiTheme="minorHAnsi" w:cstheme="minorHAnsi"/>
          <w:szCs w:val="19"/>
        </w:rPr>
        <w:t>and</w:t>
      </w:r>
      <w:r w:rsidRPr="0014344E">
        <w:rPr>
          <w:rFonts w:asciiTheme="minorHAnsi" w:eastAsia="Segoe UI" w:hAnsiTheme="minorHAnsi" w:cstheme="minorHAnsi"/>
          <w:szCs w:val="19"/>
        </w:rPr>
        <w:t xml:space="preserve"> thereby increasing </w:t>
      </w:r>
      <w:r w:rsidR="00C24309" w:rsidRPr="0014344E">
        <w:rPr>
          <w:rFonts w:asciiTheme="minorHAnsi" w:eastAsia="Segoe UI" w:hAnsiTheme="minorHAnsi" w:cstheme="minorHAnsi"/>
          <w:szCs w:val="19"/>
        </w:rPr>
        <w:t xml:space="preserve">the </w:t>
      </w:r>
      <w:r w:rsidRPr="0014344E">
        <w:rPr>
          <w:rFonts w:asciiTheme="minorHAnsi" w:eastAsia="Segoe UI" w:hAnsiTheme="minorHAnsi" w:cstheme="minorHAnsi"/>
          <w:szCs w:val="19"/>
        </w:rPr>
        <w:t xml:space="preserve">socio-economic diversity in schools across sectors. </w:t>
      </w:r>
    </w:p>
    <w:p w14:paraId="71F86E00" w14:textId="66303C88" w:rsidR="00086AC2" w:rsidRDefault="00086AC2" w:rsidP="00086AC2">
      <w:pPr>
        <w:pStyle w:val="Caption"/>
      </w:pPr>
      <w:bookmarkStart w:id="16" w:name="_Ref146882286"/>
      <w:r>
        <w:t xml:space="preserve">Figure </w:t>
      </w:r>
      <w:r>
        <w:fldChar w:fldCharType="begin"/>
      </w:r>
      <w:r>
        <w:instrText xml:space="preserve"> SEQ Figure \* ARABIC </w:instrText>
      </w:r>
      <w:r>
        <w:fldChar w:fldCharType="separate"/>
      </w:r>
      <w:r w:rsidR="009B7086">
        <w:rPr>
          <w:noProof/>
        </w:rPr>
        <w:t>4</w:t>
      </w:r>
      <w:r>
        <w:fldChar w:fldCharType="end"/>
      </w:r>
      <w:bookmarkEnd w:id="16"/>
      <w:r>
        <w:t xml:space="preserve"> | Distribution of Catholic schools </w:t>
      </w:r>
      <w:r w:rsidR="00251E3A">
        <w:t xml:space="preserve">in Australia </w:t>
      </w:r>
      <w:r>
        <w:t>and State Integrated schools in New Zealand by socio-economic indicators</w:t>
      </w:r>
      <w:r>
        <w:rPr>
          <w:noProof/>
        </w:rPr>
        <w:t xml:space="preserve"> in 2022</w:t>
      </w:r>
    </w:p>
    <w:p w14:paraId="637284B8" w14:textId="67AD2096" w:rsidR="00487FD9" w:rsidRPr="009308E6" w:rsidRDefault="009877C8" w:rsidP="00487FD9">
      <w:r>
        <w:rPr>
          <w:noProof/>
        </w:rPr>
        <w:drawing>
          <wp:inline distT="0" distB="0" distL="0" distR="0" wp14:anchorId="1A6D5A9B" wp14:editId="048323FC">
            <wp:extent cx="5670548" cy="2927203"/>
            <wp:effectExtent l="0" t="0" r="6985" b="6985"/>
            <wp:docPr id="769480864" name="Graphic 769480864" descr="Figure showing the distribution of Catholic schools in Australia and State Integrated Schools in New Zealand by socio-economic indicator, with Catholic schools in Australia having a higher proportion of schools with higher ICSEA scores than those in New Zea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80864" name="Graphic 769480864" descr="Figure showing the distribution of Catholic schools in Australia and State Integrated Schools in New Zealand by socio-economic indicator, with Catholic schools in Australia having a higher proportion of schools with higher ICSEA scores than those in New Zealand. "/>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670548" cy="2927203"/>
                    </a:xfrm>
                    <a:prstGeom prst="rect">
                      <a:avLst/>
                    </a:prstGeom>
                  </pic:spPr>
                </pic:pic>
              </a:graphicData>
            </a:graphic>
          </wp:inline>
        </w:drawing>
      </w:r>
    </w:p>
    <w:p w14:paraId="631A31C4" w14:textId="77777777" w:rsidR="00AB4E7D" w:rsidRDefault="00AB4E7D">
      <w:pPr>
        <w:spacing w:after="160"/>
      </w:pPr>
      <w:r>
        <w:br w:type="page"/>
      </w:r>
    </w:p>
    <w:p w14:paraId="27BD2DC9" w14:textId="3032D816" w:rsidR="00C24309" w:rsidRDefault="00C24309" w:rsidP="008C1D8C">
      <w:r>
        <w:lastRenderedPageBreak/>
        <w:t xml:space="preserve">With respect to cultural diversity, </w:t>
      </w:r>
      <w:r w:rsidR="535F27C7" w:rsidRPr="0086054F">
        <w:t xml:space="preserve">the New Zealand Catholic Education Office reported </w:t>
      </w:r>
      <w:r>
        <w:t xml:space="preserve">in 2019 </w:t>
      </w:r>
      <w:r w:rsidR="535F27C7" w:rsidRPr="0086054F">
        <w:t xml:space="preserve">that Pacific students were over-represented in Catholic </w:t>
      </w:r>
      <w:r w:rsidR="00424613">
        <w:t xml:space="preserve">SIS </w:t>
      </w:r>
      <w:r w:rsidR="535F27C7" w:rsidRPr="0086054F">
        <w:t>schools, constituting 15.7</w:t>
      </w:r>
      <w:r w:rsidR="00AD0A90" w:rsidRPr="00AD0A90">
        <w:rPr>
          <w:rFonts w:asciiTheme="minorHAnsi" w:eastAsia="Segoe UI" w:hAnsiTheme="minorHAnsi" w:cstheme="minorHAnsi"/>
        </w:rPr>
        <w:t xml:space="preserve"> </w:t>
      </w:r>
      <w:r w:rsidR="00AD0A90">
        <w:rPr>
          <w:rFonts w:asciiTheme="minorHAnsi" w:eastAsia="Segoe UI" w:hAnsiTheme="minorHAnsi" w:cstheme="minorHAnsi"/>
        </w:rPr>
        <w:t>per cent</w:t>
      </w:r>
      <w:r w:rsidR="00424613">
        <w:t xml:space="preserve"> </w:t>
      </w:r>
      <w:r w:rsidR="535F27C7" w:rsidRPr="0086054F">
        <w:t>of the Catholic school student population, compared to around 10</w:t>
      </w:r>
      <w:r w:rsidR="00AD0A90" w:rsidRPr="00AD0A90">
        <w:rPr>
          <w:rFonts w:asciiTheme="minorHAnsi" w:eastAsia="Segoe UI" w:hAnsiTheme="minorHAnsi" w:cstheme="minorHAnsi"/>
        </w:rPr>
        <w:t xml:space="preserve"> </w:t>
      </w:r>
      <w:r w:rsidR="00AD0A90">
        <w:rPr>
          <w:rFonts w:asciiTheme="minorHAnsi" w:eastAsia="Segoe UI" w:hAnsiTheme="minorHAnsi" w:cstheme="minorHAnsi"/>
        </w:rPr>
        <w:t>per cent</w:t>
      </w:r>
      <w:r w:rsidR="00424613">
        <w:t xml:space="preserve"> </w:t>
      </w:r>
      <w:r w:rsidR="535F27C7" w:rsidRPr="0086054F">
        <w:t xml:space="preserve">of the total student population. </w:t>
      </w:r>
      <w:r w:rsidR="00424613">
        <w:t xml:space="preserve">On the other hand, </w:t>
      </w:r>
      <w:r w:rsidR="535F27C7" w:rsidRPr="0086054F">
        <w:t>Māori students made up 14.5</w:t>
      </w:r>
      <w:r w:rsidR="00AD0A90" w:rsidRPr="00AD0A90">
        <w:rPr>
          <w:rFonts w:asciiTheme="minorHAnsi" w:eastAsia="Segoe UI" w:hAnsiTheme="minorHAnsi" w:cstheme="minorHAnsi"/>
        </w:rPr>
        <w:t xml:space="preserve"> </w:t>
      </w:r>
      <w:r w:rsidR="00AD0A90">
        <w:rPr>
          <w:rFonts w:asciiTheme="minorHAnsi" w:eastAsia="Segoe UI" w:hAnsiTheme="minorHAnsi" w:cstheme="minorHAnsi"/>
        </w:rPr>
        <w:t>per cent</w:t>
      </w:r>
      <w:r w:rsidR="00424613">
        <w:t xml:space="preserve"> </w:t>
      </w:r>
      <w:r w:rsidR="535F27C7" w:rsidRPr="0086054F">
        <w:t xml:space="preserve">of </w:t>
      </w:r>
      <w:r w:rsidR="00424613">
        <w:t xml:space="preserve">students at SIS </w:t>
      </w:r>
      <w:r w:rsidR="535F27C7" w:rsidRPr="0086054F">
        <w:t xml:space="preserve">Catholic </w:t>
      </w:r>
      <w:r w:rsidR="00424613">
        <w:t xml:space="preserve">schools </w:t>
      </w:r>
      <w:r w:rsidR="535F27C7" w:rsidRPr="0086054F">
        <w:t>compared to 25</w:t>
      </w:r>
      <w:r w:rsidR="00AD0A90" w:rsidRPr="00AD0A90">
        <w:rPr>
          <w:rFonts w:asciiTheme="minorHAnsi" w:eastAsia="Segoe UI" w:hAnsiTheme="minorHAnsi" w:cstheme="minorHAnsi"/>
        </w:rPr>
        <w:t xml:space="preserve"> </w:t>
      </w:r>
      <w:r w:rsidR="00AD0A90">
        <w:rPr>
          <w:rFonts w:asciiTheme="minorHAnsi" w:eastAsia="Segoe UI" w:hAnsiTheme="minorHAnsi" w:cstheme="minorHAnsi"/>
        </w:rPr>
        <w:t>per cent</w:t>
      </w:r>
      <w:r w:rsidR="535F27C7" w:rsidRPr="0086054F">
        <w:t xml:space="preserve"> of the overall student population.</w:t>
      </w:r>
      <w:r w:rsidR="535F27C7" w:rsidRPr="0086054F">
        <w:rPr>
          <w:rStyle w:val="FootnoteReference"/>
          <w:rFonts w:eastAsia="Segoe UI" w:cs="Segoe UI"/>
          <w:sz w:val="20"/>
          <w:szCs w:val="20"/>
        </w:rPr>
        <w:footnoteReference w:id="53"/>
      </w:r>
    </w:p>
    <w:p w14:paraId="5D5CA185" w14:textId="00F94A26" w:rsidR="003113AE" w:rsidRPr="00A5705F" w:rsidRDefault="00A57AFA" w:rsidP="008C1D8C">
      <w:pPr>
        <w:rPr>
          <w:rFonts w:asciiTheme="minorHAnsi" w:hAnsiTheme="minorHAnsi" w:cstheme="minorHAnsi"/>
        </w:rPr>
      </w:pPr>
      <w:r>
        <w:t xml:space="preserve">What is perhaps remarkable is the extent to which </w:t>
      </w:r>
      <w:r w:rsidR="6BCE8D92" w:rsidRPr="009500B1">
        <w:t xml:space="preserve">New Zealand’s </w:t>
      </w:r>
      <w:r w:rsidR="003113AE">
        <w:t>SIS</w:t>
      </w:r>
      <w:r w:rsidR="6BCE8D92" w:rsidRPr="009500B1">
        <w:t xml:space="preserve"> </w:t>
      </w:r>
      <w:r w:rsidR="001C459F">
        <w:t xml:space="preserve">are perceived </w:t>
      </w:r>
      <w:r w:rsidR="00A374F0">
        <w:t xml:space="preserve">as being </w:t>
      </w:r>
      <w:r w:rsidR="00D87AB3">
        <w:t xml:space="preserve">fair, including by leaders in the </w:t>
      </w:r>
      <w:r w:rsidR="00FC1176">
        <w:t>faith-based community.</w:t>
      </w:r>
      <w:r w:rsidR="72A92F34">
        <w:t xml:space="preserve"> </w:t>
      </w:r>
      <w:r w:rsidR="72A92F34" w:rsidRPr="009500B1">
        <w:t>In 2012, the Chief Executive Officer of the New Zealand Catholic Education Commission, B</w:t>
      </w:r>
      <w:r w:rsidR="521B968E" w:rsidRPr="009500B1">
        <w:t>rother Pat Lynch, wrote</w:t>
      </w:r>
      <w:r w:rsidR="72A92F34" w:rsidRPr="009500B1">
        <w:t xml:space="preserve"> </w:t>
      </w:r>
      <w:r w:rsidR="048C2E2E" w:rsidRPr="009500B1">
        <w:t>“… the Integration Act was brought about through a remarkable compromise by a range of interested parties who focused</w:t>
      </w:r>
      <w:r w:rsidR="048C2E2E" w:rsidRPr="12C11507">
        <w:t xml:space="preserve"> on the well</w:t>
      </w:r>
      <w:r w:rsidR="00C546AA" w:rsidRPr="12C11507">
        <w:t>-</w:t>
      </w:r>
      <w:r w:rsidR="048C2E2E" w:rsidRPr="12C11507">
        <w:t xml:space="preserve">being of the nation rather than their own particular interests. As a result, the New Zealand Parliament managed to do what has eluded other jurisdictions including the United States and Australia, </w:t>
      </w:r>
      <w:r w:rsidR="048C2E2E" w:rsidRPr="00A5705F">
        <w:rPr>
          <w:rFonts w:asciiTheme="minorHAnsi" w:hAnsiTheme="minorHAnsi" w:cstheme="minorHAnsi"/>
        </w:rPr>
        <w:t>i.e</w:t>
      </w:r>
      <w:r w:rsidR="00461EB9" w:rsidRPr="00A5705F">
        <w:rPr>
          <w:rFonts w:asciiTheme="minorHAnsi" w:hAnsiTheme="minorHAnsi" w:cstheme="minorHAnsi"/>
        </w:rPr>
        <w:t>.,</w:t>
      </w:r>
      <w:r w:rsidR="048C2E2E" w:rsidRPr="00A5705F">
        <w:rPr>
          <w:rFonts w:asciiTheme="minorHAnsi" w:hAnsiTheme="minorHAnsi" w:cstheme="minorHAnsi"/>
        </w:rPr>
        <w:t xml:space="preserve"> to bring about a fair system of education for all its citizens.”</w:t>
      </w:r>
      <w:r w:rsidR="6BCE8D92" w:rsidRPr="00A5705F">
        <w:rPr>
          <w:rStyle w:val="FootnoteReference"/>
          <w:rFonts w:asciiTheme="minorHAnsi" w:hAnsiTheme="minorHAnsi" w:cstheme="minorHAnsi"/>
        </w:rPr>
        <w:footnoteReference w:id="54"/>
      </w:r>
    </w:p>
    <w:p w14:paraId="3EAFA8DD" w14:textId="398D7472" w:rsidR="00954EED" w:rsidRDefault="00D01516" w:rsidP="008C1D8C">
      <w:pPr>
        <w:rPr>
          <w:rFonts w:eastAsia="Segoe UI" w:cs="Segoe UI"/>
        </w:rPr>
      </w:pPr>
      <w:r w:rsidRPr="15380E17">
        <w:rPr>
          <w:rFonts w:eastAsia="Segoe UI" w:cs="Segoe UI"/>
        </w:rPr>
        <w:t xml:space="preserve">In </w:t>
      </w:r>
      <w:r w:rsidRPr="15380E17">
        <w:rPr>
          <w:rFonts w:asciiTheme="majorHAnsi" w:eastAsia="Segoe UI" w:hAnsiTheme="majorHAnsi" w:cstheme="majorBidi"/>
        </w:rPr>
        <w:t>Hong Kong</w:t>
      </w:r>
      <w:r w:rsidRPr="15380E17">
        <w:rPr>
          <w:rFonts w:eastAsia="Segoe UI" w:cs="Segoe UI"/>
        </w:rPr>
        <w:t xml:space="preserve">, </w:t>
      </w:r>
      <w:r w:rsidR="001434F4" w:rsidRPr="15380E17">
        <w:rPr>
          <w:rFonts w:eastAsia="Segoe UI" w:cs="Segoe UI"/>
        </w:rPr>
        <w:t>the</w:t>
      </w:r>
      <w:r w:rsidRPr="15380E17">
        <w:rPr>
          <w:rFonts w:eastAsia="Segoe UI" w:cs="Segoe UI"/>
        </w:rPr>
        <w:t xml:space="preserve"> admission fees </w:t>
      </w:r>
      <w:r w:rsidR="001434F4" w:rsidRPr="15380E17">
        <w:rPr>
          <w:rFonts w:eastAsia="Segoe UI" w:cs="Segoe UI"/>
        </w:rPr>
        <w:t xml:space="preserve">charged by DSS schools are still seen as </w:t>
      </w:r>
      <w:r w:rsidRPr="15380E17">
        <w:rPr>
          <w:rFonts w:eastAsia="Segoe UI" w:cs="Segoe UI"/>
        </w:rPr>
        <w:t>unaffordable for many Hong Kong families.</w:t>
      </w:r>
      <w:r w:rsidRPr="15380E17">
        <w:rPr>
          <w:rStyle w:val="FootnoteReference"/>
          <w:rFonts w:eastAsia="Segoe UI" w:cs="Segoe UI"/>
        </w:rPr>
        <w:footnoteReference w:id="55"/>
      </w:r>
      <w:r w:rsidRPr="15380E17">
        <w:rPr>
          <w:rFonts w:eastAsia="Segoe UI" w:cs="Segoe UI"/>
        </w:rPr>
        <w:t xml:space="preserve"> Researchers who surveyed 910 parents found that high-income parents are over seven times more likely than lower income parents to consider DSS schools for their children. </w:t>
      </w:r>
      <w:r w:rsidR="10AA5E86" w:rsidRPr="15380E17">
        <w:rPr>
          <w:rFonts w:eastAsia="Segoe UI" w:cs="Segoe UI"/>
        </w:rPr>
        <w:t xml:space="preserve">Apart from affordability, DSS schools have considerable autonomy in selecting students. </w:t>
      </w:r>
      <w:r w:rsidRPr="15380E17">
        <w:rPr>
          <w:rFonts w:eastAsia="Segoe UI" w:cs="Segoe UI"/>
        </w:rPr>
        <w:t xml:space="preserve">Consequently, </w:t>
      </w:r>
      <w:r w:rsidR="001434F4" w:rsidRPr="15380E17">
        <w:rPr>
          <w:rFonts w:eastAsia="Segoe UI" w:cs="Segoe UI"/>
        </w:rPr>
        <w:t xml:space="preserve">the scholarship </w:t>
      </w:r>
      <w:r w:rsidR="00702DEC" w:rsidRPr="15380E17">
        <w:rPr>
          <w:rFonts w:eastAsia="Segoe UI" w:cs="Segoe UI"/>
        </w:rPr>
        <w:t xml:space="preserve">provisions notwithstanding, </w:t>
      </w:r>
      <w:r w:rsidRPr="15380E17">
        <w:rPr>
          <w:rFonts w:eastAsia="Segoe UI" w:cs="Segoe UI"/>
        </w:rPr>
        <w:t>DSS schools are not particularly socio-economically diverse.</w:t>
      </w:r>
      <w:r w:rsidRPr="008C1D8C">
        <w:rPr>
          <w:rStyle w:val="FootnoteReference"/>
        </w:rPr>
        <w:footnoteReference w:id="56"/>
      </w:r>
    </w:p>
    <w:p w14:paraId="3B06D5D4" w14:textId="7C6308CA" w:rsidR="00A5705F" w:rsidRPr="00907951" w:rsidRDefault="00A5705F" w:rsidP="00E477D7">
      <w:pPr>
        <w:pStyle w:val="Heading5"/>
        <w:rPr>
          <w:rFonts w:eastAsia="Segoe UI"/>
        </w:rPr>
      </w:pPr>
      <w:r>
        <w:rPr>
          <w:rFonts w:eastAsia="Segoe UI"/>
        </w:rPr>
        <w:t>Education</w:t>
      </w:r>
    </w:p>
    <w:p w14:paraId="26E9172D" w14:textId="172D9822" w:rsidR="003113AE" w:rsidRPr="0080152D" w:rsidRDefault="003113AE" w:rsidP="008C1D8C">
      <w:r w:rsidRPr="0080152D">
        <w:t>Education outcomes are more mixed</w:t>
      </w:r>
      <w:r w:rsidR="005227FA" w:rsidRPr="0080152D">
        <w:t xml:space="preserve"> in New Zealand, and in Hong Kong, the </w:t>
      </w:r>
      <w:r w:rsidR="009620B2" w:rsidRPr="0080152D">
        <w:t xml:space="preserve">impact on </w:t>
      </w:r>
      <w:r w:rsidR="00080DBE" w:rsidRPr="0080152D">
        <w:t xml:space="preserve">DSS </w:t>
      </w:r>
      <w:r w:rsidR="00D9205D" w:rsidRPr="0080152D">
        <w:t>schools’</w:t>
      </w:r>
      <w:r w:rsidR="00080DBE" w:rsidRPr="0080152D">
        <w:t xml:space="preserve"> performance was, if anything, negative</w:t>
      </w:r>
      <w:r w:rsidR="00A5705F" w:rsidRPr="0080152D">
        <w:t>.</w:t>
      </w:r>
    </w:p>
    <w:p w14:paraId="57C154E0" w14:textId="5FD046A2" w:rsidR="00467EB9" w:rsidRDefault="008D47FC" w:rsidP="003113AE">
      <w:r>
        <w:t>Higher levels of</w:t>
      </w:r>
      <w:r w:rsidR="003113AE" w:rsidRPr="0086054F">
        <w:t xml:space="preserve"> socio-economic diversity in </w:t>
      </w:r>
      <w:r w:rsidR="003113AE" w:rsidRPr="00B174E6">
        <w:rPr>
          <w:rFonts w:asciiTheme="majorHAnsi" w:hAnsiTheme="majorHAnsi" w:cstheme="majorHAnsi"/>
        </w:rPr>
        <w:t>New Zealand</w:t>
      </w:r>
      <w:r w:rsidR="003113AE" w:rsidRPr="0086054F">
        <w:t xml:space="preserve"> schools is associated with a greater likelihood that disadvantaged students will be taught by expert teachers</w:t>
      </w:r>
      <w:r w:rsidR="00796BED">
        <w:t>.</w:t>
      </w:r>
      <w:r w:rsidR="003113AE">
        <w:t xml:space="preserve"> </w:t>
      </w:r>
      <w:r w:rsidR="00796BED">
        <w:t>T</w:t>
      </w:r>
      <w:r w:rsidR="003113AE" w:rsidRPr="00825BA6">
        <w:t>he OECD found that, in Australia, 24.3</w:t>
      </w:r>
      <w:r w:rsidR="00FE6AA1" w:rsidRPr="00FE6AA1">
        <w:rPr>
          <w:rFonts w:asciiTheme="minorHAnsi" w:eastAsia="Segoe UI" w:hAnsiTheme="minorHAnsi" w:cstheme="minorHAnsi"/>
        </w:rPr>
        <w:t xml:space="preserve"> </w:t>
      </w:r>
      <w:r w:rsidR="00FE6AA1">
        <w:rPr>
          <w:rFonts w:asciiTheme="minorHAnsi" w:eastAsia="Segoe UI" w:hAnsiTheme="minorHAnsi" w:cstheme="minorHAnsi"/>
        </w:rPr>
        <w:t>per cent</w:t>
      </w:r>
      <w:r w:rsidR="003113AE" w:rsidRPr="00825BA6">
        <w:t xml:space="preserve"> of advantaged students were in schools whose teachers held  a Master</w:t>
      </w:r>
      <w:r w:rsidR="00164F70">
        <w:t>’</w:t>
      </w:r>
      <w:r w:rsidR="003113AE" w:rsidRPr="00825BA6">
        <w:t>s (or higher) degree, compared with 12.6</w:t>
      </w:r>
      <w:r w:rsidR="00FE6AA1" w:rsidRPr="00FE6AA1">
        <w:rPr>
          <w:rFonts w:asciiTheme="minorHAnsi" w:eastAsia="Segoe UI" w:hAnsiTheme="minorHAnsi" w:cstheme="minorHAnsi"/>
        </w:rPr>
        <w:t xml:space="preserve"> </w:t>
      </w:r>
      <w:r w:rsidR="00FE6AA1">
        <w:rPr>
          <w:rFonts w:asciiTheme="minorHAnsi" w:eastAsia="Segoe UI" w:hAnsiTheme="minorHAnsi" w:cstheme="minorHAnsi"/>
        </w:rPr>
        <w:t>per cent</w:t>
      </w:r>
      <w:r w:rsidR="003113AE" w:rsidRPr="00825BA6">
        <w:t xml:space="preserve"> of disadvantaged students.</w:t>
      </w:r>
      <w:r w:rsidRPr="18671F43">
        <w:rPr>
          <w:rStyle w:val="FootnoteReference"/>
        </w:rPr>
        <w:footnoteReference w:id="57"/>
      </w:r>
      <w:r w:rsidR="00467EB9">
        <w:t xml:space="preserve"> </w:t>
      </w:r>
      <w:r w:rsidR="003113AE">
        <w:t xml:space="preserve">Perhaps related to this, </w:t>
      </w:r>
      <w:r w:rsidR="003113AE" w:rsidRPr="00825BA6">
        <w:t>New Zealand’s average 2018 PISA scores</w:t>
      </w:r>
      <w:r w:rsidR="003113AE">
        <w:t xml:space="preserve"> for Reading, Maths and Science</w:t>
      </w:r>
      <w:r w:rsidR="003113AE" w:rsidRPr="00825BA6">
        <w:t xml:space="preserve"> were marginally higher than Australia’s.</w:t>
      </w:r>
      <w:r w:rsidR="003113AE" w:rsidRPr="00825BA6">
        <w:rPr>
          <w:rStyle w:val="FootnoteReference"/>
          <w:rFonts w:eastAsia="Segoe UI" w:cs="Segoe UI"/>
          <w:sz w:val="20"/>
          <w:szCs w:val="20"/>
        </w:rPr>
        <w:footnoteReference w:id="58"/>
      </w:r>
      <w:r w:rsidR="003113AE" w:rsidRPr="00825BA6">
        <w:t xml:space="preserve"> </w:t>
      </w:r>
      <w:r w:rsidR="00CC79AB" w:rsidRPr="00CC79AB">
        <w:t xml:space="preserve">In New Zealand, disadvantaged students are actually </w:t>
      </w:r>
      <w:r w:rsidR="00CC79AB" w:rsidRPr="00CC79AB">
        <w:rPr>
          <w:i/>
        </w:rPr>
        <w:t>more likely</w:t>
      </w:r>
      <w:r w:rsidR="00CC79AB" w:rsidRPr="00CC79AB">
        <w:t xml:space="preserve"> to be in a school with highly qualified teachers: 17.4 per cent of disadvantaged students were in that category compared to 15.5 per cent of advantaged</w:t>
      </w:r>
      <w:r w:rsidR="00CC79AB">
        <w:t>.</w:t>
      </w:r>
    </w:p>
    <w:p w14:paraId="022ED653" w14:textId="1DCC777F" w:rsidR="00487FD9" w:rsidRPr="008C1D8C" w:rsidRDefault="00467EB9" w:rsidP="008C1D8C">
      <w:r>
        <w:t xml:space="preserve">That said, </w:t>
      </w:r>
      <w:r w:rsidR="003113AE" w:rsidRPr="00825BA6">
        <w:t xml:space="preserve">the socio-economic gap in reading </w:t>
      </w:r>
      <w:r>
        <w:t xml:space="preserve">in New Zealand </w:t>
      </w:r>
      <w:r w:rsidR="003113AE" w:rsidRPr="00825BA6">
        <w:t xml:space="preserve">was slightly larger than in Australia, and socio-economic status was a slightly stronger predictor of performance in mathematics and science in </w:t>
      </w:r>
      <w:r>
        <w:t>former</w:t>
      </w:r>
      <w:r w:rsidR="003113AE" w:rsidRPr="00825BA6">
        <w:t xml:space="preserve"> than in </w:t>
      </w:r>
      <w:r>
        <w:t>the latter</w:t>
      </w:r>
      <w:r w:rsidR="003113AE" w:rsidRPr="00825BA6">
        <w:t xml:space="preserve">. </w:t>
      </w:r>
    </w:p>
    <w:p w14:paraId="21DAD5B1" w14:textId="23EA985F" w:rsidR="00487FD9" w:rsidRDefault="00602E43" w:rsidP="24E04619">
      <w:pPr>
        <w:rPr>
          <w:rFonts w:eastAsia="Segoe UI" w:cs="Segoe UI"/>
          <w:szCs w:val="19"/>
        </w:rPr>
      </w:pPr>
      <w:r w:rsidRPr="15380E17">
        <w:rPr>
          <w:rFonts w:eastAsia="Segoe UI" w:cs="Segoe UI"/>
        </w:rPr>
        <w:t xml:space="preserve">In </w:t>
      </w:r>
      <w:r w:rsidRPr="15380E17">
        <w:rPr>
          <w:rFonts w:asciiTheme="majorHAnsi" w:eastAsia="Segoe UI" w:hAnsiTheme="majorHAnsi" w:cstheme="majorBidi"/>
        </w:rPr>
        <w:t>Hong Kong</w:t>
      </w:r>
      <w:r w:rsidRPr="15380E17">
        <w:rPr>
          <w:rFonts w:eastAsia="Segoe UI" w:cs="Segoe UI"/>
        </w:rPr>
        <w:t>,</w:t>
      </w:r>
      <w:r w:rsidR="535F27C7" w:rsidRPr="15380E17">
        <w:rPr>
          <w:rFonts w:eastAsia="Segoe UI" w:cs="Segoe UI"/>
        </w:rPr>
        <w:t xml:space="preserve"> researchers found that “</w:t>
      </w:r>
      <w:r w:rsidR="00F033ED">
        <w:rPr>
          <w:rFonts w:eastAsia="Segoe UI" w:cs="Segoe UI"/>
        </w:rPr>
        <w:t>o</w:t>
      </w:r>
      <w:r w:rsidR="535F27C7" w:rsidRPr="15380E17">
        <w:rPr>
          <w:rFonts w:eastAsia="Segoe UI" w:cs="Segoe UI"/>
        </w:rPr>
        <w:t>nce we accounted for students’ socio</w:t>
      </w:r>
      <w:r w:rsidR="00115985">
        <w:rPr>
          <w:rFonts w:eastAsia="Segoe UI" w:cs="Segoe UI"/>
        </w:rPr>
        <w:t>-e</w:t>
      </w:r>
      <w:r w:rsidR="535F27C7" w:rsidRPr="15380E17">
        <w:rPr>
          <w:rFonts w:eastAsia="Segoe UI" w:cs="Segoe UI"/>
        </w:rPr>
        <w:t>conomic background, students in DSS schools actually performed worse in all three assessed subjects.”</w:t>
      </w:r>
      <w:r w:rsidR="535F27C7" w:rsidRPr="15380E17">
        <w:rPr>
          <w:rStyle w:val="FootnoteReference"/>
          <w:rFonts w:eastAsia="Segoe UI" w:cs="Segoe UI"/>
        </w:rPr>
        <w:footnoteReference w:id="59"/>
      </w:r>
      <w:r w:rsidR="535F27C7" w:rsidRPr="15380E17">
        <w:rPr>
          <w:rFonts w:eastAsia="Segoe UI" w:cs="Segoe UI"/>
        </w:rPr>
        <w:t xml:space="preserve"> This suggests that DSS schools</w:t>
      </w:r>
      <w:r w:rsidR="00B055A2" w:rsidRPr="15380E17">
        <w:rPr>
          <w:rFonts w:eastAsia="Segoe UI" w:cs="Segoe UI"/>
        </w:rPr>
        <w:t xml:space="preserve"> not only do not contribute to </w:t>
      </w:r>
      <w:r w:rsidR="00C7197D" w:rsidRPr="15380E17">
        <w:rPr>
          <w:rFonts w:eastAsia="Segoe UI" w:cs="Segoe UI"/>
        </w:rPr>
        <w:t xml:space="preserve">Hong Kong’s otherwise strong </w:t>
      </w:r>
      <w:r w:rsidR="00323E61" w:rsidRPr="15380E17">
        <w:rPr>
          <w:rFonts w:eastAsia="Segoe UI" w:cs="Segoe UI"/>
        </w:rPr>
        <w:t xml:space="preserve">performance </w:t>
      </w:r>
      <w:r w:rsidR="00D92A99" w:rsidRPr="15380E17">
        <w:rPr>
          <w:rFonts w:eastAsia="Segoe UI" w:cs="Segoe UI"/>
        </w:rPr>
        <w:t>in PISA</w:t>
      </w:r>
      <w:r w:rsidR="005227FA" w:rsidRPr="15380E17">
        <w:rPr>
          <w:rFonts w:eastAsia="Segoe UI" w:cs="Segoe UI"/>
        </w:rPr>
        <w:t xml:space="preserve"> and other international standard</w:t>
      </w:r>
      <w:r w:rsidR="00B174E6">
        <w:rPr>
          <w:rFonts w:eastAsia="Segoe UI" w:cs="Segoe UI"/>
        </w:rPr>
        <w:t>is</w:t>
      </w:r>
      <w:r w:rsidR="005227FA" w:rsidRPr="15380E17">
        <w:rPr>
          <w:rFonts w:eastAsia="Segoe UI" w:cs="Segoe UI"/>
        </w:rPr>
        <w:t>ed tests</w:t>
      </w:r>
      <w:r w:rsidR="00D92A99" w:rsidRPr="15380E17">
        <w:rPr>
          <w:rFonts w:eastAsia="Segoe UI" w:cs="Segoe UI"/>
        </w:rPr>
        <w:t xml:space="preserve">, they </w:t>
      </w:r>
      <w:r w:rsidR="00F45673">
        <w:rPr>
          <w:rFonts w:eastAsia="Segoe UI" w:cs="Segoe UI"/>
        </w:rPr>
        <w:t xml:space="preserve">actually </w:t>
      </w:r>
      <w:r w:rsidR="00D92A99" w:rsidRPr="15380E17">
        <w:rPr>
          <w:rFonts w:eastAsia="Segoe UI" w:cs="Segoe UI"/>
        </w:rPr>
        <w:t xml:space="preserve">detract from it. </w:t>
      </w:r>
    </w:p>
    <w:p w14:paraId="21841B5D" w14:textId="01C7D724" w:rsidR="00EC6686" w:rsidRPr="008C1D8C" w:rsidRDefault="00EC6686" w:rsidP="39140669">
      <w:pPr>
        <w:rPr>
          <w:rFonts w:eastAsia="Segoe UI" w:cs="Segoe UI"/>
          <w:color w:val="434343"/>
        </w:rPr>
      </w:pPr>
      <w:r w:rsidRPr="39140669">
        <w:rPr>
          <w:rFonts w:eastAsia="Segoe UI" w:cs="Segoe UI"/>
        </w:rPr>
        <w:t xml:space="preserve">Given that </w:t>
      </w:r>
      <w:r w:rsidR="00956EBE" w:rsidRPr="00956EBE">
        <w:rPr>
          <w:rFonts w:eastAsia="Segoe UI" w:cs="Segoe UI"/>
        </w:rPr>
        <w:t>available evidence indicates that</w:t>
      </w:r>
      <w:r w:rsidRPr="39140669">
        <w:rPr>
          <w:rFonts w:eastAsia="Segoe UI" w:cs="Segoe UI"/>
        </w:rPr>
        <w:t xml:space="preserve"> students from disadvantaged backgrounds </w:t>
      </w:r>
      <w:r w:rsidR="00956EBE" w:rsidRPr="00956EBE">
        <w:rPr>
          <w:rFonts w:eastAsia="Segoe UI" w:cs="Segoe UI"/>
        </w:rPr>
        <w:t>are significantly under-represented in DSS schools</w:t>
      </w:r>
      <w:r w:rsidR="00A41947">
        <w:rPr>
          <w:rFonts w:eastAsia="Segoe UI" w:cs="Segoe UI"/>
        </w:rPr>
        <w:t>,</w:t>
      </w:r>
      <w:r w:rsidR="00404270" w:rsidRPr="39140669">
        <w:rPr>
          <w:rFonts w:eastAsia="Segoe UI" w:cs="Segoe UI"/>
        </w:rPr>
        <w:t xml:space="preserve"> it is difficult to</w:t>
      </w:r>
      <w:r w:rsidR="00DB6EC7" w:rsidRPr="39140669">
        <w:rPr>
          <w:rFonts w:eastAsia="Segoe UI" w:cs="Segoe UI"/>
        </w:rPr>
        <w:t xml:space="preserve"> attribute the inclusion of ‘scholarship students’ in the school as being the reason for this lacklustre academic performance. </w:t>
      </w:r>
    </w:p>
    <w:p w14:paraId="248E1EC5" w14:textId="4784EC13" w:rsidR="00487FD9" w:rsidRPr="0086054F" w:rsidRDefault="535F27C7" w:rsidP="008A4C88">
      <w:pPr>
        <w:pStyle w:val="Heading3"/>
        <w:rPr>
          <w:rFonts w:eastAsia="Segoe UI"/>
        </w:rPr>
      </w:pPr>
      <w:r w:rsidRPr="0086054F">
        <w:rPr>
          <w:rFonts w:eastAsia="Segoe UI"/>
        </w:rPr>
        <w:lastRenderedPageBreak/>
        <w:t>Evidence base</w:t>
      </w:r>
    </w:p>
    <w:p w14:paraId="0DCE8CA5" w14:textId="77777777" w:rsidR="00503E34" w:rsidRDefault="535F27C7" w:rsidP="0010372E">
      <w:pPr>
        <w:rPr>
          <w:rStyle w:val="Heading5Char"/>
          <w:rFonts w:eastAsiaTheme="minorHAnsi"/>
          <w:b w:val="0"/>
          <w:bCs/>
        </w:rPr>
      </w:pPr>
      <w:r w:rsidRPr="00CC79AB">
        <w:rPr>
          <w:rStyle w:val="Heading5Char"/>
          <w:rFonts w:eastAsiaTheme="minorHAnsi"/>
          <w:b w:val="0"/>
          <w:bCs/>
        </w:rPr>
        <w:t xml:space="preserve">Evidence cited here is mostly based on </w:t>
      </w:r>
      <w:r w:rsidR="00C32088" w:rsidRPr="00CC79AB">
        <w:rPr>
          <w:rStyle w:val="Heading5Char"/>
          <w:rFonts w:eastAsiaTheme="minorHAnsi"/>
          <w:b w:val="0"/>
          <w:bCs/>
        </w:rPr>
        <w:t>different OECD</w:t>
      </w:r>
      <w:r w:rsidRPr="00CC79AB">
        <w:rPr>
          <w:rStyle w:val="Heading5Char"/>
          <w:rFonts w:eastAsiaTheme="minorHAnsi"/>
          <w:b w:val="0"/>
          <w:bCs/>
        </w:rPr>
        <w:t xml:space="preserve"> data and system level data</w:t>
      </w:r>
      <w:r w:rsidR="000A6F3C" w:rsidRPr="00CC79AB">
        <w:rPr>
          <w:rStyle w:val="Heading5Char"/>
          <w:rFonts w:eastAsiaTheme="minorHAnsi"/>
          <w:b w:val="0"/>
          <w:bCs/>
        </w:rPr>
        <w:t>, which is stronger than relying on PISA data alone</w:t>
      </w:r>
      <w:r w:rsidRPr="00CC79AB">
        <w:rPr>
          <w:rStyle w:val="Heading5Char"/>
          <w:rFonts w:eastAsiaTheme="minorHAnsi"/>
          <w:b w:val="0"/>
          <w:bCs/>
        </w:rPr>
        <w:t>.</w:t>
      </w:r>
    </w:p>
    <w:p w14:paraId="360EAAAB" w14:textId="721F8471" w:rsidR="007F4F22" w:rsidRDefault="00D91626" w:rsidP="0010372E">
      <w:r>
        <w:t>Note that c</w:t>
      </w:r>
      <w:r w:rsidR="623E0B61" w:rsidRPr="0086054F">
        <w:t xml:space="preserve">omparisons between New Zealand and Australia may need to adjust for the large proportion of New Zealand students </w:t>
      </w:r>
      <w:r w:rsidR="0034727A">
        <w:t xml:space="preserve">with </w:t>
      </w:r>
      <w:r w:rsidR="623E0B61" w:rsidRPr="0086054F">
        <w:t xml:space="preserve">backgrounds </w:t>
      </w:r>
      <w:r w:rsidR="007F4F22">
        <w:t xml:space="preserve">that typically correspond with </w:t>
      </w:r>
      <w:r w:rsidR="623E0B61" w:rsidRPr="0086054F">
        <w:t>lower educational outcomes associated with experiences of colonisation (25</w:t>
      </w:r>
      <w:r w:rsidR="007B2FBC" w:rsidRPr="007B2FBC">
        <w:rPr>
          <w:rFonts w:asciiTheme="minorHAnsi" w:eastAsia="Segoe UI" w:hAnsiTheme="minorHAnsi" w:cstheme="minorHAnsi"/>
        </w:rPr>
        <w:t xml:space="preserve"> </w:t>
      </w:r>
      <w:r w:rsidR="007B2FBC">
        <w:rPr>
          <w:rFonts w:asciiTheme="minorHAnsi" w:eastAsia="Segoe UI" w:hAnsiTheme="minorHAnsi" w:cstheme="minorHAnsi"/>
        </w:rPr>
        <w:t>per cent</w:t>
      </w:r>
      <w:r w:rsidR="623E0B61" w:rsidRPr="0086054F">
        <w:t xml:space="preserve"> Māori; </w:t>
      </w:r>
      <w:r w:rsidR="007B2FBC">
        <w:t>ten</w:t>
      </w:r>
      <w:r w:rsidR="007B2FBC" w:rsidRPr="007B2FBC">
        <w:rPr>
          <w:rFonts w:asciiTheme="minorHAnsi" w:eastAsia="Segoe UI" w:hAnsiTheme="minorHAnsi" w:cstheme="minorHAnsi"/>
        </w:rPr>
        <w:t xml:space="preserve"> </w:t>
      </w:r>
      <w:r w:rsidR="007B2FBC">
        <w:rPr>
          <w:rFonts w:asciiTheme="minorHAnsi" w:eastAsia="Segoe UI" w:hAnsiTheme="minorHAnsi" w:cstheme="minorHAnsi"/>
        </w:rPr>
        <w:t>per cent</w:t>
      </w:r>
      <w:r w:rsidR="623E0B61" w:rsidRPr="0086054F">
        <w:t xml:space="preserve"> Pacific Islander).</w:t>
      </w:r>
      <w:r w:rsidR="000E7E00">
        <w:t xml:space="preserve"> This is further discussed as part of </w:t>
      </w:r>
      <w:r w:rsidR="00004AEF">
        <w:t>s</w:t>
      </w:r>
      <w:r w:rsidR="000E7E00">
        <w:t xml:space="preserve">ection </w:t>
      </w:r>
      <w:r w:rsidR="000E7E00">
        <w:fldChar w:fldCharType="begin"/>
      </w:r>
      <w:r w:rsidR="000E7E00">
        <w:instrText xml:space="preserve"> REF _Ref148951370 \w \h </w:instrText>
      </w:r>
      <w:r w:rsidR="000E7E00">
        <w:fldChar w:fldCharType="separate"/>
      </w:r>
      <w:r w:rsidR="009B7086">
        <w:t>4.4</w:t>
      </w:r>
      <w:r w:rsidR="000E7E00">
        <w:fldChar w:fldCharType="end"/>
      </w:r>
      <w:r w:rsidR="000E7E00">
        <w:t xml:space="preserve">, </w:t>
      </w:r>
      <w:r w:rsidR="000E7E00">
        <w:fldChar w:fldCharType="begin"/>
      </w:r>
      <w:r w:rsidR="000E7E00">
        <w:instrText xml:space="preserve"> REF _Ref148951362 \h </w:instrText>
      </w:r>
      <w:r w:rsidR="000E7E00">
        <w:fldChar w:fldCharType="separate"/>
      </w:r>
      <w:r w:rsidR="009B7086">
        <w:t>International lessons transcend differences in politics, culture and geography</w:t>
      </w:r>
      <w:r w:rsidR="000E7E00">
        <w:fldChar w:fldCharType="end"/>
      </w:r>
      <w:r w:rsidR="000E7E00">
        <w:t>.</w:t>
      </w:r>
    </w:p>
    <w:p w14:paraId="7F1005CC" w14:textId="0465EE4A" w:rsidR="00487FD9" w:rsidRPr="00301A6F" w:rsidRDefault="001E6A55" w:rsidP="00E07876">
      <w:pPr>
        <w:pStyle w:val="Heading3"/>
      </w:pPr>
      <w:r>
        <w:t xml:space="preserve">Transferability </w:t>
      </w:r>
    </w:p>
    <w:p w14:paraId="0678E449" w14:textId="18E60365" w:rsidR="0097316E" w:rsidRPr="0086054F" w:rsidRDefault="0097316E" w:rsidP="0097316E">
      <w:pPr>
        <w:rPr>
          <w:lang w:eastAsia="en-AU"/>
        </w:rPr>
      </w:pPr>
      <w:r>
        <w:rPr>
          <w:noProof/>
        </w:rPr>
        <w:drawing>
          <wp:inline distT="0" distB="0" distL="0" distR="0" wp14:anchorId="4B1D00DF" wp14:editId="3ABB04D9">
            <wp:extent cx="5670550" cy="1674486"/>
            <wp:effectExtent l="0" t="0" r="6350" b="2540"/>
            <wp:docPr id="716302259" name="Picture 716302259" descr="Lists the dimensions of transferability to the Australian context, with a low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02259" name="Picture 716302259" descr="Lists the dimensions of transferability to the Australian context, with a low level of transferability to Australia. "/>
                    <pic:cNvPicPr/>
                  </pic:nvPicPr>
                  <pic:blipFill>
                    <a:blip r:embed="rId26">
                      <a:extLst>
                        <a:ext uri="{28A0092B-C50C-407E-A947-70E740481C1C}">
                          <a14:useLocalDpi xmlns:a14="http://schemas.microsoft.com/office/drawing/2010/main" val="0"/>
                        </a:ext>
                      </a:extLst>
                    </a:blip>
                    <a:stretch>
                      <a:fillRect/>
                    </a:stretch>
                  </pic:blipFill>
                  <pic:spPr>
                    <a:xfrm>
                      <a:off x="0" y="0"/>
                      <a:ext cx="5670550" cy="1674486"/>
                    </a:xfrm>
                    <a:prstGeom prst="rect">
                      <a:avLst/>
                    </a:prstGeom>
                  </pic:spPr>
                </pic:pic>
              </a:graphicData>
            </a:graphic>
          </wp:inline>
        </w:drawing>
      </w:r>
    </w:p>
    <w:p w14:paraId="1F9B4C36" w14:textId="04746DA4" w:rsidR="0042278A" w:rsidRDefault="0042278A" w:rsidP="00335355">
      <w:pPr>
        <w:rPr>
          <w:lang w:eastAsia="en-AU"/>
        </w:rPr>
      </w:pPr>
      <w:r>
        <w:rPr>
          <w:lang w:eastAsia="en-AU"/>
        </w:rPr>
        <w:t xml:space="preserve">The New Zealand model for SIS is not without its critics, and the issues they highlight offer lessons for </w:t>
      </w:r>
      <w:r w:rsidR="008A407C">
        <w:rPr>
          <w:lang w:eastAsia="en-AU"/>
        </w:rPr>
        <w:t xml:space="preserve">the potential transferability of this intervention into the Australian context. </w:t>
      </w:r>
      <w:r w:rsidR="007F78BE">
        <w:rPr>
          <w:lang w:eastAsia="en-AU"/>
        </w:rPr>
        <w:t xml:space="preserve">Key </w:t>
      </w:r>
      <w:r w:rsidR="00CF3E4E">
        <w:rPr>
          <w:lang w:eastAsia="en-AU"/>
        </w:rPr>
        <w:t>areas of concern are that:</w:t>
      </w:r>
    </w:p>
    <w:p w14:paraId="6EA560A1" w14:textId="61CB2D57" w:rsidR="00CF3E4E" w:rsidRPr="00CF3E4E" w:rsidRDefault="000F2733" w:rsidP="00E45BFE">
      <w:pPr>
        <w:pStyle w:val="Listnumbered"/>
        <w:numPr>
          <w:ilvl w:val="0"/>
          <w:numId w:val="21"/>
        </w:numPr>
      </w:pPr>
      <w:r>
        <w:rPr>
          <w:rFonts w:eastAsia="Segoe UI"/>
        </w:rPr>
        <w:t>O</w:t>
      </w:r>
      <w:r w:rsidR="008A407C" w:rsidRPr="0086054F">
        <w:rPr>
          <w:rFonts w:eastAsia="Segoe UI"/>
        </w:rPr>
        <w:t>n occasions</w:t>
      </w:r>
      <w:r w:rsidR="002B01DC">
        <w:rPr>
          <w:rFonts w:eastAsia="Segoe UI"/>
        </w:rPr>
        <w:t>,</w:t>
      </w:r>
      <w:r w:rsidR="008A407C" w:rsidRPr="0086054F">
        <w:rPr>
          <w:rFonts w:eastAsia="Segoe UI"/>
        </w:rPr>
        <w:t xml:space="preserve"> attendance dues are approved at levels that appear unreasonably high</w:t>
      </w:r>
      <w:r w:rsidR="002B01DC">
        <w:rPr>
          <w:rFonts w:eastAsia="Segoe UI"/>
        </w:rPr>
        <w:t>.</w:t>
      </w:r>
    </w:p>
    <w:p w14:paraId="013F75D8" w14:textId="12A512B4" w:rsidR="00CF3E4E" w:rsidRPr="00CF3E4E" w:rsidRDefault="000F2733" w:rsidP="00E45BFE">
      <w:pPr>
        <w:pStyle w:val="Listnumbered"/>
        <w:numPr>
          <w:ilvl w:val="0"/>
          <w:numId w:val="21"/>
        </w:numPr>
      </w:pPr>
      <w:r>
        <w:rPr>
          <w:rFonts w:eastAsia="Segoe UI"/>
        </w:rPr>
        <w:t>V</w:t>
      </w:r>
      <w:r w:rsidR="008A407C" w:rsidRPr="0086054F">
        <w:rPr>
          <w:rFonts w:eastAsia="Segoe UI"/>
        </w:rPr>
        <w:t>oluntary donations can be very substantial and introduce inequity into the school system</w:t>
      </w:r>
      <w:r w:rsidR="002B01DC">
        <w:rPr>
          <w:rFonts w:eastAsia="Segoe UI"/>
        </w:rPr>
        <w:t>.</w:t>
      </w:r>
    </w:p>
    <w:p w14:paraId="1816F055" w14:textId="562D79F8" w:rsidR="008A407C" w:rsidRDefault="000F2733" w:rsidP="00E45BFE">
      <w:pPr>
        <w:pStyle w:val="Listnumbered"/>
        <w:numPr>
          <w:ilvl w:val="0"/>
          <w:numId w:val="21"/>
        </w:numPr>
      </w:pPr>
      <w:r>
        <w:rPr>
          <w:rFonts w:eastAsia="Segoe UI"/>
        </w:rPr>
        <w:t>W</w:t>
      </w:r>
      <w:r w:rsidR="008A407C" w:rsidRPr="0086054F">
        <w:rPr>
          <w:rFonts w:eastAsia="Segoe UI"/>
        </w:rPr>
        <w:t xml:space="preserve">here the special character of a school is ill-defined, the maximum roll requirements can </w:t>
      </w:r>
      <w:r w:rsidR="008A407C" w:rsidRPr="008C1D8C">
        <w:rPr>
          <w:rFonts w:eastAsia="Segoe UI"/>
        </w:rPr>
        <w:t>become meaningless</w:t>
      </w:r>
      <w:r w:rsidR="0005476F" w:rsidRPr="008C1D8C">
        <w:rPr>
          <w:rFonts w:eastAsia="Segoe UI"/>
        </w:rPr>
        <w:t>,</w:t>
      </w:r>
      <w:r w:rsidR="008A407C" w:rsidRPr="008C1D8C">
        <w:rPr>
          <w:rFonts w:eastAsia="Segoe UI"/>
        </w:rPr>
        <w:t xml:space="preserve"> and </w:t>
      </w:r>
      <w:r w:rsidR="008A407C">
        <w:t>SIS</w:t>
      </w:r>
      <w:r w:rsidR="008A407C" w:rsidRPr="008C1D8C">
        <w:rPr>
          <w:rFonts w:eastAsia="Segoe UI"/>
        </w:rPr>
        <w:t xml:space="preserve"> become de facto selective schools.</w:t>
      </w:r>
      <w:r w:rsidR="008A407C" w:rsidRPr="008C1D8C">
        <w:rPr>
          <w:rStyle w:val="FootnoteReference"/>
          <w:rFonts w:eastAsia="Segoe UI" w:cs="Segoe UI"/>
        </w:rPr>
        <w:footnoteReference w:id="60"/>
      </w:r>
    </w:p>
    <w:p w14:paraId="6CBF0DBD" w14:textId="72C8BF27" w:rsidR="00035F49" w:rsidRDefault="0056029D" w:rsidP="00335355">
      <w:pPr>
        <w:rPr>
          <w:lang w:eastAsia="en-AU"/>
        </w:rPr>
      </w:pPr>
      <w:r>
        <w:rPr>
          <w:lang w:eastAsia="en-AU"/>
        </w:rPr>
        <w:t xml:space="preserve">Notwithstanding these </w:t>
      </w:r>
      <w:r w:rsidR="00E70DE7">
        <w:rPr>
          <w:lang w:eastAsia="en-AU"/>
        </w:rPr>
        <w:t>risks to effective design and implementation, f</w:t>
      </w:r>
      <w:r w:rsidR="00335355" w:rsidRPr="0086054F">
        <w:rPr>
          <w:lang w:eastAsia="en-AU"/>
        </w:rPr>
        <w:t xml:space="preserve">ee capping </w:t>
      </w:r>
      <w:r w:rsidR="00E70DE7">
        <w:rPr>
          <w:lang w:eastAsia="en-AU"/>
        </w:rPr>
        <w:t>– either</w:t>
      </w:r>
      <w:r w:rsidR="00335355" w:rsidRPr="0086054F">
        <w:rPr>
          <w:lang w:eastAsia="en-AU"/>
        </w:rPr>
        <w:t xml:space="preserve"> through regulation </w:t>
      </w:r>
      <w:r w:rsidR="007F4F22">
        <w:rPr>
          <w:lang w:eastAsia="en-AU"/>
        </w:rPr>
        <w:t>or</w:t>
      </w:r>
      <w:r w:rsidR="00335355" w:rsidRPr="0086054F">
        <w:rPr>
          <w:lang w:eastAsia="en-AU"/>
        </w:rPr>
        <w:t xml:space="preserve"> funding agreements </w:t>
      </w:r>
      <w:r w:rsidR="00E70DE7">
        <w:rPr>
          <w:lang w:eastAsia="en-AU"/>
        </w:rPr>
        <w:t xml:space="preserve">— </w:t>
      </w:r>
      <w:r w:rsidR="17170B25" w:rsidRPr="14610614">
        <w:rPr>
          <w:lang w:eastAsia="en-AU"/>
        </w:rPr>
        <w:t xml:space="preserve">can be a powerful </w:t>
      </w:r>
      <w:r w:rsidR="00E70DE7">
        <w:rPr>
          <w:lang w:eastAsia="en-AU"/>
        </w:rPr>
        <w:t>intervention</w:t>
      </w:r>
      <w:r w:rsidR="17170B25" w:rsidRPr="14610614">
        <w:rPr>
          <w:lang w:eastAsia="en-AU"/>
        </w:rPr>
        <w:t xml:space="preserve"> to increase socio-economic diversity</w:t>
      </w:r>
      <w:r w:rsidR="00E70DE7">
        <w:rPr>
          <w:lang w:eastAsia="en-AU"/>
        </w:rPr>
        <w:t xml:space="preserve"> within schools</w:t>
      </w:r>
      <w:r w:rsidR="17170B25" w:rsidRPr="14610614">
        <w:rPr>
          <w:lang w:eastAsia="en-AU"/>
        </w:rPr>
        <w:t xml:space="preserve">. </w:t>
      </w:r>
      <w:r w:rsidR="00E70DE7">
        <w:rPr>
          <w:lang w:eastAsia="en-AU"/>
        </w:rPr>
        <w:t>Moreover, g</w:t>
      </w:r>
      <w:r w:rsidR="17170B25" w:rsidRPr="14610614">
        <w:rPr>
          <w:lang w:eastAsia="en-AU"/>
        </w:rPr>
        <w:t xml:space="preserve">iven the </w:t>
      </w:r>
      <w:r w:rsidR="17170B25" w:rsidRPr="2913F782">
        <w:rPr>
          <w:lang w:eastAsia="en-AU"/>
        </w:rPr>
        <w:t>cultural</w:t>
      </w:r>
      <w:r w:rsidR="17170B25" w:rsidRPr="14610614">
        <w:rPr>
          <w:lang w:eastAsia="en-AU"/>
        </w:rPr>
        <w:t xml:space="preserve"> and historical similarities between Australia and New </w:t>
      </w:r>
      <w:r w:rsidR="17170B25" w:rsidRPr="75E975F7">
        <w:rPr>
          <w:lang w:eastAsia="en-AU"/>
        </w:rPr>
        <w:t>Zealand, it</w:t>
      </w:r>
      <w:r w:rsidR="00335355" w:rsidRPr="14610614">
        <w:rPr>
          <w:lang w:eastAsia="en-AU"/>
        </w:rPr>
        <w:t xml:space="preserve"> is </w:t>
      </w:r>
      <w:r w:rsidR="17170B25" w:rsidRPr="75E975F7">
        <w:rPr>
          <w:lang w:eastAsia="en-AU"/>
        </w:rPr>
        <w:t xml:space="preserve">significant that New Zealand’s </w:t>
      </w:r>
      <w:r w:rsidR="3E6D160A" w:rsidRPr="680F83BC">
        <w:rPr>
          <w:lang w:eastAsia="en-AU"/>
        </w:rPr>
        <w:t>Catholic system</w:t>
      </w:r>
      <w:r w:rsidR="3E6D160A" w:rsidRPr="33516C98">
        <w:rPr>
          <w:lang w:eastAsia="en-AU"/>
        </w:rPr>
        <w:t xml:space="preserve"> </w:t>
      </w:r>
      <w:r w:rsidR="00E70DE7">
        <w:rPr>
          <w:lang w:eastAsia="en-AU"/>
        </w:rPr>
        <w:t xml:space="preserve">has successfully been incorporated into </w:t>
      </w:r>
      <w:r w:rsidR="008E06B1">
        <w:rPr>
          <w:lang w:eastAsia="en-AU"/>
        </w:rPr>
        <w:t>a fully</w:t>
      </w:r>
      <w:r w:rsidR="009E3488">
        <w:rPr>
          <w:lang w:eastAsia="en-AU"/>
        </w:rPr>
        <w:t xml:space="preserve"> </w:t>
      </w:r>
      <w:r w:rsidR="008E06B1">
        <w:rPr>
          <w:lang w:eastAsia="en-AU"/>
        </w:rPr>
        <w:t>funded and essentially free public system and that, as a result, it is serving</w:t>
      </w:r>
      <w:r w:rsidR="3E6D160A" w:rsidRPr="3C8CE632">
        <w:rPr>
          <w:lang w:eastAsia="en-AU"/>
        </w:rPr>
        <w:t xml:space="preserve"> more disadvantage</w:t>
      </w:r>
      <w:r w:rsidR="008E06B1">
        <w:rPr>
          <w:lang w:eastAsia="en-AU"/>
        </w:rPr>
        <w:t>d</w:t>
      </w:r>
      <w:r w:rsidR="3E6D160A" w:rsidRPr="3C8CE632">
        <w:rPr>
          <w:lang w:eastAsia="en-AU"/>
        </w:rPr>
        <w:t xml:space="preserve"> students than </w:t>
      </w:r>
      <w:r w:rsidR="008E06B1">
        <w:rPr>
          <w:lang w:eastAsia="en-AU"/>
        </w:rPr>
        <w:t xml:space="preserve">in </w:t>
      </w:r>
      <w:r w:rsidR="3E6D160A" w:rsidRPr="7EDF3CCE">
        <w:rPr>
          <w:lang w:eastAsia="en-AU"/>
        </w:rPr>
        <w:t xml:space="preserve">Australia. </w:t>
      </w:r>
    </w:p>
    <w:p w14:paraId="60A98638" w14:textId="37F64311" w:rsidR="00AF0329" w:rsidRDefault="514E42FA" w:rsidP="00335355">
      <w:pPr>
        <w:rPr>
          <w:lang w:eastAsia="en-AU"/>
        </w:rPr>
      </w:pPr>
      <w:r w:rsidRPr="0DE90008">
        <w:rPr>
          <w:lang w:eastAsia="en-AU"/>
        </w:rPr>
        <w:t>Fee regulation</w:t>
      </w:r>
      <w:r w:rsidR="00335355" w:rsidRPr="75E975F7">
        <w:rPr>
          <w:lang w:eastAsia="en-AU"/>
        </w:rPr>
        <w:t xml:space="preserve"> is </w:t>
      </w:r>
      <w:r w:rsidR="00335355" w:rsidRPr="0086054F">
        <w:rPr>
          <w:lang w:eastAsia="en-AU"/>
        </w:rPr>
        <w:t>highly scalable</w:t>
      </w:r>
      <w:r w:rsidR="00546969">
        <w:rPr>
          <w:lang w:eastAsia="en-AU"/>
        </w:rPr>
        <w:t>, but it will have less relevance to</w:t>
      </w:r>
      <w:r w:rsidR="5FB42308" w:rsidRPr="14AEDE86">
        <w:rPr>
          <w:lang w:eastAsia="en-AU"/>
        </w:rPr>
        <w:t xml:space="preserve"> remote locations</w:t>
      </w:r>
      <w:r w:rsidR="00546969">
        <w:rPr>
          <w:lang w:eastAsia="en-AU"/>
        </w:rPr>
        <w:t xml:space="preserve"> where there are no fee-charging </w:t>
      </w:r>
      <w:r w:rsidR="00335355" w:rsidRPr="0086054F">
        <w:rPr>
          <w:lang w:eastAsia="en-AU"/>
        </w:rPr>
        <w:t>non-government schools</w:t>
      </w:r>
      <w:r w:rsidR="5FB42308" w:rsidRPr="47951868">
        <w:rPr>
          <w:lang w:eastAsia="en-AU"/>
        </w:rPr>
        <w:t>.</w:t>
      </w:r>
      <w:r w:rsidR="5FB42308" w:rsidRPr="14AEDE86">
        <w:rPr>
          <w:lang w:eastAsia="en-AU"/>
        </w:rPr>
        <w:t xml:space="preserve"> </w:t>
      </w:r>
      <w:r w:rsidR="00546969">
        <w:rPr>
          <w:lang w:eastAsia="en-AU"/>
        </w:rPr>
        <w:t>In terms of its broader reception</w:t>
      </w:r>
      <w:r w:rsidR="002A7E08">
        <w:rPr>
          <w:lang w:eastAsia="en-AU"/>
        </w:rPr>
        <w:t xml:space="preserve"> in Australia, it does mark a significant departure and would be resisted by </w:t>
      </w:r>
      <w:r w:rsidR="00CD500A">
        <w:rPr>
          <w:lang w:eastAsia="en-AU"/>
        </w:rPr>
        <w:t>non-government school authorities. However, parents would likely welcome it</w:t>
      </w:r>
      <w:r w:rsidR="00AF0329">
        <w:rPr>
          <w:lang w:eastAsia="en-AU"/>
        </w:rPr>
        <w:t xml:space="preserve"> and adverse reactions could potentially be countered through gradual implementation, including along the lines of Hong Kong’s sliding scale approach. </w:t>
      </w:r>
    </w:p>
    <w:p w14:paraId="42448B93" w14:textId="5A805696" w:rsidR="00335355" w:rsidRPr="0086054F" w:rsidRDefault="00335355" w:rsidP="00335355">
      <w:pPr>
        <w:rPr>
          <w:lang w:eastAsia="en-AU"/>
        </w:rPr>
      </w:pPr>
      <w:r w:rsidRPr="0086054F">
        <w:rPr>
          <w:lang w:eastAsia="en-AU"/>
        </w:rPr>
        <w:t xml:space="preserve">Fee regulation would require legislative change and additional funding to </w:t>
      </w:r>
      <w:r w:rsidR="00CC74BD">
        <w:rPr>
          <w:lang w:eastAsia="en-AU"/>
        </w:rPr>
        <w:t xml:space="preserve">schools that </w:t>
      </w:r>
      <w:r w:rsidR="00185A07">
        <w:rPr>
          <w:lang w:eastAsia="en-AU"/>
        </w:rPr>
        <w:t>opt i</w:t>
      </w:r>
      <w:r w:rsidR="00C56152">
        <w:rPr>
          <w:lang w:eastAsia="en-AU"/>
        </w:rPr>
        <w:t xml:space="preserve">n, </w:t>
      </w:r>
      <w:r w:rsidR="00F6123F">
        <w:rPr>
          <w:lang w:eastAsia="en-AU"/>
        </w:rPr>
        <w:t xml:space="preserve">to </w:t>
      </w:r>
      <w:r w:rsidR="000E4D50">
        <w:rPr>
          <w:lang w:eastAsia="en-AU"/>
        </w:rPr>
        <w:t>provide their full entitlements under the S</w:t>
      </w:r>
      <w:r w:rsidR="000704CC">
        <w:rPr>
          <w:lang w:eastAsia="en-AU"/>
        </w:rPr>
        <w:t>chool Resourcing Standar</w:t>
      </w:r>
      <w:r w:rsidR="000E4D50">
        <w:rPr>
          <w:lang w:eastAsia="en-AU"/>
        </w:rPr>
        <w:t>d</w:t>
      </w:r>
      <w:r w:rsidR="00414A79">
        <w:rPr>
          <w:lang w:eastAsia="en-AU"/>
        </w:rPr>
        <w:t xml:space="preserve"> (</w:t>
      </w:r>
      <w:r w:rsidR="00E01884">
        <w:rPr>
          <w:lang w:eastAsia="en-AU"/>
        </w:rPr>
        <w:t>SRS</w:t>
      </w:r>
      <w:r w:rsidR="00414A79">
        <w:rPr>
          <w:lang w:eastAsia="en-AU"/>
        </w:rPr>
        <w:t>)</w:t>
      </w:r>
      <w:r w:rsidR="000E4D50">
        <w:rPr>
          <w:lang w:eastAsia="en-AU"/>
        </w:rPr>
        <w:t>.</w:t>
      </w:r>
      <w:r w:rsidRPr="0086054F">
        <w:rPr>
          <w:lang w:eastAsia="en-AU"/>
        </w:rPr>
        <w:t> </w:t>
      </w:r>
    </w:p>
    <w:p w14:paraId="2753AF91" w14:textId="2B5183EB" w:rsidR="002D7864" w:rsidRDefault="002D7864">
      <w:pPr>
        <w:spacing w:after="160"/>
        <w:rPr>
          <w:lang w:eastAsia="en-AU"/>
        </w:rPr>
      </w:pPr>
      <w:r>
        <w:rPr>
          <w:lang w:eastAsia="en-AU"/>
        </w:rPr>
        <w:br w:type="page"/>
      </w:r>
    </w:p>
    <w:tbl>
      <w:tblPr>
        <w:tblStyle w:val="TableGrid"/>
        <w:tblW w:w="5000" w:type="pct"/>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C97DF4" w14:paraId="42CD750D" w14:textId="77777777" w:rsidTr="009C4147">
        <w:tc>
          <w:tcPr>
            <w:tcW w:w="5000" w:type="pct"/>
            <w:tcBorders>
              <w:top w:val="single" w:sz="24" w:space="0" w:color="25B3E0" w:themeColor="accent6"/>
              <w:left w:val="nil"/>
              <w:bottom w:val="nil"/>
              <w:right w:val="nil"/>
            </w:tcBorders>
            <w:shd w:val="clear" w:color="auto" w:fill="E6E6E1" w:themeFill="accent5"/>
            <w:vAlign w:val="center"/>
          </w:tcPr>
          <w:p w14:paraId="310909E5" w14:textId="29294C06" w:rsidR="00C97DF4" w:rsidRDefault="00C97DF4" w:rsidP="0027134D">
            <w:pPr>
              <w:pStyle w:val="Heading2"/>
              <w:spacing w:before="120" w:after="120" w:line="240" w:lineRule="auto"/>
              <w:ind w:left="578" w:hanging="578"/>
            </w:pPr>
            <w:bookmarkStart w:id="17" w:name="_Ref146904802"/>
            <w:bookmarkStart w:id="18" w:name="_Toc149052452"/>
            <w:r>
              <w:lastRenderedPageBreak/>
              <w:t xml:space="preserve">Reducing academic </w:t>
            </w:r>
            <w:r w:rsidRPr="005331E4">
              <w:t>selectivity and tracking</w:t>
            </w:r>
            <w:r>
              <w:t xml:space="preserve"> by schools</w:t>
            </w:r>
            <w:bookmarkEnd w:id="17"/>
            <w:bookmarkEnd w:id="18"/>
          </w:p>
        </w:tc>
      </w:tr>
      <w:tr w:rsidR="00C97DF4" w14:paraId="0F3D21D5" w14:textId="77777777" w:rsidTr="009C4147">
        <w:tc>
          <w:tcPr>
            <w:tcW w:w="5000" w:type="pct"/>
            <w:tcBorders>
              <w:top w:val="nil"/>
              <w:left w:val="nil"/>
              <w:bottom w:val="single" w:sz="4" w:space="0" w:color="25B3E0" w:themeColor="accent6"/>
              <w:right w:val="nil"/>
            </w:tcBorders>
            <w:shd w:val="clear" w:color="auto" w:fill="F2F2F2" w:themeFill="background1" w:themeFillShade="F2"/>
            <w:tcMar>
              <w:top w:w="113" w:type="dxa"/>
            </w:tcMar>
            <w:vAlign w:val="bottom"/>
          </w:tcPr>
          <w:p w14:paraId="5F104BE9" w14:textId="77777777" w:rsidR="00C97DF4" w:rsidRPr="00130948" w:rsidRDefault="00C97DF4" w:rsidP="0027134D">
            <w:r>
              <w:rPr>
                <w:noProof/>
              </w:rPr>
              <w:drawing>
                <wp:inline distT="0" distB="0" distL="0" distR="0" wp14:anchorId="3747A958" wp14:editId="33B5CF9A">
                  <wp:extent cx="3530172" cy="270665"/>
                  <wp:effectExtent l="0" t="0" r="0" b="0"/>
                  <wp:docPr id="1616192396" name="Picture 1616192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92396" name="Picture 1616192396">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32F9B7B3" w14:textId="77777777" w:rsidR="002D5BFB" w:rsidRDefault="002D5BFB" w:rsidP="00886300">
      <w:pPr>
        <w:rPr>
          <w:lang w:eastAsia="en-AU"/>
        </w:rPr>
      </w:pPr>
    </w:p>
    <w:p w14:paraId="30629312" w14:textId="7D77B96A" w:rsidR="00886300" w:rsidRPr="0086054F" w:rsidRDefault="00754909" w:rsidP="00886300">
      <w:pPr>
        <w:rPr>
          <w:lang w:eastAsia="en-AU"/>
        </w:rPr>
      </w:pPr>
      <w:r w:rsidRPr="0086054F">
        <w:rPr>
          <w:lang w:eastAsia="en-AU"/>
        </w:rPr>
        <w:t xml:space="preserve">This intervention seeks to reduce the unintended negative consequences of academic sorting via academically selective </w:t>
      </w:r>
      <w:r w:rsidR="004A3259">
        <w:rPr>
          <w:lang w:eastAsia="en-AU"/>
        </w:rPr>
        <w:t xml:space="preserve">public </w:t>
      </w:r>
      <w:r w:rsidRPr="0086054F">
        <w:rPr>
          <w:lang w:eastAsia="en-AU"/>
        </w:rPr>
        <w:t xml:space="preserve">schools and </w:t>
      </w:r>
      <w:r w:rsidRPr="00F80996">
        <w:rPr>
          <w:lang w:eastAsia="en-AU"/>
        </w:rPr>
        <w:t>tracking</w:t>
      </w:r>
      <w:r w:rsidRPr="0086054F">
        <w:rPr>
          <w:lang w:eastAsia="en-AU"/>
        </w:rPr>
        <w:t xml:space="preserve"> (streaming students into different types of secondary or senior secondary schools</w:t>
      </w:r>
      <w:r w:rsidR="00C83BFD">
        <w:rPr>
          <w:lang w:eastAsia="en-AU"/>
        </w:rPr>
        <w:t>,</w:t>
      </w:r>
      <w:r w:rsidRPr="0086054F">
        <w:rPr>
          <w:lang w:eastAsia="en-AU"/>
        </w:rPr>
        <w:t xml:space="preserve"> </w:t>
      </w:r>
      <w:r w:rsidR="00027F57">
        <w:rPr>
          <w:lang w:eastAsia="en-AU"/>
        </w:rPr>
        <w:t xml:space="preserve">and </w:t>
      </w:r>
      <w:r w:rsidR="0002002F">
        <w:rPr>
          <w:lang w:eastAsia="en-AU"/>
        </w:rPr>
        <w:t>/ or into</w:t>
      </w:r>
      <w:r w:rsidR="00027F57">
        <w:rPr>
          <w:lang w:eastAsia="en-AU"/>
        </w:rPr>
        <w:t xml:space="preserve"> </w:t>
      </w:r>
      <w:r w:rsidRPr="0086054F">
        <w:rPr>
          <w:lang w:eastAsia="en-AU"/>
        </w:rPr>
        <w:t xml:space="preserve">vocational versus </w:t>
      </w:r>
      <w:r w:rsidR="0002002F">
        <w:rPr>
          <w:lang w:eastAsia="en-AU"/>
        </w:rPr>
        <w:t>higher education-</w:t>
      </w:r>
      <w:r w:rsidRPr="0086054F">
        <w:rPr>
          <w:lang w:eastAsia="en-AU"/>
        </w:rPr>
        <w:t xml:space="preserve">oriented </w:t>
      </w:r>
      <w:r w:rsidR="0002002F">
        <w:rPr>
          <w:lang w:eastAsia="en-AU"/>
        </w:rPr>
        <w:t>pathways</w:t>
      </w:r>
      <w:r w:rsidR="00F571BD">
        <w:rPr>
          <w:lang w:eastAsia="en-AU"/>
        </w:rPr>
        <w:t>)</w:t>
      </w:r>
      <w:r w:rsidRPr="0086054F">
        <w:rPr>
          <w:lang w:eastAsia="en-AU"/>
        </w:rPr>
        <w:t>.</w:t>
      </w:r>
      <w:r w:rsidR="00886300" w:rsidRPr="00886300">
        <w:rPr>
          <w:lang w:eastAsia="en-AU"/>
        </w:rPr>
        <w:t xml:space="preserve"> </w:t>
      </w:r>
      <w:r w:rsidR="00886300">
        <w:rPr>
          <w:lang w:eastAsia="en-AU"/>
        </w:rPr>
        <w:t>Another aspect of academic selectivity is the use of merit-based scholarships</w:t>
      </w:r>
      <w:r w:rsidR="0048150C">
        <w:rPr>
          <w:lang w:eastAsia="en-AU"/>
        </w:rPr>
        <w:t>, which can be a response to the challenge to improve social or cultural diversity</w:t>
      </w:r>
      <w:r w:rsidR="00886300">
        <w:rPr>
          <w:lang w:eastAsia="en-AU"/>
        </w:rPr>
        <w:t xml:space="preserve">. This </w:t>
      </w:r>
      <w:r w:rsidR="006349CE">
        <w:rPr>
          <w:lang w:eastAsia="en-AU"/>
        </w:rPr>
        <w:t>latter</w:t>
      </w:r>
      <w:r w:rsidR="00886300">
        <w:rPr>
          <w:lang w:eastAsia="en-AU"/>
        </w:rPr>
        <w:t xml:space="preserve"> variant is not considered here as it tends to feature at the margins</w:t>
      </w:r>
      <w:r w:rsidR="0048150C">
        <w:rPr>
          <w:lang w:eastAsia="en-AU"/>
        </w:rPr>
        <w:t xml:space="preserve">, and it does not speak to the underlying hypothesis that </w:t>
      </w:r>
      <w:r w:rsidR="000A527A">
        <w:rPr>
          <w:lang w:eastAsia="en-AU"/>
        </w:rPr>
        <w:t>a more mixed classroo</w:t>
      </w:r>
      <w:r w:rsidR="00CB1151">
        <w:rPr>
          <w:lang w:eastAsia="en-AU"/>
        </w:rPr>
        <w:t xml:space="preserve">m – one that reflects different socio-economic backgrounds – is likely to generate positive peer effects among those who </w:t>
      </w:r>
      <w:r w:rsidR="003E0A0D">
        <w:rPr>
          <w:lang w:eastAsia="en-AU"/>
        </w:rPr>
        <w:t>do not have a track record of strong academic performance</w:t>
      </w:r>
      <w:r w:rsidR="00886300">
        <w:rPr>
          <w:lang w:eastAsia="en-AU"/>
        </w:rPr>
        <w:t xml:space="preserve">. </w:t>
      </w:r>
    </w:p>
    <w:p w14:paraId="7AE2719D" w14:textId="4C8EF0FA" w:rsidR="00C658F4" w:rsidRDefault="00AD7EB8" w:rsidP="00754909">
      <w:pPr>
        <w:rPr>
          <w:lang w:eastAsia="en-AU"/>
        </w:rPr>
      </w:pPr>
      <w:r>
        <w:rPr>
          <w:lang w:eastAsia="en-AU"/>
        </w:rPr>
        <w:t>While t</w:t>
      </w:r>
      <w:r w:rsidR="00886300">
        <w:rPr>
          <w:lang w:eastAsia="en-AU"/>
        </w:rPr>
        <w:t>racking</w:t>
      </w:r>
      <w:r w:rsidR="00754909" w:rsidRPr="0086054F">
        <w:rPr>
          <w:lang w:eastAsia="en-AU"/>
        </w:rPr>
        <w:t xml:space="preserve"> is prominent in many European nations</w:t>
      </w:r>
      <w:r>
        <w:rPr>
          <w:lang w:eastAsia="en-AU"/>
        </w:rPr>
        <w:t>, s</w:t>
      </w:r>
      <w:r w:rsidR="00886300">
        <w:rPr>
          <w:lang w:eastAsia="en-AU"/>
        </w:rPr>
        <w:t>elective public schools are</w:t>
      </w:r>
      <w:r>
        <w:rPr>
          <w:lang w:eastAsia="en-AU"/>
        </w:rPr>
        <w:t xml:space="preserve"> not, </w:t>
      </w:r>
      <w:r w:rsidR="004A3259">
        <w:rPr>
          <w:lang w:eastAsia="en-AU"/>
        </w:rPr>
        <w:t xml:space="preserve">given that selective schools in places other than Australia are normally </w:t>
      </w:r>
      <w:r w:rsidR="00951C60">
        <w:rPr>
          <w:lang w:eastAsia="en-AU"/>
        </w:rPr>
        <w:t>associated with the private (non</w:t>
      </w:r>
      <w:r w:rsidR="00C448AA">
        <w:rPr>
          <w:lang w:eastAsia="en-AU"/>
        </w:rPr>
        <w:t>-</w:t>
      </w:r>
      <w:r w:rsidR="00951C60">
        <w:rPr>
          <w:lang w:eastAsia="en-AU"/>
        </w:rPr>
        <w:t>publicly</w:t>
      </w:r>
      <w:r w:rsidR="00C83BFD">
        <w:rPr>
          <w:lang w:eastAsia="en-AU"/>
        </w:rPr>
        <w:t xml:space="preserve"> </w:t>
      </w:r>
      <w:r w:rsidR="00951C60">
        <w:rPr>
          <w:lang w:eastAsia="en-AU"/>
        </w:rPr>
        <w:t xml:space="preserve">funded) school system. </w:t>
      </w:r>
    </w:p>
    <w:p w14:paraId="7717456E" w14:textId="38096F3D" w:rsidR="00391936" w:rsidRPr="000823A4" w:rsidRDefault="00391936" w:rsidP="00391936">
      <w:pPr>
        <w:rPr>
          <w:szCs w:val="19"/>
          <w:lang w:eastAsia="en-AU"/>
        </w:rPr>
      </w:pPr>
      <w:r w:rsidRPr="000823A4">
        <w:rPr>
          <w:rStyle w:val="Heading5Char"/>
          <w:rFonts w:eastAsiaTheme="minorHAnsi"/>
          <w:b w:val="0"/>
          <w:sz w:val="19"/>
          <w:szCs w:val="19"/>
        </w:rPr>
        <w:t xml:space="preserve">For context, in Australia, selective public schools can be found in </w:t>
      </w:r>
      <w:r w:rsidR="00517B60">
        <w:rPr>
          <w:rStyle w:val="Heading5Char"/>
          <w:rFonts w:eastAsiaTheme="minorHAnsi"/>
          <w:b w:val="0"/>
          <w:sz w:val="19"/>
          <w:szCs w:val="19"/>
        </w:rPr>
        <w:t>New South Wales (</w:t>
      </w:r>
      <w:r w:rsidRPr="000823A4">
        <w:rPr>
          <w:rStyle w:val="Heading5Char"/>
          <w:rFonts w:eastAsiaTheme="minorHAnsi"/>
          <w:b w:val="0"/>
          <w:sz w:val="19"/>
          <w:szCs w:val="19"/>
        </w:rPr>
        <w:t>NSW</w:t>
      </w:r>
      <w:r w:rsidR="00517B60">
        <w:rPr>
          <w:rStyle w:val="Heading5Char"/>
          <w:rFonts w:eastAsiaTheme="minorHAnsi"/>
          <w:b w:val="0"/>
          <w:sz w:val="19"/>
          <w:szCs w:val="19"/>
        </w:rPr>
        <w:t>)</w:t>
      </w:r>
      <w:r w:rsidRPr="000823A4">
        <w:rPr>
          <w:rStyle w:val="Heading5Char"/>
          <w:rFonts w:eastAsiaTheme="minorHAnsi"/>
          <w:b w:val="0"/>
          <w:sz w:val="19"/>
          <w:szCs w:val="19"/>
        </w:rPr>
        <w:t>, which has 22 public fully</w:t>
      </w:r>
      <w:r w:rsidR="00661C15">
        <w:rPr>
          <w:rStyle w:val="Heading5Char"/>
          <w:rFonts w:eastAsiaTheme="minorHAnsi"/>
          <w:b w:val="0"/>
          <w:sz w:val="19"/>
          <w:szCs w:val="19"/>
        </w:rPr>
        <w:t xml:space="preserve"> </w:t>
      </w:r>
      <w:r w:rsidRPr="000823A4">
        <w:rPr>
          <w:rStyle w:val="Heading5Char"/>
          <w:rFonts w:eastAsiaTheme="minorHAnsi"/>
          <w:b w:val="0"/>
          <w:sz w:val="19"/>
          <w:szCs w:val="19"/>
        </w:rPr>
        <w:t>selective schools, Victoria</w:t>
      </w:r>
      <w:r w:rsidR="001E0210">
        <w:rPr>
          <w:rStyle w:val="Heading5Char"/>
          <w:rFonts w:eastAsiaTheme="minorHAnsi"/>
          <w:b w:val="0"/>
          <w:sz w:val="19"/>
          <w:szCs w:val="19"/>
        </w:rPr>
        <w:t>, which has</w:t>
      </w:r>
      <w:r w:rsidRPr="000823A4">
        <w:rPr>
          <w:rStyle w:val="Heading5Char"/>
          <w:rFonts w:eastAsiaTheme="minorHAnsi"/>
          <w:b w:val="0"/>
          <w:sz w:val="19"/>
          <w:szCs w:val="19"/>
        </w:rPr>
        <w:t xml:space="preserve"> </w:t>
      </w:r>
      <w:r w:rsidR="007D5DBB" w:rsidRPr="000823A4">
        <w:rPr>
          <w:rStyle w:val="Heading5Char"/>
          <w:rFonts w:eastAsiaTheme="minorHAnsi"/>
          <w:b w:val="0"/>
          <w:sz w:val="19"/>
          <w:szCs w:val="19"/>
        </w:rPr>
        <w:t>four</w:t>
      </w:r>
      <w:r w:rsidRPr="000823A4">
        <w:rPr>
          <w:rStyle w:val="Heading5Char"/>
          <w:rFonts w:eastAsiaTheme="minorHAnsi"/>
          <w:b w:val="0"/>
          <w:sz w:val="19"/>
          <w:szCs w:val="19"/>
        </w:rPr>
        <w:t xml:space="preserve"> and Queensland</w:t>
      </w:r>
      <w:r w:rsidR="008E5268">
        <w:rPr>
          <w:rStyle w:val="Heading5Char"/>
          <w:rFonts w:eastAsiaTheme="minorHAnsi"/>
          <w:b w:val="0"/>
          <w:sz w:val="19"/>
          <w:szCs w:val="19"/>
        </w:rPr>
        <w:t>,</w:t>
      </w:r>
      <w:r w:rsidRPr="000823A4">
        <w:rPr>
          <w:rStyle w:val="Heading5Char"/>
          <w:rFonts w:eastAsiaTheme="minorHAnsi"/>
          <w:b w:val="0"/>
          <w:sz w:val="19"/>
          <w:szCs w:val="19"/>
        </w:rPr>
        <w:t xml:space="preserve"> </w:t>
      </w:r>
      <w:r w:rsidR="001E0210">
        <w:rPr>
          <w:rStyle w:val="Heading5Char"/>
          <w:rFonts w:eastAsiaTheme="minorHAnsi"/>
          <w:b w:val="0"/>
          <w:sz w:val="19"/>
          <w:szCs w:val="19"/>
        </w:rPr>
        <w:t xml:space="preserve">which has </w:t>
      </w:r>
      <w:r w:rsidR="007D5DBB" w:rsidRPr="000823A4">
        <w:rPr>
          <w:rStyle w:val="Heading5Char"/>
          <w:rFonts w:eastAsiaTheme="minorHAnsi"/>
          <w:b w:val="0"/>
          <w:sz w:val="19"/>
          <w:szCs w:val="19"/>
        </w:rPr>
        <w:t>three</w:t>
      </w:r>
      <w:r w:rsidRPr="000823A4">
        <w:rPr>
          <w:rStyle w:val="Heading5Char"/>
          <w:rFonts w:eastAsiaTheme="minorHAnsi"/>
          <w:b w:val="0"/>
          <w:sz w:val="19"/>
          <w:szCs w:val="19"/>
        </w:rPr>
        <w:t>.</w:t>
      </w:r>
      <w:r w:rsidRPr="000823A4">
        <w:rPr>
          <w:szCs w:val="19"/>
          <w:lang w:eastAsia="en-AU"/>
        </w:rPr>
        <w:t xml:space="preserve"> There are important differences particularly between the selective public schools in NSW and Victoria: NSW’s selective schools begin in </w:t>
      </w:r>
      <w:r w:rsidR="002D5AE6" w:rsidRPr="000823A4">
        <w:rPr>
          <w:szCs w:val="19"/>
          <w:lang w:eastAsia="en-AU"/>
        </w:rPr>
        <w:t>Y</w:t>
      </w:r>
      <w:r w:rsidRPr="000823A4">
        <w:rPr>
          <w:szCs w:val="19"/>
          <w:lang w:eastAsia="en-AU"/>
        </w:rPr>
        <w:t xml:space="preserve">ear 7, while Victoria’s start in </w:t>
      </w:r>
      <w:r w:rsidR="002D5AE6" w:rsidRPr="000823A4">
        <w:rPr>
          <w:szCs w:val="19"/>
          <w:lang w:eastAsia="en-AU"/>
        </w:rPr>
        <w:t>Y</w:t>
      </w:r>
      <w:r w:rsidRPr="000823A4">
        <w:rPr>
          <w:szCs w:val="19"/>
          <w:lang w:eastAsia="en-AU"/>
        </w:rPr>
        <w:t xml:space="preserve">ear 9. Victoria restricts the number of students being drawn from any one feeder secondary school to no more than </w:t>
      </w:r>
      <w:r w:rsidR="000E1AB5">
        <w:rPr>
          <w:szCs w:val="19"/>
          <w:lang w:eastAsia="en-AU"/>
        </w:rPr>
        <w:t>five</w:t>
      </w:r>
      <w:r w:rsidR="005E0466">
        <w:rPr>
          <w:szCs w:val="19"/>
          <w:lang w:eastAsia="en-AU"/>
        </w:rPr>
        <w:t xml:space="preserve"> per cent</w:t>
      </w:r>
      <w:r w:rsidRPr="000823A4">
        <w:rPr>
          <w:szCs w:val="19"/>
          <w:lang w:eastAsia="en-AU"/>
        </w:rPr>
        <w:t xml:space="preserve">, whereas in NSW, there are no such restrictions. Further, Victoria’s four selective schools reserve </w:t>
      </w:r>
      <w:r w:rsidR="00174A03">
        <w:rPr>
          <w:szCs w:val="19"/>
          <w:lang w:eastAsia="en-AU"/>
        </w:rPr>
        <w:t>ten</w:t>
      </w:r>
      <w:r w:rsidR="005E0466">
        <w:rPr>
          <w:szCs w:val="19"/>
          <w:lang w:eastAsia="en-AU"/>
        </w:rPr>
        <w:t xml:space="preserve"> per cent</w:t>
      </w:r>
      <w:r w:rsidRPr="000823A4">
        <w:rPr>
          <w:szCs w:val="19"/>
          <w:lang w:eastAsia="en-AU"/>
        </w:rPr>
        <w:t xml:space="preserve"> of places for students from low-income families or equity cohorts (primarily students from Aboriginal and Torres Strait cultural heritage).</w:t>
      </w:r>
      <w:r w:rsidRPr="000823A4">
        <w:rPr>
          <w:szCs w:val="19"/>
          <w:vertAlign w:val="superscript"/>
          <w:lang w:eastAsia="en-AU"/>
        </w:rPr>
        <w:footnoteReference w:id="61"/>
      </w:r>
      <w:r w:rsidRPr="000823A4">
        <w:rPr>
          <w:szCs w:val="19"/>
          <w:lang w:eastAsia="en-AU"/>
        </w:rPr>
        <w:t xml:space="preserve"> NSW is following Victoria’s example by introducing </w:t>
      </w:r>
      <w:r w:rsidR="004C09B7">
        <w:rPr>
          <w:szCs w:val="19"/>
          <w:lang w:eastAsia="en-AU"/>
        </w:rPr>
        <w:t>20</w:t>
      </w:r>
      <w:r w:rsidR="005E0466">
        <w:rPr>
          <w:szCs w:val="19"/>
          <w:lang w:eastAsia="en-AU"/>
        </w:rPr>
        <w:t xml:space="preserve"> per cent</w:t>
      </w:r>
      <w:r w:rsidR="004C09B7">
        <w:rPr>
          <w:szCs w:val="19"/>
          <w:lang w:eastAsia="en-AU"/>
        </w:rPr>
        <w:t xml:space="preserve"> </w:t>
      </w:r>
      <w:r w:rsidRPr="000823A4">
        <w:rPr>
          <w:szCs w:val="19"/>
          <w:lang w:eastAsia="en-AU"/>
        </w:rPr>
        <w:t>quotas for target cohorts</w:t>
      </w:r>
      <w:r w:rsidR="007C34F0">
        <w:rPr>
          <w:szCs w:val="19"/>
          <w:lang w:eastAsia="en-AU"/>
        </w:rPr>
        <w:t>.</w:t>
      </w:r>
      <w:r w:rsidR="004C09B7">
        <w:rPr>
          <w:rStyle w:val="FootnoteReference"/>
          <w:szCs w:val="19"/>
          <w:lang w:eastAsia="en-AU"/>
        </w:rPr>
        <w:footnoteReference w:id="62"/>
      </w:r>
    </w:p>
    <w:p w14:paraId="13DED9CA" w14:textId="3EC7B714" w:rsidR="005E0809" w:rsidRDefault="005E0809" w:rsidP="005E0809">
      <w:pPr>
        <w:pStyle w:val="Heading3"/>
      </w:pPr>
      <w:r>
        <w:t>Drivers and objectives</w:t>
      </w:r>
    </w:p>
    <w:p w14:paraId="76A8C634" w14:textId="5432967B" w:rsidR="00082190" w:rsidRPr="00D43721" w:rsidRDefault="007E2707" w:rsidP="005E0809">
      <w:pPr>
        <w:rPr>
          <w:rFonts w:cs="Times New Roman"/>
          <w:color w:val="000000" w:themeColor="text1"/>
          <w:szCs w:val="19"/>
          <w:lang w:eastAsia="en-AU"/>
        </w:rPr>
      </w:pPr>
      <w:r w:rsidRPr="00253739">
        <w:rPr>
          <w:rStyle w:val="Heading5Char"/>
          <w:rFonts w:asciiTheme="majorHAnsi" w:eastAsiaTheme="minorHAnsi" w:hAnsiTheme="majorHAnsi" w:cstheme="majorHAnsi"/>
          <w:b w:val="0"/>
          <w:bCs/>
        </w:rPr>
        <w:t>Selective schools</w:t>
      </w:r>
      <w:r w:rsidR="005E0809" w:rsidRPr="00CC79AB">
        <w:rPr>
          <w:rStyle w:val="Heading5Char"/>
          <w:rFonts w:eastAsiaTheme="minorHAnsi"/>
          <w:b w:val="0"/>
          <w:bCs/>
        </w:rPr>
        <w:t xml:space="preserve"> </w:t>
      </w:r>
      <w:r w:rsidR="005E0809" w:rsidRPr="00D43721">
        <w:rPr>
          <w:rStyle w:val="Heading5Char"/>
          <w:rFonts w:eastAsiaTheme="minorHAnsi"/>
          <w:b w:val="0"/>
          <w:sz w:val="19"/>
          <w:szCs w:val="19"/>
        </w:rPr>
        <w:t xml:space="preserve">are designed to provide optimal learning conditions </w:t>
      </w:r>
      <w:r w:rsidR="0055594C" w:rsidRPr="00D43721">
        <w:rPr>
          <w:rStyle w:val="Heading5Char"/>
          <w:rFonts w:eastAsiaTheme="minorHAnsi"/>
          <w:b w:val="0"/>
          <w:sz w:val="19"/>
          <w:szCs w:val="19"/>
        </w:rPr>
        <w:t>for students</w:t>
      </w:r>
      <w:r w:rsidR="00CF2D17" w:rsidRPr="00D43721">
        <w:rPr>
          <w:rStyle w:val="Heading5Char"/>
          <w:rFonts w:eastAsiaTheme="minorHAnsi"/>
          <w:b w:val="0"/>
          <w:sz w:val="19"/>
          <w:szCs w:val="19"/>
        </w:rPr>
        <w:t xml:space="preserve"> – usually academic</w:t>
      </w:r>
      <w:r w:rsidR="00463F90" w:rsidRPr="00D43721">
        <w:rPr>
          <w:rStyle w:val="Heading5Char"/>
          <w:rFonts w:eastAsiaTheme="minorHAnsi"/>
          <w:b w:val="0"/>
          <w:sz w:val="19"/>
          <w:szCs w:val="19"/>
        </w:rPr>
        <w:t>ally high-performing</w:t>
      </w:r>
      <w:r w:rsidR="00CF2D17" w:rsidRPr="00D43721">
        <w:rPr>
          <w:rStyle w:val="Heading5Char"/>
          <w:rFonts w:eastAsiaTheme="minorHAnsi"/>
          <w:b w:val="0"/>
          <w:sz w:val="19"/>
          <w:szCs w:val="19"/>
        </w:rPr>
        <w:t xml:space="preserve"> </w:t>
      </w:r>
      <w:r w:rsidR="00E57700">
        <w:rPr>
          <w:rStyle w:val="Heading5Char"/>
          <w:rFonts w:eastAsiaTheme="minorHAnsi"/>
          <w:b w:val="0"/>
          <w:sz w:val="19"/>
          <w:szCs w:val="19"/>
        </w:rPr>
        <w:t>or gifted</w:t>
      </w:r>
      <w:r w:rsidR="00CF2D17" w:rsidRPr="00D43721">
        <w:rPr>
          <w:rStyle w:val="Heading5Char"/>
          <w:rFonts w:eastAsiaTheme="minorHAnsi"/>
          <w:b w:val="0"/>
          <w:sz w:val="19"/>
          <w:szCs w:val="19"/>
        </w:rPr>
        <w:t xml:space="preserve"> students</w:t>
      </w:r>
      <w:r w:rsidR="00553560" w:rsidRPr="00D43721">
        <w:rPr>
          <w:rStyle w:val="Heading5Char"/>
          <w:rFonts w:eastAsiaTheme="minorHAnsi"/>
          <w:b w:val="0"/>
          <w:sz w:val="19"/>
          <w:szCs w:val="19"/>
        </w:rPr>
        <w:t xml:space="preserve"> –</w:t>
      </w:r>
      <w:r w:rsidR="0041305A" w:rsidRPr="00D43721">
        <w:rPr>
          <w:rStyle w:val="Heading5Char"/>
          <w:rFonts w:eastAsiaTheme="minorHAnsi"/>
          <w:b w:val="0"/>
          <w:sz w:val="19"/>
          <w:szCs w:val="19"/>
        </w:rPr>
        <w:t xml:space="preserve"> t</w:t>
      </w:r>
      <w:r w:rsidR="0055594C" w:rsidRPr="00D43721">
        <w:rPr>
          <w:rStyle w:val="Heading5Char"/>
          <w:rFonts w:eastAsiaTheme="minorHAnsi"/>
          <w:b w:val="0"/>
          <w:sz w:val="19"/>
          <w:szCs w:val="19"/>
        </w:rPr>
        <w:t xml:space="preserve">o realise </w:t>
      </w:r>
      <w:r w:rsidR="00D4075F" w:rsidRPr="00D43721">
        <w:rPr>
          <w:rStyle w:val="Heading5Char"/>
          <w:rFonts w:eastAsiaTheme="minorHAnsi"/>
          <w:b w:val="0"/>
          <w:sz w:val="19"/>
          <w:szCs w:val="19"/>
        </w:rPr>
        <w:t xml:space="preserve">their </w:t>
      </w:r>
      <w:r w:rsidR="005E0809" w:rsidRPr="00D43721">
        <w:rPr>
          <w:rStyle w:val="Heading5Char"/>
          <w:rFonts w:eastAsiaTheme="minorHAnsi"/>
          <w:b w:val="0"/>
          <w:sz w:val="19"/>
          <w:szCs w:val="19"/>
        </w:rPr>
        <w:t xml:space="preserve">potential </w:t>
      </w:r>
      <w:r w:rsidR="00CF2D17" w:rsidRPr="00D43721">
        <w:rPr>
          <w:rStyle w:val="Heading5Char"/>
          <w:rFonts w:eastAsiaTheme="minorHAnsi"/>
          <w:b w:val="0"/>
          <w:sz w:val="19"/>
          <w:szCs w:val="19"/>
        </w:rPr>
        <w:t xml:space="preserve">and </w:t>
      </w:r>
      <w:r w:rsidR="00D4075F" w:rsidRPr="00D43721">
        <w:rPr>
          <w:rStyle w:val="Heading5Char"/>
          <w:rFonts w:eastAsiaTheme="minorHAnsi"/>
          <w:b w:val="0"/>
          <w:sz w:val="19"/>
          <w:szCs w:val="19"/>
        </w:rPr>
        <w:t>meet</w:t>
      </w:r>
      <w:r w:rsidR="00CF2D17" w:rsidRPr="00D43721">
        <w:rPr>
          <w:rStyle w:val="Heading5Char"/>
          <w:rFonts w:eastAsiaTheme="minorHAnsi"/>
          <w:b w:val="0"/>
          <w:sz w:val="19"/>
          <w:szCs w:val="19"/>
        </w:rPr>
        <w:t xml:space="preserve"> their particular needs</w:t>
      </w:r>
      <w:r w:rsidR="00F54550" w:rsidRPr="00F54550">
        <w:rPr>
          <w:bCs/>
          <w:szCs w:val="19"/>
          <w:lang w:eastAsia="en-AU"/>
        </w:rPr>
        <w:t>.</w:t>
      </w:r>
      <w:r w:rsidR="005E0809" w:rsidRPr="00F54550">
        <w:rPr>
          <w:bCs/>
          <w:szCs w:val="19"/>
          <w:lang w:eastAsia="en-AU"/>
        </w:rPr>
        <w:t xml:space="preserve"> </w:t>
      </w:r>
      <w:r w:rsidR="00FC1449" w:rsidRPr="00D43721">
        <w:rPr>
          <w:szCs w:val="19"/>
          <w:lang w:eastAsia="en-AU"/>
        </w:rPr>
        <w:t xml:space="preserve">Their prestige means that they </w:t>
      </w:r>
      <w:r w:rsidR="00D85CA5" w:rsidRPr="00D43721">
        <w:rPr>
          <w:szCs w:val="19"/>
          <w:lang w:eastAsia="en-AU"/>
        </w:rPr>
        <w:t>often attract more applications than there are places</w:t>
      </w:r>
      <w:r w:rsidR="00723706" w:rsidRPr="00D43721">
        <w:rPr>
          <w:szCs w:val="19"/>
          <w:lang w:eastAsia="en-AU"/>
        </w:rPr>
        <w:t xml:space="preserve">, with selection based on </w:t>
      </w:r>
      <w:r w:rsidR="00A71A2A">
        <w:rPr>
          <w:szCs w:val="19"/>
          <w:lang w:eastAsia="en-AU"/>
        </w:rPr>
        <w:t>p</w:t>
      </w:r>
      <w:r w:rsidR="001573D2">
        <w:rPr>
          <w:szCs w:val="19"/>
          <w:lang w:eastAsia="en-AU"/>
        </w:rPr>
        <w:t xml:space="preserve">erformance </w:t>
      </w:r>
      <w:r w:rsidR="00C0239F">
        <w:rPr>
          <w:szCs w:val="19"/>
          <w:lang w:eastAsia="en-AU"/>
        </w:rPr>
        <w:t>i</w:t>
      </w:r>
      <w:r w:rsidR="001573D2">
        <w:rPr>
          <w:szCs w:val="19"/>
          <w:lang w:eastAsia="en-AU"/>
        </w:rPr>
        <w:t xml:space="preserve">n </w:t>
      </w:r>
      <w:r w:rsidR="00723706" w:rsidRPr="00D43721">
        <w:rPr>
          <w:szCs w:val="19"/>
          <w:lang w:eastAsia="en-AU"/>
        </w:rPr>
        <w:t xml:space="preserve">assessment </w:t>
      </w:r>
      <w:r w:rsidR="001573D2">
        <w:rPr>
          <w:szCs w:val="19"/>
          <w:lang w:eastAsia="en-AU"/>
        </w:rPr>
        <w:t>tests</w:t>
      </w:r>
      <w:r w:rsidR="00723706" w:rsidRPr="00D43721">
        <w:rPr>
          <w:szCs w:val="19"/>
          <w:lang w:eastAsia="en-AU"/>
        </w:rPr>
        <w:t xml:space="preserve">. </w:t>
      </w:r>
      <w:r w:rsidR="005477BD" w:rsidRPr="00D43721">
        <w:rPr>
          <w:szCs w:val="19"/>
          <w:lang w:eastAsia="en-AU"/>
        </w:rPr>
        <w:t xml:space="preserve">This gives </w:t>
      </w:r>
      <w:r w:rsidR="00082190" w:rsidRPr="00D43721">
        <w:rPr>
          <w:szCs w:val="19"/>
          <w:lang w:eastAsia="en-AU"/>
        </w:rPr>
        <w:t xml:space="preserve">higher-performing </w:t>
      </w:r>
      <w:r w:rsidR="00FF14B0" w:rsidRPr="00D43721">
        <w:rPr>
          <w:szCs w:val="19"/>
          <w:lang w:eastAsia="en-AU"/>
        </w:rPr>
        <w:t>students from an advantaged background</w:t>
      </w:r>
      <w:r w:rsidR="00082190" w:rsidRPr="00D43721">
        <w:rPr>
          <w:szCs w:val="19"/>
          <w:lang w:eastAsia="en-AU"/>
        </w:rPr>
        <w:t xml:space="preserve"> greater chances of access</w:t>
      </w:r>
      <w:r w:rsidR="007777E8">
        <w:rPr>
          <w:szCs w:val="19"/>
          <w:lang w:eastAsia="en-AU"/>
        </w:rPr>
        <w:t>.</w:t>
      </w:r>
      <w:r w:rsidR="00082190" w:rsidRPr="00D43721">
        <w:rPr>
          <w:szCs w:val="19"/>
          <w:lang w:eastAsia="en-AU"/>
        </w:rPr>
        <w:t xml:space="preserve"> </w:t>
      </w:r>
      <w:r w:rsidR="007777E8">
        <w:rPr>
          <w:szCs w:val="19"/>
          <w:lang w:eastAsia="en-AU"/>
        </w:rPr>
        <w:t>N</w:t>
      </w:r>
      <w:r w:rsidR="00082190" w:rsidRPr="00D43721">
        <w:rPr>
          <w:szCs w:val="19"/>
          <w:lang w:eastAsia="en-AU"/>
        </w:rPr>
        <w:t xml:space="preserve">ot just because there is a high correlation in inequitable </w:t>
      </w:r>
      <w:r w:rsidR="00856281" w:rsidRPr="00D43721">
        <w:rPr>
          <w:szCs w:val="19"/>
          <w:lang w:eastAsia="en-AU"/>
        </w:rPr>
        <w:t>schools’</w:t>
      </w:r>
      <w:r w:rsidR="00082190" w:rsidRPr="00D43721">
        <w:rPr>
          <w:szCs w:val="19"/>
          <w:lang w:eastAsia="en-AU"/>
        </w:rPr>
        <w:t xml:space="preserve"> systems between socio-economic status and education achievement, but because of the requirement to actively seek out </w:t>
      </w:r>
      <w:r w:rsidR="008C550E" w:rsidRPr="00D43721">
        <w:rPr>
          <w:szCs w:val="19"/>
          <w:lang w:eastAsia="en-AU"/>
        </w:rPr>
        <w:t xml:space="preserve">opportunities </w:t>
      </w:r>
      <w:r w:rsidR="001C0BCF" w:rsidRPr="00D43721">
        <w:rPr>
          <w:szCs w:val="19"/>
          <w:lang w:eastAsia="en-AU"/>
        </w:rPr>
        <w:t xml:space="preserve">for a ‘better’ education experience and to have the wherewithal to travel (in most cases) </w:t>
      </w:r>
      <w:r w:rsidR="00331BAA" w:rsidRPr="00D43721">
        <w:rPr>
          <w:szCs w:val="19"/>
          <w:lang w:eastAsia="en-AU"/>
        </w:rPr>
        <w:t>longer distances to attend</w:t>
      </w:r>
      <w:r w:rsidR="00C066A1" w:rsidRPr="00D43721">
        <w:rPr>
          <w:szCs w:val="19"/>
          <w:lang w:eastAsia="en-AU"/>
        </w:rPr>
        <w:t xml:space="preserve">. </w:t>
      </w:r>
      <w:r w:rsidR="00F0277A" w:rsidRPr="00D43721">
        <w:rPr>
          <w:szCs w:val="19"/>
          <w:lang w:eastAsia="en-AU"/>
        </w:rPr>
        <w:t>Students from a</w:t>
      </w:r>
      <w:r w:rsidR="00C066A1" w:rsidRPr="00D43721">
        <w:rPr>
          <w:szCs w:val="19"/>
          <w:lang w:eastAsia="en-AU"/>
        </w:rPr>
        <w:t xml:space="preserve">dvantaged </w:t>
      </w:r>
      <w:r w:rsidR="00F0277A" w:rsidRPr="00D43721">
        <w:rPr>
          <w:szCs w:val="19"/>
          <w:lang w:eastAsia="en-AU"/>
        </w:rPr>
        <w:t>families</w:t>
      </w:r>
      <w:r w:rsidR="00C066A1" w:rsidRPr="00D43721">
        <w:rPr>
          <w:szCs w:val="19"/>
          <w:lang w:eastAsia="en-AU"/>
        </w:rPr>
        <w:t xml:space="preserve"> are also </w:t>
      </w:r>
      <w:r w:rsidR="00F0277A" w:rsidRPr="00D43721">
        <w:rPr>
          <w:szCs w:val="19"/>
          <w:lang w:eastAsia="en-AU"/>
        </w:rPr>
        <w:t xml:space="preserve">more likely to be </w:t>
      </w:r>
      <w:r w:rsidR="00D42245" w:rsidRPr="00D43721">
        <w:rPr>
          <w:szCs w:val="19"/>
          <w:lang w:eastAsia="en-AU"/>
        </w:rPr>
        <w:t xml:space="preserve">able to </w:t>
      </w:r>
      <w:r w:rsidR="001A5879" w:rsidRPr="00D43721">
        <w:rPr>
          <w:szCs w:val="19"/>
          <w:lang w:eastAsia="en-AU"/>
        </w:rPr>
        <w:t>pay for coaching</w:t>
      </w:r>
      <w:r w:rsidR="008810C0" w:rsidRPr="00D43721">
        <w:rPr>
          <w:szCs w:val="19"/>
          <w:lang w:eastAsia="en-AU"/>
        </w:rPr>
        <w:t xml:space="preserve"> or tutoring that improve</w:t>
      </w:r>
      <w:r w:rsidR="00D42245" w:rsidRPr="00D43721">
        <w:rPr>
          <w:szCs w:val="19"/>
          <w:lang w:eastAsia="en-AU"/>
        </w:rPr>
        <w:t>s</w:t>
      </w:r>
      <w:r w:rsidR="008810C0" w:rsidRPr="00D43721">
        <w:rPr>
          <w:szCs w:val="19"/>
          <w:lang w:eastAsia="en-AU"/>
        </w:rPr>
        <w:t xml:space="preserve"> the chances of being selected.</w:t>
      </w:r>
      <w:r w:rsidR="001A5879" w:rsidRPr="00D43721">
        <w:rPr>
          <w:szCs w:val="19"/>
          <w:lang w:eastAsia="en-AU"/>
        </w:rPr>
        <w:t xml:space="preserve"> </w:t>
      </w:r>
    </w:p>
    <w:p w14:paraId="299E19BE" w14:textId="75111A54" w:rsidR="006C5F66" w:rsidRDefault="006C5F66" w:rsidP="006C5F66">
      <w:r w:rsidRPr="00253739">
        <w:rPr>
          <w:rStyle w:val="Heading5Char"/>
          <w:rFonts w:asciiTheme="majorHAnsi" w:eastAsiaTheme="minorHAnsi" w:hAnsiTheme="majorHAnsi" w:cstheme="majorHAnsi"/>
          <w:b w:val="0"/>
          <w:bCs/>
        </w:rPr>
        <w:t>Tracking</w:t>
      </w:r>
      <w:r w:rsidRPr="00D42245">
        <w:rPr>
          <w:rStyle w:val="Heading5Char"/>
          <w:rFonts w:eastAsiaTheme="minorHAnsi"/>
          <w:b w:val="0"/>
          <w:bCs/>
        </w:rPr>
        <w:t xml:space="preserve"> </w:t>
      </w:r>
      <w:r w:rsidRPr="00D43721">
        <w:t>similarly intends to cater to the differing needs of students.</w:t>
      </w:r>
      <w:r w:rsidR="00331BAA" w:rsidRPr="00D43721">
        <w:t xml:space="preserve"> It is based on </w:t>
      </w:r>
      <w:r w:rsidR="00375D86" w:rsidRPr="00D43721">
        <w:t xml:space="preserve">the view that </w:t>
      </w:r>
      <w:r>
        <w:t xml:space="preserve">grouping </w:t>
      </w:r>
      <w:r w:rsidR="0053367F">
        <w:t>by</w:t>
      </w:r>
      <w:r>
        <w:t xml:space="preserve"> ability </w:t>
      </w:r>
      <w:r w:rsidR="00C359BC">
        <w:t>enables teachers</w:t>
      </w:r>
      <w:r>
        <w:t xml:space="preserve"> to </w:t>
      </w:r>
      <w:r w:rsidR="0070769F">
        <w:t>engage with</w:t>
      </w:r>
      <w:r>
        <w:t xml:space="preserve"> struggling learners and high achievers more effectively</w:t>
      </w:r>
      <w:r w:rsidR="0070769F">
        <w:t xml:space="preserve"> –</w:t>
      </w:r>
      <w:r>
        <w:t xml:space="preserve"> to </w:t>
      </w:r>
      <w:r w:rsidR="0070769F">
        <w:t>‘meet them</w:t>
      </w:r>
      <w:r>
        <w:t xml:space="preserve"> where </w:t>
      </w:r>
      <w:r w:rsidR="0070769F">
        <w:t>they are’</w:t>
      </w:r>
      <w:r>
        <w:t xml:space="preserve">. This </w:t>
      </w:r>
      <w:r w:rsidR="009528D2">
        <w:t>approach</w:t>
      </w:r>
      <w:r w:rsidR="000F5C52">
        <w:t xml:space="preserve"> is designed to avoid the risk of faster learners becoming bored through under</w:t>
      </w:r>
      <w:r w:rsidR="00D53484">
        <w:t>-</w:t>
      </w:r>
      <w:r w:rsidR="000F5C52">
        <w:t>stimulation and lower learners feeling left behind</w:t>
      </w:r>
      <w:r w:rsidR="00F07C9D">
        <w:t xml:space="preserve"> and becoming disengaged</w:t>
      </w:r>
      <w:r w:rsidR="000F5C52">
        <w:t xml:space="preserve">. </w:t>
      </w:r>
    </w:p>
    <w:p w14:paraId="651123EA" w14:textId="725CDAA5" w:rsidR="005330E3" w:rsidRDefault="00FA279E" w:rsidP="00AD7AFC">
      <w:r w:rsidRPr="005B6234">
        <w:lastRenderedPageBreak/>
        <w:t xml:space="preserve">In both cases, the research suggests that </w:t>
      </w:r>
      <w:r w:rsidR="005B6234" w:rsidRPr="005B6234">
        <w:t>academic selectivity can</w:t>
      </w:r>
      <w:r w:rsidR="006C5F66" w:rsidRPr="005B6234">
        <w:t xml:space="preserve"> exacerbate differences in learning between students and increase educational inequit</w:t>
      </w:r>
      <w:r w:rsidR="005B6234" w:rsidRPr="005B6234">
        <w:t>y</w:t>
      </w:r>
      <w:r w:rsidR="006C5F66" w:rsidRPr="005B6234">
        <w:t>.</w:t>
      </w:r>
      <w:r w:rsidR="005B6234">
        <w:t xml:space="preserve"> In particular, selective schools </w:t>
      </w:r>
      <w:r w:rsidR="0018208F">
        <w:t>are known to create a ‘brain drain’</w:t>
      </w:r>
      <w:r w:rsidR="004A3259">
        <w:t xml:space="preserve"> (i.e</w:t>
      </w:r>
      <w:r w:rsidR="00856281">
        <w:t>.,</w:t>
      </w:r>
      <w:r w:rsidR="004A3259">
        <w:t xml:space="preserve"> an aspect of residualisation) </w:t>
      </w:r>
      <w:r w:rsidR="00175F48">
        <w:t>within the public system</w:t>
      </w:r>
      <w:r w:rsidR="00DF436B">
        <w:t xml:space="preserve"> and schools they left (or never enrolled in)</w:t>
      </w:r>
      <w:r w:rsidR="00175F48">
        <w:t>.</w:t>
      </w:r>
      <w:r w:rsidR="00314629">
        <w:rPr>
          <w:rStyle w:val="FootnoteReference"/>
          <w:rFonts w:asciiTheme="minorHAnsi" w:hAnsiTheme="minorHAnsi" w:cstheme="minorHAnsi"/>
        </w:rPr>
        <w:footnoteReference w:id="63"/>
      </w:r>
      <w:r w:rsidR="00C349C3">
        <w:t xml:space="preserve"> </w:t>
      </w:r>
    </w:p>
    <w:p w14:paraId="314E4F23" w14:textId="061E08F7" w:rsidR="006C5F66" w:rsidRPr="005B6234" w:rsidRDefault="001E7CAD" w:rsidP="006C5F66">
      <w:pPr>
        <w:rPr>
          <w:rFonts w:asciiTheme="minorHAnsi" w:hAnsiTheme="minorHAnsi" w:cstheme="minorHAnsi"/>
        </w:rPr>
      </w:pPr>
      <w:r>
        <w:rPr>
          <w:rFonts w:asciiTheme="minorHAnsi" w:hAnsiTheme="minorHAnsi" w:cstheme="minorHAnsi"/>
        </w:rPr>
        <w:t xml:space="preserve">It follows that to </w:t>
      </w:r>
      <w:r w:rsidR="002C56CA">
        <w:rPr>
          <w:rFonts w:asciiTheme="minorHAnsi" w:hAnsiTheme="minorHAnsi" w:cstheme="minorHAnsi"/>
        </w:rPr>
        <w:t xml:space="preserve">improve socio-economic diversity in schools, </w:t>
      </w:r>
      <w:r w:rsidR="00961C2C">
        <w:rPr>
          <w:rFonts w:asciiTheme="minorHAnsi" w:hAnsiTheme="minorHAnsi" w:cstheme="minorHAnsi"/>
        </w:rPr>
        <w:t xml:space="preserve">appropriate policy interventions would be those that wind back school selectivity or tracking. </w:t>
      </w:r>
    </w:p>
    <w:p w14:paraId="6C181878" w14:textId="786ADCD1" w:rsidR="005E0809" w:rsidRPr="0086054F" w:rsidRDefault="005E0809" w:rsidP="005E0809">
      <w:pPr>
        <w:pStyle w:val="Heading3"/>
      </w:pPr>
      <w:r>
        <w:t xml:space="preserve">Operation and </w:t>
      </w:r>
      <w:r w:rsidR="00C710C6">
        <w:t>locations</w:t>
      </w:r>
    </w:p>
    <w:p w14:paraId="61D9D74D" w14:textId="417228A2" w:rsidR="00AD3FE9" w:rsidRPr="00A65CF6" w:rsidRDefault="00AD3FE9" w:rsidP="00AD3FE9">
      <w:r w:rsidRPr="00DE7915">
        <w:rPr>
          <w:rFonts w:asciiTheme="majorHAnsi" w:hAnsiTheme="majorHAnsi" w:cstheme="majorHAnsi"/>
          <w:bCs/>
        </w:rPr>
        <w:t>Chile</w:t>
      </w:r>
      <w:r w:rsidRPr="00A65CF6">
        <w:rPr>
          <w:rStyle w:val="Heading5Char"/>
          <w:rFonts w:eastAsiaTheme="minorHAnsi"/>
          <w:b w:val="0"/>
          <w:bCs/>
        </w:rPr>
        <w:t xml:space="preserve"> </w:t>
      </w:r>
      <w:r w:rsidRPr="00D43721">
        <w:t xml:space="preserve">introduced measures to </w:t>
      </w:r>
      <w:r w:rsidR="00B7414D" w:rsidRPr="00D43721">
        <w:t>wind back</w:t>
      </w:r>
      <w:r w:rsidRPr="00D43721">
        <w:t xml:space="preserve"> academic selectivity </w:t>
      </w:r>
      <w:r w:rsidR="00B7414D" w:rsidRPr="00D43721">
        <w:t xml:space="preserve">in the public school system </w:t>
      </w:r>
      <w:r w:rsidRPr="00D43721">
        <w:t>as part of its major reforms in 2008</w:t>
      </w:r>
      <w:r w:rsidR="00344442" w:rsidRPr="00D43721">
        <w:t xml:space="preserve"> </w:t>
      </w:r>
      <w:r w:rsidRPr="00D43721">
        <w:t>to reduce socio-economic segregation</w:t>
      </w:r>
      <w:r w:rsidRPr="00A65CF6">
        <w:t xml:space="preserve"> (detailed in</w:t>
      </w:r>
      <w:r w:rsidR="002C3EA0">
        <w:t xml:space="preserve"> section</w:t>
      </w:r>
      <w:r w:rsidRPr="00A65CF6">
        <w:t xml:space="preserve"> </w:t>
      </w:r>
      <w:r w:rsidR="002C3EA0">
        <w:fldChar w:fldCharType="begin"/>
      </w:r>
      <w:r w:rsidR="002C3EA0">
        <w:instrText xml:space="preserve"> REF _Ref149042020 \n \h </w:instrText>
      </w:r>
      <w:r w:rsidR="002C3EA0">
        <w:fldChar w:fldCharType="separate"/>
      </w:r>
      <w:r w:rsidR="009B7086">
        <w:t>3.5.2</w:t>
      </w:r>
      <w:r w:rsidR="002C3EA0">
        <w:fldChar w:fldCharType="end"/>
      </w:r>
      <w:r w:rsidRPr="00A65CF6">
        <w:t>)</w:t>
      </w:r>
      <w:r w:rsidR="00F20CF5" w:rsidRPr="00A65CF6">
        <w:t>. T</w:t>
      </w:r>
      <w:r w:rsidRPr="00A65CF6">
        <w:t xml:space="preserve">o receive high-value student subsidies in the form of vouchers, schools had to agree to not select students based on their academic performance, thereby reducing the incentive for academic selectivity. </w:t>
      </w:r>
    </w:p>
    <w:p w14:paraId="56205847" w14:textId="43EA00F8" w:rsidR="004C5543" w:rsidRDefault="00AD3FE9" w:rsidP="00E45074">
      <w:r w:rsidRPr="00DE7915">
        <w:rPr>
          <w:rFonts w:asciiTheme="majorHAnsi" w:hAnsiTheme="majorHAnsi" w:cstheme="majorHAnsi"/>
          <w:bCs/>
        </w:rPr>
        <w:t>Poland</w:t>
      </w:r>
      <w:r w:rsidRPr="00A65CF6">
        <w:rPr>
          <w:rStyle w:val="Heading5Char"/>
          <w:rFonts w:eastAsiaTheme="minorHAnsi"/>
          <w:b w:val="0"/>
          <w:bCs/>
        </w:rPr>
        <w:t xml:space="preserve"> delayed its academic tracking system as part of major reforms to improve equity and educational outcomes.</w:t>
      </w:r>
      <w:r w:rsidR="007E2CAD" w:rsidRPr="00A65CF6">
        <w:rPr>
          <w:rFonts w:asciiTheme="minorHAnsi" w:hAnsiTheme="minorHAnsi" w:cstheme="minorHAnsi"/>
        </w:rPr>
        <w:t xml:space="preserve"> </w:t>
      </w:r>
      <w:r w:rsidRPr="00A65CF6">
        <w:t xml:space="preserve">In 1999, Poland </w:t>
      </w:r>
      <w:r w:rsidR="004D7134" w:rsidRPr="00A65CF6">
        <w:t>extended</w:t>
      </w:r>
      <w:r w:rsidRPr="00A65CF6">
        <w:t xml:space="preserve"> the period of generalised education by one year, such that tracking would occur when students reached 15 years old rather than 14. As </w:t>
      </w:r>
      <w:r>
        <w:t xml:space="preserve">a result of this, most students in Poland are now enrolled in lower secondary schools with residence-based admission policies. </w:t>
      </w:r>
    </w:p>
    <w:p w14:paraId="25E89BEC" w14:textId="7611301D" w:rsidR="00AD3FE9" w:rsidRDefault="001E539D" w:rsidP="00D43721">
      <w:r>
        <w:t>The</w:t>
      </w:r>
      <w:r w:rsidR="004C5543">
        <w:t xml:space="preserve"> </w:t>
      </w:r>
      <w:r w:rsidR="00B82BA1">
        <w:t xml:space="preserve">Polish </w:t>
      </w:r>
      <w:r>
        <w:t xml:space="preserve">reforms were very controversial </w:t>
      </w:r>
      <w:r w:rsidR="004C5543">
        <w:t>at the time</w:t>
      </w:r>
      <w:r w:rsidR="00312B34">
        <w:t>. They were</w:t>
      </w:r>
      <w:r>
        <w:t xml:space="preserve"> opposed by </w:t>
      </w:r>
      <w:r w:rsidR="003F7ACD">
        <w:t xml:space="preserve">teachers </w:t>
      </w:r>
      <w:r w:rsidR="00C94CDA">
        <w:t>who were concerned a</w:t>
      </w:r>
      <w:r w:rsidR="003F7ACD">
        <w:t xml:space="preserve">bout the difficulties in teaching a broader spectrum of academic </w:t>
      </w:r>
      <w:r w:rsidR="000A3610">
        <w:t xml:space="preserve">ability. </w:t>
      </w:r>
      <w:r w:rsidR="00DA635F">
        <w:t xml:space="preserve">The education minister persisted and </w:t>
      </w:r>
      <w:r w:rsidR="007765F8">
        <w:t>invested</w:t>
      </w:r>
      <w:r w:rsidR="00DA635F">
        <w:t xml:space="preserve"> in significant professional learning for all teachers </w:t>
      </w:r>
      <w:r w:rsidR="007765F8">
        <w:t xml:space="preserve">to equip them for the shift. The </w:t>
      </w:r>
      <w:r w:rsidR="0020045C">
        <w:t xml:space="preserve">broader </w:t>
      </w:r>
      <w:r w:rsidR="007765F8">
        <w:t xml:space="preserve">public only accepted the reform once PISA results showed the strong, positive impact </w:t>
      </w:r>
      <w:r w:rsidR="009E50C1">
        <w:t>for students compared to other nations and past performance.</w:t>
      </w:r>
    </w:p>
    <w:p w14:paraId="54E5625A" w14:textId="6F48A6F1" w:rsidR="005E0809" w:rsidRDefault="005E0809" w:rsidP="005E0809">
      <w:pPr>
        <w:pStyle w:val="Heading3"/>
      </w:pPr>
      <w:r>
        <w:t>Outcomes</w:t>
      </w:r>
    </w:p>
    <w:p w14:paraId="4E523466" w14:textId="3CBF4E10" w:rsidR="00D93B78" w:rsidRPr="00D93B78" w:rsidRDefault="00D93B78" w:rsidP="00E477D7">
      <w:pPr>
        <w:pStyle w:val="Heading5"/>
      </w:pPr>
      <w:r w:rsidRPr="00D93B78">
        <w:t>Diversity</w:t>
      </w:r>
    </w:p>
    <w:p w14:paraId="1A6EB423" w14:textId="4D303AF2" w:rsidR="006362C7" w:rsidRPr="00D93B78" w:rsidRDefault="006362C7" w:rsidP="009A03AF">
      <w:pPr>
        <w:pStyle w:val="Heading5"/>
        <w:rPr>
          <w:b w:val="0"/>
          <w:bCs/>
        </w:rPr>
      </w:pPr>
      <w:r w:rsidRPr="00D93B78">
        <w:rPr>
          <w:b w:val="0"/>
          <w:bCs/>
        </w:rPr>
        <w:t>The</w:t>
      </w:r>
      <w:r w:rsidR="00C0247D" w:rsidRPr="00D93B78">
        <w:rPr>
          <w:b w:val="0"/>
          <w:bCs/>
        </w:rPr>
        <w:t>re is general evidence to suggest that a</w:t>
      </w:r>
      <w:r w:rsidRPr="00D93B78">
        <w:rPr>
          <w:b w:val="0"/>
          <w:bCs/>
        </w:rPr>
        <w:t xml:space="preserve"> reduction in academic selectivity improve</w:t>
      </w:r>
      <w:r w:rsidR="00C0247D" w:rsidRPr="00D93B78">
        <w:rPr>
          <w:b w:val="0"/>
          <w:bCs/>
        </w:rPr>
        <w:t>s</w:t>
      </w:r>
      <w:r w:rsidRPr="00D93B78">
        <w:rPr>
          <w:b w:val="0"/>
          <w:bCs/>
        </w:rPr>
        <w:t xml:space="preserve"> </w:t>
      </w:r>
      <w:r w:rsidR="006233E9" w:rsidRPr="00D93B78">
        <w:rPr>
          <w:b w:val="0"/>
          <w:bCs/>
        </w:rPr>
        <w:t>diversity</w:t>
      </w:r>
      <w:r w:rsidR="00D93B78" w:rsidRPr="00D93B78">
        <w:rPr>
          <w:b w:val="0"/>
          <w:bCs/>
        </w:rPr>
        <w:t>.</w:t>
      </w:r>
    </w:p>
    <w:p w14:paraId="24015E23" w14:textId="4D5CB752" w:rsidR="00431E87" w:rsidRDefault="006362C7" w:rsidP="00821506">
      <w:r>
        <w:t>Research suggests that social segregation across schools is negatively correlated with equity in education</w:t>
      </w:r>
      <w:r w:rsidR="00B66F75">
        <w:t>.</w:t>
      </w:r>
      <w:r w:rsidR="007C2BEB">
        <w:rPr>
          <w:rStyle w:val="FootnoteReference"/>
        </w:rPr>
        <w:footnoteReference w:id="64"/>
      </w:r>
      <w:r w:rsidR="00B66F75">
        <w:t xml:space="preserve"> </w:t>
      </w:r>
      <w:r w:rsidRPr="00821979">
        <w:t>Across OECD countries, changes between 2009 and 2018 in the percentage of students attending a school where admission is never based on the student’s record of academic performance were positively correlated with changes in equity and reading</w:t>
      </w:r>
      <w:r w:rsidR="00B66F75">
        <w:t>.</w:t>
      </w:r>
      <w:r w:rsidR="00B66F75">
        <w:rPr>
          <w:rStyle w:val="FootnoteReference"/>
        </w:rPr>
        <w:footnoteReference w:id="65"/>
      </w:r>
      <w:r w:rsidR="00E33F10">
        <w:t xml:space="preserve"> </w:t>
      </w:r>
    </w:p>
    <w:p w14:paraId="53C9E1C1" w14:textId="6CE865D3" w:rsidR="009A039D" w:rsidRDefault="003D5146" w:rsidP="00821506">
      <w:r>
        <w:t xml:space="preserve">Following the reduction of academic selectivity in </w:t>
      </w:r>
      <w:r w:rsidRPr="00F81BDB">
        <w:rPr>
          <w:rFonts w:asciiTheme="majorHAnsi" w:hAnsiTheme="majorHAnsi" w:cstheme="majorHAnsi"/>
        </w:rPr>
        <w:t>Chile</w:t>
      </w:r>
      <w:r>
        <w:t xml:space="preserve"> from 2008</w:t>
      </w:r>
      <w:r w:rsidR="00CB4438">
        <w:t xml:space="preserve">, </w:t>
      </w:r>
      <w:r w:rsidR="00A46C34">
        <w:t xml:space="preserve">the selective private subsidised sector saw the most notable decrease </w:t>
      </w:r>
      <w:r w:rsidR="00CB4438">
        <w:t>in segregation with greater integration of students from lower SES percentiles.</w:t>
      </w:r>
      <w:r w:rsidR="00CB4438">
        <w:rPr>
          <w:rStyle w:val="FootnoteReference"/>
        </w:rPr>
        <w:footnoteReference w:id="66"/>
      </w:r>
      <w:r w:rsidR="00A46C34">
        <w:t xml:space="preserve"> </w:t>
      </w:r>
      <w:r w:rsidR="005D4584">
        <w:t xml:space="preserve">However, </w:t>
      </w:r>
      <w:r w:rsidR="00B13AC5">
        <w:t xml:space="preserve">non-selective public schools showed some increases in segregation, </w:t>
      </w:r>
      <w:r w:rsidR="000D36F0">
        <w:t>with small, but statistically significant</w:t>
      </w:r>
      <w:r w:rsidR="00B13AC5">
        <w:t xml:space="preserve"> increases in the </w:t>
      </w:r>
      <w:r>
        <w:t>concentration</w:t>
      </w:r>
      <w:r w:rsidR="00563283">
        <w:t xml:space="preserve"> of students in the </w:t>
      </w:r>
      <w:r w:rsidR="00CB6CC6">
        <w:t>20</w:t>
      </w:r>
      <w:r w:rsidR="00FB7BB2" w:rsidRPr="00F81BDB">
        <w:rPr>
          <w:vertAlign w:val="superscript"/>
        </w:rPr>
        <w:t>th</w:t>
      </w:r>
      <w:r w:rsidR="00FB7BB2">
        <w:t xml:space="preserve"> and </w:t>
      </w:r>
      <w:r w:rsidR="00CB6CC6">
        <w:t>50</w:t>
      </w:r>
      <w:r w:rsidR="00CB6CC6" w:rsidRPr="00F81BDB">
        <w:rPr>
          <w:vertAlign w:val="superscript"/>
        </w:rPr>
        <w:t>th</w:t>
      </w:r>
      <w:r w:rsidR="00CB6CC6">
        <w:t xml:space="preserve"> </w:t>
      </w:r>
      <w:r>
        <w:t>percentiles.</w:t>
      </w:r>
      <w:r>
        <w:rPr>
          <w:rStyle w:val="FootnoteReference"/>
        </w:rPr>
        <w:footnoteReference w:id="67"/>
      </w:r>
    </w:p>
    <w:p w14:paraId="697D55A2" w14:textId="12CE6F11" w:rsidR="00D95791" w:rsidRDefault="009F71C4" w:rsidP="00821506">
      <w:r>
        <w:t xml:space="preserve">Prior to </w:t>
      </w:r>
      <w:r w:rsidR="00FE132E">
        <w:t xml:space="preserve">its major reforms, </w:t>
      </w:r>
      <w:r w:rsidR="00D95791" w:rsidRPr="00F81BDB">
        <w:rPr>
          <w:rFonts w:asciiTheme="majorHAnsi" w:hAnsiTheme="majorHAnsi" w:cstheme="majorHAnsi"/>
        </w:rPr>
        <w:t>Poland</w:t>
      </w:r>
      <w:r w:rsidR="00FE132E">
        <w:t xml:space="preserve"> was among </w:t>
      </w:r>
      <w:r w:rsidR="004A7E1D">
        <w:t xml:space="preserve">the </w:t>
      </w:r>
      <w:r w:rsidR="00FE132E">
        <w:t xml:space="preserve">countries with </w:t>
      </w:r>
      <w:r w:rsidR="004A7E1D">
        <w:t xml:space="preserve">most </w:t>
      </w:r>
      <w:r w:rsidR="00FE132E">
        <w:t>substantial variation in student performance between schools</w:t>
      </w:r>
      <w:r w:rsidR="00FE0AFE">
        <w:t>. H</w:t>
      </w:r>
      <w:r w:rsidR="00FE132E">
        <w:t xml:space="preserve">owever, PISA 2003 data reveals that </w:t>
      </w:r>
      <w:r w:rsidR="004A7E1D">
        <w:t>by</w:t>
      </w:r>
      <w:r w:rsidR="00D65F61">
        <w:t xml:space="preserve"> delaying academic tracking</w:t>
      </w:r>
      <w:r w:rsidR="00F615CC">
        <w:t>,</w:t>
      </w:r>
      <w:r w:rsidR="00D65F61">
        <w:t xml:space="preserve"> </w:t>
      </w:r>
      <w:r w:rsidR="00FE0AFE">
        <w:t>Poland</w:t>
      </w:r>
      <w:r w:rsidR="00B9522F">
        <w:t xml:space="preserve"> </w:t>
      </w:r>
      <w:r w:rsidR="00F615CC">
        <w:lastRenderedPageBreak/>
        <w:t xml:space="preserve">saw a sharp increase in the </w:t>
      </w:r>
      <w:r w:rsidR="00B9522F">
        <w:t xml:space="preserve">variation within schools and </w:t>
      </w:r>
      <w:r w:rsidR="00F615CC">
        <w:t>reduced</w:t>
      </w:r>
      <w:r w:rsidR="00B9522F">
        <w:t xml:space="preserve"> variation between schools, </w:t>
      </w:r>
      <w:r w:rsidR="00F615CC">
        <w:t xml:space="preserve">quickly reaching </w:t>
      </w:r>
      <w:r w:rsidR="00D65F61">
        <w:t>levels</w:t>
      </w:r>
      <w:r w:rsidR="00C56E9B">
        <w:t xml:space="preserve"> similar to those of Scandinavian countries.</w:t>
      </w:r>
      <w:r w:rsidR="00ED5389">
        <w:rPr>
          <w:rStyle w:val="FootnoteReference"/>
        </w:rPr>
        <w:footnoteReference w:id="68"/>
      </w:r>
    </w:p>
    <w:p w14:paraId="03357414" w14:textId="40301E6F" w:rsidR="003D5160" w:rsidRDefault="00431E87" w:rsidP="00821506">
      <w:r>
        <w:t xml:space="preserve">In a study of differentiation policies across the OECD, countries using the </w:t>
      </w:r>
      <w:r w:rsidR="00332CDE">
        <w:t>‘</w:t>
      </w:r>
      <w:r>
        <w:t>individualised integration model</w:t>
      </w:r>
      <w:r w:rsidR="00332CDE">
        <w:t>’</w:t>
      </w:r>
      <w:r w:rsidR="00A8475F">
        <w:t xml:space="preserve"> </w:t>
      </w:r>
      <w:r w:rsidR="00803E77">
        <w:t>–</w:t>
      </w:r>
      <w:r w:rsidR="00BA0E79">
        <w:t xml:space="preserve"> which describes a schooling system with long common core curriculum, automatic grade promotion of students, heterogenous classrooms, and a generalised use of individualised teaching</w:t>
      </w:r>
      <w:r w:rsidR="00803E77">
        <w:t xml:space="preserve"> –</w:t>
      </w:r>
      <w:r w:rsidR="00BA0E79">
        <w:t xml:space="preserve"> had the lowest percentage of </w:t>
      </w:r>
      <w:r w:rsidR="00332CDE">
        <w:t>‘</w:t>
      </w:r>
      <w:r w:rsidR="00BA0E79">
        <w:t>disadvantaged low achievers</w:t>
      </w:r>
      <w:r w:rsidR="00332CDE">
        <w:t>’</w:t>
      </w:r>
      <w:r w:rsidR="00BA0E79">
        <w:t xml:space="preserve"> and the highest percentage of </w:t>
      </w:r>
      <w:r w:rsidR="00332CDE">
        <w:t>‘</w:t>
      </w:r>
      <w:r w:rsidR="00BA0E79">
        <w:t>disadvantaged high achievers</w:t>
      </w:r>
      <w:r w:rsidR="00A749ED">
        <w:t>.</w:t>
      </w:r>
      <w:r w:rsidR="00332CDE">
        <w:t>’</w:t>
      </w:r>
      <w:r w:rsidR="00A749ED">
        <w:rPr>
          <w:rStyle w:val="FootnoteReference"/>
        </w:rPr>
        <w:footnoteReference w:id="69"/>
      </w:r>
      <w:r w:rsidR="00094BC7">
        <w:t xml:space="preserve"> </w:t>
      </w:r>
    </w:p>
    <w:p w14:paraId="4504A757" w14:textId="5D098CE7" w:rsidR="00F7183A" w:rsidRDefault="00676D5B" w:rsidP="00821506">
      <w:r>
        <w:t xml:space="preserve">Similar research </w:t>
      </w:r>
      <w:r w:rsidR="00BA7832">
        <w:t xml:space="preserve">was conducted </w:t>
      </w:r>
      <w:r>
        <w:t xml:space="preserve">on </w:t>
      </w:r>
      <w:r w:rsidR="006E201D">
        <w:t xml:space="preserve">common, </w:t>
      </w:r>
      <w:r w:rsidR="003D5160">
        <w:t>‘</w:t>
      </w:r>
      <w:r w:rsidR="006E201D">
        <w:t>classical</w:t>
      </w:r>
      <w:r w:rsidR="003D5160">
        <w:t>’</w:t>
      </w:r>
      <w:r w:rsidR="006E201D">
        <w:t xml:space="preserve"> </w:t>
      </w:r>
      <w:r w:rsidR="006F2A89">
        <w:t>curriculum</w:t>
      </w:r>
      <w:r w:rsidR="003D5160">
        <w:t>,</w:t>
      </w:r>
      <w:r w:rsidR="0060422C">
        <w:t xml:space="preserve"> </w:t>
      </w:r>
      <w:r w:rsidR="00DC22DD">
        <w:t xml:space="preserve">through which all students access </w:t>
      </w:r>
      <w:r w:rsidR="006F2A89">
        <w:t xml:space="preserve">strong foundation in the same core subjects, </w:t>
      </w:r>
      <w:r w:rsidR="0060422C">
        <w:t>versus differentiated</w:t>
      </w:r>
      <w:r w:rsidR="006F2A89">
        <w:t xml:space="preserve"> and </w:t>
      </w:r>
      <w:r w:rsidR="00D55BF5">
        <w:t>‘</w:t>
      </w:r>
      <w:r w:rsidR="006F2A89">
        <w:t>post-modern</w:t>
      </w:r>
      <w:r w:rsidR="00D55BF5">
        <w:t>’</w:t>
      </w:r>
      <w:r w:rsidR="0060422C">
        <w:t xml:space="preserve"> curriculums</w:t>
      </w:r>
      <w:r w:rsidR="00D55BF5">
        <w:t>,</w:t>
      </w:r>
      <w:r w:rsidR="0060422C">
        <w:t xml:space="preserve"> </w:t>
      </w:r>
      <w:r w:rsidR="006F2A89">
        <w:t xml:space="preserve">which can </w:t>
      </w:r>
      <w:r w:rsidR="00E70E37">
        <w:t xml:space="preserve">lead to </w:t>
      </w:r>
      <w:r w:rsidR="006F2A89">
        <w:t xml:space="preserve">lower SES students </w:t>
      </w:r>
      <w:r w:rsidR="00E70E37">
        <w:t>being offered a narrower</w:t>
      </w:r>
      <w:r w:rsidR="006F2A89">
        <w:t xml:space="preserve"> or altered curriculum</w:t>
      </w:r>
      <w:r w:rsidR="00BA7832">
        <w:t xml:space="preserve"> (i.e.</w:t>
      </w:r>
      <w:r w:rsidR="00C006BE">
        <w:t>,</w:t>
      </w:r>
      <w:r w:rsidR="00BA7832">
        <w:t xml:space="preserve"> a similar experience to students who are ‘tracked’. It showed a positive correlation </w:t>
      </w:r>
      <w:r w:rsidR="008D3D5C">
        <w:t xml:space="preserve">between the </w:t>
      </w:r>
      <w:r w:rsidR="00D206DB">
        <w:t>c</w:t>
      </w:r>
      <w:r w:rsidR="00114FE9">
        <w:t xml:space="preserve">ommon curriculum and </w:t>
      </w:r>
      <w:r w:rsidR="006F2A89">
        <w:t>higher academic performance, equity and social mixing.</w:t>
      </w:r>
      <w:r w:rsidR="0046500F">
        <w:t xml:space="preserve"> Conversely, a shift from a common, classical approach to a post-modern curricular approach has been linked to declines in performance and equity in Finland, Sweden and beyond.</w:t>
      </w:r>
      <w:r w:rsidR="0046500F">
        <w:rPr>
          <w:rStyle w:val="FootnoteReference"/>
        </w:rPr>
        <w:footnoteReference w:id="70"/>
      </w:r>
    </w:p>
    <w:p w14:paraId="6D7955FD" w14:textId="39365740" w:rsidR="00D93B78" w:rsidRDefault="00D93B78" w:rsidP="00E477D7">
      <w:pPr>
        <w:pStyle w:val="Heading5"/>
      </w:pPr>
      <w:r>
        <w:t>Education outcomes</w:t>
      </w:r>
    </w:p>
    <w:p w14:paraId="32A94750" w14:textId="12229069" w:rsidR="00D663CA" w:rsidRPr="00D93B78" w:rsidRDefault="005A2931" w:rsidP="009A03AF">
      <w:pPr>
        <w:pStyle w:val="Heading5"/>
        <w:rPr>
          <w:b w:val="0"/>
          <w:bCs/>
        </w:rPr>
      </w:pPr>
      <w:r w:rsidRPr="00E45782">
        <w:rPr>
          <w:rFonts w:asciiTheme="majorHAnsi" w:hAnsiTheme="majorHAnsi" w:cstheme="majorHAnsi"/>
          <w:bCs/>
          <w:noProof/>
        </w:rPr>
        <mc:AlternateContent>
          <mc:Choice Requires="wps">
            <w:drawing>
              <wp:anchor distT="0" distB="0" distL="114300" distR="114300" simplePos="0" relativeHeight="251658244" behindDoc="0" locked="0" layoutInCell="1" allowOverlap="1" wp14:anchorId="5E10C755" wp14:editId="29B38F4A">
                <wp:simplePos x="0" y="0"/>
                <wp:positionH relativeFrom="column">
                  <wp:posOffset>4167167</wp:posOffset>
                </wp:positionH>
                <wp:positionV relativeFrom="paragraph">
                  <wp:posOffset>-108607</wp:posOffset>
                </wp:positionV>
                <wp:extent cx="1760855" cy="2066925"/>
                <wp:effectExtent l="0" t="0" r="0" b="0"/>
                <wp:wrapSquare wrapText="bothSides"/>
                <wp:docPr id="2025550640" name="Text Box 2025550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60855"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5C0DF" w14:textId="60C28E74" w:rsidR="00B007CB" w:rsidRDefault="00A72F1E" w:rsidP="00B95546">
                            <w:pPr>
                              <w:pStyle w:val="Callout"/>
                              <w:rPr>
                                <w:color w:val="F25E21" w:themeColor="accent2"/>
                              </w:rPr>
                            </w:pPr>
                            <w:r>
                              <w:rPr>
                                <w:color w:val="F25E21" w:themeColor="accent2"/>
                              </w:rPr>
                              <w:t>“</w:t>
                            </w:r>
                            <w:r w:rsidR="00E45782" w:rsidRPr="00E45782">
                              <w:rPr>
                                <w:color w:val="F25E21" w:themeColor="accent2"/>
                              </w:rPr>
                              <w:t>Poland’s dramatic</w:t>
                            </w:r>
                            <w:r w:rsidR="00E45782">
                              <w:rPr>
                                <w:color w:val="F25E21" w:themeColor="accent2"/>
                              </w:rPr>
                              <w:t xml:space="preserve"> </w:t>
                            </w:r>
                            <w:r w:rsidR="00E45782" w:rsidRPr="00E45782">
                              <w:rPr>
                                <w:color w:val="F25E21" w:themeColor="accent2"/>
                              </w:rPr>
                              <w:t>improvement in quality following the abandonment of streamin</w:t>
                            </w:r>
                            <w:r w:rsidR="00CB0CB8">
                              <w:rPr>
                                <w:color w:val="F25E21" w:themeColor="accent2"/>
                              </w:rPr>
                              <w:t xml:space="preserve">g and </w:t>
                            </w:r>
                            <w:r w:rsidR="00CB0CB8" w:rsidRPr="00CB0CB8">
                              <w:rPr>
                                <w:color w:val="F25E21" w:themeColor="accent2"/>
                              </w:rPr>
                              <w:t>the introduction of</w:t>
                            </w:r>
                            <w:r w:rsidR="00CB0CB8">
                              <w:rPr>
                                <w:color w:val="F25E21" w:themeColor="accent2"/>
                              </w:rPr>
                              <w:t xml:space="preserve"> </w:t>
                            </w:r>
                            <w:r w:rsidR="00CB0CB8" w:rsidRPr="00CB0CB8">
                              <w:rPr>
                                <w:color w:val="F25E21" w:themeColor="accent2"/>
                              </w:rPr>
                              <w:t>comprehensive secondary schools</w:t>
                            </w:r>
                            <w:r w:rsidR="005A2931">
                              <w:rPr>
                                <w:color w:val="F25E21" w:themeColor="accent2"/>
                              </w:rPr>
                              <w:t xml:space="preserve"> </w:t>
                            </w:r>
                            <w:r w:rsidR="00E45782" w:rsidRPr="00E45782">
                              <w:rPr>
                                <w:color w:val="F25E21" w:themeColor="accent2"/>
                              </w:rPr>
                              <w:t>can challenge Australia to examine the impact of the marked</w:t>
                            </w:r>
                            <w:r w:rsidR="00B007CB">
                              <w:rPr>
                                <w:color w:val="F25E21" w:themeColor="accent2"/>
                              </w:rPr>
                              <w:t xml:space="preserve"> </w:t>
                            </w:r>
                            <w:r w:rsidR="00E45782" w:rsidRPr="00E45782">
                              <w:rPr>
                                <w:color w:val="F25E21" w:themeColor="accent2"/>
                              </w:rPr>
                              <w:t>differentiation among its schools in resources and governance models.</w:t>
                            </w:r>
                            <w:r w:rsidR="00B007CB">
                              <w:rPr>
                                <w:color w:val="F25E21" w:themeColor="accent2"/>
                              </w:rPr>
                              <w:t>”</w:t>
                            </w:r>
                          </w:p>
                          <w:p w14:paraId="4CE33CC8" w14:textId="05DAE614" w:rsidR="00E45782" w:rsidRPr="00885462" w:rsidRDefault="005A2931" w:rsidP="00F81BDB">
                            <w:pPr>
                              <w:pStyle w:val="Callout"/>
                              <w:jc w:val="right"/>
                              <w:rPr>
                                <w:color w:val="F25E21" w:themeColor="accent2"/>
                              </w:rPr>
                            </w:pPr>
                            <w:r>
                              <w:rPr>
                                <w:color w:val="F25E21" w:themeColor="accent2"/>
                                <w:sz w:val="18"/>
                                <w:szCs w:val="18"/>
                              </w:rPr>
                              <w:t>B. McGaw</w:t>
                            </w:r>
                            <w:r w:rsidR="00B007CB">
                              <w:rPr>
                                <w:color w:val="F25E21" w:themeColor="accent2"/>
                                <w:sz w:val="18"/>
                                <w:szCs w:val="18"/>
                              </w:rPr>
                              <w:t xml:space="preserve"> </w:t>
                            </w:r>
                            <w:r w:rsidR="005F780D">
                              <w:rPr>
                                <w:color w:val="F25E21" w:themeColor="accent2"/>
                                <w:sz w:val="18"/>
                                <w:szCs w:val="18"/>
                              </w:rPr>
                              <w:t>2021</w:t>
                            </w:r>
                            <w:r w:rsidR="00B007CB">
                              <w:rPr>
                                <w:color w:val="F25E21" w:themeColor="accent2"/>
                                <w:sz w:val="18"/>
                                <w:szCs w:val="18"/>
                              </w:rPr>
                              <w:t xml:space="preserve"> </w:t>
                            </w:r>
                            <w:r w:rsidR="005F780D" w:rsidRPr="005F780D">
                              <w:rPr>
                                <w:i/>
                                <w:color w:val="F25E21" w:themeColor="accent2"/>
                                <w:sz w:val="18"/>
                                <w:szCs w:val="18"/>
                              </w:rPr>
                              <w:t>Quality and equity in education: simultaneous pursuits or trade-offs</w:t>
                            </w:r>
                            <w:r w:rsidR="005F780D">
                              <w:rPr>
                                <w:i/>
                                <w:color w:val="F25E21" w:themeColor="accent2"/>
                                <w:sz w:val="18"/>
                                <w:szCs w:val="18"/>
                              </w:rPr>
                              <w:t>?</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E10C755" id="Text Box 2025550640" o:spid="_x0000_s1028" type="#_x0000_t202" alt="&quot;&quot;" style="position:absolute;left:0;text-align:left;margin-left:328.1pt;margin-top:-8.55pt;width:138.65pt;height:16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irOegIAAGkFAAAOAAAAZHJzL2Uyb0RvYy54bWysVEtv2zAMvg/YfxB0X+ykS9oFdYqsRYYB&#10;QVusHXpWZKkxJouaxMTOfv0o2Xms66XDLjJpvsRPH3l51daGbZUPFdiCDwc5Z8pKKCv7XPDvj4sP&#10;F5wFFLYUBqwq+E4FfjV7/+6ycVM1gjWYUnlGSWyYNq7ga0Q3zbIg16oWYQBOWTJq8LVAUv1zVnrR&#10;UPbaZKM8n2QN+NJ5kCoE+nvTGfks5ddaSbzTOihkpuB0N0ynT+cqntnsUkyfvXDrSvbXEP9wi1pU&#10;looeUt0IFGzjq79S1ZX0EEDjQEKdgdaVVKkH6maYv+jmYS2cSr0QOMEdYAr/L6283T64e8+w/Qwt&#10;PWAEpHFhGuhn7KfVvo5fuikjO0G4O8CmWmQyBp1P8ovxmDNJtlE+mXwajWOe7BjufMAvCmoWhYJ7&#10;epcEl9guA3aue5dYLYCpykVlTFIiF9S18Wwr6BUNpktS8j+8jGVNwSdn4zwlthDDu8zGxjQqsaEv&#10;d2wxSbgzKvoY+01pVpWp01dqCymVPdRP3tFLU6m3BPb+x1u9JbjrgyJSZbB4CK4rCz51n8bnCFn5&#10;Yw+Z7vzpbU76jiK2q5Yap/fbM2AF5Y6I4aGbmeDkoqLHW4qA98LTkBAXaPDxjg5tgMCHXuJsDf7X&#10;a/+jP3GXrJw1NHQFDz83wivOzFdLrI4TmoSP4/MRKT4pZ5M8J2V1arGb+hqIDUNaL04mMfqj2Yva&#10;Q/1Eu2EeK5JJWEl1C4578Rq7NUC7Rar5PDnRTDqBS/vgZEwdEY60fGyfhHc9d5Fofwv70RTTFxTu&#10;fGNkcPMNEg0TvyPGHaI99jTPaUL63RMXxqmevI4bcvYbAAD//wMAUEsDBBQABgAIAAAAIQBQTAq1&#10;4gAAAAsBAAAPAAAAZHJzL2Rvd25yZXYueG1sTI/LTsMwEEX3SPyDNUhsUGsnoaGEOBXiIYpYUdiw&#10;c+NpHLDHUey24e8xK1iO7tG9Z+rV5Cw74Bh6TxKyuQCG1HrdUyfh/e1xtgQWoiKtrCeU8I0BVs3p&#10;Sa0q7Y/0iodN7FgqoVApCSbGoeI8tAadCnM/IKVs50enYjrHjutRHVO5szwXouRO9ZQWjBrwzmD7&#10;tdk7CWv+mevnF/Pw8ZSJ+zVd7Kz3XMrzs+n2BljEKf7B8Kuf1KFJTlu/Jx2YlVAuyjyhEmbZVQYs&#10;EddFsQC2lVCI5SXwpub/f2h+AAAA//8DAFBLAQItABQABgAIAAAAIQC2gziS/gAAAOEBAAATAAAA&#10;AAAAAAAAAAAAAAAAAABbQ29udGVudF9UeXBlc10ueG1sUEsBAi0AFAAGAAgAAAAhADj9If/WAAAA&#10;lAEAAAsAAAAAAAAAAAAAAAAALwEAAF9yZWxzLy5yZWxzUEsBAi0AFAAGAAgAAAAhAEzuKs56AgAA&#10;aQUAAA4AAAAAAAAAAAAAAAAALgIAAGRycy9lMm9Eb2MueG1sUEsBAi0AFAAGAAgAAAAhAFBMCrXi&#10;AAAACwEAAA8AAAAAAAAAAAAAAAAA1AQAAGRycy9kb3ducmV2LnhtbFBLBQYAAAAABAAEAPMAAADj&#10;BQAAAAA=&#10;" fillcolor="white [3201]" stroked="f" strokeweight=".5pt">
                <v:textbox style="mso-fit-shape-to-text:t" inset="0,,1mm">
                  <w:txbxContent>
                    <w:p w14:paraId="6065C0DF" w14:textId="60C28E74" w:rsidR="00B007CB" w:rsidRDefault="00A72F1E" w:rsidP="00B95546">
                      <w:pPr>
                        <w:pStyle w:val="Callout"/>
                        <w:rPr>
                          <w:color w:val="F25E21" w:themeColor="accent2"/>
                        </w:rPr>
                      </w:pPr>
                      <w:r>
                        <w:rPr>
                          <w:color w:val="F25E21" w:themeColor="accent2"/>
                        </w:rPr>
                        <w:t>“</w:t>
                      </w:r>
                      <w:r w:rsidR="00E45782" w:rsidRPr="00E45782">
                        <w:rPr>
                          <w:color w:val="F25E21" w:themeColor="accent2"/>
                        </w:rPr>
                        <w:t>Poland’s dramatic</w:t>
                      </w:r>
                      <w:r w:rsidR="00E45782">
                        <w:rPr>
                          <w:color w:val="F25E21" w:themeColor="accent2"/>
                        </w:rPr>
                        <w:t xml:space="preserve"> </w:t>
                      </w:r>
                      <w:r w:rsidR="00E45782" w:rsidRPr="00E45782">
                        <w:rPr>
                          <w:color w:val="F25E21" w:themeColor="accent2"/>
                        </w:rPr>
                        <w:t>improvement in quality following the abandonment of streamin</w:t>
                      </w:r>
                      <w:r w:rsidR="00CB0CB8">
                        <w:rPr>
                          <w:color w:val="F25E21" w:themeColor="accent2"/>
                        </w:rPr>
                        <w:t xml:space="preserve">g and </w:t>
                      </w:r>
                      <w:r w:rsidR="00CB0CB8" w:rsidRPr="00CB0CB8">
                        <w:rPr>
                          <w:color w:val="F25E21" w:themeColor="accent2"/>
                        </w:rPr>
                        <w:t>the introduction of</w:t>
                      </w:r>
                      <w:r w:rsidR="00CB0CB8">
                        <w:rPr>
                          <w:color w:val="F25E21" w:themeColor="accent2"/>
                        </w:rPr>
                        <w:t xml:space="preserve"> </w:t>
                      </w:r>
                      <w:r w:rsidR="00CB0CB8" w:rsidRPr="00CB0CB8">
                        <w:rPr>
                          <w:color w:val="F25E21" w:themeColor="accent2"/>
                        </w:rPr>
                        <w:t>comprehensive secondary schools</w:t>
                      </w:r>
                      <w:r w:rsidR="005A2931">
                        <w:rPr>
                          <w:color w:val="F25E21" w:themeColor="accent2"/>
                        </w:rPr>
                        <w:t xml:space="preserve"> </w:t>
                      </w:r>
                      <w:r w:rsidR="00E45782" w:rsidRPr="00E45782">
                        <w:rPr>
                          <w:color w:val="F25E21" w:themeColor="accent2"/>
                        </w:rPr>
                        <w:t>can challenge Australia to examine the impact of the marked</w:t>
                      </w:r>
                      <w:r w:rsidR="00B007CB">
                        <w:rPr>
                          <w:color w:val="F25E21" w:themeColor="accent2"/>
                        </w:rPr>
                        <w:t xml:space="preserve"> </w:t>
                      </w:r>
                      <w:r w:rsidR="00E45782" w:rsidRPr="00E45782">
                        <w:rPr>
                          <w:color w:val="F25E21" w:themeColor="accent2"/>
                        </w:rPr>
                        <w:t>differentiation among its schools in resources and governance models.</w:t>
                      </w:r>
                      <w:r w:rsidR="00B007CB">
                        <w:rPr>
                          <w:color w:val="F25E21" w:themeColor="accent2"/>
                        </w:rPr>
                        <w:t>”</w:t>
                      </w:r>
                    </w:p>
                    <w:p w14:paraId="4CE33CC8" w14:textId="05DAE614" w:rsidR="00E45782" w:rsidRPr="00885462" w:rsidRDefault="005A2931" w:rsidP="00F81BDB">
                      <w:pPr>
                        <w:pStyle w:val="Callout"/>
                        <w:jc w:val="right"/>
                        <w:rPr>
                          <w:color w:val="F25E21" w:themeColor="accent2"/>
                        </w:rPr>
                      </w:pPr>
                      <w:r>
                        <w:rPr>
                          <w:color w:val="F25E21" w:themeColor="accent2"/>
                          <w:sz w:val="18"/>
                          <w:szCs w:val="18"/>
                        </w:rPr>
                        <w:t>B. McGaw</w:t>
                      </w:r>
                      <w:r w:rsidR="00B007CB">
                        <w:rPr>
                          <w:color w:val="F25E21" w:themeColor="accent2"/>
                          <w:sz w:val="18"/>
                          <w:szCs w:val="18"/>
                        </w:rPr>
                        <w:t xml:space="preserve"> </w:t>
                      </w:r>
                      <w:r w:rsidR="005F780D">
                        <w:rPr>
                          <w:color w:val="F25E21" w:themeColor="accent2"/>
                          <w:sz w:val="18"/>
                          <w:szCs w:val="18"/>
                        </w:rPr>
                        <w:t>2021</w:t>
                      </w:r>
                      <w:r w:rsidR="00B007CB">
                        <w:rPr>
                          <w:color w:val="F25E21" w:themeColor="accent2"/>
                          <w:sz w:val="18"/>
                          <w:szCs w:val="18"/>
                        </w:rPr>
                        <w:t xml:space="preserve"> </w:t>
                      </w:r>
                      <w:r w:rsidR="005F780D" w:rsidRPr="005F780D">
                        <w:rPr>
                          <w:i/>
                          <w:color w:val="F25E21" w:themeColor="accent2"/>
                          <w:sz w:val="18"/>
                          <w:szCs w:val="18"/>
                        </w:rPr>
                        <w:t>Quality and equity in education: simultaneous pursuits or trade-offs</w:t>
                      </w:r>
                      <w:r w:rsidR="005F780D">
                        <w:rPr>
                          <w:i/>
                          <w:color w:val="F25E21" w:themeColor="accent2"/>
                          <w:sz w:val="18"/>
                          <w:szCs w:val="18"/>
                        </w:rPr>
                        <w:t>?</w:t>
                      </w:r>
                    </w:p>
                  </w:txbxContent>
                </v:textbox>
                <w10:wrap type="square"/>
              </v:shape>
            </w:pict>
          </mc:Fallback>
        </mc:AlternateContent>
      </w:r>
      <w:r w:rsidR="00C0247D" w:rsidRPr="00D93B78">
        <w:rPr>
          <w:b w:val="0"/>
          <w:bCs/>
        </w:rPr>
        <w:t xml:space="preserve">The positive impact </w:t>
      </w:r>
      <w:r w:rsidR="00332CDE">
        <w:rPr>
          <w:b w:val="0"/>
          <w:bCs/>
        </w:rPr>
        <w:t xml:space="preserve">of reduced academic selectivity </w:t>
      </w:r>
      <w:r w:rsidR="00C0247D" w:rsidRPr="00D93B78">
        <w:rPr>
          <w:b w:val="0"/>
          <w:bCs/>
        </w:rPr>
        <w:t>on education o</w:t>
      </w:r>
      <w:r w:rsidR="00D663CA" w:rsidRPr="00D93B78">
        <w:rPr>
          <w:b w:val="0"/>
          <w:bCs/>
        </w:rPr>
        <w:t>utcomes</w:t>
      </w:r>
      <w:r w:rsidR="00C0247D" w:rsidRPr="00D93B78">
        <w:rPr>
          <w:b w:val="0"/>
          <w:bCs/>
        </w:rPr>
        <w:t xml:space="preserve"> is compelling</w:t>
      </w:r>
      <w:r w:rsidR="00D93B78" w:rsidRPr="00D93B78">
        <w:rPr>
          <w:b w:val="0"/>
          <w:bCs/>
        </w:rPr>
        <w:t>.</w:t>
      </w:r>
    </w:p>
    <w:p w14:paraId="61AF9BF6" w14:textId="77777777" w:rsidR="001D3301" w:rsidRDefault="00D663CA" w:rsidP="00D663CA">
      <w:r>
        <w:t xml:space="preserve">In </w:t>
      </w:r>
      <w:r w:rsidRPr="00803E77">
        <w:rPr>
          <w:rFonts w:asciiTheme="majorHAnsi" w:hAnsiTheme="majorHAnsi" w:cstheme="majorHAnsi"/>
        </w:rPr>
        <w:t>Chile</w:t>
      </w:r>
      <w:r>
        <w:t>, b</w:t>
      </w:r>
      <w:r w:rsidRPr="00803E77">
        <w:t>etween 2009 and 2015, the proportion of school admissions based on academic performance fell by 16 percentage points</w:t>
      </w:r>
      <w:r w:rsidR="00332CDE">
        <w:t>. E</w:t>
      </w:r>
      <w:r w:rsidRPr="00803E77">
        <w:t xml:space="preserve">ncouragingly, these measures improved student outcomes across the board while also </w:t>
      </w:r>
      <w:r>
        <w:t>narrowing</w:t>
      </w:r>
      <w:r w:rsidRPr="00803E77">
        <w:t xml:space="preserve"> the achievement gap between disadvantaged and advantaged students.</w:t>
      </w:r>
      <w:r w:rsidR="00A809FF">
        <w:t xml:space="preserve"> </w:t>
      </w:r>
      <w:r w:rsidR="003F07BD">
        <w:rPr>
          <w:rStyle w:val="FootnoteReference"/>
        </w:rPr>
        <w:footnoteReference w:id="71"/>
      </w:r>
    </w:p>
    <w:p w14:paraId="477BE788" w14:textId="5C1046DD" w:rsidR="00E3708B" w:rsidRPr="00B8065F" w:rsidRDefault="00C0247D" w:rsidP="00BD6251">
      <w:pPr>
        <w:rPr>
          <w:rFonts w:eastAsia="MS Mincho"/>
          <w:lang w:val="en-US"/>
        </w:rPr>
      </w:pPr>
      <w:r w:rsidRPr="00C0247D">
        <w:rPr>
          <w:rFonts w:asciiTheme="minorHAnsi" w:hAnsiTheme="minorHAnsi" w:cstheme="minorHAnsi"/>
        </w:rPr>
        <w:t>In</w:t>
      </w:r>
      <w:r>
        <w:rPr>
          <w:rFonts w:asciiTheme="majorHAnsi" w:hAnsiTheme="majorHAnsi" w:cstheme="majorHAnsi"/>
        </w:rPr>
        <w:t xml:space="preserve"> Poland, </w:t>
      </w:r>
      <w:r w:rsidRPr="00C0247D">
        <w:rPr>
          <w:rFonts w:asciiTheme="minorHAnsi" w:hAnsiTheme="minorHAnsi" w:cstheme="minorHAnsi"/>
        </w:rPr>
        <w:t>d</w:t>
      </w:r>
      <w:r w:rsidR="00BB0F5F" w:rsidRPr="00C0247D">
        <w:rPr>
          <w:rFonts w:asciiTheme="minorHAnsi" w:hAnsiTheme="minorHAnsi" w:cstheme="minorHAnsi"/>
        </w:rPr>
        <w:t xml:space="preserve">elaying </w:t>
      </w:r>
      <w:r w:rsidR="00E3708B" w:rsidRPr="00C0247D">
        <w:rPr>
          <w:rFonts w:asciiTheme="minorHAnsi" w:hAnsiTheme="minorHAnsi" w:cstheme="minorHAnsi"/>
        </w:rPr>
        <w:t xml:space="preserve">academic </w:t>
      </w:r>
      <w:r w:rsidR="003751C5" w:rsidRPr="00C0247D">
        <w:rPr>
          <w:rFonts w:asciiTheme="minorHAnsi" w:hAnsiTheme="minorHAnsi" w:cstheme="minorHAnsi"/>
        </w:rPr>
        <w:t>tracking</w:t>
      </w:r>
      <w:r w:rsidR="00E3708B" w:rsidRPr="00C0247D">
        <w:rPr>
          <w:rFonts w:asciiTheme="minorHAnsi" w:hAnsiTheme="minorHAnsi" w:cstheme="minorHAnsi"/>
        </w:rPr>
        <w:t xml:space="preserve"> was shown to drastically improve educational outcomes</w:t>
      </w:r>
      <w:r>
        <w:rPr>
          <w:rFonts w:asciiTheme="majorHAnsi" w:hAnsiTheme="majorHAnsi" w:cstheme="majorHAnsi"/>
        </w:rPr>
        <w:t xml:space="preserve">. </w:t>
      </w:r>
      <w:r w:rsidR="00B8065F" w:rsidRPr="567522F5">
        <w:rPr>
          <w:rFonts w:eastAsia="MS Mincho"/>
          <w:lang w:val="en-US"/>
        </w:rPr>
        <w:t>Inter-school variation and reading proficiency improved, moving from below the OECD average to above the OECD average by 2009 for both metrics.</w:t>
      </w:r>
      <w:r w:rsidR="00A45ED0">
        <w:rPr>
          <w:rStyle w:val="FootnoteReference"/>
          <w:rFonts w:eastAsia="MS Mincho"/>
          <w:lang w:val="en-US"/>
        </w:rPr>
        <w:footnoteReference w:id="72"/>
      </w:r>
    </w:p>
    <w:p w14:paraId="293A9EDC" w14:textId="2CFED718" w:rsidR="00027695" w:rsidRDefault="00980142" w:rsidP="00BD6251">
      <w:r>
        <w:rPr>
          <w:rFonts w:eastAsia="MS Mincho"/>
          <w:lang w:val="en-US"/>
        </w:rPr>
        <w:t xml:space="preserve">The hypothesis underpinning Poland’s results is that </w:t>
      </w:r>
      <w:r w:rsidRPr="00980142">
        <w:t xml:space="preserve">students </w:t>
      </w:r>
      <w:r>
        <w:t xml:space="preserve">who have been ‘tracked’ into non-academic streams </w:t>
      </w:r>
      <w:r w:rsidRPr="00980142">
        <w:t xml:space="preserve">may internalise negative perceptions </w:t>
      </w:r>
      <w:r w:rsidR="007070A9">
        <w:t xml:space="preserve">of </w:t>
      </w:r>
      <w:r w:rsidRPr="00980142">
        <w:t>their abilities, leading to a lower self-esteem</w:t>
      </w:r>
      <w:r w:rsidR="00AF2221">
        <w:t xml:space="preserve">. </w:t>
      </w:r>
      <w:r w:rsidR="0019472E">
        <w:t>Reversing or delaying this tracking, therefore</w:t>
      </w:r>
      <w:r w:rsidR="00BD6251">
        <w:t>,</w:t>
      </w:r>
      <w:r w:rsidR="0019472E">
        <w:t xml:space="preserve"> </w:t>
      </w:r>
      <w:r w:rsidR="00C93228">
        <w:t xml:space="preserve">keeps </w:t>
      </w:r>
      <w:r w:rsidR="00FD118D">
        <w:t xml:space="preserve">expectations </w:t>
      </w:r>
      <w:r w:rsidR="00AF2221">
        <w:t>and motivation higher.</w:t>
      </w:r>
    </w:p>
    <w:p w14:paraId="478E7D26" w14:textId="77777777" w:rsidR="00027695" w:rsidRDefault="00027695">
      <w:pPr>
        <w:spacing w:after="160"/>
      </w:pPr>
      <w:r>
        <w:br w:type="page"/>
      </w:r>
    </w:p>
    <w:p w14:paraId="4A2C9073" w14:textId="77777777" w:rsidR="005E0809" w:rsidRDefault="005E0809" w:rsidP="005E0809">
      <w:pPr>
        <w:pStyle w:val="Heading3"/>
      </w:pPr>
      <w:r>
        <w:lastRenderedPageBreak/>
        <w:t>Evidence base</w:t>
      </w:r>
    </w:p>
    <w:p w14:paraId="1E875364" w14:textId="11317A7B" w:rsidR="004A1B49" w:rsidRPr="009904A7" w:rsidRDefault="00D765AE" w:rsidP="005E0809">
      <w:pPr>
        <w:rPr>
          <w:rFonts w:asciiTheme="minorHAnsi" w:hAnsiTheme="minorHAnsi" w:cstheme="minorHAnsi"/>
        </w:rPr>
      </w:pPr>
      <w:r w:rsidRPr="15380E17">
        <w:rPr>
          <w:rFonts w:asciiTheme="minorHAnsi" w:hAnsiTheme="minorHAnsi"/>
        </w:rPr>
        <w:t>It is important to note that r</w:t>
      </w:r>
      <w:r w:rsidR="00597655" w:rsidRPr="15380E17">
        <w:rPr>
          <w:rFonts w:asciiTheme="minorHAnsi" w:hAnsiTheme="minorHAnsi"/>
        </w:rPr>
        <w:t xml:space="preserve">educing academic selectivity was </w:t>
      </w:r>
      <w:r w:rsidR="00626DE9" w:rsidRPr="15380E17">
        <w:rPr>
          <w:rFonts w:asciiTheme="minorHAnsi" w:hAnsiTheme="minorHAnsi"/>
        </w:rPr>
        <w:t>one</w:t>
      </w:r>
      <w:r w:rsidR="00597655" w:rsidRPr="15380E17">
        <w:rPr>
          <w:rFonts w:asciiTheme="minorHAnsi" w:hAnsiTheme="minorHAnsi"/>
        </w:rPr>
        <w:t xml:space="preserve"> of </w:t>
      </w:r>
      <w:r w:rsidRPr="15380E17">
        <w:rPr>
          <w:rFonts w:asciiTheme="minorHAnsi" w:hAnsiTheme="minorHAnsi"/>
        </w:rPr>
        <w:t>several aspects</w:t>
      </w:r>
      <w:r w:rsidR="00626DE9" w:rsidRPr="15380E17">
        <w:rPr>
          <w:rFonts w:asciiTheme="minorHAnsi" w:hAnsiTheme="minorHAnsi"/>
        </w:rPr>
        <w:t xml:space="preserve"> of Chile’s </w:t>
      </w:r>
      <w:r w:rsidR="009904A7" w:rsidRPr="15380E17">
        <w:rPr>
          <w:rFonts w:asciiTheme="minorHAnsi" w:hAnsiTheme="minorHAnsi"/>
        </w:rPr>
        <w:t>school system</w:t>
      </w:r>
      <w:r w:rsidR="0053543B">
        <w:rPr>
          <w:rFonts w:asciiTheme="minorHAnsi" w:hAnsiTheme="minorHAnsi"/>
        </w:rPr>
        <w:t xml:space="preserve">, which also </w:t>
      </w:r>
      <w:r w:rsidR="009904A7" w:rsidRPr="15380E17">
        <w:rPr>
          <w:rFonts w:asciiTheme="minorHAnsi" w:hAnsiTheme="minorHAnsi"/>
        </w:rPr>
        <w:t>included</w:t>
      </w:r>
      <w:r w:rsidR="00E5418B" w:rsidRPr="093C10B4">
        <w:rPr>
          <w:rFonts w:asciiTheme="minorHAnsi" w:hAnsiTheme="minorHAnsi"/>
        </w:rPr>
        <w:t xml:space="preserve"> removal of school fees, </w:t>
      </w:r>
      <w:r w:rsidR="00742E95" w:rsidRPr="093C10B4">
        <w:rPr>
          <w:rFonts w:asciiTheme="minorHAnsi" w:hAnsiTheme="minorHAnsi"/>
        </w:rPr>
        <w:t xml:space="preserve">as well as taking part in an accountability system </w:t>
      </w:r>
      <w:r w:rsidR="00E005DD" w:rsidRPr="093C10B4">
        <w:rPr>
          <w:rFonts w:asciiTheme="minorHAnsi" w:hAnsiTheme="minorHAnsi"/>
        </w:rPr>
        <w:t xml:space="preserve">that made schools responsible for the use of financial resources </w:t>
      </w:r>
      <w:r w:rsidR="008F3AFE" w:rsidRPr="093C10B4">
        <w:rPr>
          <w:rFonts w:asciiTheme="minorHAnsi" w:hAnsiTheme="minorHAnsi"/>
        </w:rPr>
        <w:t>to demonstrate improved student outcomes.</w:t>
      </w:r>
      <w:r w:rsidR="003566E9" w:rsidRPr="093C10B4">
        <w:rPr>
          <w:rStyle w:val="FootnoteReference"/>
          <w:rFonts w:asciiTheme="minorHAnsi" w:hAnsiTheme="minorHAnsi"/>
        </w:rPr>
        <w:footnoteReference w:id="73"/>
      </w:r>
      <w:r w:rsidR="009A15A9">
        <w:rPr>
          <w:rFonts w:asciiTheme="minorHAnsi" w:hAnsiTheme="minorHAnsi"/>
        </w:rPr>
        <w:t xml:space="preserve"> </w:t>
      </w:r>
      <w:r w:rsidR="004B149C" w:rsidRPr="093C10B4">
        <w:rPr>
          <w:rFonts w:asciiTheme="minorHAnsi" w:hAnsiTheme="minorHAnsi"/>
        </w:rPr>
        <w:t xml:space="preserve">Therefore it </w:t>
      </w:r>
      <w:r w:rsidR="00494607">
        <w:rPr>
          <w:rFonts w:asciiTheme="minorHAnsi" w:hAnsiTheme="minorHAnsi"/>
        </w:rPr>
        <w:t>is difficult to attribute improved outcomes to this single intervention.</w:t>
      </w:r>
    </w:p>
    <w:p w14:paraId="2A7FDAC9" w14:textId="4E4FCCB2" w:rsidR="005E0809" w:rsidRPr="00301A6F" w:rsidRDefault="008E65EE" w:rsidP="005E0809">
      <w:pPr>
        <w:pStyle w:val="Heading3"/>
      </w:pPr>
      <w:r>
        <w:t>T</w:t>
      </w:r>
      <w:r w:rsidR="00D3087F">
        <w:t>ransferability</w:t>
      </w:r>
    </w:p>
    <w:p w14:paraId="10468FF6" w14:textId="25AE3FAD" w:rsidR="007B0490" w:rsidRPr="0086054F" w:rsidRDefault="00D37278">
      <w:pPr>
        <w:spacing w:after="160"/>
        <w:rPr>
          <w:lang w:eastAsia="en-AU"/>
        </w:rPr>
      </w:pPr>
      <w:r>
        <w:rPr>
          <w:noProof/>
        </w:rPr>
        <w:drawing>
          <wp:inline distT="0" distB="0" distL="0" distR="0" wp14:anchorId="28CDA5CB" wp14:editId="3B4602FE">
            <wp:extent cx="5670000" cy="1662972"/>
            <wp:effectExtent l="0" t="0" r="6985" b="0"/>
            <wp:docPr id="810028305" name="Picture 810028305" descr="Lists the dimensions of transferability to the Australian context, with a medium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28305" name="Picture 810028305" descr="Lists the dimensions of transferability to the Australian context, with a medium level of transferability to Australia. "/>
                    <pic:cNvPicPr/>
                  </pic:nvPicPr>
                  <pic:blipFill>
                    <a:blip r:embed="rId28">
                      <a:extLst>
                        <a:ext uri="{28A0092B-C50C-407E-A947-70E740481C1C}">
                          <a14:useLocalDpi xmlns:a14="http://schemas.microsoft.com/office/drawing/2010/main" val="0"/>
                        </a:ext>
                      </a:extLst>
                    </a:blip>
                    <a:stretch>
                      <a:fillRect/>
                    </a:stretch>
                  </pic:blipFill>
                  <pic:spPr>
                    <a:xfrm>
                      <a:off x="0" y="0"/>
                      <a:ext cx="5670000" cy="1662972"/>
                    </a:xfrm>
                    <a:prstGeom prst="rect">
                      <a:avLst/>
                    </a:prstGeom>
                  </pic:spPr>
                </pic:pic>
              </a:graphicData>
            </a:graphic>
          </wp:inline>
        </w:drawing>
      </w:r>
    </w:p>
    <w:p w14:paraId="3B0A3621" w14:textId="4172A208" w:rsidR="002B19D2" w:rsidRDefault="00F85633" w:rsidP="0027577E">
      <w:pPr>
        <w:spacing w:after="160"/>
      </w:pPr>
      <w:r>
        <w:t>R</w:t>
      </w:r>
      <w:r w:rsidR="00895925">
        <w:t xml:space="preserve">educing </w:t>
      </w:r>
      <w:r w:rsidR="00900A69">
        <w:t xml:space="preserve">academic selectivity </w:t>
      </w:r>
      <w:r>
        <w:t>i</w:t>
      </w:r>
      <w:r w:rsidR="00F14EB6">
        <w:t>s doable but potentially f</w:t>
      </w:r>
      <w:r w:rsidR="00002C94">
        <w:t>raught</w:t>
      </w:r>
      <w:r w:rsidR="000E32F9">
        <w:t xml:space="preserve"> </w:t>
      </w:r>
      <w:r w:rsidR="007F3EB2">
        <w:t xml:space="preserve">and </w:t>
      </w:r>
      <w:r w:rsidR="002A06B8">
        <w:t xml:space="preserve">with </w:t>
      </w:r>
      <w:r w:rsidR="008E6F3C">
        <w:t>uncertain benefits</w:t>
      </w:r>
      <w:r w:rsidR="00B4156B">
        <w:t>. It also really only applies</w:t>
      </w:r>
      <w:r w:rsidR="008E6F3C">
        <w:t xml:space="preserve"> </w:t>
      </w:r>
      <w:r w:rsidR="000E32F9">
        <w:t xml:space="preserve">in the three </w:t>
      </w:r>
      <w:r w:rsidR="007F3EB2">
        <w:t>jurisdictions</w:t>
      </w:r>
      <w:r w:rsidR="000E32F9">
        <w:t xml:space="preserve"> with </w:t>
      </w:r>
      <w:r w:rsidR="00294E3B">
        <w:t>selective public schools</w:t>
      </w:r>
      <w:r w:rsidR="005C33BE">
        <w:t xml:space="preserve">. </w:t>
      </w:r>
      <w:r w:rsidR="0027577E" w:rsidRPr="008B3FFD">
        <w:t>Backtracking on selective public schools will be challenging given their appeal to parents of those selected</w:t>
      </w:r>
      <w:r w:rsidR="004D0987">
        <w:t>, and in the community</w:t>
      </w:r>
      <w:r w:rsidR="0027577E" w:rsidRPr="008B3FFD">
        <w:t xml:space="preserve">. </w:t>
      </w:r>
      <w:r w:rsidR="00A01B32">
        <w:t xml:space="preserve">However, </w:t>
      </w:r>
      <w:r w:rsidR="0027577E" w:rsidRPr="008B3FFD">
        <w:t>educators</w:t>
      </w:r>
      <w:r w:rsidR="002B19D2">
        <w:t xml:space="preserve"> (</w:t>
      </w:r>
      <w:r w:rsidR="0027577E" w:rsidRPr="008B3FFD">
        <w:t>and potentially parents</w:t>
      </w:r>
      <w:r w:rsidR="002B19D2">
        <w:t>)</w:t>
      </w:r>
      <w:r w:rsidR="0027577E" w:rsidRPr="008B3FFD">
        <w:t xml:space="preserve"> who are witnessing first-hand the negative impact of the selective school</w:t>
      </w:r>
      <w:r w:rsidR="002B19D2">
        <w:t>ing</w:t>
      </w:r>
      <w:r w:rsidR="0027577E" w:rsidRPr="008B3FFD">
        <w:t xml:space="preserve"> </w:t>
      </w:r>
      <w:r w:rsidR="00A01B32">
        <w:t>may</w:t>
      </w:r>
      <w:r w:rsidR="0027577E" w:rsidRPr="008B3FFD">
        <w:t xml:space="preserve"> be </w:t>
      </w:r>
      <w:r w:rsidR="00A01B32">
        <w:t xml:space="preserve">more </w:t>
      </w:r>
      <w:r w:rsidR="0027577E" w:rsidRPr="008B3FFD">
        <w:t xml:space="preserve">supportive. </w:t>
      </w:r>
    </w:p>
    <w:p w14:paraId="02015537" w14:textId="1E4AEA46" w:rsidR="0027577E" w:rsidRDefault="0027577E" w:rsidP="0027577E">
      <w:pPr>
        <w:spacing w:after="160"/>
      </w:pPr>
      <w:r w:rsidRPr="008B3FFD">
        <w:t>At a minimum there is an argument for jurisdictions with selective schools to adopt elements of the selection process used in Victoria</w:t>
      </w:r>
      <w:r w:rsidR="00D01910">
        <w:t xml:space="preserve">, where admission commences from Year 9 and priority is given to </w:t>
      </w:r>
      <w:r w:rsidR="007840DE">
        <w:t>marginalised cohorts</w:t>
      </w:r>
      <w:r w:rsidRPr="008B3FFD">
        <w:t>.</w:t>
      </w:r>
      <w:r w:rsidR="00A01B32">
        <w:t xml:space="preserve"> </w:t>
      </w:r>
      <w:r w:rsidR="00CE0720">
        <w:t>W</w:t>
      </w:r>
      <w:r w:rsidR="00A01B32">
        <w:t>hile m</w:t>
      </w:r>
      <w:r w:rsidR="00C6618D">
        <w:t>any</w:t>
      </w:r>
      <w:r w:rsidR="00A01B32">
        <w:t xml:space="preserve"> would recognise th</w:t>
      </w:r>
      <w:r w:rsidR="00CE0720">
        <w:t xml:space="preserve">is reform to </w:t>
      </w:r>
      <w:r w:rsidR="00C6618D">
        <w:t>selective schools</w:t>
      </w:r>
      <w:r w:rsidR="00A01B32">
        <w:t xml:space="preserve"> as fairer, </w:t>
      </w:r>
      <w:r w:rsidR="00C6618D">
        <w:t xml:space="preserve">it is uncertain whether </w:t>
      </w:r>
      <w:r w:rsidR="006636FB">
        <w:t>advantaged families and the general public</w:t>
      </w:r>
      <w:r w:rsidR="00A01B32">
        <w:t xml:space="preserve"> recognise the scale of the problem</w:t>
      </w:r>
      <w:r w:rsidR="006636FB">
        <w:t xml:space="preserve"> and current inequities</w:t>
      </w:r>
      <w:r w:rsidR="005A5D2C">
        <w:t>. They may</w:t>
      </w:r>
      <w:r w:rsidR="00A01B32">
        <w:t xml:space="preserve"> be wary or oppos</w:t>
      </w:r>
      <w:r w:rsidR="005A5D2C">
        <w:t>ed</w:t>
      </w:r>
      <w:r w:rsidR="00A01B32">
        <w:t xml:space="preserve"> to something they might perceive as social engineering or playing to special interest groups.</w:t>
      </w:r>
    </w:p>
    <w:p w14:paraId="0725A387" w14:textId="67B400CC" w:rsidR="00620D4A" w:rsidRDefault="00F6624C">
      <w:pPr>
        <w:spacing w:after="160"/>
      </w:pPr>
      <w:r>
        <w:t>H</w:t>
      </w:r>
      <w:r w:rsidR="00081FD2">
        <w:t xml:space="preserve">owever, </w:t>
      </w:r>
      <w:r w:rsidR="002B19D2">
        <w:t>even with these modifications to enhance</w:t>
      </w:r>
      <w:r w:rsidR="00081FD2">
        <w:t xml:space="preserve"> </w:t>
      </w:r>
      <w:r w:rsidR="00196CF5">
        <w:t xml:space="preserve">social-economic diversity, </w:t>
      </w:r>
      <w:r w:rsidR="00081FD2">
        <w:t xml:space="preserve">selective schools </w:t>
      </w:r>
      <w:r w:rsidR="005A5D2C">
        <w:t>would</w:t>
      </w:r>
      <w:r w:rsidR="00081FD2">
        <w:t xml:space="preserve"> still apply an academic filter</w:t>
      </w:r>
      <w:r w:rsidR="00523919">
        <w:t xml:space="preserve"> </w:t>
      </w:r>
      <w:r w:rsidR="00A66BA7">
        <w:t xml:space="preserve">which means </w:t>
      </w:r>
      <w:r w:rsidR="00081FD2">
        <w:t>no tang</w:t>
      </w:r>
      <w:r w:rsidR="000D60D0">
        <w:t xml:space="preserve">ible effect on the residualisation phenomenon. Indeed, they </w:t>
      </w:r>
      <w:r w:rsidR="00D470ED" w:rsidRPr="00D470ED">
        <w:t xml:space="preserve">risk further distorting the academic profile of the </w:t>
      </w:r>
      <w:r w:rsidR="000D60D0">
        <w:t xml:space="preserve">feeder schools that might </w:t>
      </w:r>
      <w:r w:rsidR="0029228A">
        <w:t>have a high concentration of disadvantaged students</w:t>
      </w:r>
      <w:r w:rsidR="007203B1">
        <w:t xml:space="preserve"> by accelerating or enabling the ‘brain drain’ and locking in negative peer effects. </w:t>
      </w:r>
    </w:p>
    <w:p w14:paraId="2645FAC8" w14:textId="33C3E086" w:rsidR="005E0809" w:rsidRPr="0086054F" w:rsidRDefault="00022296">
      <w:pPr>
        <w:spacing w:after="160"/>
      </w:pPr>
      <w:r>
        <w:t xml:space="preserve">With respect to tracking, a retreat from this practice </w:t>
      </w:r>
      <w:r w:rsidR="00CA3F28">
        <w:t xml:space="preserve">is less relevant </w:t>
      </w:r>
      <w:r w:rsidR="00204ADF">
        <w:t>in Aust</w:t>
      </w:r>
      <w:r w:rsidR="00CA3F28">
        <w:t xml:space="preserve">ralia as it has been falling out of favour for some time. </w:t>
      </w:r>
      <w:r w:rsidR="00F90112">
        <w:t xml:space="preserve">Moreover, the </w:t>
      </w:r>
      <w:r w:rsidR="00137C8B">
        <w:t>current policy focus on creating stronger parity between vocational and academic ‘</w:t>
      </w:r>
      <w:r w:rsidR="006F44B6">
        <w:t>leanings’</w:t>
      </w:r>
      <w:r w:rsidR="00137C8B">
        <w:t xml:space="preserve"> </w:t>
      </w:r>
      <w:r w:rsidR="00CD36C3">
        <w:t xml:space="preserve">is driving systems away from anything that looks like a ‘two-tier’ system. For example, Victoria is </w:t>
      </w:r>
      <w:r w:rsidR="00D97522">
        <w:t xml:space="preserve">abandoning its separate Year 12 </w:t>
      </w:r>
      <w:r w:rsidR="00F57009">
        <w:t>Certificate of Applied Learning, which was essentially the destination point for students tracked into a vocational stream</w:t>
      </w:r>
      <w:r w:rsidR="007840DE">
        <w:t xml:space="preserve"> of upper secondary school</w:t>
      </w:r>
      <w:r w:rsidR="00F57009">
        <w:t>. Instead</w:t>
      </w:r>
      <w:r w:rsidR="003D05A6">
        <w:t>,</w:t>
      </w:r>
      <w:r w:rsidR="00F57009">
        <w:t xml:space="preserve"> it is integrating its Year 12 qualifications</w:t>
      </w:r>
      <w:r w:rsidR="005B59B4">
        <w:t xml:space="preserve">, </w:t>
      </w:r>
      <w:r w:rsidR="00F57009">
        <w:t xml:space="preserve">still allowing for a ‘Vocational Major’ and school-based </w:t>
      </w:r>
      <w:r w:rsidR="005C4B96">
        <w:t>apprenticeships</w:t>
      </w:r>
      <w:r w:rsidR="00B641A1">
        <w:t xml:space="preserve">, but in so doing, seeking to consciously avoid creating two separate and impermeable pathways that hold higher and lower status. </w:t>
      </w:r>
      <w:r w:rsidR="00EA306A">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B763A6" w14:paraId="3A5BE545" w14:textId="77777777">
        <w:tc>
          <w:tcPr>
            <w:tcW w:w="9401" w:type="dxa"/>
            <w:tcBorders>
              <w:top w:val="single" w:sz="24" w:space="0" w:color="25B3E0" w:themeColor="accent6"/>
              <w:left w:val="nil"/>
              <w:bottom w:val="nil"/>
              <w:right w:val="nil"/>
            </w:tcBorders>
            <w:shd w:val="clear" w:color="auto" w:fill="E6E6E1" w:themeFill="accent5"/>
            <w:vAlign w:val="center"/>
          </w:tcPr>
          <w:p w14:paraId="11F68BBF" w14:textId="2C204770" w:rsidR="00B763A6" w:rsidRDefault="00B763A6">
            <w:pPr>
              <w:pStyle w:val="Heading2"/>
              <w:spacing w:before="120" w:after="120" w:line="240" w:lineRule="auto"/>
              <w:ind w:left="578" w:hanging="578"/>
            </w:pPr>
            <w:bookmarkStart w:id="19" w:name="_Toc149052453"/>
            <w:r>
              <w:lastRenderedPageBreak/>
              <w:t>School zone flexing and lotteries</w:t>
            </w:r>
            <w:bookmarkEnd w:id="19"/>
          </w:p>
        </w:tc>
      </w:tr>
      <w:tr w:rsidR="00B763A6" w14:paraId="67FC9E13" w14:textId="77777777">
        <w:tc>
          <w:tcPr>
            <w:tcW w:w="9401" w:type="dxa"/>
            <w:tcBorders>
              <w:top w:val="nil"/>
              <w:left w:val="nil"/>
              <w:bottom w:val="single" w:sz="4" w:space="0" w:color="25B3E0" w:themeColor="accent6"/>
              <w:right w:val="nil"/>
            </w:tcBorders>
            <w:shd w:val="clear" w:color="auto" w:fill="F2F2F2" w:themeFill="background1" w:themeFillShade="F2"/>
            <w:tcMar>
              <w:top w:w="113" w:type="dxa"/>
            </w:tcMar>
            <w:vAlign w:val="bottom"/>
          </w:tcPr>
          <w:p w14:paraId="72775B75" w14:textId="77777777" w:rsidR="00B763A6" w:rsidRPr="00130948" w:rsidRDefault="00B763A6">
            <w:r>
              <w:rPr>
                <w:noProof/>
              </w:rPr>
              <w:drawing>
                <wp:inline distT="0" distB="0" distL="0" distR="0" wp14:anchorId="6149216E" wp14:editId="4A12E364">
                  <wp:extent cx="3530172" cy="270665"/>
                  <wp:effectExtent l="0" t="0" r="0" b="0"/>
                  <wp:docPr id="773350886" name="Picture 7733508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50886" name="Picture 773350886">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598D049B" w14:textId="77777777" w:rsidR="002D5BFB" w:rsidRDefault="002D5BFB" w:rsidP="00C461EC">
      <w:pPr>
        <w:rPr>
          <w:lang w:eastAsia="en-AU"/>
        </w:rPr>
      </w:pPr>
    </w:p>
    <w:p w14:paraId="0D600605" w14:textId="4307974C" w:rsidR="00CB5582" w:rsidRDefault="00466F39" w:rsidP="00C461EC">
      <w:pPr>
        <w:rPr>
          <w:lang w:eastAsia="en-AU"/>
        </w:rPr>
      </w:pPr>
      <w:r>
        <w:rPr>
          <w:lang w:eastAsia="en-AU"/>
        </w:rPr>
        <w:t xml:space="preserve">School zone flexing </w:t>
      </w:r>
      <w:r w:rsidR="002A5816">
        <w:rPr>
          <w:lang w:eastAsia="en-AU"/>
        </w:rPr>
        <w:t xml:space="preserve">refers to </w:t>
      </w:r>
      <w:r w:rsidR="00EE3BFF">
        <w:rPr>
          <w:lang w:eastAsia="en-AU"/>
        </w:rPr>
        <w:t xml:space="preserve">opportunities that are created </w:t>
      </w:r>
      <w:r w:rsidR="00E87055" w:rsidRPr="00E87055">
        <w:rPr>
          <w:lang w:eastAsia="en-AU"/>
        </w:rPr>
        <w:t xml:space="preserve">to enable </w:t>
      </w:r>
      <w:r w:rsidR="00EE3BFF">
        <w:rPr>
          <w:lang w:eastAsia="en-AU"/>
        </w:rPr>
        <w:t>children from outside a school’s designated catchment area to enrol in that school</w:t>
      </w:r>
      <w:r w:rsidR="00A354BA">
        <w:rPr>
          <w:lang w:eastAsia="en-AU"/>
        </w:rPr>
        <w:t xml:space="preserve">. Relaxing </w:t>
      </w:r>
      <w:r w:rsidR="000A1DA7">
        <w:rPr>
          <w:lang w:eastAsia="en-AU"/>
        </w:rPr>
        <w:t>school zones</w:t>
      </w:r>
      <w:r w:rsidR="000A1DA7" w:rsidRPr="000A1DA7">
        <w:rPr>
          <w:lang w:eastAsia="en-AU"/>
        </w:rPr>
        <w:t xml:space="preserve"> </w:t>
      </w:r>
      <w:r w:rsidR="000A1DA7">
        <w:rPr>
          <w:lang w:eastAsia="en-AU"/>
        </w:rPr>
        <w:t>can h</w:t>
      </w:r>
      <w:r w:rsidR="000A1DA7" w:rsidRPr="000A1DA7">
        <w:rPr>
          <w:lang w:eastAsia="en-AU"/>
        </w:rPr>
        <w:t>elp to overcome geographic segregation which is often a driver of school segregation</w:t>
      </w:r>
      <w:r w:rsidR="000A1DA7">
        <w:rPr>
          <w:lang w:eastAsia="en-AU"/>
        </w:rPr>
        <w:t>.</w:t>
      </w:r>
      <w:r w:rsidR="00D06418">
        <w:rPr>
          <w:rStyle w:val="FootnoteReference"/>
        </w:rPr>
        <w:footnoteReference w:id="74"/>
      </w:r>
      <w:r w:rsidR="00D06418">
        <w:t xml:space="preserve"> </w:t>
      </w:r>
      <w:r w:rsidR="000A1DA7">
        <w:rPr>
          <w:lang w:eastAsia="en-AU"/>
        </w:rPr>
        <w:t xml:space="preserve">It is often done </w:t>
      </w:r>
      <w:r w:rsidR="00E87055" w:rsidRPr="00E87055">
        <w:rPr>
          <w:lang w:eastAsia="en-AU"/>
        </w:rPr>
        <w:t xml:space="preserve">in conjunction with lotteries </w:t>
      </w:r>
      <w:r w:rsidR="00F35D49">
        <w:rPr>
          <w:lang w:eastAsia="en-AU"/>
        </w:rPr>
        <w:t xml:space="preserve">that are </w:t>
      </w:r>
      <w:r w:rsidR="00E87055" w:rsidRPr="00E87055">
        <w:rPr>
          <w:lang w:eastAsia="en-AU"/>
        </w:rPr>
        <w:t xml:space="preserve">administered at </w:t>
      </w:r>
      <w:r w:rsidR="00D43C0C">
        <w:rPr>
          <w:lang w:eastAsia="en-AU"/>
        </w:rPr>
        <w:t xml:space="preserve">a </w:t>
      </w:r>
      <w:r w:rsidR="00E87055" w:rsidRPr="00E87055">
        <w:rPr>
          <w:lang w:eastAsia="en-AU"/>
        </w:rPr>
        <w:t>school, district or system level to provide more equitable access or to fill spaces in schools under legislated quotas</w:t>
      </w:r>
      <w:r w:rsidR="00F35D49">
        <w:rPr>
          <w:lang w:eastAsia="en-AU"/>
        </w:rPr>
        <w:t xml:space="preserve">. </w:t>
      </w:r>
    </w:p>
    <w:p w14:paraId="6FAFE798" w14:textId="02337F2D" w:rsidR="00C461EC" w:rsidRDefault="00E37555" w:rsidP="00C461EC">
      <w:pPr>
        <w:rPr>
          <w:lang w:eastAsia="en-AU"/>
        </w:rPr>
      </w:pPr>
      <w:r>
        <w:rPr>
          <w:lang w:eastAsia="en-AU"/>
        </w:rPr>
        <w:t xml:space="preserve">School </w:t>
      </w:r>
      <w:r w:rsidR="00EC5706">
        <w:rPr>
          <w:lang w:eastAsia="en-AU"/>
        </w:rPr>
        <w:t xml:space="preserve">zone flexing can take the form of </w:t>
      </w:r>
      <w:r w:rsidR="00F35D49">
        <w:rPr>
          <w:lang w:eastAsia="en-AU"/>
        </w:rPr>
        <w:t>r</w:t>
      </w:r>
      <w:r w:rsidR="00C461EC" w:rsidRPr="00C461EC">
        <w:rPr>
          <w:lang w:eastAsia="en-AU"/>
        </w:rPr>
        <w:t>e-drawing zones to include a more mixed student population</w:t>
      </w:r>
      <w:r w:rsidR="00EC5706">
        <w:rPr>
          <w:lang w:eastAsia="en-AU"/>
        </w:rPr>
        <w:t xml:space="preserve"> or building in exceptions to </w:t>
      </w:r>
      <w:bookmarkStart w:id="20" w:name="_Hlk146831405"/>
      <w:r w:rsidR="00C461EC" w:rsidRPr="00C461EC">
        <w:rPr>
          <w:lang w:eastAsia="en-AU"/>
        </w:rPr>
        <w:t>allow out-of-zone enrolments</w:t>
      </w:r>
      <w:r w:rsidR="00EC5706">
        <w:rPr>
          <w:lang w:eastAsia="en-AU"/>
        </w:rPr>
        <w:t>.</w:t>
      </w:r>
      <w:bookmarkEnd w:id="20"/>
      <w:r w:rsidR="001B41FF">
        <w:rPr>
          <w:lang w:eastAsia="en-AU"/>
        </w:rPr>
        <w:t xml:space="preserve"> </w:t>
      </w:r>
    </w:p>
    <w:p w14:paraId="02B04D4B" w14:textId="6D15485B" w:rsidR="00031F01" w:rsidRDefault="00C710C6" w:rsidP="00E12284">
      <w:pPr>
        <w:pStyle w:val="Heading3"/>
      </w:pPr>
      <w:r>
        <w:t>Drivers and o</w:t>
      </w:r>
      <w:r w:rsidR="00031F01">
        <w:t xml:space="preserve">bjectives </w:t>
      </w:r>
    </w:p>
    <w:p w14:paraId="29EA376A" w14:textId="6732270C" w:rsidR="00B9253F" w:rsidRDefault="00A670CC" w:rsidP="00E12284">
      <w:r>
        <w:rPr>
          <w:noProof/>
        </w:rPr>
        <mc:AlternateContent>
          <mc:Choice Requires="wps">
            <w:drawing>
              <wp:anchor distT="0" distB="0" distL="114300" distR="114300" simplePos="0" relativeHeight="251658257" behindDoc="0" locked="0" layoutInCell="1" allowOverlap="1" wp14:anchorId="4F71DD5F" wp14:editId="688CC380">
                <wp:simplePos x="0" y="0"/>
                <wp:positionH relativeFrom="column">
                  <wp:posOffset>3999230</wp:posOffset>
                </wp:positionH>
                <wp:positionV relativeFrom="paragraph">
                  <wp:posOffset>156210</wp:posOffset>
                </wp:positionV>
                <wp:extent cx="1673225" cy="2066925"/>
                <wp:effectExtent l="0" t="0" r="3175" b="8255"/>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73225"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52FD0" w14:textId="3E691716" w:rsidR="00BF7D8A" w:rsidRDefault="00BF7D8A" w:rsidP="00E415DD">
                            <w:pPr>
                              <w:pStyle w:val="Callout"/>
                              <w:rPr>
                                <w:color w:val="F25E21" w:themeColor="accent2"/>
                              </w:rPr>
                            </w:pPr>
                            <w:r>
                              <w:rPr>
                                <w:color w:val="F25E21" w:themeColor="accent2"/>
                              </w:rPr>
                              <w:t>“</w:t>
                            </w:r>
                            <w:r w:rsidR="00690C6D">
                              <w:rPr>
                                <w:color w:val="F25E21" w:themeColor="accent2"/>
                              </w:rPr>
                              <w:t>Our findings show that s</w:t>
                            </w:r>
                            <w:r w:rsidRPr="00BF7D8A">
                              <w:rPr>
                                <w:color w:val="F25E21" w:themeColor="accent2"/>
                              </w:rPr>
                              <w:t xml:space="preserve">mall changes to the attendance boundaries of </w:t>
                            </w:r>
                            <w:r w:rsidR="00A0352D" w:rsidRPr="00BF7D8A">
                              <w:rPr>
                                <w:color w:val="F25E21" w:themeColor="accent2"/>
                              </w:rPr>
                              <w:t>neighbouring</w:t>
                            </w:r>
                            <w:r w:rsidRPr="00BF7D8A">
                              <w:rPr>
                                <w:color w:val="F25E21" w:themeColor="accent2"/>
                              </w:rPr>
                              <w:t xml:space="preserve"> schools in many cases could make a big difference for school integration.</w:t>
                            </w:r>
                            <w:r>
                              <w:rPr>
                                <w:color w:val="F25E21" w:themeColor="accent2"/>
                              </w:rPr>
                              <w:t>”</w:t>
                            </w:r>
                          </w:p>
                          <w:p w14:paraId="00A825D1" w14:textId="77777777" w:rsidR="00BF7D8A" w:rsidRPr="00F81BDB" w:rsidRDefault="00BF7D8A" w:rsidP="00BF7D8A">
                            <w:pPr>
                              <w:pStyle w:val="Callout"/>
                              <w:jc w:val="right"/>
                              <w:rPr>
                                <w:color w:val="F25E21" w:themeColor="accent2"/>
                                <w:sz w:val="18"/>
                                <w:szCs w:val="18"/>
                              </w:rPr>
                            </w:pPr>
                            <w:r w:rsidRPr="00F81BDB">
                              <w:rPr>
                                <w:color w:val="F25E21" w:themeColor="accent2"/>
                                <w:sz w:val="18"/>
                                <w:szCs w:val="18"/>
                              </w:rPr>
                              <w:t>Urban Institute</w:t>
                            </w:r>
                            <w:r w:rsidR="00AD25A7" w:rsidRPr="00F81BDB">
                              <w:rPr>
                                <w:color w:val="F25E21" w:themeColor="accent2"/>
                                <w:sz w:val="18"/>
                                <w:szCs w:val="18"/>
                              </w:rPr>
                              <w:t xml:space="preserve">, </w:t>
                            </w:r>
                            <w:r w:rsidR="00AD25A7" w:rsidRPr="00F81BDB">
                              <w:rPr>
                                <w:color w:val="F25E21" w:themeColor="accent2"/>
                                <w:sz w:val="18"/>
                                <w:szCs w:val="18"/>
                              </w:rPr>
                              <w:br/>
                              <w:t xml:space="preserve">‘Dividing </w:t>
                            </w:r>
                            <w:r w:rsidR="007C2E6E" w:rsidRPr="00F81BDB">
                              <w:rPr>
                                <w:color w:val="F25E21" w:themeColor="accent2"/>
                                <w:sz w:val="18"/>
                                <w:szCs w:val="18"/>
                              </w:rPr>
                              <w:t>Lines’</w:t>
                            </w:r>
                          </w:p>
                          <w:p w14:paraId="4DBF8217" w14:textId="77777777" w:rsidR="007C2E6E" w:rsidRPr="00F81BDB" w:rsidRDefault="007C2E6E" w:rsidP="00BF7D8A">
                            <w:pPr>
                              <w:pStyle w:val="Callout"/>
                              <w:jc w:val="right"/>
                              <w:rPr>
                                <w:color w:val="F25E21" w:themeColor="accent2"/>
                                <w:sz w:val="18"/>
                                <w:szCs w:val="18"/>
                              </w:rPr>
                            </w:pPr>
                            <w:r w:rsidRPr="00F81BDB">
                              <w:rPr>
                                <w:color w:val="F25E21" w:themeColor="accent2"/>
                                <w:sz w:val="18"/>
                                <w:szCs w:val="18"/>
                              </w:rPr>
                              <w:t>(Sep 2021)</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F71DD5F" id="Text Box 5" o:spid="_x0000_s1029" type="#_x0000_t202" alt="&quot;&quot;" style="position:absolute;margin-left:314.9pt;margin-top:12.3pt;width:131.75pt;height:162.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HIewIAAGkFAAAOAAAAZHJzL2Uyb0RvYy54bWysVE1v2zAMvQ/YfxB0X+wmS7oFdYqsRYYB&#10;QVusHXpWZKkxJouaxMTOfn0p2flY10uHXWTSfCRF6pEXl21t2Fb5UIEt+Nkg50xZCWVlnwr+42Hx&#10;4RNnAYUthQGrCr5TgV/O3r+7aNxUDWENplSeURAbpo0r+BrRTbMsyLWqRRiAU5aMGnwtkFT/lJVe&#10;NBS9NtkwzydZA750HqQKgf5ed0Y+S/G1VhJvtQ4KmSk43Q3T6dO5imc2uxDTJy/cupL9NcQ/3KIW&#10;laWkh1DXAgXb+OqvUHUlPQTQOJBQZ6B1JVWqgao5y19Uc78WTqVaqDnBHdoU/l9YebO9d3eeYfsF&#10;WnrA2JDGhWmgn7GeVvs6fummjOzUwt2hbapFJqPT5Hw0HI45k2Qb5pPJZ1IoTnZ0dz7gVwU1i0LB&#10;Pb1LapfYLgN20D0kZgtgqnJRGZOUyAV1ZTzbCnpFg+mSFPwPlLGsKfhkNM5TYAvRvYtsbAyjEhv6&#10;dMcSk4Q7oyLG2O9Ks6pMlb6SW0ip7CF/QkeUplRvcezxx1u9xbmrgzxSZrB4cK4rCz5Vn8bn2LLy&#10;575lusPT25zUHUVsVy0VXvDRngErKHdEDA/dzAQnFxU93lIEvBOehoS4QIOPt3RoA9R86CXO1uB/&#10;v/Y/4om7ZOWsoaErePi1EV5xZr5ZYnWc0CR8HJ8PSfFJGU3ynJTVqcVu6isgNpzRenEyiRGPZi9q&#10;D/Uj7YZ5zEgmYSXlLTjuxSvs1gDtFqnm8wSimXQCl/beyRg6djjS8qF9FN713EWi/Q3sR1NMX1C4&#10;w0bP4OYbJBomfscedx3te0/znCak3z1xYZzqCXXckLNnAAAA//8DAFBLAwQUAAYACAAAACEAkA0E&#10;8+EAAAAKAQAADwAAAGRycy9kb3ducmV2LnhtbEyPzU7DMBCE70i8g7VIXBC1k0DUhmwqxI8o4kTb&#10;Czc3duOAvY5itw1vjznBcTSjmW/q5eQsO+ox9J4QspkApqn1qqcOYbt5vp4DC1GSktaTRvjWAZbN&#10;+VktK+VP9K6P69ixVEKhkggmxqHiPLRGOxlmftCUvL0fnYxJjh1Xozylcmd5LkTJnewpLRg56Aej&#10;26/1wSGs+GeuXt/M08dLJh5XdLW33nPEy4vp/g5Y1FP8C8MvfkKHJjHt/IFUYBahzBcJPSLkNyWw&#10;FJgvigLYDqG4FRnwpub/LzQ/AAAA//8DAFBLAQItABQABgAIAAAAIQC2gziS/gAAAOEBAAATAAAA&#10;AAAAAAAAAAAAAAAAAABbQ29udGVudF9UeXBlc10ueG1sUEsBAi0AFAAGAAgAAAAhADj9If/WAAAA&#10;lAEAAAsAAAAAAAAAAAAAAAAALwEAAF9yZWxzLy5yZWxzUEsBAi0AFAAGAAgAAAAhAN8Kwch7AgAA&#10;aQUAAA4AAAAAAAAAAAAAAAAALgIAAGRycy9lMm9Eb2MueG1sUEsBAi0AFAAGAAgAAAAhAJANBPPh&#10;AAAACgEAAA8AAAAAAAAAAAAAAAAA1QQAAGRycy9kb3ducmV2LnhtbFBLBQYAAAAABAAEAPMAAADj&#10;BQAAAAA=&#10;" fillcolor="white [3201]" stroked="f" strokeweight=".5pt">
                <v:textbox style="mso-fit-shape-to-text:t" inset="0,,1mm">
                  <w:txbxContent>
                    <w:p w14:paraId="6F252FD0" w14:textId="3E691716" w:rsidR="00BF7D8A" w:rsidRDefault="00BF7D8A" w:rsidP="00E415DD">
                      <w:pPr>
                        <w:pStyle w:val="Callout"/>
                        <w:rPr>
                          <w:color w:val="F25E21" w:themeColor="accent2"/>
                        </w:rPr>
                      </w:pPr>
                      <w:r>
                        <w:rPr>
                          <w:color w:val="F25E21" w:themeColor="accent2"/>
                        </w:rPr>
                        <w:t>“</w:t>
                      </w:r>
                      <w:r w:rsidR="00690C6D">
                        <w:rPr>
                          <w:color w:val="F25E21" w:themeColor="accent2"/>
                        </w:rPr>
                        <w:t>Our findings show that s</w:t>
                      </w:r>
                      <w:r w:rsidRPr="00BF7D8A">
                        <w:rPr>
                          <w:color w:val="F25E21" w:themeColor="accent2"/>
                        </w:rPr>
                        <w:t xml:space="preserve">mall changes to the attendance boundaries of </w:t>
                      </w:r>
                      <w:r w:rsidR="00A0352D" w:rsidRPr="00BF7D8A">
                        <w:rPr>
                          <w:color w:val="F25E21" w:themeColor="accent2"/>
                        </w:rPr>
                        <w:t>neighbouring</w:t>
                      </w:r>
                      <w:r w:rsidRPr="00BF7D8A">
                        <w:rPr>
                          <w:color w:val="F25E21" w:themeColor="accent2"/>
                        </w:rPr>
                        <w:t xml:space="preserve"> schools in many cases could make a big difference for school integration.</w:t>
                      </w:r>
                      <w:r>
                        <w:rPr>
                          <w:color w:val="F25E21" w:themeColor="accent2"/>
                        </w:rPr>
                        <w:t>”</w:t>
                      </w:r>
                    </w:p>
                    <w:p w14:paraId="00A825D1" w14:textId="77777777" w:rsidR="00BF7D8A" w:rsidRPr="00F81BDB" w:rsidRDefault="00BF7D8A" w:rsidP="00BF7D8A">
                      <w:pPr>
                        <w:pStyle w:val="Callout"/>
                        <w:jc w:val="right"/>
                        <w:rPr>
                          <w:color w:val="F25E21" w:themeColor="accent2"/>
                          <w:sz w:val="18"/>
                          <w:szCs w:val="18"/>
                        </w:rPr>
                      </w:pPr>
                      <w:r w:rsidRPr="00F81BDB">
                        <w:rPr>
                          <w:color w:val="F25E21" w:themeColor="accent2"/>
                          <w:sz w:val="18"/>
                          <w:szCs w:val="18"/>
                        </w:rPr>
                        <w:t>Urban Institute</w:t>
                      </w:r>
                      <w:r w:rsidR="00AD25A7" w:rsidRPr="00F81BDB">
                        <w:rPr>
                          <w:color w:val="F25E21" w:themeColor="accent2"/>
                          <w:sz w:val="18"/>
                          <w:szCs w:val="18"/>
                        </w:rPr>
                        <w:t xml:space="preserve">, </w:t>
                      </w:r>
                      <w:r w:rsidR="00AD25A7" w:rsidRPr="00F81BDB">
                        <w:rPr>
                          <w:color w:val="F25E21" w:themeColor="accent2"/>
                          <w:sz w:val="18"/>
                          <w:szCs w:val="18"/>
                        </w:rPr>
                        <w:br/>
                        <w:t xml:space="preserve">‘Dividing </w:t>
                      </w:r>
                      <w:r w:rsidR="007C2E6E" w:rsidRPr="00F81BDB">
                        <w:rPr>
                          <w:color w:val="F25E21" w:themeColor="accent2"/>
                          <w:sz w:val="18"/>
                          <w:szCs w:val="18"/>
                        </w:rPr>
                        <w:t>Lines’</w:t>
                      </w:r>
                    </w:p>
                    <w:p w14:paraId="4DBF8217" w14:textId="77777777" w:rsidR="007C2E6E" w:rsidRPr="00F81BDB" w:rsidRDefault="007C2E6E" w:rsidP="00BF7D8A">
                      <w:pPr>
                        <w:pStyle w:val="Callout"/>
                        <w:jc w:val="right"/>
                        <w:rPr>
                          <w:color w:val="F25E21" w:themeColor="accent2"/>
                          <w:sz w:val="18"/>
                          <w:szCs w:val="18"/>
                        </w:rPr>
                      </w:pPr>
                      <w:r w:rsidRPr="00F81BDB">
                        <w:rPr>
                          <w:color w:val="F25E21" w:themeColor="accent2"/>
                          <w:sz w:val="18"/>
                          <w:szCs w:val="18"/>
                        </w:rPr>
                        <w:t>(Sep 2021)</w:t>
                      </w:r>
                    </w:p>
                  </w:txbxContent>
                </v:textbox>
                <w10:wrap type="square"/>
              </v:shape>
            </w:pict>
          </mc:Fallback>
        </mc:AlternateContent>
      </w:r>
      <w:r w:rsidR="00A03EFA">
        <w:t>M</w:t>
      </w:r>
      <w:r w:rsidR="00190430" w:rsidRPr="0086054F">
        <w:t>ore</w:t>
      </w:r>
      <w:r w:rsidR="00190430">
        <w:t xml:space="preserve"> than half of </w:t>
      </w:r>
      <w:r w:rsidR="00844B9F">
        <w:t xml:space="preserve">OECD </w:t>
      </w:r>
      <w:r w:rsidR="00190430">
        <w:t>countries</w:t>
      </w:r>
      <w:r w:rsidR="00844B9F">
        <w:t xml:space="preserve"> </w:t>
      </w:r>
      <w:r w:rsidR="0002233E">
        <w:t>in 2010</w:t>
      </w:r>
      <w:r w:rsidR="00844B9F">
        <w:t xml:space="preserve"> </w:t>
      </w:r>
      <w:r w:rsidR="00E769F1">
        <w:t xml:space="preserve">reported </w:t>
      </w:r>
      <w:r w:rsidR="00BD410E">
        <w:t>winding back</w:t>
      </w:r>
      <w:r w:rsidR="00E769F1">
        <w:t xml:space="preserve"> </w:t>
      </w:r>
      <w:r w:rsidR="00024753">
        <w:t>their</w:t>
      </w:r>
      <w:r w:rsidR="00E769F1">
        <w:t xml:space="preserve"> </w:t>
      </w:r>
      <w:r w:rsidR="000B20E8">
        <w:t xml:space="preserve">zoning </w:t>
      </w:r>
      <w:r w:rsidR="00E769F1">
        <w:t xml:space="preserve">restrictions </w:t>
      </w:r>
      <w:r w:rsidR="000B20E8">
        <w:t>to increase</w:t>
      </w:r>
      <w:r w:rsidR="00E769F1">
        <w:t xml:space="preserve"> </w:t>
      </w:r>
      <w:r w:rsidR="00F63EC7">
        <w:t>choice in selecting among</w:t>
      </w:r>
      <w:r w:rsidR="00D06418">
        <w:t xml:space="preserve"> </w:t>
      </w:r>
      <w:r w:rsidR="00E769F1">
        <w:t>public schools</w:t>
      </w:r>
      <w:r w:rsidR="003821FF">
        <w:t>,</w:t>
      </w:r>
      <w:r w:rsidR="00EE17D8" w:rsidRPr="0086054F">
        <w:rPr>
          <w:rStyle w:val="FootnoteReference"/>
        </w:rPr>
        <w:footnoteReference w:id="75"/>
      </w:r>
      <w:r w:rsidR="00635FAA" w:rsidRPr="0086054F">
        <w:t xml:space="preserve"> </w:t>
      </w:r>
      <w:r w:rsidR="00BD410E">
        <w:t xml:space="preserve">but in </w:t>
      </w:r>
      <w:r w:rsidR="00E30C65">
        <w:t xml:space="preserve">most of </w:t>
      </w:r>
      <w:r w:rsidR="00BD410E">
        <w:t>these cases t</w:t>
      </w:r>
      <w:r w:rsidR="008E7512">
        <w:t>h</w:t>
      </w:r>
      <w:r w:rsidR="007D1C4B">
        <w:t>e main driver</w:t>
      </w:r>
      <w:r w:rsidR="00BD410E">
        <w:t xml:space="preserve"> was to promote market competition and</w:t>
      </w:r>
      <w:r w:rsidR="00D06418">
        <w:t xml:space="preserve"> innovation. </w:t>
      </w:r>
      <w:r w:rsidR="000F2936">
        <w:t xml:space="preserve">In other cases, </w:t>
      </w:r>
      <w:r w:rsidR="00E30C65">
        <w:t>jurisdictions that have sought to relax zoning restrictions</w:t>
      </w:r>
      <w:r w:rsidR="00CB0F6B">
        <w:t xml:space="preserve"> to </w:t>
      </w:r>
      <w:r w:rsidR="001A6AF5">
        <w:t xml:space="preserve">improve </w:t>
      </w:r>
      <w:r w:rsidR="00BC50FC">
        <w:t>utilisation</w:t>
      </w:r>
      <w:r w:rsidR="001A6AF5">
        <w:t xml:space="preserve"> of school facilities and/or </w:t>
      </w:r>
      <w:r w:rsidR="00316739">
        <w:t>improve school diversity.</w:t>
      </w:r>
      <w:r w:rsidR="008B1ED8">
        <w:t xml:space="preserve"> </w:t>
      </w:r>
    </w:p>
    <w:p w14:paraId="32C0EEE6" w14:textId="2AFB247F" w:rsidR="000F2936" w:rsidRDefault="000F2936" w:rsidP="00E12284">
      <w:r>
        <w:t>The objective behind using lotteries is to provide a fair mechanism for out-of-zone students to access in-demand schools</w:t>
      </w:r>
      <w:r w:rsidR="006E2364">
        <w:t xml:space="preserve">. The randomness of lottery systems </w:t>
      </w:r>
      <w:r w:rsidR="00F369F7">
        <w:t xml:space="preserve">arguably </w:t>
      </w:r>
      <w:r w:rsidR="00C0288B">
        <w:t xml:space="preserve">offers the most equitable approach given that </w:t>
      </w:r>
      <w:r w:rsidR="009357BD">
        <w:t>the process cannot be ‘game</w:t>
      </w:r>
      <w:r w:rsidR="00B91008">
        <w:t>d</w:t>
      </w:r>
      <w:r w:rsidR="009357BD">
        <w:t>’ (unlike in the case of preference matching, for example).</w:t>
      </w:r>
      <w:r w:rsidR="006E3B42">
        <w:t xml:space="preserve"> Importantly, not all lottery systems have an objective of ensuring representation of different socio</w:t>
      </w:r>
      <w:r w:rsidR="009B5A66">
        <w:t>-</w:t>
      </w:r>
      <w:r w:rsidR="006E3B42">
        <w:t>econ</w:t>
      </w:r>
      <w:r w:rsidR="004F55F0">
        <w:t>omic or cultural groups. Rather they ma</w:t>
      </w:r>
      <w:r w:rsidR="009B535C">
        <w:t>y simply be used to manage oversubscription at popular schools. They are most relevant to improving diversity if used expressly to overcome residential segregation or to support fulfillment of an externally or internally</w:t>
      </w:r>
      <w:r w:rsidR="00544B0A">
        <w:t xml:space="preserve"> </w:t>
      </w:r>
      <w:r w:rsidR="009B535C">
        <w:t>imposed quota.</w:t>
      </w:r>
      <w:r w:rsidR="00765FF0">
        <w:t xml:space="preserve"> </w:t>
      </w:r>
    </w:p>
    <w:p w14:paraId="3BCC3A98" w14:textId="3D23EAD6" w:rsidR="00F35D49" w:rsidRDefault="00DD6397" w:rsidP="00E477D7">
      <w:pPr>
        <w:pStyle w:val="Heading3"/>
      </w:pPr>
      <w:bookmarkStart w:id="21" w:name="_Ref149042020"/>
      <w:r>
        <w:t xml:space="preserve">Operation and </w:t>
      </w:r>
      <w:r w:rsidR="00C710C6">
        <w:t>locations</w:t>
      </w:r>
      <w:bookmarkEnd w:id="21"/>
    </w:p>
    <w:p w14:paraId="32B025B7" w14:textId="28038E4D" w:rsidR="00DD6397" w:rsidRDefault="00FC09A8" w:rsidP="00DD6397">
      <w:r w:rsidRPr="0050009A">
        <w:rPr>
          <w:rFonts w:asciiTheme="majorHAnsi" w:hAnsiTheme="majorHAnsi" w:cstheme="majorHAnsi"/>
          <w:lang w:eastAsia="en-AU"/>
        </w:rPr>
        <w:t>Eden Prairie, Brandywine</w:t>
      </w:r>
      <w:r w:rsidRPr="0043039F">
        <w:rPr>
          <w:lang w:eastAsia="en-AU"/>
        </w:rPr>
        <w:t xml:space="preserve"> and </w:t>
      </w:r>
      <w:r w:rsidRPr="0050009A">
        <w:rPr>
          <w:rFonts w:asciiTheme="majorHAnsi" w:hAnsiTheme="majorHAnsi" w:cstheme="majorHAnsi"/>
          <w:lang w:eastAsia="en-AU"/>
        </w:rPr>
        <w:t>Wake Country</w:t>
      </w:r>
      <w:r w:rsidRPr="0043039F">
        <w:rPr>
          <w:lang w:eastAsia="en-AU"/>
        </w:rPr>
        <w:t xml:space="preserve"> </w:t>
      </w:r>
      <w:r w:rsidR="00C749B3">
        <w:rPr>
          <w:lang w:eastAsia="en-AU"/>
        </w:rPr>
        <w:t xml:space="preserve">in </w:t>
      </w:r>
      <w:r w:rsidR="000902F7">
        <w:rPr>
          <w:lang w:eastAsia="en-AU"/>
        </w:rPr>
        <w:t>the United States</w:t>
      </w:r>
      <w:r w:rsidR="00C749B3">
        <w:rPr>
          <w:lang w:eastAsia="en-AU"/>
        </w:rPr>
        <w:t xml:space="preserve"> </w:t>
      </w:r>
      <w:r w:rsidR="00EC78EF">
        <w:t>intentionally use irregular shaped attendance zones</w:t>
      </w:r>
      <w:r w:rsidR="00DD6397">
        <w:t xml:space="preserve"> to improve the diversity of families in </w:t>
      </w:r>
      <w:r w:rsidR="00C724D4">
        <w:t xml:space="preserve">school </w:t>
      </w:r>
      <w:r w:rsidR="00DD6397">
        <w:t>catchment area</w:t>
      </w:r>
      <w:r w:rsidR="00C724D4">
        <w:t>s</w:t>
      </w:r>
      <w:r w:rsidR="00DD6397">
        <w:t xml:space="preserve">. </w:t>
      </w:r>
      <w:r w:rsidR="00EA6991">
        <w:t xml:space="preserve">Other jurisdictions have deliberately re-drawn their boundaries to improve diversity. </w:t>
      </w:r>
      <w:r w:rsidR="00DD6397" w:rsidRPr="0012541A">
        <w:rPr>
          <w:rFonts w:asciiTheme="majorHAnsi" w:hAnsiTheme="majorHAnsi" w:cstheme="majorHAnsi"/>
        </w:rPr>
        <w:t>Zurich</w:t>
      </w:r>
      <w:r w:rsidR="00DD6397">
        <w:t xml:space="preserve"> is one such example</w:t>
      </w:r>
      <w:r w:rsidR="002A00B2">
        <w:t>, where the goal was to address</w:t>
      </w:r>
      <w:r w:rsidR="00A9626B">
        <w:t xml:space="preserve"> </w:t>
      </w:r>
      <w:r w:rsidR="002A00B2" w:rsidRPr="002A00B2">
        <w:t>social inequality and school segregation.</w:t>
      </w:r>
      <w:r w:rsidR="009811DE">
        <w:t xml:space="preserve"> </w:t>
      </w:r>
      <w:r w:rsidR="009811DE" w:rsidRPr="009811DE">
        <w:t xml:space="preserve">Montgomery County </w:t>
      </w:r>
      <w:r w:rsidR="009811DE">
        <w:t xml:space="preserve">in </w:t>
      </w:r>
      <w:r w:rsidR="009811DE" w:rsidRPr="009811DE">
        <w:rPr>
          <w:rFonts w:asciiTheme="majorHAnsi" w:hAnsiTheme="majorHAnsi" w:cstheme="majorHAnsi"/>
        </w:rPr>
        <w:t>Maryland</w:t>
      </w:r>
      <w:r w:rsidR="009811DE">
        <w:t xml:space="preserve"> is another</w:t>
      </w:r>
      <w:r w:rsidR="00BA16D2">
        <w:t>: i</w:t>
      </w:r>
      <w:r w:rsidR="007F318A">
        <w:t xml:space="preserve">t </w:t>
      </w:r>
      <w:r w:rsidR="00C90C07">
        <w:t xml:space="preserve">has in the past </w:t>
      </w:r>
      <w:r w:rsidR="009811DE" w:rsidRPr="009811DE">
        <w:t>used various strategies</w:t>
      </w:r>
      <w:r w:rsidR="009B51FF">
        <w:t>,</w:t>
      </w:r>
      <w:r w:rsidR="009811DE" w:rsidRPr="009811DE">
        <w:t xml:space="preserve"> including boundary changes</w:t>
      </w:r>
      <w:r w:rsidR="009B51FF">
        <w:t>,</w:t>
      </w:r>
      <w:r w:rsidR="009811DE" w:rsidRPr="009811DE">
        <w:t xml:space="preserve"> to promote diversity and reduce racial and socio</w:t>
      </w:r>
      <w:r w:rsidR="000128FD">
        <w:t>-</w:t>
      </w:r>
      <w:r w:rsidR="009811DE" w:rsidRPr="009811DE">
        <w:t>economic segregation in its schools.</w:t>
      </w:r>
      <w:r w:rsidR="00C90C07">
        <w:t xml:space="preserve"> Re-drawing the boundaries was most recently under consideration in 2021.</w:t>
      </w:r>
    </w:p>
    <w:p w14:paraId="2AA3A843" w14:textId="7D92F433" w:rsidR="00DD6397" w:rsidRDefault="00DD6397" w:rsidP="00DD6397">
      <w:pPr>
        <w:rPr>
          <w:lang w:eastAsia="en-AU"/>
        </w:rPr>
      </w:pPr>
      <w:r w:rsidRPr="0060637A">
        <w:rPr>
          <w:bCs/>
        </w:rPr>
        <w:lastRenderedPageBreak/>
        <w:t>Fl</w:t>
      </w:r>
      <w:r>
        <w:rPr>
          <w:bCs/>
        </w:rPr>
        <w:t xml:space="preserve">exing of school zones has been a feature of policies in </w:t>
      </w:r>
      <w:r w:rsidRPr="00D22CFB">
        <w:rPr>
          <w:rFonts w:asciiTheme="majorHAnsi" w:hAnsiTheme="majorHAnsi" w:cstheme="majorHAnsi"/>
          <w:bCs/>
        </w:rPr>
        <w:t>Berlin</w:t>
      </w:r>
      <w:r>
        <w:rPr>
          <w:bCs/>
        </w:rPr>
        <w:t xml:space="preserve"> and in </w:t>
      </w:r>
      <w:r w:rsidRPr="00D22CFB">
        <w:rPr>
          <w:rFonts w:asciiTheme="majorHAnsi" w:hAnsiTheme="majorHAnsi" w:cstheme="majorHAnsi"/>
          <w:bCs/>
        </w:rPr>
        <w:t>Paris’</w:t>
      </w:r>
      <w:r>
        <w:rPr>
          <w:bCs/>
        </w:rPr>
        <w:t xml:space="preserve"> secondary schools</w:t>
      </w:r>
      <w:r w:rsidR="00AE7C37">
        <w:rPr>
          <w:bCs/>
        </w:rPr>
        <w:t xml:space="preserve"> as we</w:t>
      </w:r>
      <w:r w:rsidR="00932513">
        <w:rPr>
          <w:bCs/>
        </w:rPr>
        <w:t>ll</w:t>
      </w:r>
      <w:r>
        <w:rPr>
          <w:bCs/>
        </w:rPr>
        <w:t xml:space="preserve">. </w:t>
      </w:r>
      <w:r w:rsidRPr="00815A81">
        <w:rPr>
          <w:lang w:eastAsia="en-AU"/>
        </w:rPr>
        <w:t xml:space="preserve">In the </w:t>
      </w:r>
      <w:r w:rsidR="000A0C0A">
        <w:rPr>
          <w:lang w:eastAsia="en-AU"/>
        </w:rPr>
        <w:t>former</w:t>
      </w:r>
      <w:r w:rsidR="0056708C">
        <w:rPr>
          <w:lang w:eastAsia="en-AU"/>
        </w:rPr>
        <w:t>, the system uses lotteries, and in Paris</w:t>
      </w:r>
      <w:r w:rsidRPr="00815A81">
        <w:rPr>
          <w:lang w:eastAsia="en-AU"/>
        </w:rPr>
        <w:t xml:space="preserve">, ‘dynamic zoning’ is used in combination with preference matching to reduce social segregation </w:t>
      </w:r>
      <w:r w:rsidR="00BB0B45">
        <w:rPr>
          <w:lang w:eastAsia="en-AU"/>
        </w:rPr>
        <w:t>in high schools</w:t>
      </w:r>
      <w:r w:rsidRPr="00815A81">
        <w:rPr>
          <w:lang w:eastAsia="en-AU"/>
        </w:rPr>
        <w:t xml:space="preserve"> (see</w:t>
      </w:r>
      <w:r w:rsidR="00D93602">
        <w:rPr>
          <w:lang w:eastAsia="en-AU"/>
        </w:rPr>
        <w:t xml:space="preserve"> section</w:t>
      </w:r>
      <w:r w:rsidRPr="00815A81">
        <w:rPr>
          <w:lang w:eastAsia="en-AU"/>
        </w:rPr>
        <w:t xml:space="preserve"> </w:t>
      </w:r>
      <w:r w:rsidR="00125C6B">
        <w:rPr>
          <w:lang w:eastAsia="en-AU"/>
        </w:rPr>
        <w:fldChar w:fldCharType="begin"/>
      </w:r>
      <w:r w:rsidR="00125C6B">
        <w:rPr>
          <w:lang w:eastAsia="en-AU"/>
        </w:rPr>
        <w:instrText xml:space="preserve"> REF _Ref148952700 \n \h </w:instrText>
      </w:r>
      <w:r w:rsidR="00125C6B">
        <w:rPr>
          <w:lang w:eastAsia="en-AU"/>
        </w:rPr>
      </w:r>
      <w:r w:rsidR="00125C6B">
        <w:rPr>
          <w:lang w:eastAsia="en-AU"/>
        </w:rPr>
        <w:fldChar w:fldCharType="separate"/>
      </w:r>
      <w:r w:rsidR="009B7086">
        <w:rPr>
          <w:lang w:eastAsia="en-AU"/>
        </w:rPr>
        <w:t>3.6</w:t>
      </w:r>
      <w:r w:rsidR="00125C6B">
        <w:rPr>
          <w:lang w:eastAsia="en-AU"/>
        </w:rPr>
        <w:fldChar w:fldCharType="end"/>
      </w:r>
      <w:r w:rsidRPr="00815A81">
        <w:rPr>
          <w:lang w:eastAsia="en-AU"/>
        </w:rPr>
        <w:t>).</w:t>
      </w:r>
    </w:p>
    <w:p w14:paraId="7FF54F9B" w14:textId="65F95AE6" w:rsidR="00A7634A" w:rsidRPr="00AF29E5" w:rsidRDefault="0012541A" w:rsidP="00EC5594">
      <w:pPr>
        <w:rPr>
          <w:lang w:eastAsia="en-AU"/>
        </w:rPr>
      </w:pPr>
      <w:r>
        <w:rPr>
          <w:lang w:eastAsia="en-AU"/>
        </w:rPr>
        <w:t>There are many more examples o</w:t>
      </w:r>
      <w:r w:rsidR="0077588C">
        <w:rPr>
          <w:lang w:eastAsia="en-AU"/>
        </w:rPr>
        <w:t>f the use of lotteries</w:t>
      </w:r>
      <w:r w:rsidR="004F7825">
        <w:rPr>
          <w:lang w:eastAsia="en-AU"/>
        </w:rPr>
        <w:t xml:space="preserve">: they </w:t>
      </w:r>
      <w:r w:rsidR="003921C5">
        <w:t xml:space="preserve">have been implemented in countries such as the </w:t>
      </w:r>
      <w:r w:rsidR="003921C5" w:rsidRPr="00284DB8">
        <w:rPr>
          <w:rFonts w:asciiTheme="majorHAnsi" w:hAnsiTheme="majorHAnsi" w:cstheme="majorHAnsi"/>
        </w:rPr>
        <w:t>U</w:t>
      </w:r>
      <w:r w:rsidR="00284DB8" w:rsidRPr="00284DB8">
        <w:rPr>
          <w:rFonts w:asciiTheme="majorHAnsi" w:hAnsiTheme="majorHAnsi" w:cstheme="majorHAnsi"/>
        </w:rPr>
        <w:t>S</w:t>
      </w:r>
      <w:r w:rsidR="00284DB8">
        <w:t>, the</w:t>
      </w:r>
      <w:r w:rsidR="003921C5">
        <w:t xml:space="preserve"> </w:t>
      </w:r>
      <w:r w:rsidR="003921C5" w:rsidRPr="00284DB8">
        <w:rPr>
          <w:rFonts w:asciiTheme="majorHAnsi" w:hAnsiTheme="majorHAnsi" w:cstheme="majorHAnsi"/>
        </w:rPr>
        <w:t>Netherlands</w:t>
      </w:r>
      <w:r w:rsidR="003921C5">
        <w:t xml:space="preserve">, </w:t>
      </w:r>
      <w:r w:rsidR="003921C5" w:rsidRPr="00284DB8">
        <w:rPr>
          <w:rFonts w:asciiTheme="majorHAnsi" w:hAnsiTheme="majorHAnsi" w:cstheme="majorHAnsi"/>
        </w:rPr>
        <w:t>Sweden</w:t>
      </w:r>
      <w:r w:rsidR="003921C5">
        <w:t xml:space="preserve">, </w:t>
      </w:r>
      <w:r w:rsidR="003921C5" w:rsidRPr="00284DB8">
        <w:rPr>
          <w:rFonts w:asciiTheme="majorHAnsi" w:hAnsiTheme="majorHAnsi" w:cstheme="majorHAnsi"/>
        </w:rPr>
        <w:t>New Zealand</w:t>
      </w:r>
      <w:r w:rsidR="003921C5">
        <w:t xml:space="preserve"> and </w:t>
      </w:r>
      <w:r w:rsidR="003921C5" w:rsidRPr="00284DB8">
        <w:rPr>
          <w:rFonts w:asciiTheme="majorHAnsi" w:hAnsiTheme="majorHAnsi" w:cstheme="majorHAnsi"/>
        </w:rPr>
        <w:t>Singapore</w:t>
      </w:r>
      <w:r w:rsidR="003921C5">
        <w:t>.</w:t>
      </w:r>
    </w:p>
    <w:p w14:paraId="54B5D39C" w14:textId="3E8B5971" w:rsidR="002E02BF" w:rsidRDefault="006071B0" w:rsidP="009F6434">
      <w:pPr>
        <w:rPr>
          <w:lang w:eastAsia="en-AU"/>
        </w:rPr>
      </w:pPr>
      <w:r>
        <w:rPr>
          <w:rFonts w:asciiTheme="minorHAnsi" w:hAnsiTheme="minorHAnsi"/>
          <w:lang w:eastAsia="en-AU"/>
        </w:rPr>
        <w:t xml:space="preserve">One of the most-studied </w:t>
      </w:r>
      <w:r w:rsidR="009A65ED">
        <w:rPr>
          <w:rFonts w:asciiTheme="minorHAnsi" w:hAnsiTheme="minorHAnsi"/>
          <w:lang w:eastAsia="en-AU"/>
        </w:rPr>
        <w:t>case studies for the use of l</w:t>
      </w:r>
      <w:r w:rsidR="00835C69" w:rsidRPr="093C10B4">
        <w:rPr>
          <w:rFonts w:asciiTheme="minorHAnsi" w:hAnsiTheme="minorHAnsi"/>
          <w:lang w:eastAsia="en-AU"/>
        </w:rPr>
        <w:t xml:space="preserve">otteries </w:t>
      </w:r>
      <w:r w:rsidR="009A65ED">
        <w:rPr>
          <w:rFonts w:asciiTheme="minorHAnsi" w:hAnsiTheme="minorHAnsi"/>
          <w:lang w:eastAsia="en-AU"/>
        </w:rPr>
        <w:t xml:space="preserve">is in </w:t>
      </w:r>
      <w:r w:rsidR="006411F2" w:rsidRPr="5D024346">
        <w:rPr>
          <w:rFonts w:asciiTheme="majorHAnsi" w:hAnsiTheme="majorHAnsi" w:cstheme="majorBidi"/>
          <w:lang w:eastAsia="en-AU"/>
        </w:rPr>
        <w:t>Chicago</w:t>
      </w:r>
      <w:r w:rsidR="009B535C" w:rsidRPr="009B535C">
        <w:rPr>
          <w:rFonts w:asciiTheme="minorHAnsi" w:hAnsiTheme="minorHAnsi" w:cstheme="minorHAnsi"/>
          <w:lang w:eastAsia="en-AU"/>
        </w:rPr>
        <w:t>’</w:t>
      </w:r>
      <w:r w:rsidR="009A65ED" w:rsidRPr="009B535C">
        <w:rPr>
          <w:rFonts w:asciiTheme="minorHAnsi" w:hAnsiTheme="minorHAnsi" w:cstheme="minorHAnsi"/>
          <w:lang w:eastAsia="en-AU"/>
        </w:rPr>
        <w:t>s p</w:t>
      </w:r>
      <w:r w:rsidR="006411F2" w:rsidRPr="009B535C">
        <w:rPr>
          <w:rFonts w:asciiTheme="minorHAnsi" w:hAnsiTheme="minorHAnsi" w:cstheme="minorHAnsi"/>
          <w:lang w:eastAsia="en-AU"/>
        </w:rPr>
        <w:t xml:space="preserve">ublic </w:t>
      </w:r>
      <w:r w:rsidR="009A65ED" w:rsidRPr="009B535C">
        <w:rPr>
          <w:rFonts w:asciiTheme="minorHAnsi" w:hAnsiTheme="minorHAnsi" w:cstheme="minorHAnsi"/>
          <w:lang w:eastAsia="en-AU"/>
        </w:rPr>
        <w:t>s</w:t>
      </w:r>
      <w:r w:rsidR="006411F2" w:rsidRPr="009B535C">
        <w:rPr>
          <w:rFonts w:asciiTheme="minorHAnsi" w:hAnsiTheme="minorHAnsi" w:cstheme="minorHAnsi"/>
          <w:lang w:eastAsia="en-AU"/>
        </w:rPr>
        <w:t xml:space="preserve">chool </w:t>
      </w:r>
      <w:r w:rsidR="006411F2" w:rsidRPr="0086054F">
        <w:rPr>
          <w:lang w:eastAsia="en-AU"/>
        </w:rPr>
        <w:t>(CPS)</w:t>
      </w:r>
      <w:r w:rsidR="0079658D" w:rsidRPr="0086054F">
        <w:rPr>
          <w:lang w:eastAsia="en-AU"/>
        </w:rPr>
        <w:t xml:space="preserve"> </w:t>
      </w:r>
      <w:r w:rsidR="004D09DE">
        <w:rPr>
          <w:lang w:eastAsia="en-AU"/>
        </w:rPr>
        <w:t xml:space="preserve">system, which allows </w:t>
      </w:r>
      <w:r w:rsidR="007F6833">
        <w:rPr>
          <w:lang w:eastAsia="en-AU"/>
        </w:rPr>
        <w:t xml:space="preserve">students to express a preference to enrol in </w:t>
      </w:r>
      <w:r w:rsidR="005F6AED" w:rsidRPr="0086054F">
        <w:rPr>
          <w:lang w:eastAsia="en-AU"/>
        </w:rPr>
        <w:t>schools outside their neighbourhood but within the same school district.</w:t>
      </w:r>
      <w:r w:rsidR="00F22DE6" w:rsidRPr="0086054F">
        <w:rPr>
          <w:lang w:eastAsia="en-AU"/>
        </w:rPr>
        <w:t xml:space="preserve"> </w:t>
      </w:r>
    </w:p>
    <w:p w14:paraId="0D5B8E08" w14:textId="453AD7BD" w:rsidR="00837E5C" w:rsidRPr="0086054F" w:rsidRDefault="00605FFE" w:rsidP="009F6434">
      <w:pPr>
        <w:rPr>
          <w:lang w:eastAsia="en-AU"/>
        </w:rPr>
      </w:pPr>
      <w:r>
        <w:rPr>
          <w:lang w:eastAsia="en-AU"/>
        </w:rPr>
        <w:t>Lottery</w:t>
      </w:r>
      <w:r w:rsidR="004E15FD">
        <w:rPr>
          <w:lang w:eastAsia="en-AU"/>
        </w:rPr>
        <w:t xml:space="preserve"> system</w:t>
      </w:r>
      <w:r>
        <w:rPr>
          <w:lang w:eastAsia="en-AU"/>
        </w:rPr>
        <w:t>s</w:t>
      </w:r>
      <w:r w:rsidR="004E15FD">
        <w:rPr>
          <w:lang w:eastAsia="en-AU"/>
        </w:rPr>
        <w:t xml:space="preserve"> </w:t>
      </w:r>
      <w:r>
        <w:rPr>
          <w:lang w:eastAsia="en-AU"/>
        </w:rPr>
        <w:t xml:space="preserve">are </w:t>
      </w:r>
      <w:r w:rsidR="002E02BF">
        <w:rPr>
          <w:lang w:eastAsia="en-AU"/>
        </w:rPr>
        <w:t>commonly</w:t>
      </w:r>
      <w:r w:rsidR="004E15FD">
        <w:rPr>
          <w:lang w:eastAsia="en-AU"/>
        </w:rPr>
        <w:t xml:space="preserve"> used by charter schools </w:t>
      </w:r>
      <w:r w:rsidR="002F2A0A">
        <w:rPr>
          <w:lang w:eastAsia="en-AU"/>
        </w:rPr>
        <w:t xml:space="preserve">in </w:t>
      </w:r>
      <w:r w:rsidR="0011395B">
        <w:rPr>
          <w:lang w:eastAsia="en-AU"/>
        </w:rPr>
        <w:t>s</w:t>
      </w:r>
      <w:r w:rsidR="002F2A0A">
        <w:rPr>
          <w:lang w:eastAsia="en-AU"/>
        </w:rPr>
        <w:t xml:space="preserve">tates across the US. </w:t>
      </w:r>
      <w:r w:rsidR="006C7A1C">
        <w:rPr>
          <w:lang w:eastAsia="en-AU"/>
        </w:rPr>
        <w:t>Integration</w:t>
      </w:r>
      <w:r w:rsidR="002F2A0A">
        <w:rPr>
          <w:lang w:eastAsia="en-AU"/>
        </w:rPr>
        <w:t>-</w:t>
      </w:r>
      <w:r w:rsidR="006C7A1C">
        <w:rPr>
          <w:lang w:eastAsia="en-AU"/>
        </w:rPr>
        <w:t>minded</w:t>
      </w:r>
      <w:r w:rsidR="00344692">
        <w:rPr>
          <w:lang w:eastAsia="en-AU"/>
        </w:rPr>
        <w:t xml:space="preserve"> </w:t>
      </w:r>
      <w:r w:rsidR="00A94900">
        <w:rPr>
          <w:lang w:eastAsia="en-AU"/>
        </w:rPr>
        <w:t xml:space="preserve">charter </w:t>
      </w:r>
      <w:r w:rsidR="00344692">
        <w:rPr>
          <w:lang w:eastAsia="en-AU"/>
        </w:rPr>
        <w:t>schools</w:t>
      </w:r>
      <w:r w:rsidR="002E02BF">
        <w:rPr>
          <w:lang w:eastAsia="en-AU"/>
        </w:rPr>
        <w:t xml:space="preserve"> use a two-tiered</w:t>
      </w:r>
      <w:r w:rsidR="00344692">
        <w:rPr>
          <w:lang w:eastAsia="en-AU"/>
        </w:rPr>
        <w:t xml:space="preserve"> lottery system </w:t>
      </w:r>
      <w:r w:rsidR="00E50A4D">
        <w:rPr>
          <w:lang w:eastAsia="en-AU"/>
        </w:rPr>
        <w:t>specifically to improve student diversity</w:t>
      </w:r>
      <w:r w:rsidR="00D51C2D">
        <w:rPr>
          <w:lang w:eastAsia="en-AU"/>
        </w:rPr>
        <w:t xml:space="preserve">. </w:t>
      </w:r>
      <w:r w:rsidR="00411F5E">
        <w:rPr>
          <w:lang w:eastAsia="en-AU"/>
        </w:rPr>
        <w:t xml:space="preserve">With thresholds </w:t>
      </w:r>
      <w:r w:rsidR="00A37EE5">
        <w:rPr>
          <w:lang w:eastAsia="en-AU"/>
        </w:rPr>
        <w:t xml:space="preserve">often set by the school’s governing body </w:t>
      </w:r>
      <w:r w:rsidR="009B2D66">
        <w:rPr>
          <w:lang w:eastAsia="en-AU"/>
        </w:rPr>
        <w:t xml:space="preserve">and </w:t>
      </w:r>
      <w:r w:rsidR="00A37EE5">
        <w:rPr>
          <w:lang w:eastAsia="en-AU"/>
        </w:rPr>
        <w:t>ba</w:t>
      </w:r>
      <w:r w:rsidR="005B5BFA">
        <w:rPr>
          <w:lang w:eastAsia="en-AU"/>
        </w:rPr>
        <w:t>sed on the racial profile of the local district, t</w:t>
      </w:r>
      <w:r w:rsidR="007404E4">
        <w:rPr>
          <w:lang w:eastAsia="en-AU"/>
        </w:rPr>
        <w:t>arget groups</w:t>
      </w:r>
      <w:r w:rsidR="00744694">
        <w:rPr>
          <w:lang w:eastAsia="en-AU"/>
        </w:rPr>
        <w:t xml:space="preserve"> (e.g</w:t>
      </w:r>
      <w:r w:rsidR="00E8145D">
        <w:rPr>
          <w:lang w:eastAsia="en-AU"/>
        </w:rPr>
        <w:t>.,</w:t>
      </w:r>
      <w:r w:rsidR="00744694">
        <w:rPr>
          <w:lang w:eastAsia="en-AU"/>
        </w:rPr>
        <w:t xml:space="preserve"> Black, Hispanic)</w:t>
      </w:r>
      <w:r w:rsidR="007404E4">
        <w:rPr>
          <w:lang w:eastAsia="en-AU"/>
        </w:rPr>
        <w:t xml:space="preserve"> are </w:t>
      </w:r>
      <w:r w:rsidR="00BE3FEE">
        <w:rPr>
          <w:lang w:eastAsia="en-AU"/>
        </w:rPr>
        <w:t xml:space="preserve">allocated a certain number of </w:t>
      </w:r>
      <w:r w:rsidR="00D110A3">
        <w:rPr>
          <w:lang w:eastAsia="en-AU"/>
        </w:rPr>
        <w:t>seats</w:t>
      </w:r>
      <w:r w:rsidR="00446B8A">
        <w:rPr>
          <w:lang w:eastAsia="en-AU"/>
        </w:rPr>
        <w:t xml:space="preserve"> which are </w:t>
      </w:r>
      <w:r w:rsidR="009B2D66">
        <w:rPr>
          <w:lang w:eastAsia="en-AU"/>
        </w:rPr>
        <w:t xml:space="preserve">then </w:t>
      </w:r>
      <w:r w:rsidR="00446B8A">
        <w:rPr>
          <w:lang w:eastAsia="en-AU"/>
        </w:rPr>
        <w:t>assigned by lottery</w:t>
      </w:r>
      <w:r w:rsidR="002F2A0A">
        <w:rPr>
          <w:lang w:eastAsia="en-AU"/>
        </w:rPr>
        <w:t xml:space="preserve">. </w:t>
      </w:r>
      <w:r w:rsidR="00E65264">
        <w:rPr>
          <w:lang w:eastAsia="en-AU"/>
        </w:rPr>
        <w:t>The</w:t>
      </w:r>
      <w:r w:rsidR="00A66CEE">
        <w:rPr>
          <w:lang w:eastAsia="en-AU"/>
        </w:rPr>
        <w:t xml:space="preserve"> intent may be to ensure an appropriate mix of either racial representation or SES background, but in practice the</w:t>
      </w:r>
      <w:r w:rsidR="00E65264">
        <w:rPr>
          <w:lang w:eastAsia="en-AU"/>
        </w:rPr>
        <w:t xml:space="preserve">re is </w:t>
      </w:r>
      <w:r w:rsidR="00F9506F">
        <w:rPr>
          <w:lang w:eastAsia="en-AU"/>
        </w:rPr>
        <w:t>significant</w:t>
      </w:r>
      <w:r w:rsidR="00E65264">
        <w:rPr>
          <w:lang w:eastAsia="en-AU"/>
        </w:rPr>
        <w:t xml:space="preserve"> overlap.</w:t>
      </w:r>
      <w:r w:rsidR="00466A87">
        <w:rPr>
          <w:rStyle w:val="FootnoteReference"/>
          <w:lang w:eastAsia="en-AU"/>
        </w:rPr>
        <w:footnoteReference w:id="76"/>
      </w:r>
      <w:r w:rsidR="00A56B6E">
        <w:rPr>
          <w:lang w:eastAsia="en-AU"/>
        </w:rPr>
        <w:t xml:space="preserve"> </w:t>
      </w:r>
      <w:r w:rsidR="00F52CC2">
        <w:rPr>
          <w:lang w:eastAsia="en-AU"/>
        </w:rPr>
        <w:t xml:space="preserve">Note this practice is in question after a recent Supreme Court ruling </w:t>
      </w:r>
      <w:r w:rsidR="00A15D4F">
        <w:rPr>
          <w:lang w:eastAsia="en-AU"/>
        </w:rPr>
        <w:t xml:space="preserve">that </w:t>
      </w:r>
      <w:r w:rsidR="00F52CC2">
        <w:rPr>
          <w:lang w:eastAsia="en-AU"/>
        </w:rPr>
        <w:t xml:space="preserve">the consideration of race in college applications </w:t>
      </w:r>
      <w:r w:rsidR="00A15D4F">
        <w:rPr>
          <w:lang w:eastAsia="en-AU"/>
        </w:rPr>
        <w:t xml:space="preserve">was </w:t>
      </w:r>
      <w:r w:rsidR="00F52CC2">
        <w:rPr>
          <w:lang w:eastAsia="en-AU"/>
        </w:rPr>
        <w:t>unconstitutional, leading to expectations of using SES indicators instead.</w:t>
      </w:r>
    </w:p>
    <w:p w14:paraId="32D7EECE" w14:textId="7C608C91" w:rsidR="003C336F" w:rsidRDefault="00636393" w:rsidP="00E477D7">
      <w:pPr>
        <w:pStyle w:val="Heading3"/>
      </w:pPr>
      <w:r>
        <w:t xml:space="preserve">Outcomes </w:t>
      </w:r>
    </w:p>
    <w:p w14:paraId="0391508F" w14:textId="563267F9" w:rsidR="00493811" w:rsidRDefault="00493811" w:rsidP="00E477D7">
      <w:pPr>
        <w:pStyle w:val="Heading5"/>
      </w:pPr>
      <w:r>
        <w:t>Diversity</w:t>
      </w:r>
    </w:p>
    <w:p w14:paraId="0C7158B5" w14:textId="30AA771F" w:rsidR="00B25EDF" w:rsidRDefault="00564BEE" w:rsidP="0094148D">
      <w:pPr>
        <w:rPr>
          <w:lang w:eastAsia="en-AU"/>
        </w:rPr>
      </w:pPr>
      <w:r>
        <w:rPr>
          <w:lang w:eastAsia="en-AU"/>
        </w:rPr>
        <w:t>A</w:t>
      </w:r>
      <w:r w:rsidR="00D91647">
        <w:rPr>
          <w:lang w:eastAsia="en-AU"/>
        </w:rPr>
        <w:t xml:space="preserve"> recent </w:t>
      </w:r>
      <w:r w:rsidR="00D91647" w:rsidRPr="00D91647">
        <w:rPr>
          <w:lang w:eastAsia="en-AU"/>
        </w:rPr>
        <w:t>systematic review of literature on school rezoning</w:t>
      </w:r>
      <w:r w:rsidR="00475AEF" w:rsidRPr="00475AEF">
        <w:t xml:space="preserve"> </w:t>
      </w:r>
      <w:r w:rsidR="00302510">
        <w:rPr>
          <w:lang w:eastAsia="en-AU"/>
        </w:rPr>
        <w:t>produced</w:t>
      </w:r>
      <w:r w:rsidR="00912B6F">
        <w:rPr>
          <w:lang w:eastAsia="en-AU"/>
        </w:rPr>
        <w:t xml:space="preserve"> mixed findings </w:t>
      </w:r>
      <w:r w:rsidR="00302510">
        <w:rPr>
          <w:lang w:eastAsia="en-AU"/>
        </w:rPr>
        <w:t xml:space="preserve">about </w:t>
      </w:r>
      <w:r w:rsidR="00D25102">
        <w:rPr>
          <w:lang w:eastAsia="en-AU"/>
        </w:rPr>
        <w:t>the impacts o</w:t>
      </w:r>
      <w:r w:rsidR="00E4238D">
        <w:rPr>
          <w:lang w:eastAsia="en-AU"/>
        </w:rPr>
        <w:t xml:space="preserve">f rezoning on </w:t>
      </w:r>
      <w:r w:rsidR="00811FFA">
        <w:rPr>
          <w:lang w:eastAsia="en-AU"/>
        </w:rPr>
        <w:t>segregation</w:t>
      </w:r>
      <w:r w:rsidR="00E4238D">
        <w:rPr>
          <w:lang w:eastAsia="en-AU"/>
        </w:rPr>
        <w:t xml:space="preserve"> and concentrations of disadvantage</w:t>
      </w:r>
      <w:r w:rsidR="00811FFA">
        <w:rPr>
          <w:lang w:eastAsia="en-AU"/>
        </w:rPr>
        <w:t>.</w:t>
      </w:r>
      <w:r w:rsidR="00811FFA">
        <w:rPr>
          <w:rStyle w:val="FootnoteReference"/>
          <w:lang w:eastAsia="en-AU"/>
        </w:rPr>
        <w:footnoteReference w:id="77"/>
      </w:r>
      <w:r w:rsidR="00E4238D">
        <w:rPr>
          <w:lang w:eastAsia="en-AU"/>
        </w:rPr>
        <w:t xml:space="preserve"> </w:t>
      </w:r>
      <w:r w:rsidR="00AD00F7">
        <w:rPr>
          <w:lang w:eastAsia="en-AU"/>
        </w:rPr>
        <w:t xml:space="preserve">In the </w:t>
      </w:r>
      <w:r w:rsidR="00AD00F7" w:rsidRPr="00F81BDB">
        <w:rPr>
          <w:rFonts w:asciiTheme="majorHAnsi" w:hAnsiTheme="majorHAnsi" w:cstheme="majorHAnsi"/>
          <w:lang w:eastAsia="en-AU"/>
        </w:rPr>
        <w:t>US</w:t>
      </w:r>
      <w:r w:rsidR="002E177A">
        <w:rPr>
          <w:rFonts w:asciiTheme="majorHAnsi" w:hAnsiTheme="majorHAnsi" w:cstheme="majorHAnsi"/>
          <w:lang w:eastAsia="en-AU"/>
        </w:rPr>
        <w:t>,</w:t>
      </w:r>
      <w:r w:rsidR="00AD00F7" w:rsidRPr="00F81BDB">
        <w:rPr>
          <w:rFonts w:asciiTheme="majorHAnsi" w:hAnsiTheme="majorHAnsi" w:cstheme="majorHAnsi"/>
          <w:lang w:eastAsia="en-AU"/>
        </w:rPr>
        <w:t xml:space="preserve"> </w:t>
      </w:r>
      <w:r w:rsidR="00AD00F7">
        <w:rPr>
          <w:lang w:eastAsia="en-AU"/>
        </w:rPr>
        <w:t>t</w:t>
      </w:r>
      <w:r w:rsidR="0043039F">
        <w:rPr>
          <w:lang w:eastAsia="en-AU"/>
        </w:rPr>
        <w:t>he</w:t>
      </w:r>
      <w:r w:rsidR="0043039F" w:rsidRPr="0043039F">
        <w:rPr>
          <w:lang w:eastAsia="en-AU"/>
        </w:rPr>
        <w:t xml:space="preserve"> intentionally irregular attendance zones </w:t>
      </w:r>
      <w:r w:rsidR="0043039F" w:rsidRPr="00F81BDB">
        <w:rPr>
          <w:rFonts w:asciiTheme="minorHAnsi" w:hAnsiTheme="minorHAnsi" w:cstheme="minorHAnsi"/>
          <w:lang w:eastAsia="en-AU"/>
        </w:rPr>
        <w:t xml:space="preserve">of Eden Prairie, Brandywine and Wake Country were found to be associated with higher levels of racial integration, </w:t>
      </w:r>
      <w:r w:rsidR="00697088" w:rsidRPr="00F81BDB">
        <w:rPr>
          <w:rFonts w:asciiTheme="minorHAnsi" w:hAnsiTheme="minorHAnsi" w:cstheme="minorHAnsi"/>
          <w:lang w:eastAsia="en-AU"/>
        </w:rPr>
        <w:t xml:space="preserve">with no change in </w:t>
      </w:r>
      <w:r w:rsidR="0043039F" w:rsidRPr="00F81BDB">
        <w:rPr>
          <w:rFonts w:asciiTheme="minorHAnsi" w:hAnsiTheme="minorHAnsi" w:cstheme="minorHAnsi"/>
          <w:lang w:eastAsia="en-AU"/>
        </w:rPr>
        <w:t>residential segregation.</w:t>
      </w:r>
      <w:r w:rsidR="0047365E" w:rsidRPr="00F81BDB">
        <w:rPr>
          <w:rStyle w:val="FootnoteReference"/>
          <w:rFonts w:asciiTheme="minorHAnsi" w:hAnsiTheme="minorHAnsi" w:cstheme="minorHAnsi"/>
          <w:lang w:eastAsia="en-AU"/>
        </w:rPr>
        <w:footnoteReference w:id="78"/>
      </w:r>
      <w:r w:rsidR="0043039F" w:rsidRPr="00F81BDB">
        <w:rPr>
          <w:rFonts w:asciiTheme="minorHAnsi" w:hAnsiTheme="minorHAnsi" w:cstheme="minorHAnsi"/>
          <w:lang w:eastAsia="en-AU"/>
        </w:rPr>
        <w:t xml:space="preserve"> In contrast, a</w:t>
      </w:r>
      <w:r w:rsidR="002A275A" w:rsidRPr="00F81BDB">
        <w:rPr>
          <w:rFonts w:asciiTheme="minorHAnsi" w:hAnsiTheme="minorHAnsi" w:cstheme="minorHAnsi"/>
          <w:lang w:eastAsia="en-AU"/>
        </w:rPr>
        <w:t xml:space="preserve">nalysis </w:t>
      </w:r>
      <w:r w:rsidR="00525A78" w:rsidRPr="00F81BDB">
        <w:rPr>
          <w:rFonts w:asciiTheme="minorHAnsi" w:hAnsiTheme="minorHAnsi" w:cstheme="minorHAnsi"/>
          <w:lang w:eastAsia="en-AU"/>
        </w:rPr>
        <w:t xml:space="preserve">of </w:t>
      </w:r>
      <w:r w:rsidR="000F7436" w:rsidRPr="00F81BDB">
        <w:rPr>
          <w:rFonts w:asciiTheme="minorHAnsi" w:hAnsiTheme="minorHAnsi" w:cstheme="minorHAnsi"/>
          <w:lang w:eastAsia="en-AU"/>
        </w:rPr>
        <w:t xml:space="preserve">rezoning conducted for </w:t>
      </w:r>
      <w:r w:rsidR="00E15BAC" w:rsidRPr="00F81BDB">
        <w:rPr>
          <w:rFonts w:asciiTheme="minorHAnsi" w:hAnsiTheme="minorHAnsi" w:cstheme="minorHAnsi"/>
          <w:lang w:eastAsia="en-AU"/>
        </w:rPr>
        <w:t>Charlotte-Mecklenburg</w:t>
      </w:r>
      <w:r w:rsidR="00E15BAC">
        <w:rPr>
          <w:lang w:eastAsia="en-AU"/>
        </w:rPr>
        <w:t xml:space="preserve"> schools</w:t>
      </w:r>
      <w:r w:rsidR="00AD2E0C">
        <w:rPr>
          <w:lang w:eastAsia="en-AU"/>
        </w:rPr>
        <w:t>,</w:t>
      </w:r>
      <w:r w:rsidR="000F7436">
        <w:rPr>
          <w:lang w:eastAsia="en-AU"/>
        </w:rPr>
        <w:t xml:space="preserve"> </w:t>
      </w:r>
      <w:r w:rsidR="005E2AA5">
        <w:rPr>
          <w:lang w:eastAsia="en-AU"/>
        </w:rPr>
        <w:t xml:space="preserve">to </w:t>
      </w:r>
      <w:r w:rsidR="00415A16">
        <w:rPr>
          <w:lang w:eastAsia="en-AU"/>
        </w:rPr>
        <w:t>assign students to their closest school</w:t>
      </w:r>
      <w:r w:rsidR="00AD2E0C">
        <w:rPr>
          <w:lang w:eastAsia="en-AU"/>
        </w:rPr>
        <w:t>,</w:t>
      </w:r>
      <w:r w:rsidR="00E15BAC">
        <w:rPr>
          <w:lang w:eastAsia="en-AU"/>
        </w:rPr>
        <w:t xml:space="preserve"> </w:t>
      </w:r>
      <w:r w:rsidR="00646076">
        <w:rPr>
          <w:lang w:eastAsia="en-AU"/>
        </w:rPr>
        <w:t xml:space="preserve">found that </w:t>
      </w:r>
      <w:r w:rsidR="005E4CAB">
        <w:rPr>
          <w:lang w:eastAsia="en-AU"/>
        </w:rPr>
        <w:t>more advantaged</w:t>
      </w:r>
      <w:r w:rsidR="006C3961">
        <w:rPr>
          <w:lang w:eastAsia="en-AU"/>
        </w:rPr>
        <w:t xml:space="preserve"> families</w:t>
      </w:r>
      <w:r w:rsidR="005E4CAB">
        <w:rPr>
          <w:lang w:eastAsia="en-AU"/>
        </w:rPr>
        <w:t>, in this case, typically White families,</w:t>
      </w:r>
      <w:r w:rsidR="006C3961">
        <w:rPr>
          <w:lang w:eastAsia="en-AU"/>
        </w:rPr>
        <w:t xml:space="preserve"> would relocate as a result of </w:t>
      </w:r>
      <w:r w:rsidR="00B75C2B">
        <w:rPr>
          <w:lang w:eastAsia="en-AU"/>
        </w:rPr>
        <w:t>rezoning</w:t>
      </w:r>
      <w:r w:rsidR="006C3961">
        <w:rPr>
          <w:lang w:eastAsia="en-AU"/>
        </w:rPr>
        <w:t xml:space="preserve">, resulting in </w:t>
      </w:r>
      <w:r w:rsidR="003A0A75">
        <w:rPr>
          <w:lang w:eastAsia="en-AU"/>
        </w:rPr>
        <w:t>higher</w:t>
      </w:r>
      <w:r w:rsidR="006C3961">
        <w:rPr>
          <w:lang w:eastAsia="en-AU"/>
        </w:rPr>
        <w:t xml:space="preserve"> levels of residential </w:t>
      </w:r>
      <w:r w:rsidR="00F436C3">
        <w:rPr>
          <w:lang w:eastAsia="en-AU"/>
        </w:rPr>
        <w:t xml:space="preserve">and educational </w:t>
      </w:r>
      <w:r w:rsidR="006C3961">
        <w:rPr>
          <w:lang w:eastAsia="en-AU"/>
        </w:rPr>
        <w:t>segregation.</w:t>
      </w:r>
      <w:r w:rsidR="00C81ADA">
        <w:rPr>
          <w:rStyle w:val="FootnoteReference"/>
          <w:lang w:eastAsia="en-AU"/>
        </w:rPr>
        <w:footnoteReference w:id="79"/>
      </w:r>
      <w:r w:rsidR="0077588C">
        <w:rPr>
          <w:lang w:eastAsia="en-AU"/>
        </w:rPr>
        <w:t xml:space="preserve"> ‘Gerrymandering’ in some US districts </w:t>
      </w:r>
      <w:r w:rsidR="008512AE">
        <w:rPr>
          <w:lang w:eastAsia="en-AU"/>
        </w:rPr>
        <w:t xml:space="preserve">(e.g. Atlanta) </w:t>
      </w:r>
      <w:r w:rsidR="00B25EDF">
        <w:rPr>
          <w:lang w:eastAsia="en-AU"/>
        </w:rPr>
        <w:t xml:space="preserve">has also </w:t>
      </w:r>
      <w:r w:rsidR="0077588C">
        <w:rPr>
          <w:lang w:eastAsia="en-AU"/>
        </w:rPr>
        <w:t>exacerbated racial and SES segregation</w:t>
      </w:r>
      <w:r w:rsidR="00DF61D0">
        <w:rPr>
          <w:rStyle w:val="FootnoteReference"/>
          <w:lang w:eastAsia="en-AU"/>
        </w:rPr>
        <w:footnoteReference w:id="80"/>
      </w:r>
      <w:r w:rsidR="007A1D65">
        <w:rPr>
          <w:lang w:eastAsia="en-AU"/>
        </w:rPr>
        <w:t>, with the most pronounced harm in districts experiencing rapid racial and ethnic change.</w:t>
      </w:r>
      <w:r w:rsidR="007A1D65">
        <w:rPr>
          <w:rStyle w:val="FootnoteReference"/>
          <w:lang w:eastAsia="en-AU"/>
        </w:rPr>
        <w:footnoteReference w:id="81"/>
      </w:r>
    </w:p>
    <w:p w14:paraId="30A4798A" w14:textId="59A0DABA" w:rsidR="0094148D" w:rsidRPr="0094148D" w:rsidRDefault="0077588C" w:rsidP="0094148D">
      <w:pPr>
        <w:rPr>
          <w:lang w:eastAsia="en-AU"/>
        </w:rPr>
      </w:pPr>
      <w:r w:rsidRPr="0CA156FD">
        <w:rPr>
          <w:rFonts w:asciiTheme="majorHAnsi" w:hAnsiTheme="majorHAnsi" w:cstheme="majorBidi"/>
          <w:lang w:eastAsia="en-AU"/>
        </w:rPr>
        <w:t>Zurich</w:t>
      </w:r>
      <w:r>
        <w:rPr>
          <w:lang w:eastAsia="en-AU"/>
        </w:rPr>
        <w:t xml:space="preserve">, </w:t>
      </w:r>
      <w:r w:rsidR="00D85E72">
        <w:rPr>
          <w:lang w:eastAsia="en-AU"/>
        </w:rPr>
        <w:t xml:space="preserve">however, </w:t>
      </w:r>
      <w:r w:rsidR="00B25EDF">
        <w:rPr>
          <w:lang w:eastAsia="en-AU"/>
        </w:rPr>
        <w:t xml:space="preserve">has successfully used </w:t>
      </w:r>
      <w:r w:rsidR="0094148D" w:rsidRPr="0094148D">
        <w:rPr>
          <w:lang w:eastAsia="en-AU"/>
        </w:rPr>
        <w:t xml:space="preserve">highly targeted </w:t>
      </w:r>
      <w:r w:rsidR="00533638">
        <w:rPr>
          <w:lang w:eastAsia="en-AU"/>
        </w:rPr>
        <w:t xml:space="preserve">altered </w:t>
      </w:r>
      <w:r w:rsidR="0094148D" w:rsidRPr="0094148D">
        <w:rPr>
          <w:lang w:eastAsia="en-AU"/>
        </w:rPr>
        <w:t>school zone</w:t>
      </w:r>
      <w:r w:rsidR="00533638">
        <w:rPr>
          <w:lang w:eastAsia="en-AU"/>
        </w:rPr>
        <w:t xml:space="preserve">s </w:t>
      </w:r>
      <w:r w:rsidR="0094148D" w:rsidRPr="0094148D">
        <w:rPr>
          <w:lang w:eastAsia="en-AU"/>
        </w:rPr>
        <w:t xml:space="preserve">at </w:t>
      </w:r>
      <w:r w:rsidR="00EF0658">
        <w:rPr>
          <w:lang w:eastAsia="en-AU"/>
        </w:rPr>
        <w:t xml:space="preserve">a </w:t>
      </w:r>
      <w:r w:rsidR="0094148D" w:rsidRPr="0094148D">
        <w:rPr>
          <w:lang w:eastAsia="en-AU"/>
        </w:rPr>
        <w:t xml:space="preserve">neighbourhood block level </w:t>
      </w:r>
      <w:r w:rsidR="0015405A">
        <w:rPr>
          <w:lang w:eastAsia="en-AU"/>
        </w:rPr>
        <w:t xml:space="preserve">to </w:t>
      </w:r>
      <w:r w:rsidR="00301D1D">
        <w:rPr>
          <w:lang w:eastAsia="en-AU"/>
        </w:rPr>
        <w:t>produce</w:t>
      </w:r>
      <w:r w:rsidR="0015405A" w:rsidRPr="0094148D">
        <w:rPr>
          <w:lang w:eastAsia="en-AU"/>
        </w:rPr>
        <w:t xml:space="preserve"> </w:t>
      </w:r>
      <w:r w:rsidR="0015405A">
        <w:rPr>
          <w:lang w:eastAsia="en-AU"/>
        </w:rPr>
        <w:t xml:space="preserve">a </w:t>
      </w:r>
      <w:r w:rsidR="0094148D" w:rsidRPr="0094148D">
        <w:rPr>
          <w:lang w:eastAsia="en-AU"/>
        </w:rPr>
        <w:t>more mixed student population.</w:t>
      </w:r>
      <w:r w:rsidR="0094148D" w:rsidRPr="0094148D">
        <w:rPr>
          <w:vertAlign w:val="superscript"/>
          <w:lang w:eastAsia="en-AU"/>
        </w:rPr>
        <w:footnoteReference w:id="82"/>
      </w:r>
      <w:r w:rsidR="0094148D" w:rsidRPr="0094148D">
        <w:rPr>
          <w:lang w:eastAsia="en-AU"/>
        </w:rPr>
        <w:t xml:space="preserve"> This effect was also noticed in a study across six Swiss cities</w:t>
      </w:r>
      <w:r w:rsidR="00301D1D">
        <w:rPr>
          <w:lang w:eastAsia="en-AU"/>
        </w:rPr>
        <w:t>,</w:t>
      </w:r>
      <w:r w:rsidR="0094148D" w:rsidRPr="0094148D">
        <w:rPr>
          <w:lang w:eastAsia="en-AU"/>
        </w:rPr>
        <w:t xml:space="preserve"> which found that small changes to catchment boundaries</w:t>
      </w:r>
      <w:r w:rsidR="000B066A">
        <w:rPr>
          <w:lang w:eastAsia="en-AU"/>
        </w:rPr>
        <w:t>,</w:t>
      </w:r>
      <w:r w:rsidR="0094148D" w:rsidRPr="0094148D">
        <w:rPr>
          <w:lang w:eastAsia="en-AU"/>
        </w:rPr>
        <w:t xml:space="preserve"> taking into account linguistic and socio</w:t>
      </w:r>
      <w:r w:rsidR="00E53D73">
        <w:rPr>
          <w:lang w:eastAsia="en-AU"/>
        </w:rPr>
        <w:t>-</w:t>
      </w:r>
      <w:r w:rsidR="0094148D" w:rsidRPr="0094148D">
        <w:rPr>
          <w:lang w:eastAsia="en-AU"/>
        </w:rPr>
        <w:t>economic origin</w:t>
      </w:r>
      <w:r w:rsidR="000B066A">
        <w:rPr>
          <w:lang w:eastAsia="en-AU"/>
        </w:rPr>
        <w:t>,</w:t>
      </w:r>
      <w:r w:rsidR="0094148D" w:rsidRPr="0094148D">
        <w:rPr>
          <w:lang w:eastAsia="en-AU"/>
        </w:rPr>
        <w:t xml:space="preserve"> </w:t>
      </w:r>
      <w:r w:rsidR="0094148D">
        <w:rPr>
          <w:lang w:eastAsia="en-AU"/>
        </w:rPr>
        <w:t>“</w:t>
      </w:r>
      <w:r w:rsidR="0094148D" w:rsidRPr="0094148D">
        <w:rPr>
          <w:lang w:eastAsia="en-AU"/>
        </w:rPr>
        <w:t>can create considerable [social mix] balance between schools</w:t>
      </w:r>
      <w:r w:rsidR="0094148D">
        <w:rPr>
          <w:lang w:eastAsia="en-AU"/>
        </w:rPr>
        <w:t>.”</w:t>
      </w:r>
      <w:r w:rsidR="0094148D" w:rsidRPr="0094148D">
        <w:rPr>
          <w:vertAlign w:val="superscript"/>
          <w:lang w:eastAsia="en-AU"/>
        </w:rPr>
        <w:footnoteReference w:id="83"/>
      </w:r>
    </w:p>
    <w:p w14:paraId="6C8DE069" w14:textId="2CFB8294" w:rsidR="001C7B11" w:rsidRDefault="006B599A" w:rsidP="00F33BAB">
      <w:r>
        <w:rPr>
          <w:lang w:eastAsia="en-AU"/>
        </w:rPr>
        <w:t>One notable</w:t>
      </w:r>
      <w:r w:rsidR="00EB3123">
        <w:rPr>
          <w:lang w:eastAsia="en-AU"/>
        </w:rPr>
        <w:t xml:space="preserve"> </w:t>
      </w:r>
      <w:r>
        <w:rPr>
          <w:lang w:eastAsia="en-AU"/>
        </w:rPr>
        <w:t xml:space="preserve">study of </w:t>
      </w:r>
      <w:r w:rsidR="00EB3123">
        <w:rPr>
          <w:lang w:eastAsia="en-AU"/>
        </w:rPr>
        <w:t xml:space="preserve">the impact </w:t>
      </w:r>
      <w:r w:rsidR="00E53D73">
        <w:rPr>
          <w:lang w:eastAsia="en-AU"/>
        </w:rPr>
        <w:t>of</w:t>
      </w:r>
      <w:r w:rsidR="00EB3123">
        <w:rPr>
          <w:lang w:eastAsia="en-AU"/>
        </w:rPr>
        <w:t xml:space="preserve"> </w:t>
      </w:r>
      <w:r w:rsidR="00324A41" w:rsidRPr="00A32F04">
        <w:rPr>
          <w:rFonts w:asciiTheme="majorHAnsi" w:hAnsiTheme="majorHAnsi" w:cstheme="majorHAnsi"/>
          <w:lang w:eastAsia="en-AU"/>
        </w:rPr>
        <w:t>Montgomery County’s</w:t>
      </w:r>
      <w:r w:rsidR="00324A41">
        <w:rPr>
          <w:lang w:eastAsia="en-AU"/>
        </w:rPr>
        <w:t xml:space="preserve"> boundary changes was </w:t>
      </w:r>
      <w:r w:rsidR="00EB3123">
        <w:rPr>
          <w:lang w:eastAsia="en-AU"/>
        </w:rPr>
        <w:t xml:space="preserve">released in </w:t>
      </w:r>
      <w:r w:rsidR="008E7D10">
        <w:rPr>
          <w:lang w:eastAsia="en-AU"/>
        </w:rPr>
        <w:t>2021. Although</w:t>
      </w:r>
      <w:r w:rsidR="00607736">
        <w:rPr>
          <w:lang w:eastAsia="en-AU"/>
        </w:rPr>
        <w:t xml:space="preserve"> </w:t>
      </w:r>
      <w:r w:rsidR="00005E69">
        <w:rPr>
          <w:lang w:eastAsia="en-AU"/>
        </w:rPr>
        <w:t xml:space="preserve">boundary changes in the 1990s appear to have had a positive </w:t>
      </w:r>
      <w:r w:rsidR="007E12C5">
        <w:rPr>
          <w:lang w:eastAsia="en-AU"/>
        </w:rPr>
        <w:t xml:space="preserve">influence on </w:t>
      </w:r>
      <w:r w:rsidR="00CA40BD">
        <w:rPr>
          <w:lang w:eastAsia="en-AU"/>
        </w:rPr>
        <w:t>d</w:t>
      </w:r>
      <w:r w:rsidR="00422BD8">
        <w:rPr>
          <w:lang w:eastAsia="en-AU"/>
        </w:rPr>
        <w:t xml:space="preserve">iversity and desegregation (in </w:t>
      </w:r>
      <w:r w:rsidR="00422BD8">
        <w:rPr>
          <w:lang w:eastAsia="en-AU"/>
        </w:rPr>
        <w:lastRenderedPageBreak/>
        <w:t>terms of race and poverty)</w:t>
      </w:r>
      <w:r w:rsidR="00E53D73">
        <w:rPr>
          <w:lang w:eastAsia="en-AU"/>
        </w:rPr>
        <w:t>,</w:t>
      </w:r>
      <w:r w:rsidR="00422BD8">
        <w:rPr>
          <w:lang w:eastAsia="en-AU"/>
        </w:rPr>
        <w:t xml:space="preserve"> </w:t>
      </w:r>
      <w:r w:rsidR="00FE441E">
        <w:rPr>
          <w:lang w:eastAsia="en-AU"/>
        </w:rPr>
        <w:t xml:space="preserve">the more recent analysis </w:t>
      </w:r>
      <w:r w:rsidR="00155DBC">
        <w:rPr>
          <w:lang w:eastAsia="en-AU"/>
        </w:rPr>
        <w:t>found that</w:t>
      </w:r>
      <w:r w:rsidR="00FE441E">
        <w:rPr>
          <w:lang w:eastAsia="en-AU"/>
        </w:rPr>
        <w:t xml:space="preserve"> demographic changes had seen a re-emergence of the problems that the re</w:t>
      </w:r>
      <w:r w:rsidR="00532626">
        <w:rPr>
          <w:lang w:eastAsia="en-AU"/>
        </w:rPr>
        <w:t>-</w:t>
      </w:r>
      <w:r w:rsidR="00FE441E">
        <w:rPr>
          <w:lang w:eastAsia="en-AU"/>
        </w:rPr>
        <w:t xml:space="preserve">drawn boundaries were intended to </w:t>
      </w:r>
      <w:r w:rsidR="00C95333">
        <w:rPr>
          <w:lang w:eastAsia="en-AU"/>
        </w:rPr>
        <w:t>address. Namely</w:t>
      </w:r>
      <w:r w:rsidR="00155DBC">
        <w:rPr>
          <w:lang w:eastAsia="en-AU"/>
        </w:rPr>
        <w:t>:</w:t>
      </w:r>
      <w:r w:rsidR="00F33BAB">
        <w:rPr>
          <w:lang w:eastAsia="en-AU"/>
        </w:rPr>
        <w:t xml:space="preserve"> o</w:t>
      </w:r>
      <w:r w:rsidR="001C7B11">
        <w:t>vercrowded schools</w:t>
      </w:r>
      <w:r w:rsidR="00F33BAB">
        <w:t xml:space="preserve"> (</w:t>
      </w:r>
      <w:r w:rsidR="00521921">
        <w:t xml:space="preserve">over half of </w:t>
      </w:r>
      <w:r w:rsidR="00415715">
        <w:t>the County’s schools were over</w:t>
      </w:r>
      <w:r w:rsidR="00AD7A80">
        <w:t>-</w:t>
      </w:r>
      <w:r w:rsidR="00415715">
        <w:t>utilised</w:t>
      </w:r>
      <w:r w:rsidR="00F33BAB">
        <w:t xml:space="preserve">) </w:t>
      </w:r>
      <w:r w:rsidR="00330AB3">
        <w:t xml:space="preserve">and uneven </w:t>
      </w:r>
      <w:r w:rsidR="00D7782B">
        <w:t>representation of the County’s diverse population in its schools</w:t>
      </w:r>
      <w:r w:rsidR="00834D2F">
        <w:t>, including schoo</w:t>
      </w:r>
      <w:r w:rsidR="00186FC0">
        <w:t>ls that had large concentrations of children in poverty</w:t>
      </w:r>
      <w:r w:rsidR="00D7782B">
        <w:t>.</w:t>
      </w:r>
      <w:r w:rsidR="00A904DA">
        <w:rPr>
          <w:rStyle w:val="FootnoteReference"/>
        </w:rPr>
        <w:footnoteReference w:id="84"/>
      </w:r>
      <w:r w:rsidR="004735C2">
        <w:t xml:space="preserve"> </w:t>
      </w:r>
      <w:r w:rsidR="00ED0996">
        <w:t xml:space="preserve">This highlights the need to continually re-draw boundaries to reflect changing demographics and </w:t>
      </w:r>
      <w:r w:rsidR="00FE7A11">
        <w:t xml:space="preserve">patterns in housing. </w:t>
      </w:r>
    </w:p>
    <w:p w14:paraId="2967551C" w14:textId="526F607E" w:rsidR="00D4404F" w:rsidRDefault="00141907" w:rsidP="0077588C">
      <w:pPr>
        <w:rPr>
          <w:lang w:eastAsia="en-AU"/>
        </w:rPr>
      </w:pPr>
      <w:r>
        <w:t xml:space="preserve">With respect to flexing school zones, </w:t>
      </w:r>
      <w:r w:rsidRPr="00A670CC">
        <w:rPr>
          <w:rFonts w:asciiTheme="majorHAnsi" w:hAnsiTheme="majorHAnsi" w:cstheme="majorHAnsi"/>
        </w:rPr>
        <w:t>Berlin</w:t>
      </w:r>
      <w:r>
        <w:t xml:space="preserve"> provides an example where </w:t>
      </w:r>
      <w:r w:rsidR="00301D1D">
        <w:t xml:space="preserve">enabling </w:t>
      </w:r>
      <w:r w:rsidR="0077588C">
        <w:rPr>
          <w:lang w:eastAsia="en-AU"/>
        </w:rPr>
        <w:t>out-of-zone enrolments</w:t>
      </w:r>
      <w:r w:rsidR="00301D1D">
        <w:rPr>
          <w:lang w:eastAsia="en-AU"/>
        </w:rPr>
        <w:t xml:space="preserve"> </w:t>
      </w:r>
      <w:r w:rsidR="005C376F">
        <w:rPr>
          <w:lang w:eastAsia="en-AU"/>
        </w:rPr>
        <w:t>through lotteries</w:t>
      </w:r>
      <w:r w:rsidR="005C683C">
        <w:rPr>
          <w:lang w:eastAsia="en-AU"/>
        </w:rPr>
        <w:t xml:space="preserve"> </w:t>
      </w:r>
      <w:r>
        <w:rPr>
          <w:lang w:eastAsia="en-AU"/>
        </w:rPr>
        <w:t xml:space="preserve">coincided with </w:t>
      </w:r>
      <w:r w:rsidR="0077588C">
        <w:rPr>
          <w:lang w:eastAsia="en-AU"/>
        </w:rPr>
        <w:t>improved SES and cultural diversity.</w:t>
      </w:r>
      <w:r w:rsidR="00395701">
        <w:rPr>
          <w:rStyle w:val="FootnoteReference"/>
          <w:lang w:eastAsia="en-AU"/>
        </w:rPr>
        <w:footnoteReference w:id="85"/>
      </w:r>
      <w:r w:rsidR="002243C7">
        <w:rPr>
          <w:lang w:eastAsia="en-AU"/>
        </w:rPr>
        <w:t xml:space="preserve"> This was despite the fact that a majority of places in the school could be filled on the basis of academic achievement</w:t>
      </w:r>
      <w:r w:rsidR="008760AE">
        <w:rPr>
          <w:lang w:eastAsia="en-AU"/>
        </w:rPr>
        <w:t xml:space="preserve">. </w:t>
      </w:r>
    </w:p>
    <w:p w14:paraId="2FD2E5FB" w14:textId="3F745121" w:rsidR="002279C5" w:rsidRPr="0086054F" w:rsidRDefault="00E82175" w:rsidP="002279C5">
      <w:pPr>
        <w:rPr>
          <w:lang w:eastAsia="en-AU"/>
        </w:rPr>
      </w:pPr>
      <w:r>
        <w:rPr>
          <w:lang w:eastAsia="en-AU"/>
        </w:rPr>
        <w:t>Flexing</w:t>
      </w:r>
      <w:r w:rsidRPr="0086054F">
        <w:rPr>
          <w:lang w:eastAsia="en-AU"/>
        </w:rPr>
        <w:t xml:space="preserve"> of school zones to allow out-of-zone enrolments </w:t>
      </w:r>
      <w:r w:rsidR="0015200D">
        <w:rPr>
          <w:lang w:eastAsia="en-AU"/>
        </w:rPr>
        <w:t xml:space="preserve">elsewhere has been </w:t>
      </w:r>
      <w:r w:rsidRPr="0086054F">
        <w:rPr>
          <w:lang w:eastAsia="en-AU"/>
        </w:rPr>
        <w:t xml:space="preserve">associated with improved </w:t>
      </w:r>
      <w:r>
        <w:rPr>
          <w:lang w:eastAsia="en-AU"/>
        </w:rPr>
        <w:t>socio</w:t>
      </w:r>
      <w:r w:rsidR="00B172C3">
        <w:rPr>
          <w:lang w:eastAsia="en-AU"/>
        </w:rPr>
        <w:t>-</w:t>
      </w:r>
      <w:r>
        <w:rPr>
          <w:lang w:eastAsia="en-AU"/>
        </w:rPr>
        <w:t>economic diversity</w:t>
      </w:r>
      <w:r w:rsidR="002279C5">
        <w:rPr>
          <w:lang w:eastAsia="en-AU"/>
        </w:rPr>
        <w:t xml:space="preserve">, </w:t>
      </w:r>
      <w:r w:rsidR="0015200D">
        <w:rPr>
          <w:lang w:eastAsia="en-AU"/>
        </w:rPr>
        <w:t xml:space="preserve">but </w:t>
      </w:r>
      <w:r w:rsidR="002279C5">
        <w:rPr>
          <w:lang w:eastAsia="en-AU"/>
        </w:rPr>
        <w:t xml:space="preserve">much depends on the approach to implementation. </w:t>
      </w:r>
      <w:r w:rsidR="0015200D">
        <w:rPr>
          <w:lang w:eastAsia="en-AU"/>
        </w:rPr>
        <w:t>For example, a</w:t>
      </w:r>
      <w:r w:rsidR="002279C5">
        <w:rPr>
          <w:lang w:eastAsia="en-AU"/>
        </w:rPr>
        <w:t xml:space="preserve"> zoning and lottery mechanism was included as part of a m</w:t>
      </w:r>
      <w:r w:rsidR="002279C5" w:rsidRPr="0086054F">
        <w:rPr>
          <w:lang w:eastAsia="en-AU"/>
        </w:rPr>
        <w:t xml:space="preserve">ajor school admission reform in </w:t>
      </w:r>
      <w:r w:rsidR="002279C5" w:rsidRPr="0086054F">
        <w:rPr>
          <w:rFonts w:asciiTheme="majorHAnsi" w:hAnsiTheme="majorHAnsi" w:cstheme="majorBidi"/>
          <w:lang w:eastAsia="en-AU"/>
        </w:rPr>
        <w:t xml:space="preserve">Bristol, </w:t>
      </w:r>
      <w:r w:rsidR="002279C5" w:rsidRPr="002279C5">
        <w:rPr>
          <w:rFonts w:asciiTheme="minorHAnsi" w:hAnsiTheme="minorHAnsi" w:cstheme="minorHAnsi"/>
          <w:lang w:eastAsia="en-AU"/>
        </w:rPr>
        <w:t>UK</w:t>
      </w:r>
      <w:r w:rsidR="002279C5" w:rsidRPr="0086054F">
        <w:rPr>
          <w:lang w:eastAsia="en-AU"/>
        </w:rPr>
        <w:t xml:space="preserve"> </w:t>
      </w:r>
      <w:r w:rsidR="002279C5">
        <w:rPr>
          <w:lang w:eastAsia="en-AU"/>
        </w:rPr>
        <w:t>in</w:t>
      </w:r>
      <w:r w:rsidR="002279C5" w:rsidRPr="0086054F">
        <w:rPr>
          <w:lang w:eastAsia="en-AU"/>
        </w:rPr>
        <w:t xml:space="preserve"> 2007</w:t>
      </w:r>
      <w:r w:rsidR="002279C5">
        <w:rPr>
          <w:lang w:eastAsia="en-AU"/>
        </w:rPr>
        <w:t xml:space="preserve">. </w:t>
      </w:r>
      <w:r w:rsidR="002279C5" w:rsidRPr="0086054F">
        <w:rPr>
          <w:lang w:eastAsia="en-AU"/>
        </w:rPr>
        <w:t>Th</w:t>
      </w:r>
      <w:r w:rsidR="002279C5">
        <w:rPr>
          <w:lang w:eastAsia="en-AU"/>
        </w:rPr>
        <w:t>is</w:t>
      </w:r>
      <w:r w:rsidR="002279C5" w:rsidRPr="0086054F">
        <w:rPr>
          <w:lang w:eastAsia="en-AU"/>
        </w:rPr>
        <w:t xml:space="preserve"> reform led to no statistically significant change in segregation</w:t>
      </w:r>
      <w:r w:rsidR="00A23C7E">
        <w:rPr>
          <w:lang w:eastAsia="en-AU"/>
        </w:rPr>
        <w:t>,</w:t>
      </w:r>
      <w:r w:rsidR="002279C5" w:rsidRPr="0086054F">
        <w:rPr>
          <w:lang w:eastAsia="en-AU"/>
        </w:rPr>
        <w:t xml:space="preserve"> as lottery priority was given to same-catchment students</w:t>
      </w:r>
      <w:r w:rsidR="00585A63">
        <w:rPr>
          <w:lang w:eastAsia="en-AU"/>
        </w:rPr>
        <w:t>. T</w:t>
      </w:r>
      <w:r w:rsidR="002279C5" w:rsidRPr="0086054F">
        <w:rPr>
          <w:lang w:eastAsia="en-AU"/>
        </w:rPr>
        <w:t>his</w:t>
      </w:r>
      <w:r w:rsidR="002279C5">
        <w:rPr>
          <w:lang w:eastAsia="en-AU"/>
        </w:rPr>
        <w:t>,</w:t>
      </w:r>
      <w:r w:rsidR="002279C5" w:rsidRPr="0086054F">
        <w:rPr>
          <w:lang w:eastAsia="en-AU"/>
        </w:rPr>
        <w:t xml:space="preserve"> </w:t>
      </w:r>
      <w:r w:rsidR="00D47BFA">
        <w:rPr>
          <w:lang w:eastAsia="en-AU"/>
        </w:rPr>
        <w:t>along</w:t>
      </w:r>
      <w:r w:rsidR="00D47BFA" w:rsidRPr="0086054F">
        <w:rPr>
          <w:lang w:eastAsia="en-AU"/>
        </w:rPr>
        <w:t xml:space="preserve"> </w:t>
      </w:r>
      <w:r w:rsidR="002279C5" w:rsidRPr="0086054F">
        <w:rPr>
          <w:lang w:eastAsia="en-AU"/>
        </w:rPr>
        <w:t>with constrained school capacity</w:t>
      </w:r>
      <w:r w:rsidR="002279C5">
        <w:rPr>
          <w:lang w:eastAsia="en-AU"/>
        </w:rPr>
        <w:t>,</w:t>
      </w:r>
      <w:r w:rsidR="002279C5" w:rsidRPr="0086054F">
        <w:rPr>
          <w:lang w:eastAsia="en-AU"/>
        </w:rPr>
        <w:t xml:space="preserve"> meant </w:t>
      </w:r>
      <w:r w:rsidR="002279C5">
        <w:rPr>
          <w:lang w:eastAsia="en-AU"/>
        </w:rPr>
        <w:t>few out-of-zone</w:t>
      </w:r>
      <w:r w:rsidR="002279C5" w:rsidRPr="0086054F">
        <w:rPr>
          <w:lang w:eastAsia="en-AU"/>
        </w:rPr>
        <w:t xml:space="preserve"> students benefit</w:t>
      </w:r>
      <w:r w:rsidR="002279C5">
        <w:rPr>
          <w:lang w:eastAsia="en-AU"/>
        </w:rPr>
        <w:t>ed</w:t>
      </w:r>
      <w:r w:rsidR="002279C5" w:rsidRPr="0086054F">
        <w:rPr>
          <w:lang w:eastAsia="en-AU"/>
        </w:rPr>
        <w:t>.</w:t>
      </w:r>
      <w:r w:rsidR="002279C5" w:rsidRPr="0086054F">
        <w:rPr>
          <w:rStyle w:val="FootnoteReference"/>
          <w:lang w:eastAsia="en-AU"/>
        </w:rPr>
        <w:footnoteReference w:id="86"/>
      </w:r>
    </w:p>
    <w:p w14:paraId="0BFDCA43" w14:textId="3B7FC58F" w:rsidR="00E82175" w:rsidRDefault="008C1AB0" w:rsidP="00E82175">
      <w:pPr>
        <w:rPr>
          <w:lang w:eastAsia="en-AU"/>
        </w:rPr>
      </w:pPr>
      <w:r>
        <w:rPr>
          <w:lang w:eastAsia="en-AU"/>
        </w:rPr>
        <w:t xml:space="preserve">The use of lotteries </w:t>
      </w:r>
      <w:r w:rsidR="00660C85">
        <w:rPr>
          <w:lang w:eastAsia="en-AU"/>
        </w:rPr>
        <w:t>i</w:t>
      </w:r>
      <w:r>
        <w:rPr>
          <w:lang w:eastAsia="en-AU"/>
        </w:rPr>
        <w:t xml:space="preserve">n </w:t>
      </w:r>
      <w:r w:rsidRPr="0050009A">
        <w:rPr>
          <w:rFonts w:asciiTheme="majorHAnsi" w:hAnsiTheme="majorHAnsi" w:cstheme="majorBidi"/>
          <w:lang w:eastAsia="en-AU"/>
        </w:rPr>
        <w:t>Chicago</w:t>
      </w:r>
      <w:r w:rsidR="0006780D">
        <w:rPr>
          <w:rFonts w:asciiTheme="majorHAnsi" w:hAnsiTheme="majorHAnsi" w:cstheme="majorBidi"/>
          <w:lang w:eastAsia="en-AU"/>
        </w:rPr>
        <w:t xml:space="preserve">, </w:t>
      </w:r>
      <w:r w:rsidR="0006780D" w:rsidRPr="00005687">
        <w:rPr>
          <w:rFonts w:asciiTheme="minorHAnsi" w:hAnsiTheme="minorHAnsi" w:cstheme="minorHAnsi"/>
          <w:lang w:eastAsia="en-AU"/>
        </w:rPr>
        <w:t xml:space="preserve">even </w:t>
      </w:r>
      <w:r w:rsidR="00533DC9">
        <w:rPr>
          <w:rFonts w:asciiTheme="minorHAnsi" w:hAnsiTheme="minorHAnsi" w:cstheme="minorHAnsi"/>
          <w:lang w:eastAsia="en-AU"/>
        </w:rPr>
        <w:t>within their</w:t>
      </w:r>
      <w:r w:rsidR="0006780D" w:rsidRPr="00005687">
        <w:rPr>
          <w:rFonts w:asciiTheme="minorHAnsi" w:hAnsiTheme="minorHAnsi" w:cstheme="minorHAnsi"/>
          <w:lang w:eastAsia="en-AU"/>
        </w:rPr>
        <w:t xml:space="preserve"> </w:t>
      </w:r>
      <w:r w:rsidR="00533DC9" w:rsidRPr="00005687">
        <w:rPr>
          <w:rFonts w:asciiTheme="minorHAnsi" w:hAnsiTheme="minorHAnsi" w:cstheme="minorHAnsi"/>
          <w:lang w:eastAsia="en-AU"/>
        </w:rPr>
        <w:t>selective enrolment schools</w:t>
      </w:r>
      <w:r w:rsidR="00533DC9">
        <w:rPr>
          <w:rFonts w:asciiTheme="minorHAnsi" w:hAnsiTheme="minorHAnsi" w:cstheme="minorHAnsi"/>
          <w:lang w:eastAsia="en-AU"/>
        </w:rPr>
        <w:t>,</w:t>
      </w:r>
      <w:r>
        <w:rPr>
          <w:lang w:eastAsia="en-AU"/>
        </w:rPr>
        <w:t xml:space="preserve"> has successful</w:t>
      </w:r>
      <w:r w:rsidR="00F577DD">
        <w:rPr>
          <w:lang w:eastAsia="en-AU"/>
        </w:rPr>
        <w:t xml:space="preserve">ly supported </w:t>
      </w:r>
      <w:r>
        <w:rPr>
          <w:lang w:eastAsia="en-AU"/>
        </w:rPr>
        <w:t>sustained racial diversity within its most competitive schools</w:t>
      </w:r>
      <w:r w:rsidR="006A09B8">
        <w:rPr>
          <w:lang w:eastAsia="en-AU"/>
        </w:rPr>
        <w:t>.</w:t>
      </w:r>
      <w:r w:rsidR="004C5311">
        <w:rPr>
          <w:rStyle w:val="FootnoteReference"/>
          <w:lang w:eastAsia="en-AU"/>
        </w:rPr>
        <w:footnoteReference w:id="87"/>
      </w:r>
      <w:r w:rsidR="006A09B8">
        <w:rPr>
          <w:lang w:eastAsia="en-AU"/>
        </w:rPr>
        <w:t xml:space="preserve"> However </w:t>
      </w:r>
      <w:r w:rsidR="00B52922">
        <w:rPr>
          <w:lang w:eastAsia="en-AU"/>
        </w:rPr>
        <w:t>the Century Foundation</w:t>
      </w:r>
      <w:r w:rsidR="00932E56">
        <w:rPr>
          <w:lang w:eastAsia="en-AU"/>
        </w:rPr>
        <w:t xml:space="preserve"> suggest</w:t>
      </w:r>
      <w:r w:rsidR="00B52922">
        <w:rPr>
          <w:lang w:eastAsia="en-AU"/>
        </w:rPr>
        <w:t>s</w:t>
      </w:r>
      <w:r w:rsidR="00932E56">
        <w:rPr>
          <w:lang w:eastAsia="en-AU"/>
        </w:rPr>
        <w:t xml:space="preserve"> the </w:t>
      </w:r>
      <w:r w:rsidR="002C4950">
        <w:rPr>
          <w:lang w:eastAsia="en-AU"/>
        </w:rPr>
        <w:t xml:space="preserve">methodology </w:t>
      </w:r>
      <w:r w:rsidR="00F25248">
        <w:rPr>
          <w:lang w:eastAsia="en-AU"/>
        </w:rPr>
        <w:t>for</w:t>
      </w:r>
      <w:r w:rsidR="002C4950">
        <w:rPr>
          <w:lang w:eastAsia="en-AU"/>
        </w:rPr>
        <w:t xml:space="preserve"> assessing socioeconomic status could be further nuanced to increase socioeconomic diversity</w:t>
      </w:r>
      <w:r>
        <w:rPr>
          <w:lang w:eastAsia="en-AU"/>
        </w:rPr>
        <w:t>.</w:t>
      </w:r>
      <w:r w:rsidR="002C4950">
        <w:rPr>
          <w:rStyle w:val="FootnoteReference"/>
          <w:lang w:eastAsia="en-AU"/>
        </w:rPr>
        <w:footnoteReference w:id="88"/>
      </w:r>
      <w:r>
        <w:rPr>
          <w:lang w:eastAsia="en-AU"/>
        </w:rPr>
        <w:t xml:space="preserve"> </w:t>
      </w:r>
      <w:r w:rsidR="00E82175" w:rsidRPr="0086054F">
        <w:rPr>
          <w:lang w:eastAsia="en-AU"/>
        </w:rPr>
        <w:t>Importantly, where lotteries are implemented alongside zone flexing to address oversubscription of desirable schools, positively weighting or priorit</w:t>
      </w:r>
      <w:r w:rsidR="00E82175">
        <w:rPr>
          <w:lang w:eastAsia="en-AU"/>
        </w:rPr>
        <w:t>is</w:t>
      </w:r>
      <w:r w:rsidR="00E82175" w:rsidRPr="0086054F">
        <w:rPr>
          <w:lang w:eastAsia="en-AU"/>
        </w:rPr>
        <w:t>i</w:t>
      </w:r>
      <w:r w:rsidR="00E82175">
        <w:rPr>
          <w:lang w:eastAsia="en-AU"/>
        </w:rPr>
        <w:t>ng</w:t>
      </w:r>
      <w:r w:rsidR="00E82175" w:rsidRPr="0086054F">
        <w:rPr>
          <w:lang w:eastAsia="en-AU"/>
        </w:rPr>
        <w:t xml:space="preserve"> disadvantaged students</w:t>
      </w:r>
      <w:r w:rsidR="00E82175">
        <w:rPr>
          <w:lang w:eastAsia="en-AU"/>
        </w:rPr>
        <w:t xml:space="preserve"> and vulnerable groups</w:t>
      </w:r>
      <w:r w:rsidR="00E82175" w:rsidRPr="0086054F">
        <w:rPr>
          <w:lang w:eastAsia="en-AU"/>
        </w:rPr>
        <w:t xml:space="preserve"> has shown to improve diversity. </w:t>
      </w:r>
      <w:r w:rsidR="00E82175">
        <w:rPr>
          <w:lang w:eastAsia="en-AU"/>
        </w:rPr>
        <w:t xml:space="preserve">Lotteries cannot be relied upon to improve diversity in schools unless weighting occurs, but lotteries are an improvement over allocation mechanisms that allow for </w:t>
      </w:r>
      <w:r w:rsidR="00164F70">
        <w:rPr>
          <w:lang w:eastAsia="en-AU"/>
        </w:rPr>
        <w:t>‘</w:t>
      </w:r>
      <w:r w:rsidR="00E82175">
        <w:rPr>
          <w:lang w:eastAsia="en-AU"/>
        </w:rPr>
        <w:t xml:space="preserve">creaming’. </w:t>
      </w:r>
    </w:p>
    <w:p w14:paraId="44E25E4F" w14:textId="73EF83AC" w:rsidR="00E60619" w:rsidRPr="00E60619" w:rsidRDefault="00E60619" w:rsidP="0077588C">
      <w:pPr>
        <w:rPr>
          <w:b/>
          <w:bCs/>
          <w:lang w:eastAsia="en-AU"/>
        </w:rPr>
      </w:pPr>
      <w:r w:rsidRPr="00E60619">
        <w:rPr>
          <w:b/>
          <w:bCs/>
          <w:lang w:eastAsia="en-AU"/>
        </w:rPr>
        <w:t>Education</w:t>
      </w:r>
    </w:p>
    <w:p w14:paraId="2B2BED66" w14:textId="47CD3923" w:rsidR="00C50E4C" w:rsidRDefault="00987D69" w:rsidP="007F6833">
      <w:pPr>
        <w:rPr>
          <w:lang w:eastAsia="en-AU"/>
        </w:rPr>
      </w:pPr>
      <w:r>
        <w:rPr>
          <w:lang w:eastAsia="en-AU"/>
        </w:rPr>
        <w:t>A</w:t>
      </w:r>
      <w:r w:rsidR="00C50E4C">
        <w:rPr>
          <w:lang w:eastAsia="en-AU"/>
        </w:rPr>
        <w:t xml:space="preserve"> </w:t>
      </w:r>
      <w:r w:rsidR="004F34F6">
        <w:rPr>
          <w:lang w:eastAsia="en-AU"/>
        </w:rPr>
        <w:t xml:space="preserve">recent systematic review of </w:t>
      </w:r>
      <w:r w:rsidR="002A33AC">
        <w:rPr>
          <w:lang w:eastAsia="en-AU"/>
        </w:rPr>
        <w:t xml:space="preserve">literature on </w:t>
      </w:r>
      <w:r w:rsidR="004F34F6">
        <w:rPr>
          <w:lang w:eastAsia="en-AU"/>
        </w:rPr>
        <w:t xml:space="preserve">school </w:t>
      </w:r>
      <w:r w:rsidR="00C50E4C">
        <w:rPr>
          <w:lang w:eastAsia="en-AU"/>
        </w:rPr>
        <w:t>rezoning</w:t>
      </w:r>
      <w:r w:rsidR="004F34F6">
        <w:rPr>
          <w:lang w:eastAsia="en-AU"/>
        </w:rPr>
        <w:t xml:space="preserve"> </w:t>
      </w:r>
      <w:r w:rsidR="002464E7">
        <w:rPr>
          <w:lang w:eastAsia="en-AU"/>
        </w:rPr>
        <w:t xml:space="preserve">showed little consideration </w:t>
      </w:r>
      <w:r w:rsidR="00796C61">
        <w:rPr>
          <w:lang w:eastAsia="en-AU"/>
        </w:rPr>
        <w:t xml:space="preserve">of </w:t>
      </w:r>
      <w:r w:rsidR="005071ED">
        <w:rPr>
          <w:lang w:eastAsia="en-AU"/>
        </w:rPr>
        <w:t xml:space="preserve">the impact of rezoning on academic </w:t>
      </w:r>
      <w:r w:rsidR="000449AB">
        <w:rPr>
          <w:lang w:eastAsia="en-AU"/>
        </w:rPr>
        <w:t>achievement</w:t>
      </w:r>
      <w:r w:rsidR="002E0904">
        <w:rPr>
          <w:lang w:eastAsia="en-AU"/>
        </w:rPr>
        <w:t xml:space="preserve"> (as opposed to</w:t>
      </w:r>
      <w:r w:rsidR="00796C61">
        <w:rPr>
          <w:lang w:eastAsia="en-AU"/>
        </w:rPr>
        <w:t xml:space="preserve"> its impact on cultural or racial diversity)</w:t>
      </w:r>
      <w:r w:rsidR="0048660F">
        <w:rPr>
          <w:lang w:eastAsia="en-AU"/>
        </w:rPr>
        <w:t>.</w:t>
      </w:r>
      <w:r w:rsidR="005B7B6C">
        <w:rPr>
          <w:rStyle w:val="FootnoteReference"/>
          <w:lang w:eastAsia="en-AU"/>
        </w:rPr>
        <w:footnoteReference w:id="89"/>
      </w:r>
      <w:r w:rsidR="00CE1BCC">
        <w:rPr>
          <w:lang w:eastAsia="en-AU"/>
        </w:rPr>
        <w:t xml:space="preserve"> </w:t>
      </w:r>
      <w:r w:rsidR="00CD1F14">
        <w:rPr>
          <w:lang w:eastAsia="en-AU"/>
        </w:rPr>
        <w:t>E</w:t>
      </w:r>
      <w:r w:rsidR="0095478F">
        <w:rPr>
          <w:lang w:eastAsia="en-AU"/>
        </w:rPr>
        <w:t xml:space="preserve">vidence for Charlotte-Mecklenburg </w:t>
      </w:r>
      <w:r w:rsidR="00CD1F14">
        <w:rPr>
          <w:lang w:eastAsia="en-AU"/>
        </w:rPr>
        <w:t>indicates</w:t>
      </w:r>
      <w:r w:rsidR="0095478F">
        <w:rPr>
          <w:lang w:eastAsia="en-AU"/>
        </w:rPr>
        <w:t xml:space="preserve"> improved academic </w:t>
      </w:r>
      <w:r w:rsidR="000876CC">
        <w:rPr>
          <w:lang w:eastAsia="en-AU"/>
        </w:rPr>
        <w:t xml:space="preserve">outcomes for </w:t>
      </w:r>
      <w:r w:rsidR="00855C32">
        <w:rPr>
          <w:lang w:eastAsia="en-AU"/>
        </w:rPr>
        <w:t>some cohorts in newly drawn zones</w:t>
      </w:r>
      <w:r w:rsidR="00CD1F14">
        <w:rPr>
          <w:lang w:eastAsia="en-AU"/>
        </w:rPr>
        <w:t>. H</w:t>
      </w:r>
      <w:r w:rsidR="00855C32">
        <w:rPr>
          <w:lang w:eastAsia="en-AU"/>
        </w:rPr>
        <w:t xml:space="preserve">owever, </w:t>
      </w:r>
      <w:r w:rsidR="008946DA" w:rsidRPr="008946DA">
        <w:rPr>
          <w:lang w:eastAsia="en-AU"/>
        </w:rPr>
        <w:t xml:space="preserve">Billings </w:t>
      </w:r>
      <w:r w:rsidR="008946DA">
        <w:rPr>
          <w:lang w:eastAsia="en-AU"/>
        </w:rPr>
        <w:t xml:space="preserve">et al. 2014 </w:t>
      </w:r>
      <w:r w:rsidR="00996AA3">
        <w:rPr>
          <w:lang w:eastAsia="en-AU"/>
        </w:rPr>
        <w:t>(in Castro et al. 2023)</w:t>
      </w:r>
      <w:r w:rsidR="00412E1C">
        <w:rPr>
          <w:lang w:eastAsia="en-AU"/>
        </w:rPr>
        <w:t xml:space="preserve"> attributes </w:t>
      </w:r>
      <w:r w:rsidR="00CD1F14">
        <w:rPr>
          <w:lang w:eastAsia="en-AU"/>
        </w:rPr>
        <w:t>such</w:t>
      </w:r>
      <w:r w:rsidR="00412E1C">
        <w:rPr>
          <w:lang w:eastAsia="en-AU"/>
        </w:rPr>
        <w:t xml:space="preserve"> changes </w:t>
      </w:r>
      <w:r w:rsidR="009E4D39">
        <w:rPr>
          <w:lang w:eastAsia="en-AU"/>
        </w:rPr>
        <w:t xml:space="preserve">to </w:t>
      </w:r>
      <w:r w:rsidR="00993262">
        <w:rPr>
          <w:lang w:eastAsia="en-AU"/>
        </w:rPr>
        <w:t xml:space="preserve">increases over time in resource allocation to </w:t>
      </w:r>
      <w:r w:rsidR="009578FB">
        <w:rPr>
          <w:lang w:eastAsia="en-AU"/>
        </w:rPr>
        <w:t>disadvantaged schools</w:t>
      </w:r>
      <w:r w:rsidR="0037019B">
        <w:rPr>
          <w:lang w:eastAsia="en-AU"/>
        </w:rPr>
        <w:t>.</w:t>
      </w:r>
      <w:r w:rsidR="009578FB">
        <w:rPr>
          <w:rStyle w:val="FootnoteReference"/>
          <w:lang w:eastAsia="en-AU"/>
        </w:rPr>
        <w:footnoteReference w:id="90"/>
      </w:r>
    </w:p>
    <w:p w14:paraId="4EED08A4" w14:textId="254AB6A3" w:rsidR="00FD3588" w:rsidRDefault="007F6833" w:rsidP="007F6833">
      <w:pPr>
        <w:rPr>
          <w:lang w:eastAsia="en-AU"/>
        </w:rPr>
      </w:pPr>
      <w:r w:rsidRPr="0086054F">
        <w:rPr>
          <w:lang w:eastAsia="en-AU"/>
        </w:rPr>
        <w:t xml:space="preserve">A study using </w:t>
      </w:r>
      <w:r w:rsidR="00195F52" w:rsidRPr="00005687">
        <w:rPr>
          <w:rFonts w:asciiTheme="majorHAnsi" w:hAnsiTheme="majorHAnsi" w:cstheme="majorHAnsi"/>
          <w:lang w:eastAsia="en-AU"/>
        </w:rPr>
        <w:t>Chicago</w:t>
      </w:r>
      <w:r w:rsidR="00195F52">
        <w:rPr>
          <w:lang w:eastAsia="en-AU"/>
        </w:rPr>
        <w:t xml:space="preserve"> public school</w:t>
      </w:r>
      <w:r w:rsidRPr="0086054F">
        <w:rPr>
          <w:lang w:eastAsia="en-AU"/>
        </w:rPr>
        <w:t xml:space="preserve"> administrative data show</w:t>
      </w:r>
      <w:r w:rsidR="001911CA">
        <w:rPr>
          <w:lang w:eastAsia="en-AU"/>
        </w:rPr>
        <w:t xml:space="preserve">ed that </w:t>
      </w:r>
      <w:r w:rsidRPr="0086054F">
        <w:rPr>
          <w:lang w:eastAsia="en-AU"/>
        </w:rPr>
        <w:t xml:space="preserve">there </w:t>
      </w:r>
      <w:r w:rsidR="001911CA">
        <w:rPr>
          <w:lang w:eastAsia="en-AU"/>
        </w:rPr>
        <w:t>wa</w:t>
      </w:r>
      <w:r w:rsidRPr="0086054F">
        <w:rPr>
          <w:lang w:eastAsia="en-AU"/>
        </w:rPr>
        <w:t xml:space="preserve">s little evidence </w:t>
      </w:r>
      <w:r w:rsidR="001911CA">
        <w:rPr>
          <w:lang w:eastAsia="en-AU"/>
        </w:rPr>
        <w:t>of</w:t>
      </w:r>
      <w:r w:rsidRPr="0086054F">
        <w:rPr>
          <w:lang w:eastAsia="en-AU"/>
        </w:rPr>
        <w:t xml:space="preserve"> lottery winners hav</w:t>
      </w:r>
      <w:r w:rsidR="001911CA">
        <w:rPr>
          <w:lang w:eastAsia="en-AU"/>
        </w:rPr>
        <w:t>ing</w:t>
      </w:r>
      <w:r w:rsidRPr="0086054F">
        <w:rPr>
          <w:lang w:eastAsia="en-AU"/>
        </w:rPr>
        <w:t xml:space="preserve"> better performance outcomes compared to losers.</w:t>
      </w:r>
      <w:r w:rsidRPr="0086054F">
        <w:rPr>
          <w:rStyle w:val="FootnoteReference"/>
          <w:lang w:eastAsia="en-AU"/>
        </w:rPr>
        <w:footnoteReference w:id="91"/>
      </w:r>
      <w:r w:rsidRPr="0086054F">
        <w:rPr>
          <w:lang w:eastAsia="en-AU"/>
        </w:rPr>
        <w:t xml:space="preserve"> Specifically</w:t>
      </w:r>
      <w:r w:rsidR="00090866">
        <w:rPr>
          <w:lang w:eastAsia="en-AU"/>
        </w:rPr>
        <w:t xml:space="preserve">, </w:t>
      </w:r>
      <w:r w:rsidR="00290F08">
        <w:rPr>
          <w:lang w:eastAsia="en-AU"/>
        </w:rPr>
        <w:t xml:space="preserve">it saw </w:t>
      </w:r>
      <w:r w:rsidRPr="0086054F">
        <w:rPr>
          <w:lang w:eastAsia="en-AU"/>
        </w:rPr>
        <w:t>“no average gain in test scores from attending first choice schools” as determined by a lottery</w:t>
      </w:r>
      <w:r w:rsidR="00090866">
        <w:rPr>
          <w:lang w:eastAsia="en-AU"/>
        </w:rPr>
        <w:t>. However,</w:t>
      </w:r>
      <w:r w:rsidR="00214677">
        <w:rPr>
          <w:lang w:eastAsia="en-AU"/>
        </w:rPr>
        <w:t xml:space="preserve"> others note that</w:t>
      </w:r>
      <w:r w:rsidR="00090866">
        <w:rPr>
          <w:lang w:eastAsia="en-AU"/>
        </w:rPr>
        <w:t xml:space="preserve"> </w:t>
      </w:r>
      <w:r>
        <w:rPr>
          <w:lang w:eastAsia="en-AU"/>
        </w:rPr>
        <w:t xml:space="preserve">this </w:t>
      </w:r>
      <w:r w:rsidR="00CD1F14">
        <w:rPr>
          <w:lang w:eastAsia="en-AU"/>
        </w:rPr>
        <w:t>was</w:t>
      </w:r>
      <w:r>
        <w:rPr>
          <w:lang w:eastAsia="en-AU"/>
        </w:rPr>
        <w:t xml:space="preserve"> potentially </w:t>
      </w:r>
      <w:r w:rsidR="00CD1F14">
        <w:rPr>
          <w:lang w:eastAsia="en-AU"/>
        </w:rPr>
        <w:t>due to</w:t>
      </w:r>
      <w:r w:rsidR="00CD1F14" w:rsidRPr="0086054F">
        <w:rPr>
          <w:lang w:eastAsia="en-AU"/>
        </w:rPr>
        <w:t xml:space="preserve"> </w:t>
      </w:r>
      <w:r w:rsidRPr="0086054F">
        <w:rPr>
          <w:lang w:eastAsia="en-AU"/>
        </w:rPr>
        <w:t xml:space="preserve">disadvantaged parents prioritising criteria </w:t>
      </w:r>
      <w:r>
        <w:rPr>
          <w:lang w:eastAsia="en-AU"/>
        </w:rPr>
        <w:t>unrelated to school performance</w:t>
      </w:r>
      <w:r w:rsidRPr="0086054F">
        <w:rPr>
          <w:lang w:eastAsia="en-AU"/>
        </w:rPr>
        <w:t xml:space="preserve"> (such as proximity to home)</w:t>
      </w:r>
      <w:r w:rsidR="00FD3588">
        <w:rPr>
          <w:lang w:eastAsia="en-AU"/>
        </w:rPr>
        <w:t xml:space="preserve">. This means </w:t>
      </w:r>
      <w:r w:rsidR="00DA7854">
        <w:rPr>
          <w:lang w:eastAsia="en-AU"/>
        </w:rPr>
        <w:t xml:space="preserve">the lottery outcome </w:t>
      </w:r>
      <w:r w:rsidR="00FD3588">
        <w:rPr>
          <w:lang w:eastAsia="en-AU"/>
        </w:rPr>
        <w:t>wa</w:t>
      </w:r>
      <w:r w:rsidR="00DA7854">
        <w:rPr>
          <w:lang w:eastAsia="en-AU"/>
        </w:rPr>
        <w:t>s not necessarily producing a more socio</w:t>
      </w:r>
      <w:r w:rsidR="00A17647">
        <w:rPr>
          <w:lang w:eastAsia="en-AU"/>
        </w:rPr>
        <w:t>-</w:t>
      </w:r>
      <w:r w:rsidR="00DA7854">
        <w:rPr>
          <w:lang w:eastAsia="en-AU"/>
        </w:rPr>
        <w:t>economically mixed school cohort (i.e.</w:t>
      </w:r>
      <w:r w:rsidR="00313B52">
        <w:rPr>
          <w:lang w:eastAsia="en-AU"/>
        </w:rPr>
        <w:t>,</w:t>
      </w:r>
      <w:r w:rsidR="00DA7854">
        <w:rPr>
          <w:lang w:eastAsia="en-AU"/>
        </w:rPr>
        <w:t xml:space="preserve"> if there is strong residential segregation and a desire among many t</w:t>
      </w:r>
      <w:r w:rsidR="00300C85">
        <w:rPr>
          <w:lang w:eastAsia="en-AU"/>
        </w:rPr>
        <w:t>o have their children in local schools</w:t>
      </w:r>
      <w:r w:rsidR="001E386C">
        <w:rPr>
          <w:lang w:eastAsia="en-AU"/>
        </w:rPr>
        <w:t>)</w:t>
      </w:r>
      <w:r w:rsidRPr="0086054F">
        <w:rPr>
          <w:lang w:eastAsia="en-AU"/>
        </w:rPr>
        <w:t>.</w:t>
      </w:r>
      <w:r w:rsidRPr="0086054F">
        <w:rPr>
          <w:rStyle w:val="FootnoteReference"/>
          <w:lang w:eastAsia="en-AU"/>
        </w:rPr>
        <w:footnoteReference w:id="92"/>
      </w:r>
      <w:r w:rsidRPr="0086054F">
        <w:rPr>
          <w:lang w:eastAsia="en-AU"/>
        </w:rPr>
        <w:t xml:space="preserve"> </w:t>
      </w:r>
    </w:p>
    <w:p w14:paraId="33A47BCD" w14:textId="2715D799" w:rsidR="007F6833" w:rsidRDefault="00A965CB" w:rsidP="007F6833">
      <w:pPr>
        <w:rPr>
          <w:lang w:eastAsia="en-AU"/>
        </w:rPr>
      </w:pPr>
      <w:r>
        <w:rPr>
          <w:lang w:eastAsia="en-AU"/>
        </w:rPr>
        <w:t>On this point</w:t>
      </w:r>
      <w:r w:rsidR="00FD3588">
        <w:rPr>
          <w:lang w:eastAsia="en-AU"/>
        </w:rPr>
        <w:t xml:space="preserve"> of </w:t>
      </w:r>
      <w:r w:rsidR="009E680A">
        <w:rPr>
          <w:lang w:eastAsia="en-AU"/>
        </w:rPr>
        <w:t>factors that influence parental choice</w:t>
      </w:r>
      <w:r>
        <w:rPr>
          <w:lang w:eastAsia="en-AU"/>
        </w:rPr>
        <w:t>, a</w:t>
      </w:r>
      <w:r w:rsidRPr="00A965CB">
        <w:rPr>
          <w:lang w:eastAsia="en-AU"/>
        </w:rPr>
        <w:t xml:space="preserve">nalysis of changes resulting from the abolition of school zones in </w:t>
      </w:r>
      <w:r w:rsidRPr="00EE63FD">
        <w:rPr>
          <w:rFonts w:asciiTheme="majorHAnsi" w:hAnsiTheme="majorHAnsi" w:cstheme="majorHAnsi"/>
          <w:lang w:eastAsia="en-AU"/>
        </w:rPr>
        <w:t>Germany’s</w:t>
      </w:r>
      <w:r w:rsidRPr="00A965CB">
        <w:rPr>
          <w:lang w:eastAsia="en-AU"/>
        </w:rPr>
        <w:t xml:space="preserve"> North Rhine-Westphalia region in 2008 revealed that less educated parents were </w:t>
      </w:r>
      <w:r w:rsidRPr="00A965CB">
        <w:rPr>
          <w:lang w:eastAsia="en-AU"/>
        </w:rPr>
        <w:lastRenderedPageBreak/>
        <w:t xml:space="preserve">more likely to send their children to the local school, but well-educated parents </w:t>
      </w:r>
      <w:r w:rsidR="009E680A">
        <w:rPr>
          <w:lang w:eastAsia="en-AU"/>
        </w:rPr>
        <w:t>selected</w:t>
      </w:r>
      <w:r w:rsidR="009E680A" w:rsidRPr="00A965CB">
        <w:rPr>
          <w:lang w:eastAsia="en-AU"/>
        </w:rPr>
        <w:t xml:space="preserve"> </w:t>
      </w:r>
      <w:r w:rsidRPr="00A965CB">
        <w:rPr>
          <w:lang w:eastAsia="en-AU"/>
        </w:rPr>
        <w:t>schools with a lower proportion of disadvantaged or migrant children.</w:t>
      </w:r>
      <w:r w:rsidR="00CB26E9">
        <w:rPr>
          <w:rStyle w:val="FootnoteReference"/>
          <w:lang w:eastAsia="en-AU"/>
        </w:rPr>
        <w:footnoteReference w:id="93"/>
      </w:r>
      <w:r w:rsidR="009E680A">
        <w:rPr>
          <w:lang w:eastAsia="en-AU"/>
        </w:rPr>
        <w:t xml:space="preserve"> </w:t>
      </w:r>
      <w:r w:rsidR="007F6833" w:rsidRPr="0086054F">
        <w:rPr>
          <w:lang w:eastAsia="en-AU"/>
        </w:rPr>
        <w:t>This s</w:t>
      </w:r>
      <w:r w:rsidR="00A12945">
        <w:rPr>
          <w:lang w:eastAsia="en-AU"/>
        </w:rPr>
        <w:t xml:space="preserve">peaks to the </w:t>
      </w:r>
      <w:r w:rsidR="009E680A">
        <w:rPr>
          <w:lang w:eastAsia="en-AU"/>
        </w:rPr>
        <w:t>argument put forward</w:t>
      </w:r>
      <w:r w:rsidR="00A12945">
        <w:rPr>
          <w:lang w:eastAsia="en-AU"/>
        </w:rPr>
        <w:t xml:space="preserve"> by several commentators about the need for guidance </w:t>
      </w:r>
      <w:r w:rsidR="00EB44DC">
        <w:rPr>
          <w:lang w:eastAsia="en-AU"/>
        </w:rPr>
        <w:t>for</w:t>
      </w:r>
      <w:r w:rsidR="00A12945">
        <w:rPr>
          <w:lang w:eastAsia="en-AU"/>
        </w:rPr>
        <w:t xml:space="preserve"> parents to accompany lottery systems. While lotteries are less vulnerable to gaming, the </w:t>
      </w:r>
      <w:r w:rsidR="00FB35D6">
        <w:rPr>
          <w:lang w:eastAsia="en-AU"/>
        </w:rPr>
        <w:t xml:space="preserve">point </w:t>
      </w:r>
      <w:r w:rsidR="00A12945">
        <w:rPr>
          <w:lang w:eastAsia="en-AU"/>
        </w:rPr>
        <w:t xml:space="preserve">has been </w:t>
      </w:r>
      <w:r w:rsidR="00FB35D6">
        <w:rPr>
          <w:lang w:eastAsia="en-AU"/>
        </w:rPr>
        <w:t xml:space="preserve">made </w:t>
      </w:r>
      <w:r w:rsidR="00A12945">
        <w:rPr>
          <w:lang w:eastAsia="en-AU"/>
        </w:rPr>
        <w:t xml:space="preserve">that </w:t>
      </w:r>
      <w:r w:rsidR="007F6833" w:rsidRPr="0086054F">
        <w:rPr>
          <w:lang w:eastAsia="en-AU"/>
        </w:rPr>
        <w:t>lotter</w:t>
      </w:r>
      <w:r w:rsidR="00A12945">
        <w:rPr>
          <w:lang w:eastAsia="en-AU"/>
        </w:rPr>
        <w:t>y systems</w:t>
      </w:r>
      <w:r w:rsidR="007F6833" w:rsidRPr="0086054F">
        <w:rPr>
          <w:lang w:eastAsia="en-AU"/>
        </w:rPr>
        <w:t xml:space="preserve"> require</w:t>
      </w:r>
      <w:r w:rsidR="00A12945">
        <w:rPr>
          <w:lang w:eastAsia="en-AU"/>
        </w:rPr>
        <w:t xml:space="preserve"> </w:t>
      </w:r>
      <w:r w:rsidR="007F6833" w:rsidRPr="0086054F">
        <w:rPr>
          <w:lang w:eastAsia="en-AU"/>
        </w:rPr>
        <w:t xml:space="preserve">“target groups </w:t>
      </w:r>
      <w:r w:rsidR="00FB35D6">
        <w:rPr>
          <w:lang w:eastAsia="en-AU"/>
        </w:rPr>
        <w:t>(to be)</w:t>
      </w:r>
      <w:r w:rsidR="00FB35D6" w:rsidRPr="0086054F">
        <w:rPr>
          <w:lang w:eastAsia="en-AU"/>
        </w:rPr>
        <w:t xml:space="preserve"> </w:t>
      </w:r>
      <w:r w:rsidR="007F6833" w:rsidRPr="0086054F">
        <w:rPr>
          <w:lang w:eastAsia="en-AU"/>
        </w:rPr>
        <w:t>informed and even assisted in applying” in order to overcome socio-economic imbalance between schools.</w:t>
      </w:r>
      <w:r w:rsidR="007F6833" w:rsidRPr="0086054F">
        <w:rPr>
          <w:rStyle w:val="FootnoteReference"/>
          <w:lang w:eastAsia="en-AU"/>
        </w:rPr>
        <w:footnoteReference w:id="94"/>
      </w:r>
      <w:r w:rsidR="007F6833">
        <w:rPr>
          <w:lang w:eastAsia="en-AU"/>
        </w:rPr>
        <w:t xml:space="preserve"> </w:t>
      </w:r>
    </w:p>
    <w:p w14:paraId="46FF74D2" w14:textId="25BF5183" w:rsidR="007A7379" w:rsidRDefault="00FB35D6" w:rsidP="0077588C">
      <w:r>
        <w:t xml:space="preserve">Separately, </w:t>
      </w:r>
      <w:r w:rsidR="00672646">
        <w:t>researchers have looked at the impact of combining a reduction in high school si</w:t>
      </w:r>
      <w:r w:rsidR="00872FF1">
        <w:t>ze with a attempts to improve diversity. Certain schools in</w:t>
      </w:r>
      <w:r w:rsidR="007A7379" w:rsidRPr="00EE63FD">
        <w:t xml:space="preserve"> </w:t>
      </w:r>
      <w:r w:rsidR="007A7379" w:rsidRPr="00EE63FD">
        <w:rPr>
          <w:rFonts w:asciiTheme="majorHAnsi" w:hAnsiTheme="majorHAnsi" w:cstheme="majorHAnsi"/>
        </w:rPr>
        <w:t>New York</w:t>
      </w:r>
      <w:r w:rsidR="007A7379">
        <w:rPr>
          <w:rFonts w:asciiTheme="majorHAnsi" w:hAnsiTheme="majorHAnsi" w:cstheme="majorHAnsi"/>
        </w:rPr>
        <w:t xml:space="preserve"> </w:t>
      </w:r>
      <w:r w:rsidR="00AE6959">
        <w:rPr>
          <w:rFonts w:asciiTheme="majorHAnsi" w:hAnsiTheme="majorHAnsi" w:cstheme="majorHAnsi"/>
        </w:rPr>
        <w:t>City</w:t>
      </w:r>
      <w:r w:rsidR="007A7379" w:rsidRPr="00EE63FD">
        <w:t xml:space="preserve"> </w:t>
      </w:r>
      <w:r w:rsidR="000C010A">
        <w:t xml:space="preserve">showed </w:t>
      </w:r>
      <w:r w:rsidR="007A7379" w:rsidRPr="00EE63FD">
        <w:t>that reducing school sizes</w:t>
      </w:r>
      <w:r w:rsidR="00297B00">
        <w:t xml:space="preserve">, </w:t>
      </w:r>
      <w:r w:rsidR="00B06D60">
        <w:t>(</w:t>
      </w:r>
      <w:r w:rsidR="00B0718A">
        <w:t xml:space="preserve">from more than 1,400 students to </w:t>
      </w:r>
      <w:r w:rsidR="0074746E">
        <w:t xml:space="preserve">less than </w:t>
      </w:r>
      <w:r w:rsidR="00AC4DA6">
        <w:t>500, roughly 100-120 students per grade</w:t>
      </w:r>
      <w:r w:rsidR="00297B00">
        <w:t>)</w:t>
      </w:r>
      <w:r w:rsidR="00297B00">
        <w:rPr>
          <w:rStyle w:val="FootnoteReference"/>
        </w:rPr>
        <w:footnoteReference w:id="95"/>
      </w:r>
      <w:r w:rsidR="007A7379" w:rsidRPr="00EE63FD">
        <w:t xml:space="preserve"> and using randomised lotteries to place students</w:t>
      </w:r>
      <w:r w:rsidR="008F6EA2">
        <w:t>,</w:t>
      </w:r>
      <w:r w:rsidR="007A7379" w:rsidRPr="00EE63FD">
        <w:t xml:space="preserve"> increased graduation rates by 9.5</w:t>
      </w:r>
      <w:r w:rsidR="00D3020D">
        <w:t xml:space="preserve"> per cent</w:t>
      </w:r>
      <w:r w:rsidR="007A7379" w:rsidRPr="00EE63FD">
        <w:t xml:space="preserve"> across both advantaged and disadvantaged students.</w:t>
      </w:r>
      <w:r w:rsidR="007A7379" w:rsidRPr="007A7379">
        <w:rPr>
          <w:rStyle w:val="FootnoteReference"/>
        </w:rPr>
        <w:footnoteReference w:id="96"/>
      </w:r>
      <w:r w:rsidR="00BD1000">
        <w:t xml:space="preserve"> The schools in question used a </w:t>
      </w:r>
      <w:r w:rsidR="00BD1000" w:rsidRPr="00BD1000">
        <w:t>system similar to Chile’s School Admission System</w:t>
      </w:r>
      <w:r w:rsidR="00E02E69">
        <w:t xml:space="preserve">, which is described more in </w:t>
      </w:r>
      <w:r w:rsidR="00C20AEB">
        <w:t xml:space="preserve">section </w:t>
      </w:r>
      <w:r w:rsidR="00C20AEB">
        <w:fldChar w:fldCharType="begin"/>
      </w:r>
      <w:r w:rsidR="00C20AEB">
        <w:instrText xml:space="preserve"> REF _Ref148952700 \r \h </w:instrText>
      </w:r>
      <w:r w:rsidR="00C20AEB">
        <w:fldChar w:fldCharType="separate"/>
      </w:r>
      <w:r w:rsidR="009B7086">
        <w:t>3.6</w:t>
      </w:r>
      <w:r w:rsidR="00C20AEB">
        <w:fldChar w:fldCharType="end"/>
      </w:r>
      <w:r w:rsidR="00BD1000">
        <w:t>.</w:t>
      </w:r>
    </w:p>
    <w:p w14:paraId="2BBAEDFE" w14:textId="76BEEB28" w:rsidR="002617C4" w:rsidRDefault="00A436E7" w:rsidP="00E477D7">
      <w:pPr>
        <w:pStyle w:val="Heading3"/>
      </w:pPr>
      <w:r>
        <w:t>Eviden</w:t>
      </w:r>
      <w:r w:rsidR="00434D39">
        <w:t xml:space="preserve">ce </w:t>
      </w:r>
      <w:r w:rsidR="00C710C6">
        <w:t>base</w:t>
      </w:r>
    </w:p>
    <w:p w14:paraId="6BCCA9CB" w14:textId="002F37B0" w:rsidR="00434D39" w:rsidRDefault="00F30529" w:rsidP="002E6A32">
      <w:pPr>
        <w:rPr>
          <w:lang w:eastAsia="en-AU"/>
        </w:rPr>
      </w:pPr>
      <w:r>
        <w:rPr>
          <w:lang w:eastAsia="en-AU"/>
        </w:rPr>
        <w:t xml:space="preserve">As noted, there </w:t>
      </w:r>
      <w:r w:rsidR="00434D39">
        <w:rPr>
          <w:lang w:eastAsia="en-AU"/>
        </w:rPr>
        <w:t xml:space="preserve">is a reasonable </w:t>
      </w:r>
      <w:r w:rsidR="00200021">
        <w:rPr>
          <w:lang w:eastAsia="en-AU"/>
        </w:rPr>
        <w:t xml:space="preserve">number of examples of zone-flexing </w:t>
      </w:r>
      <w:r>
        <w:rPr>
          <w:lang w:eastAsia="en-AU"/>
        </w:rPr>
        <w:t xml:space="preserve">in conjunction with </w:t>
      </w:r>
      <w:r w:rsidR="00200021">
        <w:rPr>
          <w:lang w:eastAsia="en-AU"/>
        </w:rPr>
        <w:t>lotteries</w:t>
      </w:r>
      <w:r>
        <w:rPr>
          <w:lang w:eastAsia="en-AU"/>
        </w:rPr>
        <w:t>, but fewer on</w:t>
      </w:r>
      <w:r w:rsidR="00616C8C">
        <w:rPr>
          <w:lang w:eastAsia="en-AU"/>
        </w:rPr>
        <w:t xml:space="preserve"> the impact of re-zoning</w:t>
      </w:r>
      <w:r w:rsidR="00C44CC7">
        <w:rPr>
          <w:lang w:eastAsia="en-AU"/>
        </w:rPr>
        <w:t xml:space="preserve"> as a standalone initiative</w:t>
      </w:r>
      <w:r w:rsidR="00616C8C">
        <w:rPr>
          <w:lang w:eastAsia="en-AU"/>
        </w:rPr>
        <w:t xml:space="preserve">. </w:t>
      </w:r>
      <w:r w:rsidR="00E649EC">
        <w:rPr>
          <w:lang w:eastAsia="en-AU"/>
        </w:rPr>
        <w:t>B</w:t>
      </w:r>
      <w:r w:rsidR="00616C8C">
        <w:rPr>
          <w:lang w:eastAsia="en-AU"/>
        </w:rPr>
        <w:t xml:space="preserve">ecause the intervention occurs at the city of school district level, there is no opportunity to examine outcomes based on </w:t>
      </w:r>
      <w:r w:rsidR="00E32672">
        <w:rPr>
          <w:lang w:eastAsia="en-AU"/>
        </w:rPr>
        <w:t xml:space="preserve">international standardised testing. </w:t>
      </w:r>
      <w:r w:rsidR="00E649EC">
        <w:rPr>
          <w:lang w:eastAsia="en-AU"/>
        </w:rPr>
        <w:t xml:space="preserve">This may </w:t>
      </w:r>
      <w:r w:rsidR="000C0686">
        <w:rPr>
          <w:lang w:eastAsia="en-AU"/>
        </w:rPr>
        <w:t>explain in part why there is more information on diversity outcomes rather than education outcomes.</w:t>
      </w:r>
      <w:r w:rsidR="00F82216">
        <w:rPr>
          <w:lang w:eastAsia="en-AU"/>
        </w:rPr>
        <w:t xml:space="preserve"> </w:t>
      </w:r>
    </w:p>
    <w:p w14:paraId="1C2ECC0D" w14:textId="7681DF94" w:rsidR="00824B46" w:rsidRDefault="000E2EB7" w:rsidP="00E477D7">
      <w:pPr>
        <w:pStyle w:val="Heading3"/>
      </w:pPr>
      <w:r>
        <w:t>Transferability</w:t>
      </w:r>
    </w:p>
    <w:p w14:paraId="265077BB" w14:textId="52AEBFCC" w:rsidR="009C3014" w:rsidRPr="0086054F" w:rsidRDefault="009C3014" w:rsidP="009C3014">
      <w:pPr>
        <w:rPr>
          <w:lang w:eastAsia="en-AU"/>
        </w:rPr>
      </w:pPr>
      <w:r>
        <w:rPr>
          <w:noProof/>
        </w:rPr>
        <w:drawing>
          <wp:inline distT="0" distB="0" distL="0" distR="0" wp14:anchorId="1500D6E5" wp14:editId="550DF855">
            <wp:extent cx="5670550" cy="1678483"/>
            <wp:effectExtent l="0" t="0" r="6350" b="0"/>
            <wp:docPr id="1019972563" name="Picture 1019972563" descr="Lists the dimensions of transferability to the Australian context, with a medium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72563" name="Picture 1019972563" descr="Lists the dimensions of transferability to the Australian context, with a medium level of transferability to Australia. "/>
                    <pic:cNvPicPr/>
                  </pic:nvPicPr>
                  <pic:blipFill>
                    <a:blip r:embed="rId30">
                      <a:extLst>
                        <a:ext uri="{28A0092B-C50C-407E-A947-70E740481C1C}">
                          <a14:useLocalDpi xmlns:a14="http://schemas.microsoft.com/office/drawing/2010/main" val="0"/>
                        </a:ext>
                      </a:extLst>
                    </a:blip>
                    <a:stretch>
                      <a:fillRect/>
                    </a:stretch>
                  </pic:blipFill>
                  <pic:spPr>
                    <a:xfrm>
                      <a:off x="0" y="0"/>
                      <a:ext cx="5670550" cy="1678483"/>
                    </a:xfrm>
                    <a:prstGeom prst="rect">
                      <a:avLst/>
                    </a:prstGeom>
                  </pic:spPr>
                </pic:pic>
              </a:graphicData>
            </a:graphic>
          </wp:inline>
        </w:drawing>
      </w:r>
    </w:p>
    <w:p w14:paraId="18ECD817" w14:textId="20121B38" w:rsidR="00C44DF6" w:rsidRDefault="00655E4B" w:rsidP="00655E4B">
      <w:r w:rsidRPr="0086054F">
        <w:t xml:space="preserve">In Australia, State and Territory Governments are responsible for public school catchment zones, and may already consider SES mix and other measures of diversity in </w:t>
      </w:r>
      <w:r w:rsidR="00906A5E">
        <w:t>zone boundaries</w:t>
      </w:r>
      <w:r w:rsidR="00F56B40">
        <w:t xml:space="preserve"> in </w:t>
      </w:r>
      <w:r w:rsidR="00A24674">
        <w:t>cities</w:t>
      </w:r>
      <w:r w:rsidR="00490CD7">
        <w:t xml:space="preserve">. </w:t>
      </w:r>
      <w:r w:rsidR="00C44DF6">
        <w:t xml:space="preserve">Applicability is limited in regional and rural areas, where it is more likely that only one public school is within convenient distance. </w:t>
      </w:r>
    </w:p>
    <w:p w14:paraId="4224EA14" w14:textId="0BFCC0EE" w:rsidR="002A7889" w:rsidRDefault="00655E4B" w:rsidP="00655E4B">
      <w:r w:rsidRPr="0086054F">
        <w:t>Non-government schools are not zoned</w:t>
      </w:r>
      <w:r w:rsidR="00F30EB8">
        <w:t xml:space="preserve"> </w:t>
      </w:r>
      <w:r w:rsidRPr="0086054F">
        <w:t xml:space="preserve">however, and this presents as an option </w:t>
      </w:r>
      <w:r w:rsidR="00C21468">
        <w:t>with bolstered effectiveness</w:t>
      </w:r>
      <w:r w:rsidRPr="0086054F">
        <w:t xml:space="preserve"> if </w:t>
      </w:r>
      <w:r w:rsidR="00C21468">
        <w:t>used in conjunction</w:t>
      </w:r>
      <w:r w:rsidRPr="0086054F">
        <w:t xml:space="preserve"> with fee regulation. </w:t>
      </w:r>
      <w:r w:rsidR="00FF50C5">
        <w:t>The</w:t>
      </w:r>
      <w:r w:rsidR="00B66284">
        <w:t xml:space="preserve"> idea</w:t>
      </w:r>
      <w:r w:rsidRPr="0086054F">
        <w:t xml:space="preserve"> of ‘gerrymandering’ boundaries would be controversial</w:t>
      </w:r>
      <w:r w:rsidR="00AF1D3E">
        <w:t xml:space="preserve"> </w:t>
      </w:r>
      <w:r w:rsidR="00FF50C5">
        <w:t>in Australia</w:t>
      </w:r>
      <w:r w:rsidR="0019541C">
        <w:t>,</w:t>
      </w:r>
      <w:r w:rsidR="00FF50C5">
        <w:t xml:space="preserve"> </w:t>
      </w:r>
      <w:r w:rsidR="00AF1D3E">
        <w:t>and</w:t>
      </w:r>
      <w:r w:rsidRPr="0086054F">
        <w:t xml:space="preserve"> giving responsibility for boundary-setting to an independent body might make changes more palatable</w:t>
      </w:r>
      <w:r w:rsidR="00B13423">
        <w:t xml:space="preserve"> and more likely to be perceived as fair</w:t>
      </w:r>
      <w:r w:rsidRPr="0086054F">
        <w:t xml:space="preserve">. </w:t>
      </w:r>
    </w:p>
    <w:p w14:paraId="6EE83CA2" w14:textId="2B50822E" w:rsidR="00902AB6" w:rsidRDefault="00902AB6" w:rsidP="00655E4B">
      <w:r>
        <w:t xml:space="preserve">Simply flexing school zones will not be effective against well-informed and higher income parents who have the means to overcome zoning constraints by relocating or other means. </w:t>
      </w:r>
      <w:r w:rsidR="000C0686">
        <w:t>It also invites the problem of having to continually re-draw the boundaries (as is done by the Australian Electoral Commission with respect to electorates) to account for changing demographics.</w:t>
      </w:r>
    </w:p>
    <w:p w14:paraId="70495FBF" w14:textId="3BFCF5F0" w:rsidR="00441835" w:rsidRDefault="00655E4B" w:rsidP="00ED0E4B">
      <w:r w:rsidRPr="0086054F">
        <w:lastRenderedPageBreak/>
        <w:t>Weighted lotteries can be used to ‘even out’ access and distribution of places to out-of-zone students</w:t>
      </w:r>
      <w:r w:rsidR="00F06B80">
        <w:t xml:space="preserve"> to high-demand schools</w:t>
      </w:r>
      <w:r w:rsidRPr="0086054F">
        <w:t xml:space="preserve">. They </w:t>
      </w:r>
      <w:r w:rsidR="00910B72">
        <w:t>therefore could be</w:t>
      </w:r>
      <w:r w:rsidRPr="0086054F">
        <w:t xml:space="preserve"> an attractive option when used as part of a formal or informal quota system</w:t>
      </w:r>
      <w:r w:rsidR="000C0686">
        <w:t xml:space="preserve">, </w:t>
      </w:r>
      <w:r w:rsidR="00910B72">
        <w:t>not least because they are less vulnerable to gaming.</w:t>
      </w:r>
      <w:r w:rsidR="00E924E8">
        <w:t xml:space="preserve"> However, </w:t>
      </w:r>
      <w:r w:rsidR="00CC62BC">
        <w:t>their</w:t>
      </w:r>
      <w:r w:rsidR="0059795C">
        <w:t xml:space="preserve"> novelty </w:t>
      </w:r>
      <w:r w:rsidR="00F50EB3">
        <w:t xml:space="preserve">in Australia </w:t>
      </w:r>
      <w:r w:rsidR="006B2914">
        <w:t>w</w:t>
      </w:r>
      <w:r w:rsidR="00CC62BC">
        <w:t>ould make them</w:t>
      </w:r>
      <w:r w:rsidR="00F50EB3">
        <w:t xml:space="preserve"> harder to implement</w:t>
      </w:r>
      <w:r w:rsidR="006B2914">
        <w:t>.</w:t>
      </w:r>
    </w:p>
    <w:p w14:paraId="465DE197" w14:textId="42B515EB" w:rsidR="000A4D24" w:rsidRPr="00ED0E4B" w:rsidRDefault="000A4D24" w:rsidP="00ED0E4B">
      <w:r>
        <w:br w:type="page"/>
      </w:r>
    </w:p>
    <w:tbl>
      <w:tblPr>
        <w:tblStyle w:val="TableGrid"/>
        <w:tblW w:w="5000" w:type="pct"/>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E14C0D" w14:paraId="031ED5CF" w14:textId="77777777" w:rsidTr="00D603D8">
        <w:tc>
          <w:tcPr>
            <w:tcW w:w="5000" w:type="pct"/>
            <w:tcBorders>
              <w:top w:val="single" w:sz="24" w:space="0" w:color="25B3E0" w:themeColor="accent6"/>
              <w:left w:val="nil"/>
              <w:bottom w:val="nil"/>
              <w:right w:val="nil"/>
            </w:tcBorders>
            <w:shd w:val="clear" w:color="auto" w:fill="E6E6E1" w:themeFill="accent5"/>
            <w:vAlign w:val="center"/>
          </w:tcPr>
          <w:p w14:paraId="70979AE9" w14:textId="1D028ABE" w:rsidR="00E14C0D" w:rsidRDefault="00E14C0D">
            <w:pPr>
              <w:pStyle w:val="Heading2"/>
              <w:spacing w:before="120" w:after="120" w:line="240" w:lineRule="auto"/>
              <w:ind w:left="578" w:hanging="578"/>
            </w:pPr>
            <w:bookmarkStart w:id="23" w:name="_Ref148952700"/>
            <w:bookmarkStart w:id="24" w:name="_Toc149052454"/>
            <w:r>
              <w:lastRenderedPageBreak/>
              <w:t>Preference matching</w:t>
            </w:r>
            <w:r w:rsidR="007C4671">
              <w:t>,</w:t>
            </w:r>
            <w:r>
              <w:t xml:space="preserve"> including controlled choice</w:t>
            </w:r>
            <w:bookmarkEnd w:id="23"/>
            <w:bookmarkEnd w:id="24"/>
          </w:p>
        </w:tc>
      </w:tr>
      <w:tr w:rsidR="00E14C0D" w14:paraId="172B2668" w14:textId="77777777" w:rsidTr="00D603D8">
        <w:tc>
          <w:tcPr>
            <w:tcW w:w="5000" w:type="pct"/>
            <w:tcBorders>
              <w:top w:val="nil"/>
              <w:left w:val="nil"/>
              <w:bottom w:val="single" w:sz="4" w:space="0" w:color="25B3E0" w:themeColor="accent6"/>
              <w:right w:val="nil"/>
            </w:tcBorders>
            <w:shd w:val="clear" w:color="auto" w:fill="F2F2F2" w:themeFill="background1" w:themeFillShade="F2"/>
            <w:tcMar>
              <w:top w:w="113" w:type="dxa"/>
            </w:tcMar>
            <w:vAlign w:val="bottom"/>
          </w:tcPr>
          <w:p w14:paraId="50FD0EBC" w14:textId="77777777" w:rsidR="00E14C0D" w:rsidRPr="00130948" w:rsidRDefault="00E14C0D">
            <w:r>
              <w:rPr>
                <w:noProof/>
              </w:rPr>
              <w:drawing>
                <wp:inline distT="0" distB="0" distL="0" distR="0" wp14:anchorId="6D6D21AB" wp14:editId="13FCC56D">
                  <wp:extent cx="3530172" cy="270665"/>
                  <wp:effectExtent l="0" t="0" r="0" b="0"/>
                  <wp:docPr id="395131665" name="Picture 395131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31665" name="Picture 395131665">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6D765B40" w14:textId="77777777" w:rsidR="002D5BFB" w:rsidRDefault="002D5BFB" w:rsidP="00ED0E4B">
      <w:pPr>
        <w:rPr>
          <w:lang w:eastAsia="en-AU"/>
        </w:rPr>
      </w:pPr>
    </w:p>
    <w:p w14:paraId="07D2E99C" w14:textId="6C7DD2F1" w:rsidR="0039276B" w:rsidRDefault="000A4D24" w:rsidP="000A4D24">
      <w:pPr>
        <w:rPr>
          <w:lang w:eastAsia="en-AU"/>
        </w:rPr>
      </w:pPr>
      <w:r w:rsidRPr="0086054F">
        <w:rPr>
          <w:lang w:eastAsia="en-AU"/>
        </w:rPr>
        <w:t xml:space="preserve">Preferencing matching </w:t>
      </w:r>
      <w:r w:rsidR="006F35F9">
        <w:rPr>
          <w:lang w:eastAsia="en-AU"/>
        </w:rPr>
        <w:t xml:space="preserve">refers to a system where parents can apply to schools in a designated area, </w:t>
      </w:r>
      <w:r w:rsidR="00602B2A">
        <w:rPr>
          <w:lang w:eastAsia="en-AU"/>
        </w:rPr>
        <w:t xml:space="preserve">ranking schools for their child </w:t>
      </w:r>
      <w:r w:rsidR="006F35F9">
        <w:rPr>
          <w:lang w:eastAsia="en-AU"/>
        </w:rPr>
        <w:t>in order of preference. An algorithm then</w:t>
      </w:r>
      <w:r w:rsidR="00BA54C6">
        <w:rPr>
          <w:lang w:eastAsia="en-AU"/>
        </w:rPr>
        <w:t xml:space="preserve"> objectively matches preferences</w:t>
      </w:r>
      <w:r w:rsidR="0004571C">
        <w:rPr>
          <w:lang w:eastAsia="en-AU"/>
        </w:rPr>
        <w:t xml:space="preserve"> to school enrolments</w:t>
      </w:r>
      <w:r w:rsidR="00D6412D">
        <w:rPr>
          <w:lang w:eastAsia="en-AU"/>
        </w:rPr>
        <w:t xml:space="preserve"> taking multiple factors into</w:t>
      </w:r>
      <w:r w:rsidR="00C44CC7">
        <w:rPr>
          <w:lang w:eastAsia="en-AU"/>
        </w:rPr>
        <w:t xml:space="preserve"> account</w:t>
      </w:r>
      <w:r w:rsidR="00BA54C6">
        <w:rPr>
          <w:lang w:eastAsia="en-AU"/>
        </w:rPr>
        <w:t xml:space="preserve">. There are two </w:t>
      </w:r>
      <w:r w:rsidR="001251FF">
        <w:rPr>
          <w:lang w:eastAsia="en-AU"/>
        </w:rPr>
        <w:t>main models used: an immediate allocation model, and a deferred allocation model.</w:t>
      </w:r>
    </w:p>
    <w:p w14:paraId="0BF50BB1" w14:textId="15505CFD" w:rsidR="000A4D24" w:rsidRDefault="000A4D24" w:rsidP="00E07876">
      <w:pPr>
        <w:pStyle w:val="Heading3"/>
      </w:pPr>
      <w:r>
        <w:t>Drivers and objectives</w:t>
      </w:r>
    </w:p>
    <w:p w14:paraId="519D1183" w14:textId="7A8234B6" w:rsidR="00946D78" w:rsidRDefault="000A4D24" w:rsidP="000A4D24">
      <w:r>
        <w:t xml:space="preserve">The </w:t>
      </w:r>
      <w:r w:rsidR="007F214C">
        <w:t>main reason</w:t>
      </w:r>
      <w:r w:rsidR="00BC1A3F">
        <w:t xml:space="preserve">s </w:t>
      </w:r>
      <w:r w:rsidR="007F214C">
        <w:t xml:space="preserve">cited for introducing controlled choice or preference matching </w:t>
      </w:r>
      <w:r w:rsidR="00BC1A3F">
        <w:t>are</w:t>
      </w:r>
      <w:r w:rsidR="007F214C">
        <w:t xml:space="preserve"> to reduce racial or cultural </w:t>
      </w:r>
      <w:r w:rsidR="00BF2E98">
        <w:t>concentrations</w:t>
      </w:r>
      <w:r w:rsidR="00BC1A3F">
        <w:t xml:space="preserve"> or improve socio-economic diversity</w:t>
      </w:r>
      <w:r w:rsidR="00C42A06">
        <w:t xml:space="preserve">. </w:t>
      </w:r>
      <w:r w:rsidR="00BC1A3F">
        <w:t>Controlled choice opens</w:t>
      </w:r>
      <w:r w:rsidR="00C42A06">
        <w:t xml:space="preserve"> up access to out-of</w:t>
      </w:r>
      <w:r w:rsidR="00BF2E98">
        <w:t>-zone schools</w:t>
      </w:r>
      <w:r w:rsidR="002A3CEE">
        <w:t xml:space="preserve"> and in-demand</w:t>
      </w:r>
      <w:r w:rsidR="006F67C6">
        <w:t xml:space="preserve"> schools</w:t>
      </w:r>
      <w:r w:rsidR="00BC1A3F">
        <w:t>, enabling</w:t>
      </w:r>
      <w:r w:rsidR="00BF2E98">
        <w:t xml:space="preserve"> families to overcome residential segregation. </w:t>
      </w:r>
      <w:r w:rsidR="00BC1A3F">
        <w:t xml:space="preserve">More recently, </w:t>
      </w:r>
      <w:r w:rsidR="00BF2E98">
        <w:t xml:space="preserve">particularly in Europe, the focus has been on </w:t>
      </w:r>
      <w:r w:rsidR="00E42902">
        <w:t xml:space="preserve">using preference matching to </w:t>
      </w:r>
      <w:r w:rsidR="00BF2E98">
        <w:t>better integrat</w:t>
      </w:r>
      <w:r w:rsidR="00E42902">
        <w:t>e</w:t>
      </w:r>
      <w:r w:rsidR="00BF2E98">
        <w:t xml:space="preserve"> children of migra</w:t>
      </w:r>
      <w:r w:rsidR="00754C59">
        <w:t>nts</w:t>
      </w:r>
      <w:r w:rsidR="00E42902">
        <w:t xml:space="preserve"> into the school system</w:t>
      </w:r>
      <w:r w:rsidR="00086AE4">
        <w:t xml:space="preserve"> and support social cohesion</w:t>
      </w:r>
      <w:r w:rsidR="00E42902">
        <w:t>.</w:t>
      </w:r>
    </w:p>
    <w:p w14:paraId="05B4BCDB" w14:textId="7F85A7F8" w:rsidR="000A4D24" w:rsidRDefault="000A4D24" w:rsidP="001251FF">
      <w:pPr>
        <w:pStyle w:val="Heading3"/>
      </w:pPr>
      <w:r w:rsidRPr="0086054F">
        <w:rPr>
          <w:noProof/>
        </w:rPr>
        <mc:AlternateContent>
          <mc:Choice Requires="wps">
            <w:drawing>
              <wp:anchor distT="0" distB="0" distL="114300" distR="114300" simplePos="0" relativeHeight="251658243" behindDoc="0" locked="0" layoutInCell="1" allowOverlap="1" wp14:anchorId="64A76C4F" wp14:editId="7B34F97C">
                <wp:simplePos x="0" y="0"/>
                <wp:positionH relativeFrom="column">
                  <wp:posOffset>4222115</wp:posOffset>
                </wp:positionH>
                <wp:positionV relativeFrom="paragraph">
                  <wp:posOffset>234315</wp:posOffset>
                </wp:positionV>
                <wp:extent cx="1548765" cy="2066925"/>
                <wp:effectExtent l="0" t="0" r="0" b="0"/>
                <wp:wrapSquare wrapText="bothSides"/>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48765"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E56B4" w14:textId="208A6019" w:rsidR="000A4D24" w:rsidRPr="0086054F" w:rsidRDefault="000A4D24" w:rsidP="000A4D24">
                            <w:pPr>
                              <w:pStyle w:val="Callout"/>
                              <w:rPr>
                                <w:color w:val="F25E21" w:themeColor="accent2"/>
                                <w:vertAlign w:val="superscript"/>
                              </w:rPr>
                            </w:pPr>
                            <w:r w:rsidRPr="00252529">
                              <w:rPr>
                                <w:color w:val="F25E21" w:themeColor="accent2"/>
                              </w:rPr>
                              <w:t>“W</w:t>
                            </w:r>
                            <w:r w:rsidRPr="0086054F">
                              <w:rPr>
                                <w:color w:val="F25E21" w:themeColor="accent2"/>
                              </w:rPr>
                              <w:t xml:space="preserve">here school quality is unevenly distributed over </w:t>
                            </w:r>
                            <w:r w:rsidR="00C5515A" w:rsidRPr="0086054F">
                              <w:rPr>
                                <w:color w:val="F25E21" w:themeColor="accent2"/>
                              </w:rPr>
                              <w:t>neighbourhoods</w:t>
                            </w:r>
                            <w:r w:rsidRPr="0086054F">
                              <w:rPr>
                                <w:color w:val="F25E21" w:themeColor="accent2"/>
                              </w:rPr>
                              <w:t>, district-wide choice affords all students a shot at schools viewed as high-quality</w:t>
                            </w:r>
                            <w:r w:rsidR="002C2FB3">
                              <w:rPr>
                                <w:color w:val="F25E21" w:themeColor="accent2"/>
                              </w:rPr>
                              <w:t>.</w:t>
                            </w:r>
                            <w:r w:rsidRPr="0086054F">
                              <w:rPr>
                                <w:color w:val="F25E21" w:themeColor="accent2"/>
                              </w:rPr>
                              <w:t>”</w:t>
                            </w:r>
                          </w:p>
                          <w:p w14:paraId="5FB0F461" w14:textId="77777777" w:rsidR="000A4D24" w:rsidRPr="00F81BDB" w:rsidRDefault="000A4D24" w:rsidP="000A4D24">
                            <w:pPr>
                              <w:pStyle w:val="Callout"/>
                              <w:spacing w:after="0" w:line="240" w:lineRule="auto"/>
                              <w:jc w:val="right"/>
                              <w:rPr>
                                <w:i/>
                                <w:color w:val="F25E21" w:themeColor="accent2"/>
                                <w:sz w:val="18"/>
                                <w:szCs w:val="18"/>
                              </w:rPr>
                            </w:pPr>
                            <w:r w:rsidRPr="00F81BDB">
                              <w:rPr>
                                <w:color w:val="F25E21" w:themeColor="accent2"/>
                                <w:sz w:val="18"/>
                                <w:szCs w:val="18"/>
                              </w:rPr>
                              <w:t>Angrist, J et. al</w:t>
                            </w:r>
                            <w:r w:rsidRPr="00F81BDB">
                              <w:rPr>
                                <w:color w:val="F25E21" w:themeColor="accent2"/>
                                <w:sz w:val="18"/>
                                <w:szCs w:val="18"/>
                              </w:rPr>
                              <w:br/>
                            </w:r>
                            <w:r w:rsidRPr="00F81BDB">
                              <w:rPr>
                                <w:i/>
                                <w:color w:val="F25E21" w:themeColor="accent2"/>
                                <w:sz w:val="18"/>
                                <w:szCs w:val="18"/>
                              </w:rPr>
                              <w:t>‘Still worth the trip?”</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4A76C4F" id="Text Box 6" o:spid="_x0000_s1030" type="#_x0000_t202" alt="&quot;&quot;" style="position:absolute;left:0;text-align:left;margin-left:332.45pt;margin-top:18.45pt;width:121.95pt;height:16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8jvewIAAGkFAAAOAAAAZHJzL2Uyb0RvYy54bWysVN9P2zAQfp+0/8Hy+5pQaGEVKeqKOk2q&#10;AA0mnl3HptEcn2dfm3R/PWcnbRnjhWkvzl3ul+/zd3d51daGbZUPFdiCnwxyzpSVUFb2qeA/Hhaf&#10;LjgLKGwpDFhV8J0K/Gr68cNl4yZqCGswpfKMktgwaVzB14hukmVBrlUtwgCcsmTU4GuBpPqnrPSi&#10;oey1yYZ5Ps4a8KXzIFUI9Pe6M/Jpyq+1knirdVDITMHpbphOn85VPLPppZg8eeHWleyvIf7hFrWo&#10;LBU9pLoWKNjGV3+lqivpIYDGgYQ6A60rqVIP1M1J/qqb+7VwKvVC4AR3gCn8v7TyZnvv7jzD9gu0&#10;9IARkMaFSaCfsZ9W+zp+6aaM7ATh7gCbapHJGDQ6uzgfjziTZBvm4/Hn4SjmyY7hzgf8qqBmUSi4&#10;p3dJcIntMmDnuneJ1QKYqlxUxiQlckHNjWdbQa9oMF2Skv/hZSxrCj4+HeUpsYUY3mU2NqZRiQ19&#10;uWOLScKdUdHH2O9Ks6pMnb5RW0ip7KF+8o5emkq9J7D3P97qPcFdHxSRKoPFQ3BdWfCp+zQ+R8jK&#10;n3vIdOdPb/Oi7yhiu2qp8YKf7RmwgnJHxPDQzUxwclHR4y1FwDvhaUiICzT4eEuHNkDgQy9xtgb/&#10;+63/0Z+4S1bOGhq6godfG+EVZ+abJVbHCU3C2eh8SIpPyuk4z0lZvbTYTT0HYsMJrRcnkxj90exF&#10;7aF+pN0wixXJJKykugXHvTjHbg3QbpFqNktONJNO4NLeOxlTR4QjLR/aR+Fdz10k2t/AfjTF5BWF&#10;O98YGdxsg0TDxO+IcYdojz3Nc5qQfvfEhfFST17HDTl9BgAA//8DAFBLAwQUAAYACAAAACEADDJE&#10;2uAAAAAKAQAADwAAAGRycy9kb3ducmV2LnhtbEyPzU7DMBCE70i8g7VIXBB1GqqoDXEqxI8o4kTp&#10;pTc33sYBex3Fbhvenu0JTqvdGc1+Uy1H78QRh9gFUjCdZCCQmmA6ahVsPl9u5yBi0mS0C4QKfjDC&#10;sr68qHRpwok+8LhOreAQiqVWYFPqSyljY9HrOAk9Emv7MHideB1aaQZ94nDvZJ5lhfS6I/5gdY+P&#10;Fpvv9cErWMmv3Ly92+ft6zR7WtHN3oUglbq+Gh/uQSQc058ZzviMDjUz7cKBTBROQVHMFmxVcFfw&#10;ZMMim3OX3fmQz0DWlfxfof4FAAD//wMAUEsBAi0AFAAGAAgAAAAhALaDOJL+AAAA4QEAABMAAAAA&#10;AAAAAAAAAAAAAAAAAFtDb250ZW50X1R5cGVzXS54bWxQSwECLQAUAAYACAAAACEAOP0h/9YAAACU&#10;AQAACwAAAAAAAAAAAAAAAAAvAQAAX3JlbHMvLnJlbHNQSwECLQAUAAYACAAAACEAkF/I73sCAABp&#10;BQAADgAAAAAAAAAAAAAAAAAuAgAAZHJzL2Uyb0RvYy54bWxQSwECLQAUAAYACAAAACEADDJE2uAA&#10;AAAKAQAADwAAAAAAAAAAAAAAAADVBAAAZHJzL2Rvd25yZXYueG1sUEsFBgAAAAAEAAQA8wAAAOIF&#10;AAAAAA==&#10;" fillcolor="white [3201]" stroked="f" strokeweight=".5pt">
                <v:textbox style="mso-fit-shape-to-text:t" inset="0,,1mm">
                  <w:txbxContent>
                    <w:p w14:paraId="0FDE56B4" w14:textId="208A6019" w:rsidR="000A4D24" w:rsidRPr="0086054F" w:rsidRDefault="000A4D24" w:rsidP="000A4D24">
                      <w:pPr>
                        <w:pStyle w:val="Callout"/>
                        <w:rPr>
                          <w:color w:val="F25E21" w:themeColor="accent2"/>
                          <w:vertAlign w:val="superscript"/>
                        </w:rPr>
                      </w:pPr>
                      <w:r w:rsidRPr="00252529">
                        <w:rPr>
                          <w:color w:val="F25E21" w:themeColor="accent2"/>
                        </w:rPr>
                        <w:t>“W</w:t>
                      </w:r>
                      <w:r w:rsidRPr="0086054F">
                        <w:rPr>
                          <w:color w:val="F25E21" w:themeColor="accent2"/>
                        </w:rPr>
                        <w:t xml:space="preserve">here school quality is unevenly distributed over </w:t>
                      </w:r>
                      <w:r w:rsidR="00C5515A" w:rsidRPr="0086054F">
                        <w:rPr>
                          <w:color w:val="F25E21" w:themeColor="accent2"/>
                        </w:rPr>
                        <w:t>neighbourhoods</w:t>
                      </w:r>
                      <w:r w:rsidRPr="0086054F">
                        <w:rPr>
                          <w:color w:val="F25E21" w:themeColor="accent2"/>
                        </w:rPr>
                        <w:t>, district-wide choice affords all students a shot at schools viewed as high-quality</w:t>
                      </w:r>
                      <w:r w:rsidR="002C2FB3">
                        <w:rPr>
                          <w:color w:val="F25E21" w:themeColor="accent2"/>
                        </w:rPr>
                        <w:t>.</w:t>
                      </w:r>
                      <w:r w:rsidRPr="0086054F">
                        <w:rPr>
                          <w:color w:val="F25E21" w:themeColor="accent2"/>
                        </w:rPr>
                        <w:t>”</w:t>
                      </w:r>
                    </w:p>
                    <w:p w14:paraId="5FB0F461" w14:textId="77777777" w:rsidR="000A4D24" w:rsidRPr="00F81BDB" w:rsidRDefault="000A4D24" w:rsidP="000A4D24">
                      <w:pPr>
                        <w:pStyle w:val="Callout"/>
                        <w:spacing w:after="0" w:line="240" w:lineRule="auto"/>
                        <w:jc w:val="right"/>
                        <w:rPr>
                          <w:i/>
                          <w:color w:val="F25E21" w:themeColor="accent2"/>
                          <w:sz w:val="18"/>
                          <w:szCs w:val="18"/>
                        </w:rPr>
                      </w:pPr>
                      <w:r w:rsidRPr="00F81BDB">
                        <w:rPr>
                          <w:color w:val="F25E21" w:themeColor="accent2"/>
                          <w:sz w:val="18"/>
                          <w:szCs w:val="18"/>
                        </w:rPr>
                        <w:t>Angrist, J et. al</w:t>
                      </w:r>
                      <w:r w:rsidRPr="00F81BDB">
                        <w:rPr>
                          <w:color w:val="F25E21" w:themeColor="accent2"/>
                          <w:sz w:val="18"/>
                          <w:szCs w:val="18"/>
                        </w:rPr>
                        <w:br/>
                      </w:r>
                      <w:r w:rsidRPr="00F81BDB">
                        <w:rPr>
                          <w:i/>
                          <w:color w:val="F25E21" w:themeColor="accent2"/>
                          <w:sz w:val="18"/>
                          <w:szCs w:val="18"/>
                        </w:rPr>
                        <w:t>‘Still worth the trip?”</w:t>
                      </w:r>
                    </w:p>
                  </w:txbxContent>
                </v:textbox>
                <w10:wrap type="square"/>
              </v:shape>
            </w:pict>
          </mc:Fallback>
        </mc:AlternateContent>
      </w:r>
      <w:r w:rsidR="001251FF">
        <w:t>Operation and location</w:t>
      </w:r>
      <w:r w:rsidRPr="0086054F">
        <w:t xml:space="preserve"> </w:t>
      </w:r>
    </w:p>
    <w:p w14:paraId="6DB08C66" w14:textId="5FC0B1DA" w:rsidR="00C82CF0" w:rsidRDefault="00C82CF0" w:rsidP="00C82CF0">
      <w:pPr>
        <w:rPr>
          <w:lang w:eastAsia="en-AU"/>
        </w:rPr>
      </w:pPr>
      <w:r>
        <w:rPr>
          <w:lang w:eastAsia="en-AU"/>
        </w:rPr>
        <w:t xml:space="preserve">The most established and well-known model </w:t>
      </w:r>
      <w:r w:rsidR="00E42902">
        <w:rPr>
          <w:lang w:eastAsia="en-AU"/>
        </w:rPr>
        <w:t xml:space="preserve">of preference matching </w:t>
      </w:r>
      <w:r>
        <w:rPr>
          <w:lang w:eastAsia="en-AU"/>
        </w:rPr>
        <w:t xml:space="preserve">is referred to as the </w:t>
      </w:r>
      <w:r w:rsidRPr="00C82CF0">
        <w:rPr>
          <w:rFonts w:asciiTheme="majorHAnsi" w:hAnsiTheme="majorHAnsi" w:cstheme="majorHAnsi"/>
          <w:lang w:eastAsia="en-AU"/>
        </w:rPr>
        <w:t>Boston</w:t>
      </w:r>
      <w:r>
        <w:rPr>
          <w:lang w:eastAsia="en-AU"/>
        </w:rPr>
        <w:t xml:space="preserve"> Schools Match (BSM) model, which was introduced in early 1990s</w:t>
      </w:r>
      <w:r w:rsidR="00B80873">
        <w:rPr>
          <w:lang w:eastAsia="en-AU"/>
        </w:rPr>
        <w:t xml:space="preserve"> </w:t>
      </w:r>
      <w:r>
        <w:rPr>
          <w:lang w:eastAsia="en-AU"/>
        </w:rPr>
        <w:t>to boost both social integration and learning by decoupling school assignment from underlying residential segregation. From 1999, however, race was no longer considered in school assignments, and the BSM model evolved.</w:t>
      </w:r>
    </w:p>
    <w:p w14:paraId="29070890" w14:textId="7099C789" w:rsidR="00C82CF0" w:rsidRDefault="00C82CF0" w:rsidP="00C82CF0">
      <w:pPr>
        <w:rPr>
          <w:lang w:eastAsia="en-AU"/>
        </w:rPr>
      </w:pPr>
      <w:r>
        <w:rPr>
          <w:lang w:eastAsia="en-AU"/>
        </w:rPr>
        <w:t>In practice, the adoption of controlled choice in Massachusetts was initially closely linked to bu</w:t>
      </w:r>
      <w:r w:rsidR="0011179B">
        <w:rPr>
          <w:lang w:eastAsia="en-AU"/>
        </w:rPr>
        <w:t>s</w:t>
      </w:r>
      <w:r>
        <w:rPr>
          <w:lang w:eastAsia="en-AU"/>
        </w:rPr>
        <w:t>sing policies</w:t>
      </w:r>
      <w:r w:rsidR="002976CB">
        <w:rPr>
          <w:lang w:eastAsia="en-AU"/>
        </w:rPr>
        <w:t>,</w:t>
      </w:r>
      <w:r>
        <w:rPr>
          <w:lang w:eastAsia="en-AU"/>
        </w:rPr>
        <w:t xml:space="preserve"> because free transport was provided to all students who did not live in a 1.5 km radius of the school they attended. But</w:t>
      </w:r>
      <w:r w:rsidR="00116048">
        <w:rPr>
          <w:lang w:eastAsia="en-AU"/>
        </w:rPr>
        <w:t>,</w:t>
      </w:r>
      <w:r>
        <w:rPr>
          <w:lang w:eastAsia="en-AU"/>
        </w:rPr>
        <w:t xml:space="preserve"> whereas bu</w:t>
      </w:r>
      <w:r w:rsidR="004F73C7">
        <w:rPr>
          <w:lang w:eastAsia="en-AU"/>
        </w:rPr>
        <w:t>s</w:t>
      </w:r>
      <w:r>
        <w:rPr>
          <w:lang w:eastAsia="en-AU"/>
        </w:rPr>
        <w:t xml:space="preserve">sing was court-imposed, the decision on whether to seek to attend a school in a different part of a district was voluntary. </w:t>
      </w:r>
    </w:p>
    <w:p w14:paraId="08D88218" w14:textId="49C2333F" w:rsidR="00C82CF0" w:rsidRDefault="00C82CF0" w:rsidP="00C82CF0">
      <w:pPr>
        <w:rPr>
          <w:lang w:eastAsia="en-AU"/>
        </w:rPr>
      </w:pPr>
      <w:r>
        <w:rPr>
          <w:lang w:eastAsia="en-AU"/>
        </w:rPr>
        <w:t>This distinction meant that controlled choice was relatively (if not entirely) uncontroversial at the time. It was seen as preferable not only to bu</w:t>
      </w:r>
      <w:r w:rsidR="00901A9E">
        <w:rPr>
          <w:lang w:eastAsia="en-AU"/>
        </w:rPr>
        <w:t>s</w:t>
      </w:r>
      <w:r>
        <w:rPr>
          <w:lang w:eastAsia="en-AU"/>
        </w:rPr>
        <w:t>sing, but to fully unfettered school choice, for it was assumed that the latter would lead to reduced funding for public schooling. Recently, however, particularly under Republican administrations (e.g</w:t>
      </w:r>
      <w:r w:rsidR="008A5058">
        <w:rPr>
          <w:lang w:eastAsia="en-AU"/>
        </w:rPr>
        <w:t>.,</w:t>
      </w:r>
      <w:r>
        <w:rPr>
          <w:lang w:eastAsia="en-AU"/>
        </w:rPr>
        <w:t xml:space="preserve"> in Florida), there has been a strong push for uncontrolled school choice.</w:t>
      </w:r>
      <w:r w:rsidR="00E42902">
        <w:rPr>
          <w:lang w:eastAsia="en-AU"/>
        </w:rPr>
        <w:t xml:space="preserve"> Moreover, a recent Supreme Court ruling makes it illegal now to use race as </w:t>
      </w:r>
      <w:r w:rsidR="002C0ADD">
        <w:rPr>
          <w:lang w:eastAsia="en-AU"/>
        </w:rPr>
        <w:t xml:space="preserve">a </w:t>
      </w:r>
      <w:r w:rsidR="00DD5AD9">
        <w:rPr>
          <w:lang w:eastAsia="en-AU"/>
        </w:rPr>
        <w:t>basis for different or preferential treatment.</w:t>
      </w:r>
    </w:p>
    <w:p w14:paraId="7CC4C7C7" w14:textId="0F7DC249" w:rsidR="007E0136" w:rsidRDefault="00DD5AD9" w:rsidP="00D6585B">
      <w:pPr>
        <w:tabs>
          <w:tab w:val="num" w:pos="720"/>
        </w:tabs>
        <w:rPr>
          <w:color w:val="000000" w:themeColor="text1"/>
          <w:lang w:eastAsia="en-AU"/>
        </w:rPr>
      </w:pPr>
      <w:r>
        <w:rPr>
          <w:lang w:eastAsia="en-AU"/>
        </w:rPr>
        <w:t xml:space="preserve">Other examples of areas in the US that </w:t>
      </w:r>
      <w:r w:rsidR="007C4449">
        <w:rPr>
          <w:lang w:eastAsia="en-AU"/>
        </w:rPr>
        <w:t xml:space="preserve">have used preference matching </w:t>
      </w:r>
      <w:r w:rsidR="00D6585B">
        <w:rPr>
          <w:lang w:eastAsia="en-AU"/>
        </w:rPr>
        <w:t xml:space="preserve">are the </w:t>
      </w:r>
      <w:r w:rsidR="007E0136" w:rsidRPr="007E0136">
        <w:rPr>
          <w:rFonts w:asciiTheme="majorHAnsi" w:hAnsiTheme="majorHAnsi" w:cstheme="majorHAnsi"/>
          <w:color w:val="000000" w:themeColor="text1"/>
          <w:lang w:eastAsia="en-AU"/>
        </w:rPr>
        <w:t>Wake County</w:t>
      </w:r>
      <w:r w:rsidR="007E0136" w:rsidRPr="007E0136">
        <w:rPr>
          <w:color w:val="000000" w:themeColor="text1"/>
          <w:lang w:eastAsia="en-AU"/>
        </w:rPr>
        <w:t xml:space="preserve"> Public School System </w:t>
      </w:r>
      <w:r w:rsidR="00D6585B">
        <w:rPr>
          <w:color w:val="000000" w:themeColor="text1"/>
          <w:lang w:eastAsia="en-AU"/>
        </w:rPr>
        <w:t xml:space="preserve">in </w:t>
      </w:r>
      <w:r w:rsidR="007E0136" w:rsidRPr="007E0136">
        <w:rPr>
          <w:color w:val="000000" w:themeColor="text1"/>
          <w:lang w:eastAsia="en-AU"/>
        </w:rPr>
        <w:t>North Carolina</w:t>
      </w:r>
      <w:r w:rsidR="00D6585B">
        <w:rPr>
          <w:color w:val="000000" w:themeColor="text1"/>
          <w:lang w:eastAsia="en-AU"/>
        </w:rPr>
        <w:t xml:space="preserve"> (which </w:t>
      </w:r>
      <w:r w:rsidR="007E0136" w:rsidRPr="007E0136">
        <w:rPr>
          <w:color w:val="000000" w:themeColor="text1"/>
          <w:lang w:eastAsia="en-AU"/>
        </w:rPr>
        <w:t>implemented controlled choice in 2000</w:t>
      </w:r>
      <w:r w:rsidR="00D6585B">
        <w:rPr>
          <w:color w:val="000000" w:themeColor="text1"/>
          <w:lang w:eastAsia="en-AU"/>
        </w:rPr>
        <w:t xml:space="preserve">) and </w:t>
      </w:r>
      <w:r w:rsidR="00D6585B" w:rsidRPr="00E10EE0">
        <w:rPr>
          <w:rFonts w:asciiTheme="majorHAnsi" w:hAnsiTheme="majorHAnsi" w:cstheme="majorHAnsi"/>
          <w:color w:val="000000" w:themeColor="text1"/>
          <w:lang w:eastAsia="en-AU"/>
        </w:rPr>
        <w:t>Seattle</w:t>
      </w:r>
      <w:r w:rsidR="00D6585B" w:rsidRPr="00E10EE0">
        <w:rPr>
          <w:rFonts w:asciiTheme="minorHAnsi" w:hAnsiTheme="minorHAnsi" w:cstheme="minorHAnsi"/>
          <w:color w:val="000000" w:themeColor="text1"/>
          <w:lang w:eastAsia="en-AU"/>
        </w:rPr>
        <w:t>’s</w:t>
      </w:r>
      <w:r w:rsidR="00D6585B">
        <w:rPr>
          <w:color w:val="000000" w:themeColor="text1"/>
          <w:lang w:eastAsia="en-AU"/>
        </w:rPr>
        <w:t xml:space="preserve"> </w:t>
      </w:r>
      <w:r w:rsidR="007E0136" w:rsidRPr="007E0136">
        <w:rPr>
          <w:color w:val="000000" w:themeColor="text1"/>
          <w:lang w:eastAsia="en-AU"/>
        </w:rPr>
        <w:t>Public Schools (</w:t>
      </w:r>
      <w:r w:rsidR="00D6585B">
        <w:rPr>
          <w:color w:val="000000" w:themeColor="text1"/>
          <w:lang w:eastAsia="en-AU"/>
        </w:rPr>
        <w:t xml:space="preserve">which </w:t>
      </w:r>
      <w:r w:rsidR="00325692">
        <w:rPr>
          <w:color w:val="000000" w:themeColor="text1"/>
          <w:lang w:eastAsia="en-AU"/>
        </w:rPr>
        <w:t xml:space="preserve">did so </w:t>
      </w:r>
      <w:r w:rsidR="007E0136" w:rsidRPr="007E0136">
        <w:rPr>
          <w:color w:val="000000" w:themeColor="text1"/>
          <w:lang w:eastAsia="en-AU"/>
        </w:rPr>
        <w:t>in the late 1990s</w:t>
      </w:r>
      <w:r w:rsidR="00325692">
        <w:rPr>
          <w:color w:val="000000" w:themeColor="text1"/>
          <w:lang w:eastAsia="en-AU"/>
        </w:rPr>
        <w:t xml:space="preserve">). </w:t>
      </w:r>
      <w:r w:rsidR="006546C9">
        <w:rPr>
          <w:color w:val="000000" w:themeColor="text1"/>
          <w:lang w:eastAsia="en-AU"/>
        </w:rPr>
        <w:t xml:space="preserve">Both </w:t>
      </w:r>
      <w:r w:rsidR="00702E7B">
        <w:rPr>
          <w:color w:val="000000" w:themeColor="text1"/>
          <w:lang w:eastAsia="en-AU"/>
        </w:rPr>
        <w:t>sought</w:t>
      </w:r>
      <w:r w:rsidR="006546C9">
        <w:rPr>
          <w:color w:val="000000" w:themeColor="text1"/>
          <w:lang w:eastAsia="en-AU"/>
        </w:rPr>
        <w:t xml:space="preserve"> to produce greater socio</w:t>
      </w:r>
      <w:r w:rsidR="00D27619">
        <w:rPr>
          <w:color w:val="000000" w:themeColor="text1"/>
          <w:lang w:eastAsia="en-AU"/>
        </w:rPr>
        <w:t>-</w:t>
      </w:r>
      <w:r w:rsidR="006546C9">
        <w:rPr>
          <w:color w:val="000000" w:themeColor="text1"/>
          <w:lang w:eastAsia="en-AU"/>
        </w:rPr>
        <w:t xml:space="preserve">economic diversity. </w:t>
      </w:r>
    </w:p>
    <w:p w14:paraId="0B6A1B74" w14:textId="702D2A8B" w:rsidR="00FD2343" w:rsidRDefault="00E10EE0" w:rsidP="00D6585B">
      <w:pPr>
        <w:tabs>
          <w:tab w:val="num" w:pos="720"/>
        </w:tabs>
        <w:rPr>
          <w:color w:val="000000" w:themeColor="text1"/>
          <w:lang w:eastAsia="en-AU"/>
        </w:rPr>
      </w:pPr>
      <w:r w:rsidRPr="00E10EE0">
        <w:rPr>
          <w:color w:val="000000" w:themeColor="text1"/>
          <w:lang w:eastAsia="en-AU"/>
        </w:rPr>
        <w:t xml:space="preserve">Since 2007, controlled choice </w:t>
      </w:r>
      <w:r w:rsidR="00A16596">
        <w:rPr>
          <w:color w:val="000000" w:themeColor="text1"/>
          <w:lang w:eastAsia="en-AU"/>
        </w:rPr>
        <w:t>has been</w:t>
      </w:r>
      <w:r w:rsidR="00A16596" w:rsidRPr="00E10EE0">
        <w:rPr>
          <w:color w:val="000000" w:themeColor="text1"/>
          <w:lang w:eastAsia="en-AU"/>
        </w:rPr>
        <w:t xml:space="preserve"> </w:t>
      </w:r>
      <w:r w:rsidRPr="00E10EE0">
        <w:rPr>
          <w:color w:val="000000" w:themeColor="text1"/>
          <w:lang w:eastAsia="en-AU"/>
        </w:rPr>
        <w:t xml:space="preserve">used alongside flexing school zones to allocate students to </w:t>
      </w:r>
      <w:r w:rsidR="00657CE4">
        <w:rPr>
          <w:color w:val="000000" w:themeColor="text1"/>
          <w:lang w:eastAsia="en-AU"/>
        </w:rPr>
        <w:t xml:space="preserve">central </w:t>
      </w:r>
      <w:r>
        <w:rPr>
          <w:color w:val="000000" w:themeColor="text1"/>
          <w:lang w:eastAsia="en-AU"/>
        </w:rPr>
        <w:t xml:space="preserve"> </w:t>
      </w:r>
      <w:r w:rsidR="00C74210">
        <w:rPr>
          <w:color w:val="000000" w:themeColor="text1"/>
          <w:lang w:eastAsia="en-AU"/>
        </w:rPr>
        <w:t xml:space="preserve">public </w:t>
      </w:r>
      <w:r w:rsidRPr="00E10EE0">
        <w:rPr>
          <w:color w:val="000000" w:themeColor="text1"/>
          <w:lang w:eastAsia="en-AU"/>
        </w:rPr>
        <w:t>high</w:t>
      </w:r>
      <w:r>
        <w:rPr>
          <w:color w:val="000000" w:themeColor="text1"/>
          <w:lang w:eastAsia="en-AU"/>
        </w:rPr>
        <w:t xml:space="preserve"> </w:t>
      </w:r>
      <w:r w:rsidRPr="00E10EE0">
        <w:rPr>
          <w:color w:val="000000" w:themeColor="text1"/>
          <w:lang w:eastAsia="en-AU"/>
        </w:rPr>
        <w:t>schools</w:t>
      </w:r>
      <w:r w:rsidR="0049316C">
        <w:rPr>
          <w:color w:val="000000" w:themeColor="text1"/>
          <w:lang w:eastAsia="en-AU"/>
        </w:rPr>
        <w:t xml:space="preserve"> in </w:t>
      </w:r>
      <w:r w:rsidR="0049316C" w:rsidRPr="009070C3">
        <w:rPr>
          <w:b/>
          <w:bCs/>
          <w:color w:val="000000" w:themeColor="text1"/>
          <w:lang w:eastAsia="en-AU"/>
        </w:rPr>
        <w:t>Paris</w:t>
      </w:r>
      <w:r w:rsidRPr="00E10EE0">
        <w:rPr>
          <w:color w:val="000000" w:themeColor="text1"/>
          <w:lang w:eastAsia="en-AU"/>
        </w:rPr>
        <w:t xml:space="preserve">. Using a priority point system, students </w:t>
      </w:r>
      <w:r w:rsidR="00216419">
        <w:rPr>
          <w:color w:val="000000" w:themeColor="text1"/>
          <w:lang w:eastAsia="en-AU"/>
        </w:rPr>
        <w:t xml:space="preserve">entering high school </w:t>
      </w:r>
      <w:r w:rsidR="0054508B">
        <w:rPr>
          <w:color w:val="000000" w:themeColor="text1"/>
          <w:lang w:eastAsia="en-AU"/>
        </w:rPr>
        <w:t xml:space="preserve">receive points </w:t>
      </w:r>
      <w:r w:rsidR="0087799D">
        <w:rPr>
          <w:color w:val="000000" w:themeColor="text1"/>
          <w:lang w:eastAsia="en-AU"/>
        </w:rPr>
        <w:t>based on social indicators, in addition to their academic performance</w:t>
      </w:r>
      <w:r w:rsidR="009569F0">
        <w:rPr>
          <w:color w:val="000000" w:themeColor="text1"/>
          <w:lang w:eastAsia="en-AU"/>
        </w:rPr>
        <w:t xml:space="preserve">, and those with </w:t>
      </w:r>
      <w:r w:rsidR="009569F0" w:rsidRPr="009569F0">
        <w:rPr>
          <w:color w:val="000000" w:themeColor="text1"/>
          <w:lang w:eastAsia="en-AU"/>
        </w:rPr>
        <w:t>the most points are given priority when choosing which school to attend.</w:t>
      </w:r>
      <w:r w:rsidR="00E1031C">
        <w:rPr>
          <w:color w:val="000000" w:themeColor="text1"/>
          <w:lang w:eastAsia="en-AU"/>
        </w:rPr>
        <w:t xml:space="preserve"> </w:t>
      </w:r>
      <w:r w:rsidR="004563A3">
        <w:rPr>
          <w:color w:val="000000" w:themeColor="text1"/>
          <w:lang w:eastAsia="en-AU"/>
        </w:rPr>
        <w:t xml:space="preserve">Social bonuses consider both the student’s family income situation </w:t>
      </w:r>
      <w:r w:rsidR="002D1266">
        <w:rPr>
          <w:color w:val="000000" w:themeColor="text1"/>
          <w:lang w:eastAsia="en-AU"/>
        </w:rPr>
        <w:t xml:space="preserve">(whether they receive social-security payments) </w:t>
      </w:r>
      <w:r w:rsidR="004563A3">
        <w:rPr>
          <w:color w:val="000000" w:themeColor="text1"/>
          <w:lang w:eastAsia="en-AU"/>
        </w:rPr>
        <w:t xml:space="preserve">and the social composition of the middle school they attended. </w:t>
      </w:r>
      <w:r w:rsidR="009569F0">
        <w:rPr>
          <w:color w:val="000000" w:themeColor="text1"/>
          <w:lang w:eastAsia="en-AU"/>
        </w:rPr>
        <w:t xml:space="preserve">The social bonus currently applies only to Parisian </w:t>
      </w:r>
      <w:r w:rsidR="00FD48E3">
        <w:rPr>
          <w:color w:val="000000" w:themeColor="text1"/>
          <w:lang w:eastAsia="en-AU"/>
        </w:rPr>
        <w:t>public</w:t>
      </w:r>
      <w:r w:rsidR="00836451">
        <w:rPr>
          <w:color w:val="000000" w:themeColor="text1"/>
          <w:lang w:eastAsia="en-AU"/>
        </w:rPr>
        <w:t xml:space="preserve"> high</w:t>
      </w:r>
      <w:r w:rsidR="00FD48E3">
        <w:rPr>
          <w:color w:val="000000" w:themeColor="text1"/>
          <w:lang w:eastAsia="en-AU"/>
        </w:rPr>
        <w:t xml:space="preserve"> </w:t>
      </w:r>
      <w:r w:rsidR="009569F0">
        <w:rPr>
          <w:color w:val="000000" w:themeColor="text1"/>
          <w:lang w:eastAsia="en-AU"/>
        </w:rPr>
        <w:t>schools, while the other aspects of controlled choice are used throughout France.</w:t>
      </w:r>
      <w:r w:rsidR="00836451">
        <w:rPr>
          <w:color w:val="000000" w:themeColor="text1"/>
          <w:lang w:eastAsia="en-AU"/>
        </w:rPr>
        <w:t xml:space="preserve"> </w:t>
      </w:r>
    </w:p>
    <w:p w14:paraId="0F18C741" w14:textId="700BAFF4" w:rsidR="00153DC3" w:rsidRDefault="00153DC3" w:rsidP="00D6585B">
      <w:pPr>
        <w:tabs>
          <w:tab w:val="num" w:pos="720"/>
        </w:tabs>
        <w:rPr>
          <w:color w:val="000000" w:themeColor="text1"/>
          <w:lang w:eastAsia="en-AU"/>
        </w:rPr>
      </w:pPr>
      <w:r w:rsidRPr="00F81BDB">
        <w:rPr>
          <w:rFonts w:asciiTheme="majorHAnsi" w:hAnsiTheme="majorHAnsi" w:cstheme="majorHAnsi"/>
          <w:color w:val="000000" w:themeColor="text1"/>
          <w:lang w:eastAsia="en-AU"/>
        </w:rPr>
        <w:lastRenderedPageBreak/>
        <w:t>Chile</w:t>
      </w:r>
      <w:r w:rsidR="003478FC">
        <w:rPr>
          <w:rFonts w:asciiTheme="majorHAnsi" w:hAnsiTheme="majorHAnsi" w:cstheme="majorHAnsi"/>
          <w:color w:val="000000" w:themeColor="text1"/>
          <w:lang w:eastAsia="en-AU"/>
        </w:rPr>
        <w:t>’s</w:t>
      </w:r>
      <w:r>
        <w:rPr>
          <w:color w:val="000000" w:themeColor="text1"/>
          <w:lang w:eastAsia="en-AU"/>
        </w:rPr>
        <w:t xml:space="preserve"> </w:t>
      </w:r>
      <w:r w:rsidR="003478FC">
        <w:rPr>
          <w:color w:val="000000" w:themeColor="text1"/>
          <w:lang w:eastAsia="en-AU"/>
        </w:rPr>
        <w:t xml:space="preserve">School Admission System (SAS) was enshrined in their Inclusion Law and provides a centrally run, online admission process using a transparent algorithm that seeks to be impartial to </w:t>
      </w:r>
      <w:r w:rsidR="00234928">
        <w:rPr>
          <w:color w:val="000000" w:themeColor="text1"/>
          <w:lang w:eastAsia="en-AU"/>
        </w:rPr>
        <w:t>students’</w:t>
      </w:r>
      <w:r w:rsidR="003478FC">
        <w:rPr>
          <w:color w:val="000000" w:themeColor="text1"/>
          <w:lang w:eastAsia="en-AU"/>
        </w:rPr>
        <w:t xml:space="preserve"> advantages</w:t>
      </w:r>
      <w:r w:rsidR="003426E9">
        <w:rPr>
          <w:color w:val="000000" w:themeColor="text1"/>
          <w:lang w:eastAsia="en-AU"/>
        </w:rPr>
        <w:t xml:space="preserve"> and minimise opportunities to ‘game the system’.</w:t>
      </w:r>
      <w:r w:rsidR="003426E9">
        <w:rPr>
          <w:rStyle w:val="FootnoteReference"/>
          <w:color w:val="000000" w:themeColor="text1"/>
          <w:lang w:eastAsia="en-AU"/>
        </w:rPr>
        <w:footnoteReference w:id="97"/>
      </w:r>
    </w:p>
    <w:p w14:paraId="2B71AC50" w14:textId="15D5B52A" w:rsidR="00AA0FF5" w:rsidRDefault="002F7ED8" w:rsidP="00D6585B">
      <w:pPr>
        <w:tabs>
          <w:tab w:val="num" w:pos="720"/>
        </w:tabs>
        <w:rPr>
          <w:color w:val="000000" w:themeColor="text1"/>
          <w:lang w:eastAsia="en-AU"/>
        </w:rPr>
      </w:pPr>
      <w:r w:rsidRPr="003E1A6C">
        <w:rPr>
          <w:rFonts w:asciiTheme="majorHAnsi" w:hAnsiTheme="majorHAnsi" w:cstheme="majorHAnsi"/>
          <w:color w:val="000000" w:themeColor="text1"/>
          <w:lang w:eastAsia="en-AU"/>
        </w:rPr>
        <w:t>Sweden</w:t>
      </w:r>
      <w:r>
        <w:rPr>
          <w:color w:val="000000" w:themeColor="text1"/>
          <w:lang w:eastAsia="en-AU"/>
        </w:rPr>
        <w:t xml:space="preserve"> became increasingly inequitable after introducing a voucher system in the 1990s, dropping from 7</w:t>
      </w:r>
      <w:r w:rsidRPr="002F7ED8">
        <w:rPr>
          <w:color w:val="000000" w:themeColor="text1"/>
          <w:vertAlign w:val="superscript"/>
          <w:lang w:eastAsia="en-AU"/>
        </w:rPr>
        <w:t>th</w:t>
      </w:r>
      <w:r>
        <w:rPr>
          <w:color w:val="000000" w:themeColor="text1"/>
          <w:lang w:eastAsia="en-AU"/>
        </w:rPr>
        <w:t xml:space="preserve"> to 23</w:t>
      </w:r>
      <w:r w:rsidRPr="002F7ED8">
        <w:rPr>
          <w:color w:val="000000" w:themeColor="text1"/>
          <w:vertAlign w:val="superscript"/>
          <w:lang w:eastAsia="en-AU"/>
        </w:rPr>
        <w:t>rd</w:t>
      </w:r>
      <w:r>
        <w:rPr>
          <w:color w:val="000000" w:themeColor="text1"/>
          <w:lang w:eastAsia="en-AU"/>
        </w:rPr>
        <w:t xml:space="preserve"> place in the PISA</w:t>
      </w:r>
      <w:r w:rsidR="00906935">
        <w:rPr>
          <w:color w:val="000000" w:themeColor="text1"/>
          <w:lang w:eastAsia="en-AU"/>
        </w:rPr>
        <w:t xml:space="preserve"> rankings for equity from 2000-12. </w:t>
      </w:r>
      <w:r w:rsidR="002A392B">
        <w:rPr>
          <w:color w:val="000000" w:themeColor="text1"/>
          <w:lang w:eastAsia="en-AU"/>
        </w:rPr>
        <w:t xml:space="preserve">To address this, </w:t>
      </w:r>
      <w:r w:rsidR="006054CF">
        <w:rPr>
          <w:color w:val="000000" w:themeColor="text1"/>
          <w:lang w:eastAsia="en-AU"/>
        </w:rPr>
        <w:t xml:space="preserve">in recent years </w:t>
      </w:r>
      <w:r w:rsidR="002A392B">
        <w:rPr>
          <w:color w:val="000000" w:themeColor="text1"/>
          <w:lang w:eastAsia="en-AU"/>
        </w:rPr>
        <w:t xml:space="preserve">several parts of the country </w:t>
      </w:r>
      <w:r w:rsidR="003E1A6C">
        <w:rPr>
          <w:color w:val="000000" w:themeColor="text1"/>
          <w:lang w:eastAsia="en-AU"/>
        </w:rPr>
        <w:t xml:space="preserve">(presumably more densely populated districts) </w:t>
      </w:r>
      <w:r w:rsidR="002A392B">
        <w:rPr>
          <w:color w:val="000000" w:themeColor="text1"/>
          <w:lang w:eastAsia="en-AU"/>
        </w:rPr>
        <w:t xml:space="preserve">introduced </w:t>
      </w:r>
      <w:r w:rsidR="003E1A6C">
        <w:rPr>
          <w:color w:val="000000" w:themeColor="text1"/>
          <w:lang w:eastAsia="en-AU"/>
        </w:rPr>
        <w:t xml:space="preserve">a controlled choice mechanism for school enrolment. </w:t>
      </w:r>
    </w:p>
    <w:p w14:paraId="419248EE" w14:textId="70527C3E" w:rsidR="00C87CF2" w:rsidRPr="004107DE" w:rsidRDefault="000A4D24" w:rsidP="00C87CF2">
      <w:pPr>
        <w:tabs>
          <w:tab w:val="num" w:pos="720"/>
        </w:tabs>
        <w:rPr>
          <w:color w:val="000000" w:themeColor="text1"/>
          <w:lang w:eastAsia="en-AU"/>
        </w:rPr>
      </w:pPr>
      <w:r w:rsidRPr="0086054F">
        <w:rPr>
          <w:color w:val="000000" w:themeColor="text1"/>
          <w:lang w:eastAsia="en-AU"/>
        </w:rPr>
        <w:t xml:space="preserve">In </w:t>
      </w:r>
      <w:r w:rsidR="00751374">
        <w:rPr>
          <w:color w:val="000000" w:themeColor="text1"/>
          <w:lang w:eastAsia="en-AU"/>
        </w:rPr>
        <w:t>districts with controlled choice,</w:t>
      </w:r>
      <w:r w:rsidRPr="0086054F">
        <w:rPr>
          <w:color w:val="000000" w:themeColor="text1"/>
          <w:lang w:eastAsia="en-AU"/>
        </w:rPr>
        <w:t xml:space="preserve"> places at over-subscribed schools are typically allocated by algorithms that reflect family preferences in the form of a rank-order list and a limited set of school ‘priorities’. These can include geographic proximity, attendance of the school by a sibling, language or special education needs. </w:t>
      </w:r>
      <w:r w:rsidR="00C87CF2">
        <w:rPr>
          <w:color w:val="000000" w:themeColor="text1"/>
          <w:lang w:eastAsia="en-AU"/>
        </w:rPr>
        <w:t>For example, s</w:t>
      </w:r>
      <w:r w:rsidR="00C87CF2" w:rsidRPr="004107DE">
        <w:rPr>
          <w:color w:val="000000" w:themeColor="text1"/>
          <w:lang w:eastAsia="en-AU"/>
        </w:rPr>
        <w:t xml:space="preserve">ince 2015, secondary schools in </w:t>
      </w:r>
      <w:r w:rsidR="00C87CF2" w:rsidRPr="004107DE">
        <w:rPr>
          <w:rFonts w:asciiTheme="majorHAnsi" w:hAnsiTheme="majorHAnsi" w:cstheme="majorHAnsi"/>
          <w:color w:val="000000" w:themeColor="text1"/>
          <w:lang w:eastAsia="en-AU"/>
        </w:rPr>
        <w:t>Amsterdam</w:t>
      </w:r>
      <w:r w:rsidR="00C87CF2" w:rsidRPr="004107DE">
        <w:rPr>
          <w:color w:val="000000" w:themeColor="text1"/>
          <w:lang w:eastAsia="en-AU"/>
        </w:rPr>
        <w:t xml:space="preserve"> </w:t>
      </w:r>
      <w:r w:rsidR="00C87CF2">
        <w:rPr>
          <w:color w:val="000000" w:themeColor="text1"/>
          <w:lang w:eastAsia="en-AU"/>
        </w:rPr>
        <w:t xml:space="preserve">have used the </w:t>
      </w:r>
      <w:r w:rsidR="00186755">
        <w:rPr>
          <w:color w:val="000000" w:themeColor="text1"/>
          <w:lang w:eastAsia="en-AU"/>
        </w:rPr>
        <w:t>Deferred Acceptance</w:t>
      </w:r>
      <w:r w:rsidR="00C87CF2">
        <w:rPr>
          <w:color w:val="000000" w:themeColor="text1"/>
          <w:lang w:eastAsia="en-AU"/>
        </w:rPr>
        <w:t xml:space="preserve"> </w:t>
      </w:r>
      <w:r w:rsidR="00186755">
        <w:rPr>
          <w:color w:val="000000" w:themeColor="text1"/>
          <w:lang w:eastAsia="en-AU"/>
        </w:rPr>
        <w:t>(</w:t>
      </w:r>
      <w:r w:rsidR="00C87CF2" w:rsidRPr="004107DE">
        <w:rPr>
          <w:color w:val="000000" w:themeColor="text1"/>
          <w:lang w:eastAsia="en-AU"/>
        </w:rPr>
        <w:t>DA</w:t>
      </w:r>
      <w:r w:rsidR="00186755">
        <w:rPr>
          <w:color w:val="000000" w:themeColor="text1"/>
          <w:lang w:eastAsia="en-AU"/>
        </w:rPr>
        <w:t>)</w:t>
      </w:r>
      <w:r w:rsidR="00C87CF2" w:rsidRPr="004107DE">
        <w:rPr>
          <w:color w:val="000000" w:themeColor="text1"/>
          <w:lang w:eastAsia="en-AU"/>
        </w:rPr>
        <w:t xml:space="preserve"> mechanism to </w:t>
      </w:r>
      <w:r w:rsidR="00C87CF2">
        <w:rPr>
          <w:color w:val="000000" w:themeColor="text1"/>
          <w:lang w:eastAsia="en-AU"/>
        </w:rPr>
        <w:t>match</w:t>
      </w:r>
      <w:r w:rsidR="00C87CF2" w:rsidRPr="004107DE">
        <w:rPr>
          <w:color w:val="000000" w:themeColor="text1"/>
          <w:lang w:eastAsia="en-AU"/>
        </w:rPr>
        <w:t xml:space="preserve"> students to schools. Students submit a rank-ordered list</w:t>
      </w:r>
      <w:r w:rsidR="00C87CF2">
        <w:rPr>
          <w:color w:val="000000" w:themeColor="text1"/>
          <w:lang w:eastAsia="en-AU"/>
        </w:rPr>
        <w:t xml:space="preserve">, which </w:t>
      </w:r>
      <w:r w:rsidR="00C87CF2" w:rsidRPr="004107DE">
        <w:rPr>
          <w:color w:val="000000" w:themeColor="text1"/>
          <w:lang w:eastAsia="en-AU"/>
        </w:rPr>
        <w:t xml:space="preserve">can be as long as the number of available schools. </w:t>
      </w:r>
      <w:r w:rsidR="00C87CF2">
        <w:rPr>
          <w:color w:val="000000" w:themeColor="text1"/>
          <w:lang w:eastAsia="en-AU"/>
        </w:rPr>
        <w:t xml:space="preserve">There are provisions for prioritising some students’ preferences – for example, </w:t>
      </w:r>
      <w:r w:rsidR="00C87CF2" w:rsidRPr="004107DE">
        <w:rPr>
          <w:color w:val="000000" w:themeColor="text1"/>
          <w:lang w:eastAsia="en-AU"/>
        </w:rPr>
        <w:t>having a specific pedagogical relationship between the primary school a student attended and the secondary school on the student’s list</w:t>
      </w:r>
      <w:r w:rsidR="00C87CF2">
        <w:rPr>
          <w:color w:val="000000" w:themeColor="text1"/>
          <w:lang w:eastAsia="en-AU"/>
        </w:rPr>
        <w:t xml:space="preserve">, having an </w:t>
      </w:r>
      <w:r w:rsidR="00C87CF2" w:rsidRPr="004107DE">
        <w:rPr>
          <w:color w:val="000000" w:themeColor="text1"/>
          <w:lang w:eastAsia="en-AU"/>
        </w:rPr>
        <w:t xml:space="preserve">older sibling in the school, </w:t>
      </w:r>
      <w:r w:rsidR="00C87CF2">
        <w:rPr>
          <w:color w:val="000000" w:themeColor="text1"/>
          <w:lang w:eastAsia="en-AU"/>
        </w:rPr>
        <w:t xml:space="preserve">or </w:t>
      </w:r>
      <w:r w:rsidR="00C87CF2" w:rsidRPr="004107DE">
        <w:rPr>
          <w:color w:val="000000" w:themeColor="text1"/>
          <w:lang w:eastAsia="en-AU"/>
        </w:rPr>
        <w:t xml:space="preserve">a parent employed </w:t>
      </w:r>
      <w:r w:rsidR="00C87CF2">
        <w:rPr>
          <w:color w:val="000000" w:themeColor="text1"/>
          <w:lang w:eastAsia="en-AU"/>
        </w:rPr>
        <w:t>there</w:t>
      </w:r>
      <w:r w:rsidR="0029315A">
        <w:rPr>
          <w:color w:val="000000" w:themeColor="text1"/>
          <w:lang w:eastAsia="en-AU"/>
        </w:rPr>
        <w:t xml:space="preserve"> (though t</w:t>
      </w:r>
      <w:r w:rsidR="00C87CF2">
        <w:rPr>
          <w:color w:val="000000" w:themeColor="text1"/>
          <w:lang w:eastAsia="en-AU"/>
        </w:rPr>
        <w:t>he latter two provisions are being phased out</w:t>
      </w:r>
      <w:r w:rsidR="0029315A">
        <w:rPr>
          <w:color w:val="000000" w:themeColor="text1"/>
          <w:lang w:eastAsia="en-AU"/>
        </w:rPr>
        <w:t>)</w:t>
      </w:r>
      <w:r w:rsidR="00CD37F8">
        <w:rPr>
          <w:color w:val="000000" w:themeColor="text1"/>
          <w:lang w:eastAsia="en-AU"/>
        </w:rPr>
        <w:t>.</w:t>
      </w:r>
      <w:r w:rsidR="0029315A">
        <w:rPr>
          <w:color w:val="000000" w:themeColor="text1"/>
          <w:lang w:eastAsia="en-AU"/>
        </w:rPr>
        <w:t xml:space="preserve"> </w:t>
      </w:r>
      <w:r w:rsidR="00C87CF2" w:rsidRPr="004107DE">
        <w:rPr>
          <w:color w:val="000000" w:themeColor="text1"/>
          <w:lang w:eastAsia="en-AU"/>
        </w:rPr>
        <w:t>Priority on the basis of home-school distances is not allowed</w:t>
      </w:r>
      <w:r w:rsidR="0029315A">
        <w:rPr>
          <w:color w:val="000000" w:themeColor="text1"/>
          <w:lang w:eastAsia="en-AU"/>
        </w:rPr>
        <w:t>, however, and t</w:t>
      </w:r>
      <w:r w:rsidR="00C87CF2" w:rsidRPr="004107DE">
        <w:rPr>
          <w:color w:val="000000" w:themeColor="text1"/>
          <w:lang w:eastAsia="en-AU"/>
        </w:rPr>
        <w:t xml:space="preserve">ies </w:t>
      </w:r>
      <w:r w:rsidR="00C87CF2">
        <w:rPr>
          <w:color w:val="000000" w:themeColor="text1"/>
          <w:lang w:eastAsia="en-AU"/>
        </w:rPr>
        <w:t>for places are resolved through a lottery</w:t>
      </w:r>
      <w:r w:rsidR="00C87CF2" w:rsidRPr="004107DE">
        <w:rPr>
          <w:color w:val="000000" w:themeColor="text1"/>
          <w:lang w:eastAsia="en-AU"/>
        </w:rPr>
        <w:t>.</w:t>
      </w:r>
      <w:r w:rsidR="0029315A">
        <w:rPr>
          <w:rStyle w:val="FootnoteReference"/>
          <w:color w:val="000000" w:themeColor="text1"/>
          <w:lang w:eastAsia="en-AU"/>
        </w:rPr>
        <w:footnoteReference w:id="98"/>
      </w:r>
    </w:p>
    <w:p w14:paraId="01BDCA5F" w14:textId="3D5CB0DC" w:rsidR="000A4D24" w:rsidRPr="0086054F" w:rsidRDefault="000A4D24" w:rsidP="000A4D24">
      <w:pPr>
        <w:rPr>
          <w:color w:val="000000" w:themeColor="text1"/>
          <w:lang w:eastAsia="en-AU"/>
        </w:rPr>
      </w:pPr>
      <w:r w:rsidRPr="0086054F">
        <w:rPr>
          <w:color w:val="000000" w:themeColor="text1"/>
          <w:lang w:eastAsia="en-AU"/>
        </w:rPr>
        <w:t xml:space="preserve">Schools </w:t>
      </w:r>
      <w:r w:rsidRPr="0086054F">
        <w:rPr>
          <w:i/>
          <w:color w:val="000000" w:themeColor="text1"/>
          <w:lang w:eastAsia="en-AU"/>
        </w:rPr>
        <w:t>may</w:t>
      </w:r>
      <w:r w:rsidRPr="0086054F">
        <w:rPr>
          <w:color w:val="000000" w:themeColor="text1"/>
          <w:lang w:eastAsia="en-AU"/>
        </w:rPr>
        <w:t xml:space="preserve"> also </w:t>
      </w:r>
      <w:r w:rsidR="004E522F">
        <w:rPr>
          <w:color w:val="000000" w:themeColor="text1"/>
          <w:lang w:eastAsia="en-AU"/>
        </w:rPr>
        <w:t>prioritise</w:t>
      </w:r>
      <w:r w:rsidRPr="0086054F">
        <w:rPr>
          <w:color w:val="000000" w:themeColor="text1"/>
          <w:lang w:eastAsia="en-AU"/>
        </w:rPr>
        <w:t xml:space="preserve"> students from low-income backgrounds or historically marginalised communities. Note that this is not always the case: certain schools in </w:t>
      </w:r>
      <w:r w:rsidRPr="006C1980">
        <w:rPr>
          <w:rFonts w:asciiTheme="majorHAnsi" w:hAnsiTheme="majorHAnsi" w:cstheme="majorHAnsi"/>
          <w:color w:val="000000" w:themeColor="text1"/>
          <w:lang w:eastAsia="en-AU"/>
        </w:rPr>
        <w:t>New York City</w:t>
      </w:r>
      <w:r w:rsidRPr="0086054F">
        <w:rPr>
          <w:color w:val="000000" w:themeColor="text1"/>
          <w:lang w:eastAsia="en-AU"/>
        </w:rPr>
        <w:t xml:space="preserve"> are allowed to ‘screen’ applicants through consideration of test scores, interviews</w:t>
      </w:r>
      <w:r w:rsidR="00D93E3C">
        <w:rPr>
          <w:color w:val="000000" w:themeColor="text1"/>
          <w:lang w:eastAsia="en-AU"/>
        </w:rPr>
        <w:t>,</w:t>
      </w:r>
      <w:r w:rsidRPr="0086054F">
        <w:rPr>
          <w:color w:val="000000" w:themeColor="text1"/>
          <w:lang w:eastAsia="en-AU"/>
        </w:rPr>
        <w:t xml:space="preserve"> or auditions. Also, not all schools are necessarily included in the </w:t>
      </w:r>
      <w:r w:rsidR="00CD37F8">
        <w:rPr>
          <w:color w:val="000000" w:themeColor="text1"/>
          <w:lang w:eastAsia="en-AU"/>
        </w:rPr>
        <w:t xml:space="preserve">lottery </w:t>
      </w:r>
      <w:r w:rsidRPr="0086054F">
        <w:rPr>
          <w:color w:val="000000" w:themeColor="text1"/>
          <w:lang w:eastAsia="en-AU"/>
        </w:rPr>
        <w:t>system.</w:t>
      </w:r>
    </w:p>
    <w:p w14:paraId="69094373" w14:textId="1F168269" w:rsidR="000A4D24" w:rsidRPr="0086054F" w:rsidRDefault="000A4D24" w:rsidP="000A4D24">
      <w:pPr>
        <w:rPr>
          <w:color w:val="000000" w:themeColor="text1"/>
          <w:lang w:eastAsia="en-AU"/>
        </w:rPr>
      </w:pPr>
      <w:r w:rsidRPr="0086054F">
        <w:rPr>
          <w:color w:val="000000" w:themeColor="text1"/>
          <w:lang w:eastAsia="en-AU"/>
        </w:rPr>
        <w:t xml:space="preserve">The </w:t>
      </w:r>
      <w:r w:rsidR="006546C9">
        <w:rPr>
          <w:color w:val="000000" w:themeColor="text1"/>
          <w:lang w:eastAsia="en-AU"/>
        </w:rPr>
        <w:t>BS</w:t>
      </w:r>
      <w:r w:rsidR="006C1980">
        <w:rPr>
          <w:color w:val="000000" w:themeColor="text1"/>
          <w:lang w:eastAsia="en-AU"/>
        </w:rPr>
        <w:t>M</w:t>
      </w:r>
      <w:r w:rsidRPr="0086054F">
        <w:rPr>
          <w:color w:val="000000" w:themeColor="text1"/>
          <w:lang w:eastAsia="en-AU"/>
        </w:rPr>
        <w:t xml:space="preserve"> model was heavily criticised and, as a result, replaced by a DA model, which shifted from an immediate first-preference placement algorithm, to one where students would be notionally allocated to a school, but final placements are not confirmed until all preferences are considered and the most stable alignment between school priorities and student choices is found. The DA model, which is the variant most widely adopted elsewhere (including centralised placement processes used in </w:t>
      </w:r>
      <w:r w:rsidRPr="006C1980">
        <w:rPr>
          <w:rFonts w:asciiTheme="majorHAnsi" w:hAnsiTheme="majorHAnsi" w:cstheme="majorHAnsi"/>
          <w:color w:val="000000" w:themeColor="text1"/>
          <w:lang w:eastAsia="en-AU"/>
        </w:rPr>
        <w:t xml:space="preserve">Amsterdam, Paris, Hungary </w:t>
      </w:r>
      <w:r w:rsidRPr="006C1980">
        <w:rPr>
          <w:rFonts w:asciiTheme="minorHAnsi" w:hAnsiTheme="minorHAnsi" w:cstheme="minorHAnsi"/>
          <w:color w:val="000000" w:themeColor="text1"/>
          <w:lang w:eastAsia="en-AU"/>
        </w:rPr>
        <w:t>and</w:t>
      </w:r>
      <w:r w:rsidRPr="006C1980">
        <w:rPr>
          <w:rFonts w:asciiTheme="majorHAnsi" w:hAnsiTheme="majorHAnsi" w:cstheme="majorHAnsi"/>
          <w:color w:val="000000" w:themeColor="text1"/>
          <w:lang w:eastAsia="en-AU"/>
        </w:rPr>
        <w:t xml:space="preserve"> Taiwan</w:t>
      </w:r>
      <w:r w:rsidRPr="0086054F">
        <w:rPr>
          <w:color w:val="000000" w:themeColor="text1"/>
          <w:lang w:eastAsia="en-AU"/>
        </w:rPr>
        <w:t>), is seen as being more ‘strategy-proof’ – that is, it circumvents efforts by savvy parents to game the results and instead incentivi</w:t>
      </w:r>
      <w:r w:rsidR="00542E63">
        <w:rPr>
          <w:color w:val="000000" w:themeColor="text1"/>
          <w:lang w:eastAsia="en-AU"/>
        </w:rPr>
        <w:t>s</w:t>
      </w:r>
      <w:r w:rsidRPr="0086054F">
        <w:rPr>
          <w:color w:val="000000" w:themeColor="text1"/>
          <w:lang w:eastAsia="en-AU"/>
        </w:rPr>
        <w:t>e</w:t>
      </w:r>
      <w:r w:rsidR="003A1A3E">
        <w:rPr>
          <w:color w:val="000000" w:themeColor="text1"/>
          <w:lang w:eastAsia="en-AU"/>
        </w:rPr>
        <w:t>s</w:t>
      </w:r>
      <w:r w:rsidRPr="0086054F">
        <w:rPr>
          <w:color w:val="000000" w:themeColor="text1"/>
          <w:lang w:eastAsia="en-AU"/>
        </w:rPr>
        <w:t xml:space="preserve"> people to reveal their true preferences. Whether it represents an unequivocal improvement on the </w:t>
      </w:r>
      <w:r w:rsidR="00542E63">
        <w:rPr>
          <w:color w:val="000000" w:themeColor="text1"/>
          <w:lang w:eastAsia="en-AU"/>
        </w:rPr>
        <w:t>BSM</w:t>
      </w:r>
      <w:r w:rsidRPr="0086054F">
        <w:rPr>
          <w:color w:val="000000" w:themeColor="text1"/>
          <w:lang w:eastAsia="en-AU"/>
        </w:rPr>
        <w:t>, however, has been challenged.</w:t>
      </w:r>
      <w:r w:rsidRPr="0086054F">
        <w:rPr>
          <w:rStyle w:val="FootnoteReference"/>
          <w:color w:val="000000" w:themeColor="text1"/>
          <w:lang w:eastAsia="en-AU"/>
        </w:rPr>
        <w:footnoteReference w:id="99"/>
      </w:r>
    </w:p>
    <w:p w14:paraId="55FB08F7" w14:textId="4EF6F767" w:rsidR="006A22F8" w:rsidRPr="0086054F" w:rsidRDefault="000A4D24" w:rsidP="000A4D24">
      <w:pPr>
        <w:rPr>
          <w:color w:val="000000" w:themeColor="text1"/>
          <w:lang w:eastAsia="en-AU"/>
        </w:rPr>
      </w:pPr>
      <w:r w:rsidRPr="0086054F">
        <w:rPr>
          <w:color w:val="000000" w:themeColor="text1"/>
          <w:lang w:eastAsia="en-AU"/>
        </w:rPr>
        <w:t xml:space="preserve">Moreover, there remain issues about the extent to which students self-select out of some available options. For example, where oversubscribed schools </w:t>
      </w:r>
      <w:r w:rsidR="00175EAA" w:rsidRPr="0086054F">
        <w:rPr>
          <w:color w:val="000000" w:themeColor="text1"/>
          <w:lang w:eastAsia="en-AU"/>
        </w:rPr>
        <w:t>can</w:t>
      </w:r>
      <w:r w:rsidRPr="0086054F">
        <w:rPr>
          <w:color w:val="000000" w:themeColor="text1"/>
          <w:lang w:eastAsia="en-AU"/>
        </w:rPr>
        <w:t xml:space="preserve"> screen students by test scores in cases of tied results, students may decide it is not worth putting forward that school as a preference.</w:t>
      </w:r>
      <w:r w:rsidRPr="0086054F">
        <w:rPr>
          <w:rStyle w:val="FootnoteReference"/>
          <w:color w:val="000000" w:themeColor="text1"/>
          <w:lang w:eastAsia="en-AU"/>
        </w:rPr>
        <w:footnoteReference w:id="100"/>
      </w:r>
      <w:r w:rsidR="006A22F8">
        <w:rPr>
          <w:color w:val="000000" w:themeColor="text1"/>
          <w:lang w:eastAsia="en-AU"/>
        </w:rPr>
        <w:t xml:space="preserve"> </w:t>
      </w:r>
    </w:p>
    <w:p w14:paraId="3B148DBC" w14:textId="77777777" w:rsidR="000A4D24" w:rsidRDefault="000A4D24" w:rsidP="00E07876">
      <w:pPr>
        <w:pStyle w:val="Heading3"/>
      </w:pPr>
      <w:r>
        <w:t>Outcomes</w:t>
      </w:r>
    </w:p>
    <w:p w14:paraId="4F9AD019" w14:textId="75BB6375" w:rsidR="000A4D24" w:rsidRPr="00A77F7E" w:rsidRDefault="00542E63" w:rsidP="00542E63">
      <w:pPr>
        <w:pStyle w:val="Heading5"/>
        <w:numPr>
          <w:ilvl w:val="0"/>
          <w:numId w:val="0"/>
        </w:numPr>
        <w:rPr>
          <w:color w:val="auto"/>
        </w:rPr>
      </w:pPr>
      <w:r>
        <w:rPr>
          <w:color w:val="auto"/>
        </w:rPr>
        <w:t>D</w:t>
      </w:r>
      <w:r w:rsidR="000A4D24" w:rsidRPr="00A77F7E">
        <w:rPr>
          <w:color w:val="auto"/>
        </w:rPr>
        <w:t>iversity</w:t>
      </w:r>
    </w:p>
    <w:p w14:paraId="012E22A2" w14:textId="3EE55EAB" w:rsidR="000A4D24" w:rsidRDefault="000A4D24" w:rsidP="000A4D24">
      <w:r w:rsidRPr="0086054F">
        <w:rPr>
          <w:lang w:eastAsia="en-AU"/>
        </w:rPr>
        <w:t xml:space="preserve">Most studies are </w:t>
      </w:r>
      <w:r w:rsidR="000902F7">
        <w:rPr>
          <w:lang w:eastAsia="en-AU"/>
        </w:rPr>
        <w:t xml:space="preserve">from the </w:t>
      </w:r>
      <w:r w:rsidR="00E02E69">
        <w:rPr>
          <w:lang w:eastAsia="en-AU"/>
        </w:rPr>
        <w:t>US</w:t>
      </w:r>
      <w:r w:rsidRPr="0086054F">
        <w:rPr>
          <w:lang w:eastAsia="en-AU"/>
        </w:rPr>
        <w:t xml:space="preserve"> and focus on the impact of controlled choice models in terms of racial integration, and find, generally, that the results have been positive, though they vary of course as </w:t>
      </w:r>
      <w:r w:rsidRPr="00577CEE">
        <w:rPr>
          <w:lang w:eastAsia="en-AU"/>
        </w:rPr>
        <w:t>the demographic concentrations have changed (</w:t>
      </w:r>
      <w:r w:rsidR="00577CEE" w:rsidRPr="00577CEE">
        <w:rPr>
          <w:lang w:eastAsia="en-AU"/>
        </w:rPr>
        <w:t>e.g.,</w:t>
      </w:r>
      <w:r w:rsidRPr="00577CEE">
        <w:rPr>
          <w:lang w:eastAsia="en-AU"/>
        </w:rPr>
        <w:t xml:space="preserve"> the growth of the Hispanic community in some districts). </w:t>
      </w:r>
      <w:r w:rsidR="00020EEA">
        <w:rPr>
          <w:lang w:eastAsia="en-AU"/>
        </w:rPr>
        <w:t xml:space="preserve">Research has </w:t>
      </w:r>
      <w:r w:rsidR="00DD228F" w:rsidRPr="00577CEE">
        <w:rPr>
          <w:lang w:eastAsia="en-AU"/>
        </w:rPr>
        <w:t xml:space="preserve">revealed </w:t>
      </w:r>
      <w:r w:rsidR="007D6691" w:rsidRPr="00577CEE">
        <w:rPr>
          <w:lang w:eastAsia="en-AU"/>
        </w:rPr>
        <w:t xml:space="preserve">moderately strong evidence that increased choice “exacerbate concentrations of </w:t>
      </w:r>
      <w:r w:rsidR="007D6691" w:rsidRPr="00577CEE">
        <w:rPr>
          <w:lang w:eastAsia="en-AU"/>
        </w:rPr>
        <w:lastRenderedPageBreak/>
        <w:t>disadvantage in schools</w:t>
      </w:r>
      <w:r w:rsidR="009421F6" w:rsidRPr="00577CEE">
        <w:rPr>
          <w:lang w:eastAsia="en-AU"/>
        </w:rPr>
        <w:t>” as</w:t>
      </w:r>
      <w:r w:rsidR="009421F6">
        <w:rPr>
          <w:lang w:eastAsia="en-AU"/>
        </w:rPr>
        <w:t xml:space="preserve"> advantaged families </w:t>
      </w:r>
      <w:r w:rsidR="00D41A7F">
        <w:rPr>
          <w:lang w:eastAsia="en-AU"/>
        </w:rPr>
        <w:t xml:space="preserve">are more </w:t>
      </w:r>
      <w:r w:rsidR="00146D34">
        <w:rPr>
          <w:lang w:eastAsia="en-AU"/>
        </w:rPr>
        <w:t xml:space="preserve">capable of navigating </w:t>
      </w:r>
      <w:r w:rsidR="00A5532A">
        <w:rPr>
          <w:lang w:eastAsia="en-AU"/>
        </w:rPr>
        <w:t>an</w:t>
      </w:r>
      <w:r w:rsidR="00C20AEB">
        <w:rPr>
          <w:lang w:eastAsia="en-AU"/>
        </w:rPr>
        <w:t>d</w:t>
      </w:r>
      <w:r w:rsidR="00A5532A">
        <w:rPr>
          <w:lang w:eastAsia="en-AU"/>
        </w:rPr>
        <w:t xml:space="preserve"> exercising</w:t>
      </w:r>
      <w:r w:rsidR="00146D34">
        <w:rPr>
          <w:lang w:eastAsia="en-AU"/>
        </w:rPr>
        <w:t xml:space="preserve"> </w:t>
      </w:r>
      <w:r w:rsidR="00412F60">
        <w:rPr>
          <w:lang w:eastAsia="en-AU"/>
        </w:rPr>
        <w:t>choices</w:t>
      </w:r>
      <w:r w:rsidR="00577CEE">
        <w:rPr>
          <w:lang w:eastAsia="en-AU"/>
        </w:rPr>
        <w:t>.</w:t>
      </w:r>
      <w:r w:rsidR="009A3B31">
        <w:rPr>
          <w:rStyle w:val="FootnoteReference"/>
          <w:lang w:eastAsia="en-AU"/>
        </w:rPr>
        <w:footnoteReference w:id="101"/>
      </w:r>
      <w:r w:rsidR="00577CEE">
        <w:rPr>
          <w:lang w:eastAsia="en-AU"/>
        </w:rPr>
        <w:t xml:space="preserve"> </w:t>
      </w:r>
      <w:r w:rsidRPr="0086054F">
        <w:rPr>
          <w:lang w:eastAsia="en-AU"/>
        </w:rPr>
        <w:t>A 2022 study into the effects of being educated outside one’s neighbour concluded that “</w:t>
      </w:r>
      <w:r w:rsidRPr="00381621">
        <w:t>non-</w:t>
      </w:r>
      <w:r w:rsidR="00B101F7" w:rsidRPr="00381621">
        <w:t>neighbourhood</w:t>
      </w:r>
      <w:r w:rsidRPr="00381621">
        <w:t xml:space="preserve"> </w:t>
      </w:r>
      <w:r w:rsidR="00B101F7" w:rsidRPr="00381621">
        <w:t>enrolment</w:t>
      </w:r>
      <w:r w:rsidRPr="00381621">
        <w:t xml:space="preserve"> has substantial</w:t>
      </w:r>
      <w:r>
        <w:t xml:space="preserve"> </w:t>
      </w:r>
      <w:r w:rsidRPr="00EA2854">
        <w:t>integrating e</w:t>
      </w:r>
      <w:r>
        <w:t>ff</w:t>
      </w:r>
      <w:r w:rsidRPr="00EA2854">
        <w:t>ects, especially for Black applicants</w:t>
      </w:r>
      <w:r>
        <w:t xml:space="preserve">…(boosting) </w:t>
      </w:r>
      <w:r w:rsidRPr="002A2A44">
        <w:t>integration in the sense of reducing minority applicants</w:t>
      </w:r>
      <w:r w:rsidR="00164F70">
        <w:t>’</w:t>
      </w:r>
      <w:r w:rsidRPr="002A2A44">
        <w:t xml:space="preserve"> same race exposure and, for Blacks in </w:t>
      </w:r>
      <w:r w:rsidRPr="00AD6807">
        <w:rPr>
          <w:rFonts w:asciiTheme="majorHAnsi" w:hAnsiTheme="majorHAnsi" w:cstheme="majorHAnsi"/>
        </w:rPr>
        <w:t>Boston</w:t>
      </w:r>
      <w:r w:rsidRPr="002A2A44">
        <w:t xml:space="preserve"> and Hispanics in </w:t>
      </w:r>
      <w:r w:rsidRPr="00AD6807">
        <w:rPr>
          <w:rFonts w:asciiTheme="majorHAnsi" w:hAnsiTheme="majorHAnsi" w:cstheme="majorHAnsi"/>
        </w:rPr>
        <w:t>New York</w:t>
      </w:r>
      <w:r w:rsidRPr="002A2A44">
        <w:t>, by reducing minority isolation</w:t>
      </w:r>
      <w:r>
        <w:t>.</w:t>
      </w:r>
      <w:r w:rsidRPr="00EA2854">
        <w:t>”</w:t>
      </w:r>
      <w:r>
        <w:rPr>
          <w:rStyle w:val="FootnoteReference"/>
        </w:rPr>
        <w:footnoteReference w:id="102"/>
      </w:r>
      <w:r>
        <w:t xml:space="preserve"> </w:t>
      </w:r>
    </w:p>
    <w:p w14:paraId="23E7591D" w14:textId="0FC5FD3A" w:rsidR="00A60857" w:rsidRDefault="002279C5" w:rsidP="002279C5">
      <w:r>
        <w:t xml:space="preserve">In </w:t>
      </w:r>
      <w:r w:rsidRPr="15380E17">
        <w:rPr>
          <w:rFonts w:asciiTheme="majorHAnsi" w:hAnsiTheme="majorHAnsi" w:cstheme="majorBidi"/>
        </w:rPr>
        <w:t>Parisian</w:t>
      </w:r>
      <w:r>
        <w:t xml:space="preserve"> public </w:t>
      </w:r>
      <w:r w:rsidRPr="0086054F">
        <w:t>high schools</w:t>
      </w:r>
      <w:r>
        <w:t xml:space="preserve">, </w:t>
      </w:r>
      <w:r w:rsidR="00FC1F7E">
        <w:t xml:space="preserve">the implementation of controlled choice was accompanied by ‘dynamic zoning’ based on </w:t>
      </w:r>
      <w:r w:rsidR="00D91A9A">
        <w:t>achieving greater SES diversity. The overall effect was to reduce</w:t>
      </w:r>
      <w:r>
        <w:t xml:space="preserve"> segregation by 30-40</w:t>
      </w:r>
      <w:r w:rsidR="000B493E">
        <w:t xml:space="preserve"> per cent</w:t>
      </w:r>
      <w:r w:rsidR="00085FE9">
        <w:t xml:space="preserve"> in only two years</w:t>
      </w:r>
      <w:r>
        <w:t>.</w:t>
      </w:r>
      <w:r>
        <w:rPr>
          <w:rStyle w:val="FootnoteReference"/>
        </w:rPr>
        <w:footnoteReference w:id="103"/>
      </w:r>
      <w:r w:rsidR="00C20AEB">
        <w:t xml:space="preserve"> </w:t>
      </w:r>
      <w:r w:rsidR="00384ADD">
        <w:t>However, o</w:t>
      </w:r>
      <w:r w:rsidR="00085FE9">
        <w:t xml:space="preserve">ur interview with French </w:t>
      </w:r>
      <w:r w:rsidR="00B46365">
        <w:t xml:space="preserve">economist and educational </w:t>
      </w:r>
      <w:r w:rsidR="00085FE9">
        <w:t xml:space="preserve">researcher </w:t>
      </w:r>
      <w:r w:rsidR="00DE6B10">
        <w:t xml:space="preserve">professor </w:t>
      </w:r>
      <w:r w:rsidR="00085FE9">
        <w:t>Julien Gr</w:t>
      </w:r>
      <w:r w:rsidR="00B46365">
        <w:t>e</w:t>
      </w:r>
      <w:r w:rsidR="00085FE9">
        <w:t>net</w:t>
      </w:r>
      <w:r w:rsidR="00384ADD">
        <w:t xml:space="preserve"> revealed limitations of the Parisian approach</w:t>
      </w:r>
      <w:r w:rsidR="0057306D">
        <w:t xml:space="preserve">, arguing that </w:t>
      </w:r>
      <w:r w:rsidR="00D52AA9">
        <w:t xml:space="preserve">segregation between students attending public schools and private schools </w:t>
      </w:r>
      <w:r w:rsidR="00DB2BF4">
        <w:t>(enrolling</w:t>
      </w:r>
      <w:r w:rsidR="00AC70F6">
        <w:t xml:space="preserve"> close to 50</w:t>
      </w:r>
      <w:r w:rsidR="000B493E">
        <w:t xml:space="preserve"> per cent</w:t>
      </w:r>
      <w:r w:rsidR="00AC70F6">
        <w:t xml:space="preserve"> of students in high schools) </w:t>
      </w:r>
      <w:r w:rsidR="00D52AA9">
        <w:t xml:space="preserve">continues </w:t>
      </w:r>
      <w:r w:rsidR="00D5319A">
        <w:t xml:space="preserve">to </w:t>
      </w:r>
      <w:r w:rsidR="00D52AA9">
        <w:t>increase.</w:t>
      </w:r>
      <w:r w:rsidR="00873CD1">
        <w:t xml:space="preserve"> </w:t>
      </w:r>
      <w:r w:rsidR="003C7F92">
        <w:t>Additionally, s</w:t>
      </w:r>
      <w:r w:rsidR="00A60857">
        <w:t xml:space="preserve">egregation in middle schools remains a significant </w:t>
      </w:r>
      <w:r w:rsidR="0002336D">
        <w:t>proble</w:t>
      </w:r>
      <w:r w:rsidR="005C47A0">
        <w:t xml:space="preserve">m, with social mixing only </w:t>
      </w:r>
      <w:r w:rsidR="00C14219">
        <w:t xml:space="preserve">taking place relatively late in a student’s educational journey. </w:t>
      </w:r>
      <w:r w:rsidR="002C45B5">
        <w:t>On a more e</w:t>
      </w:r>
      <w:r w:rsidR="0077599C">
        <w:t>ncouraging</w:t>
      </w:r>
      <w:r w:rsidR="002C45B5">
        <w:t xml:space="preserve"> note</w:t>
      </w:r>
      <w:r w:rsidR="0077599C">
        <w:t xml:space="preserve">, </w:t>
      </w:r>
      <w:r w:rsidR="00B0095B">
        <w:t>Julien</w:t>
      </w:r>
      <w:r w:rsidR="0057306D">
        <w:t xml:space="preserve"> Gr</w:t>
      </w:r>
      <w:r w:rsidR="002C45B5">
        <w:t>enet</w:t>
      </w:r>
      <w:r w:rsidR="00B70879">
        <w:t xml:space="preserve"> suggested that </w:t>
      </w:r>
      <w:r w:rsidR="005F259B">
        <w:t>the introduction of collective</w:t>
      </w:r>
      <w:r w:rsidR="00167118">
        <w:t xml:space="preserve"> social bonuses</w:t>
      </w:r>
      <w:r w:rsidR="00E733D7">
        <w:t xml:space="preserve">, based on the social </w:t>
      </w:r>
      <w:r w:rsidR="003337FA">
        <w:t>composition of a student’s middle school,</w:t>
      </w:r>
      <w:r w:rsidR="00167118">
        <w:t xml:space="preserve"> may </w:t>
      </w:r>
      <w:r w:rsidR="0077599C">
        <w:t>incentivise parents to choose</w:t>
      </w:r>
      <w:r w:rsidR="008F6BF4">
        <w:t xml:space="preserve"> lower performing middle schools</w:t>
      </w:r>
      <w:r w:rsidR="003337FA">
        <w:t xml:space="preserve">. Although it is too early to be sure, </w:t>
      </w:r>
      <w:r w:rsidR="00A00186">
        <w:t xml:space="preserve">anecdotally, the bonuses appear to encourage </w:t>
      </w:r>
      <w:r w:rsidR="00167118">
        <w:t xml:space="preserve">more affluent parents to send their children to </w:t>
      </w:r>
      <w:r w:rsidR="008F6BF4">
        <w:t>these</w:t>
      </w:r>
      <w:r w:rsidR="00A62EFE">
        <w:t xml:space="preserve"> </w:t>
      </w:r>
      <w:r w:rsidR="00167118">
        <w:t>schools</w:t>
      </w:r>
      <w:r w:rsidR="00B301DE">
        <w:t xml:space="preserve"> – their</w:t>
      </w:r>
      <w:r w:rsidR="00167118">
        <w:t xml:space="preserve"> objective </w:t>
      </w:r>
      <w:r w:rsidR="00B301DE">
        <w:t xml:space="preserve">being </w:t>
      </w:r>
      <w:r w:rsidR="00A00186">
        <w:t xml:space="preserve">to increase the likelihood of </w:t>
      </w:r>
      <w:r w:rsidR="00B301DE">
        <w:t xml:space="preserve">their child </w:t>
      </w:r>
      <w:r w:rsidR="00DC2B13">
        <w:t xml:space="preserve">being prioritised </w:t>
      </w:r>
      <w:r w:rsidR="00B301DE">
        <w:t xml:space="preserve">for enrolment </w:t>
      </w:r>
      <w:r w:rsidR="00DC2B13">
        <w:t xml:space="preserve">in </w:t>
      </w:r>
      <w:r w:rsidR="00167118">
        <w:t>their preferred high</w:t>
      </w:r>
      <w:r w:rsidR="00A62EFE">
        <w:t xml:space="preserve"> </w:t>
      </w:r>
      <w:r w:rsidR="00167118">
        <w:t>school.</w:t>
      </w:r>
    </w:p>
    <w:p w14:paraId="218622A5" w14:textId="1F7B39BD" w:rsidR="000A4D24" w:rsidRDefault="000A4D24" w:rsidP="00F81BDB">
      <w:pPr>
        <w:pStyle w:val="Heading5"/>
      </w:pPr>
      <w:r w:rsidRPr="00E15CBC">
        <w:t xml:space="preserve">Education outcomes </w:t>
      </w:r>
    </w:p>
    <w:p w14:paraId="5DB73A18" w14:textId="365E3212" w:rsidR="00847890" w:rsidRDefault="008D4F6D" w:rsidP="000A4D24">
      <w:r>
        <w:t>E</w:t>
      </w:r>
      <w:r w:rsidR="000A4D24">
        <w:t xml:space="preserve">arly indications about the effects of desegregation </w:t>
      </w:r>
      <w:r>
        <w:t xml:space="preserve">in </w:t>
      </w:r>
      <w:r w:rsidR="009D38EF" w:rsidRPr="00B840C5">
        <w:rPr>
          <w:rFonts w:asciiTheme="majorHAnsi" w:hAnsiTheme="majorHAnsi" w:cstheme="majorHAnsi"/>
        </w:rPr>
        <w:t>Boston</w:t>
      </w:r>
      <w:r w:rsidR="009D38EF">
        <w:t xml:space="preserve"> </w:t>
      </w:r>
      <w:r w:rsidR="000A4D24">
        <w:t>showed a positive correlation with improved education outcomes for African</w:t>
      </w:r>
      <w:r w:rsidR="00D84055">
        <w:t xml:space="preserve"> </w:t>
      </w:r>
      <w:r w:rsidR="000A4D24">
        <w:t>American students</w:t>
      </w:r>
      <w:r>
        <w:t xml:space="preserve">. </w:t>
      </w:r>
      <w:r w:rsidR="009F1197">
        <w:t>E</w:t>
      </w:r>
      <w:r w:rsidR="000A4D24">
        <w:t>vidence from more recent periods is mixed</w:t>
      </w:r>
      <w:r w:rsidR="00E75330">
        <w:t>,</w:t>
      </w:r>
      <w:r w:rsidR="000A4D24">
        <w:rPr>
          <w:rStyle w:val="FootnoteReference"/>
        </w:rPr>
        <w:footnoteReference w:id="104"/>
      </w:r>
      <w:r w:rsidR="000A4D24">
        <w:t xml:space="preserve"> </w:t>
      </w:r>
      <w:r w:rsidR="00E75330">
        <w:t>f</w:t>
      </w:r>
      <w:r w:rsidR="00C8340B">
        <w:t>or example, one study found that the impacts on education outcomes</w:t>
      </w:r>
      <w:r w:rsidR="00F33215">
        <w:t xml:space="preserve"> (in this case, increased learning and college enrolment)</w:t>
      </w:r>
      <w:r w:rsidR="00C8340B">
        <w:t xml:space="preserve"> were not as strong as those </w:t>
      </w:r>
      <w:r w:rsidR="00F33215">
        <w:t>on diversity.</w:t>
      </w:r>
      <w:r w:rsidR="001861DB">
        <w:rPr>
          <w:rStyle w:val="FootnoteReference"/>
        </w:rPr>
        <w:footnoteReference w:id="105"/>
      </w:r>
      <w:r w:rsidR="00F33215">
        <w:t xml:space="preserve"> </w:t>
      </w:r>
      <w:r w:rsidR="009F1197">
        <w:t xml:space="preserve">However, OECD Education Director Andreas Schleicher made the point to us in an interview that any </w:t>
      </w:r>
      <w:r w:rsidR="00F33215">
        <w:t xml:space="preserve">effects of increased school </w:t>
      </w:r>
      <w:r w:rsidR="009F1197">
        <w:t xml:space="preserve">diversity </w:t>
      </w:r>
      <w:r w:rsidR="00F33215">
        <w:t xml:space="preserve">are </w:t>
      </w:r>
      <w:r w:rsidR="009F1197">
        <w:t xml:space="preserve">likely </w:t>
      </w:r>
      <w:r w:rsidR="00F33215">
        <w:t xml:space="preserve">be </w:t>
      </w:r>
      <w:r w:rsidR="00847890">
        <w:t xml:space="preserve">marked </w:t>
      </w:r>
      <w:r w:rsidR="00336605">
        <w:t xml:space="preserve">in the early stages but fall-off over time, </w:t>
      </w:r>
      <w:r w:rsidR="00847890">
        <w:t>absent another major innovation or disruption</w:t>
      </w:r>
      <w:r w:rsidR="002A1BDC">
        <w:t>; t</w:t>
      </w:r>
      <w:r w:rsidR="00336605">
        <w:t>his is because the intervention will have created a new baseline.</w:t>
      </w:r>
    </w:p>
    <w:p w14:paraId="1C385D1F" w14:textId="77777777" w:rsidR="00771BB6" w:rsidRPr="0086054F" w:rsidRDefault="00771BB6" w:rsidP="00771BB6">
      <w:pPr>
        <w:rPr>
          <w:lang w:eastAsia="en-AU"/>
        </w:rPr>
      </w:pPr>
      <w:r>
        <w:t>There is some suggestion that the longer travel time to attend a school assigned through controlled choice (or, indeed, any system that allows for out-of-zone enrolments) may have a negative effect on engagement, but this does not necessarily translate to poorer test scores.</w:t>
      </w:r>
      <w:r>
        <w:rPr>
          <w:rStyle w:val="FootnoteReference"/>
        </w:rPr>
        <w:footnoteReference w:id="106"/>
      </w:r>
    </w:p>
    <w:p w14:paraId="543CA408" w14:textId="39904EBF" w:rsidR="00CB5190" w:rsidRDefault="000A4D24" w:rsidP="000A4D24">
      <w:r>
        <w:t xml:space="preserve">The libertarian </w:t>
      </w:r>
      <w:r w:rsidR="00875640">
        <w:t>think tank</w:t>
      </w:r>
      <w:r>
        <w:t xml:space="preserve"> CATO, is less equivocal, reporting that controlled choice had not had a positive effect on education outcomes – primarily (it seems) due to ongoing ‘white flight’ and antagonism towards the allocation model: </w:t>
      </w:r>
    </w:p>
    <w:p w14:paraId="3F29FA11" w14:textId="0269F524" w:rsidR="00CB5190" w:rsidRDefault="000A4D24" w:rsidP="00CB5190">
      <w:pPr>
        <w:ind w:left="720"/>
      </w:pPr>
      <w:r>
        <w:t xml:space="preserve">“A </w:t>
      </w:r>
      <w:r w:rsidRPr="0086054F">
        <w:t xml:space="preserve">review of controlled-choice plans in six large districts in </w:t>
      </w:r>
      <w:r w:rsidRPr="00206665">
        <w:rPr>
          <w:rFonts w:asciiTheme="majorHAnsi" w:hAnsiTheme="majorHAnsi" w:cstheme="majorHAnsi"/>
        </w:rPr>
        <w:t>North Carolina, Kentucky, and Florida</w:t>
      </w:r>
      <w:r w:rsidRPr="0086054F">
        <w:t xml:space="preserve"> shows considerable and ongoing higher-income and white losses in these districts. While other demographic forces cannot be ruled out (e.g., urban to suburban movement for reasons unrelated to schools), neither can the unpopularity of controlled choice. More important</w:t>
      </w:r>
      <w:r w:rsidR="00656CCC">
        <w:t>ly</w:t>
      </w:r>
      <w:r w:rsidRPr="0086054F">
        <w:t xml:space="preserve">, none of these districts </w:t>
      </w:r>
      <w:r w:rsidRPr="0086054F">
        <w:lastRenderedPageBreak/>
        <w:t>ha</w:t>
      </w:r>
      <w:r w:rsidR="00656CCC">
        <w:t>ve</w:t>
      </w:r>
      <w:r w:rsidRPr="0086054F">
        <w:t xml:space="preserve"> demonstrated significant closing of achievement gaps between higher and lower</w:t>
      </w:r>
      <w:r w:rsidR="00F77386">
        <w:t xml:space="preserve"> </w:t>
      </w:r>
      <w:r w:rsidRPr="0086054F">
        <w:t>income students, one of the main justifications for these plans.”</w:t>
      </w:r>
      <w:r w:rsidRPr="0086054F">
        <w:rPr>
          <w:rStyle w:val="FootnoteReference"/>
        </w:rPr>
        <w:footnoteReference w:id="107"/>
      </w:r>
      <w:r w:rsidRPr="0086054F">
        <w:t xml:space="preserve"> </w:t>
      </w:r>
    </w:p>
    <w:p w14:paraId="050FBD06" w14:textId="231E2606" w:rsidR="00B14880" w:rsidRDefault="000A4D24" w:rsidP="000A4D24">
      <w:r w:rsidRPr="0086054F">
        <w:t>The author concedes that scale maybe a</w:t>
      </w:r>
      <w:r w:rsidR="00C95938">
        <w:t>n i</w:t>
      </w:r>
      <w:r w:rsidRPr="0086054F">
        <w:t>ssue, suggesting that controlled choice works in smaller districts and/or where it is not controversial, but does not see any merit in a mandatory approach over a fully voluntary one. To support this argument</w:t>
      </w:r>
      <w:r w:rsidR="0092310C" w:rsidRPr="0086054F">
        <w:t>,</w:t>
      </w:r>
      <w:r w:rsidRPr="0086054F">
        <w:t xml:space="preserve"> he references an uncited study that </w:t>
      </w:r>
      <w:r w:rsidRPr="00DA3D77">
        <w:t>analy</w:t>
      </w:r>
      <w:r>
        <w:t>s</w:t>
      </w:r>
      <w:r w:rsidRPr="00DA3D77">
        <w:t>ed student test scores and socio</w:t>
      </w:r>
      <w:r w:rsidR="00115985">
        <w:t>-</w:t>
      </w:r>
      <w:r w:rsidRPr="00DA3D77">
        <w:t xml:space="preserve">economic status from three statewide databases and found that school economic integration had virtually no effect on </w:t>
      </w:r>
      <w:r>
        <w:t>math</w:t>
      </w:r>
      <w:r w:rsidR="21CFAC5D">
        <w:t>s</w:t>
      </w:r>
      <w:r w:rsidRPr="00DA3D77">
        <w:t xml:space="preserve"> or reading scores once individual socio</w:t>
      </w:r>
      <w:r w:rsidR="00115985">
        <w:t>-</w:t>
      </w:r>
      <w:r w:rsidRPr="00DA3D77">
        <w:t xml:space="preserve">economic status was </w:t>
      </w:r>
      <w:r w:rsidR="00781308">
        <w:t>considered</w:t>
      </w:r>
      <w:r>
        <w:t xml:space="preserve">. </w:t>
      </w:r>
    </w:p>
    <w:p w14:paraId="669C3D60" w14:textId="0939B5C1" w:rsidR="00BC3A1A" w:rsidRPr="00F81BDB" w:rsidRDefault="00402701" w:rsidP="000A4D24">
      <w:r>
        <w:t xml:space="preserve">However, in </w:t>
      </w:r>
      <w:r w:rsidRPr="00F81BDB">
        <w:rPr>
          <w:rFonts w:asciiTheme="majorHAnsi" w:hAnsiTheme="majorHAnsi" w:cstheme="majorHAnsi"/>
        </w:rPr>
        <w:t>Paris</w:t>
      </w:r>
      <w:r w:rsidR="00D96329" w:rsidRPr="00F81BDB">
        <w:t xml:space="preserve">, </w:t>
      </w:r>
      <w:r>
        <w:t xml:space="preserve">when </w:t>
      </w:r>
      <w:r w:rsidR="00D96329" w:rsidRPr="00F81BDB">
        <w:t xml:space="preserve">the two most prestigious public </w:t>
      </w:r>
      <w:r w:rsidR="00404AAB" w:rsidRPr="00F81BDB">
        <w:t>high schools</w:t>
      </w:r>
      <w:r w:rsidR="00D96329" w:rsidRPr="00F81BDB">
        <w:t xml:space="preserve"> </w:t>
      </w:r>
      <w:r w:rsidR="0077118D" w:rsidRPr="00F81BDB">
        <w:t xml:space="preserve">were brought into the </w:t>
      </w:r>
      <w:r w:rsidR="00B20928">
        <w:t xml:space="preserve">centralised allocation </w:t>
      </w:r>
      <w:r w:rsidR="00F023E9" w:rsidRPr="00F81BDB">
        <w:t>system</w:t>
      </w:r>
      <w:r w:rsidR="0077118D" w:rsidRPr="00F81BDB">
        <w:t xml:space="preserve"> </w:t>
      </w:r>
      <w:r w:rsidR="00404AAB" w:rsidRPr="00F81BDB">
        <w:t xml:space="preserve">in 2022, </w:t>
      </w:r>
      <w:r w:rsidR="00F023E9" w:rsidRPr="00F81BDB">
        <w:t xml:space="preserve">both the diversity and average educational level </w:t>
      </w:r>
      <w:r w:rsidR="00BC3A1A" w:rsidRPr="00F81BDB">
        <w:t>of those admitted were slightly higher than those of the previous cohort.</w:t>
      </w:r>
      <w:r w:rsidR="00BC3A1A" w:rsidRPr="00F81BDB">
        <w:rPr>
          <w:rStyle w:val="FootnoteReference"/>
        </w:rPr>
        <w:footnoteReference w:id="108"/>
      </w:r>
      <w:r w:rsidR="00F23FA0" w:rsidRPr="00F81BDB">
        <w:t xml:space="preserve"> </w:t>
      </w:r>
      <w:r w:rsidR="00125934" w:rsidRPr="00F81BDB">
        <w:t xml:space="preserve">More broadly, the introduction of controlled choice across Paris did not result in a ‘flight’ towards private schools and </w:t>
      </w:r>
      <w:r w:rsidR="00EC5538" w:rsidRPr="00F81BDB">
        <w:t xml:space="preserve">early evidence suggests there has been </w:t>
      </w:r>
      <w:r w:rsidR="00125934" w:rsidRPr="00F81BDB">
        <w:t>no significant deterioration of academic performance in comparison to private schools.</w:t>
      </w:r>
      <w:r w:rsidR="00125934" w:rsidRPr="00F81BDB">
        <w:rPr>
          <w:rStyle w:val="FootnoteReference"/>
        </w:rPr>
        <w:footnoteReference w:id="109"/>
      </w:r>
    </w:p>
    <w:p w14:paraId="7C39E064" w14:textId="20689862" w:rsidR="002506A3" w:rsidRDefault="000A4D24" w:rsidP="000A4D24">
      <w:r>
        <w:t xml:space="preserve">It is difficult to assess the validity of these findings without the opportunity to look at impact over time and to be clear on how the peer effects were isolated from other drivers. Certainly, modelling in Australia would suggest that trajectories of disadvantaged students’ growth improve significantly in more </w:t>
      </w:r>
      <w:r w:rsidR="00B14880">
        <w:t>socio-</w:t>
      </w:r>
      <w:r>
        <w:t>economically mixed school environments.</w:t>
      </w:r>
      <w:r>
        <w:rPr>
          <w:rStyle w:val="FootnoteReference"/>
        </w:rPr>
        <w:footnoteReference w:id="110"/>
      </w:r>
    </w:p>
    <w:p w14:paraId="209A448E" w14:textId="77777777" w:rsidR="000A4D24" w:rsidRDefault="000A4D24" w:rsidP="00E07876">
      <w:pPr>
        <w:pStyle w:val="Heading3"/>
      </w:pPr>
      <w:r>
        <w:t>Evidence base</w:t>
      </w:r>
    </w:p>
    <w:p w14:paraId="5944C072" w14:textId="167AD5E4" w:rsidR="000A4D24" w:rsidRPr="0086054F" w:rsidRDefault="00714C70" w:rsidP="000A4D24">
      <w:pPr>
        <w:rPr>
          <w:lang w:eastAsia="en-AU"/>
        </w:rPr>
      </w:pPr>
      <w:r>
        <w:rPr>
          <w:lang w:eastAsia="en-AU"/>
        </w:rPr>
        <w:t xml:space="preserve">The changes in countries like Sweden </w:t>
      </w:r>
      <w:r w:rsidR="00D766EC">
        <w:rPr>
          <w:lang w:eastAsia="en-AU"/>
        </w:rPr>
        <w:t>and the Netherlands are too recent to be able to analy</w:t>
      </w:r>
      <w:r w:rsidR="002E2140">
        <w:rPr>
          <w:lang w:eastAsia="en-AU"/>
        </w:rPr>
        <w:t>s</w:t>
      </w:r>
      <w:r w:rsidR="00D766EC">
        <w:rPr>
          <w:lang w:eastAsia="en-AU"/>
        </w:rPr>
        <w:t xml:space="preserve">e. OECD Education Director Andreas Schleicher </w:t>
      </w:r>
      <w:r w:rsidR="002E2140">
        <w:rPr>
          <w:lang w:eastAsia="en-AU"/>
        </w:rPr>
        <w:t xml:space="preserve">commended these examples to us as evidence of the effective application of </w:t>
      </w:r>
      <w:r w:rsidR="00D73EA9">
        <w:rPr>
          <w:lang w:eastAsia="en-AU"/>
        </w:rPr>
        <w:t xml:space="preserve">controlled choice, but we cannot find any studies </w:t>
      </w:r>
      <w:r w:rsidR="001F12ED">
        <w:rPr>
          <w:lang w:eastAsia="en-AU"/>
        </w:rPr>
        <w:t>as of yet</w:t>
      </w:r>
      <w:r w:rsidR="00D73EA9">
        <w:rPr>
          <w:lang w:eastAsia="en-AU"/>
        </w:rPr>
        <w:t xml:space="preserve"> that provide a strong evidence base.</w:t>
      </w:r>
      <w:r w:rsidR="00F4021A">
        <w:rPr>
          <w:lang w:eastAsia="en-AU"/>
        </w:rPr>
        <w:t xml:space="preserve"> Indeed, given the prevalence of preference matching, it is </w:t>
      </w:r>
      <w:r w:rsidR="002550DD">
        <w:rPr>
          <w:lang w:eastAsia="en-AU"/>
        </w:rPr>
        <w:t xml:space="preserve">surprising that there isn’t more research available on its impact on both diversity and education outcomes. As with lotteries, however, the challenge is that </w:t>
      </w:r>
      <w:r w:rsidR="00291FE4">
        <w:rPr>
          <w:lang w:eastAsia="en-AU"/>
        </w:rPr>
        <w:t>t</w:t>
      </w:r>
      <w:r w:rsidR="002550DD">
        <w:rPr>
          <w:lang w:eastAsia="en-AU"/>
        </w:rPr>
        <w:t xml:space="preserve">his intervention is </w:t>
      </w:r>
      <w:r w:rsidR="00D85AFC">
        <w:rPr>
          <w:lang w:eastAsia="en-AU"/>
        </w:rPr>
        <w:t xml:space="preserve">usually introduced at the district level, which makes getting access to data and reliable comparisons difficult. </w:t>
      </w:r>
    </w:p>
    <w:p w14:paraId="0F99D85F" w14:textId="751BD33B" w:rsidR="000A4D24" w:rsidRDefault="00464BBE" w:rsidP="00E07876">
      <w:pPr>
        <w:pStyle w:val="Heading3"/>
      </w:pPr>
      <w:r>
        <w:t>Transferability</w:t>
      </w:r>
    </w:p>
    <w:p w14:paraId="76A85BF1" w14:textId="5257B441" w:rsidR="00671B63" w:rsidRPr="00671B63" w:rsidRDefault="00530538" w:rsidP="00671B63">
      <w:pPr>
        <w:rPr>
          <w:lang w:eastAsia="en-AU"/>
        </w:rPr>
      </w:pPr>
      <w:r>
        <w:rPr>
          <w:noProof/>
        </w:rPr>
        <w:drawing>
          <wp:inline distT="0" distB="0" distL="0" distR="0" wp14:anchorId="33C3A96C" wp14:editId="30D0F93E">
            <wp:extent cx="5911535" cy="1733813"/>
            <wp:effectExtent l="0" t="0" r="0" b="0"/>
            <wp:docPr id="7" name="Picture 7" descr="Lists the dimensions of transferability to the Australian context, with a low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ists the dimensions of transferability to the Australian context, with a low level of transferability to Australia. "/>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911535" cy="1733813"/>
                    </a:xfrm>
                    <a:prstGeom prst="rect">
                      <a:avLst/>
                    </a:prstGeom>
                    <a:noFill/>
                  </pic:spPr>
                </pic:pic>
              </a:graphicData>
            </a:graphic>
          </wp:inline>
        </w:drawing>
      </w:r>
    </w:p>
    <w:p w14:paraId="0710A8FE" w14:textId="6E444416" w:rsidR="00225C57" w:rsidRDefault="00397FE6" w:rsidP="00397FE6">
      <w:pPr>
        <w:spacing w:after="160"/>
      </w:pPr>
      <w:r w:rsidRPr="00225C57">
        <w:t xml:space="preserve">In Australia, preference matching </w:t>
      </w:r>
      <w:r w:rsidR="00A06AC0">
        <w:t>for schools</w:t>
      </w:r>
      <w:r w:rsidRPr="00225C57">
        <w:t xml:space="preserve"> would be highly controversial and difficult to implement in a practical sense, particularly when the evidence is mixed and mostly from very different </w:t>
      </w:r>
      <w:r w:rsidRPr="00FB2E7E">
        <w:t xml:space="preserve">countries. </w:t>
      </w:r>
      <w:r w:rsidR="00FB2E7E" w:rsidRPr="00FB2E7E">
        <w:t>I</w:t>
      </w:r>
      <w:r w:rsidR="00FB2E7E">
        <w:t xml:space="preserve">n the Netherlands, </w:t>
      </w:r>
      <w:r w:rsidR="008050AA">
        <w:t xml:space="preserve">to minimise the negative reaction to curtailing school choice, it was framed as an initiative to </w:t>
      </w:r>
      <w:r w:rsidR="008050AA">
        <w:lastRenderedPageBreak/>
        <w:t>strengthen ties between schools and their local communities. This appeared to have some success.</w:t>
      </w:r>
      <w:r w:rsidR="001C63BB">
        <w:rPr>
          <w:rStyle w:val="FootnoteReference"/>
        </w:rPr>
        <w:footnoteReference w:id="111"/>
      </w:r>
      <w:r w:rsidR="008050AA">
        <w:t xml:space="preserve"> (It probably helped, too, that around 80</w:t>
      </w:r>
      <w:r w:rsidR="009F6B1B">
        <w:t xml:space="preserve"> per cent</w:t>
      </w:r>
      <w:r w:rsidR="008050AA">
        <w:t xml:space="preserve"> of students </w:t>
      </w:r>
      <w:r w:rsidR="00685B3B">
        <w:t>can</w:t>
      </w:r>
      <w:r w:rsidR="008050AA">
        <w:t xml:space="preserve"> enrol in one of their top-three preferred schools.) </w:t>
      </w:r>
      <w:r w:rsidR="008E1F99">
        <w:t xml:space="preserve">Preference matching seems to work best when it includes all or almost all schools – that is public schools and publicly funded </w:t>
      </w:r>
      <w:r w:rsidR="0035581F">
        <w:t>but</w:t>
      </w:r>
      <w:r w:rsidR="008E1F99">
        <w:t xml:space="preserve"> privately run schools. Where a significant minority of schools do not participate – such as in Paris or Sweden – the benefits are reduced. That said, 75-80</w:t>
      </w:r>
      <w:r w:rsidR="009F6B1B">
        <w:t xml:space="preserve"> per cent</w:t>
      </w:r>
      <w:r w:rsidR="00E81761">
        <w:t xml:space="preserve"> of students are placed in their first or second schools in these locations also.</w:t>
      </w:r>
    </w:p>
    <w:p w14:paraId="1A9E5B97" w14:textId="036BBB87" w:rsidR="00E50593" w:rsidRDefault="00BE00A3" w:rsidP="006707A6">
      <w:pPr>
        <w:rPr>
          <w:lang w:eastAsia="en-AU"/>
        </w:rPr>
      </w:pPr>
      <w:r>
        <w:t>Any effort to introduc</w:t>
      </w:r>
      <w:r w:rsidR="00E33405">
        <w:t>e controlled choice would</w:t>
      </w:r>
      <w:r w:rsidR="00704587" w:rsidRPr="00704587">
        <w:rPr>
          <w:lang w:eastAsia="en-AU"/>
        </w:rPr>
        <w:t xml:space="preserve"> </w:t>
      </w:r>
      <w:r w:rsidR="00704587" w:rsidRPr="00704587">
        <w:t xml:space="preserve">involve significant administrative costs and require investment in the development and governance of </w:t>
      </w:r>
      <w:r w:rsidR="00E50593">
        <w:t>the preference matching mechanism</w:t>
      </w:r>
      <w:r w:rsidR="00704587" w:rsidRPr="00704587">
        <w:t xml:space="preserve"> (which could vary around the country).</w:t>
      </w:r>
      <w:r w:rsidR="00E33405">
        <w:t xml:space="preserve"> </w:t>
      </w:r>
      <w:r w:rsidR="00397FE6" w:rsidRPr="00397FE6">
        <w:rPr>
          <w:lang w:eastAsia="en-AU"/>
        </w:rPr>
        <w:t xml:space="preserve">The most common algorithm in use is still contested, and there are issues around the extent to which schools’ ‘priorities can distort outcomes (even if parents’ strategies to game the system are overcome). Further, it would be difficult to scale outside the public system </w:t>
      </w:r>
      <w:r w:rsidR="0051651E">
        <w:rPr>
          <w:lang w:eastAsia="en-AU"/>
        </w:rPr>
        <w:t xml:space="preserve">(which the Parisian example demonstrates is essential </w:t>
      </w:r>
      <w:r w:rsidR="008E624A">
        <w:rPr>
          <w:lang w:eastAsia="en-AU"/>
        </w:rPr>
        <w:t xml:space="preserve">to truly address residualisation) </w:t>
      </w:r>
      <w:r w:rsidR="00397FE6" w:rsidRPr="00397FE6">
        <w:rPr>
          <w:lang w:eastAsia="en-AU"/>
        </w:rPr>
        <w:t xml:space="preserve">and beyond metro areas. </w:t>
      </w:r>
    </w:p>
    <w:p w14:paraId="4C37D0CB" w14:textId="0A3A9D86" w:rsidR="00397FE6" w:rsidRPr="00397FE6" w:rsidRDefault="00397FE6" w:rsidP="006707A6">
      <w:pPr>
        <w:rPr>
          <w:lang w:eastAsia="en-AU"/>
        </w:rPr>
      </w:pPr>
      <w:r w:rsidRPr="00397FE6">
        <w:rPr>
          <w:lang w:eastAsia="en-AU"/>
        </w:rPr>
        <w:t>The only upside is that it provid</w:t>
      </w:r>
      <w:r w:rsidR="00C95938">
        <w:rPr>
          <w:lang w:eastAsia="en-AU"/>
        </w:rPr>
        <w:t>e</w:t>
      </w:r>
      <w:r w:rsidRPr="00397FE6">
        <w:rPr>
          <w:lang w:eastAsia="en-AU"/>
        </w:rPr>
        <w:t xml:space="preserve">s a </w:t>
      </w:r>
      <w:r w:rsidR="00C95938">
        <w:rPr>
          <w:lang w:eastAsia="en-AU"/>
        </w:rPr>
        <w:t>d</w:t>
      </w:r>
      <w:r w:rsidRPr="00397FE6">
        <w:rPr>
          <w:lang w:eastAsia="en-AU"/>
        </w:rPr>
        <w:t xml:space="preserve">egree of choice for those who have no real prospect currently of accessing high-demand public schools, assuming that the schools’ selection powers are weak. </w:t>
      </w:r>
    </w:p>
    <w:p w14:paraId="1406D1B3" w14:textId="6FAE760A" w:rsidR="000A4D24" w:rsidRPr="0086054F" w:rsidRDefault="000A4D24" w:rsidP="000A4D24">
      <w:pPr>
        <w:spacing w:after="160"/>
        <w:rPr>
          <w:lang w:eastAsia="en-AU"/>
        </w:rPr>
      </w:pPr>
      <w:r w:rsidRPr="0086054F">
        <w:rPr>
          <w:lang w:eastAsia="en-AU"/>
        </w:rPr>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454943" w14:paraId="547230DC" w14:textId="77777777" w:rsidTr="00454943">
        <w:tc>
          <w:tcPr>
            <w:tcW w:w="9401" w:type="dxa"/>
            <w:tcBorders>
              <w:top w:val="single" w:sz="24" w:space="0" w:color="0070C0"/>
              <w:left w:val="nil"/>
              <w:bottom w:val="nil"/>
              <w:right w:val="nil"/>
            </w:tcBorders>
            <w:shd w:val="clear" w:color="auto" w:fill="E6E6E1" w:themeFill="accent5"/>
            <w:vAlign w:val="center"/>
          </w:tcPr>
          <w:p w14:paraId="39783ABD" w14:textId="0597A79B" w:rsidR="00454943" w:rsidRDefault="00454943" w:rsidP="00454943">
            <w:pPr>
              <w:pStyle w:val="Heading2"/>
              <w:spacing w:before="120" w:after="120" w:line="240" w:lineRule="auto"/>
              <w:ind w:left="578" w:hanging="578"/>
            </w:pPr>
            <w:bookmarkStart w:id="25" w:name="_Toc149052455"/>
            <w:r w:rsidRPr="00071CF6">
              <w:lastRenderedPageBreak/>
              <w:t>Financial</w:t>
            </w:r>
            <w:r>
              <w:t xml:space="preserve"> incentives</w:t>
            </w:r>
            <w:r w:rsidR="00C20597">
              <w:t xml:space="preserve"> to schools</w:t>
            </w:r>
            <w:bookmarkEnd w:id="25"/>
          </w:p>
        </w:tc>
      </w:tr>
      <w:tr w:rsidR="00454943" w14:paraId="371CD746" w14:textId="77777777" w:rsidTr="00454943">
        <w:tc>
          <w:tcPr>
            <w:tcW w:w="9401" w:type="dxa"/>
            <w:tcBorders>
              <w:top w:val="nil"/>
              <w:left w:val="nil"/>
              <w:bottom w:val="single" w:sz="4" w:space="0" w:color="0070C0"/>
              <w:right w:val="nil"/>
            </w:tcBorders>
            <w:shd w:val="clear" w:color="auto" w:fill="F2F2F2" w:themeFill="background1" w:themeFillShade="F2"/>
            <w:tcMar>
              <w:top w:w="113" w:type="dxa"/>
            </w:tcMar>
            <w:vAlign w:val="bottom"/>
          </w:tcPr>
          <w:p w14:paraId="3BC95DB6" w14:textId="77777777" w:rsidR="00454943" w:rsidRPr="00130948" w:rsidRDefault="00454943" w:rsidP="00454943">
            <w:r>
              <w:rPr>
                <w:noProof/>
              </w:rPr>
              <w:drawing>
                <wp:inline distT="0" distB="0" distL="0" distR="0" wp14:anchorId="687B6F32" wp14:editId="5BF69551">
                  <wp:extent cx="3530172" cy="275974"/>
                  <wp:effectExtent l="0" t="0" r="0" b="0"/>
                  <wp:docPr id="1780439603" name="Picture 17804396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39603" name="Picture 1780439603">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3530172" cy="275974"/>
                          </a:xfrm>
                          <a:prstGeom prst="rect">
                            <a:avLst/>
                          </a:prstGeom>
                        </pic:spPr>
                      </pic:pic>
                    </a:graphicData>
                  </a:graphic>
                </wp:inline>
              </w:drawing>
            </w:r>
          </w:p>
        </w:tc>
      </w:tr>
    </w:tbl>
    <w:p w14:paraId="541B7681" w14:textId="77777777" w:rsidR="0042400A" w:rsidRDefault="0042400A" w:rsidP="00077C8C">
      <w:pPr>
        <w:rPr>
          <w:lang w:eastAsia="en-AU"/>
        </w:rPr>
      </w:pPr>
    </w:p>
    <w:p w14:paraId="4A3EC4E7" w14:textId="23839D88" w:rsidR="00077C8C" w:rsidRPr="0086054F" w:rsidRDefault="00077C8C" w:rsidP="00077C8C">
      <w:pPr>
        <w:rPr>
          <w:lang w:eastAsia="en-AU"/>
        </w:rPr>
      </w:pPr>
      <w:r w:rsidRPr="0086054F">
        <w:rPr>
          <w:lang w:eastAsia="en-AU"/>
        </w:rPr>
        <w:t xml:space="preserve">Financial incentives encourage schools to </w:t>
      </w:r>
      <w:r w:rsidR="001C5150" w:rsidRPr="0086054F">
        <w:rPr>
          <w:lang w:eastAsia="en-AU"/>
        </w:rPr>
        <w:t>enrol</w:t>
      </w:r>
      <w:r w:rsidRPr="0086054F">
        <w:rPr>
          <w:lang w:eastAsia="en-AU"/>
        </w:rPr>
        <w:t xml:space="preserve"> disadvantaged students by providing extra funds to cover the educational expenses associated with meeting their greater educational needs</w:t>
      </w:r>
      <w:r w:rsidR="005361E8">
        <w:rPr>
          <w:lang w:eastAsia="en-AU"/>
        </w:rPr>
        <w:t>. This</w:t>
      </w:r>
      <w:r w:rsidR="00211FE7">
        <w:rPr>
          <w:lang w:eastAsia="en-AU"/>
        </w:rPr>
        <w:t xml:space="preserve"> </w:t>
      </w:r>
      <w:r w:rsidR="00DA3270">
        <w:rPr>
          <w:lang w:eastAsia="en-AU"/>
        </w:rPr>
        <w:t>enables the school to</w:t>
      </w:r>
      <w:r w:rsidR="00211FE7">
        <w:rPr>
          <w:lang w:eastAsia="en-AU"/>
        </w:rPr>
        <w:t xml:space="preserve"> </w:t>
      </w:r>
      <w:r w:rsidR="00D86C37">
        <w:rPr>
          <w:lang w:eastAsia="en-AU"/>
        </w:rPr>
        <w:t xml:space="preserve">support </w:t>
      </w:r>
      <w:r w:rsidR="009A75DC">
        <w:rPr>
          <w:lang w:eastAsia="en-AU"/>
        </w:rPr>
        <w:t>higher</w:t>
      </w:r>
      <w:r w:rsidR="00355B00">
        <w:rPr>
          <w:lang w:eastAsia="en-AU"/>
        </w:rPr>
        <w:t xml:space="preserve"> educational </w:t>
      </w:r>
      <w:r w:rsidR="00AD17A6">
        <w:rPr>
          <w:lang w:eastAsia="en-AU"/>
        </w:rPr>
        <w:t xml:space="preserve">growth and </w:t>
      </w:r>
      <w:r w:rsidR="00355B00">
        <w:rPr>
          <w:lang w:eastAsia="en-AU"/>
        </w:rPr>
        <w:t>outcomes</w:t>
      </w:r>
      <w:r w:rsidR="00AD17A6">
        <w:rPr>
          <w:lang w:eastAsia="en-AU"/>
        </w:rPr>
        <w:t xml:space="preserve"> </w:t>
      </w:r>
      <w:r w:rsidR="00DA3270">
        <w:rPr>
          <w:lang w:eastAsia="en-AU"/>
        </w:rPr>
        <w:t>for its students</w:t>
      </w:r>
      <w:r w:rsidR="00F22D1B">
        <w:rPr>
          <w:lang w:eastAsia="en-AU"/>
        </w:rPr>
        <w:t>,</w:t>
      </w:r>
      <w:r w:rsidR="0040233E">
        <w:rPr>
          <w:lang w:eastAsia="en-AU"/>
        </w:rPr>
        <w:t xml:space="preserve"> </w:t>
      </w:r>
      <w:r w:rsidR="005361E8">
        <w:rPr>
          <w:lang w:eastAsia="en-AU"/>
        </w:rPr>
        <w:t>making</w:t>
      </w:r>
      <w:r w:rsidR="00355B00">
        <w:rPr>
          <w:lang w:eastAsia="en-AU"/>
        </w:rPr>
        <w:t xml:space="preserve"> </w:t>
      </w:r>
      <w:r w:rsidR="00F22D1B">
        <w:rPr>
          <w:lang w:eastAsia="en-AU"/>
        </w:rPr>
        <w:t xml:space="preserve">it </w:t>
      </w:r>
      <w:r w:rsidR="00355B00">
        <w:rPr>
          <w:lang w:eastAsia="en-AU"/>
        </w:rPr>
        <w:t xml:space="preserve">more attractive to </w:t>
      </w:r>
      <w:r w:rsidR="00F22D1B">
        <w:rPr>
          <w:lang w:eastAsia="en-AU"/>
        </w:rPr>
        <w:t xml:space="preserve">a wider range of </w:t>
      </w:r>
      <w:r w:rsidR="00355B00">
        <w:rPr>
          <w:lang w:eastAsia="en-AU"/>
        </w:rPr>
        <w:t>families</w:t>
      </w:r>
      <w:r w:rsidR="005361E8">
        <w:rPr>
          <w:lang w:eastAsia="en-AU"/>
        </w:rPr>
        <w:t xml:space="preserve"> and teachers</w:t>
      </w:r>
      <w:r w:rsidR="00355B00">
        <w:rPr>
          <w:lang w:eastAsia="en-AU"/>
        </w:rPr>
        <w:t>.</w:t>
      </w:r>
    </w:p>
    <w:p w14:paraId="233BD4FC" w14:textId="61D2FAB1" w:rsidR="00397FE6" w:rsidRDefault="00884374" w:rsidP="00E477D7">
      <w:pPr>
        <w:pStyle w:val="Heading3"/>
      </w:pPr>
      <w:r>
        <w:t>Drivers and o</w:t>
      </w:r>
      <w:r w:rsidR="00397FE6">
        <w:t>bjectives</w:t>
      </w:r>
    </w:p>
    <w:p w14:paraId="2DEEA217" w14:textId="77B7B9EE" w:rsidR="00440286" w:rsidRPr="0086054F" w:rsidRDefault="001B35A5" w:rsidP="00440286">
      <w:pPr>
        <w:rPr>
          <w:lang w:eastAsia="en-AU"/>
        </w:rPr>
      </w:pPr>
      <w:r>
        <w:rPr>
          <w:lang w:eastAsia="en-AU"/>
        </w:rPr>
        <w:t>Financial incentives</w:t>
      </w:r>
      <w:r w:rsidR="006138BD">
        <w:rPr>
          <w:lang w:eastAsia="en-AU"/>
        </w:rPr>
        <w:t>, such as</w:t>
      </w:r>
      <w:r w:rsidR="00DD6826">
        <w:rPr>
          <w:lang w:eastAsia="en-AU"/>
        </w:rPr>
        <w:t xml:space="preserve"> </w:t>
      </w:r>
      <w:r w:rsidR="0064379B">
        <w:rPr>
          <w:lang w:eastAsia="en-AU"/>
        </w:rPr>
        <w:t xml:space="preserve">premiums </w:t>
      </w:r>
      <w:r w:rsidR="001119BD">
        <w:rPr>
          <w:lang w:eastAsia="en-AU"/>
        </w:rPr>
        <w:t xml:space="preserve">or loadings </w:t>
      </w:r>
      <w:r w:rsidR="006138BD">
        <w:rPr>
          <w:lang w:eastAsia="en-AU"/>
        </w:rPr>
        <w:t xml:space="preserve">that apply </w:t>
      </w:r>
      <w:r>
        <w:rPr>
          <w:lang w:eastAsia="en-AU"/>
        </w:rPr>
        <w:t xml:space="preserve">as part of or in addition to needs-based </w:t>
      </w:r>
      <w:r w:rsidR="00DD6826">
        <w:rPr>
          <w:lang w:eastAsia="en-AU"/>
        </w:rPr>
        <w:t>school funding models</w:t>
      </w:r>
      <w:r w:rsidR="001119BD">
        <w:rPr>
          <w:lang w:eastAsia="en-AU"/>
        </w:rPr>
        <w:t xml:space="preserve">, </w:t>
      </w:r>
      <w:r w:rsidR="008301C5">
        <w:rPr>
          <w:lang w:eastAsia="en-AU"/>
        </w:rPr>
        <w:t xml:space="preserve">can work </w:t>
      </w:r>
      <w:r w:rsidR="002E3A8D">
        <w:t xml:space="preserve">to reduce </w:t>
      </w:r>
      <w:r w:rsidR="001119BD">
        <w:t xml:space="preserve">or avoid </w:t>
      </w:r>
      <w:r w:rsidR="002E3A8D">
        <w:t>concentrations of disadvantage</w:t>
      </w:r>
      <w:r w:rsidR="003649D6">
        <w:t xml:space="preserve"> and their effects.</w:t>
      </w:r>
      <w:r w:rsidR="00C814FC">
        <w:t xml:space="preserve"> </w:t>
      </w:r>
      <w:r w:rsidR="003649D6">
        <w:t xml:space="preserve">Such </w:t>
      </w:r>
      <w:r w:rsidR="000661C6">
        <w:t xml:space="preserve">objectives </w:t>
      </w:r>
      <w:r w:rsidR="003649D6">
        <w:t xml:space="preserve">derive from a combination of </w:t>
      </w:r>
      <w:r w:rsidR="001D485F">
        <w:t xml:space="preserve">economic, </w:t>
      </w:r>
      <w:r w:rsidR="00F15832">
        <w:t xml:space="preserve">educational, </w:t>
      </w:r>
      <w:r w:rsidR="001D485F">
        <w:t>and</w:t>
      </w:r>
      <w:r w:rsidR="000661C6">
        <w:t xml:space="preserve"> social policy </w:t>
      </w:r>
      <w:r w:rsidR="00722AF0">
        <w:t>considerations</w:t>
      </w:r>
      <w:r w:rsidR="000661C6">
        <w:t xml:space="preserve">. This policy intervention </w:t>
      </w:r>
      <w:r w:rsidR="008567B3">
        <w:t xml:space="preserve">generally holds </w:t>
      </w:r>
      <w:r w:rsidR="00761A76">
        <w:t xml:space="preserve">relatively strong </w:t>
      </w:r>
      <w:r w:rsidR="002E3A8D">
        <w:t>public support</w:t>
      </w:r>
      <w:r w:rsidR="000661C6">
        <w:t xml:space="preserve"> </w:t>
      </w:r>
      <w:r w:rsidR="0028318C">
        <w:t xml:space="preserve">based on a </w:t>
      </w:r>
      <w:r w:rsidR="00EB1DC5">
        <w:t>perception of it</w:t>
      </w:r>
      <w:r w:rsidR="00944CDB">
        <w:t xml:space="preserve"> being</w:t>
      </w:r>
      <w:r w:rsidR="00EB1DC5">
        <w:t xml:space="preserve"> </w:t>
      </w:r>
      <w:r w:rsidR="00113203">
        <w:t>“fair” or grounded in</w:t>
      </w:r>
      <w:r w:rsidR="000661C6">
        <w:t xml:space="preserve"> “common sense</w:t>
      </w:r>
      <w:r w:rsidR="00056401">
        <w:t>”</w:t>
      </w:r>
      <w:r w:rsidR="000661C6">
        <w:t>.</w:t>
      </w:r>
      <w:r w:rsidR="00B450B3">
        <w:rPr>
          <w:rStyle w:val="FootnoteReference"/>
        </w:rPr>
        <w:footnoteReference w:id="112"/>
      </w:r>
      <w:r w:rsidR="00956A50">
        <w:t xml:space="preserve"> </w:t>
      </w:r>
    </w:p>
    <w:p w14:paraId="645B6B70" w14:textId="4F3139F7" w:rsidR="00397FE6" w:rsidRDefault="00397FE6" w:rsidP="00E477D7">
      <w:pPr>
        <w:pStyle w:val="Heading3"/>
      </w:pPr>
      <w:r>
        <w:t xml:space="preserve">Operation and </w:t>
      </w:r>
      <w:r w:rsidR="002942E7">
        <w:t>locations</w:t>
      </w:r>
    </w:p>
    <w:p w14:paraId="14657F29" w14:textId="688CC1E0" w:rsidR="00E00F71" w:rsidRPr="0086054F" w:rsidRDefault="00620804" w:rsidP="00E00F71">
      <w:pPr>
        <w:rPr>
          <w:lang w:eastAsia="en-AU"/>
        </w:rPr>
      </w:pPr>
      <w:r w:rsidRPr="002942E7">
        <w:t>Financial</w:t>
      </w:r>
      <w:r w:rsidR="002F1A0F" w:rsidRPr="002942E7">
        <w:t xml:space="preserve"> incentives are used </w:t>
      </w:r>
      <w:r w:rsidRPr="002942E7">
        <w:t>across the world</w:t>
      </w:r>
      <w:r w:rsidR="009D17BC" w:rsidRPr="002942E7">
        <w:t xml:space="preserve"> in similar ways</w:t>
      </w:r>
      <w:r w:rsidR="002942E7">
        <w:t xml:space="preserve">. They </w:t>
      </w:r>
      <w:r w:rsidR="00D146F5" w:rsidRPr="0086054F">
        <w:rPr>
          <w:lang w:eastAsia="en-AU"/>
        </w:rPr>
        <w:t xml:space="preserve">are provided to schools by </w:t>
      </w:r>
      <w:r w:rsidR="00A421C3">
        <w:rPr>
          <w:lang w:eastAsia="en-AU"/>
        </w:rPr>
        <w:t xml:space="preserve">one or more </w:t>
      </w:r>
      <w:r w:rsidR="008210C4">
        <w:rPr>
          <w:lang w:eastAsia="en-AU"/>
        </w:rPr>
        <w:t xml:space="preserve">education </w:t>
      </w:r>
      <w:r w:rsidR="00A421C3">
        <w:rPr>
          <w:lang w:eastAsia="en-AU"/>
        </w:rPr>
        <w:t>authorities (</w:t>
      </w:r>
      <w:r w:rsidR="00BB3C6C">
        <w:rPr>
          <w:lang w:eastAsia="en-AU"/>
        </w:rPr>
        <w:t>i.e.,</w:t>
      </w:r>
      <w:r w:rsidR="00A421C3">
        <w:rPr>
          <w:lang w:eastAsia="en-AU"/>
        </w:rPr>
        <w:t xml:space="preserve"> federal government, state government and/or local district</w:t>
      </w:r>
      <w:r w:rsidR="00086CFC">
        <w:rPr>
          <w:lang w:eastAsia="en-AU"/>
        </w:rPr>
        <w:t>/</w:t>
      </w:r>
      <w:r w:rsidR="00D146F5" w:rsidRPr="0086054F">
        <w:rPr>
          <w:lang w:eastAsia="en-AU"/>
        </w:rPr>
        <w:t>authority</w:t>
      </w:r>
      <w:r w:rsidR="00A421C3">
        <w:rPr>
          <w:lang w:eastAsia="en-AU"/>
        </w:rPr>
        <w:t>)</w:t>
      </w:r>
      <w:r w:rsidR="00D146F5" w:rsidRPr="0086054F">
        <w:rPr>
          <w:lang w:eastAsia="en-AU"/>
        </w:rPr>
        <w:t xml:space="preserve"> </w:t>
      </w:r>
      <w:r w:rsidR="00711B08">
        <w:rPr>
          <w:lang w:eastAsia="en-AU"/>
        </w:rPr>
        <w:t>in the form of</w:t>
      </w:r>
      <w:r w:rsidR="00D146F5" w:rsidRPr="0086054F">
        <w:rPr>
          <w:lang w:eastAsia="en-AU"/>
        </w:rPr>
        <w:t xml:space="preserve"> additional funding </w:t>
      </w:r>
      <w:r w:rsidR="006470EC">
        <w:rPr>
          <w:lang w:eastAsia="en-AU"/>
        </w:rPr>
        <w:t>aligned</w:t>
      </w:r>
      <w:r w:rsidR="00D22C36">
        <w:rPr>
          <w:lang w:eastAsia="en-AU"/>
        </w:rPr>
        <w:t xml:space="preserve"> to</w:t>
      </w:r>
      <w:r w:rsidR="00D146F5" w:rsidRPr="0086054F">
        <w:rPr>
          <w:lang w:eastAsia="en-AU"/>
        </w:rPr>
        <w:t xml:space="preserve"> the number or proportion of disadvantaged students</w:t>
      </w:r>
      <w:r w:rsidR="00EF5073">
        <w:rPr>
          <w:lang w:eastAsia="en-AU"/>
        </w:rPr>
        <w:t xml:space="preserve"> and</w:t>
      </w:r>
      <w:r w:rsidR="006470EC">
        <w:rPr>
          <w:lang w:eastAsia="en-AU"/>
        </w:rPr>
        <w:t>/or</w:t>
      </w:r>
      <w:r w:rsidR="008C7F7E">
        <w:rPr>
          <w:lang w:eastAsia="en-AU"/>
        </w:rPr>
        <w:t xml:space="preserve"> </w:t>
      </w:r>
      <w:r w:rsidR="00EF5073">
        <w:rPr>
          <w:lang w:eastAsia="en-AU"/>
        </w:rPr>
        <w:t>the level of this disadvantage</w:t>
      </w:r>
      <w:r w:rsidR="00D146F5" w:rsidRPr="0086054F">
        <w:rPr>
          <w:lang w:eastAsia="en-AU"/>
        </w:rPr>
        <w:t>. School systems define disadvantage in different ways, such as eligibility for free school lunch</w:t>
      </w:r>
      <w:r w:rsidR="008210C4">
        <w:rPr>
          <w:lang w:eastAsia="en-AU"/>
        </w:rPr>
        <w:t xml:space="preserve"> (in the UK and US)</w:t>
      </w:r>
      <w:r w:rsidR="00D146F5" w:rsidRPr="0086054F">
        <w:rPr>
          <w:lang w:eastAsia="en-AU"/>
        </w:rPr>
        <w:t>, or a combination of SES</w:t>
      </w:r>
      <w:r w:rsidR="00947ABD">
        <w:rPr>
          <w:lang w:eastAsia="en-AU"/>
        </w:rPr>
        <w:t xml:space="preserve">, language, </w:t>
      </w:r>
      <w:r w:rsidR="00EA6D6F">
        <w:rPr>
          <w:lang w:eastAsia="en-AU"/>
        </w:rPr>
        <w:t xml:space="preserve">cultural </w:t>
      </w:r>
      <w:r w:rsidR="00AC249A">
        <w:rPr>
          <w:lang w:eastAsia="en-AU"/>
        </w:rPr>
        <w:t>background</w:t>
      </w:r>
      <w:r w:rsidR="00D37AEE">
        <w:rPr>
          <w:lang w:eastAsia="en-AU"/>
        </w:rPr>
        <w:t xml:space="preserve"> and</w:t>
      </w:r>
      <w:r w:rsidR="00EA6D6F">
        <w:rPr>
          <w:lang w:eastAsia="en-AU"/>
        </w:rPr>
        <w:t xml:space="preserve"> </w:t>
      </w:r>
      <w:r w:rsidR="00947ABD">
        <w:rPr>
          <w:lang w:eastAsia="en-AU"/>
        </w:rPr>
        <w:t>disabilit</w:t>
      </w:r>
      <w:r w:rsidR="00B73E5E">
        <w:rPr>
          <w:lang w:eastAsia="en-AU"/>
        </w:rPr>
        <w:t>y</w:t>
      </w:r>
      <w:r w:rsidR="004F0467">
        <w:rPr>
          <w:lang w:eastAsia="en-AU"/>
        </w:rPr>
        <w:t xml:space="preserve"> status</w:t>
      </w:r>
      <w:r w:rsidR="00EA6D6F">
        <w:rPr>
          <w:lang w:eastAsia="en-AU"/>
        </w:rPr>
        <w:t xml:space="preserve"> </w:t>
      </w:r>
      <w:r w:rsidR="00703050">
        <w:rPr>
          <w:lang w:eastAsia="en-AU"/>
        </w:rPr>
        <w:t xml:space="preserve">(Australia, the UK and others) </w:t>
      </w:r>
      <w:r w:rsidR="00D37AEE">
        <w:rPr>
          <w:lang w:eastAsia="en-AU"/>
        </w:rPr>
        <w:t>and/or</w:t>
      </w:r>
      <w:r w:rsidR="00EA6D6F">
        <w:rPr>
          <w:lang w:eastAsia="en-AU"/>
        </w:rPr>
        <w:t xml:space="preserve"> </w:t>
      </w:r>
      <w:r w:rsidR="00D146F5" w:rsidRPr="0086054F">
        <w:rPr>
          <w:lang w:eastAsia="en-AU"/>
        </w:rPr>
        <w:t>indicators</w:t>
      </w:r>
      <w:r w:rsidR="008210C4">
        <w:rPr>
          <w:lang w:eastAsia="en-AU"/>
        </w:rPr>
        <w:t xml:space="preserve"> </w:t>
      </w:r>
      <w:r w:rsidR="00A13119">
        <w:rPr>
          <w:lang w:eastAsia="en-AU"/>
        </w:rPr>
        <w:t>of relative need</w:t>
      </w:r>
      <w:r w:rsidR="00DD58D1">
        <w:rPr>
          <w:lang w:eastAsia="en-AU"/>
        </w:rPr>
        <w:t xml:space="preserve"> for additional academic support</w:t>
      </w:r>
      <w:r w:rsidR="00A13119">
        <w:rPr>
          <w:lang w:eastAsia="en-AU"/>
        </w:rPr>
        <w:t xml:space="preserve"> </w:t>
      </w:r>
      <w:r w:rsidR="008210C4">
        <w:rPr>
          <w:lang w:eastAsia="en-AU"/>
        </w:rPr>
        <w:t>(</w:t>
      </w:r>
      <w:r w:rsidR="00D92F30" w:rsidRPr="002B20F4">
        <w:rPr>
          <w:rFonts w:asciiTheme="minorHAnsi" w:hAnsiTheme="minorHAnsi" w:cstheme="minorHAnsi"/>
          <w:lang w:eastAsia="en-AU"/>
        </w:rPr>
        <w:t>Hong Kong and Chile</w:t>
      </w:r>
      <w:r w:rsidR="00D92F30">
        <w:rPr>
          <w:lang w:eastAsia="en-AU"/>
        </w:rPr>
        <w:t>)</w:t>
      </w:r>
      <w:r w:rsidR="00D146F5" w:rsidRPr="0086054F">
        <w:rPr>
          <w:lang w:eastAsia="en-AU"/>
        </w:rPr>
        <w:t>.</w:t>
      </w:r>
      <w:r w:rsidR="004B168F" w:rsidRPr="0086054F">
        <w:rPr>
          <w:lang w:eastAsia="en-AU"/>
        </w:rPr>
        <w:t xml:space="preserve"> </w:t>
      </w:r>
      <w:r w:rsidR="00936B09" w:rsidRPr="0086054F">
        <w:rPr>
          <w:lang w:eastAsia="en-AU"/>
        </w:rPr>
        <w:t xml:space="preserve">The </w:t>
      </w:r>
      <w:r w:rsidR="0026032B">
        <w:rPr>
          <w:lang w:eastAsia="en-AU"/>
        </w:rPr>
        <w:t>funding</w:t>
      </w:r>
      <w:r w:rsidR="00936B09" w:rsidRPr="0086054F">
        <w:rPr>
          <w:lang w:eastAsia="en-AU"/>
        </w:rPr>
        <w:t xml:space="preserve"> can be</w:t>
      </w:r>
      <w:r w:rsidR="00941C4D">
        <w:rPr>
          <w:lang w:eastAsia="en-AU"/>
        </w:rPr>
        <w:t xml:space="preserve"> an amount that is calibrated to the difference in degree of disadvantage using a single metric, or a combination of ‘loadings’ that relate to different dimensions of disadvantage</w:t>
      </w:r>
      <w:r w:rsidR="00BC64DF">
        <w:rPr>
          <w:lang w:eastAsia="en-AU"/>
        </w:rPr>
        <w:t xml:space="preserve">. </w:t>
      </w:r>
      <w:r w:rsidR="00E00F71" w:rsidRPr="0086054F">
        <w:rPr>
          <w:lang w:eastAsia="en-AU"/>
        </w:rPr>
        <w:t>In federal or devolved systems, the forms can differ widely between school systems (e</w:t>
      </w:r>
      <w:r w:rsidR="002D1C5E">
        <w:rPr>
          <w:lang w:eastAsia="en-AU"/>
        </w:rPr>
        <w:t>.g.</w:t>
      </w:r>
      <w:r w:rsidR="007918AD">
        <w:rPr>
          <w:lang w:eastAsia="en-AU"/>
        </w:rPr>
        <w:t>,</w:t>
      </w:r>
      <w:r w:rsidR="00E00F71" w:rsidRPr="0086054F">
        <w:rPr>
          <w:lang w:eastAsia="en-AU"/>
        </w:rPr>
        <w:t xml:space="preserve"> between states and school districts in the US). </w:t>
      </w:r>
    </w:p>
    <w:p w14:paraId="476ED33E" w14:textId="291F14EF" w:rsidR="00E00F71" w:rsidRPr="0086054F" w:rsidRDefault="00E00F71" w:rsidP="00E00F71">
      <w:pPr>
        <w:rPr>
          <w:lang w:eastAsia="en-AU"/>
        </w:rPr>
      </w:pPr>
      <w:r w:rsidRPr="0086054F">
        <w:rPr>
          <w:lang w:eastAsia="en-AU"/>
        </w:rPr>
        <w:t xml:space="preserve">In </w:t>
      </w:r>
      <w:r w:rsidR="001D5A42" w:rsidRPr="0078332F">
        <w:rPr>
          <w:rFonts w:asciiTheme="majorHAnsi" w:hAnsiTheme="majorHAnsi" w:cstheme="majorHAnsi"/>
          <w:lang w:eastAsia="en-AU"/>
        </w:rPr>
        <w:t>England</w:t>
      </w:r>
      <w:r w:rsidRPr="0086054F">
        <w:rPr>
          <w:lang w:eastAsia="en-AU"/>
        </w:rPr>
        <w:t xml:space="preserve">, Pupil Premiums </w:t>
      </w:r>
      <w:r w:rsidR="004A68D3" w:rsidRPr="0086054F">
        <w:rPr>
          <w:lang w:eastAsia="en-AU"/>
        </w:rPr>
        <w:t>were introduced in 2011 and involved</w:t>
      </w:r>
      <w:r w:rsidR="00DE42B8" w:rsidRPr="0086054F">
        <w:rPr>
          <w:lang w:eastAsia="en-AU"/>
        </w:rPr>
        <w:t xml:space="preserve"> an annual </w:t>
      </w:r>
      <w:r w:rsidR="00962327">
        <w:rPr>
          <w:lang w:eastAsia="en-AU"/>
        </w:rPr>
        <w:t xml:space="preserve">additional </w:t>
      </w:r>
      <w:r w:rsidR="00DE42B8" w:rsidRPr="0086054F">
        <w:rPr>
          <w:lang w:eastAsia="en-AU"/>
        </w:rPr>
        <w:t xml:space="preserve">allocation of funding to state-funded schools </w:t>
      </w:r>
      <w:r w:rsidR="00031D4B">
        <w:rPr>
          <w:lang w:eastAsia="en-AU"/>
        </w:rPr>
        <w:t xml:space="preserve">for each qualifying student (eligible for </w:t>
      </w:r>
      <w:r w:rsidR="00DE42B8" w:rsidRPr="0086054F">
        <w:rPr>
          <w:lang w:eastAsia="en-AU"/>
        </w:rPr>
        <w:t>free school meals</w:t>
      </w:r>
      <w:r w:rsidR="002C3AD8">
        <w:rPr>
          <w:lang w:eastAsia="en-AU"/>
        </w:rPr>
        <w:t xml:space="preserve"> or in state care</w:t>
      </w:r>
      <w:r w:rsidR="00DE42B8" w:rsidRPr="0086054F">
        <w:rPr>
          <w:lang w:eastAsia="en-AU"/>
        </w:rPr>
        <w:t>).</w:t>
      </w:r>
      <w:r w:rsidR="007F079E">
        <w:rPr>
          <w:rStyle w:val="FootnoteReference"/>
          <w:lang w:eastAsia="en-AU"/>
        </w:rPr>
        <w:footnoteReference w:id="113"/>
      </w:r>
      <w:r w:rsidR="00DE42B8" w:rsidRPr="0086054F">
        <w:rPr>
          <w:lang w:eastAsia="en-AU"/>
        </w:rPr>
        <w:t xml:space="preserve"> </w:t>
      </w:r>
      <w:r w:rsidR="005026A7">
        <w:rPr>
          <w:lang w:eastAsia="en-AU"/>
        </w:rPr>
        <w:t>Th</w:t>
      </w:r>
      <w:r w:rsidR="00136E54">
        <w:rPr>
          <w:lang w:eastAsia="en-AU"/>
        </w:rPr>
        <w:t xml:space="preserve">is additional funding </w:t>
      </w:r>
      <w:r w:rsidR="002C6583">
        <w:rPr>
          <w:lang w:eastAsia="en-AU"/>
        </w:rPr>
        <w:t>is</w:t>
      </w:r>
      <w:r w:rsidR="005026A7">
        <w:rPr>
          <w:lang w:eastAsia="en-AU"/>
        </w:rPr>
        <w:t xml:space="preserve"> provided </w:t>
      </w:r>
      <w:r w:rsidR="002B1CC1">
        <w:rPr>
          <w:lang w:eastAsia="en-AU"/>
        </w:rPr>
        <w:t xml:space="preserve">to schools or multi-academy </w:t>
      </w:r>
      <w:r w:rsidR="00B942C3">
        <w:rPr>
          <w:lang w:eastAsia="en-AU"/>
        </w:rPr>
        <w:t xml:space="preserve">trusts </w:t>
      </w:r>
      <w:r w:rsidR="002D1C5E">
        <w:rPr>
          <w:lang w:eastAsia="en-AU"/>
        </w:rPr>
        <w:t>(MATs)</w:t>
      </w:r>
      <w:r w:rsidR="00B942C3">
        <w:rPr>
          <w:lang w:eastAsia="en-AU"/>
        </w:rPr>
        <w:t xml:space="preserve"> and</w:t>
      </w:r>
      <w:r w:rsidR="002B1CC1">
        <w:rPr>
          <w:lang w:eastAsia="en-AU"/>
        </w:rPr>
        <w:t xml:space="preserve"> can be combined with other funding to be used</w:t>
      </w:r>
      <w:r w:rsidR="004A750E">
        <w:rPr>
          <w:lang w:eastAsia="en-AU"/>
        </w:rPr>
        <w:t xml:space="preserve"> </w:t>
      </w:r>
      <w:r w:rsidR="00A230CF">
        <w:rPr>
          <w:lang w:eastAsia="en-AU"/>
        </w:rPr>
        <w:t>in the</w:t>
      </w:r>
      <w:r w:rsidR="004A750E">
        <w:rPr>
          <w:lang w:eastAsia="en-AU"/>
        </w:rPr>
        <w:t xml:space="preserve"> most effective</w:t>
      </w:r>
      <w:r w:rsidR="00A230CF">
        <w:rPr>
          <w:lang w:eastAsia="en-AU"/>
        </w:rPr>
        <w:t xml:space="preserve"> way –</w:t>
      </w:r>
      <w:r w:rsidR="00093F91">
        <w:rPr>
          <w:lang w:eastAsia="en-AU"/>
        </w:rPr>
        <w:t xml:space="preserve"> </w:t>
      </w:r>
      <w:r w:rsidR="004A750E">
        <w:rPr>
          <w:lang w:eastAsia="en-AU"/>
        </w:rPr>
        <w:t xml:space="preserve">such as investing in additional professional learning for teachers, recruiting additional teachers, or </w:t>
      </w:r>
      <w:r w:rsidR="001D175A">
        <w:rPr>
          <w:lang w:eastAsia="en-AU"/>
        </w:rPr>
        <w:t>remedial tuition</w:t>
      </w:r>
      <w:r w:rsidR="00792BDD">
        <w:rPr>
          <w:lang w:eastAsia="en-AU"/>
        </w:rPr>
        <w:t xml:space="preserve">. </w:t>
      </w:r>
      <w:r w:rsidR="00EB5D66">
        <w:rPr>
          <w:lang w:eastAsia="en-AU"/>
        </w:rPr>
        <w:t>As a condition of funding, s</w:t>
      </w:r>
      <w:r w:rsidR="00792BDD">
        <w:rPr>
          <w:lang w:eastAsia="en-AU"/>
        </w:rPr>
        <w:t xml:space="preserve">chools/MATs must articulate </w:t>
      </w:r>
      <w:r w:rsidR="00BE0103">
        <w:rPr>
          <w:lang w:eastAsia="en-AU"/>
        </w:rPr>
        <w:t xml:space="preserve">how their strategy for using the </w:t>
      </w:r>
      <w:r w:rsidR="006A2923">
        <w:rPr>
          <w:lang w:eastAsia="en-AU"/>
        </w:rPr>
        <w:t xml:space="preserve">Pupil Premium </w:t>
      </w:r>
      <w:r w:rsidR="00BE0103">
        <w:rPr>
          <w:lang w:eastAsia="en-AU"/>
        </w:rPr>
        <w:t xml:space="preserve">contributes to improving the educational outcomes of </w:t>
      </w:r>
      <w:r w:rsidR="00C050A2">
        <w:rPr>
          <w:lang w:eastAsia="en-AU"/>
        </w:rPr>
        <w:t>the</w:t>
      </w:r>
      <w:r w:rsidR="00A230CF">
        <w:rPr>
          <w:lang w:eastAsia="en-AU"/>
        </w:rPr>
        <w:t xml:space="preserve"> qualifying</w:t>
      </w:r>
      <w:r w:rsidR="00C050A2">
        <w:rPr>
          <w:lang w:eastAsia="en-AU"/>
        </w:rPr>
        <w:t xml:space="preserve"> students, with a strong focus on learning gain. </w:t>
      </w:r>
      <w:r w:rsidR="00A22597">
        <w:rPr>
          <w:lang w:eastAsia="en-AU"/>
        </w:rPr>
        <w:t xml:space="preserve">Pupil Premiums complement </w:t>
      </w:r>
      <w:r w:rsidR="00277B73">
        <w:rPr>
          <w:lang w:eastAsia="en-AU"/>
        </w:rPr>
        <w:t xml:space="preserve">a </w:t>
      </w:r>
      <w:r w:rsidR="00A22597">
        <w:rPr>
          <w:lang w:eastAsia="en-AU"/>
        </w:rPr>
        <w:t>needs-based</w:t>
      </w:r>
      <w:r w:rsidR="00C27D86">
        <w:rPr>
          <w:lang w:eastAsia="en-AU"/>
        </w:rPr>
        <w:t>, weighted</w:t>
      </w:r>
      <w:r w:rsidR="00A22597">
        <w:rPr>
          <w:lang w:eastAsia="en-AU"/>
        </w:rPr>
        <w:t xml:space="preserve"> funding system</w:t>
      </w:r>
      <w:r w:rsidR="00C27D86">
        <w:rPr>
          <w:lang w:eastAsia="en-AU"/>
        </w:rPr>
        <w:t xml:space="preserve"> </w:t>
      </w:r>
      <w:r w:rsidR="00277B73">
        <w:rPr>
          <w:lang w:eastAsia="en-AU"/>
        </w:rPr>
        <w:t xml:space="preserve">to </w:t>
      </w:r>
      <w:r w:rsidR="00A230CF">
        <w:rPr>
          <w:lang w:eastAsia="en-AU"/>
        </w:rPr>
        <w:t xml:space="preserve">further </w:t>
      </w:r>
      <w:r w:rsidR="00691855">
        <w:rPr>
          <w:lang w:eastAsia="en-AU"/>
        </w:rPr>
        <w:t>increase</w:t>
      </w:r>
      <w:r w:rsidR="007D29DA">
        <w:rPr>
          <w:lang w:eastAsia="en-AU"/>
        </w:rPr>
        <w:t xml:space="preserve"> funding for disadvantage</w:t>
      </w:r>
      <w:r w:rsidR="00691855">
        <w:rPr>
          <w:lang w:eastAsia="en-AU"/>
        </w:rPr>
        <w:t>d students</w:t>
      </w:r>
      <w:r w:rsidR="007D29DA">
        <w:rPr>
          <w:lang w:eastAsia="en-AU"/>
        </w:rPr>
        <w:t>.</w:t>
      </w:r>
      <w:r w:rsidR="00277B73">
        <w:rPr>
          <w:lang w:eastAsia="en-AU"/>
        </w:rPr>
        <w:t xml:space="preserve"> </w:t>
      </w:r>
    </w:p>
    <w:p w14:paraId="6391EB62" w14:textId="049994D7" w:rsidR="00F41C53" w:rsidRPr="0086054F" w:rsidRDefault="00F41C53" w:rsidP="00E00F71">
      <w:pPr>
        <w:rPr>
          <w:lang w:eastAsia="en-AU"/>
        </w:rPr>
      </w:pPr>
      <w:r w:rsidRPr="0086054F">
        <w:rPr>
          <w:lang w:eastAsia="en-AU"/>
        </w:rPr>
        <w:t xml:space="preserve">In </w:t>
      </w:r>
      <w:r w:rsidRPr="005137DF">
        <w:rPr>
          <w:rFonts w:asciiTheme="majorHAnsi" w:hAnsiTheme="majorHAnsi" w:cstheme="majorHAnsi"/>
          <w:lang w:eastAsia="en-AU"/>
        </w:rPr>
        <w:t>Hong Kong</w:t>
      </w:r>
      <w:r w:rsidRPr="0086054F">
        <w:rPr>
          <w:lang w:eastAsia="en-AU"/>
        </w:rPr>
        <w:t xml:space="preserve">, </w:t>
      </w:r>
      <w:r w:rsidR="000577F6" w:rsidRPr="0086054F">
        <w:rPr>
          <w:lang w:eastAsia="en-AU"/>
        </w:rPr>
        <w:t>additional r</w:t>
      </w:r>
      <w:r w:rsidR="0030139B" w:rsidRPr="0086054F">
        <w:rPr>
          <w:lang w:eastAsia="en-AU"/>
        </w:rPr>
        <w:t>e</w:t>
      </w:r>
      <w:r w:rsidR="000577F6" w:rsidRPr="0086054F">
        <w:rPr>
          <w:lang w:eastAsia="en-AU"/>
        </w:rPr>
        <w:t xml:space="preserve">sources are provided to schools </w:t>
      </w:r>
      <w:r w:rsidR="00A965CA" w:rsidRPr="0086054F">
        <w:rPr>
          <w:lang w:eastAsia="en-AU"/>
        </w:rPr>
        <w:t>to support</w:t>
      </w:r>
      <w:r w:rsidR="00691855" w:rsidRPr="0086054F">
        <w:rPr>
          <w:lang w:eastAsia="en-AU"/>
        </w:rPr>
        <w:t xml:space="preserve"> </w:t>
      </w:r>
      <w:r w:rsidR="00A965CA" w:rsidRPr="0086054F">
        <w:rPr>
          <w:lang w:eastAsia="en-AU"/>
        </w:rPr>
        <w:t xml:space="preserve">students </w:t>
      </w:r>
      <w:r w:rsidR="00691855">
        <w:rPr>
          <w:lang w:eastAsia="en-AU"/>
        </w:rPr>
        <w:t xml:space="preserve">struggling academically </w:t>
      </w:r>
      <w:r w:rsidR="00A965CA" w:rsidRPr="0086054F">
        <w:rPr>
          <w:lang w:eastAsia="en-AU"/>
        </w:rPr>
        <w:t xml:space="preserve">irrespective of their SES </w:t>
      </w:r>
      <w:r w:rsidR="008756E3" w:rsidRPr="0086054F">
        <w:rPr>
          <w:lang w:eastAsia="en-AU"/>
        </w:rPr>
        <w:t xml:space="preserve">or cultural </w:t>
      </w:r>
      <w:r w:rsidR="0030139B" w:rsidRPr="0086054F">
        <w:rPr>
          <w:lang w:eastAsia="en-AU"/>
        </w:rPr>
        <w:t xml:space="preserve">background. In primary schools, this takes the form of additional funding </w:t>
      </w:r>
      <w:r w:rsidR="009F7CD1" w:rsidRPr="0086054F">
        <w:rPr>
          <w:lang w:eastAsia="en-AU"/>
        </w:rPr>
        <w:t xml:space="preserve">on a per-student basis for each student two or more years behind </w:t>
      </w:r>
      <w:r w:rsidR="00B8082E" w:rsidRPr="0086054F">
        <w:rPr>
          <w:lang w:eastAsia="en-AU"/>
        </w:rPr>
        <w:t xml:space="preserve">(using a state-developed </w:t>
      </w:r>
      <w:r w:rsidR="008329B2" w:rsidRPr="0086054F">
        <w:rPr>
          <w:lang w:eastAsia="en-AU"/>
        </w:rPr>
        <w:t>test)</w:t>
      </w:r>
      <w:r w:rsidR="009F7CD1" w:rsidRPr="0086054F">
        <w:rPr>
          <w:lang w:eastAsia="en-AU"/>
        </w:rPr>
        <w:t xml:space="preserve"> </w:t>
      </w:r>
      <w:r w:rsidR="00793FD5" w:rsidRPr="0086054F">
        <w:rPr>
          <w:lang w:eastAsia="en-AU"/>
        </w:rPr>
        <w:t>in at least two of the three core subjects (Chinese, English and maths)</w:t>
      </w:r>
      <w:r w:rsidR="00836C1F">
        <w:rPr>
          <w:lang w:eastAsia="en-AU"/>
        </w:rPr>
        <w:t xml:space="preserve">. As in the UK, </w:t>
      </w:r>
      <w:r w:rsidR="00642730" w:rsidRPr="0086054F">
        <w:rPr>
          <w:lang w:eastAsia="en-AU"/>
        </w:rPr>
        <w:t>school</w:t>
      </w:r>
      <w:r w:rsidR="00836C1F">
        <w:rPr>
          <w:lang w:eastAsia="en-AU"/>
        </w:rPr>
        <w:t>s</w:t>
      </w:r>
      <w:r w:rsidR="00642730" w:rsidRPr="0086054F">
        <w:rPr>
          <w:lang w:eastAsia="en-AU"/>
        </w:rPr>
        <w:t xml:space="preserve"> choos</w:t>
      </w:r>
      <w:r w:rsidR="00836C1F">
        <w:rPr>
          <w:lang w:eastAsia="en-AU"/>
        </w:rPr>
        <w:t>e</w:t>
      </w:r>
      <w:r w:rsidR="00642730" w:rsidRPr="0086054F">
        <w:rPr>
          <w:lang w:eastAsia="en-AU"/>
        </w:rPr>
        <w:t xml:space="preserve"> how to use the funds</w:t>
      </w:r>
      <w:r w:rsidR="001741FF" w:rsidRPr="0086054F">
        <w:rPr>
          <w:lang w:eastAsia="en-AU"/>
        </w:rPr>
        <w:t xml:space="preserve">. </w:t>
      </w:r>
      <w:r w:rsidR="009F0A93" w:rsidRPr="0086054F">
        <w:rPr>
          <w:lang w:eastAsia="en-AU"/>
        </w:rPr>
        <w:t>In secondary schools,</w:t>
      </w:r>
      <w:r w:rsidR="00C404BE" w:rsidRPr="0086054F">
        <w:rPr>
          <w:lang w:eastAsia="en-AU"/>
        </w:rPr>
        <w:t xml:space="preserve"> the Education Bureau </w:t>
      </w:r>
      <w:r w:rsidR="009D3F1A" w:rsidRPr="0086054F">
        <w:rPr>
          <w:lang w:eastAsia="en-AU"/>
        </w:rPr>
        <w:t xml:space="preserve">allocates additional teachers to schools with high </w:t>
      </w:r>
      <w:r w:rsidR="009D3F1A" w:rsidRPr="0086054F">
        <w:rPr>
          <w:lang w:eastAsia="en-AU"/>
        </w:rPr>
        <w:lastRenderedPageBreak/>
        <w:t>proportion</w:t>
      </w:r>
      <w:r w:rsidR="00DB7EB2" w:rsidRPr="0086054F">
        <w:rPr>
          <w:lang w:eastAsia="en-AU"/>
        </w:rPr>
        <w:t xml:space="preserve">s of students scoring in the bottom </w:t>
      </w:r>
      <w:r w:rsidR="000340CA">
        <w:rPr>
          <w:lang w:eastAsia="en-AU"/>
        </w:rPr>
        <w:t>ten</w:t>
      </w:r>
      <w:r w:rsidR="00DB7EB2" w:rsidRPr="0086054F">
        <w:rPr>
          <w:lang w:eastAsia="en-AU"/>
        </w:rPr>
        <w:t xml:space="preserve"> per cent </w:t>
      </w:r>
      <w:r w:rsidR="00C14FFD">
        <w:rPr>
          <w:lang w:eastAsia="en-AU"/>
        </w:rPr>
        <w:t>and the</w:t>
      </w:r>
      <w:r w:rsidR="00DB7EB2" w:rsidRPr="0086054F">
        <w:rPr>
          <w:lang w:eastAsia="en-AU"/>
        </w:rPr>
        <w:t xml:space="preserve"> </w:t>
      </w:r>
      <w:r w:rsidR="00243FCA" w:rsidRPr="0086054F">
        <w:rPr>
          <w:lang w:eastAsia="en-AU"/>
        </w:rPr>
        <w:t xml:space="preserve">bottom third </w:t>
      </w:r>
      <w:r w:rsidR="009A418F">
        <w:rPr>
          <w:lang w:eastAsia="en-AU"/>
        </w:rPr>
        <w:t>of</w:t>
      </w:r>
      <w:r w:rsidR="00AE5D3F" w:rsidRPr="0086054F">
        <w:rPr>
          <w:lang w:eastAsia="en-AU"/>
        </w:rPr>
        <w:t xml:space="preserve"> </w:t>
      </w:r>
      <w:r w:rsidR="00F50F81">
        <w:rPr>
          <w:lang w:eastAsia="en-AU"/>
        </w:rPr>
        <w:t xml:space="preserve">the </w:t>
      </w:r>
      <w:r w:rsidR="00AE5D3F" w:rsidRPr="0086054F">
        <w:rPr>
          <w:lang w:eastAsia="en-AU"/>
        </w:rPr>
        <w:t xml:space="preserve">secondary school admissions </w:t>
      </w:r>
      <w:r w:rsidR="009A418F">
        <w:rPr>
          <w:lang w:eastAsia="en-AU"/>
        </w:rPr>
        <w:t>exams</w:t>
      </w:r>
      <w:r w:rsidR="00AE5D3F" w:rsidRPr="0086054F">
        <w:rPr>
          <w:lang w:eastAsia="en-AU"/>
        </w:rPr>
        <w:t>.</w:t>
      </w:r>
      <w:r w:rsidR="00200802" w:rsidRPr="0086054F">
        <w:rPr>
          <w:rStyle w:val="FootnoteReference"/>
          <w:lang w:eastAsia="en-AU"/>
        </w:rPr>
        <w:footnoteReference w:id="114"/>
      </w:r>
    </w:p>
    <w:p w14:paraId="25D9BD81" w14:textId="490B75FB" w:rsidR="00A154F7" w:rsidRPr="0086054F" w:rsidRDefault="00DE42B8" w:rsidP="004153CF">
      <w:pPr>
        <w:tabs>
          <w:tab w:val="left" w:pos="2095"/>
        </w:tabs>
        <w:rPr>
          <w:lang w:eastAsia="en-AU"/>
        </w:rPr>
      </w:pPr>
      <w:r w:rsidRPr="0086054F">
        <w:rPr>
          <w:lang w:eastAsia="en-AU"/>
        </w:rPr>
        <w:t xml:space="preserve">In </w:t>
      </w:r>
      <w:r w:rsidRPr="005137DF">
        <w:rPr>
          <w:rFonts w:asciiTheme="majorHAnsi" w:hAnsiTheme="majorHAnsi" w:cstheme="majorHAnsi"/>
          <w:lang w:eastAsia="en-AU"/>
        </w:rPr>
        <w:t>Chil</w:t>
      </w:r>
      <w:r w:rsidR="004153CF" w:rsidRPr="005137DF">
        <w:rPr>
          <w:rFonts w:asciiTheme="majorHAnsi" w:hAnsiTheme="majorHAnsi" w:cstheme="majorHAnsi"/>
          <w:lang w:eastAsia="en-AU"/>
        </w:rPr>
        <w:t>e</w:t>
      </w:r>
      <w:r w:rsidR="00244586" w:rsidRPr="0086054F">
        <w:rPr>
          <w:lang w:eastAsia="en-AU"/>
        </w:rPr>
        <w:t xml:space="preserve">, </w:t>
      </w:r>
      <w:r w:rsidR="00A154F7" w:rsidRPr="0086054F">
        <w:rPr>
          <w:lang w:eastAsia="en-AU"/>
        </w:rPr>
        <w:t>the</w:t>
      </w:r>
      <w:r w:rsidR="00006D3A" w:rsidRPr="0086054F">
        <w:rPr>
          <w:lang w:eastAsia="en-AU"/>
        </w:rPr>
        <w:t xml:space="preserve"> national</w:t>
      </w:r>
      <w:r w:rsidR="00A154F7" w:rsidRPr="0086054F">
        <w:rPr>
          <w:lang w:eastAsia="en-AU"/>
        </w:rPr>
        <w:t xml:space="preserve"> government passed </w:t>
      </w:r>
      <w:r w:rsidR="00D8653D" w:rsidRPr="0086054F">
        <w:rPr>
          <w:i/>
          <w:lang w:eastAsia="en-AU"/>
        </w:rPr>
        <w:t xml:space="preserve">Preferential School Subsidy </w:t>
      </w:r>
      <w:r w:rsidR="00D8653D" w:rsidRPr="0086054F">
        <w:rPr>
          <w:lang w:eastAsia="en-AU"/>
        </w:rPr>
        <w:t xml:space="preserve">reforms in 2008, which increased the value of </w:t>
      </w:r>
      <w:r w:rsidR="00ED228D">
        <w:rPr>
          <w:lang w:eastAsia="en-AU"/>
        </w:rPr>
        <w:t>funding (</w:t>
      </w:r>
      <w:r w:rsidR="00BA5044">
        <w:rPr>
          <w:lang w:eastAsia="en-AU"/>
        </w:rPr>
        <w:t>described as a</w:t>
      </w:r>
      <w:r w:rsidR="00D8653D" w:rsidRPr="0086054F">
        <w:rPr>
          <w:lang w:eastAsia="en-AU"/>
        </w:rPr>
        <w:t xml:space="preserve"> voucher</w:t>
      </w:r>
      <w:r w:rsidR="00BA5044">
        <w:rPr>
          <w:lang w:eastAsia="en-AU"/>
        </w:rPr>
        <w:t>)</w:t>
      </w:r>
      <w:r w:rsidR="00D8653D" w:rsidRPr="0086054F">
        <w:rPr>
          <w:lang w:eastAsia="en-AU"/>
        </w:rPr>
        <w:t xml:space="preserve"> by 50</w:t>
      </w:r>
      <w:r w:rsidR="00414015">
        <w:rPr>
          <w:lang w:eastAsia="en-AU"/>
        </w:rPr>
        <w:t xml:space="preserve"> per cent</w:t>
      </w:r>
      <w:r w:rsidR="00D8653D" w:rsidRPr="0086054F">
        <w:rPr>
          <w:lang w:eastAsia="en-AU"/>
        </w:rPr>
        <w:t xml:space="preserve"> for </w:t>
      </w:r>
      <w:r w:rsidR="00C035EF" w:rsidRPr="0086054F">
        <w:rPr>
          <w:lang w:eastAsia="en-AU"/>
        </w:rPr>
        <w:t>“priority students”</w:t>
      </w:r>
      <w:r w:rsidR="00BA5044">
        <w:rPr>
          <w:lang w:eastAsia="en-AU"/>
        </w:rPr>
        <w:t xml:space="preserve"> –</w:t>
      </w:r>
      <w:r w:rsidR="00C035EF" w:rsidRPr="0086054F">
        <w:rPr>
          <w:lang w:eastAsia="en-AU"/>
        </w:rPr>
        <w:t xml:space="preserve"> that is, those students whose family incomes fell within the bottom 40</w:t>
      </w:r>
      <w:r w:rsidR="00414015" w:rsidRPr="00414015">
        <w:rPr>
          <w:lang w:eastAsia="en-AU"/>
        </w:rPr>
        <w:t xml:space="preserve"> </w:t>
      </w:r>
      <w:r w:rsidR="00414015">
        <w:rPr>
          <w:lang w:eastAsia="en-AU"/>
        </w:rPr>
        <w:t>per cent</w:t>
      </w:r>
      <w:r w:rsidR="00C035EF" w:rsidRPr="0086054F">
        <w:rPr>
          <w:lang w:eastAsia="en-AU"/>
        </w:rPr>
        <w:t xml:space="preserve"> of </w:t>
      </w:r>
      <w:r w:rsidR="0087735E">
        <w:rPr>
          <w:lang w:eastAsia="en-AU"/>
        </w:rPr>
        <w:t xml:space="preserve">the </w:t>
      </w:r>
      <w:r w:rsidR="00C035EF" w:rsidRPr="0086054F">
        <w:rPr>
          <w:lang w:eastAsia="en-AU"/>
        </w:rPr>
        <w:t xml:space="preserve">national distribution. </w:t>
      </w:r>
      <w:r w:rsidR="00A770A3" w:rsidRPr="0086054F">
        <w:rPr>
          <w:lang w:eastAsia="en-AU"/>
        </w:rPr>
        <w:t xml:space="preserve">In addition to this, schools </w:t>
      </w:r>
      <w:r w:rsidR="00367755" w:rsidRPr="0086054F">
        <w:rPr>
          <w:lang w:eastAsia="en-AU"/>
        </w:rPr>
        <w:t xml:space="preserve">with large proportions of </w:t>
      </w:r>
      <w:r w:rsidR="0026278D" w:rsidRPr="0086054F">
        <w:rPr>
          <w:lang w:eastAsia="en-AU"/>
        </w:rPr>
        <w:t>‘p</w:t>
      </w:r>
      <w:r w:rsidR="00A561F6" w:rsidRPr="0086054F">
        <w:rPr>
          <w:lang w:eastAsia="en-AU"/>
        </w:rPr>
        <w:t>riority students</w:t>
      </w:r>
      <w:r w:rsidR="0026278D" w:rsidRPr="0086054F">
        <w:rPr>
          <w:lang w:eastAsia="en-AU"/>
        </w:rPr>
        <w:t xml:space="preserve">’ </w:t>
      </w:r>
      <w:r w:rsidR="00A561F6" w:rsidRPr="0086054F">
        <w:rPr>
          <w:lang w:eastAsia="en-AU"/>
        </w:rPr>
        <w:t xml:space="preserve">received per-student concentration </w:t>
      </w:r>
      <w:r w:rsidR="0026278D" w:rsidRPr="0086054F">
        <w:rPr>
          <w:lang w:eastAsia="en-AU"/>
        </w:rPr>
        <w:t>bonuses</w:t>
      </w:r>
      <w:r w:rsidR="00A561F6" w:rsidRPr="0086054F">
        <w:rPr>
          <w:lang w:eastAsia="en-AU"/>
        </w:rPr>
        <w:t xml:space="preserve">, which increased as the proportion of </w:t>
      </w:r>
      <w:r w:rsidR="00F66CCE" w:rsidRPr="0086054F">
        <w:rPr>
          <w:lang w:eastAsia="en-AU"/>
        </w:rPr>
        <w:t xml:space="preserve">such </w:t>
      </w:r>
      <w:r w:rsidR="00A561F6" w:rsidRPr="0086054F">
        <w:rPr>
          <w:lang w:eastAsia="en-AU"/>
        </w:rPr>
        <w:t xml:space="preserve">students within the student body </w:t>
      </w:r>
      <w:r w:rsidR="0026278D" w:rsidRPr="0086054F">
        <w:rPr>
          <w:lang w:eastAsia="en-AU"/>
        </w:rPr>
        <w:t xml:space="preserve">increased. </w:t>
      </w:r>
      <w:r w:rsidR="00836A89" w:rsidRPr="0086054F">
        <w:rPr>
          <w:lang w:eastAsia="en-AU"/>
        </w:rPr>
        <w:t>For schools to be eligible to accept higher-valued vouchers, they were required to waive fees for “priority</w:t>
      </w:r>
      <w:r w:rsidR="005B2C99" w:rsidRPr="0086054F">
        <w:rPr>
          <w:lang w:eastAsia="en-AU"/>
        </w:rPr>
        <w:t xml:space="preserve"> students” and </w:t>
      </w:r>
      <w:r w:rsidR="00A826C8">
        <w:rPr>
          <w:lang w:eastAsia="en-AU"/>
        </w:rPr>
        <w:t>accept high</w:t>
      </w:r>
      <w:r w:rsidR="005B2C99" w:rsidRPr="0086054F">
        <w:rPr>
          <w:lang w:eastAsia="en-AU"/>
        </w:rPr>
        <w:t xml:space="preserve"> accountability </w:t>
      </w:r>
      <w:r w:rsidR="00A826C8">
        <w:rPr>
          <w:lang w:eastAsia="en-AU"/>
        </w:rPr>
        <w:t>requirements</w:t>
      </w:r>
      <w:r w:rsidR="005B2C99" w:rsidRPr="0086054F">
        <w:rPr>
          <w:lang w:eastAsia="en-AU"/>
        </w:rPr>
        <w:t xml:space="preserve">. </w:t>
      </w:r>
      <w:r w:rsidR="004A78DB" w:rsidRPr="0086054F">
        <w:rPr>
          <w:lang w:eastAsia="en-AU"/>
        </w:rPr>
        <w:t>Chilean schools that fail to improve students’ maths and reading scores risk losing funding or their license.</w:t>
      </w:r>
    </w:p>
    <w:p w14:paraId="0DEA98D2" w14:textId="0BCD1A17" w:rsidR="00440286" w:rsidRDefault="002B20F4" w:rsidP="00E07876">
      <w:pPr>
        <w:pStyle w:val="Heading3"/>
      </w:pPr>
      <w:r>
        <w:t>Outcomes</w:t>
      </w:r>
    </w:p>
    <w:p w14:paraId="546F6F1A" w14:textId="5CFD2565" w:rsidR="00300ABF" w:rsidRDefault="0014236D" w:rsidP="00300ABF">
      <w:r>
        <w:t>Being</w:t>
      </w:r>
      <w:r w:rsidR="00300ABF" w:rsidRPr="00300ABF">
        <w:t xml:space="preserve"> one of the highest performing and highest equity school systems in the OECD</w:t>
      </w:r>
      <w:r>
        <w:t xml:space="preserve">, </w:t>
      </w:r>
      <w:r w:rsidRPr="004F747F">
        <w:rPr>
          <w:rFonts w:asciiTheme="majorHAnsi" w:hAnsiTheme="majorHAnsi" w:cstheme="majorHAnsi"/>
        </w:rPr>
        <w:t>Hong Kong</w:t>
      </w:r>
      <w:r>
        <w:rPr>
          <w:rFonts w:asciiTheme="majorHAnsi" w:hAnsiTheme="majorHAnsi" w:cstheme="majorHAnsi"/>
        </w:rPr>
        <w:t xml:space="preserve"> </w:t>
      </w:r>
      <w:r w:rsidRPr="0014236D">
        <w:rPr>
          <w:rFonts w:asciiTheme="minorHAnsi" w:hAnsiTheme="minorHAnsi" w:cstheme="minorHAnsi"/>
        </w:rPr>
        <w:t>performs well against both diversity and education outcomes criteria</w:t>
      </w:r>
      <w:r w:rsidR="00300ABF" w:rsidRPr="0014236D">
        <w:rPr>
          <w:rFonts w:asciiTheme="minorHAnsi" w:hAnsiTheme="minorHAnsi" w:cstheme="minorHAnsi"/>
        </w:rPr>
        <w:t xml:space="preserve">. It has one </w:t>
      </w:r>
      <w:r w:rsidR="00304433">
        <w:rPr>
          <w:rFonts w:asciiTheme="minorHAnsi" w:hAnsiTheme="minorHAnsi" w:cstheme="minorHAnsi"/>
        </w:rPr>
        <w:t>of</w:t>
      </w:r>
      <w:r w:rsidR="003C4128">
        <w:rPr>
          <w:rFonts w:asciiTheme="minorHAnsi" w:hAnsiTheme="minorHAnsi" w:cstheme="minorHAnsi"/>
        </w:rPr>
        <w:t xml:space="preserve"> </w:t>
      </w:r>
      <w:r w:rsidR="00300ABF" w:rsidRPr="0014236D">
        <w:rPr>
          <w:rFonts w:asciiTheme="minorHAnsi" w:hAnsiTheme="minorHAnsi" w:cstheme="minorHAnsi"/>
        </w:rPr>
        <w:t>the highest percentiles of re</w:t>
      </w:r>
      <w:r w:rsidR="00300ABF" w:rsidRPr="00300ABF">
        <w:t>silient students, defined as the students from the lowest socio</w:t>
      </w:r>
      <w:r w:rsidR="00115985">
        <w:t>-</w:t>
      </w:r>
      <w:r w:rsidR="00300ABF" w:rsidRPr="00300ABF">
        <w:t>economic quartile who are among the top performers on PISA.</w:t>
      </w:r>
      <w:r>
        <w:t xml:space="preserve"> </w:t>
      </w:r>
      <w:r w:rsidR="0051005B">
        <w:t>Findings related to the UK and Chile appear below.</w:t>
      </w:r>
    </w:p>
    <w:p w14:paraId="6B8FDA60" w14:textId="02CB830E" w:rsidR="002B20F4" w:rsidRPr="002B20F4" w:rsidRDefault="002B20F4" w:rsidP="00E477D7">
      <w:pPr>
        <w:pStyle w:val="Heading5"/>
      </w:pPr>
      <w:r>
        <w:t>Diversity</w:t>
      </w:r>
    </w:p>
    <w:p w14:paraId="7519D976" w14:textId="5AB289C1" w:rsidR="00FC2E07" w:rsidRDefault="003B1788" w:rsidP="002B20F4">
      <w:r w:rsidRPr="00207A06">
        <w:rPr>
          <w:noProof/>
        </w:rPr>
        <mc:AlternateContent>
          <mc:Choice Requires="wps">
            <w:drawing>
              <wp:anchor distT="0" distB="0" distL="114300" distR="114300" simplePos="0" relativeHeight="251658256" behindDoc="0" locked="0" layoutInCell="1" allowOverlap="1" wp14:anchorId="54B78DEB" wp14:editId="3A541125">
                <wp:simplePos x="0" y="0"/>
                <wp:positionH relativeFrom="column">
                  <wp:posOffset>3830955</wp:posOffset>
                </wp:positionH>
                <wp:positionV relativeFrom="paragraph">
                  <wp:posOffset>780415</wp:posOffset>
                </wp:positionV>
                <wp:extent cx="2409825" cy="2895600"/>
                <wp:effectExtent l="0" t="0" r="9525" b="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09825" cy="2895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1333E" w14:textId="3D721D32" w:rsidR="00207A06" w:rsidRDefault="00207A06" w:rsidP="002278D9">
                            <w:pPr>
                              <w:pStyle w:val="Callout"/>
                              <w:pBdr>
                                <w:top w:val="single" w:sz="18" w:space="0" w:color="E6E6E1" w:themeColor="accent5"/>
                              </w:pBdr>
                              <w:rPr>
                                <w:color w:val="F25E21" w:themeColor="accent2"/>
                              </w:rPr>
                            </w:pPr>
                            <w:r>
                              <w:rPr>
                                <w:color w:val="F25E21" w:themeColor="accent2"/>
                              </w:rPr>
                              <w:t>“</w:t>
                            </w:r>
                            <w:r w:rsidR="00F13271" w:rsidRPr="00F13271">
                              <w:rPr>
                                <w:color w:val="F25E21" w:themeColor="accent2"/>
                              </w:rPr>
                              <w:t>The segregation of long-term disadvantaged pupils and their peers reduced in Years 1 and 6, and their attainment improved relative to their peers at ages 7 and 11...</w:t>
                            </w:r>
                            <w:r w:rsidR="00256D2E">
                              <w:rPr>
                                <w:color w:val="F25E21" w:themeColor="accent2"/>
                              </w:rPr>
                              <w:t xml:space="preserve"> </w:t>
                            </w:r>
                            <w:r w:rsidR="00F13271" w:rsidRPr="00F13271">
                              <w:rPr>
                                <w:color w:val="F25E21" w:themeColor="accent2"/>
                              </w:rPr>
                              <w:t>relative attainment for poor pupils improved markedly in the Pupil Premium era, even in regions like the North of England which have faced criticism for apparently “failing“ their poor pupils.</w:t>
                            </w:r>
                            <w:r w:rsidR="00F13271">
                              <w:rPr>
                                <w:color w:val="F25E21" w:themeColor="accent2"/>
                              </w:rPr>
                              <w:t>”</w:t>
                            </w:r>
                          </w:p>
                          <w:p w14:paraId="39E2D138" w14:textId="532A3A83" w:rsidR="00571962" w:rsidRPr="00F81BDB" w:rsidRDefault="00571962" w:rsidP="00571962">
                            <w:pPr>
                              <w:pStyle w:val="Callout"/>
                              <w:pBdr>
                                <w:top w:val="single" w:sz="18" w:space="0" w:color="E6E6E1" w:themeColor="accent5"/>
                              </w:pBdr>
                              <w:jc w:val="right"/>
                              <w:rPr>
                                <w:color w:val="F25E21" w:themeColor="accent2"/>
                                <w:sz w:val="18"/>
                                <w:szCs w:val="18"/>
                              </w:rPr>
                            </w:pPr>
                            <w:r w:rsidRPr="00F81BDB">
                              <w:rPr>
                                <w:color w:val="F25E21" w:themeColor="accent2"/>
                                <w:sz w:val="18"/>
                                <w:szCs w:val="18"/>
                              </w:rPr>
                              <w:t>Go</w:t>
                            </w:r>
                            <w:r w:rsidR="00793810" w:rsidRPr="00F81BDB">
                              <w:rPr>
                                <w:color w:val="F25E21" w:themeColor="accent2"/>
                                <w:sz w:val="18"/>
                                <w:szCs w:val="18"/>
                              </w:rPr>
                              <w:t>rard</w:t>
                            </w:r>
                            <w:r w:rsidRPr="00F81BDB">
                              <w:rPr>
                                <w:color w:val="F25E21" w:themeColor="accent2"/>
                                <w:sz w:val="18"/>
                                <w:szCs w:val="18"/>
                              </w:rPr>
                              <w:t>, Siddiqui and Huat-See (2021)</w:t>
                            </w:r>
                          </w:p>
                          <w:p w14:paraId="2227AD45" w14:textId="1308DFB7" w:rsidR="00207A06" w:rsidRPr="00F81BDB" w:rsidRDefault="0033357B" w:rsidP="00F81BDB">
                            <w:pPr>
                              <w:pStyle w:val="Callout"/>
                              <w:pBdr>
                                <w:top w:val="single" w:sz="18" w:space="0" w:color="E6E6E1" w:themeColor="accent5"/>
                              </w:pBdr>
                              <w:jc w:val="right"/>
                              <w:rPr>
                                <w:i/>
                                <w:color w:val="F25E21" w:themeColor="accent2"/>
                                <w:sz w:val="18"/>
                                <w:szCs w:val="18"/>
                              </w:rPr>
                            </w:pPr>
                            <w:r w:rsidRPr="00F81BDB">
                              <w:rPr>
                                <w:i/>
                                <w:iCs/>
                                <w:color w:val="F25E21" w:themeColor="accent2"/>
                                <w:sz w:val="18"/>
                                <w:szCs w:val="18"/>
                              </w:rPr>
                              <w:t>Assessing the impact of Pupil Premium funding on primary school segregation and attainment</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B78DEB" id="Text Box 1" o:spid="_x0000_s1031" type="#_x0000_t202" alt="&quot;&quot;" style="position:absolute;margin-left:301.65pt;margin-top:61.45pt;width:189.75pt;height:22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u8ewIAAGkFAAAOAAAAZHJzL2Uyb0RvYy54bWysVN9P2zAQfp+0/8Hy+0golJWKFHUgpkkI&#10;0GDi2XVsas3xefa1SffXc3bSljFemPbi3Pl++b58d2fnXWPZWoVowFX88KDkTDkJtXFPFf/xcPVp&#10;wllE4WphwamKb1Tk57OPH85aP1UjWIKtVWCUxMVp6yu+RPTToohyqRoRD8ArR0YNoRFIangq6iBa&#10;yt7YYlSWJ0ULofYBpIqRbi97I5/l/ForibdaR4XMVpzehvkM+Vyks5idielTEH5p5PAM8Q+vaIRx&#10;VHSX6lKgYKtg/krVGBkggsYDCU0BWhupcg/UzWH5qpv7pfAq90LgRL+DKf6/tPJmfe/vAsPuC3T0&#10;AxMgrY/TSJepn06HJn3ppYzsBOFmB5vqkEm6HB2Xp5PRmDNJttHkdHxSZmCLfbgPEb8qaFgSKh7o&#10;v2S4xPo6IpUk161LqhbBmvrKWJuVxAV1YQNbC/qLFvMjKeIPL+tYW/GTo3GZEztI4X1m61Ialdkw&#10;lNu3mCXcWJV8rPuuNDN17vSN2kJK5Xb1s3fy0lTqPYGD//5V7wnu+6CIXBkc7oIb4yDk7vP47CGr&#10;f24h070/Af6i7yRit+io8YqPtwxYQL0hYgToZyZ6eWXo512LiHci0JAQF2jw8ZYObYHAh0HibAnh&#10;91v3yZ+4S1bOWhq6isdfKxEUZ/abI1anCc3C8fjziJSQlSPiEymLlxa3ai6A2HBI68XLLCZ/tFtR&#10;B2geaTfMU0UyCSepbsVxK15gvwZot0g1n2cnmkkv8Nrde5lSJ4QTLR+6RxH8wF0k2t/AdjTF9BWF&#10;e98U6WC+QtAm8zth3CM6YE/znGk/7J60MF7q2Wu/IWfPAAAA//8DAFBLAwQUAAYACAAAACEAFTVe&#10;QeEAAAALAQAADwAAAGRycy9kb3ducmV2LnhtbEyPy07DMBBF90j8gzVI7KiDK4oT4lQIhAQLKjUg&#10;BDs3njwgtiPbbcPfM6xgObpHd84t17Md2QFDHLxTcLnIgKFrvBlcp+D15eFCAotJO6NH71DBN0ZY&#10;V6cnpS6MP7otHurUMSpxsdAK+pSmgvPY9Gh1XPgJHWWtD1YnOkPHTdBHKrcjF1m24lYPjj70esK7&#10;Hpuvem8VbFp8FPcfVr69t9vwLDb155MclDo/m29vgCWc0x8Mv/qkDhU57fzemchGBatsuSSUAiFy&#10;YETkUtCYnYKra5kDr0r+f0P1AwAA//8DAFBLAQItABQABgAIAAAAIQC2gziS/gAAAOEBAAATAAAA&#10;AAAAAAAAAAAAAAAAAABbQ29udGVudF9UeXBlc10ueG1sUEsBAi0AFAAGAAgAAAAhADj9If/WAAAA&#10;lAEAAAsAAAAAAAAAAAAAAAAALwEAAF9yZWxzLy5yZWxzUEsBAi0AFAAGAAgAAAAhAKhq+7x7AgAA&#10;aQUAAA4AAAAAAAAAAAAAAAAALgIAAGRycy9lMm9Eb2MueG1sUEsBAi0AFAAGAAgAAAAhABU1XkHh&#10;AAAACwEAAA8AAAAAAAAAAAAAAAAA1QQAAGRycy9kb3ducmV2LnhtbFBLBQYAAAAABAAEAPMAAADj&#10;BQAAAAA=&#10;" fillcolor="white [3201]" stroked="f" strokeweight=".5pt">
                <v:textbox inset="0,,1mm">
                  <w:txbxContent>
                    <w:p w14:paraId="6FA1333E" w14:textId="3D721D32" w:rsidR="00207A06" w:rsidRDefault="00207A06" w:rsidP="002278D9">
                      <w:pPr>
                        <w:pStyle w:val="Callout"/>
                        <w:pBdr>
                          <w:top w:val="single" w:sz="18" w:space="0" w:color="E6E6E1" w:themeColor="accent5"/>
                        </w:pBdr>
                        <w:rPr>
                          <w:color w:val="F25E21" w:themeColor="accent2"/>
                        </w:rPr>
                      </w:pPr>
                      <w:r>
                        <w:rPr>
                          <w:color w:val="F25E21" w:themeColor="accent2"/>
                        </w:rPr>
                        <w:t>“</w:t>
                      </w:r>
                      <w:r w:rsidR="00F13271" w:rsidRPr="00F13271">
                        <w:rPr>
                          <w:color w:val="F25E21" w:themeColor="accent2"/>
                        </w:rPr>
                        <w:t>The segregation of long-term disadvantaged pupils and their peers reduced in Years 1 and 6, and their attainment improved relative to their peers at ages 7 and 11...</w:t>
                      </w:r>
                      <w:r w:rsidR="00256D2E">
                        <w:rPr>
                          <w:color w:val="F25E21" w:themeColor="accent2"/>
                        </w:rPr>
                        <w:t xml:space="preserve"> </w:t>
                      </w:r>
                      <w:r w:rsidR="00F13271" w:rsidRPr="00F13271">
                        <w:rPr>
                          <w:color w:val="F25E21" w:themeColor="accent2"/>
                        </w:rPr>
                        <w:t>relative attainment for poor pupils improved markedly in the Pupil Premium era, even in regions like the North of England which have faced criticism for apparently “failing“ their poor pupils.</w:t>
                      </w:r>
                      <w:r w:rsidR="00F13271">
                        <w:rPr>
                          <w:color w:val="F25E21" w:themeColor="accent2"/>
                        </w:rPr>
                        <w:t>”</w:t>
                      </w:r>
                    </w:p>
                    <w:p w14:paraId="39E2D138" w14:textId="532A3A83" w:rsidR="00571962" w:rsidRPr="00F81BDB" w:rsidRDefault="00571962" w:rsidP="00571962">
                      <w:pPr>
                        <w:pStyle w:val="Callout"/>
                        <w:pBdr>
                          <w:top w:val="single" w:sz="18" w:space="0" w:color="E6E6E1" w:themeColor="accent5"/>
                        </w:pBdr>
                        <w:jc w:val="right"/>
                        <w:rPr>
                          <w:color w:val="F25E21" w:themeColor="accent2"/>
                          <w:sz w:val="18"/>
                          <w:szCs w:val="18"/>
                        </w:rPr>
                      </w:pPr>
                      <w:r w:rsidRPr="00F81BDB">
                        <w:rPr>
                          <w:color w:val="F25E21" w:themeColor="accent2"/>
                          <w:sz w:val="18"/>
                          <w:szCs w:val="18"/>
                        </w:rPr>
                        <w:t>Go</w:t>
                      </w:r>
                      <w:r w:rsidR="00793810" w:rsidRPr="00F81BDB">
                        <w:rPr>
                          <w:color w:val="F25E21" w:themeColor="accent2"/>
                          <w:sz w:val="18"/>
                          <w:szCs w:val="18"/>
                        </w:rPr>
                        <w:t>rard</w:t>
                      </w:r>
                      <w:r w:rsidRPr="00F81BDB">
                        <w:rPr>
                          <w:color w:val="F25E21" w:themeColor="accent2"/>
                          <w:sz w:val="18"/>
                          <w:szCs w:val="18"/>
                        </w:rPr>
                        <w:t>, Siddiqui and Huat-See (2021)</w:t>
                      </w:r>
                    </w:p>
                    <w:p w14:paraId="2227AD45" w14:textId="1308DFB7" w:rsidR="00207A06" w:rsidRPr="00F81BDB" w:rsidRDefault="0033357B" w:rsidP="00F81BDB">
                      <w:pPr>
                        <w:pStyle w:val="Callout"/>
                        <w:pBdr>
                          <w:top w:val="single" w:sz="18" w:space="0" w:color="E6E6E1" w:themeColor="accent5"/>
                        </w:pBdr>
                        <w:jc w:val="right"/>
                        <w:rPr>
                          <w:i/>
                          <w:color w:val="F25E21" w:themeColor="accent2"/>
                          <w:sz w:val="18"/>
                          <w:szCs w:val="18"/>
                        </w:rPr>
                      </w:pPr>
                      <w:r w:rsidRPr="00F81BDB">
                        <w:rPr>
                          <w:i/>
                          <w:iCs/>
                          <w:color w:val="F25E21" w:themeColor="accent2"/>
                          <w:sz w:val="18"/>
                          <w:szCs w:val="18"/>
                        </w:rPr>
                        <w:t>Assessing the impact of Pupil Premium funding on primary school segregation and attainment</w:t>
                      </w:r>
                    </w:p>
                  </w:txbxContent>
                </v:textbox>
                <w10:wrap type="square"/>
              </v:shape>
            </w:pict>
          </mc:Fallback>
        </mc:AlternateContent>
      </w:r>
      <w:r w:rsidR="00A508F3" w:rsidRPr="0086054F">
        <w:rPr>
          <w:lang w:eastAsia="en-AU"/>
        </w:rPr>
        <w:t xml:space="preserve">The clearest data is from the </w:t>
      </w:r>
      <w:r w:rsidR="00A508F3" w:rsidRPr="002B20F4">
        <w:rPr>
          <w:rFonts w:asciiTheme="majorHAnsi" w:hAnsiTheme="majorHAnsi" w:cstheme="majorHAnsi"/>
          <w:lang w:eastAsia="en-AU"/>
        </w:rPr>
        <w:t>UK</w:t>
      </w:r>
      <w:r w:rsidR="00136044">
        <w:rPr>
          <w:lang w:eastAsia="en-AU"/>
        </w:rPr>
        <w:t>.</w:t>
      </w:r>
      <w:r w:rsidR="00C93351">
        <w:rPr>
          <w:lang w:eastAsia="en-AU"/>
        </w:rPr>
        <w:t xml:space="preserve"> Since </w:t>
      </w:r>
      <w:r w:rsidR="00136044">
        <w:rPr>
          <w:lang w:eastAsia="en-AU"/>
        </w:rPr>
        <w:t>the introduction of the Pupil Premium in 2011,</w:t>
      </w:r>
      <w:r w:rsidR="00C93351">
        <w:rPr>
          <w:lang w:eastAsia="en-AU"/>
        </w:rPr>
        <w:t xml:space="preserve"> </w:t>
      </w:r>
      <w:r w:rsidR="002B20F4">
        <w:rPr>
          <w:lang w:eastAsia="en-AU"/>
        </w:rPr>
        <w:t>c</w:t>
      </w:r>
      <w:r w:rsidR="00B13299">
        <w:t>oncentrations of</w:t>
      </w:r>
      <w:r w:rsidR="00A24709">
        <w:t xml:space="preserve"> highly disadvantaged students decreased, with l</w:t>
      </w:r>
      <w:r w:rsidR="0009560A">
        <w:t>ong</w:t>
      </w:r>
      <w:r w:rsidR="00A508F3" w:rsidRPr="00A508F3">
        <w:t xml:space="preserve">-term disadvantaged </w:t>
      </w:r>
      <w:r w:rsidR="0009560A">
        <w:t>s</w:t>
      </w:r>
      <w:r w:rsidR="00221207">
        <w:t>tudent</w:t>
      </w:r>
      <w:r w:rsidR="0009560A">
        <w:t xml:space="preserve">s </w:t>
      </w:r>
      <w:r w:rsidR="00295789">
        <w:t>becoming “</w:t>
      </w:r>
      <w:r w:rsidR="0009560A">
        <w:t>substantially less clustered</w:t>
      </w:r>
      <w:r w:rsidR="00A508F3" w:rsidRPr="00A508F3">
        <w:t xml:space="preserve"> in </w:t>
      </w:r>
      <w:r w:rsidR="0009560A">
        <w:t xml:space="preserve">specific schools in </w:t>
      </w:r>
      <w:r w:rsidR="00A508F3" w:rsidRPr="00A508F3">
        <w:t xml:space="preserve">their </w:t>
      </w:r>
      <w:r w:rsidR="0009560A">
        <w:t xml:space="preserve">first year </w:t>
      </w:r>
      <w:r w:rsidR="0009560A" w:rsidRPr="00ED2D18">
        <w:t>and throughout their remaining school years”.</w:t>
      </w:r>
      <w:r w:rsidR="0009560A" w:rsidRPr="00ED2D18">
        <w:rPr>
          <w:rStyle w:val="FootnoteReference"/>
        </w:rPr>
        <w:footnoteReference w:id="115"/>
      </w:r>
      <w:r w:rsidR="0009560A" w:rsidRPr="00ED2D18">
        <w:t xml:space="preserve"> </w:t>
      </w:r>
      <w:r w:rsidR="00FA20C8" w:rsidRPr="00ED2D18">
        <w:t xml:space="preserve">Studies also </w:t>
      </w:r>
      <w:r w:rsidR="006338D2" w:rsidRPr="00ED2D18">
        <w:t>indicated that</w:t>
      </w:r>
      <w:r w:rsidR="00FA20C8" w:rsidRPr="00ED2D18">
        <w:t xml:space="preserve"> extra funding </w:t>
      </w:r>
      <w:r w:rsidR="004648B1" w:rsidRPr="00F81BDB">
        <w:t xml:space="preserve">from </w:t>
      </w:r>
      <w:r w:rsidR="0087735E">
        <w:t xml:space="preserve">the </w:t>
      </w:r>
      <w:r w:rsidR="00FA20C8" w:rsidRPr="00ED2D18">
        <w:t xml:space="preserve">Pupil Premium could be used to implement </w:t>
      </w:r>
      <w:r w:rsidR="00C8334C" w:rsidRPr="00ED2D18">
        <w:t>additional measures to support disadvantaged children</w:t>
      </w:r>
      <w:r w:rsidR="009E5F76" w:rsidRPr="00ED2D18">
        <w:t>, such as catch-up programmes.</w:t>
      </w:r>
      <w:r w:rsidR="005C51AB" w:rsidRPr="00ED2D18">
        <w:rPr>
          <w:rStyle w:val="FootnoteReference"/>
        </w:rPr>
        <w:footnoteReference w:id="116"/>
      </w:r>
    </w:p>
    <w:p w14:paraId="5AFD1657" w14:textId="6935BE29" w:rsidR="004F747F" w:rsidRDefault="004F747F" w:rsidP="002B20F4">
      <w:r>
        <w:t>As noted above</w:t>
      </w:r>
      <w:r w:rsidR="008A4D3A">
        <w:t xml:space="preserve"> and in earlier sections</w:t>
      </w:r>
      <w:r>
        <w:t xml:space="preserve">, </w:t>
      </w:r>
      <w:r w:rsidRPr="004F747F">
        <w:rPr>
          <w:rFonts w:asciiTheme="majorHAnsi" w:hAnsiTheme="majorHAnsi" w:cstheme="majorHAnsi"/>
        </w:rPr>
        <w:t>Chile</w:t>
      </w:r>
      <w:r>
        <w:t xml:space="preserve"> has seen a marked shift towards desegregation</w:t>
      </w:r>
      <w:r w:rsidR="00CB541D">
        <w:t xml:space="preserve"> since 2006 and especially since 2016</w:t>
      </w:r>
      <w:r w:rsidR="00D7510B">
        <w:t xml:space="preserve">. </w:t>
      </w:r>
      <w:r w:rsidR="008D631C">
        <w:t xml:space="preserve">While </w:t>
      </w:r>
      <w:r w:rsidR="00731626">
        <w:t xml:space="preserve">students of similar </w:t>
      </w:r>
      <w:r w:rsidR="009E5D4E">
        <w:t>SES</w:t>
      </w:r>
      <w:r w:rsidR="00731626">
        <w:t xml:space="preserve"> backgrounds tend to attend </w:t>
      </w:r>
      <w:r w:rsidR="009E5D4E">
        <w:t xml:space="preserve">school together, reflecting </w:t>
      </w:r>
      <w:r w:rsidR="00DB0A68">
        <w:t xml:space="preserve">continued </w:t>
      </w:r>
      <w:r w:rsidR="005B4342">
        <w:t>SES patterns across neighbourhoods, t</w:t>
      </w:r>
      <w:r w:rsidR="00D7510B">
        <w:t>he</w:t>
      </w:r>
      <w:r w:rsidR="00CB541D">
        <w:t xml:space="preserve">re is a greater mix of students </w:t>
      </w:r>
      <w:r w:rsidR="005B4342">
        <w:t xml:space="preserve">in schools </w:t>
      </w:r>
      <w:r w:rsidR="00CB541D">
        <w:t>from all but the top SES quintile</w:t>
      </w:r>
      <w:r w:rsidR="00384CF6">
        <w:t xml:space="preserve"> (who remain largely </w:t>
      </w:r>
      <w:r w:rsidR="00294306">
        <w:t>enrolled</w:t>
      </w:r>
      <w:r w:rsidR="00384CF6">
        <w:t xml:space="preserve"> in high-fee private school</w:t>
      </w:r>
      <w:r w:rsidR="008E6F77">
        <w:t>s</w:t>
      </w:r>
      <w:r w:rsidR="00384CF6">
        <w:t>)</w:t>
      </w:r>
      <w:r w:rsidR="00C0658C">
        <w:t xml:space="preserve">. </w:t>
      </w:r>
      <w:r w:rsidR="006D307A" w:rsidRPr="006D307A">
        <w:t xml:space="preserve">Emiliana </w:t>
      </w:r>
      <w:r w:rsidR="00F835FE">
        <w:t xml:space="preserve">Vegas </w:t>
      </w:r>
      <w:r w:rsidR="005139E4">
        <w:t>advised</w:t>
      </w:r>
      <w:r w:rsidR="00F835FE">
        <w:t xml:space="preserve"> that the voucher system was initially an opt-in </w:t>
      </w:r>
      <w:r w:rsidR="004E1D97">
        <w:t>intervention</w:t>
      </w:r>
      <w:r w:rsidR="005139E4">
        <w:t>. H</w:t>
      </w:r>
      <w:r w:rsidR="00F835FE">
        <w:t xml:space="preserve">owever, after seeing such strong </w:t>
      </w:r>
      <w:r w:rsidR="007A196A">
        <w:t xml:space="preserve">improvements in diversity, the program </w:t>
      </w:r>
      <w:r w:rsidR="00156C6F">
        <w:t xml:space="preserve">was implemented across </w:t>
      </w:r>
      <w:r w:rsidR="003D6F8A">
        <w:t xml:space="preserve">the </w:t>
      </w:r>
      <w:r w:rsidR="005139E4">
        <w:t xml:space="preserve">entire </w:t>
      </w:r>
      <w:r w:rsidR="003D6F8A">
        <w:t>system</w:t>
      </w:r>
      <w:r w:rsidR="00156C6F">
        <w:t>.</w:t>
      </w:r>
    </w:p>
    <w:p w14:paraId="41828361" w14:textId="48101E01" w:rsidR="0035644A" w:rsidRDefault="0035644A" w:rsidP="00E477D7">
      <w:pPr>
        <w:pStyle w:val="Heading5"/>
      </w:pPr>
      <w:r>
        <w:t xml:space="preserve">Education </w:t>
      </w:r>
    </w:p>
    <w:p w14:paraId="2DE1819E" w14:textId="33B365B4" w:rsidR="0035644A" w:rsidRPr="0035644A" w:rsidRDefault="0035644A" w:rsidP="0035644A">
      <w:r>
        <w:rPr>
          <w:lang w:eastAsia="en-AU"/>
        </w:rPr>
        <w:t xml:space="preserve">In the </w:t>
      </w:r>
      <w:r w:rsidRPr="0035644A">
        <w:rPr>
          <w:rFonts w:asciiTheme="majorHAnsi" w:hAnsiTheme="majorHAnsi" w:cstheme="majorHAnsi"/>
          <w:lang w:eastAsia="en-AU"/>
        </w:rPr>
        <w:t>UK</w:t>
      </w:r>
      <w:r>
        <w:rPr>
          <w:lang w:eastAsia="en-AU"/>
        </w:rPr>
        <w:t xml:space="preserve">, </w:t>
      </w:r>
      <w:r w:rsidR="00640226">
        <w:t>e</w:t>
      </w:r>
      <w:r w:rsidRPr="0035644A">
        <w:t xml:space="preserve">ducational </w:t>
      </w:r>
      <w:r w:rsidR="00050E18">
        <w:t xml:space="preserve">outcomes of </w:t>
      </w:r>
      <w:r w:rsidRPr="0035644A">
        <w:t xml:space="preserve">disadvantaged students </w:t>
      </w:r>
      <w:r w:rsidR="00050E18">
        <w:t>improved</w:t>
      </w:r>
      <w:r w:rsidR="002A2D06">
        <w:t xml:space="preserve">, and this appears to have contributed to the UK’s </w:t>
      </w:r>
      <w:r w:rsidR="00BB078F">
        <w:t xml:space="preserve">movement up international rankings. </w:t>
      </w:r>
      <w:r w:rsidRPr="0035644A">
        <w:t>The educational attainment of students qualifying for the Pupil Premium improved relative to their peers.</w:t>
      </w:r>
      <w:r w:rsidRPr="0035644A">
        <w:rPr>
          <w:vertAlign w:val="superscript"/>
        </w:rPr>
        <w:footnoteReference w:id="117"/>
      </w:r>
      <w:r w:rsidRPr="0035644A">
        <w:t xml:space="preserve"> </w:t>
      </w:r>
      <w:r w:rsidR="00BB078F">
        <w:t>Meanwhile, t</w:t>
      </w:r>
      <w:r w:rsidRPr="0035644A">
        <w:t xml:space="preserve">he PISA reading scores of advantaged and </w:t>
      </w:r>
      <w:r w:rsidRPr="0035644A">
        <w:lastRenderedPageBreak/>
        <w:t xml:space="preserve">disadvantaged students in the UK both </w:t>
      </w:r>
      <w:r w:rsidR="00BB078F">
        <w:t xml:space="preserve">increased </w:t>
      </w:r>
      <w:r w:rsidRPr="0035644A">
        <w:t xml:space="preserve">significantly between 2009 and 2018. The reading scores of English students as measured by </w:t>
      </w:r>
      <w:r w:rsidRPr="000B493E">
        <w:t>PIRLS</w:t>
      </w:r>
      <w:r w:rsidRPr="0035644A">
        <w:t xml:space="preserve"> in 2021 was also statistically higher than</w:t>
      </w:r>
      <w:r w:rsidR="00BB078F">
        <w:t xml:space="preserve"> the</w:t>
      </w:r>
      <w:r w:rsidRPr="0035644A">
        <w:t xml:space="preserve"> international median score and </w:t>
      </w:r>
      <w:r w:rsidR="00BB078F">
        <w:t>has</w:t>
      </w:r>
      <w:r w:rsidR="00BB078F" w:rsidRPr="0035644A">
        <w:t xml:space="preserve"> </w:t>
      </w:r>
      <w:r w:rsidRPr="0035644A">
        <w:t>not fall</w:t>
      </w:r>
      <w:r w:rsidR="00BB078F">
        <w:t>en</w:t>
      </w:r>
      <w:r w:rsidRPr="0035644A">
        <w:t xml:space="preserve"> since 2016 (unlike most </w:t>
      </w:r>
      <w:r w:rsidR="00BB078F">
        <w:t xml:space="preserve">other </w:t>
      </w:r>
      <w:r w:rsidRPr="0035644A">
        <w:t>education systems).</w:t>
      </w:r>
      <w:r w:rsidRPr="0035644A">
        <w:rPr>
          <w:vertAlign w:val="superscript"/>
        </w:rPr>
        <w:footnoteReference w:id="118"/>
      </w:r>
    </w:p>
    <w:p w14:paraId="63BB9975" w14:textId="08265A1F" w:rsidR="009911B7" w:rsidRDefault="009911B7" w:rsidP="009911B7">
      <w:pPr>
        <w:pStyle w:val="Bullet"/>
        <w:ind w:left="0" w:firstLine="0"/>
      </w:pPr>
      <w:r>
        <w:t xml:space="preserve">Trends in </w:t>
      </w:r>
      <w:r w:rsidRPr="004B3B58">
        <w:rPr>
          <w:rFonts w:asciiTheme="majorHAnsi" w:eastAsiaTheme="minorHAnsi" w:hAnsiTheme="majorHAnsi" w:cstheme="majorHAnsi"/>
          <w:szCs w:val="22"/>
        </w:rPr>
        <w:t xml:space="preserve">Chilean </w:t>
      </w:r>
      <w:r>
        <w:t>student test scores suggest that</w:t>
      </w:r>
      <w:r w:rsidR="00BB078F">
        <w:t xml:space="preserve"> the</w:t>
      </w:r>
      <w:r>
        <w:t xml:space="preserve"> SEP reforms were successful in improving student outcomes for disadvantaged students. Mathematics scores of Chilean fourth grade students increased substantially four years after the introduction of SEP for students of all levels of family income. Most importantly, the income-based test score gap declined by over one third between 2005 and 2012 (20.8 points to 13.3 points)</w:t>
      </w:r>
      <w:r w:rsidR="00D7365A">
        <w:t>.</w:t>
      </w:r>
      <w:r>
        <w:rPr>
          <w:rStyle w:val="FootnoteReference"/>
        </w:rPr>
        <w:footnoteReference w:id="119"/>
      </w:r>
      <w:r>
        <w:t xml:space="preserve"> It is important to note however, that it was equally as important that Chile held schools to account for learning results when implementing additional resources to disadvantaged students. </w:t>
      </w:r>
      <w:r w:rsidR="00C0658C">
        <w:t>The quality gap between schools mostly enrolling the poor a</w:t>
      </w:r>
      <w:r w:rsidR="005941E8">
        <w:t>nd the non</w:t>
      </w:r>
      <w:r w:rsidR="002402A0">
        <w:t>-</w:t>
      </w:r>
      <w:r w:rsidR="005941E8">
        <w:t>poor has also decreased, indicating the</w:t>
      </w:r>
      <w:r w:rsidR="00490B61">
        <w:t xml:space="preserve"> benefits of this package of interventions and potentially also the greater social mix in schools and classrooms.</w:t>
      </w:r>
      <w:r w:rsidR="00490B61">
        <w:rPr>
          <w:rStyle w:val="FootnoteReference"/>
        </w:rPr>
        <w:footnoteReference w:id="120"/>
      </w:r>
      <w:r w:rsidR="00490B61">
        <w:t xml:space="preserve"> </w:t>
      </w:r>
    </w:p>
    <w:p w14:paraId="76D84BD6" w14:textId="0A65213B" w:rsidR="002E38E8" w:rsidRDefault="00EA0F82" w:rsidP="009911B7">
      <w:pPr>
        <w:pStyle w:val="Bullet"/>
        <w:ind w:left="0" w:firstLine="0"/>
      </w:pPr>
      <w:r>
        <w:t>Of particular note is that e</w:t>
      </w:r>
      <w:r w:rsidR="008324AD">
        <w:t>ducational</w:t>
      </w:r>
      <w:r w:rsidR="002E38E8">
        <w:t xml:space="preserve"> economist and policy advisor</w:t>
      </w:r>
      <w:r>
        <w:t>,</w:t>
      </w:r>
      <w:r w:rsidR="002E38E8">
        <w:t xml:space="preserve"> </w:t>
      </w:r>
      <w:r w:rsidR="008324AD">
        <w:t>Emiliana</w:t>
      </w:r>
      <w:r w:rsidR="002E38E8">
        <w:t xml:space="preserve"> Vegas</w:t>
      </w:r>
      <w:r>
        <w:t>,</w:t>
      </w:r>
      <w:r w:rsidR="002E38E8">
        <w:t xml:space="preserve"> </w:t>
      </w:r>
      <w:r w:rsidR="00775236">
        <w:t>consider</w:t>
      </w:r>
      <w:r>
        <w:t>ed</w:t>
      </w:r>
      <w:r w:rsidR="00775236">
        <w:t xml:space="preserve"> the supplementary funding to schools for enrolling disadvantaged students </w:t>
      </w:r>
      <w:r>
        <w:t>to have been the</w:t>
      </w:r>
      <w:r w:rsidR="00775236">
        <w:t xml:space="preserve"> most powerful intervention in Chile’s </w:t>
      </w:r>
      <w:r w:rsidR="008324AD">
        <w:t>suite of reforms</w:t>
      </w:r>
      <w:r>
        <w:t xml:space="preserve">. This was due to its direct, </w:t>
      </w:r>
      <w:r w:rsidRPr="001A191D">
        <w:t xml:space="preserve">positive </w:t>
      </w:r>
      <w:r w:rsidR="008324AD" w:rsidRPr="001A191D">
        <w:t>impact on</w:t>
      </w:r>
      <w:r w:rsidR="008324AD">
        <w:t xml:space="preserve"> social mixing and its </w:t>
      </w:r>
      <w:r>
        <w:t xml:space="preserve">contribution to </w:t>
      </w:r>
      <w:r w:rsidR="008324AD">
        <w:t>lifting learning outcomes.</w:t>
      </w:r>
      <w:r w:rsidR="005E2638">
        <w:rPr>
          <w:rStyle w:val="FootnoteReference"/>
        </w:rPr>
        <w:footnoteReference w:id="121"/>
      </w:r>
      <w:r w:rsidR="008324AD">
        <w:t xml:space="preserve"> </w:t>
      </w:r>
    </w:p>
    <w:p w14:paraId="53D68E2C" w14:textId="0B79D8C9" w:rsidR="00440286" w:rsidRDefault="001E2D9A" w:rsidP="00E07876">
      <w:pPr>
        <w:pStyle w:val="Heading3"/>
      </w:pPr>
      <w:r>
        <w:t>E</w:t>
      </w:r>
      <w:r w:rsidR="00440286">
        <w:t>vidence base</w:t>
      </w:r>
      <w:r w:rsidR="00EE6F98">
        <w:t xml:space="preserve"> </w:t>
      </w:r>
    </w:p>
    <w:p w14:paraId="6CAF2BF5" w14:textId="0DE7F4C9" w:rsidR="00750BD1" w:rsidRPr="0086054F" w:rsidRDefault="009B591C" w:rsidP="00750BD1">
      <w:pPr>
        <w:rPr>
          <w:lang w:eastAsia="en-AU"/>
        </w:rPr>
      </w:pPr>
      <w:r>
        <w:rPr>
          <w:lang w:eastAsia="en-AU"/>
        </w:rPr>
        <w:t>E</w:t>
      </w:r>
      <w:r w:rsidR="006831A3" w:rsidRPr="0086054F">
        <w:rPr>
          <w:lang w:eastAsia="en-AU"/>
        </w:rPr>
        <w:t xml:space="preserve">vidence for the </w:t>
      </w:r>
      <w:r w:rsidR="006831A3" w:rsidRPr="00F81BDB">
        <w:rPr>
          <w:rFonts w:asciiTheme="majorHAnsi" w:hAnsiTheme="majorHAnsi" w:cstheme="majorHAnsi"/>
          <w:lang w:eastAsia="en-AU"/>
        </w:rPr>
        <w:t>UK</w:t>
      </w:r>
      <w:r w:rsidR="006831A3" w:rsidRPr="0086054F">
        <w:rPr>
          <w:lang w:eastAsia="en-AU"/>
        </w:rPr>
        <w:t xml:space="preserve"> is strong. </w:t>
      </w:r>
      <w:r w:rsidR="008433CB">
        <w:rPr>
          <w:lang w:eastAsia="en-AU"/>
        </w:rPr>
        <w:t>While all</w:t>
      </w:r>
      <w:r w:rsidR="00876E0C" w:rsidRPr="0086054F">
        <w:rPr>
          <w:lang w:eastAsia="en-AU"/>
        </w:rPr>
        <w:t xml:space="preserve"> </w:t>
      </w:r>
      <w:r w:rsidR="00750BD1" w:rsidRPr="0086054F">
        <w:rPr>
          <w:lang w:eastAsia="en-AU"/>
        </w:rPr>
        <w:t>four independent studies o</w:t>
      </w:r>
      <w:r w:rsidR="00C90102" w:rsidRPr="0086054F">
        <w:rPr>
          <w:lang w:eastAsia="en-AU"/>
        </w:rPr>
        <w:t>f</w:t>
      </w:r>
      <w:r w:rsidR="00750BD1" w:rsidRPr="0086054F">
        <w:rPr>
          <w:lang w:eastAsia="en-AU"/>
        </w:rPr>
        <w:t xml:space="preserve"> the </w:t>
      </w:r>
      <w:r w:rsidR="00C90102" w:rsidRPr="0086054F">
        <w:rPr>
          <w:lang w:eastAsia="en-AU"/>
        </w:rPr>
        <w:t xml:space="preserve">impact of the </w:t>
      </w:r>
      <w:r w:rsidR="00750BD1" w:rsidRPr="0086054F">
        <w:rPr>
          <w:lang w:eastAsia="en-AU"/>
        </w:rPr>
        <w:t>Pupil Premium in the UK were by the same author</w:t>
      </w:r>
      <w:r w:rsidR="00EA0F82">
        <w:rPr>
          <w:lang w:eastAsia="en-AU"/>
        </w:rPr>
        <w:t>,</w:t>
      </w:r>
      <w:r w:rsidR="00775972" w:rsidRPr="0086054F">
        <w:rPr>
          <w:lang w:eastAsia="en-AU"/>
        </w:rPr>
        <w:t xml:space="preserve"> Stephen Gorard</w:t>
      </w:r>
      <w:r w:rsidR="00A652AC" w:rsidRPr="0086054F">
        <w:rPr>
          <w:lang w:eastAsia="en-AU"/>
        </w:rPr>
        <w:t xml:space="preserve"> (sometimes with others)</w:t>
      </w:r>
      <w:r w:rsidR="00EA0F82">
        <w:rPr>
          <w:lang w:eastAsia="en-AU"/>
        </w:rPr>
        <w:t>,</w:t>
      </w:r>
      <w:r w:rsidR="00775972" w:rsidRPr="0086054F">
        <w:rPr>
          <w:lang w:eastAsia="en-AU"/>
        </w:rPr>
        <w:t xml:space="preserve"> these analys</w:t>
      </w:r>
      <w:r w:rsidR="007772EB">
        <w:rPr>
          <w:lang w:eastAsia="en-AU"/>
        </w:rPr>
        <w:t>e</w:t>
      </w:r>
      <w:r w:rsidR="00775972" w:rsidRPr="0086054F">
        <w:rPr>
          <w:lang w:eastAsia="en-AU"/>
        </w:rPr>
        <w:t xml:space="preserve">s went beyond previous </w:t>
      </w:r>
      <w:r w:rsidR="00EA0F82">
        <w:rPr>
          <w:lang w:eastAsia="en-AU"/>
        </w:rPr>
        <w:t>research</w:t>
      </w:r>
      <w:r w:rsidR="00EA0F82" w:rsidRPr="0086054F">
        <w:rPr>
          <w:lang w:eastAsia="en-AU"/>
        </w:rPr>
        <w:t xml:space="preserve"> </w:t>
      </w:r>
      <w:r w:rsidR="00775972" w:rsidRPr="0086054F">
        <w:rPr>
          <w:lang w:eastAsia="en-AU"/>
        </w:rPr>
        <w:t xml:space="preserve">to </w:t>
      </w:r>
      <w:r w:rsidR="00616E1B">
        <w:rPr>
          <w:lang w:eastAsia="en-AU"/>
        </w:rPr>
        <w:t>assess</w:t>
      </w:r>
      <w:r w:rsidR="00616E1B" w:rsidRPr="0086054F">
        <w:rPr>
          <w:lang w:eastAsia="en-AU"/>
        </w:rPr>
        <w:t xml:space="preserve"> </w:t>
      </w:r>
      <w:r w:rsidR="00775972" w:rsidRPr="0086054F">
        <w:rPr>
          <w:lang w:eastAsia="en-AU"/>
        </w:rPr>
        <w:t>the prevalence of free</w:t>
      </w:r>
      <w:r w:rsidR="009D6567">
        <w:rPr>
          <w:lang w:eastAsia="en-AU"/>
        </w:rPr>
        <w:t xml:space="preserve"> </w:t>
      </w:r>
      <w:r w:rsidR="00775972" w:rsidRPr="0086054F">
        <w:rPr>
          <w:lang w:eastAsia="en-AU"/>
        </w:rPr>
        <w:t>school meal eligibility, private school attendance, duration of poverty and other factors</w:t>
      </w:r>
      <w:r w:rsidR="00616E1B">
        <w:rPr>
          <w:lang w:eastAsia="en-AU"/>
        </w:rPr>
        <w:t xml:space="preserve"> that may influence school diversity. The studies’ findings </w:t>
      </w:r>
      <w:r w:rsidR="007E2A78">
        <w:rPr>
          <w:lang w:eastAsia="en-AU"/>
        </w:rPr>
        <w:t xml:space="preserve">consistently </w:t>
      </w:r>
      <w:r w:rsidR="0038289A">
        <w:rPr>
          <w:lang w:eastAsia="en-AU"/>
        </w:rPr>
        <w:t xml:space="preserve">point to a significant decline in </w:t>
      </w:r>
      <w:r w:rsidR="00775972" w:rsidRPr="0086054F">
        <w:rPr>
          <w:lang w:eastAsia="en-AU"/>
        </w:rPr>
        <w:t>segregation</w:t>
      </w:r>
      <w:r w:rsidR="0038289A">
        <w:rPr>
          <w:lang w:eastAsia="en-AU"/>
        </w:rPr>
        <w:t xml:space="preserve"> that can be attributed at least in part to </w:t>
      </w:r>
      <w:r w:rsidR="00775972" w:rsidRPr="0086054F">
        <w:rPr>
          <w:lang w:eastAsia="en-AU"/>
        </w:rPr>
        <w:t>the introduction of the Pupil Premium in 2011.</w:t>
      </w:r>
      <w:r w:rsidR="006831A3" w:rsidRPr="0086054F">
        <w:rPr>
          <w:lang w:eastAsia="en-AU"/>
        </w:rPr>
        <w:t xml:space="preserve"> </w:t>
      </w:r>
      <w:r w:rsidR="0038289A">
        <w:rPr>
          <w:lang w:eastAsia="en-AU"/>
        </w:rPr>
        <w:t>As noted above, t</w:t>
      </w:r>
      <w:r w:rsidR="008433CB">
        <w:rPr>
          <w:lang w:eastAsia="en-AU"/>
        </w:rPr>
        <w:t>he positive educational and social diversity impact is also reflected in PISA and PIRLS results</w:t>
      </w:r>
      <w:r w:rsidR="006831A3" w:rsidRPr="0086054F">
        <w:rPr>
          <w:lang w:eastAsia="en-AU"/>
        </w:rPr>
        <w:t>.</w:t>
      </w:r>
      <w:r w:rsidR="008423C8" w:rsidRPr="0086054F">
        <w:rPr>
          <w:rStyle w:val="FootnoteReference"/>
          <w:lang w:eastAsia="en-AU"/>
        </w:rPr>
        <w:footnoteReference w:id="122"/>
      </w:r>
      <w:r w:rsidR="006831A3" w:rsidRPr="0086054F">
        <w:rPr>
          <w:lang w:eastAsia="en-AU"/>
        </w:rPr>
        <w:t xml:space="preserve"> </w:t>
      </w:r>
    </w:p>
    <w:p w14:paraId="27794456" w14:textId="150AE55B" w:rsidR="009B591C" w:rsidRDefault="009B591C" w:rsidP="002452C6">
      <w:pPr>
        <w:rPr>
          <w:lang w:eastAsia="en-AU"/>
        </w:rPr>
      </w:pPr>
      <w:r>
        <w:rPr>
          <w:lang w:eastAsia="en-AU"/>
        </w:rPr>
        <w:t xml:space="preserve">However, </w:t>
      </w:r>
      <w:r w:rsidR="00300ABF">
        <w:rPr>
          <w:lang w:eastAsia="en-AU"/>
        </w:rPr>
        <w:t>i</w:t>
      </w:r>
      <w:r w:rsidR="002452C6" w:rsidRPr="0086054F">
        <w:rPr>
          <w:lang w:eastAsia="en-AU"/>
        </w:rPr>
        <w:t xml:space="preserve">t unclear whether improved education outcomes are due to greater diversity </w:t>
      </w:r>
      <w:r w:rsidR="0038289A">
        <w:rPr>
          <w:lang w:eastAsia="en-AU"/>
        </w:rPr>
        <w:t>in school</w:t>
      </w:r>
      <w:r w:rsidR="00D1142B">
        <w:rPr>
          <w:lang w:eastAsia="en-AU"/>
        </w:rPr>
        <w:t xml:space="preserve"> (and resulting peer effects)</w:t>
      </w:r>
      <w:r w:rsidR="00BF282B">
        <w:rPr>
          <w:lang w:eastAsia="en-AU"/>
        </w:rPr>
        <w:t>,</w:t>
      </w:r>
      <w:r w:rsidR="0038289A">
        <w:rPr>
          <w:lang w:eastAsia="en-AU"/>
        </w:rPr>
        <w:t xml:space="preserve"> </w:t>
      </w:r>
      <w:r w:rsidR="002452C6" w:rsidRPr="0086054F">
        <w:rPr>
          <w:lang w:eastAsia="en-AU"/>
        </w:rPr>
        <w:t>higher resourc</w:t>
      </w:r>
      <w:r w:rsidR="0038289A">
        <w:rPr>
          <w:lang w:eastAsia="en-AU"/>
        </w:rPr>
        <w:t>ing level</w:t>
      </w:r>
      <w:r w:rsidR="002452C6" w:rsidRPr="0086054F">
        <w:rPr>
          <w:lang w:eastAsia="en-AU"/>
        </w:rPr>
        <w:t>s, or co</w:t>
      </w:r>
      <w:r w:rsidR="002452C6">
        <w:rPr>
          <w:lang w:eastAsia="en-AU"/>
        </w:rPr>
        <w:t xml:space="preserve">ncurrent initiatives such as </w:t>
      </w:r>
      <w:r w:rsidR="002452C6" w:rsidRPr="0086054F">
        <w:rPr>
          <w:lang w:eastAsia="en-AU"/>
        </w:rPr>
        <w:t xml:space="preserve">curriculum </w:t>
      </w:r>
      <w:r w:rsidR="002452C6">
        <w:rPr>
          <w:lang w:eastAsia="en-AU"/>
        </w:rPr>
        <w:t xml:space="preserve">and school governance </w:t>
      </w:r>
      <w:r w:rsidR="002452C6" w:rsidRPr="0086054F">
        <w:rPr>
          <w:lang w:eastAsia="en-AU"/>
        </w:rPr>
        <w:t>reform</w:t>
      </w:r>
      <w:r w:rsidR="00BF282B">
        <w:rPr>
          <w:lang w:eastAsia="en-AU"/>
        </w:rPr>
        <w:t xml:space="preserve"> (see</w:t>
      </w:r>
      <w:r w:rsidR="00B21030">
        <w:rPr>
          <w:lang w:eastAsia="en-AU"/>
        </w:rPr>
        <w:t xml:space="preserve"> section</w:t>
      </w:r>
      <w:r w:rsidR="00BF282B">
        <w:rPr>
          <w:lang w:eastAsia="en-AU"/>
        </w:rPr>
        <w:t xml:space="preserve"> </w:t>
      </w:r>
      <w:r w:rsidR="00B21030">
        <w:rPr>
          <w:lang w:eastAsia="en-AU"/>
        </w:rPr>
        <w:fldChar w:fldCharType="begin"/>
      </w:r>
      <w:r w:rsidR="00B21030">
        <w:rPr>
          <w:lang w:eastAsia="en-AU"/>
        </w:rPr>
        <w:instrText xml:space="preserve"> REF _Ref149045145 \n \h </w:instrText>
      </w:r>
      <w:r w:rsidR="00B21030">
        <w:rPr>
          <w:lang w:eastAsia="en-AU"/>
        </w:rPr>
      </w:r>
      <w:r w:rsidR="00B21030">
        <w:rPr>
          <w:lang w:eastAsia="en-AU"/>
        </w:rPr>
        <w:fldChar w:fldCharType="separate"/>
      </w:r>
      <w:r w:rsidR="009B7086">
        <w:rPr>
          <w:lang w:eastAsia="en-AU"/>
        </w:rPr>
        <w:t>3.10</w:t>
      </w:r>
      <w:r w:rsidR="00B21030">
        <w:rPr>
          <w:lang w:eastAsia="en-AU"/>
        </w:rPr>
        <w:fldChar w:fldCharType="end"/>
      </w:r>
      <w:r w:rsidR="00BF282B">
        <w:rPr>
          <w:lang w:eastAsia="en-AU"/>
        </w:rPr>
        <w:t>)</w:t>
      </w:r>
      <w:r w:rsidR="002452C6" w:rsidRPr="0086054F">
        <w:rPr>
          <w:lang w:eastAsia="en-AU"/>
        </w:rPr>
        <w:t>.</w:t>
      </w:r>
      <w:r w:rsidR="002452C6">
        <w:rPr>
          <w:lang w:eastAsia="en-AU"/>
        </w:rPr>
        <w:t xml:space="preserve"> </w:t>
      </w:r>
    </w:p>
    <w:p w14:paraId="463B2ECC" w14:textId="2C81F26F" w:rsidR="00127D55" w:rsidRPr="0086054F" w:rsidRDefault="0064209E" w:rsidP="00127D55">
      <w:pPr>
        <w:rPr>
          <w:lang w:eastAsia="en-AU"/>
        </w:rPr>
      </w:pPr>
      <w:r w:rsidRPr="00F81BDB">
        <w:rPr>
          <w:rFonts w:asciiTheme="majorHAnsi" w:hAnsiTheme="majorHAnsi" w:cstheme="majorHAnsi"/>
          <w:lang w:eastAsia="en-AU"/>
        </w:rPr>
        <w:t>Hong Kong</w:t>
      </w:r>
      <w:r w:rsidRPr="0086054F">
        <w:rPr>
          <w:lang w:eastAsia="en-AU"/>
        </w:rPr>
        <w:t xml:space="preserve"> overhauled its education system from 1997</w:t>
      </w:r>
      <w:r w:rsidR="00722AAA" w:rsidRPr="0086054F">
        <w:rPr>
          <w:lang w:eastAsia="en-AU"/>
        </w:rPr>
        <w:t xml:space="preserve">. </w:t>
      </w:r>
      <w:r w:rsidR="007529FD" w:rsidRPr="0086054F">
        <w:rPr>
          <w:lang w:eastAsia="en-AU"/>
        </w:rPr>
        <w:t xml:space="preserve">The </w:t>
      </w:r>
      <w:r w:rsidR="002A0F05">
        <w:rPr>
          <w:lang w:eastAsia="en-AU"/>
        </w:rPr>
        <w:t xml:space="preserve">school </w:t>
      </w:r>
      <w:r w:rsidR="007529FD" w:rsidRPr="0086054F">
        <w:rPr>
          <w:lang w:eastAsia="en-AU"/>
        </w:rPr>
        <w:t xml:space="preserve">funding system </w:t>
      </w:r>
      <w:r w:rsidR="00381AE8">
        <w:rPr>
          <w:lang w:eastAsia="en-AU"/>
        </w:rPr>
        <w:t>is</w:t>
      </w:r>
      <w:r w:rsidR="007529FD" w:rsidRPr="0086054F">
        <w:rPr>
          <w:lang w:eastAsia="en-AU"/>
        </w:rPr>
        <w:t xml:space="preserve"> </w:t>
      </w:r>
      <w:r w:rsidR="002A0F05">
        <w:rPr>
          <w:lang w:eastAsia="en-AU"/>
        </w:rPr>
        <w:t xml:space="preserve">but </w:t>
      </w:r>
      <w:r w:rsidR="007529FD" w:rsidRPr="0086054F">
        <w:rPr>
          <w:lang w:eastAsia="en-AU"/>
        </w:rPr>
        <w:t xml:space="preserve">one element of </w:t>
      </w:r>
      <w:r w:rsidR="00311C97" w:rsidRPr="0086054F">
        <w:rPr>
          <w:lang w:eastAsia="en-AU"/>
        </w:rPr>
        <w:t xml:space="preserve">its </w:t>
      </w:r>
      <w:r w:rsidR="002A0F05">
        <w:rPr>
          <w:lang w:eastAsia="en-AU"/>
        </w:rPr>
        <w:t>strong performance</w:t>
      </w:r>
      <w:r w:rsidR="00311C97" w:rsidRPr="0086054F">
        <w:rPr>
          <w:lang w:eastAsia="en-AU"/>
        </w:rPr>
        <w:t xml:space="preserve"> on</w:t>
      </w:r>
      <w:r w:rsidR="007529FD" w:rsidRPr="0086054F">
        <w:rPr>
          <w:lang w:eastAsia="en-AU"/>
        </w:rPr>
        <w:t xml:space="preserve"> </w:t>
      </w:r>
      <w:r w:rsidR="002A6651" w:rsidRPr="0086054F">
        <w:rPr>
          <w:lang w:eastAsia="en-AU"/>
        </w:rPr>
        <w:t xml:space="preserve">learning and </w:t>
      </w:r>
      <w:r w:rsidR="006500FF" w:rsidRPr="0086054F">
        <w:rPr>
          <w:lang w:eastAsia="en-AU"/>
        </w:rPr>
        <w:t xml:space="preserve">equity measures. Other </w:t>
      </w:r>
      <w:r w:rsidR="002A0F05">
        <w:rPr>
          <w:lang w:eastAsia="en-AU"/>
        </w:rPr>
        <w:t>influences on outcomes likely</w:t>
      </w:r>
      <w:r w:rsidR="002A0F05" w:rsidRPr="0086054F">
        <w:rPr>
          <w:lang w:eastAsia="en-AU"/>
        </w:rPr>
        <w:t xml:space="preserve"> </w:t>
      </w:r>
      <w:r w:rsidR="006500FF" w:rsidRPr="0086054F">
        <w:rPr>
          <w:lang w:eastAsia="en-AU"/>
        </w:rPr>
        <w:t>include</w:t>
      </w:r>
      <w:r w:rsidR="002A0F05">
        <w:rPr>
          <w:lang w:eastAsia="en-AU"/>
        </w:rPr>
        <w:t>:</w:t>
      </w:r>
      <w:r w:rsidR="006500FF" w:rsidRPr="0086054F">
        <w:rPr>
          <w:lang w:eastAsia="en-AU"/>
        </w:rPr>
        <w:t xml:space="preserve"> </w:t>
      </w:r>
      <w:r w:rsidR="00023126" w:rsidRPr="0086054F">
        <w:rPr>
          <w:lang w:eastAsia="en-AU"/>
        </w:rPr>
        <w:t xml:space="preserve">a modern curriculum and pedagogies </w:t>
      </w:r>
      <w:r w:rsidR="00935636" w:rsidRPr="0086054F">
        <w:rPr>
          <w:lang w:eastAsia="en-AU"/>
        </w:rPr>
        <w:t>that focus on learning for deep understanding and applications across different contexts</w:t>
      </w:r>
      <w:r w:rsidR="002A0F05">
        <w:rPr>
          <w:lang w:eastAsia="en-AU"/>
        </w:rPr>
        <w:t>;</w:t>
      </w:r>
      <w:r w:rsidR="00935636" w:rsidRPr="0086054F">
        <w:rPr>
          <w:lang w:eastAsia="en-AU"/>
        </w:rPr>
        <w:t xml:space="preserve"> </w:t>
      </w:r>
      <w:r w:rsidR="005C4EA0" w:rsidRPr="0086054F">
        <w:rPr>
          <w:lang w:eastAsia="en-AU"/>
        </w:rPr>
        <w:t xml:space="preserve">extension of </w:t>
      </w:r>
      <w:r w:rsidR="00A224E0" w:rsidRPr="0086054F">
        <w:rPr>
          <w:lang w:eastAsia="en-AU"/>
        </w:rPr>
        <w:t>compulsory</w:t>
      </w:r>
      <w:r w:rsidR="005C4EA0" w:rsidRPr="0086054F">
        <w:rPr>
          <w:lang w:eastAsia="en-AU"/>
        </w:rPr>
        <w:t xml:space="preserve"> secondary schooling </w:t>
      </w:r>
      <w:r w:rsidR="002A0F05">
        <w:rPr>
          <w:lang w:eastAsia="en-AU"/>
        </w:rPr>
        <w:t>to</w:t>
      </w:r>
      <w:r w:rsidR="002A0F05" w:rsidRPr="0086054F">
        <w:rPr>
          <w:lang w:eastAsia="en-AU"/>
        </w:rPr>
        <w:t xml:space="preserve"> </w:t>
      </w:r>
      <w:r w:rsidR="009B5A9D" w:rsidRPr="0086054F">
        <w:rPr>
          <w:lang w:eastAsia="en-AU"/>
        </w:rPr>
        <w:t>6 years</w:t>
      </w:r>
      <w:r w:rsidR="002A0F05">
        <w:rPr>
          <w:lang w:eastAsia="en-AU"/>
        </w:rPr>
        <w:t>;</w:t>
      </w:r>
      <w:r w:rsidR="009B5A9D" w:rsidRPr="0086054F">
        <w:rPr>
          <w:lang w:eastAsia="en-AU"/>
        </w:rPr>
        <w:t xml:space="preserve"> </w:t>
      </w:r>
      <w:r w:rsidR="00554C59" w:rsidRPr="0086054F">
        <w:rPr>
          <w:lang w:eastAsia="en-AU"/>
        </w:rPr>
        <w:t>investments</w:t>
      </w:r>
      <w:r w:rsidR="00023126" w:rsidRPr="0086054F">
        <w:rPr>
          <w:lang w:eastAsia="en-AU"/>
        </w:rPr>
        <w:t xml:space="preserve"> in </w:t>
      </w:r>
      <w:r w:rsidR="00A224E0" w:rsidRPr="0086054F">
        <w:rPr>
          <w:lang w:eastAsia="en-AU"/>
        </w:rPr>
        <w:t>teacher</w:t>
      </w:r>
      <w:r w:rsidR="00554C59" w:rsidRPr="0086054F">
        <w:rPr>
          <w:lang w:eastAsia="en-AU"/>
        </w:rPr>
        <w:t xml:space="preserve"> and school leader development</w:t>
      </w:r>
      <w:r w:rsidR="002A0F05">
        <w:rPr>
          <w:lang w:eastAsia="en-AU"/>
        </w:rPr>
        <w:t>;</w:t>
      </w:r>
      <w:r w:rsidR="00554C59" w:rsidRPr="0086054F">
        <w:rPr>
          <w:lang w:eastAsia="en-AU"/>
        </w:rPr>
        <w:t xml:space="preserve"> and</w:t>
      </w:r>
      <w:r w:rsidR="00023126" w:rsidRPr="0086054F">
        <w:rPr>
          <w:lang w:eastAsia="en-AU"/>
        </w:rPr>
        <w:t xml:space="preserve"> </w:t>
      </w:r>
      <w:r w:rsidR="00A224E0" w:rsidRPr="0086054F">
        <w:rPr>
          <w:lang w:eastAsia="en-AU"/>
        </w:rPr>
        <w:t xml:space="preserve">teaching being a high-status, </w:t>
      </w:r>
      <w:r w:rsidR="00043A78" w:rsidRPr="0086054F">
        <w:rPr>
          <w:lang w:eastAsia="en-AU"/>
        </w:rPr>
        <w:t>highly paid</w:t>
      </w:r>
      <w:r w:rsidR="00A224E0" w:rsidRPr="0086054F">
        <w:rPr>
          <w:lang w:eastAsia="en-AU"/>
        </w:rPr>
        <w:t xml:space="preserve"> profession. </w:t>
      </w:r>
      <w:r w:rsidR="00300ABF">
        <w:rPr>
          <w:lang w:eastAsia="en-AU"/>
        </w:rPr>
        <w:t>As noted earlier, 80</w:t>
      </w:r>
      <w:r w:rsidR="005F0774">
        <w:rPr>
          <w:lang w:eastAsia="en-AU"/>
        </w:rPr>
        <w:t xml:space="preserve"> per cent</w:t>
      </w:r>
      <w:r w:rsidR="00A224E0" w:rsidRPr="0086054F">
        <w:rPr>
          <w:lang w:eastAsia="en-AU"/>
        </w:rPr>
        <w:t xml:space="preserve"> of Hong Kong Schools are </w:t>
      </w:r>
      <w:r w:rsidR="009E729E" w:rsidRPr="0086054F">
        <w:rPr>
          <w:lang w:eastAsia="en-AU"/>
        </w:rPr>
        <w:t>run by charitabl</w:t>
      </w:r>
      <w:r w:rsidR="00043A78">
        <w:rPr>
          <w:lang w:eastAsia="en-AU"/>
        </w:rPr>
        <w:t xml:space="preserve">e </w:t>
      </w:r>
      <w:r w:rsidR="009E729E" w:rsidRPr="0086054F">
        <w:rPr>
          <w:lang w:eastAsia="en-AU"/>
        </w:rPr>
        <w:t xml:space="preserve">or religious </w:t>
      </w:r>
      <w:r w:rsidR="004D5F2D" w:rsidRPr="0086054F">
        <w:rPr>
          <w:lang w:eastAsia="en-AU"/>
        </w:rPr>
        <w:t>organisations</w:t>
      </w:r>
      <w:r w:rsidR="007076DD">
        <w:rPr>
          <w:lang w:eastAsia="en-AU"/>
        </w:rPr>
        <w:t xml:space="preserve">, </w:t>
      </w:r>
      <w:r w:rsidR="009E729E" w:rsidRPr="0086054F">
        <w:rPr>
          <w:lang w:eastAsia="en-AU"/>
        </w:rPr>
        <w:t>fully funded by the government</w:t>
      </w:r>
      <w:r w:rsidR="007076DD">
        <w:rPr>
          <w:lang w:eastAsia="en-AU"/>
        </w:rPr>
        <w:t>,</w:t>
      </w:r>
      <w:r w:rsidR="009E729E" w:rsidRPr="0086054F">
        <w:rPr>
          <w:lang w:eastAsia="en-AU"/>
        </w:rPr>
        <w:t xml:space="preserve"> and follow </w:t>
      </w:r>
      <w:r w:rsidR="002A0F05">
        <w:rPr>
          <w:lang w:eastAsia="en-AU"/>
        </w:rPr>
        <w:t>a national</w:t>
      </w:r>
      <w:r w:rsidR="002A0F05" w:rsidRPr="0086054F">
        <w:rPr>
          <w:lang w:eastAsia="en-AU"/>
        </w:rPr>
        <w:t xml:space="preserve"> </w:t>
      </w:r>
      <w:r w:rsidR="004D5F2D" w:rsidRPr="0086054F">
        <w:rPr>
          <w:lang w:eastAsia="en-AU"/>
        </w:rPr>
        <w:t>curriculum</w:t>
      </w:r>
      <w:r w:rsidR="002A0F05">
        <w:rPr>
          <w:lang w:eastAsia="en-AU"/>
        </w:rPr>
        <w:t xml:space="preserve"> underpinned by the availability of </w:t>
      </w:r>
      <w:r w:rsidR="000B493E">
        <w:rPr>
          <w:lang w:eastAsia="en-AU"/>
        </w:rPr>
        <w:t>h</w:t>
      </w:r>
      <w:r w:rsidR="000B493E" w:rsidRPr="0086054F">
        <w:rPr>
          <w:lang w:eastAsia="en-AU"/>
        </w:rPr>
        <w:t>igh-quality</w:t>
      </w:r>
      <w:r w:rsidR="003E5EBD" w:rsidRPr="0086054F">
        <w:rPr>
          <w:lang w:eastAsia="en-AU"/>
        </w:rPr>
        <w:t xml:space="preserve"> curriculum resources</w:t>
      </w:r>
      <w:r w:rsidR="00F667D0" w:rsidRPr="0086054F">
        <w:rPr>
          <w:lang w:eastAsia="en-AU"/>
        </w:rPr>
        <w:t xml:space="preserve">. </w:t>
      </w:r>
      <w:r w:rsidR="002A0F05">
        <w:rPr>
          <w:lang w:eastAsia="en-AU"/>
        </w:rPr>
        <w:t>Further, l</w:t>
      </w:r>
      <w:r w:rsidR="004D5F2D" w:rsidRPr="0086054F">
        <w:rPr>
          <w:lang w:eastAsia="en-AU"/>
        </w:rPr>
        <w:t xml:space="preserve">arge proportions of students </w:t>
      </w:r>
      <w:r w:rsidR="005043AA" w:rsidRPr="0086054F">
        <w:rPr>
          <w:lang w:eastAsia="en-AU"/>
        </w:rPr>
        <w:t>enrol</w:t>
      </w:r>
      <w:r w:rsidR="009450D7" w:rsidRPr="0086054F">
        <w:rPr>
          <w:lang w:eastAsia="en-AU"/>
        </w:rPr>
        <w:t xml:space="preserve"> in private after-school tuition to prepare for the admission exams for secondary school and university.</w:t>
      </w:r>
      <w:r w:rsidR="003E5EBD" w:rsidRPr="0086054F">
        <w:rPr>
          <w:rStyle w:val="FootnoteReference"/>
          <w:lang w:eastAsia="en-AU"/>
        </w:rPr>
        <w:footnoteReference w:id="123"/>
      </w:r>
    </w:p>
    <w:p w14:paraId="6D871339" w14:textId="22FAC0FD" w:rsidR="00440286" w:rsidRPr="00301A6F" w:rsidRDefault="004F747F" w:rsidP="00E07876">
      <w:pPr>
        <w:pStyle w:val="Heading3"/>
      </w:pPr>
      <w:r>
        <w:lastRenderedPageBreak/>
        <w:t>Transferability</w:t>
      </w:r>
    </w:p>
    <w:p w14:paraId="789D2A23" w14:textId="31E4BC8E" w:rsidR="008F7543" w:rsidRPr="0086054F" w:rsidRDefault="00F6544F" w:rsidP="008F7543">
      <w:pPr>
        <w:rPr>
          <w:lang w:eastAsia="en-AU"/>
        </w:rPr>
      </w:pPr>
      <w:r>
        <w:rPr>
          <w:noProof/>
        </w:rPr>
        <w:drawing>
          <wp:inline distT="0" distB="0" distL="0" distR="0" wp14:anchorId="6B003D21" wp14:editId="54F3C0D6">
            <wp:extent cx="5670551" cy="1659811"/>
            <wp:effectExtent l="0" t="0" r="6350" b="0"/>
            <wp:docPr id="1841959388" name="Picture 1841959388" descr="Lists the dimensions of transferability to the Australian context, with a high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59388" name="Picture 1841959388" descr="Lists the dimensions of transferability to the Australian context, with a high level of transferability to Australia. "/>
                    <pic:cNvPicPr/>
                  </pic:nvPicPr>
                  <pic:blipFill>
                    <a:blip r:embed="rId34">
                      <a:extLst>
                        <a:ext uri="{28A0092B-C50C-407E-A947-70E740481C1C}">
                          <a14:useLocalDpi xmlns:a14="http://schemas.microsoft.com/office/drawing/2010/main" val="0"/>
                        </a:ext>
                      </a:extLst>
                    </a:blip>
                    <a:stretch>
                      <a:fillRect/>
                    </a:stretch>
                  </pic:blipFill>
                  <pic:spPr>
                    <a:xfrm>
                      <a:off x="0" y="0"/>
                      <a:ext cx="5670551" cy="1659811"/>
                    </a:xfrm>
                    <a:prstGeom prst="rect">
                      <a:avLst/>
                    </a:prstGeom>
                  </pic:spPr>
                </pic:pic>
              </a:graphicData>
            </a:graphic>
          </wp:inline>
        </w:drawing>
      </w:r>
    </w:p>
    <w:p w14:paraId="16B61A32" w14:textId="18CD9C92" w:rsidR="006A5DB7" w:rsidRDefault="003A4268" w:rsidP="00DE3E4E">
      <w:pPr>
        <w:rPr>
          <w:lang w:eastAsia="en-AU"/>
        </w:rPr>
      </w:pPr>
      <w:r w:rsidRPr="0086054F">
        <w:rPr>
          <w:lang w:eastAsia="en-AU"/>
        </w:rPr>
        <w:t xml:space="preserve">The UK’s Pupil Premium </w:t>
      </w:r>
      <w:r w:rsidR="009D4FB2">
        <w:rPr>
          <w:lang w:eastAsia="en-AU"/>
        </w:rPr>
        <w:t xml:space="preserve">supplementary funding </w:t>
      </w:r>
      <w:r w:rsidR="00406118">
        <w:rPr>
          <w:lang w:eastAsia="en-AU"/>
        </w:rPr>
        <w:t xml:space="preserve">to state (public) schools </w:t>
      </w:r>
      <w:r w:rsidR="00335200">
        <w:rPr>
          <w:lang w:eastAsia="en-AU"/>
        </w:rPr>
        <w:t>complement</w:t>
      </w:r>
      <w:r w:rsidR="002A0F05">
        <w:rPr>
          <w:lang w:eastAsia="en-AU"/>
        </w:rPr>
        <w:t>s</w:t>
      </w:r>
      <w:r w:rsidR="00335200">
        <w:rPr>
          <w:lang w:eastAsia="en-AU"/>
        </w:rPr>
        <w:t xml:space="preserve"> </w:t>
      </w:r>
      <w:r w:rsidR="009D4FB2">
        <w:rPr>
          <w:lang w:eastAsia="en-AU"/>
        </w:rPr>
        <w:t xml:space="preserve">its </w:t>
      </w:r>
      <w:r w:rsidR="00335200">
        <w:rPr>
          <w:lang w:eastAsia="en-AU"/>
        </w:rPr>
        <w:t>needs-based funding</w:t>
      </w:r>
      <w:r w:rsidR="009D4FB2">
        <w:rPr>
          <w:lang w:eastAsia="en-AU"/>
        </w:rPr>
        <w:t xml:space="preserve"> allocation model</w:t>
      </w:r>
      <w:r w:rsidR="006E4E77">
        <w:rPr>
          <w:lang w:eastAsia="en-AU"/>
        </w:rPr>
        <w:t xml:space="preserve"> through the provision of supplementary funding to state (public) schools</w:t>
      </w:r>
      <w:r w:rsidR="000D6EAF">
        <w:rPr>
          <w:lang w:eastAsia="en-AU"/>
        </w:rPr>
        <w:t>.</w:t>
      </w:r>
      <w:r w:rsidRPr="0086054F">
        <w:rPr>
          <w:lang w:eastAsia="en-AU"/>
        </w:rPr>
        <w:t xml:space="preserve"> It is a simpler model</w:t>
      </w:r>
      <w:r w:rsidR="006E4E77">
        <w:rPr>
          <w:lang w:eastAsia="en-AU"/>
        </w:rPr>
        <w:t xml:space="preserve"> than Australia’s school funding formula</w:t>
      </w:r>
      <w:r w:rsidRPr="0086054F">
        <w:rPr>
          <w:lang w:eastAsia="en-AU"/>
        </w:rPr>
        <w:t xml:space="preserve">, </w:t>
      </w:r>
      <w:r w:rsidR="006E4E77">
        <w:rPr>
          <w:lang w:eastAsia="en-AU"/>
        </w:rPr>
        <w:t>and</w:t>
      </w:r>
      <w:r w:rsidR="006E4E77" w:rsidRPr="0086054F">
        <w:rPr>
          <w:lang w:eastAsia="en-AU"/>
        </w:rPr>
        <w:t xml:space="preserve"> </w:t>
      </w:r>
      <w:r w:rsidRPr="0086054F">
        <w:rPr>
          <w:lang w:eastAsia="en-AU"/>
        </w:rPr>
        <w:t xml:space="preserve">has </w:t>
      </w:r>
      <w:r w:rsidR="006E4E77">
        <w:rPr>
          <w:lang w:eastAsia="en-AU"/>
        </w:rPr>
        <w:t xml:space="preserve">the </w:t>
      </w:r>
      <w:r w:rsidRPr="0086054F">
        <w:rPr>
          <w:lang w:eastAsia="en-AU"/>
        </w:rPr>
        <w:t>advantage</w:t>
      </w:r>
      <w:r w:rsidR="006E4E77">
        <w:rPr>
          <w:lang w:eastAsia="en-AU"/>
        </w:rPr>
        <w:t xml:space="preserve"> of making it easier</w:t>
      </w:r>
      <w:r w:rsidRPr="0086054F">
        <w:rPr>
          <w:lang w:eastAsia="en-AU"/>
        </w:rPr>
        <w:t xml:space="preserve"> to ‘follow the money</w:t>
      </w:r>
      <w:r w:rsidR="00745235">
        <w:rPr>
          <w:lang w:eastAsia="en-AU"/>
        </w:rPr>
        <w:t>.</w:t>
      </w:r>
      <w:r w:rsidRPr="0086054F">
        <w:rPr>
          <w:lang w:eastAsia="en-AU"/>
        </w:rPr>
        <w:t xml:space="preserve">’ </w:t>
      </w:r>
      <w:r w:rsidR="00745235">
        <w:rPr>
          <w:lang w:eastAsia="en-AU"/>
        </w:rPr>
        <w:t>The</w:t>
      </w:r>
      <w:r w:rsidR="00F0197A">
        <w:rPr>
          <w:lang w:eastAsia="en-AU"/>
        </w:rPr>
        <w:t xml:space="preserve"> </w:t>
      </w:r>
      <w:r w:rsidRPr="0086054F">
        <w:rPr>
          <w:lang w:eastAsia="en-AU"/>
        </w:rPr>
        <w:t>downside i</w:t>
      </w:r>
      <w:r w:rsidR="00745235">
        <w:rPr>
          <w:lang w:eastAsia="en-AU"/>
        </w:rPr>
        <w:t>s</w:t>
      </w:r>
      <w:r w:rsidRPr="0086054F">
        <w:rPr>
          <w:lang w:eastAsia="en-AU"/>
        </w:rPr>
        <w:t xml:space="preserve"> its ‘black-and-white’ eligibility</w:t>
      </w:r>
      <w:r w:rsidR="00745235">
        <w:rPr>
          <w:lang w:eastAsia="en-AU"/>
        </w:rPr>
        <w:t xml:space="preserve"> (i.e.</w:t>
      </w:r>
      <w:r w:rsidR="00E439EC">
        <w:rPr>
          <w:lang w:eastAsia="en-AU"/>
        </w:rPr>
        <w:t>,</w:t>
      </w:r>
      <w:r w:rsidR="00745235">
        <w:rPr>
          <w:lang w:eastAsia="en-AU"/>
        </w:rPr>
        <w:t xml:space="preserve"> </w:t>
      </w:r>
      <w:r w:rsidR="006A5DB7">
        <w:rPr>
          <w:lang w:eastAsia="en-AU"/>
        </w:rPr>
        <w:t>in terms of a student being part of the ‘free lunch’ program or not)</w:t>
      </w:r>
      <w:r w:rsidRPr="0086054F">
        <w:rPr>
          <w:lang w:eastAsia="en-AU"/>
        </w:rPr>
        <w:t xml:space="preserve">. </w:t>
      </w:r>
    </w:p>
    <w:p w14:paraId="28D2B654" w14:textId="1C9E79E9" w:rsidR="00813FA8" w:rsidRDefault="006A5DB7" w:rsidP="00DE3E4E">
      <w:pPr>
        <w:rPr>
          <w:lang w:eastAsia="en-AU"/>
        </w:rPr>
      </w:pPr>
      <w:r>
        <w:rPr>
          <w:lang w:eastAsia="en-AU"/>
        </w:rPr>
        <w:t xml:space="preserve">An intervention similar to a Pupil Premium would be </w:t>
      </w:r>
      <w:r w:rsidR="003A4268" w:rsidRPr="0086054F">
        <w:rPr>
          <w:lang w:eastAsia="en-AU"/>
        </w:rPr>
        <w:t xml:space="preserve">highly scalable </w:t>
      </w:r>
      <w:r>
        <w:rPr>
          <w:lang w:eastAsia="en-AU"/>
        </w:rPr>
        <w:t xml:space="preserve">in </w:t>
      </w:r>
      <w:r w:rsidR="00D50FF4">
        <w:rPr>
          <w:lang w:eastAsia="en-AU"/>
        </w:rPr>
        <w:t>Australia and</w:t>
      </w:r>
      <w:r>
        <w:rPr>
          <w:lang w:eastAsia="en-AU"/>
        </w:rPr>
        <w:t xml:space="preserve"> could </w:t>
      </w:r>
      <w:r w:rsidR="003A4268" w:rsidRPr="0086054F">
        <w:rPr>
          <w:lang w:eastAsia="en-AU"/>
        </w:rPr>
        <w:t>be implemented if approached as a</w:t>
      </w:r>
      <w:r w:rsidR="00D96AEF">
        <w:rPr>
          <w:lang w:eastAsia="en-AU"/>
        </w:rPr>
        <w:t xml:space="preserve"> complement</w:t>
      </w:r>
      <w:r w:rsidR="003A4268" w:rsidRPr="0086054F">
        <w:rPr>
          <w:lang w:eastAsia="en-AU"/>
        </w:rPr>
        <w:t xml:space="preserve"> to the current </w:t>
      </w:r>
      <w:r w:rsidR="001832AC">
        <w:rPr>
          <w:lang w:eastAsia="en-AU"/>
        </w:rPr>
        <w:t>needs-based funding</w:t>
      </w:r>
      <w:r w:rsidR="003A4268" w:rsidRPr="0086054F">
        <w:rPr>
          <w:lang w:eastAsia="en-AU"/>
        </w:rPr>
        <w:t xml:space="preserve"> models </w:t>
      </w:r>
      <w:r w:rsidR="006066E0">
        <w:rPr>
          <w:lang w:eastAsia="en-AU"/>
        </w:rPr>
        <w:t>that apply loadings based on school factors of disadvantage as well as student characteristics</w:t>
      </w:r>
      <w:r w:rsidR="001478E8">
        <w:rPr>
          <w:lang w:eastAsia="en-AU"/>
        </w:rPr>
        <w:t>.</w:t>
      </w:r>
      <w:r w:rsidR="00250FD7">
        <w:rPr>
          <w:lang w:eastAsia="en-AU"/>
        </w:rPr>
        <w:t xml:space="preserve"> </w:t>
      </w:r>
      <w:r w:rsidR="006066E0">
        <w:rPr>
          <w:lang w:eastAsia="en-AU"/>
        </w:rPr>
        <w:t xml:space="preserve">It </w:t>
      </w:r>
      <w:r w:rsidR="003A4268" w:rsidRPr="0086054F">
        <w:rPr>
          <w:lang w:eastAsia="en-AU"/>
        </w:rPr>
        <w:t>would require careful design and tight controls on implementation to ensure fair and consistent distribution proportionate to relative need, and effective accountability for use of the funds. The information required to make funding decisions c</w:t>
      </w:r>
      <w:r w:rsidR="00813FA8">
        <w:rPr>
          <w:lang w:eastAsia="en-AU"/>
        </w:rPr>
        <w:t>ould</w:t>
      </w:r>
      <w:r w:rsidR="003A4268" w:rsidRPr="0086054F">
        <w:rPr>
          <w:lang w:eastAsia="en-AU"/>
        </w:rPr>
        <w:t xml:space="preserve"> be readily sourced and integrated with other data sets to support effective targeting. </w:t>
      </w:r>
    </w:p>
    <w:p w14:paraId="677CB2B8" w14:textId="2A5875FA" w:rsidR="00547D0E" w:rsidRDefault="003A4268" w:rsidP="00DE3E4E">
      <w:pPr>
        <w:rPr>
          <w:lang w:eastAsia="en-AU"/>
        </w:rPr>
      </w:pPr>
      <w:r w:rsidRPr="0086054F">
        <w:rPr>
          <w:lang w:eastAsia="en-AU"/>
        </w:rPr>
        <w:t>Needs-based funding holds strong public support</w:t>
      </w:r>
      <w:r w:rsidR="00813FA8">
        <w:rPr>
          <w:rStyle w:val="FootnoteReference"/>
          <w:lang w:eastAsia="en-AU"/>
        </w:rPr>
        <w:footnoteReference w:id="124"/>
      </w:r>
      <w:r w:rsidR="00813FA8">
        <w:rPr>
          <w:lang w:eastAsia="en-AU"/>
        </w:rPr>
        <w:t xml:space="preserve"> and so it is likely that a variation of a Pupil Premium would similarly be welcomed</w:t>
      </w:r>
      <w:r w:rsidRPr="0086054F">
        <w:rPr>
          <w:lang w:eastAsia="en-AU"/>
        </w:rPr>
        <w:t>.</w:t>
      </w:r>
      <w:r w:rsidR="00813FA8">
        <w:rPr>
          <w:lang w:eastAsia="en-AU"/>
        </w:rPr>
        <w:t xml:space="preserve"> As with previous school funding reforms, however, i</w:t>
      </w:r>
      <w:r w:rsidRPr="0086054F">
        <w:rPr>
          <w:lang w:eastAsia="en-AU"/>
        </w:rPr>
        <w:t xml:space="preserve">mplementation difficulty </w:t>
      </w:r>
      <w:r w:rsidR="00813FA8">
        <w:rPr>
          <w:lang w:eastAsia="en-AU"/>
        </w:rPr>
        <w:t xml:space="preserve">would </w:t>
      </w:r>
      <w:r w:rsidRPr="0086054F">
        <w:rPr>
          <w:lang w:eastAsia="en-AU"/>
        </w:rPr>
        <w:t>depend on the extent to which a new model w</w:t>
      </w:r>
      <w:r w:rsidR="00813FA8">
        <w:rPr>
          <w:lang w:eastAsia="en-AU"/>
        </w:rPr>
        <w:t>ould</w:t>
      </w:r>
      <w:r w:rsidRPr="0086054F">
        <w:rPr>
          <w:lang w:eastAsia="en-AU"/>
        </w:rPr>
        <w:t xml:space="preserve"> create ‘winners and losers’ among schools</w:t>
      </w:r>
      <w:r w:rsidR="00AF5869">
        <w:rPr>
          <w:lang w:eastAsia="en-AU"/>
        </w:rPr>
        <w:t>.</w:t>
      </w:r>
    </w:p>
    <w:p w14:paraId="0A2DB11A" w14:textId="77777777" w:rsidR="00547D0E" w:rsidRDefault="00547D0E">
      <w:pPr>
        <w:spacing w:after="160"/>
        <w:rPr>
          <w:lang w:eastAsia="en-AU"/>
        </w:rPr>
      </w:pPr>
      <w:r>
        <w:rPr>
          <w:lang w:eastAsia="en-AU"/>
        </w:rPr>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8974DD" w14:paraId="7F1BB507" w14:textId="77777777">
        <w:tc>
          <w:tcPr>
            <w:tcW w:w="9401" w:type="dxa"/>
            <w:tcBorders>
              <w:top w:val="single" w:sz="24" w:space="0" w:color="0070C0"/>
              <w:left w:val="nil"/>
              <w:bottom w:val="nil"/>
              <w:right w:val="nil"/>
            </w:tcBorders>
            <w:shd w:val="clear" w:color="auto" w:fill="E6E6E1" w:themeFill="accent5"/>
            <w:vAlign w:val="center"/>
          </w:tcPr>
          <w:p w14:paraId="6EB05E39" w14:textId="1D093ABD" w:rsidR="008974DD" w:rsidRDefault="00C01E6C">
            <w:pPr>
              <w:pStyle w:val="Heading2"/>
              <w:spacing w:before="120" w:after="120" w:line="240" w:lineRule="auto"/>
              <w:ind w:left="578" w:hanging="578"/>
            </w:pPr>
            <w:bookmarkStart w:id="26" w:name="_Ref149048873"/>
            <w:bookmarkStart w:id="27" w:name="_Toc149052456"/>
            <w:r>
              <w:lastRenderedPageBreak/>
              <w:t>I</w:t>
            </w:r>
            <w:r w:rsidR="008974DD">
              <w:t>ncentives to educators</w:t>
            </w:r>
            <w:bookmarkEnd w:id="26"/>
            <w:bookmarkEnd w:id="27"/>
          </w:p>
        </w:tc>
      </w:tr>
      <w:tr w:rsidR="008974DD" w14:paraId="502BF89E" w14:textId="77777777">
        <w:tc>
          <w:tcPr>
            <w:tcW w:w="9401" w:type="dxa"/>
            <w:tcBorders>
              <w:top w:val="nil"/>
              <w:left w:val="nil"/>
              <w:bottom w:val="single" w:sz="4" w:space="0" w:color="0070C0"/>
              <w:right w:val="nil"/>
            </w:tcBorders>
            <w:shd w:val="clear" w:color="auto" w:fill="F2F2F2" w:themeFill="background1" w:themeFillShade="F2"/>
            <w:tcMar>
              <w:top w:w="113" w:type="dxa"/>
            </w:tcMar>
            <w:vAlign w:val="bottom"/>
          </w:tcPr>
          <w:p w14:paraId="64FCC55A" w14:textId="77777777" w:rsidR="008974DD" w:rsidRPr="00130948" w:rsidRDefault="008974DD">
            <w:r>
              <w:rPr>
                <w:noProof/>
              </w:rPr>
              <w:drawing>
                <wp:inline distT="0" distB="0" distL="0" distR="0" wp14:anchorId="490123E9" wp14:editId="2639C6C8">
                  <wp:extent cx="3530172" cy="270665"/>
                  <wp:effectExtent l="0" t="0" r="0" b="0"/>
                  <wp:docPr id="107238723" name="Picture 10723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8723" name="Picture 107238723">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41EDA6F5" w14:textId="77777777" w:rsidR="008974DD" w:rsidRDefault="008974DD" w:rsidP="008974DD">
      <w:pPr>
        <w:rPr>
          <w:lang w:eastAsia="en-AU"/>
        </w:rPr>
      </w:pPr>
    </w:p>
    <w:p w14:paraId="4523C5A4" w14:textId="31E9BAEE" w:rsidR="0022376F" w:rsidRDefault="00C85553" w:rsidP="008801BC">
      <w:r>
        <w:t>M</w:t>
      </w:r>
      <w:r w:rsidR="008801BC">
        <w:t xml:space="preserve">any systems worldwide use financial </w:t>
      </w:r>
      <w:r w:rsidR="000721FF">
        <w:t xml:space="preserve">and other </w:t>
      </w:r>
      <w:r w:rsidR="008801BC">
        <w:t xml:space="preserve">incentives </w:t>
      </w:r>
      <w:r w:rsidR="00185824">
        <w:t>to encourage</w:t>
      </w:r>
      <w:r w:rsidR="008801BC">
        <w:t xml:space="preserve"> individual teachers and school leaders to</w:t>
      </w:r>
      <w:r w:rsidR="006D2127">
        <w:t xml:space="preserve"> move to</w:t>
      </w:r>
      <w:r w:rsidR="00ED6A26">
        <w:t>,</w:t>
      </w:r>
      <w:r w:rsidR="008801BC">
        <w:t xml:space="preserve"> work in</w:t>
      </w:r>
      <w:r w:rsidR="00277157">
        <w:t>,</w:t>
      </w:r>
      <w:r w:rsidR="008801BC">
        <w:t xml:space="preserve"> and remain in hard</w:t>
      </w:r>
      <w:r w:rsidR="0051005B">
        <w:t>-</w:t>
      </w:r>
      <w:r w:rsidR="008801BC">
        <w:t>to</w:t>
      </w:r>
      <w:r w:rsidR="0051005B">
        <w:t>-</w:t>
      </w:r>
      <w:r w:rsidR="008801BC">
        <w:t>staff schools</w:t>
      </w:r>
      <w:r w:rsidR="0051005B">
        <w:t>. These often include schools</w:t>
      </w:r>
      <w:r w:rsidR="008801BC">
        <w:t xml:space="preserve"> in rural and remote areas</w:t>
      </w:r>
      <w:r w:rsidR="00F61E2C">
        <w:t>,</w:t>
      </w:r>
      <w:r w:rsidR="008801BC">
        <w:t xml:space="preserve"> or </w:t>
      </w:r>
      <w:r w:rsidR="00F61E2C">
        <w:t xml:space="preserve">those </w:t>
      </w:r>
      <w:r w:rsidR="008801BC">
        <w:t xml:space="preserve">with </w:t>
      </w:r>
      <w:r w:rsidR="000721FF">
        <w:t xml:space="preserve">high </w:t>
      </w:r>
      <w:r w:rsidR="008801BC">
        <w:t>concentrat</w:t>
      </w:r>
      <w:r w:rsidR="0051005B">
        <w:t>ions of</w:t>
      </w:r>
      <w:r w:rsidR="008801BC">
        <w:t xml:space="preserve"> disadvantage. In some places, th</w:t>
      </w:r>
      <w:r w:rsidR="0051005B">
        <w:t>ese incentives</w:t>
      </w:r>
      <w:r w:rsidR="008801BC">
        <w:t xml:space="preserve"> extend to professional learning </w:t>
      </w:r>
      <w:r w:rsidR="0051005B">
        <w:t>offerings</w:t>
      </w:r>
      <w:r w:rsidR="00744697">
        <w:t xml:space="preserve"> over and above what might be regarded as ‘standard’ opportunities</w:t>
      </w:r>
      <w:r w:rsidR="008801BC">
        <w:t>.</w:t>
      </w:r>
    </w:p>
    <w:p w14:paraId="5C59B654" w14:textId="5BE172D0" w:rsidR="0027664C" w:rsidRPr="0027664C" w:rsidRDefault="00744697" w:rsidP="0027664C">
      <w:pPr>
        <w:rPr>
          <w:lang w:eastAsia="en-AU"/>
        </w:rPr>
      </w:pPr>
      <w:r>
        <w:t>Such i</w:t>
      </w:r>
      <w:r w:rsidR="0022376F">
        <w:t xml:space="preserve">ncentives can be </w:t>
      </w:r>
      <w:r w:rsidR="00167C06">
        <w:t>both</w:t>
      </w:r>
      <w:r w:rsidR="0022376F">
        <w:t xml:space="preserve"> ‘direct’ </w:t>
      </w:r>
      <w:r w:rsidR="00167C06">
        <w:t>and</w:t>
      </w:r>
      <w:r w:rsidR="0022376F">
        <w:t xml:space="preserve"> ‘indirect.’ Direct financial incentives refer to an outright payment </w:t>
      </w:r>
      <w:r w:rsidR="00A965F5">
        <w:t>for educators</w:t>
      </w:r>
      <w:r w:rsidR="0022376F">
        <w:t>, such as a salary increase</w:t>
      </w:r>
      <w:r w:rsidR="00227DDA">
        <w:t xml:space="preserve"> or performance bonus</w:t>
      </w:r>
      <w:r w:rsidR="0022376F">
        <w:t xml:space="preserve">. Indirect incentives pertain to rewards or benefits that </w:t>
      </w:r>
      <w:r w:rsidR="00A965F5">
        <w:t xml:space="preserve">would be expected to </w:t>
      </w:r>
      <w:r w:rsidR="005754CF">
        <w:t xml:space="preserve">result in </w:t>
      </w:r>
      <w:r w:rsidR="00A965F5">
        <w:t xml:space="preserve">financial </w:t>
      </w:r>
      <w:r w:rsidR="002D0F84">
        <w:t>benefit or relief</w:t>
      </w:r>
      <w:r w:rsidR="00A965F5">
        <w:t xml:space="preserve"> over time</w:t>
      </w:r>
      <w:r w:rsidR="00987C30">
        <w:t xml:space="preserve"> – </w:t>
      </w:r>
      <w:r w:rsidR="00A965F5">
        <w:t>for example</w:t>
      </w:r>
      <w:r w:rsidR="0022376F">
        <w:t xml:space="preserve">, </w:t>
      </w:r>
      <w:r w:rsidR="00B15AD0">
        <w:t xml:space="preserve">forgiveness of student debt or </w:t>
      </w:r>
      <w:r w:rsidR="00DF6860">
        <w:t>prioritisation for promotio</w:t>
      </w:r>
      <w:r w:rsidR="00A965F5">
        <w:t>n</w:t>
      </w:r>
      <w:r w:rsidR="0022376F">
        <w:t>.</w:t>
      </w:r>
    </w:p>
    <w:p w14:paraId="65CE3781" w14:textId="77777777" w:rsidR="008974DD" w:rsidRDefault="008974DD" w:rsidP="008974DD">
      <w:pPr>
        <w:pStyle w:val="Heading3"/>
      </w:pPr>
      <w:r>
        <w:t>Drivers and objectives</w:t>
      </w:r>
    </w:p>
    <w:p w14:paraId="196DE11A" w14:textId="5CE3732D" w:rsidR="00DE58D1" w:rsidRDefault="009B6427" w:rsidP="0056502A">
      <w:pPr>
        <w:rPr>
          <w:lang w:eastAsia="en-AU"/>
        </w:rPr>
      </w:pPr>
      <w:r>
        <w:rPr>
          <w:lang w:eastAsia="en-AU"/>
        </w:rPr>
        <w:t>It is well-established that highly effective teachers are the most powerful in-school contributor to improved student educational outcomes, followed by highly effective school leaders.</w:t>
      </w:r>
      <w:r>
        <w:rPr>
          <w:rStyle w:val="FootnoteReference"/>
          <w:lang w:eastAsia="en-AU"/>
        </w:rPr>
        <w:footnoteReference w:id="125"/>
      </w:r>
      <w:r>
        <w:rPr>
          <w:lang w:eastAsia="en-AU"/>
        </w:rPr>
        <w:t xml:space="preserve"> </w:t>
      </w:r>
      <w:r w:rsidR="00E77634">
        <w:rPr>
          <w:lang w:eastAsia="en-AU"/>
        </w:rPr>
        <w:t xml:space="preserve">Financial </w:t>
      </w:r>
      <w:r w:rsidR="006272D7">
        <w:rPr>
          <w:lang w:eastAsia="en-AU"/>
        </w:rPr>
        <w:t>incentives to educators</w:t>
      </w:r>
      <w:r w:rsidR="003E6203">
        <w:rPr>
          <w:lang w:eastAsia="en-AU"/>
        </w:rPr>
        <w:t xml:space="preserve"> </w:t>
      </w:r>
      <w:r w:rsidR="003753D2">
        <w:rPr>
          <w:lang w:eastAsia="en-AU"/>
        </w:rPr>
        <w:t>are a response</w:t>
      </w:r>
      <w:r w:rsidR="005F5FE2">
        <w:rPr>
          <w:lang w:eastAsia="en-AU"/>
        </w:rPr>
        <w:t xml:space="preserve"> to </w:t>
      </w:r>
      <w:r w:rsidR="0026572B">
        <w:rPr>
          <w:lang w:eastAsia="en-AU"/>
        </w:rPr>
        <w:t xml:space="preserve">evidence </w:t>
      </w:r>
      <w:r w:rsidR="00987C30">
        <w:rPr>
          <w:lang w:eastAsia="en-AU"/>
        </w:rPr>
        <w:t xml:space="preserve">that </w:t>
      </w:r>
      <w:r w:rsidR="00B51D41">
        <w:rPr>
          <w:lang w:eastAsia="en-AU"/>
        </w:rPr>
        <w:t xml:space="preserve">schools in </w:t>
      </w:r>
      <w:r w:rsidR="009139C1">
        <w:rPr>
          <w:lang w:eastAsia="en-AU"/>
        </w:rPr>
        <w:t xml:space="preserve">rural and </w:t>
      </w:r>
      <w:r>
        <w:rPr>
          <w:lang w:eastAsia="en-AU"/>
        </w:rPr>
        <w:t xml:space="preserve">remote </w:t>
      </w:r>
      <w:r w:rsidR="00730ABE">
        <w:rPr>
          <w:lang w:eastAsia="en-AU"/>
        </w:rPr>
        <w:t>locations</w:t>
      </w:r>
      <w:r w:rsidR="00B51D41">
        <w:rPr>
          <w:lang w:eastAsia="en-AU"/>
        </w:rPr>
        <w:t>, or with high concentrations of disadvantage,</w:t>
      </w:r>
      <w:r>
        <w:rPr>
          <w:lang w:eastAsia="en-AU"/>
        </w:rPr>
        <w:t xml:space="preserve"> are less likely to attract and retain </w:t>
      </w:r>
      <w:r w:rsidR="00CF65BD">
        <w:rPr>
          <w:lang w:eastAsia="en-AU"/>
        </w:rPr>
        <w:t xml:space="preserve">highly effective </w:t>
      </w:r>
      <w:r w:rsidR="00BE37F0">
        <w:rPr>
          <w:lang w:eastAsia="en-AU"/>
        </w:rPr>
        <w:t xml:space="preserve">and Masters-qualified </w:t>
      </w:r>
      <w:r w:rsidR="00CF65BD">
        <w:rPr>
          <w:lang w:eastAsia="en-AU"/>
        </w:rPr>
        <w:t>teachers</w:t>
      </w:r>
      <w:r w:rsidR="00BE37F0">
        <w:rPr>
          <w:lang w:eastAsia="en-AU"/>
        </w:rPr>
        <w:t>.</w:t>
      </w:r>
      <w:r w:rsidR="0026572B">
        <w:rPr>
          <w:rStyle w:val="FootnoteReference"/>
          <w:lang w:eastAsia="en-AU"/>
        </w:rPr>
        <w:footnoteReference w:id="126"/>
      </w:r>
      <w:r w:rsidR="00156A81">
        <w:rPr>
          <w:lang w:eastAsia="en-AU"/>
        </w:rPr>
        <w:t xml:space="preserve"> </w:t>
      </w:r>
      <w:r w:rsidR="00011BCB">
        <w:rPr>
          <w:lang w:eastAsia="en-AU"/>
        </w:rPr>
        <w:t xml:space="preserve">This evidence suggests that working in complex and highly disadvantaged schools is seen </w:t>
      </w:r>
      <w:r w:rsidR="00BE7782">
        <w:rPr>
          <w:lang w:eastAsia="en-AU"/>
        </w:rPr>
        <w:t xml:space="preserve">or experienced in different ways. </w:t>
      </w:r>
      <w:r w:rsidR="00820780">
        <w:rPr>
          <w:lang w:eastAsia="en-AU"/>
        </w:rPr>
        <w:t xml:space="preserve">While </w:t>
      </w:r>
      <w:r w:rsidR="00AF2F11">
        <w:rPr>
          <w:lang w:eastAsia="en-AU"/>
        </w:rPr>
        <w:t xml:space="preserve">some teachers seek out opportunities to work </w:t>
      </w:r>
      <w:r w:rsidR="00136C60">
        <w:rPr>
          <w:lang w:eastAsia="en-AU"/>
        </w:rPr>
        <w:t xml:space="preserve">in </w:t>
      </w:r>
      <w:r w:rsidR="00B51D41">
        <w:rPr>
          <w:lang w:eastAsia="en-AU"/>
        </w:rPr>
        <w:t xml:space="preserve">such settings </w:t>
      </w:r>
      <w:r w:rsidR="00CD6D8B">
        <w:rPr>
          <w:lang w:eastAsia="en-AU"/>
        </w:rPr>
        <w:t>for the professional challenge</w:t>
      </w:r>
      <w:r w:rsidR="00AF2F11">
        <w:rPr>
          <w:lang w:eastAsia="en-AU"/>
        </w:rPr>
        <w:t xml:space="preserve"> and </w:t>
      </w:r>
      <w:r w:rsidR="00CD6D8B">
        <w:rPr>
          <w:lang w:eastAsia="en-AU"/>
        </w:rPr>
        <w:t>satisfaction</w:t>
      </w:r>
      <w:r w:rsidR="00121AB8">
        <w:rPr>
          <w:lang w:eastAsia="en-AU"/>
        </w:rPr>
        <w:t>, others</w:t>
      </w:r>
      <w:r w:rsidR="00136C60">
        <w:rPr>
          <w:lang w:eastAsia="en-AU"/>
        </w:rPr>
        <w:t xml:space="preserve"> </w:t>
      </w:r>
      <w:r w:rsidR="00BE7782">
        <w:rPr>
          <w:lang w:eastAsia="en-AU"/>
        </w:rPr>
        <w:t xml:space="preserve">– particularly in systems </w:t>
      </w:r>
      <w:r w:rsidR="002B74C1">
        <w:rPr>
          <w:lang w:eastAsia="en-AU"/>
        </w:rPr>
        <w:t>which post newly graduated teachers to far-</w:t>
      </w:r>
      <w:r w:rsidR="00820780">
        <w:rPr>
          <w:lang w:eastAsia="en-AU"/>
        </w:rPr>
        <w:t>flung</w:t>
      </w:r>
      <w:r w:rsidR="002B74C1">
        <w:rPr>
          <w:lang w:eastAsia="en-AU"/>
        </w:rPr>
        <w:t xml:space="preserve"> or difficult locations</w:t>
      </w:r>
      <w:r w:rsidR="00136C60">
        <w:rPr>
          <w:lang w:eastAsia="en-AU"/>
        </w:rPr>
        <w:t xml:space="preserve"> – see it as a</w:t>
      </w:r>
      <w:r w:rsidR="00671686">
        <w:rPr>
          <w:lang w:eastAsia="en-AU"/>
        </w:rPr>
        <w:t xml:space="preserve"> way to ‘</w:t>
      </w:r>
      <w:r w:rsidR="002B74C1">
        <w:rPr>
          <w:lang w:eastAsia="en-AU"/>
        </w:rPr>
        <w:t>earn</w:t>
      </w:r>
      <w:r w:rsidR="00671686">
        <w:rPr>
          <w:lang w:eastAsia="en-AU"/>
        </w:rPr>
        <w:t>’</w:t>
      </w:r>
      <w:r w:rsidR="002B74C1">
        <w:rPr>
          <w:lang w:eastAsia="en-AU"/>
        </w:rPr>
        <w:t xml:space="preserve"> the </w:t>
      </w:r>
      <w:r w:rsidR="00F02003">
        <w:rPr>
          <w:lang w:eastAsia="en-AU"/>
        </w:rPr>
        <w:t>right to move to an easier location</w:t>
      </w:r>
      <w:r w:rsidR="00820780">
        <w:rPr>
          <w:lang w:eastAsia="en-AU"/>
        </w:rPr>
        <w:t xml:space="preserve"> within the public system</w:t>
      </w:r>
      <w:r w:rsidR="00121AB8">
        <w:rPr>
          <w:lang w:eastAsia="en-AU"/>
        </w:rPr>
        <w:t xml:space="preserve">. </w:t>
      </w:r>
      <w:r w:rsidR="00CD6D8B">
        <w:rPr>
          <w:lang w:eastAsia="en-AU"/>
        </w:rPr>
        <w:t xml:space="preserve">Among both groups, </w:t>
      </w:r>
      <w:r w:rsidR="00121AB8">
        <w:rPr>
          <w:lang w:eastAsia="en-AU"/>
        </w:rPr>
        <w:t>teachers become burnt out or demoralised</w:t>
      </w:r>
      <w:r w:rsidR="00011BCB">
        <w:rPr>
          <w:lang w:eastAsia="en-AU"/>
        </w:rPr>
        <w:t xml:space="preserve"> from</w:t>
      </w:r>
      <w:r w:rsidR="00931409">
        <w:rPr>
          <w:lang w:eastAsia="en-AU"/>
        </w:rPr>
        <w:t xml:space="preserve"> </w:t>
      </w:r>
      <w:r w:rsidR="00CD6D8B">
        <w:rPr>
          <w:lang w:eastAsia="en-AU"/>
        </w:rPr>
        <w:t>the difficult working</w:t>
      </w:r>
      <w:r w:rsidR="00121AB8">
        <w:rPr>
          <w:lang w:eastAsia="en-AU"/>
        </w:rPr>
        <w:t xml:space="preserve"> </w:t>
      </w:r>
      <w:r w:rsidR="00B51D41">
        <w:rPr>
          <w:lang w:eastAsia="en-AU"/>
        </w:rPr>
        <w:t>conditions</w:t>
      </w:r>
      <w:r w:rsidR="00121AB8">
        <w:rPr>
          <w:lang w:eastAsia="en-AU"/>
        </w:rPr>
        <w:t xml:space="preserve"> with inadequate support, recognition or reward, and opt for</w:t>
      </w:r>
      <w:r w:rsidR="00125F47">
        <w:rPr>
          <w:lang w:eastAsia="en-AU"/>
        </w:rPr>
        <w:t xml:space="preserve"> schools </w:t>
      </w:r>
      <w:r w:rsidR="00121AB8">
        <w:rPr>
          <w:lang w:eastAsia="en-AU"/>
        </w:rPr>
        <w:t xml:space="preserve">in more advantaged areas or </w:t>
      </w:r>
      <w:r w:rsidR="009405A8">
        <w:rPr>
          <w:lang w:eastAsia="en-AU"/>
        </w:rPr>
        <w:t xml:space="preserve">the </w:t>
      </w:r>
      <w:r w:rsidR="00125F47">
        <w:rPr>
          <w:lang w:eastAsia="en-AU"/>
        </w:rPr>
        <w:t>private sector</w:t>
      </w:r>
      <w:r w:rsidR="00917B06">
        <w:rPr>
          <w:lang w:eastAsia="en-AU"/>
        </w:rPr>
        <w:t>,</w:t>
      </w:r>
      <w:r w:rsidR="00125F47">
        <w:rPr>
          <w:lang w:eastAsia="en-AU"/>
        </w:rPr>
        <w:t xml:space="preserve"> which typically offers higher pay</w:t>
      </w:r>
      <w:r w:rsidR="00121AB8">
        <w:rPr>
          <w:lang w:eastAsia="en-AU"/>
        </w:rPr>
        <w:t xml:space="preserve"> and greater supports</w:t>
      </w:r>
      <w:r w:rsidR="00B51D41">
        <w:rPr>
          <w:lang w:eastAsia="en-AU"/>
        </w:rPr>
        <w:t xml:space="preserve"> for the teachers </w:t>
      </w:r>
      <w:r w:rsidR="000E6F58">
        <w:rPr>
          <w:lang w:eastAsia="en-AU"/>
        </w:rPr>
        <w:t xml:space="preserve">(such as administrative and technical support) </w:t>
      </w:r>
      <w:r w:rsidR="00B51D41">
        <w:rPr>
          <w:lang w:eastAsia="en-AU"/>
        </w:rPr>
        <w:t>and students</w:t>
      </w:r>
      <w:r w:rsidR="00775D78">
        <w:rPr>
          <w:lang w:eastAsia="en-AU"/>
        </w:rPr>
        <w:t xml:space="preserve"> (more </w:t>
      </w:r>
      <w:r w:rsidR="00E21ABB">
        <w:rPr>
          <w:lang w:eastAsia="en-AU"/>
        </w:rPr>
        <w:t>individual and small group tuition, onsite counsellors etc)</w:t>
      </w:r>
      <w:r w:rsidR="00121AB8">
        <w:rPr>
          <w:lang w:eastAsia="en-AU"/>
        </w:rPr>
        <w:t xml:space="preserve">, </w:t>
      </w:r>
      <w:r w:rsidR="00B51D41">
        <w:rPr>
          <w:lang w:eastAsia="en-AU"/>
        </w:rPr>
        <w:t>allowing teachers more time to teach</w:t>
      </w:r>
      <w:r w:rsidR="00125F47">
        <w:rPr>
          <w:lang w:eastAsia="en-AU"/>
        </w:rPr>
        <w:t>.</w:t>
      </w:r>
      <w:r w:rsidR="00BC4F1A">
        <w:rPr>
          <w:rStyle w:val="FootnoteReference"/>
          <w:lang w:eastAsia="en-AU"/>
        </w:rPr>
        <w:footnoteReference w:id="127"/>
      </w:r>
      <w:r w:rsidR="00BC4F1A">
        <w:rPr>
          <w:lang w:eastAsia="en-AU"/>
        </w:rPr>
        <w:t xml:space="preserve"> </w:t>
      </w:r>
    </w:p>
    <w:p w14:paraId="0CD2C55E" w14:textId="1A1DE178" w:rsidR="00446408" w:rsidRDefault="00DE58D1" w:rsidP="0056502A">
      <w:pPr>
        <w:rPr>
          <w:lang w:eastAsia="en-AU"/>
        </w:rPr>
      </w:pPr>
      <w:r>
        <w:rPr>
          <w:lang w:eastAsia="en-AU"/>
        </w:rPr>
        <w:t>It follows that s</w:t>
      </w:r>
      <w:r w:rsidR="00416AD9">
        <w:rPr>
          <w:lang w:eastAsia="en-AU"/>
        </w:rPr>
        <w:t xml:space="preserve">chools with concentrations of disadvantage are therefore more likely </w:t>
      </w:r>
      <w:r w:rsidR="00416AD9" w:rsidRPr="0008229A">
        <w:rPr>
          <w:lang w:eastAsia="en-AU"/>
        </w:rPr>
        <w:t>to</w:t>
      </w:r>
      <w:r w:rsidR="009A2B99">
        <w:rPr>
          <w:lang w:eastAsia="en-AU"/>
        </w:rPr>
        <w:t>:</w:t>
      </w:r>
      <w:r w:rsidR="00416AD9" w:rsidRPr="0008229A">
        <w:rPr>
          <w:lang w:eastAsia="en-AU"/>
        </w:rPr>
        <w:t xml:space="preserve"> experience staff shortages</w:t>
      </w:r>
      <w:r w:rsidR="00416AD9">
        <w:rPr>
          <w:lang w:eastAsia="en-AU"/>
        </w:rPr>
        <w:t xml:space="preserve">, struggle to retain highly effective educators, </w:t>
      </w:r>
      <w:r w:rsidR="00416AD9" w:rsidRPr="0008229A">
        <w:rPr>
          <w:lang w:eastAsia="en-AU"/>
        </w:rPr>
        <w:t xml:space="preserve">and </w:t>
      </w:r>
      <w:r w:rsidR="00416AD9">
        <w:rPr>
          <w:lang w:eastAsia="en-AU"/>
        </w:rPr>
        <w:t>employ the least experienced, least qualified teachers.</w:t>
      </w:r>
      <w:r w:rsidR="00416AD9">
        <w:rPr>
          <w:rStyle w:val="FootnoteReference"/>
          <w:lang w:eastAsia="en-AU"/>
        </w:rPr>
        <w:footnoteReference w:id="128"/>
      </w:r>
      <w:r w:rsidR="00416AD9">
        <w:rPr>
          <w:lang w:eastAsia="en-AU"/>
        </w:rPr>
        <w:t xml:space="preserve"> </w:t>
      </w:r>
      <w:r w:rsidR="00153286">
        <w:rPr>
          <w:lang w:eastAsia="en-AU"/>
        </w:rPr>
        <w:t>T</w:t>
      </w:r>
      <w:r w:rsidR="00B36F02">
        <w:rPr>
          <w:lang w:eastAsia="en-AU"/>
        </w:rPr>
        <w:t>h</w:t>
      </w:r>
      <w:r w:rsidR="00480793">
        <w:rPr>
          <w:lang w:eastAsia="en-AU"/>
        </w:rPr>
        <w:t>is</w:t>
      </w:r>
      <w:r w:rsidR="00153286">
        <w:rPr>
          <w:lang w:eastAsia="en-AU"/>
        </w:rPr>
        <w:t xml:space="preserve"> negatively impact</w:t>
      </w:r>
      <w:r w:rsidR="00416AD9">
        <w:rPr>
          <w:lang w:eastAsia="en-AU"/>
        </w:rPr>
        <w:t>s</w:t>
      </w:r>
      <w:r w:rsidR="00153286">
        <w:rPr>
          <w:lang w:eastAsia="en-AU"/>
        </w:rPr>
        <w:t xml:space="preserve"> the quality and continuity of </w:t>
      </w:r>
      <w:r w:rsidR="00847626">
        <w:rPr>
          <w:lang w:eastAsia="en-AU"/>
        </w:rPr>
        <w:t>students’ education</w:t>
      </w:r>
      <w:r w:rsidR="009C3BD6">
        <w:rPr>
          <w:lang w:eastAsia="en-AU"/>
        </w:rPr>
        <w:t xml:space="preserve"> </w:t>
      </w:r>
      <w:r w:rsidR="004A0232">
        <w:rPr>
          <w:lang w:eastAsia="en-AU"/>
        </w:rPr>
        <w:t>and</w:t>
      </w:r>
      <w:r w:rsidR="009C3BD6">
        <w:rPr>
          <w:lang w:eastAsia="en-AU"/>
        </w:rPr>
        <w:t xml:space="preserve"> perpetuates </w:t>
      </w:r>
      <w:r w:rsidR="00791D09">
        <w:rPr>
          <w:lang w:eastAsia="en-AU"/>
        </w:rPr>
        <w:t xml:space="preserve">a cycle </w:t>
      </w:r>
      <w:r w:rsidR="009C3BD6">
        <w:rPr>
          <w:lang w:eastAsia="en-AU"/>
        </w:rPr>
        <w:t>of</w:t>
      </w:r>
      <w:r w:rsidR="00531F61">
        <w:rPr>
          <w:lang w:eastAsia="en-AU"/>
        </w:rPr>
        <w:t xml:space="preserve"> </w:t>
      </w:r>
      <w:r w:rsidR="007155B4">
        <w:rPr>
          <w:lang w:eastAsia="en-AU"/>
        </w:rPr>
        <w:t>residualisation</w:t>
      </w:r>
      <w:r w:rsidR="00B14FC9">
        <w:rPr>
          <w:lang w:eastAsia="en-AU"/>
        </w:rPr>
        <w:t>,</w:t>
      </w:r>
      <w:r w:rsidR="007772CB">
        <w:rPr>
          <w:lang w:eastAsia="en-AU"/>
        </w:rPr>
        <w:t xml:space="preserve"> </w:t>
      </w:r>
      <w:r w:rsidR="002B637C">
        <w:rPr>
          <w:lang w:eastAsia="en-AU"/>
        </w:rPr>
        <w:t xml:space="preserve">making </w:t>
      </w:r>
      <w:r w:rsidR="00954BA2">
        <w:rPr>
          <w:lang w:eastAsia="en-AU"/>
        </w:rPr>
        <w:t>it harder for the remaining students and teachers</w:t>
      </w:r>
      <w:r w:rsidR="007155B4">
        <w:rPr>
          <w:lang w:eastAsia="en-AU"/>
        </w:rPr>
        <w:t xml:space="preserve"> to maintain a positive learning environment</w:t>
      </w:r>
      <w:r w:rsidR="009970A5">
        <w:rPr>
          <w:lang w:eastAsia="en-AU"/>
        </w:rPr>
        <w:t>.</w:t>
      </w:r>
      <w:r w:rsidR="00327149">
        <w:rPr>
          <w:rStyle w:val="FootnoteReference"/>
          <w:lang w:eastAsia="en-AU"/>
        </w:rPr>
        <w:footnoteReference w:id="129"/>
      </w:r>
      <w:r w:rsidR="009970A5">
        <w:rPr>
          <w:lang w:eastAsia="en-AU"/>
        </w:rPr>
        <w:t xml:space="preserve"> </w:t>
      </w:r>
    </w:p>
    <w:p w14:paraId="1F3F9D04" w14:textId="161ACF73" w:rsidR="00E77634" w:rsidRPr="0056502A" w:rsidRDefault="00046A40" w:rsidP="0056502A">
      <w:pPr>
        <w:rPr>
          <w:lang w:eastAsia="en-AU"/>
        </w:rPr>
      </w:pPr>
      <w:r>
        <w:rPr>
          <w:lang w:eastAsia="en-AU"/>
        </w:rPr>
        <w:t>Conversely, h</w:t>
      </w:r>
      <w:r w:rsidR="00DD56FC">
        <w:rPr>
          <w:lang w:eastAsia="en-AU"/>
        </w:rPr>
        <w:t xml:space="preserve">aving </w:t>
      </w:r>
      <w:r w:rsidR="005370F2">
        <w:rPr>
          <w:lang w:eastAsia="en-AU"/>
        </w:rPr>
        <w:t xml:space="preserve">high proportions of </w:t>
      </w:r>
      <w:r w:rsidR="00496984">
        <w:rPr>
          <w:lang w:eastAsia="en-AU"/>
        </w:rPr>
        <w:t>highly-skilled</w:t>
      </w:r>
      <w:r w:rsidR="005370F2">
        <w:rPr>
          <w:lang w:eastAsia="en-AU"/>
        </w:rPr>
        <w:t xml:space="preserve"> </w:t>
      </w:r>
      <w:r w:rsidR="00DD56FC">
        <w:rPr>
          <w:lang w:eastAsia="en-AU"/>
        </w:rPr>
        <w:t xml:space="preserve">teachers in disadvantaged schools </w:t>
      </w:r>
      <w:r>
        <w:rPr>
          <w:lang w:eastAsia="en-AU"/>
        </w:rPr>
        <w:t>can</w:t>
      </w:r>
      <w:r w:rsidR="00680D03">
        <w:rPr>
          <w:lang w:eastAsia="en-AU"/>
        </w:rPr>
        <w:t xml:space="preserve"> contribute to </w:t>
      </w:r>
      <w:r w:rsidR="00DD56FC">
        <w:rPr>
          <w:lang w:eastAsia="en-AU"/>
        </w:rPr>
        <w:t>their success.</w:t>
      </w:r>
      <w:r w:rsidR="00962D6F">
        <w:rPr>
          <w:rStyle w:val="FootnoteReference"/>
          <w:lang w:eastAsia="en-AU"/>
        </w:rPr>
        <w:footnoteReference w:id="130"/>
      </w:r>
      <w:r w:rsidR="00550B48">
        <w:rPr>
          <w:lang w:eastAsia="en-AU"/>
        </w:rPr>
        <w:t xml:space="preserve"> </w:t>
      </w:r>
      <w:r w:rsidR="00680D03">
        <w:rPr>
          <w:lang w:eastAsia="en-AU"/>
        </w:rPr>
        <w:t>If</w:t>
      </w:r>
      <w:r w:rsidR="0003357B">
        <w:rPr>
          <w:lang w:eastAsia="en-AU"/>
        </w:rPr>
        <w:t xml:space="preserve"> there is</w:t>
      </w:r>
      <w:r w:rsidR="00680D03">
        <w:rPr>
          <w:lang w:eastAsia="en-AU"/>
        </w:rPr>
        <w:t xml:space="preserve"> </w:t>
      </w:r>
      <w:r w:rsidR="00A35BA5">
        <w:rPr>
          <w:lang w:eastAsia="en-AU"/>
        </w:rPr>
        <w:t xml:space="preserve">a turnaround in academic performance in those schools, </w:t>
      </w:r>
      <w:r w:rsidR="00680D03">
        <w:rPr>
          <w:lang w:eastAsia="en-AU"/>
        </w:rPr>
        <w:t xml:space="preserve">arguably </w:t>
      </w:r>
      <w:r w:rsidR="004E1B2A">
        <w:rPr>
          <w:lang w:eastAsia="en-AU"/>
        </w:rPr>
        <w:t xml:space="preserve">aspirational and advantaged families </w:t>
      </w:r>
      <w:r w:rsidR="005C2974">
        <w:rPr>
          <w:lang w:eastAsia="en-AU"/>
        </w:rPr>
        <w:t xml:space="preserve">will be more </w:t>
      </w:r>
      <w:r w:rsidR="003B62B0">
        <w:rPr>
          <w:lang w:eastAsia="en-AU"/>
        </w:rPr>
        <w:t xml:space="preserve">likely to </w:t>
      </w:r>
      <w:r w:rsidR="005C2974">
        <w:rPr>
          <w:lang w:eastAsia="en-AU"/>
        </w:rPr>
        <w:t xml:space="preserve">send or keep their children there, countering the residualisation trend. </w:t>
      </w:r>
    </w:p>
    <w:p w14:paraId="773B8181" w14:textId="25447D8D" w:rsidR="008974DD" w:rsidRDefault="008974DD" w:rsidP="008974DD">
      <w:pPr>
        <w:pStyle w:val="Heading3"/>
      </w:pPr>
      <w:r>
        <w:lastRenderedPageBreak/>
        <w:t>Operation and locations</w:t>
      </w:r>
    </w:p>
    <w:p w14:paraId="5F4D1B1B" w14:textId="399745D2" w:rsidR="00B3726A" w:rsidRPr="00F81BDB" w:rsidRDefault="009D7D09" w:rsidP="00A76921">
      <w:pPr>
        <w:pStyle w:val="Heading6"/>
        <w:rPr>
          <w:i w:val="0"/>
        </w:rPr>
      </w:pPr>
      <w:r w:rsidRPr="00F81BDB">
        <w:rPr>
          <w:i w:val="0"/>
        </w:rPr>
        <w:t>Direct incentives</w:t>
      </w:r>
    </w:p>
    <w:p w14:paraId="14FE545C" w14:textId="07791A6C" w:rsidR="009D7D09" w:rsidRDefault="00D7673F" w:rsidP="00E3336B">
      <w:pPr>
        <w:rPr>
          <w:rFonts w:asciiTheme="majorHAnsi" w:hAnsiTheme="majorHAnsi" w:cstheme="majorHAnsi"/>
        </w:rPr>
      </w:pPr>
      <w:r w:rsidRPr="008801BC">
        <w:t xml:space="preserve">Golden Hello, offered in some regions of </w:t>
      </w:r>
      <w:r w:rsidRPr="00A76921">
        <w:rPr>
          <w:rFonts w:asciiTheme="majorHAnsi" w:hAnsiTheme="majorHAnsi" w:cstheme="majorHAnsi"/>
        </w:rPr>
        <w:t>England</w:t>
      </w:r>
      <w:r w:rsidRPr="008801BC">
        <w:t xml:space="preserve">, </w:t>
      </w:r>
      <w:r>
        <w:t>provides</w:t>
      </w:r>
      <w:r w:rsidRPr="008801BC">
        <w:t xml:space="preserve"> financial incentives to attract teachers to areas with teacher shortages, including highly disadvantaged schools. </w:t>
      </w:r>
      <w:r>
        <w:t>The program targets</w:t>
      </w:r>
      <w:r w:rsidRPr="008801BC">
        <w:t xml:space="preserve"> early career teachers and teachers qualified to teach specific subjects with</w:t>
      </w:r>
      <w:r w:rsidR="00EC3654">
        <w:t>in</w:t>
      </w:r>
      <w:r w:rsidRPr="008801BC">
        <w:t xml:space="preserve"> specific schools and local </w:t>
      </w:r>
      <w:r w:rsidR="00214A5B" w:rsidRPr="008801BC">
        <w:t>authorities</w:t>
      </w:r>
      <w:r w:rsidR="00214A5B">
        <w:t xml:space="preserve"> and provides </w:t>
      </w:r>
      <w:r w:rsidRPr="008801BC">
        <w:t xml:space="preserve">greater </w:t>
      </w:r>
      <w:r>
        <w:t xml:space="preserve">payments </w:t>
      </w:r>
      <w:r w:rsidRPr="008801BC">
        <w:t xml:space="preserve">for </w:t>
      </w:r>
      <w:r w:rsidR="00214A5B">
        <w:t xml:space="preserve">those teaching in </w:t>
      </w:r>
      <w:r w:rsidRPr="008801BC">
        <w:t>high needs schools.</w:t>
      </w:r>
      <w:r w:rsidRPr="008801BC">
        <w:rPr>
          <w:vertAlign w:val="superscript"/>
        </w:rPr>
        <w:footnoteReference w:id="131"/>
      </w:r>
    </w:p>
    <w:p w14:paraId="2DCE1BFC" w14:textId="6F25E46A" w:rsidR="004B2DB3" w:rsidRPr="008801BC" w:rsidRDefault="00D91D80" w:rsidP="004B2DB3">
      <w:r>
        <w:rPr>
          <w:rFonts w:asciiTheme="minorHAnsi" w:hAnsiTheme="minorHAnsi" w:cstheme="minorHAnsi"/>
        </w:rPr>
        <w:t>Many</w:t>
      </w:r>
      <w:r>
        <w:rPr>
          <w:rFonts w:asciiTheme="majorHAnsi" w:hAnsiTheme="majorHAnsi" w:cstheme="majorHAnsi"/>
        </w:rPr>
        <w:t xml:space="preserve"> </w:t>
      </w:r>
      <w:r w:rsidR="004B2DB3" w:rsidRPr="008801BC">
        <w:rPr>
          <w:rFonts w:asciiTheme="majorHAnsi" w:hAnsiTheme="majorHAnsi" w:cstheme="majorHAnsi"/>
        </w:rPr>
        <w:t>Canad</w:t>
      </w:r>
      <w:r w:rsidR="00B21BD4">
        <w:rPr>
          <w:rFonts w:asciiTheme="majorHAnsi" w:hAnsiTheme="majorHAnsi" w:cstheme="majorHAnsi"/>
        </w:rPr>
        <w:t>i</w:t>
      </w:r>
      <w:r w:rsidR="004B2DB3" w:rsidRPr="008801BC">
        <w:rPr>
          <w:rFonts w:asciiTheme="majorHAnsi" w:hAnsiTheme="majorHAnsi" w:cstheme="majorHAnsi"/>
        </w:rPr>
        <w:t>a</w:t>
      </w:r>
      <w:r w:rsidR="00B21BD4">
        <w:rPr>
          <w:rFonts w:asciiTheme="majorHAnsi" w:hAnsiTheme="majorHAnsi" w:cstheme="majorHAnsi"/>
        </w:rPr>
        <w:t>n</w:t>
      </w:r>
      <w:r w:rsidR="004B2DB3">
        <w:rPr>
          <w:rFonts w:asciiTheme="majorHAnsi" w:hAnsiTheme="majorHAnsi" w:cstheme="majorHAnsi"/>
        </w:rPr>
        <w:t xml:space="preserve"> </w:t>
      </w:r>
      <w:r w:rsidR="00B21BD4">
        <w:t xml:space="preserve">provinces </w:t>
      </w:r>
      <w:r w:rsidR="004B2DB3">
        <w:t>offer</w:t>
      </w:r>
      <w:r>
        <w:t xml:space="preserve"> financial incentives for educators working in regional and remote areas, </w:t>
      </w:r>
      <w:r w:rsidR="0054505A">
        <w:t xml:space="preserve">typically including a combination of additional </w:t>
      </w:r>
      <w:r w:rsidR="00475EB4">
        <w:t xml:space="preserve">allowances, </w:t>
      </w:r>
      <w:r w:rsidR="001D42FB">
        <w:t>financial student bursaries, subsidised accommodation or travel</w:t>
      </w:r>
      <w:r w:rsidR="004B2DB3">
        <w:t>.</w:t>
      </w:r>
      <w:r w:rsidR="00E43E2F">
        <w:rPr>
          <w:rStyle w:val="FootnoteReference"/>
        </w:rPr>
        <w:footnoteReference w:id="132"/>
      </w:r>
      <w:r w:rsidR="004B2DB3">
        <w:t xml:space="preserve"> </w:t>
      </w:r>
      <w:r w:rsidR="00D94608">
        <w:t xml:space="preserve">Yukon offers </w:t>
      </w:r>
      <w:r w:rsidR="00EC3886">
        <w:t xml:space="preserve">additional allowances for educators in rural communities and </w:t>
      </w:r>
      <w:r w:rsidR="005C05A4">
        <w:t>a ‘Yukon bonus’ to offset travel costs.</w:t>
      </w:r>
      <w:r w:rsidR="00260CB9">
        <w:t xml:space="preserve"> </w:t>
      </w:r>
      <w:r w:rsidR="005C05A4">
        <w:t xml:space="preserve">Educators become eligible for the bonus after the first </w:t>
      </w:r>
      <w:r w:rsidR="0003390A">
        <w:t xml:space="preserve">two </w:t>
      </w:r>
      <w:r w:rsidR="0003390A" w:rsidRPr="0003390A">
        <w:t>years of continuous service and every year thereafter on the continuous service date.</w:t>
      </w:r>
      <w:r w:rsidR="00380C63">
        <w:rPr>
          <w:rStyle w:val="FootnoteReference"/>
        </w:rPr>
        <w:footnoteReference w:id="133"/>
      </w:r>
      <w:r w:rsidR="0003390A" w:rsidRPr="0003390A">
        <w:t xml:space="preserve"> </w:t>
      </w:r>
      <w:r w:rsidR="0003390A">
        <w:t xml:space="preserve">Other </w:t>
      </w:r>
      <w:r w:rsidR="005518E6">
        <w:t>provinces</w:t>
      </w:r>
      <w:r w:rsidR="0037510C">
        <w:t xml:space="preserve"> and territories offer</w:t>
      </w:r>
      <w:r w:rsidR="00EB10DB">
        <w:t xml:space="preserve"> </w:t>
      </w:r>
      <w:r w:rsidR="003D35B5">
        <w:t xml:space="preserve">allowances </w:t>
      </w:r>
      <w:r w:rsidR="00D031E6">
        <w:t xml:space="preserve">to </w:t>
      </w:r>
      <w:r w:rsidR="00A66E99">
        <w:t xml:space="preserve">allow </w:t>
      </w:r>
      <w:r w:rsidR="00D031E6">
        <w:t xml:space="preserve">teachers who work in remote or northern communities to offset the higher cost of living in these areas. </w:t>
      </w:r>
      <w:r w:rsidR="00444B36">
        <w:t>In 2023, t</w:t>
      </w:r>
      <w:r w:rsidR="004B2DB3">
        <w:t>he</w:t>
      </w:r>
      <w:r w:rsidR="004B2DB3" w:rsidRPr="008801BC">
        <w:t xml:space="preserve"> Rural British Columbia District offer</w:t>
      </w:r>
      <w:r w:rsidR="00444B36">
        <w:t>ed</w:t>
      </w:r>
      <w:r w:rsidR="004B2DB3" w:rsidRPr="008801BC">
        <w:t xml:space="preserve"> ‘Welcome to Community’ awards</w:t>
      </w:r>
      <w:r w:rsidR="00CB0733">
        <w:t>,</w:t>
      </w:r>
      <w:r w:rsidR="004B2DB3" w:rsidRPr="008801BC">
        <w:t xml:space="preserve"> providing </w:t>
      </w:r>
      <w:r w:rsidR="00796FAB" w:rsidRPr="00796FAB">
        <w:t>$10,000 cash welcome gifts</w:t>
      </w:r>
      <w:r w:rsidR="00796FAB" w:rsidRPr="00796FAB" w:rsidDel="00796FAB">
        <w:t xml:space="preserve"> </w:t>
      </w:r>
      <w:r w:rsidR="004B2DB3" w:rsidRPr="008801BC">
        <w:t>to attract new teachers, with higher incentives for teachers agreeing to move to small towns and communities. These are funded by an anonymous donor</w:t>
      </w:r>
      <w:r w:rsidR="008E33A1">
        <w:t xml:space="preserve"> rather than government</w:t>
      </w:r>
      <w:r w:rsidR="004B2DB3">
        <w:t>.</w:t>
      </w:r>
      <w:r w:rsidR="004B2DB3" w:rsidRPr="008801BC">
        <w:rPr>
          <w:vertAlign w:val="superscript"/>
        </w:rPr>
        <w:footnoteReference w:id="134"/>
      </w:r>
    </w:p>
    <w:p w14:paraId="5CE54128" w14:textId="192029A8" w:rsidR="00866608" w:rsidRPr="00F81BDB" w:rsidRDefault="00B461BA" w:rsidP="00E3336B">
      <w:r w:rsidRPr="008801BC">
        <w:rPr>
          <w:rFonts w:asciiTheme="majorHAnsi" w:hAnsiTheme="majorHAnsi" w:cstheme="majorHAnsi"/>
        </w:rPr>
        <w:t>New Zealand</w:t>
      </w:r>
      <w:r w:rsidRPr="008801BC">
        <w:t xml:space="preserve"> has a voluntary bonding scheme for primary and secondary teachers</w:t>
      </w:r>
      <w:r w:rsidR="00CB43F6">
        <w:t xml:space="preserve"> where t</w:t>
      </w:r>
      <w:r w:rsidR="00CC78A1">
        <w:t xml:space="preserve">eachers receive a </w:t>
      </w:r>
      <w:r w:rsidR="001F66FE" w:rsidRPr="001F66FE">
        <w:t>$</w:t>
      </w:r>
      <w:r w:rsidR="00CC78A1">
        <w:t>NZ</w:t>
      </w:r>
      <w:r w:rsidR="00CC78A1" w:rsidRPr="00CC78A1">
        <w:t>10,500</w:t>
      </w:r>
      <w:r w:rsidR="001F66FE">
        <w:t xml:space="preserve"> payment</w:t>
      </w:r>
      <w:r w:rsidR="00CC78A1" w:rsidRPr="00CC78A1">
        <w:t xml:space="preserve"> after three years of teaching, </w:t>
      </w:r>
      <w:r w:rsidR="00CB43F6">
        <w:t>and</w:t>
      </w:r>
      <w:r w:rsidR="00CC78A1" w:rsidRPr="00CC78A1">
        <w:t xml:space="preserve"> $</w:t>
      </w:r>
      <w:r w:rsidR="001F66FE">
        <w:t>NZ</w:t>
      </w:r>
      <w:r w:rsidR="00CC78A1" w:rsidRPr="00CC78A1">
        <w:t xml:space="preserve">3,500 after </w:t>
      </w:r>
      <w:r w:rsidR="00CB43F6">
        <w:t xml:space="preserve">their </w:t>
      </w:r>
      <w:r w:rsidR="00CC78A1" w:rsidRPr="00CC78A1">
        <w:t>fourth and fifth years.</w:t>
      </w:r>
      <w:r w:rsidR="004E5FA0">
        <w:rPr>
          <w:rStyle w:val="FootnoteReference"/>
        </w:rPr>
        <w:footnoteReference w:id="135"/>
      </w:r>
      <w:r w:rsidR="00CC78A1" w:rsidRPr="00CC78A1">
        <w:t xml:space="preserve"> </w:t>
      </w:r>
      <w:r w:rsidRPr="008801BC">
        <w:t>This is an expansion of a teacher supply initiative to encourage newly graduated teachers to teach in areas of high need, such as the most socio-economically disadvantaged schools, or priority subjects maths, science and te reo Māori.</w:t>
      </w:r>
      <w:r w:rsidRPr="008801BC">
        <w:rPr>
          <w:vertAlign w:val="superscript"/>
        </w:rPr>
        <w:footnoteReference w:id="136"/>
      </w:r>
    </w:p>
    <w:p w14:paraId="3A6AF4D6" w14:textId="0D384F5D" w:rsidR="00B461BA" w:rsidRPr="003C6B43" w:rsidRDefault="00866608" w:rsidP="00EF4AFA">
      <w:pPr>
        <w:rPr>
          <w:rFonts w:asciiTheme="minorHAnsi" w:hAnsiTheme="minorHAnsi" w:cstheme="minorHAnsi"/>
        </w:rPr>
      </w:pPr>
      <w:r>
        <w:rPr>
          <w:rFonts w:asciiTheme="majorHAnsi" w:hAnsiTheme="majorHAnsi" w:cstheme="majorHAnsi"/>
        </w:rPr>
        <w:t xml:space="preserve">China’s </w:t>
      </w:r>
      <w:r>
        <w:rPr>
          <w:rFonts w:asciiTheme="minorHAnsi" w:hAnsiTheme="minorHAnsi" w:cstheme="minorHAnsi"/>
        </w:rPr>
        <w:t xml:space="preserve">performance-based wage </w:t>
      </w:r>
      <w:r w:rsidR="006B7EE1">
        <w:rPr>
          <w:rFonts w:asciiTheme="minorHAnsi" w:hAnsiTheme="minorHAnsi" w:cstheme="minorHAnsi"/>
        </w:rPr>
        <w:t xml:space="preserve">places emphasis on rewarding and encouraging </w:t>
      </w:r>
      <w:r w:rsidR="005A0D77">
        <w:rPr>
          <w:rFonts w:asciiTheme="minorHAnsi" w:hAnsiTheme="minorHAnsi" w:cstheme="minorHAnsi"/>
        </w:rPr>
        <w:t>high performing</w:t>
      </w:r>
      <w:r w:rsidR="001B41D3" w:rsidRPr="001B41D3">
        <w:rPr>
          <w:rFonts w:asciiTheme="minorHAnsi" w:hAnsiTheme="minorHAnsi" w:cstheme="minorHAnsi"/>
        </w:rPr>
        <w:t xml:space="preserve"> teachers</w:t>
      </w:r>
      <w:r w:rsidR="005A0D77">
        <w:rPr>
          <w:rFonts w:asciiTheme="minorHAnsi" w:hAnsiTheme="minorHAnsi" w:cstheme="minorHAnsi"/>
        </w:rPr>
        <w:t xml:space="preserve">, in particular those </w:t>
      </w:r>
      <w:r w:rsidR="001B41D3" w:rsidRPr="001B41D3">
        <w:rPr>
          <w:rFonts w:asciiTheme="minorHAnsi" w:hAnsiTheme="minorHAnsi" w:cstheme="minorHAnsi"/>
        </w:rPr>
        <w:t>who contribute to alleviating the effects of poverty.</w:t>
      </w:r>
      <w:r w:rsidR="001B41D3">
        <w:rPr>
          <w:rStyle w:val="FootnoteReference"/>
          <w:rFonts w:asciiTheme="minorHAnsi" w:hAnsiTheme="minorHAnsi" w:cstheme="minorHAnsi"/>
        </w:rPr>
        <w:footnoteReference w:id="137"/>
      </w:r>
    </w:p>
    <w:p w14:paraId="446F4B1F" w14:textId="79C29F6C" w:rsidR="0008569F" w:rsidRPr="00F81BDB" w:rsidRDefault="009D7D09" w:rsidP="001323BC">
      <w:pPr>
        <w:pStyle w:val="Heading6"/>
        <w:rPr>
          <w:i w:val="0"/>
        </w:rPr>
      </w:pPr>
      <w:r w:rsidRPr="00F81BDB">
        <w:rPr>
          <w:i w:val="0"/>
        </w:rPr>
        <w:t>Indirect incentives</w:t>
      </w:r>
    </w:p>
    <w:p w14:paraId="2173E2B4" w14:textId="02027E6C" w:rsidR="00D7673F" w:rsidRPr="003C6B43" w:rsidRDefault="0008569F" w:rsidP="003C6B43">
      <w:pPr>
        <w:rPr>
          <w:rFonts w:asciiTheme="majorHAnsi" w:hAnsiTheme="majorHAnsi" w:cstheme="majorHAnsi"/>
        </w:rPr>
      </w:pPr>
      <w:r>
        <w:t xml:space="preserve">In </w:t>
      </w:r>
      <w:r w:rsidR="00043FD7" w:rsidRPr="003C6B43">
        <w:rPr>
          <w:rFonts w:asciiTheme="majorHAnsi" w:hAnsiTheme="majorHAnsi" w:cstheme="majorHAnsi"/>
        </w:rPr>
        <w:t>England</w:t>
      </w:r>
      <w:r>
        <w:t xml:space="preserve">, the </w:t>
      </w:r>
      <w:r w:rsidR="00D7673F" w:rsidRPr="008801BC">
        <w:t>Teaching and Leadership Innovation Fund supports teachers and leaders in challenging schools for three years</w:t>
      </w:r>
      <w:r w:rsidR="00ED62A4">
        <w:t>,</w:t>
      </w:r>
      <w:r w:rsidR="00D7673F" w:rsidRPr="008801BC">
        <w:t xml:space="preserve"> offering them opportunities for professional development and leadership training, with the objective of reinforcing their skills and supporting their retention and progression. It includes opportunities for face to-face training and/or workshops, coaching or mentoring; opportunities to collaborate with other leaders and teachers; and access to online communities, materials and resources.</w:t>
      </w:r>
      <w:r w:rsidR="00D7673F" w:rsidRPr="008801BC">
        <w:rPr>
          <w:vertAlign w:val="superscript"/>
        </w:rPr>
        <w:footnoteReference w:id="138"/>
      </w:r>
    </w:p>
    <w:p w14:paraId="41B84235" w14:textId="7029C376" w:rsidR="00B461BA" w:rsidRPr="008801BC" w:rsidRDefault="00B461BA" w:rsidP="00B461BA">
      <w:r w:rsidRPr="008801BC">
        <w:rPr>
          <w:rFonts w:asciiTheme="majorHAnsi" w:hAnsiTheme="majorHAnsi" w:cstheme="majorHAnsi"/>
        </w:rPr>
        <w:t xml:space="preserve">China </w:t>
      </w:r>
      <w:r w:rsidRPr="008801BC">
        <w:t xml:space="preserve">has a policy initiative to </w:t>
      </w:r>
      <w:r w:rsidR="00660471">
        <w:t>encourage</w:t>
      </w:r>
      <w:r w:rsidRPr="008801BC">
        <w:t xml:space="preserve"> outstanding teachers</w:t>
      </w:r>
      <w:r w:rsidR="00660471">
        <w:t xml:space="preserve"> and former</w:t>
      </w:r>
      <w:r w:rsidRPr="008801BC">
        <w:t xml:space="preserve"> teachers to take up jobs for at least a year in impoverished rural areas.</w:t>
      </w:r>
      <w:r w:rsidRPr="008801BC">
        <w:rPr>
          <w:vertAlign w:val="superscript"/>
        </w:rPr>
        <w:footnoteReference w:id="139"/>
      </w:r>
      <w:r w:rsidRPr="008801BC">
        <w:t xml:space="preserve"> </w:t>
      </w:r>
      <w:r w:rsidR="004A7C5B">
        <w:t xml:space="preserve">The Chinese promotion structure includes </w:t>
      </w:r>
      <w:r w:rsidR="00DC522C">
        <w:t xml:space="preserve">several levels and titles for teachers and </w:t>
      </w:r>
      <w:r w:rsidR="00A636DC">
        <w:t xml:space="preserve">principals and </w:t>
      </w:r>
      <w:r w:rsidR="001413C7">
        <w:t xml:space="preserve">uses incentives to </w:t>
      </w:r>
      <w:r w:rsidR="00747364">
        <w:t>encourage highly experienced ‘master teachers’ to work in disadvantaged areas</w:t>
      </w:r>
      <w:r w:rsidR="00DC522C">
        <w:t xml:space="preserve">. </w:t>
      </w:r>
      <w:r w:rsidR="00DF3FD4">
        <w:t xml:space="preserve">Teachers </w:t>
      </w:r>
      <w:r w:rsidR="00A747B9">
        <w:t>with</w:t>
      </w:r>
      <w:r w:rsidR="00280433">
        <w:t xml:space="preserve"> experience </w:t>
      </w:r>
      <w:r w:rsidR="00E84D4B">
        <w:t xml:space="preserve">in either </w:t>
      </w:r>
      <w:r w:rsidR="00280433">
        <w:t xml:space="preserve">teaching in rural areas or supporting other teachers </w:t>
      </w:r>
      <w:r w:rsidR="00E84D4B">
        <w:t>to do so</w:t>
      </w:r>
      <w:r w:rsidR="00280433">
        <w:t xml:space="preserve"> are given preference for promotion, </w:t>
      </w:r>
      <w:r w:rsidR="00B752C5">
        <w:t xml:space="preserve">and those seeking advancement are encouraged to </w:t>
      </w:r>
      <w:r w:rsidR="00DF3FD4">
        <w:t>relocate to rural and less-</w:t>
      </w:r>
      <w:r w:rsidR="00DF3FD4" w:rsidRPr="004D4BBF">
        <w:t>developed regions.</w:t>
      </w:r>
      <w:r w:rsidR="00021BE0" w:rsidRPr="004D4BBF">
        <w:rPr>
          <w:rStyle w:val="FootnoteReference"/>
        </w:rPr>
        <w:footnoteReference w:id="140"/>
      </w:r>
      <w:r w:rsidR="00DF3FD4" w:rsidRPr="004D4BBF">
        <w:t xml:space="preserve"> </w:t>
      </w:r>
      <w:r w:rsidR="003741A0">
        <w:t xml:space="preserve">The chances of securing </w:t>
      </w:r>
      <w:r w:rsidR="008263A2">
        <w:t xml:space="preserve">promotion increase the longer </w:t>
      </w:r>
      <w:r w:rsidR="00EF5BE9">
        <w:t>they remain in rural and remote areas.</w:t>
      </w:r>
      <w:r w:rsidR="003C1D2C">
        <w:t xml:space="preserve"> Additionally, l</w:t>
      </w:r>
      <w:r w:rsidR="00EF5BE9">
        <w:t>eading t</w:t>
      </w:r>
      <w:r w:rsidR="00EF5BE9" w:rsidRPr="0050009A">
        <w:t>eachers willing to teach in disadvantaged</w:t>
      </w:r>
      <w:r w:rsidR="00EF5BE9">
        <w:t xml:space="preserve"> schools</w:t>
      </w:r>
      <w:r w:rsidR="00EF5BE9" w:rsidRPr="0050009A">
        <w:t xml:space="preserve"> can </w:t>
      </w:r>
      <w:r w:rsidR="00EF5BE9" w:rsidRPr="004D4BBF">
        <w:t>postpone their retirement by three to five years, a significant incentive in China where people often wish to work beyond the mandatory retirement age.</w:t>
      </w:r>
      <w:r w:rsidR="00EF5BE9" w:rsidRPr="004D4BBF">
        <w:rPr>
          <w:rStyle w:val="FootnoteReference"/>
        </w:rPr>
        <w:footnoteReference w:id="141"/>
      </w:r>
    </w:p>
    <w:p w14:paraId="76CF5F4F" w14:textId="2B36DF27" w:rsidR="00D7028E" w:rsidRPr="008801BC" w:rsidRDefault="00D7028E" w:rsidP="00D7028E">
      <w:r w:rsidRPr="008801BC">
        <w:lastRenderedPageBreak/>
        <w:t xml:space="preserve">The </w:t>
      </w:r>
      <w:r w:rsidRPr="008801BC">
        <w:rPr>
          <w:rFonts w:asciiTheme="majorHAnsi" w:hAnsiTheme="majorHAnsi" w:cstheme="majorHAnsi"/>
        </w:rPr>
        <w:t>US</w:t>
      </w:r>
      <w:r w:rsidRPr="008801BC">
        <w:t xml:space="preserve"> Department of Education has three </w:t>
      </w:r>
      <w:r>
        <w:t xml:space="preserve">indirect </w:t>
      </w:r>
      <w:r w:rsidR="00AB1A3C">
        <w:t xml:space="preserve">incentive </w:t>
      </w:r>
      <w:r w:rsidRPr="008801BC">
        <w:t>programs of high relevance to this review:</w:t>
      </w:r>
    </w:p>
    <w:p w14:paraId="77901230" w14:textId="067A91A6" w:rsidR="00FB0366" w:rsidRPr="008801BC" w:rsidRDefault="00D7028E" w:rsidP="00D7028E">
      <w:pPr>
        <w:pStyle w:val="Bullet"/>
        <w:numPr>
          <w:ilvl w:val="0"/>
          <w:numId w:val="34"/>
        </w:numPr>
      </w:pPr>
      <w:r w:rsidRPr="008801BC">
        <w:t>T</w:t>
      </w:r>
      <w:r w:rsidR="00380306">
        <w:t xml:space="preserve">he </w:t>
      </w:r>
      <w:r w:rsidRPr="008801BC">
        <w:t>Teacher Incentive Fund (TIF) provides funding for projects that develop and implement performance-based teacher and principal compensation systems in high-need schools</w:t>
      </w:r>
      <w:r w:rsidR="001B6388">
        <w:t>.</w:t>
      </w:r>
      <w:r w:rsidRPr="008801BC">
        <w:t xml:space="preserve"> Programs include peer</w:t>
      </w:r>
      <w:r w:rsidR="001B6388">
        <w:t>-</w:t>
      </w:r>
      <w:r w:rsidRPr="008801BC">
        <w:t>to</w:t>
      </w:r>
      <w:r w:rsidR="001B6388">
        <w:t>-</w:t>
      </w:r>
      <w:r w:rsidRPr="008801BC">
        <w:t xml:space="preserve">peer coaching, job-embedded professional development, performance-based compensation, </w:t>
      </w:r>
      <w:r w:rsidR="00CB08D6">
        <w:t xml:space="preserve">and </w:t>
      </w:r>
      <w:r w:rsidRPr="008801BC">
        <w:t>career</w:t>
      </w:r>
      <w:r w:rsidR="00CB08D6">
        <w:t xml:space="preserve"> development </w:t>
      </w:r>
      <w:r w:rsidRPr="008801BC">
        <w:t>opportunities.</w:t>
      </w:r>
      <w:r w:rsidRPr="008801BC">
        <w:rPr>
          <w:vertAlign w:val="superscript"/>
        </w:rPr>
        <w:t xml:space="preserve"> </w:t>
      </w:r>
      <w:r w:rsidRPr="008801BC">
        <w:rPr>
          <w:vertAlign w:val="superscript"/>
        </w:rPr>
        <w:footnoteReference w:id="142"/>
      </w:r>
    </w:p>
    <w:p w14:paraId="0FAA26A9" w14:textId="4C333AAA" w:rsidR="00E66810" w:rsidRPr="008801BC" w:rsidRDefault="00E66810" w:rsidP="00E66810">
      <w:pPr>
        <w:pStyle w:val="Bullet"/>
        <w:numPr>
          <w:ilvl w:val="0"/>
          <w:numId w:val="34"/>
        </w:numPr>
      </w:pPr>
      <w:r>
        <w:t xml:space="preserve">The </w:t>
      </w:r>
      <w:r w:rsidR="00D7028E" w:rsidRPr="008801BC">
        <w:t xml:space="preserve">Teacher and School Leader </w:t>
      </w:r>
      <w:r w:rsidR="00D7028E">
        <w:t>(TSL)</w:t>
      </w:r>
      <w:r w:rsidR="00D7028E" w:rsidRPr="008801BC">
        <w:t xml:space="preserve"> Incentive Program builds on the TIF program and promotes performance-based compensation and comprehensive human capital management systems for teachers, principals, and other school leaders</w:t>
      </w:r>
      <w:r w:rsidR="004A2CC4">
        <w:t xml:space="preserve"> in high-need schools</w:t>
      </w:r>
      <w:r w:rsidR="00D7028E" w:rsidRPr="008801BC">
        <w:t>.</w:t>
      </w:r>
      <w:r w:rsidR="00F84C28">
        <w:rPr>
          <w:rStyle w:val="FootnoteReference"/>
        </w:rPr>
        <w:footnoteReference w:id="143"/>
      </w:r>
    </w:p>
    <w:p w14:paraId="50AD464E" w14:textId="307785CB" w:rsidR="00B3726A" w:rsidRPr="0037381B" w:rsidRDefault="00E66810" w:rsidP="00F81BDB">
      <w:pPr>
        <w:pStyle w:val="Bullet"/>
        <w:numPr>
          <w:ilvl w:val="0"/>
          <w:numId w:val="34"/>
        </w:numPr>
        <w:rPr>
          <w:rFonts w:asciiTheme="majorHAnsi" w:hAnsiTheme="majorHAnsi" w:cstheme="majorHAnsi"/>
        </w:rPr>
      </w:pPr>
      <w:r>
        <w:t xml:space="preserve">The </w:t>
      </w:r>
      <w:r w:rsidR="00D7028E" w:rsidRPr="008801BC">
        <w:t>Teacher Loan Forgiveness</w:t>
      </w:r>
      <w:r w:rsidR="00D7028E">
        <w:t xml:space="preserve"> </w:t>
      </w:r>
      <w:r w:rsidR="00053173">
        <w:t xml:space="preserve">(TLF) program </w:t>
      </w:r>
      <w:r w:rsidR="00D7028E">
        <w:t>allows t</w:t>
      </w:r>
      <w:r w:rsidR="00D7028E" w:rsidRPr="008801BC">
        <w:t xml:space="preserve">eachers </w:t>
      </w:r>
      <w:r w:rsidR="00D7028E">
        <w:t>who</w:t>
      </w:r>
      <w:r w:rsidR="00D7028E" w:rsidRPr="008801BC">
        <w:t xml:space="preserve"> teach for five years full-time in a low-income school </w:t>
      </w:r>
      <w:r w:rsidR="00D7028E">
        <w:t>to</w:t>
      </w:r>
      <w:r w:rsidR="00D7028E" w:rsidRPr="008801BC">
        <w:t xml:space="preserve"> be eligible for forgiveness on students’ loans of up to $17,500.</w:t>
      </w:r>
      <w:r w:rsidR="00D7028E" w:rsidRPr="008801BC">
        <w:rPr>
          <w:vertAlign w:val="superscript"/>
        </w:rPr>
        <w:footnoteReference w:id="144"/>
      </w:r>
    </w:p>
    <w:p w14:paraId="40CBE2A2" w14:textId="77777777" w:rsidR="008974DD" w:rsidRDefault="008974DD" w:rsidP="008974DD">
      <w:pPr>
        <w:pStyle w:val="Heading3"/>
      </w:pPr>
      <w:r>
        <w:t>Outcomes</w:t>
      </w:r>
    </w:p>
    <w:p w14:paraId="60E885AA" w14:textId="22A7BB88" w:rsidR="00E76869" w:rsidRDefault="00602276" w:rsidP="00A701EC">
      <w:pPr>
        <w:rPr>
          <w:lang w:eastAsia="en-AU"/>
        </w:rPr>
      </w:pPr>
      <w:r>
        <w:rPr>
          <w:lang w:eastAsia="en-AU"/>
        </w:rPr>
        <w:t xml:space="preserve">Analysis </w:t>
      </w:r>
      <w:r w:rsidR="00E76869">
        <w:rPr>
          <w:lang w:eastAsia="en-AU"/>
        </w:rPr>
        <w:t xml:space="preserve">of </w:t>
      </w:r>
      <w:r w:rsidR="00F50C5C">
        <w:rPr>
          <w:lang w:eastAsia="en-AU"/>
        </w:rPr>
        <w:t xml:space="preserve">international </w:t>
      </w:r>
      <w:r w:rsidR="00EB68B9">
        <w:rPr>
          <w:lang w:eastAsia="en-AU"/>
        </w:rPr>
        <w:t>us</w:t>
      </w:r>
      <w:r w:rsidR="009A3011">
        <w:rPr>
          <w:lang w:eastAsia="en-AU"/>
        </w:rPr>
        <w:t>e</w:t>
      </w:r>
      <w:r w:rsidR="00EB68B9">
        <w:rPr>
          <w:lang w:eastAsia="en-AU"/>
        </w:rPr>
        <w:t xml:space="preserve"> of </w:t>
      </w:r>
      <w:r w:rsidR="00F50C5C">
        <w:rPr>
          <w:lang w:eastAsia="en-AU"/>
        </w:rPr>
        <w:t xml:space="preserve">financial </w:t>
      </w:r>
      <w:r w:rsidR="00A701EC">
        <w:rPr>
          <w:lang w:eastAsia="en-AU"/>
        </w:rPr>
        <w:t xml:space="preserve">incentives </w:t>
      </w:r>
      <w:r w:rsidR="00F50C5C">
        <w:rPr>
          <w:lang w:eastAsia="en-AU"/>
        </w:rPr>
        <w:t xml:space="preserve">for educators </w:t>
      </w:r>
      <w:r w:rsidR="00EB68B9">
        <w:rPr>
          <w:lang w:eastAsia="en-AU"/>
        </w:rPr>
        <w:t xml:space="preserve">suggest that they can play a positive role in attracting </w:t>
      </w:r>
      <w:r w:rsidR="008F4617">
        <w:rPr>
          <w:lang w:eastAsia="en-AU"/>
        </w:rPr>
        <w:t>highly effective</w:t>
      </w:r>
      <w:r w:rsidR="00F50C5C">
        <w:rPr>
          <w:lang w:eastAsia="en-AU"/>
        </w:rPr>
        <w:t xml:space="preserve"> </w:t>
      </w:r>
      <w:r w:rsidR="00E76869" w:rsidRPr="00E76869">
        <w:rPr>
          <w:lang w:eastAsia="en-AU"/>
        </w:rPr>
        <w:t xml:space="preserve">teachers to </w:t>
      </w:r>
      <w:r w:rsidR="009A2B66">
        <w:rPr>
          <w:lang w:eastAsia="en-AU"/>
        </w:rPr>
        <w:t>disadvantaged</w:t>
      </w:r>
      <w:r w:rsidR="00E76869" w:rsidRPr="00E76869">
        <w:rPr>
          <w:lang w:eastAsia="en-AU"/>
        </w:rPr>
        <w:t xml:space="preserve"> school</w:t>
      </w:r>
      <w:r w:rsidR="00F124D6">
        <w:rPr>
          <w:lang w:eastAsia="en-AU"/>
        </w:rPr>
        <w:t xml:space="preserve">s. </w:t>
      </w:r>
      <w:r w:rsidR="004C4AED">
        <w:rPr>
          <w:lang w:eastAsia="en-AU"/>
        </w:rPr>
        <w:t>H</w:t>
      </w:r>
      <w:r w:rsidR="00F50C5C">
        <w:rPr>
          <w:lang w:eastAsia="en-AU"/>
        </w:rPr>
        <w:t xml:space="preserve">owever, </w:t>
      </w:r>
      <w:r w:rsidR="00A43B77">
        <w:rPr>
          <w:lang w:eastAsia="en-AU"/>
        </w:rPr>
        <w:t xml:space="preserve">the incentives must </w:t>
      </w:r>
      <w:r w:rsidR="001D53CA">
        <w:rPr>
          <w:lang w:eastAsia="en-AU"/>
        </w:rPr>
        <w:t xml:space="preserve">be </w:t>
      </w:r>
      <w:r w:rsidR="0006428E">
        <w:rPr>
          <w:lang w:eastAsia="en-AU"/>
        </w:rPr>
        <w:t xml:space="preserve">designed carefully to be </w:t>
      </w:r>
      <w:r w:rsidR="003411B2">
        <w:rPr>
          <w:lang w:eastAsia="en-AU"/>
        </w:rPr>
        <w:t>of sufficient value</w:t>
      </w:r>
      <w:r w:rsidR="002F41C9">
        <w:rPr>
          <w:lang w:eastAsia="en-AU"/>
        </w:rPr>
        <w:t xml:space="preserve"> and duration </w:t>
      </w:r>
      <w:r w:rsidR="004C4AED">
        <w:rPr>
          <w:lang w:eastAsia="en-AU"/>
        </w:rPr>
        <w:t>to</w:t>
      </w:r>
      <w:r w:rsidR="00E76869" w:rsidRPr="00E76869">
        <w:rPr>
          <w:lang w:eastAsia="en-AU"/>
        </w:rPr>
        <w:t xml:space="preserve"> </w:t>
      </w:r>
      <w:r w:rsidR="002F41C9">
        <w:rPr>
          <w:lang w:eastAsia="en-AU"/>
        </w:rPr>
        <w:t xml:space="preserve">deliver the sustained improvement necessary for there to be an impact on a school’s reputation that </w:t>
      </w:r>
      <w:r w:rsidR="00924EB0">
        <w:rPr>
          <w:lang w:eastAsia="en-AU"/>
        </w:rPr>
        <w:t xml:space="preserve">prevents ‘flight’ </w:t>
      </w:r>
      <w:r w:rsidR="009A3011">
        <w:rPr>
          <w:lang w:eastAsia="en-AU"/>
        </w:rPr>
        <w:t>o</w:t>
      </w:r>
      <w:r w:rsidR="00E84AD9">
        <w:rPr>
          <w:lang w:eastAsia="en-AU"/>
        </w:rPr>
        <w:t xml:space="preserve">r avoidance </w:t>
      </w:r>
      <w:r w:rsidR="00924EB0">
        <w:rPr>
          <w:lang w:eastAsia="en-AU"/>
        </w:rPr>
        <w:t xml:space="preserve">by </w:t>
      </w:r>
      <w:r w:rsidR="00E84AD9">
        <w:rPr>
          <w:lang w:eastAsia="en-AU"/>
        </w:rPr>
        <w:t xml:space="preserve">wealthier parents. </w:t>
      </w:r>
      <w:r w:rsidR="00EC53C6">
        <w:rPr>
          <w:lang w:eastAsia="en-AU"/>
        </w:rPr>
        <w:t xml:space="preserve">While some </w:t>
      </w:r>
      <w:r w:rsidR="00A20880">
        <w:rPr>
          <w:lang w:eastAsia="en-AU"/>
        </w:rPr>
        <w:t xml:space="preserve">evidence indicates that financial incentives for educators </w:t>
      </w:r>
      <w:r w:rsidR="000444B9">
        <w:rPr>
          <w:lang w:eastAsia="en-AU"/>
        </w:rPr>
        <w:t xml:space="preserve">directly </w:t>
      </w:r>
      <w:r w:rsidR="00A20880">
        <w:rPr>
          <w:lang w:eastAsia="en-AU"/>
        </w:rPr>
        <w:t xml:space="preserve">improve </w:t>
      </w:r>
      <w:r w:rsidR="00E76869" w:rsidRPr="00E76869">
        <w:rPr>
          <w:lang w:eastAsia="en-AU"/>
        </w:rPr>
        <w:t>educational outcomes</w:t>
      </w:r>
      <w:r w:rsidR="00D30183">
        <w:rPr>
          <w:lang w:eastAsia="en-AU"/>
        </w:rPr>
        <w:t xml:space="preserve"> of the students</w:t>
      </w:r>
      <w:r w:rsidR="00F16644">
        <w:rPr>
          <w:lang w:eastAsia="en-AU"/>
        </w:rPr>
        <w:t xml:space="preserve"> concerned</w:t>
      </w:r>
      <w:r w:rsidR="00E76869" w:rsidRPr="00E76869">
        <w:rPr>
          <w:lang w:eastAsia="en-AU"/>
        </w:rPr>
        <w:t xml:space="preserve">, </w:t>
      </w:r>
      <w:r w:rsidR="00F16644">
        <w:rPr>
          <w:lang w:eastAsia="en-AU"/>
        </w:rPr>
        <w:t>the influence on</w:t>
      </w:r>
      <w:r w:rsidR="00E76869" w:rsidRPr="00E76869">
        <w:rPr>
          <w:lang w:eastAsia="en-AU"/>
        </w:rPr>
        <w:t xml:space="preserve"> diversity </w:t>
      </w:r>
      <w:r w:rsidR="00F16644">
        <w:rPr>
          <w:lang w:eastAsia="en-AU"/>
        </w:rPr>
        <w:t xml:space="preserve">is </w:t>
      </w:r>
      <w:r w:rsidR="00811FEA">
        <w:rPr>
          <w:lang w:eastAsia="en-AU"/>
        </w:rPr>
        <w:t xml:space="preserve">less </w:t>
      </w:r>
      <w:r w:rsidR="00F16644">
        <w:rPr>
          <w:lang w:eastAsia="en-AU"/>
        </w:rPr>
        <w:t>clear</w:t>
      </w:r>
      <w:r w:rsidR="00E76869" w:rsidRPr="00E76869">
        <w:rPr>
          <w:lang w:eastAsia="en-AU"/>
        </w:rPr>
        <w:t xml:space="preserve">. </w:t>
      </w:r>
      <w:r w:rsidR="0045263B">
        <w:rPr>
          <w:lang w:eastAsia="en-AU"/>
        </w:rPr>
        <w:t>At best</w:t>
      </w:r>
      <w:r w:rsidR="005E396C">
        <w:rPr>
          <w:lang w:eastAsia="en-AU"/>
        </w:rPr>
        <w:t xml:space="preserve">, </w:t>
      </w:r>
      <w:r w:rsidR="005807C0">
        <w:rPr>
          <w:lang w:eastAsia="en-AU"/>
        </w:rPr>
        <w:t>an</w:t>
      </w:r>
      <w:r w:rsidR="001A7696">
        <w:rPr>
          <w:lang w:eastAsia="en-AU"/>
        </w:rPr>
        <w:t xml:space="preserve"> </w:t>
      </w:r>
      <w:r w:rsidR="00821BDF">
        <w:rPr>
          <w:lang w:eastAsia="en-AU"/>
        </w:rPr>
        <w:t>inference</w:t>
      </w:r>
      <w:r w:rsidR="00095932" w:rsidRPr="00095932">
        <w:rPr>
          <w:lang w:eastAsia="en-AU"/>
        </w:rPr>
        <w:t xml:space="preserve"> </w:t>
      </w:r>
      <w:r w:rsidR="005807C0">
        <w:rPr>
          <w:lang w:eastAsia="en-AU"/>
        </w:rPr>
        <w:t>could be drawn from the findings</w:t>
      </w:r>
      <w:r w:rsidR="00095932" w:rsidRPr="00095932">
        <w:rPr>
          <w:lang w:eastAsia="en-AU"/>
        </w:rPr>
        <w:t xml:space="preserve"> </w:t>
      </w:r>
      <w:r w:rsidR="005E396C">
        <w:rPr>
          <w:lang w:eastAsia="en-AU"/>
        </w:rPr>
        <w:t xml:space="preserve">that </w:t>
      </w:r>
      <w:r w:rsidR="00AB7F9A">
        <w:rPr>
          <w:lang w:eastAsia="en-AU"/>
        </w:rPr>
        <w:t>improved teaching</w:t>
      </w:r>
      <w:r w:rsidR="00E76869" w:rsidRPr="00E76869">
        <w:rPr>
          <w:lang w:eastAsia="en-AU"/>
        </w:rPr>
        <w:t xml:space="preserve"> quality, retention and educational outcomes </w:t>
      </w:r>
      <w:r w:rsidR="0029562D">
        <w:rPr>
          <w:lang w:eastAsia="en-AU"/>
        </w:rPr>
        <w:t xml:space="preserve">leads to a more favourable view of the school </w:t>
      </w:r>
      <w:r w:rsidR="00C168E7">
        <w:rPr>
          <w:lang w:eastAsia="en-AU"/>
        </w:rPr>
        <w:t xml:space="preserve">by </w:t>
      </w:r>
      <w:r w:rsidR="002B1065">
        <w:rPr>
          <w:lang w:eastAsia="en-AU"/>
        </w:rPr>
        <w:t xml:space="preserve">current and prospective </w:t>
      </w:r>
      <w:r w:rsidR="00C168E7">
        <w:rPr>
          <w:lang w:eastAsia="en-AU"/>
        </w:rPr>
        <w:t>families</w:t>
      </w:r>
      <w:r w:rsidR="00E76869" w:rsidRPr="00E76869">
        <w:rPr>
          <w:lang w:eastAsia="en-AU"/>
        </w:rPr>
        <w:t xml:space="preserve">, which </w:t>
      </w:r>
      <w:r w:rsidR="00262A19">
        <w:rPr>
          <w:lang w:eastAsia="en-AU"/>
        </w:rPr>
        <w:t xml:space="preserve">can then counter any residualisation trend. But there is nothing more definitive on this. </w:t>
      </w:r>
    </w:p>
    <w:p w14:paraId="02CC8315" w14:textId="36EBCD90" w:rsidR="00D4722B" w:rsidRDefault="00D25F7E" w:rsidP="001B33F2">
      <w:pPr>
        <w:spacing w:after="160"/>
      </w:pPr>
      <w:r>
        <w:t>Further</w:t>
      </w:r>
      <w:r w:rsidR="00D4722B" w:rsidRPr="001B33F2">
        <w:t>, while limited or short-term incentives were found to address immediate staffing shortages</w:t>
      </w:r>
      <w:r w:rsidR="003C514A">
        <w:t xml:space="preserve"> in several countries’ school systems</w:t>
      </w:r>
      <w:r w:rsidR="00D4722B" w:rsidRPr="001B33F2">
        <w:t xml:space="preserve">, </w:t>
      </w:r>
      <w:r w:rsidR="003C514A">
        <w:t>not all</w:t>
      </w:r>
      <w:r w:rsidR="00DB5A82">
        <w:t xml:space="preserve"> of </w:t>
      </w:r>
      <w:r w:rsidR="00AC226D">
        <w:t>the interventions outlined above</w:t>
      </w:r>
      <w:r w:rsidR="00D4722B" w:rsidRPr="001B33F2">
        <w:t xml:space="preserve"> </w:t>
      </w:r>
      <w:r w:rsidR="0031723F">
        <w:t xml:space="preserve">were in place long enough to </w:t>
      </w:r>
      <w:r w:rsidR="00FF2CC0">
        <w:t xml:space="preserve">have a marked impact on teacher </w:t>
      </w:r>
      <w:r w:rsidR="00D4722B" w:rsidRPr="001B33F2">
        <w:t>retention</w:t>
      </w:r>
      <w:r w:rsidR="00FF2CC0">
        <w:t xml:space="preserve">. </w:t>
      </w:r>
      <w:r w:rsidR="000678C1">
        <w:t>Therefore,</w:t>
      </w:r>
      <w:r w:rsidR="00FF2CC0">
        <w:t xml:space="preserve"> </w:t>
      </w:r>
      <w:r w:rsidR="00154E62">
        <w:t xml:space="preserve">impacts on </w:t>
      </w:r>
      <w:r w:rsidR="0073142B">
        <w:t xml:space="preserve">education </w:t>
      </w:r>
      <w:r w:rsidR="00AF36FA">
        <w:t>and diversity</w:t>
      </w:r>
      <w:r w:rsidR="00D4722B" w:rsidRPr="001B33F2">
        <w:t xml:space="preserve"> outcomes</w:t>
      </w:r>
      <w:r w:rsidR="00A93571">
        <w:t xml:space="preserve"> </w:t>
      </w:r>
      <w:r w:rsidR="00AF36FA">
        <w:t xml:space="preserve">are hard to detect. </w:t>
      </w:r>
    </w:p>
    <w:p w14:paraId="7BA648C0" w14:textId="77777777" w:rsidR="008974DD" w:rsidRPr="002B20F4" w:rsidRDefault="008974DD" w:rsidP="008974DD">
      <w:pPr>
        <w:pStyle w:val="Heading5"/>
      </w:pPr>
      <w:r>
        <w:t>Diversity</w:t>
      </w:r>
    </w:p>
    <w:p w14:paraId="3D9FC291" w14:textId="77777777" w:rsidR="00C76E88" w:rsidRPr="00F81BDB" w:rsidRDefault="00C76E88" w:rsidP="00C76E88">
      <w:pPr>
        <w:pStyle w:val="Heading6"/>
        <w:rPr>
          <w:i w:val="0"/>
        </w:rPr>
      </w:pPr>
      <w:r w:rsidRPr="00F81BDB">
        <w:rPr>
          <w:i w:val="0"/>
        </w:rPr>
        <w:t>Direct incentives</w:t>
      </w:r>
    </w:p>
    <w:p w14:paraId="4CD20CA0" w14:textId="06616656" w:rsidR="00C275A3" w:rsidRDefault="00BC06EE" w:rsidP="00547D0E">
      <w:pPr>
        <w:rPr>
          <w:lang w:eastAsia="en-AU"/>
        </w:rPr>
      </w:pPr>
      <w:r>
        <w:rPr>
          <w:lang w:eastAsia="en-AU"/>
        </w:rPr>
        <w:t xml:space="preserve">Little evidence is available to </w:t>
      </w:r>
      <w:r w:rsidR="003178FD">
        <w:rPr>
          <w:lang w:eastAsia="en-AU"/>
        </w:rPr>
        <w:t>link</w:t>
      </w:r>
      <w:r w:rsidR="00A350D3">
        <w:rPr>
          <w:lang w:eastAsia="en-AU"/>
        </w:rPr>
        <w:t xml:space="preserve"> direct or indirect</w:t>
      </w:r>
      <w:r w:rsidR="00165A24">
        <w:rPr>
          <w:lang w:eastAsia="en-AU"/>
        </w:rPr>
        <w:t xml:space="preserve"> </w:t>
      </w:r>
      <w:r w:rsidR="003178FD">
        <w:rPr>
          <w:lang w:eastAsia="en-AU"/>
        </w:rPr>
        <w:t xml:space="preserve">incentives for educators to </w:t>
      </w:r>
      <w:r w:rsidR="00AE4A38">
        <w:rPr>
          <w:lang w:eastAsia="en-AU"/>
        </w:rPr>
        <w:t>improve</w:t>
      </w:r>
      <w:r w:rsidR="008574A0">
        <w:rPr>
          <w:lang w:eastAsia="en-AU"/>
        </w:rPr>
        <w:t>d</w:t>
      </w:r>
      <w:r w:rsidR="00AE4A38">
        <w:rPr>
          <w:lang w:eastAsia="en-AU"/>
        </w:rPr>
        <w:t xml:space="preserve"> diversity within</w:t>
      </w:r>
      <w:r w:rsidR="007E6BD5">
        <w:rPr>
          <w:lang w:eastAsia="en-AU"/>
        </w:rPr>
        <w:t xml:space="preserve"> schools</w:t>
      </w:r>
      <w:r w:rsidR="006D2EAC">
        <w:rPr>
          <w:lang w:eastAsia="en-AU"/>
        </w:rPr>
        <w:t xml:space="preserve">. </w:t>
      </w:r>
      <w:r w:rsidR="00572D43">
        <w:rPr>
          <w:lang w:eastAsia="en-AU"/>
        </w:rPr>
        <w:t>Instead,</w:t>
      </w:r>
      <w:r w:rsidR="00C275A3">
        <w:rPr>
          <w:lang w:eastAsia="en-AU"/>
        </w:rPr>
        <w:t xml:space="preserve"> </w:t>
      </w:r>
      <w:r w:rsidR="00596E16">
        <w:rPr>
          <w:lang w:eastAsia="en-AU"/>
        </w:rPr>
        <w:t>the literature</w:t>
      </w:r>
      <w:r w:rsidR="0043481D">
        <w:rPr>
          <w:lang w:eastAsia="en-AU"/>
        </w:rPr>
        <w:t xml:space="preserve"> typically focus</w:t>
      </w:r>
      <w:r w:rsidR="00596E16">
        <w:rPr>
          <w:lang w:eastAsia="en-AU"/>
        </w:rPr>
        <w:t xml:space="preserve">es </w:t>
      </w:r>
      <w:r w:rsidR="0043481D">
        <w:rPr>
          <w:lang w:eastAsia="en-AU"/>
        </w:rPr>
        <w:t>on</w:t>
      </w:r>
      <w:r w:rsidR="00832AD1">
        <w:rPr>
          <w:lang w:eastAsia="en-AU"/>
        </w:rPr>
        <w:t xml:space="preserve"> </w:t>
      </w:r>
      <w:r w:rsidR="00596E16">
        <w:rPr>
          <w:lang w:eastAsia="en-AU"/>
        </w:rPr>
        <w:t xml:space="preserve">the impact of financial incentives for educators </w:t>
      </w:r>
      <w:r w:rsidR="00087278">
        <w:rPr>
          <w:lang w:eastAsia="en-AU"/>
        </w:rPr>
        <w:t xml:space="preserve">on </w:t>
      </w:r>
      <w:r w:rsidR="00596E16">
        <w:rPr>
          <w:lang w:eastAsia="en-AU"/>
        </w:rPr>
        <w:t xml:space="preserve">recruiting </w:t>
      </w:r>
      <w:r w:rsidR="00760B72">
        <w:rPr>
          <w:lang w:eastAsia="en-AU"/>
        </w:rPr>
        <w:t>effective</w:t>
      </w:r>
      <w:r w:rsidR="00B41EF2">
        <w:rPr>
          <w:lang w:eastAsia="en-AU"/>
        </w:rPr>
        <w:t xml:space="preserve"> </w:t>
      </w:r>
      <w:r w:rsidR="00D84541">
        <w:rPr>
          <w:lang w:eastAsia="en-AU"/>
        </w:rPr>
        <w:t>teachers</w:t>
      </w:r>
      <w:r w:rsidR="00B41EF2">
        <w:rPr>
          <w:lang w:eastAsia="en-AU"/>
        </w:rPr>
        <w:t xml:space="preserve"> and improving </w:t>
      </w:r>
      <w:r w:rsidR="00394062">
        <w:rPr>
          <w:lang w:eastAsia="en-AU"/>
        </w:rPr>
        <w:t xml:space="preserve">retention, </w:t>
      </w:r>
      <w:r w:rsidR="00832AD1">
        <w:rPr>
          <w:lang w:eastAsia="en-AU"/>
        </w:rPr>
        <w:t>teaching quality</w:t>
      </w:r>
      <w:r w:rsidR="00394062">
        <w:rPr>
          <w:lang w:eastAsia="en-AU"/>
        </w:rPr>
        <w:t xml:space="preserve"> </w:t>
      </w:r>
      <w:r w:rsidR="00832AD1">
        <w:rPr>
          <w:lang w:eastAsia="en-AU"/>
        </w:rPr>
        <w:t>and educational outcomes</w:t>
      </w:r>
      <w:r w:rsidR="0087798E">
        <w:rPr>
          <w:lang w:eastAsia="en-AU"/>
        </w:rPr>
        <w:t xml:space="preserve">. In other words, while there may be a follow-on effect that the school becomes more desirable to a more diverse representation of the population, this has not been studied sufficiently to </w:t>
      </w:r>
      <w:r w:rsidR="001078FF">
        <w:rPr>
          <w:lang w:eastAsia="en-AU"/>
        </w:rPr>
        <w:t xml:space="preserve">draw any definitive conclusions. </w:t>
      </w:r>
    </w:p>
    <w:p w14:paraId="08CA610E" w14:textId="19D4884D" w:rsidR="00476139" w:rsidRPr="00F81BDB" w:rsidRDefault="00476139" w:rsidP="001B33F2">
      <w:pPr>
        <w:pStyle w:val="Heading6"/>
        <w:rPr>
          <w:i w:val="0"/>
        </w:rPr>
      </w:pPr>
      <w:r w:rsidRPr="00F81BDB">
        <w:rPr>
          <w:i w:val="0"/>
        </w:rPr>
        <w:t>Indirect incentives</w:t>
      </w:r>
    </w:p>
    <w:p w14:paraId="648822BD" w14:textId="4618A838" w:rsidR="00547D0E" w:rsidRPr="001078FF" w:rsidRDefault="00D914E1" w:rsidP="00547D0E">
      <w:pPr>
        <w:rPr>
          <w:rFonts w:asciiTheme="majorHAnsi" w:hAnsiTheme="majorHAnsi" w:cstheme="majorHAnsi"/>
          <w:lang w:eastAsia="en-AU"/>
        </w:rPr>
      </w:pPr>
      <w:r>
        <w:rPr>
          <w:lang w:eastAsia="en-AU"/>
        </w:rPr>
        <w:t xml:space="preserve">Of the interventions </w:t>
      </w:r>
      <w:r w:rsidR="002A217F">
        <w:rPr>
          <w:lang w:eastAsia="en-AU"/>
        </w:rPr>
        <w:t>examined, the</w:t>
      </w:r>
      <w:r w:rsidR="000F2934">
        <w:rPr>
          <w:lang w:eastAsia="en-AU"/>
        </w:rPr>
        <w:t xml:space="preserve"> </w:t>
      </w:r>
      <w:r w:rsidR="001078FF">
        <w:rPr>
          <w:rFonts w:asciiTheme="majorHAnsi" w:hAnsiTheme="majorHAnsi" w:cstheme="majorHAnsi"/>
          <w:lang w:eastAsia="en-AU"/>
        </w:rPr>
        <w:t>US’</w:t>
      </w:r>
      <w:r w:rsidR="000F2934">
        <w:rPr>
          <w:lang w:eastAsia="en-AU"/>
        </w:rPr>
        <w:t xml:space="preserve"> Teacher and School Leader Incentive Program </w:t>
      </w:r>
      <w:r w:rsidR="00AA2F2A">
        <w:rPr>
          <w:lang w:eastAsia="en-AU"/>
        </w:rPr>
        <w:t>was</w:t>
      </w:r>
      <w:r w:rsidR="006610F2">
        <w:rPr>
          <w:lang w:eastAsia="en-AU"/>
        </w:rPr>
        <w:t xml:space="preserve"> the only intervention with priorities relating </w:t>
      </w:r>
      <w:r w:rsidR="00790180">
        <w:rPr>
          <w:lang w:eastAsia="en-AU"/>
        </w:rPr>
        <w:t xml:space="preserve">directly </w:t>
      </w:r>
      <w:r w:rsidR="006610F2">
        <w:rPr>
          <w:lang w:eastAsia="en-AU"/>
        </w:rPr>
        <w:t xml:space="preserve">to improved equity for </w:t>
      </w:r>
      <w:r w:rsidR="00C5179B">
        <w:rPr>
          <w:lang w:eastAsia="en-AU"/>
        </w:rPr>
        <w:t xml:space="preserve">disadvantaged </w:t>
      </w:r>
      <w:r w:rsidR="006610F2">
        <w:rPr>
          <w:lang w:eastAsia="en-AU"/>
        </w:rPr>
        <w:t xml:space="preserve">students. </w:t>
      </w:r>
      <w:r w:rsidR="00274843">
        <w:rPr>
          <w:lang w:eastAsia="en-AU"/>
        </w:rPr>
        <w:t>A</w:t>
      </w:r>
      <w:r w:rsidR="00C12AB0">
        <w:rPr>
          <w:lang w:eastAsia="en-AU"/>
        </w:rPr>
        <w:t xml:space="preserve">ll participating districts </w:t>
      </w:r>
      <w:r w:rsidR="00274843">
        <w:rPr>
          <w:lang w:eastAsia="en-AU"/>
        </w:rPr>
        <w:t xml:space="preserve">proposed </w:t>
      </w:r>
      <w:r w:rsidR="007454DF">
        <w:rPr>
          <w:lang w:eastAsia="en-AU"/>
        </w:rPr>
        <w:t xml:space="preserve">steps </w:t>
      </w:r>
      <w:r w:rsidR="00C12AB0">
        <w:rPr>
          <w:lang w:eastAsia="en-AU"/>
        </w:rPr>
        <w:t>to identify and address equity gap</w:t>
      </w:r>
      <w:r w:rsidR="004F0D78">
        <w:rPr>
          <w:lang w:eastAsia="en-AU"/>
        </w:rPr>
        <w:t>s</w:t>
      </w:r>
      <w:r w:rsidR="007454DF">
        <w:rPr>
          <w:lang w:eastAsia="en-AU"/>
        </w:rPr>
        <w:t xml:space="preserve"> as part of their TSL grant application</w:t>
      </w:r>
      <w:r w:rsidR="00200FF4">
        <w:rPr>
          <w:lang w:eastAsia="en-AU"/>
        </w:rPr>
        <w:t xml:space="preserve">. However, </w:t>
      </w:r>
      <w:r w:rsidR="00351F26">
        <w:rPr>
          <w:lang w:eastAsia="en-AU"/>
        </w:rPr>
        <w:t xml:space="preserve">to date, </w:t>
      </w:r>
      <w:r w:rsidR="00C12AB0">
        <w:rPr>
          <w:lang w:eastAsia="en-AU"/>
        </w:rPr>
        <w:t xml:space="preserve">only four </w:t>
      </w:r>
      <w:r w:rsidR="00AF7FF1">
        <w:rPr>
          <w:lang w:eastAsia="en-AU"/>
        </w:rPr>
        <w:t>districts</w:t>
      </w:r>
      <w:r w:rsidR="00C12AB0">
        <w:rPr>
          <w:lang w:eastAsia="en-AU"/>
        </w:rPr>
        <w:t xml:space="preserve"> </w:t>
      </w:r>
      <w:r w:rsidR="00351F26">
        <w:rPr>
          <w:lang w:eastAsia="en-AU"/>
        </w:rPr>
        <w:t xml:space="preserve">have </w:t>
      </w:r>
      <w:r w:rsidR="00C12AB0">
        <w:rPr>
          <w:lang w:eastAsia="en-AU"/>
        </w:rPr>
        <w:t xml:space="preserve">reported </w:t>
      </w:r>
      <w:r w:rsidR="00351F26">
        <w:rPr>
          <w:lang w:eastAsia="en-AU"/>
        </w:rPr>
        <w:t xml:space="preserve">prioritising and </w:t>
      </w:r>
      <w:r w:rsidR="00C12AB0">
        <w:rPr>
          <w:lang w:eastAsia="en-AU"/>
        </w:rPr>
        <w:t xml:space="preserve">taking steps </w:t>
      </w:r>
      <w:r w:rsidR="00351F26">
        <w:rPr>
          <w:lang w:eastAsia="en-AU"/>
        </w:rPr>
        <w:t>to address equity challenges</w:t>
      </w:r>
      <w:r w:rsidR="0027776C">
        <w:rPr>
          <w:lang w:eastAsia="en-AU"/>
        </w:rPr>
        <w:t>. T</w:t>
      </w:r>
      <w:r w:rsidR="004F5997">
        <w:rPr>
          <w:lang w:eastAsia="en-AU"/>
        </w:rPr>
        <w:t>he outcomes of their</w:t>
      </w:r>
      <w:r w:rsidR="00180A4A">
        <w:rPr>
          <w:lang w:eastAsia="en-AU"/>
        </w:rPr>
        <w:t xml:space="preserve"> </w:t>
      </w:r>
      <w:r w:rsidR="004F5997">
        <w:rPr>
          <w:lang w:eastAsia="en-AU"/>
        </w:rPr>
        <w:t>actions have</w:t>
      </w:r>
      <w:r w:rsidR="00180A4A">
        <w:rPr>
          <w:lang w:eastAsia="en-AU"/>
        </w:rPr>
        <w:t xml:space="preserve"> yet </w:t>
      </w:r>
      <w:r w:rsidR="0027776C">
        <w:rPr>
          <w:lang w:eastAsia="en-AU"/>
        </w:rPr>
        <w:t>to be</w:t>
      </w:r>
      <w:r w:rsidR="00180A4A">
        <w:rPr>
          <w:lang w:eastAsia="en-AU"/>
        </w:rPr>
        <w:t xml:space="preserve"> evaluated</w:t>
      </w:r>
      <w:r w:rsidR="00C12AB0">
        <w:rPr>
          <w:lang w:eastAsia="en-AU"/>
        </w:rPr>
        <w:t>.</w:t>
      </w:r>
      <w:r w:rsidR="001F2BCC">
        <w:rPr>
          <w:rStyle w:val="FootnoteReference"/>
          <w:lang w:eastAsia="en-AU"/>
        </w:rPr>
        <w:footnoteReference w:id="145"/>
      </w:r>
    </w:p>
    <w:p w14:paraId="699E1640" w14:textId="77777777" w:rsidR="008974DD" w:rsidRDefault="008974DD" w:rsidP="008974DD">
      <w:pPr>
        <w:pStyle w:val="Heading5"/>
      </w:pPr>
      <w:r>
        <w:lastRenderedPageBreak/>
        <w:t xml:space="preserve">Education </w:t>
      </w:r>
    </w:p>
    <w:p w14:paraId="359E5D54" w14:textId="77777777" w:rsidR="00476139" w:rsidRPr="00F81BDB" w:rsidRDefault="00476139" w:rsidP="001B33F2">
      <w:pPr>
        <w:pStyle w:val="Heading6"/>
        <w:rPr>
          <w:i w:val="0"/>
        </w:rPr>
      </w:pPr>
      <w:r w:rsidRPr="00F81BDB">
        <w:rPr>
          <w:i w:val="0"/>
        </w:rPr>
        <w:t>Direct incentives</w:t>
      </w:r>
    </w:p>
    <w:p w14:paraId="04EF435F" w14:textId="0D3C6A0D" w:rsidR="00B23DCF" w:rsidRDefault="00B23DCF" w:rsidP="00B23DCF">
      <w:r w:rsidRPr="001B33F2">
        <w:rPr>
          <w:lang w:eastAsia="en-AU"/>
        </w:rPr>
        <w:t xml:space="preserve">In </w:t>
      </w:r>
      <w:r w:rsidRPr="001B33F2">
        <w:rPr>
          <w:rFonts w:asciiTheme="majorHAnsi" w:hAnsiTheme="majorHAnsi" w:cstheme="majorHAnsi"/>
          <w:lang w:eastAsia="en-AU"/>
        </w:rPr>
        <w:t>the US</w:t>
      </w:r>
      <w:r>
        <w:rPr>
          <w:lang w:eastAsia="en-AU"/>
        </w:rPr>
        <w:t>, TIF showed small positive improvements in student achievement by the second year of implementation.</w:t>
      </w:r>
      <w:r>
        <w:rPr>
          <w:rStyle w:val="FootnoteReference"/>
          <w:lang w:eastAsia="en-AU"/>
        </w:rPr>
        <w:footnoteReference w:id="146"/>
      </w:r>
      <w:r>
        <w:rPr>
          <w:lang w:eastAsia="en-AU"/>
        </w:rPr>
        <w:t xml:space="preserve"> </w:t>
      </w:r>
      <w:r>
        <w:t>From that time onwards, students’ achievements on standardised tests were</w:t>
      </w:r>
      <w:r w:rsidR="005B3476">
        <w:t xml:space="preserve"> </w:t>
      </w:r>
      <w:r w:rsidR="00435C36" w:rsidRPr="00326573">
        <w:t>one to two</w:t>
      </w:r>
      <w:r w:rsidR="00435C36">
        <w:t xml:space="preserve"> </w:t>
      </w:r>
      <w:r w:rsidR="003F56F8">
        <w:t>per</w:t>
      </w:r>
      <w:r w:rsidR="001A66BC">
        <w:t>centage point</w:t>
      </w:r>
      <w:r w:rsidR="000D4DA9">
        <w:t>s</w:t>
      </w:r>
      <w:r w:rsidR="001A66BC">
        <w:t xml:space="preserve"> </w:t>
      </w:r>
      <w:r>
        <w:t>higher  in reading and math</w:t>
      </w:r>
      <w:r w:rsidR="001A66BC">
        <w:t xml:space="preserve">s </w:t>
      </w:r>
      <w:r w:rsidR="00CC16C2">
        <w:t>–</w:t>
      </w:r>
      <w:r>
        <w:t xml:space="preserve"> the equivalent of about four weeks of additional learning for schools that offered pay-for-performance bonuses compared to those that did not. This difference was statistically significant in all years of the program for reading and in one year for maths, unrelated to either district or school characteristics.</w:t>
      </w:r>
      <w:r>
        <w:rPr>
          <w:rStyle w:val="FootnoteReference"/>
        </w:rPr>
        <w:footnoteReference w:id="147"/>
      </w:r>
    </w:p>
    <w:p w14:paraId="69F84B42" w14:textId="22B13392" w:rsidR="00B23DCF" w:rsidRDefault="00B23DCF" w:rsidP="00B23DCF">
      <w:pPr>
        <w:rPr>
          <w:lang w:eastAsia="en-AU"/>
        </w:rPr>
      </w:pPr>
      <w:r>
        <w:rPr>
          <w:lang w:eastAsia="en-AU"/>
        </w:rPr>
        <w:t xml:space="preserve">In contrast, </w:t>
      </w:r>
      <w:r w:rsidRPr="00DC3738">
        <w:rPr>
          <w:rFonts w:asciiTheme="majorHAnsi" w:hAnsiTheme="majorHAnsi" w:cstheme="majorHAnsi"/>
          <w:lang w:eastAsia="en-AU"/>
        </w:rPr>
        <w:t>China’s</w:t>
      </w:r>
      <w:r>
        <w:rPr>
          <w:lang w:eastAsia="en-AU"/>
        </w:rPr>
        <w:t xml:space="preserve"> performance-based pay policy had little impact on teacher performance in </w:t>
      </w:r>
      <w:r w:rsidR="00356535">
        <w:rPr>
          <w:lang w:eastAsia="en-AU"/>
        </w:rPr>
        <w:t>disadvantaged rural areas</w:t>
      </w:r>
      <w:r>
        <w:rPr>
          <w:lang w:eastAsia="en-AU"/>
        </w:rPr>
        <w:t>.</w:t>
      </w:r>
      <w:r>
        <w:rPr>
          <w:rStyle w:val="FootnoteReference"/>
          <w:lang w:eastAsia="en-AU"/>
        </w:rPr>
        <w:footnoteReference w:id="148"/>
      </w:r>
      <w:r>
        <w:rPr>
          <w:lang w:eastAsia="en-AU"/>
        </w:rPr>
        <w:t xml:space="preserve"> Literature reveals that even among schools that claim to have implemented performance-related pay schemes, teachers tend to receive equal sized payments, regardless of their performance, indicating that the policy has only been nominally implemented.</w:t>
      </w:r>
      <w:r>
        <w:rPr>
          <w:rStyle w:val="FootnoteReference"/>
          <w:lang w:eastAsia="en-AU"/>
        </w:rPr>
        <w:footnoteReference w:id="149"/>
      </w:r>
      <w:r>
        <w:rPr>
          <w:lang w:eastAsia="en-AU"/>
        </w:rPr>
        <w:t xml:space="preserve"> Commentators suggest that decentralised education systems like the Chinese system, where each school determines its own approach to compliance with national performance-based pay policies, typically result in relatively weak structures that do not incentivise behaviour change.</w:t>
      </w:r>
      <w:r>
        <w:rPr>
          <w:rStyle w:val="FootnoteReference"/>
          <w:lang w:eastAsia="en-AU"/>
        </w:rPr>
        <w:footnoteReference w:id="150"/>
      </w:r>
    </w:p>
    <w:p w14:paraId="0B7F467A" w14:textId="7E03F80D" w:rsidR="001323BC" w:rsidRPr="001323BC" w:rsidRDefault="00B23DCF" w:rsidP="001323BC">
      <w:pPr>
        <w:rPr>
          <w:lang w:eastAsia="en-AU"/>
        </w:rPr>
      </w:pPr>
      <w:r w:rsidRPr="00F81BDB">
        <w:t xml:space="preserve">However, Chinese schools that did apply a pay-for-percentile incentive scheme were effective in improving the average math score of students by 0.10 standard deviations. This improvement was especially pronounced for students in </w:t>
      </w:r>
      <w:r w:rsidR="00B3045C">
        <w:t xml:space="preserve">the </w:t>
      </w:r>
      <w:r w:rsidRPr="00F81BDB">
        <w:t>bottom percentiles of their class (0.15 standard deviations), although mid and top performers also saw small gains.</w:t>
      </w:r>
      <w:r w:rsidRPr="00F81BDB">
        <w:rPr>
          <w:rStyle w:val="FootnoteReference"/>
        </w:rPr>
        <w:footnoteReference w:id="151"/>
      </w:r>
    </w:p>
    <w:p w14:paraId="2EF40827" w14:textId="4353BF3F" w:rsidR="00264573" w:rsidRPr="0086054F" w:rsidRDefault="00394C83" w:rsidP="00264573">
      <w:pPr>
        <w:rPr>
          <w:lang w:eastAsia="en-AU"/>
        </w:rPr>
      </w:pPr>
      <w:r>
        <w:t xml:space="preserve">With respect to </w:t>
      </w:r>
      <w:r w:rsidRPr="007D69A2">
        <w:t>i</w:t>
      </w:r>
      <w:r w:rsidR="00476139" w:rsidRPr="007D69A2">
        <w:t>ndirect incentives</w:t>
      </w:r>
      <w:r w:rsidR="00420F6D">
        <w:t xml:space="preserve"> </w:t>
      </w:r>
      <w:r w:rsidR="00420F6D">
        <w:rPr>
          <w:lang w:eastAsia="en-AU"/>
        </w:rPr>
        <w:t>i</w:t>
      </w:r>
      <w:r w:rsidR="00476139">
        <w:rPr>
          <w:lang w:eastAsia="en-AU"/>
        </w:rPr>
        <w:t xml:space="preserve">n the </w:t>
      </w:r>
      <w:r w:rsidR="00476139" w:rsidRPr="009D107D">
        <w:rPr>
          <w:rFonts w:asciiTheme="majorHAnsi" w:hAnsiTheme="majorHAnsi" w:cstheme="majorHAnsi"/>
          <w:lang w:eastAsia="en-AU"/>
        </w:rPr>
        <w:t>UK</w:t>
      </w:r>
      <w:r w:rsidR="00476139">
        <w:rPr>
          <w:lang w:eastAsia="en-AU"/>
        </w:rPr>
        <w:t xml:space="preserve">, </w:t>
      </w:r>
      <w:r>
        <w:rPr>
          <w:lang w:eastAsia="en-AU"/>
        </w:rPr>
        <w:t xml:space="preserve">the </w:t>
      </w:r>
      <w:r w:rsidR="00264573">
        <w:rPr>
          <w:lang w:eastAsia="en-AU"/>
        </w:rPr>
        <w:t>evidence indicates that the TILF projects may have contributed to improved progress and attainment for some pupils. However, the cancelation of national exams in 2020 and 2021 prevented a full evaluation.</w:t>
      </w:r>
      <w:r w:rsidR="00264573">
        <w:rPr>
          <w:rStyle w:val="FootnoteReference"/>
          <w:lang w:eastAsia="en-AU"/>
        </w:rPr>
        <w:footnoteReference w:id="152"/>
      </w:r>
      <w:r w:rsidR="00264573">
        <w:rPr>
          <w:lang w:eastAsia="en-AU"/>
        </w:rPr>
        <w:t xml:space="preserve"> </w:t>
      </w:r>
    </w:p>
    <w:p w14:paraId="143BF98F" w14:textId="61BD22A7" w:rsidR="00937058" w:rsidRDefault="00032ED5" w:rsidP="00476139">
      <w:pPr>
        <w:rPr>
          <w:lang w:eastAsia="en-AU"/>
        </w:rPr>
      </w:pPr>
      <w:r>
        <w:rPr>
          <w:lang w:eastAsia="en-AU"/>
        </w:rPr>
        <w:t xml:space="preserve">A </w:t>
      </w:r>
      <w:r w:rsidR="00476139" w:rsidRPr="006E71E3">
        <w:rPr>
          <w:lang w:eastAsia="en-AU"/>
        </w:rPr>
        <w:t>School Workforce Census (SWC) meta-analysis showed that TI</w:t>
      </w:r>
      <w:r w:rsidR="007257F0">
        <w:rPr>
          <w:lang w:eastAsia="en-AU"/>
        </w:rPr>
        <w:t>L</w:t>
      </w:r>
      <w:r w:rsidR="00476139" w:rsidRPr="006E71E3">
        <w:rPr>
          <w:lang w:eastAsia="en-AU"/>
        </w:rPr>
        <w:t xml:space="preserve">F had a positive impact on </w:t>
      </w:r>
      <w:r w:rsidR="00985236">
        <w:rPr>
          <w:lang w:eastAsia="en-AU"/>
        </w:rPr>
        <w:t xml:space="preserve">teacher </w:t>
      </w:r>
      <w:r w:rsidR="00476139" w:rsidRPr="006E71E3">
        <w:rPr>
          <w:lang w:eastAsia="en-AU"/>
        </w:rPr>
        <w:t>retention</w:t>
      </w:r>
      <w:r w:rsidR="00CD40CC">
        <w:rPr>
          <w:lang w:eastAsia="en-AU"/>
        </w:rPr>
        <w:t xml:space="preserve">, but no </w:t>
      </w:r>
      <w:r w:rsidR="00BE3A2A">
        <w:rPr>
          <w:lang w:eastAsia="en-AU"/>
        </w:rPr>
        <w:t>noticeable</w:t>
      </w:r>
      <w:r w:rsidR="00CD40CC">
        <w:rPr>
          <w:lang w:eastAsia="en-AU"/>
        </w:rPr>
        <w:t xml:space="preserve"> impact</w:t>
      </w:r>
      <w:r w:rsidR="00BE3A2A">
        <w:rPr>
          <w:lang w:eastAsia="en-AU"/>
        </w:rPr>
        <w:t xml:space="preserve"> on their </w:t>
      </w:r>
      <w:r w:rsidR="006D54CB">
        <w:rPr>
          <w:lang w:eastAsia="en-AU"/>
        </w:rPr>
        <w:t xml:space="preserve">career </w:t>
      </w:r>
      <w:r w:rsidR="00BE3A2A">
        <w:rPr>
          <w:lang w:eastAsia="en-AU"/>
        </w:rPr>
        <w:t>progression</w:t>
      </w:r>
      <w:r w:rsidR="00476139" w:rsidRPr="006E71E3">
        <w:rPr>
          <w:lang w:eastAsia="en-AU"/>
        </w:rPr>
        <w:t>.</w:t>
      </w:r>
      <w:r w:rsidR="00476139">
        <w:rPr>
          <w:lang w:eastAsia="en-AU"/>
        </w:rPr>
        <w:t xml:space="preserve"> Participants in TILF projects were significantly more likely </w:t>
      </w:r>
      <w:r w:rsidR="00C546A8">
        <w:rPr>
          <w:lang w:eastAsia="en-AU"/>
        </w:rPr>
        <w:t xml:space="preserve">than other teachers in the UK </w:t>
      </w:r>
      <w:r w:rsidR="00476139">
        <w:rPr>
          <w:lang w:eastAsia="en-AU"/>
        </w:rPr>
        <w:t>to remain in the teaching profession</w:t>
      </w:r>
      <w:r>
        <w:rPr>
          <w:lang w:eastAsia="en-AU"/>
        </w:rPr>
        <w:t>,</w:t>
      </w:r>
      <w:r w:rsidR="00DD6DA9">
        <w:rPr>
          <w:lang w:eastAsia="en-AU"/>
        </w:rPr>
        <w:t xml:space="preserve"> </w:t>
      </w:r>
      <w:r w:rsidR="00D96CE9">
        <w:rPr>
          <w:lang w:eastAsia="en-AU"/>
        </w:rPr>
        <w:t xml:space="preserve">in </w:t>
      </w:r>
      <w:r w:rsidR="00476139">
        <w:rPr>
          <w:lang w:eastAsia="en-AU"/>
        </w:rPr>
        <w:t xml:space="preserve">challenging schools and </w:t>
      </w:r>
      <w:r w:rsidR="0032642A">
        <w:rPr>
          <w:lang w:eastAsia="en-AU"/>
        </w:rPr>
        <w:t>in t</w:t>
      </w:r>
      <w:r w:rsidR="00476139">
        <w:rPr>
          <w:lang w:eastAsia="en-AU"/>
        </w:rPr>
        <w:t>he same school. The Golden Hello also eased recruitment and retention challenges in areas with teacher shortages, including highly disadvantaged schools.</w:t>
      </w:r>
    </w:p>
    <w:p w14:paraId="0E9C769C" w14:textId="26664107" w:rsidR="004A72E1" w:rsidRDefault="004878E0" w:rsidP="00476139">
      <w:pPr>
        <w:spacing w:after="160"/>
      </w:pPr>
      <w:r>
        <w:rPr>
          <w:lang w:eastAsia="en-AU"/>
        </w:rPr>
        <w:t>By contrast, i</w:t>
      </w:r>
      <w:r w:rsidR="00476139">
        <w:rPr>
          <w:lang w:eastAsia="en-AU"/>
        </w:rPr>
        <w:t xml:space="preserve">n </w:t>
      </w:r>
      <w:r w:rsidR="00476139">
        <w:rPr>
          <w:rFonts w:asciiTheme="majorHAnsi" w:hAnsiTheme="majorHAnsi" w:cstheme="majorHAnsi"/>
          <w:lang w:eastAsia="en-AU"/>
        </w:rPr>
        <w:t>the US</w:t>
      </w:r>
      <w:r w:rsidR="00476139">
        <w:rPr>
          <w:lang w:eastAsia="en-AU"/>
        </w:rPr>
        <w:t xml:space="preserve">, researchers found that the </w:t>
      </w:r>
      <w:r w:rsidR="00053173">
        <w:rPr>
          <w:lang w:eastAsia="en-AU"/>
        </w:rPr>
        <w:t>TLF</w:t>
      </w:r>
      <w:r w:rsidR="00476139">
        <w:rPr>
          <w:lang w:eastAsia="en-AU"/>
        </w:rPr>
        <w:t xml:space="preserve"> Program had no significant impact on </w:t>
      </w:r>
      <w:r w:rsidR="00476139">
        <w:t>retaining teachers or on attracting them to high-need schools.</w:t>
      </w:r>
      <w:r w:rsidR="00476139">
        <w:rPr>
          <w:rStyle w:val="FootnoteReference"/>
        </w:rPr>
        <w:footnoteReference w:id="153"/>
      </w:r>
      <w:r w:rsidR="00476139">
        <w:t xml:space="preserve"> Rather than incentivising teachers to remain in one school for five years to become eligible for debt forgiveness, promotion of the program seems to have primarily increased uptake by teachers who had already completed five years in their school.</w:t>
      </w:r>
      <w:r w:rsidR="00476139">
        <w:rPr>
          <w:rStyle w:val="FootnoteReference"/>
        </w:rPr>
        <w:footnoteReference w:id="154"/>
      </w:r>
      <w:r w:rsidR="004376E4">
        <w:t xml:space="preserve"> </w:t>
      </w:r>
      <w:r w:rsidR="00476139">
        <w:t xml:space="preserve">This suggests that </w:t>
      </w:r>
      <w:r w:rsidR="00476139" w:rsidRPr="00457126">
        <w:t xml:space="preserve">loan forgiveness </w:t>
      </w:r>
      <w:r w:rsidR="00476139">
        <w:t>is</w:t>
      </w:r>
      <w:r w:rsidR="00476139" w:rsidRPr="00457126">
        <w:t xml:space="preserve"> a weaker incentive than financial bonuses</w:t>
      </w:r>
      <w:r w:rsidR="00476139">
        <w:t xml:space="preserve"> or subsidies.</w:t>
      </w:r>
      <w:r w:rsidR="004A72E1">
        <w:t xml:space="preserve"> </w:t>
      </w:r>
    </w:p>
    <w:p w14:paraId="01F2684D" w14:textId="11379CEC" w:rsidR="00476139" w:rsidRDefault="00C10A9E" w:rsidP="00476139">
      <w:pPr>
        <w:spacing w:after="160"/>
      </w:pPr>
      <w:r>
        <w:lastRenderedPageBreak/>
        <w:t>However, a</w:t>
      </w:r>
      <w:r w:rsidR="004A72E1">
        <w:t xml:space="preserve"> recent assessment of the </w:t>
      </w:r>
      <w:r w:rsidR="000902F7">
        <w:t>United States</w:t>
      </w:r>
      <w:r w:rsidR="004A72E1">
        <w:t xml:space="preserve"> TLF found that </w:t>
      </w:r>
      <w:r w:rsidR="004A72E1" w:rsidRPr="00960FE9">
        <w:t>$5,000</w:t>
      </w:r>
      <w:r w:rsidR="004A72E1">
        <w:t xml:space="preserve"> </w:t>
      </w:r>
      <w:r w:rsidR="004A72E1" w:rsidRPr="00960FE9">
        <w:t>of</w:t>
      </w:r>
      <w:r w:rsidR="004A72E1">
        <w:t xml:space="preserve"> debt </w:t>
      </w:r>
      <w:r w:rsidR="004A72E1" w:rsidRPr="00960FE9">
        <w:t>forgiveness</w:t>
      </w:r>
      <w:r w:rsidR="004A72E1">
        <w:t xml:space="preserve"> </w:t>
      </w:r>
      <w:r w:rsidR="004A72E1" w:rsidRPr="00960FE9">
        <w:t>would</w:t>
      </w:r>
      <w:r w:rsidR="004A72E1">
        <w:t xml:space="preserve"> </w:t>
      </w:r>
      <w:r w:rsidR="004A72E1" w:rsidRPr="00960FE9">
        <w:t>break</w:t>
      </w:r>
      <w:r w:rsidR="004A72E1">
        <w:t xml:space="preserve"> </w:t>
      </w:r>
      <w:r w:rsidR="004A72E1" w:rsidRPr="00960FE9">
        <w:t>a</w:t>
      </w:r>
      <w:r w:rsidR="004A72E1">
        <w:t xml:space="preserve"> </w:t>
      </w:r>
      <w:r w:rsidR="004A72E1" w:rsidRPr="00960FE9">
        <w:t>tie</w:t>
      </w:r>
      <w:r w:rsidR="004A72E1">
        <w:t xml:space="preserve"> </w:t>
      </w:r>
      <w:r w:rsidR="004A72E1" w:rsidRPr="00960FE9">
        <w:t>between</w:t>
      </w:r>
      <w:r w:rsidR="004A72E1">
        <w:t xml:space="preserve"> </w:t>
      </w:r>
      <w:r w:rsidR="004A72E1" w:rsidRPr="00960FE9">
        <w:t>two</w:t>
      </w:r>
      <w:r w:rsidR="004A72E1">
        <w:t xml:space="preserve"> </w:t>
      </w:r>
      <w:r w:rsidR="004A72E1" w:rsidRPr="00960FE9">
        <w:t xml:space="preserve">equivalent </w:t>
      </w:r>
      <w:r w:rsidR="004A72E1">
        <w:t>s</w:t>
      </w:r>
      <w:r w:rsidR="004A72E1" w:rsidRPr="00960FE9">
        <w:t>chools</w:t>
      </w:r>
      <w:r w:rsidR="004A72E1">
        <w:t xml:space="preserve"> </w:t>
      </w:r>
      <w:r w:rsidR="004A72E1" w:rsidRPr="00960FE9">
        <w:t>by</w:t>
      </w:r>
      <w:r w:rsidR="004A72E1">
        <w:t xml:space="preserve"> </w:t>
      </w:r>
      <w:r w:rsidR="004A72E1" w:rsidRPr="00960FE9">
        <w:t>16</w:t>
      </w:r>
      <w:r w:rsidR="004A72E1">
        <w:t xml:space="preserve"> </w:t>
      </w:r>
      <w:r w:rsidR="004A72E1" w:rsidRPr="00960FE9">
        <w:t>percentage</w:t>
      </w:r>
      <w:r w:rsidR="004A72E1">
        <w:t xml:space="preserve"> </w:t>
      </w:r>
      <w:r w:rsidR="004A72E1" w:rsidRPr="00960FE9">
        <w:t>points,</w:t>
      </w:r>
      <w:r w:rsidR="004A72E1">
        <w:t xml:space="preserve"> </w:t>
      </w:r>
      <w:r w:rsidR="004A72E1" w:rsidRPr="00960FE9">
        <w:t>increasing</w:t>
      </w:r>
      <w:r w:rsidR="004A72E1">
        <w:t xml:space="preserve"> </w:t>
      </w:r>
      <w:r w:rsidR="004A72E1" w:rsidRPr="00960FE9">
        <w:t>the</w:t>
      </w:r>
      <w:r w:rsidR="004A72E1">
        <w:t xml:space="preserve"> probability </w:t>
      </w:r>
      <w:r w:rsidR="004A72E1" w:rsidRPr="00960FE9">
        <w:t>of</w:t>
      </w:r>
      <w:r w:rsidR="004A72E1">
        <w:t xml:space="preserve"> a teacher </w:t>
      </w:r>
      <w:r w:rsidR="004A72E1" w:rsidRPr="00960FE9">
        <w:t>selecting</w:t>
      </w:r>
      <w:r w:rsidR="004A72E1">
        <w:t xml:space="preserve"> a disadvantaged </w:t>
      </w:r>
      <w:r w:rsidR="004A72E1" w:rsidRPr="00960FE9">
        <w:t>school to</w:t>
      </w:r>
      <w:r w:rsidR="004A72E1">
        <w:t xml:space="preserve"> </w:t>
      </w:r>
      <w:r w:rsidR="004A72E1" w:rsidRPr="00960FE9">
        <w:t>66</w:t>
      </w:r>
      <w:r w:rsidR="004A72E1">
        <w:t xml:space="preserve"> </w:t>
      </w:r>
      <w:r w:rsidR="004A72E1" w:rsidRPr="00960FE9">
        <w:t>per</w:t>
      </w:r>
      <w:r w:rsidR="00AB4923">
        <w:t xml:space="preserve"> </w:t>
      </w:r>
      <w:r w:rsidR="004A72E1" w:rsidRPr="00960FE9">
        <w:t>cent.</w:t>
      </w:r>
      <w:r w:rsidR="004A72E1">
        <w:rPr>
          <w:rStyle w:val="FootnoteReference"/>
        </w:rPr>
        <w:footnoteReference w:id="155"/>
      </w:r>
      <w:r w:rsidR="004A72E1">
        <w:t xml:space="preserve"> The same study suggested that the complex administrative processes required to apply for debt forgiveness may explain why the uptake of TLF ha</w:t>
      </w:r>
      <w:r>
        <w:t>d</w:t>
      </w:r>
      <w:r w:rsidR="004A72E1">
        <w:t xml:space="preserve"> been lower than expected.</w:t>
      </w:r>
      <w:r w:rsidR="004A72E1">
        <w:rPr>
          <w:rStyle w:val="FootnoteReference"/>
        </w:rPr>
        <w:footnoteReference w:id="156"/>
      </w:r>
    </w:p>
    <w:p w14:paraId="5189B098" w14:textId="6EB001B8" w:rsidR="008974DD" w:rsidRDefault="008974DD" w:rsidP="008974DD">
      <w:pPr>
        <w:pStyle w:val="Heading3"/>
      </w:pPr>
      <w:r>
        <w:t xml:space="preserve">Evidence base </w:t>
      </w:r>
    </w:p>
    <w:p w14:paraId="29D25147" w14:textId="1B875834" w:rsidR="00326775" w:rsidRDefault="00970A9E" w:rsidP="00706381">
      <w:pPr>
        <w:jc w:val="both"/>
      </w:pPr>
      <w:r>
        <w:t>The available e</w:t>
      </w:r>
      <w:r w:rsidR="00806B3D">
        <w:t>vidence</w:t>
      </w:r>
      <w:r>
        <w:t>,</w:t>
      </w:r>
      <w:r w:rsidR="00782537" w:rsidRPr="00782537">
        <w:t xml:space="preserve"> while </w:t>
      </w:r>
      <w:r>
        <w:t xml:space="preserve">broadly </w:t>
      </w:r>
      <w:r w:rsidR="00782537" w:rsidRPr="00782537">
        <w:t>positive</w:t>
      </w:r>
      <w:r w:rsidR="00782537">
        <w:t xml:space="preserve">, is </w:t>
      </w:r>
      <w:r w:rsidR="00FA1C27">
        <w:t xml:space="preserve">limited in relation to </w:t>
      </w:r>
      <w:r>
        <w:t xml:space="preserve">impact on school </w:t>
      </w:r>
      <w:r w:rsidR="00FA1C27">
        <w:t>diversity outcomes</w:t>
      </w:r>
      <w:r>
        <w:t xml:space="preserve"> over time</w:t>
      </w:r>
      <w:r w:rsidR="00806B3D">
        <w:t xml:space="preserve">. </w:t>
      </w:r>
      <w:r w:rsidR="00782537">
        <w:t>M</w:t>
      </w:r>
      <w:r w:rsidR="00483483">
        <w:t>any of the financial</w:t>
      </w:r>
      <w:r w:rsidR="00806B3D">
        <w:t xml:space="preserve"> incentives employed </w:t>
      </w:r>
      <w:r w:rsidR="00170F8E">
        <w:t>have</w:t>
      </w:r>
      <w:r w:rsidR="00806B3D">
        <w:t xml:space="preserve"> either </w:t>
      </w:r>
      <w:r w:rsidR="00B30A76">
        <w:t xml:space="preserve">been </w:t>
      </w:r>
      <w:r w:rsidR="00806B3D">
        <w:t>small-scale or short-term initiatives</w:t>
      </w:r>
      <w:r w:rsidR="00572799">
        <w:t>,</w:t>
      </w:r>
      <w:r w:rsidR="00806B3D">
        <w:t xml:space="preserve"> and their total effect on education outcomes or diversity are difficult to isolate from other factors, </w:t>
      </w:r>
      <w:r w:rsidR="00E0149C">
        <w:t>including</w:t>
      </w:r>
      <w:r w:rsidR="00806B3D">
        <w:t xml:space="preserve"> concurrently occurring reforms. This applies in particular to the UK, </w:t>
      </w:r>
      <w:r w:rsidR="00E0149C">
        <w:t>New Zealand</w:t>
      </w:r>
      <w:r w:rsidR="00806B3D">
        <w:t xml:space="preserve"> and </w:t>
      </w:r>
      <w:r w:rsidR="0035770F">
        <w:t>the US</w:t>
      </w:r>
      <w:r w:rsidR="00572799">
        <w:t xml:space="preserve"> examples</w:t>
      </w:r>
      <w:r w:rsidR="00806B3D">
        <w:t>. Some initiatives focusing on improving retention rates in rural and regional areas also lack definit</w:t>
      </w:r>
      <w:r w:rsidR="0035770F">
        <w:t>iv</w:t>
      </w:r>
      <w:r w:rsidR="00806B3D">
        <w:t>e results</w:t>
      </w:r>
      <w:r w:rsidR="00326775">
        <w:t>.</w:t>
      </w:r>
      <w:r w:rsidR="00806B3D">
        <w:rPr>
          <w:rStyle w:val="FootnoteReference"/>
        </w:rPr>
        <w:footnoteReference w:id="157"/>
      </w:r>
      <w:r w:rsidR="00BA2953">
        <w:t xml:space="preserve"> </w:t>
      </w:r>
    </w:p>
    <w:p w14:paraId="14D3A9CC" w14:textId="10345AFE" w:rsidR="00806B3D" w:rsidRDefault="00806B3D" w:rsidP="00806B3D">
      <w:r>
        <w:t xml:space="preserve">Overall, evidence </w:t>
      </w:r>
      <w:r w:rsidR="00326775">
        <w:t>suggests</w:t>
      </w:r>
      <w:r>
        <w:t xml:space="preserve"> that financial incentives appear promising</w:t>
      </w:r>
      <w:r w:rsidR="00326775">
        <w:t xml:space="preserve"> </w:t>
      </w:r>
      <w:r w:rsidR="00984A56">
        <w:t>for</w:t>
      </w:r>
      <w:r w:rsidR="00326775">
        <w:t xml:space="preserve"> </w:t>
      </w:r>
      <w:r w:rsidR="0021786C">
        <w:t xml:space="preserve">attracting </w:t>
      </w:r>
      <w:r w:rsidR="00380BC7">
        <w:t>highly effective</w:t>
      </w:r>
      <w:r w:rsidR="0021786C">
        <w:t xml:space="preserve"> teachers and improving educational outcomes, </w:t>
      </w:r>
      <w:r>
        <w:t>but</w:t>
      </w:r>
      <w:r w:rsidR="00433562">
        <w:t xml:space="preserve"> it</w:t>
      </w:r>
      <w:r w:rsidR="00595BF0">
        <w:t xml:space="preserve"> is </w:t>
      </w:r>
      <w:r w:rsidR="00433562">
        <w:t>difficult to point to a</w:t>
      </w:r>
      <w:r w:rsidR="00595BF0">
        <w:t xml:space="preserve"> </w:t>
      </w:r>
      <w:r w:rsidR="000D172B">
        <w:t>discernible</w:t>
      </w:r>
      <w:r w:rsidR="00595BF0">
        <w:t xml:space="preserve"> </w:t>
      </w:r>
      <w:r w:rsidR="005C0EDB">
        <w:t xml:space="preserve">effect on </w:t>
      </w:r>
      <w:r w:rsidR="000D172B">
        <w:t>reversing concentrations of disadvantage</w:t>
      </w:r>
      <w:r>
        <w:t>.</w:t>
      </w:r>
      <w:r>
        <w:rPr>
          <w:rStyle w:val="FootnoteReference"/>
        </w:rPr>
        <w:footnoteReference w:id="158"/>
      </w:r>
      <w:r w:rsidR="00433562">
        <w:t xml:space="preserve"> </w:t>
      </w:r>
      <w:r w:rsidR="00251575">
        <w:t xml:space="preserve">This is because uptake </w:t>
      </w:r>
      <w:r w:rsidR="00F16996">
        <w:t>and retention is generally less than desired, and the overall impact lower than anticipated and harder to measure.</w:t>
      </w:r>
      <w:r w:rsidR="00433562">
        <w:t xml:space="preserve"> </w:t>
      </w:r>
    </w:p>
    <w:p w14:paraId="01AF2E3A" w14:textId="4BACF7B2" w:rsidR="008974DD" w:rsidRPr="00301A6F" w:rsidRDefault="008974DD" w:rsidP="008974DD">
      <w:pPr>
        <w:pStyle w:val="Heading3"/>
      </w:pPr>
      <w:r>
        <w:t>Transferability</w:t>
      </w:r>
    </w:p>
    <w:p w14:paraId="388D0711" w14:textId="55B766B3" w:rsidR="008974DD" w:rsidRPr="0086054F" w:rsidRDefault="008974DD" w:rsidP="008974DD">
      <w:pPr>
        <w:rPr>
          <w:lang w:eastAsia="en-AU"/>
        </w:rPr>
      </w:pPr>
      <w:r>
        <w:rPr>
          <w:noProof/>
        </w:rPr>
        <w:drawing>
          <wp:inline distT="0" distB="0" distL="0" distR="0" wp14:anchorId="54B77B5D" wp14:editId="1B5687A8">
            <wp:extent cx="5670550" cy="1676369"/>
            <wp:effectExtent l="0" t="0" r="6350" b="635"/>
            <wp:docPr id="717490917" name="Picture 717490917" descr="Lists the dimensions of transferability to the Australian context, with a high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0917" name="Picture 717490917" descr="Lists the dimensions of transferability to the Australian context, with a high level of transferability to Australia. "/>
                    <pic:cNvPicPr/>
                  </pic:nvPicPr>
                  <pic:blipFill>
                    <a:blip r:embed="rId36">
                      <a:extLst>
                        <a:ext uri="{28A0092B-C50C-407E-A947-70E740481C1C}">
                          <a14:useLocalDpi xmlns:a14="http://schemas.microsoft.com/office/drawing/2010/main" val="0"/>
                        </a:ext>
                      </a:extLst>
                    </a:blip>
                    <a:stretch>
                      <a:fillRect/>
                    </a:stretch>
                  </pic:blipFill>
                  <pic:spPr>
                    <a:xfrm>
                      <a:off x="0" y="0"/>
                      <a:ext cx="5670550" cy="1676369"/>
                    </a:xfrm>
                    <a:prstGeom prst="rect">
                      <a:avLst/>
                    </a:prstGeom>
                  </pic:spPr>
                </pic:pic>
              </a:graphicData>
            </a:graphic>
          </wp:inline>
        </w:drawing>
      </w:r>
    </w:p>
    <w:p w14:paraId="31DB0B01" w14:textId="0E989589" w:rsidR="002A41EA" w:rsidRDefault="002500B5" w:rsidP="008E67D4">
      <w:pPr>
        <w:spacing w:after="160"/>
      </w:pPr>
      <w:r>
        <w:t xml:space="preserve">The impact of incentives is proportional to their size and accessibility. </w:t>
      </w:r>
      <w:r w:rsidR="00792C2B">
        <w:t>F</w:t>
      </w:r>
      <w:r w:rsidR="002A41EA">
        <w:t>inancial incentives for educators</w:t>
      </w:r>
      <w:r w:rsidR="00792C2B">
        <w:t xml:space="preserve"> are more likely to appeal to younger</w:t>
      </w:r>
      <w:r w:rsidR="00782537">
        <w:t xml:space="preserve"> and more mobile</w:t>
      </w:r>
      <w:r w:rsidR="00792C2B">
        <w:t xml:space="preserve"> </w:t>
      </w:r>
      <w:r w:rsidR="00AC5974">
        <w:t>teachers</w:t>
      </w:r>
      <w:r w:rsidR="003D136B">
        <w:t xml:space="preserve"> who are less likely to be geographically constrained by family considerations such as their partner’s place of employment. </w:t>
      </w:r>
      <w:r w:rsidR="009E38EB">
        <w:t xml:space="preserve">This </w:t>
      </w:r>
      <w:r w:rsidR="009020BA">
        <w:t xml:space="preserve">is a limitation of the </w:t>
      </w:r>
      <w:r w:rsidR="009E38EB">
        <w:t>intervention</w:t>
      </w:r>
      <w:r w:rsidR="00792C2B">
        <w:t>.</w:t>
      </w:r>
      <w:r w:rsidR="00792C2B">
        <w:rPr>
          <w:rStyle w:val="FootnoteReference"/>
        </w:rPr>
        <w:footnoteReference w:id="159"/>
      </w:r>
    </w:p>
    <w:p w14:paraId="20A24EDB" w14:textId="03E82253" w:rsidR="006E74CB" w:rsidRDefault="00462135" w:rsidP="008E67D4">
      <w:pPr>
        <w:spacing w:after="160"/>
      </w:pPr>
      <w:r>
        <w:t>This intervention is highly scalable,</w:t>
      </w:r>
      <w:r w:rsidR="00EB1304">
        <w:t xml:space="preserve"> likely to be </w:t>
      </w:r>
      <w:r w:rsidR="00423ECA">
        <w:t>widely</w:t>
      </w:r>
      <w:r w:rsidR="00EB1304">
        <w:t xml:space="preserve"> supported, </w:t>
      </w:r>
      <w:r w:rsidR="00527B7F">
        <w:t>a</w:t>
      </w:r>
      <w:r w:rsidR="00423ECA">
        <w:t xml:space="preserve">nd </w:t>
      </w:r>
      <w:r w:rsidR="00816EAE">
        <w:t>can be implemented in ways</w:t>
      </w:r>
      <w:r w:rsidR="001F0AD8">
        <w:t xml:space="preserve"> </w:t>
      </w:r>
      <w:r w:rsidR="00915B18">
        <w:t xml:space="preserve">that are </w:t>
      </w:r>
      <w:r w:rsidR="00E536EA">
        <w:t xml:space="preserve">similar </w:t>
      </w:r>
      <w:r w:rsidR="00AE267A">
        <w:t xml:space="preserve">to or deviated from </w:t>
      </w:r>
      <w:r w:rsidR="00E536EA">
        <w:t xml:space="preserve">past and current approaches. </w:t>
      </w:r>
      <w:r w:rsidR="001F0AD8">
        <w:t xml:space="preserve">While the Chinese </w:t>
      </w:r>
      <w:r w:rsidR="009903C6">
        <w:t>performance-based pay</w:t>
      </w:r>
      <w:r w:rsidR="00E536EA">
        <w:t xml:space="preserve"> </w:t>
      </w:r>
      <w:r w:rsidR="008F1F8C">
        <w:t xml:space="preserve">and postponed </w:t>
      </w:r>
      <w:r w:rsidR="00826557">
        <w:t>mandatory</w:t>
      </w:r>
      <w:r w:rsidR="008F1F8C">
        <w:t xml:space="preserve"> retirement </w:t>
      </w:r>
      <w:r w:rsidR="00A368E4">
        <w:t xml:space="preserve">interventions </w:t>
      </w:r>
      <w:r w:rsidR="008F1F8C">
        <w:t xml:space="preserve">differ from existing Australian approaches, </w:t>
      </w:r>
      <w:r w:rsidR="00796820">
        <w:t xml:space="preserve">Australia’s jurisdictions have already experimented with </w:t>
      </w:r>
      <w:r w:rsidR="00215F2E">
        <w:t>other</w:t>
      </w:r>
      <w:r w:rsidR="00796820">
        <w:t xml:space="preserve"> incentives </w:t>
      </w:r>
      <w:r w:rsidR="002F1D24">
        <w:t>for</w:t>
      </w:r>
      <w:r w:rsidR="00796820">
        <w:t xml:space="preserve"> teachers and school leaders</w:t>
      </w:r>
      <w:r w:rsidR="00FF2442">
        <w:t xml:space="preserve">. </w:t>
      </w:r>
      <w:r w:rsidR="00870D2D">
        <w:t>For example,</w:t>
      </w:r>
      <w:r w:rsidR="00796820">
        <w:t xml:space="preserve"> Victoria has recently announced very generous initiatives of up to $50,000 per teacher to take up positions in rural, remote and ‘otherwise hard to staff’ schools</w:t>
      </w:r>
      <w:r w:rsidR="00FF2442">
        <w:t>.</w:t>
      </w:r>
    </w:p>
    <w:p w14:paraId="55921093" w14:textId="560C705B" w:rsidR="0012439E" w:rsidRDefault="00435B3C" w:rsidP="008E67D4">
      <w:pPr>
        <w:spacing w:after="160"/>
      </w:pPr>
      <w:r>
        <w:t>Ease of implementation</w:t>
      </w:r>
      <w:r w:rsidR="00167964">
        <w:t xml:space="preserve"> </w:t>
      </w:r>
      <w:r w:rsidR="0012439E">
        <w:t xml:space="preserve">depends on the design of the incentive schemes – namely the </w:t>
      </w:r>
      <w:r w:rsidR="002E5AA3">
        <w:t xml:space="preserve">financial amounts and conditions attached. </w:t>
      </w:r>
      <w:r w:rsidR="00014639">
        <w:t>Incentives with many</w:t>
      </w:r>
      <w:r w:rsidR="00D207EA">
        <w:t xml:space="preserve"> conditions </w:t>
      </w:r>
      <w:r w:rsidR="00014639">
        <w:t xml:space="preserve">attached </w:t>
      </w:r>
      <w:r w:rsidR="00D207EA">
        <w:t>make it harder for teac</w:t>
      </w:r>
      <w:r w:rsidR="00C74842">
        <w:t>h</w:t>
      </w:r>
      <w:r w:rsidR="00D207EA">
        <w:t xml:space="preserve">ers and schools to </w:t>
      </w:r>
      <w:r w:rsidR="00D207EA">
        <w:lastRenderedPageBreak/>
        <w:t>participate</w:t>
      </w:r>
      <w:r w:rsidR="00C74842">
        <w:t xml:space="preserve">, reducing </w:t>
      </w:r>
      <w:r w:rsidR="009A68A7">
        <w:t xml:space="preserve">impact through reduced participation. </w:t>
      </w:r>
      <w:r w:rsidR="00014639">
        <w:t>In contrast,</w:t>
      </w:r>
      <w:r w:rsidR="00D207EA">
        <w:t xml:space="preserve"> fewer conditions </w:t>
      </w:r>
      <w:r w:rsidR="00014639">
        <w:t>(e.g.</w:t>
      </w:r>
      <w:r w:rsidR="00546B1E">
        <w:t xml:space="preserve">, </w:t>
      </w:r>
      <w:r w:rsidR="00014639">
        <w:t xml:space="preserve">shorter </w:t>
      </w:r>
      <w:r w:rsidR="0068526C">
        <w:t xml:space="preserve">requirements for teaching in </w:t>
      </w:r>
      <w:r w:rsidR="00597F35">
        <w:t>disadvantaged schools</w:t>
      </w:r>
      <w:r w:rsidR="006F66C7">
        <w:t xml:space="preserve">) </w:t>
      </w:r>
      <w:r w:rsidR="00D207EA">
        <w:t xml:space="preserve">could reduce impact </w:t>
      </w:r>
      <w:r w:rsidR="00C32D9E">
        <w:t>b</w:t>
      </w:r>
      <w:r w:rsidR="00DB4213">
        <w:t xml:space="preserve">y contributing to </w:t>
      </w:r>
      <w:r w:rsidR="004758F8">
        <w:t xml:space="preserve">educator </w:t>
      </w:r>
      <w:r w:rsidR="00ED606B">
        <w:t>turnover</w:t>
      </w:r>
      <w:r w:rsidR="00C74842">
        <w:t xml:space="preserve"> in disadvantaged schools</w:t>
      </w:r>
      <w:r w:rsidR="00D207EA">
        <w:t xml:space="preserve">. </w:t>
      </w:r>
    </w:p>
    <w:p w14:paraId="7C28A363" w14:textId="3172042E" w:rsidR="005726B6" w:rsidRPr="00D11788" w:rsidRDefault="005726B6" w:rsidP="00B56419">
      <w:pPr>
        <w:spacing w:after="160"/>
      </w:pPr>
      <w:r>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D72496" w14:paraId="76BB67A0" w14:textId="77777777" w:rsidTr="00D72496">
        <w:tc>
          <w:tcPr>
            <w:tcW w:w="9401" w:type="dxa"/>
            <w:tcBorders>
              <w:top w:val="single" w:sz="24" w:space="0" w:color="0070C0"/>
              <w:left w:val="nil"/>
              <w:bottom w:val="nil"/>
              <w:right w:val="nil"/>
            </w:tcBorders>
            <w:shd w:val="clear" w:color="auto" w:fill="E6E6E1" w:themeFill="accent5"/>
            <w:vAlign w:val="center"/>
          </w:tcPr>
          <w:p w14:paraId="7902AD33" w14:textId="42060CC7" w:rsidR="00D72496" w:rsidRDefault="00D72496" w:rsidP="00D72496">
            <w:pPr>
              <w:pStyle w:val="Heading2"/>
              <w:spacing w:before="120" w:after="120" w:line="240" w:lineRule="auto"/>
              <w:ind w:left="578" w:hanging="578"/>
            </w:pPr>
            <w:bookmarkStart w:id="28" w:name="_Toc149052457"/>
            <w:r>
              <w:lastRenderedPageBreak/>
              <w:t xml:space="preserve">Alternative </w:t>
            </w:r>
            <w:r w:rsidRPr="00C90442">
              <w:t xml:space="preserve">teaching, </w:t>
            </w:r>
            <w:r w:rsidR="00004B83" w:rsidRPr="00C90442">
              <w:t>assessment</w:t>
            </w:r>
            <w:r w:rsidRPr="00C90442">
              <w:t xml:space="preserve"> and</w:t>
            </w:r>
            <w:r>
              <w:t xml:space="preserve"> delivery models</w:t>
            </w:r>
            <w:bookmarkEnd w:id="28"/>
          </w:p>
        </w:tc>
      </w:tr>
      <w:tr w:rsidR="00D72496" w14:paraId="60B3A631" w14:textId="77777777" w:rsidTr="00D72496">
        <w:tc>
          <w:tcPr>
            <w:tcW w:w="9401" w:type="dxa"/>
            <w:tcBorders>
              <w:top w:val="nil"/>
              <w:left w:val="nil"/>
              <w:bottom w:val="single" w:sz="4" w:space="0" w:color="0070C0"/>
              <w:right w:val="nil"/>
            </w:tcBorders>
            <w:shd w:val="clear" w:color="auto" w:fill="F2F2F2" w:themeFill="background1" w:themeFillShade="F2"/>
            <w:tcMar>
              <w:top w:w="113" w:type="dxa"/>
            </w:tcMar>
            <w:vAlign w:val="bottom"/>
          </w:tcPr>
          <w:p w14:paraId="0E835DD6" w14:textId="77777777" w:rsidR="00D72496" w:rsidRPr="00130948" w:rsidRDefault="00D72496" w:rsidP="00D72496">
            <w:r>
              <w:rPr>
                <w:noProof/>
              </w:rPr>
              <w:drawing>
                <wp:inline distT="0" distB="0" distL="0" distR="0" wp14:anchorId="66FBA2A1" wp14:editId="619EFC24">
                  <wp:extent cx="3530172" cy="270665"/>
                  <wp:effectExtent l="0" t="0" r="0" b="0"/>
                  <wp:docPr id="532654914" name="Picture 532654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54914" name="Picture 532654914">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3530172" cy="270665"/>
                          </a:xfrm>
                          <a:prstGeom prst="rect">
                            <a:avLst/>
                          </a:prstGeom>
                        </pic:spPr>
                      </pic:pic>
                    </a:graphicData>
                  </a:graphic>
                </wp:inline>
              </w:drawing>
            </w:r>
          </w:p>
        </w:tc>
      </w:tr>
    </w:tbl>
    <w:p w14:paraId="02FE8360" w14:textId="77777777" w:rsidR="002D5BFB" w:rsidRDefault="002D5BFB" w:rsidP="002D5BFB">
      <w:pPr>
        <w:rPr>
          <w:lang w:eastAsia="en-AU"/>
        </w:rPr>
      </w:pPr>
    </w:p>
    <w:p w14:paraId="7185DFA2" w14:textId="367690E4" w:rsidR="00E70E79" w:rsidRDefault="007562B7" w:rsidP="00513C2B">
      <w:pPr>
        <w:rPr>
          <w:lang w:eastAsia="en-AU"/>
        </w:rPr>
      </w:pPr>
      <w:r w:rsidRPr="007562B7">
        <w:rPr>
          <w:lang w:eastAsia="en-AU"/>
        </w:rPr>
        <w:t>This intervention aims to better meet student needs (especially at-risk students) and improve learning and related outcomes through fundamentally different teaching and learning models. It does so in a variety of ways including through reconfiguring schools to provide greater personalised and community-based education, through online or hybrid delivery, and increasing the range of valued and measured student outcomes. By demonstrating success and a more individualised approach to education, schools adopting these alternative models – initially with cohorts who are disadvantaged and disengaged – become more attractive to advantaged families, thereby improving the socio-economic mix.</w:t>
      </w:r>
    </w:p>
    <w:p w14:paraId="320B04B1" w14:textId="63DECBB5" w:rsidR="000F0696" w:rsidRDefault="0045016D" w:rsidP="00E07876">
      <w:pPr>
        <w:pStyle w:val="Heading3"/>
      </w:pPr>
      <w:r>
        <w:t>Drivers and objective</w:t>
      </w:r>
      <w:r w:rsidR="00581E35">
        <w:t>s</w:t>
      </w:r>
    </w:p>
    <w:p w14:paraId="24061C37" w14:textId="7C193855" w:rsidR="00354C14" w:rsidRDefault="00354C14" w:rsidP="00354C14">
      <w:pPr>
        <w:rPr>
          <w:lang w:eastAsia="en-AU"/>
        </w:rPr>
      </w:pPr>
      <w:r>
        <w:rPr>
          <w:noProof/>
          <w:lang w:eastAsia="en-AU"/>
        </w:rPr>
        <mc:AlternateContent>
          <mc:Choice Requires="wps">
            <w:drawing>
              <wp:anchor distT="0" distB="0" distL="114300" distR="114300" simplePos="0" relativeHeight="251658240" behindDoc="0" locked="0" layoutInCell="1" allowOverlap="1" wp14:anchorId="57681232" wp14:editId="46227F19">
                <wp:simplePos x="0" y="0"/>
                <wp:positionH relativeFrom="column">
                  <wp:posOffset>3695065</wp:posOffset>
                </wp:positionH>
                <wp:positionV relativeFrom="paragraph">
                  <wp:posOffset>34925</wp:posOffset>
                </wp:positionV>
                <wp:extent cx="2203450" cy="2066925"/>
                <wp:effectExtent l="0" t="0" r="6350" b="0"/>
                <wp:wrapSquare wrapText="bothSides"/>
                <wp:docPr id="1040265152" name="Text Box 10402651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203450"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6FC1A" w14:textId="77777777" w:rsidR="00354C14" w:rsidRPr="00863ED9" w:rsidRDefault="00354C14" w:rsidP="00354C14">
                            <w:pPr>
                              <w:pStyle w:val="Callout"/>
                              <w:rPr>
                                <w:color w:val="F25E21" w:themeColor="accent2"/>
                              </w:rPr>
                            </w:pPr>
                            <w:r w:rsidRPr="00863ED9">
                              <w:rPr>
                                <w:color w:val="F25E21" w:themeColor="accent2"/>
                              </w:rPr>
                              <w:t xml:space="preserve">“Australia still has an industrial model of school education… it is not designed to differentiate learning… nor does it incentivise students to innovate and continuously improve”. </w:t>
                            </w:r>
                          </w:p>
                          <w:p w14:paraId="3692424C" w14:textId="5DD6D2FD" w:rsidR="00354C14" w:rsidRPr="00863ED9" w:rsidRDefault="00354C14" w:rsidP="00354C14">
                            <w:pPr>
                              <w:pStyle w:val="Callout"/>
                              <w:jc w:val="right"/>
                              <w:rPr>
                                <w:color w:val="F25E21" w:themeColor="accent2"/>
                                <w:sz w:val="18"/>
                                <w:szCs w:val="18"/>
                              </w:rPr>
                            </w:pPr>
                            <w:r w:rsidRPr="00863ED9">
                              <w:rPr>
                                <w:color w:val="F25E21" w:themeColor="accent2"/>
                                <w:sz w:val="18"/>
                                <w:szCs w:val="18"/>
                              </w:rPr>
                              <w:t>Report of the Review to Achieve Educational Excellence in Australian Schools</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7681232" id="Text Box 1040265152" o:spid="_x0000_s1032" type="#_x0000_t202" alt="&quot;&quot;" style="position:absolute;margin-left:290.95pt;margin-top:2.75pt;width:173.5pt;height:16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wIeQIAAGkFAAAOAAAAZHJzL2Uyb0RvYy54bWysVN9P2zAQfp+0/8Hy+5o00G6rSFEH6jQJ&#10;ARpMPLuOTaM5Ps++Nun+es5O2jLGC9NekrPv9+fv7uy8awzbKh9qsCUfj3LOlJVQ1fax5D/ulx8+&#10;cRZQ2EoYsKrkOxX4+fz9u7PWzVQBazCV8oyC2DBrXcnXiG6WZUGuVSPCCJyypNTgG4F09I9Z5UVL&#10;0RuTFXk+zVrwlfMgVQh0e9kr+TzF11pJvNE6KGSm5FQbpq9P31X8ZvMzMXv0wq1rOZQh/qGKRtSW&#10;kh5CXQoUbOPrv0I1tfQQQONIQpOB1rVUqQfqZpy/6OZuLZxKvRA4wR1gCv8vrLze3rlbz7D7Ah09&#10;YASkdWEW6DL202nfxD9VykhPEO4OsKkOmaTLoshPTiekkqQr8un0czGJcbKju/MBvypoWBRK7uld&#10;ElxiexWwN92bxGwBTF0ta2PSIXJBXRjPtoJe0WAqkoL/YWUsa0s+PaE6opOF6N5HNjbeqMSGId2x&#10;xSThzqhoY+x3pVldpU5fyS2kVPaQP1lHK02p3uI42B+reotz3wd5pMxg8eDc1BZ86j6NzxGy6uce&#10;Mt3b09s86zuK2K06apwQ3DNgBdWOiOGhn5ng5LKmx7sSAW+FpyGhB6fBxxv6aAMEPgwSZ2vwv1+7&#10;j/bEXdJy1tLQlTz82givODPfLLE6TmgSTicfCzr4dDiZ5jkdVs81dtNcALFhTOvFySRGezR7UXto&#10;Hmg3LGJGUgkrKW/JcS9eYL8GaLdItVgkI5pJJ/DK3jkZQ0eEIy3vuwfh3cBdJNpfw340xewFhXvb&#10;6BncYoNEw8TviHGP6IA9zXOakGH3xIXx/Jysjhty/gQAAP//AwBQSwMEFAAGAAgAAAAhAPSkVZ7f&#10;AAAACQEAAA8AAABkcnMvZG93bnJldi54bWxMj81OwzAQhO9IvIO1SFwQdZKqKA1xKsSPaMWJwoWb&#10;G2/jgL2OYrcNb89ygtuOZjT7Tb2avBNHHGMfSEE+y0AgtcH01Cl4f3u6LkHEpMloFwgVfGOEVXN+&#10;VuvKhBO94nGbOsElFCutwKY0VFLG1qLXcRYGJPb2YfQ6sRw7aUZ94nLvZJFlN9LrnviD1QPeW2y/&#10;tgevYC0/C7N5sY8fz3n2sKarvQtBKnV5Md3dgkg4pb8w/OIzOjTMtAsHMlE4BYsyX3KUjwUI9pdF&#10;yXqnYD7PM5BNLf8vaH4AAAD//wMAUEsBAi0AFAAGAAgAAAAhALaDOJL+AAAA4QEAABMAAAAAAAAA&#10;AAAAAAAAAAAAAFtDb250ZW50X1R5cGVzXS54bWxQSwECLQAUAAYACAAAACEAOP0h/9YAAACUAQAA&#10;CwAAAAAAAAAAAAAAAAAvAQAAX3JlbHMvLnJlbHNQSwECLQAUAAYACAAAACEAyEacCHkCAABpBQAA&#10;DgAAAAAAAAAAAAAAAAAuAgAAZHJzL2Uyb0RvYy54bWxQSwECLQAUAAYACAAAACEA9KRVnt8AAAAJ&#10;AQAADwAAAAAAAAAAAAAAAADTBAAAZHJzL2Rvd25yZXYueG1sUEsFBgAAAAAEAAQA8wAAAN8FAAAA&#10;AA==&#10;" fillcolor="white [3201]" stroked="f" strokeweight=".5pt">
                <v:textbox style="mso-fit-shape-to-text:t" inset="0,,1mm">
                  <w:txbxContent>
                    <w:p w14:paraId="34D6FC1A" w14:textId="77777777" w:rsidR="00354C14" w:rsidRPr="00863ED9" w:rsidRDefault="00354C14" w:rsidP="00354C14">
                      <w:pPr>
                        <w:pStyle w:val="Callout"/>
                        <w:rPr>
                          <w:color w:val="F25E21" w:themeColor="accent2"/>
                        </w:rPr>
                      </w:pPr>
                      <w:r w:rsidRPr="00863ED9">
                        <w:rPr>
                          <w:color w:val="F25E21" w:themeColor="accent2"/>
                        </w:rPr>
                        <w:t xml:space="preserve">“Australia still has an industrial model of school education… it is not designed to differentiate learning… nor does it incentivise students to innovate and continuously improve”. </w:t>
                      </w:r>
                    </w:p>
                    <w:p w14:paraId="3692424C" w14:textId="5DD6D2FD" w:rsidR="00354C14" w:rsidRPr="00863ED9" w:rsidRDefault="00354C14" w:rsidP="00354C14">
                      <w:pPr>
                        <w:pStyle w:val="Callout"/>
                        <w:jc w:val="right"/>
                        <w:rPr>
                          <w:color w:val="F25E21" w:themeColor="accent2"/>
                          <w:sz w:val="18"/>
                          <w:szCs w:val="18"/>
                        </w:rPr>
                      </w:pPr>
                      <w:r w:rsidRPr="00863ED9">
                        <w:rPr>
                          <w:color w:val="F25E21" w:themeColor="accent2"/>
                          <w:sz w:val="18"/>
                          <w:szCs w:val="18"/>
                        </w:rPr>
                        <w:t>Report of the Review to Achieve Educational Excellence in Australian Schools</w:t>
                      </w:r>
                    </w:p>
                  </w:txbxContent>
                </v:textbox>
                <w10:wrap type="square"/>
              </v:shape>
            </w:pict>
          </mc:Fallback>
        </mc:AlternateContent>
      </w:r>
      <w:r>
        <w:rPr>
          <w:lang w:eastAsia="en-AU"/>
        </w:rPr>
        <w:t>Traditional models of schooling do not meet the needs of all students, nor do they always meet all the needs of the rapidly changing economy and society they are entering. New approaches have typically responded to high and increasing numbers of disengaged and under-engaged students,</w:t>
      </w:r>
      <w:r>
        <w:rPr>
          <w:rStyle w:val="FootnoteReference"/>
          <w:lang w:eastAsia="en-AU"/>
        </w:rPr>
        <w:footnoteReference w:id="160"/>
      </w:r>
      <w:r>
        <w:rPr>
          <w:lang w:eastAsia="en-AU"/>
        </w:rPr>
        <w:t xml:space="preserve"> as well as students excluded from schools (for example</w:t>
      </w:r>
      <w:r w:rsidR="00292C01">
        <w:rPr>
          <w:lang w:eastAsia="en-AU"/>
        </w:rPr>
        <w:t>,</w:t>
      </w:r>
      <w:r>
        <w:rPr>
          <w:lang w:eastAsia="en-AU"/>
        </w:rPr>
        <w:t xml:space="preserve"> for repeated disruptive behaviour) or self-excluded (for example</w:t>
      </w:r>
      <w:r w:rsidR="00292C01">
        <w:rPr>
          <w:lang w:eastAsia="en-AU"/>
        </w:rPr>
        <w:t>,</w:t>
      </w:r>
      <w:r>
        <w:rPr>
          <w:lang w:eastAsia="en-AU"/>
        </w:rPr>
        <w:t xml:space="preserve"> due to bullying, inadequate learning progress, or mental health issues).</w:t>
      </w:r>
    </w:p>
    <w:p w14:paraId="1975276D" w14:textId="2FE747C5" w:rsidR="00354C14" w:rsidRDefault="00354C14" w:rsidP="00354C14">
      <w:pPr>
        <w:rPr>
          <w:lang w:eastAsia="en-AU"/>
        </w:rPr>
      </w:pPr>
      <w:r>
        <w:rPr>
          <w:lang w:eastAsia="en-AU"/>
        </w:rPr>
        <w:t>While these issues are present among students of all backgrounds, school disengagement and early leaving disproportionately affects students from low SES backgrounds, students in regional and remote areas, and First Nations students.</w:t>
      </w:r>
      <w:r>
        <w:rPr>
          <w:rStyle w:val="FootnoteReference"/>
          <w:lang w:eastAsia="en-AU"/>
        </w:rPr>
        <w:footnoteReference w:id="161"/>
      </w:r>
      <w:r>
        <w:rPr>
          <w:lang w:eastAsia="en-AU"/>
        </w:rPr>
        <w:t xml:space="preserve"> As a consequence, these students are also less likely to have access</w:t>
      </w:r>
      <w:r w:rsidRPr="0086054F">
        <w:rPr>
          <w:lang w:eastAsia="en-AU"/>
        </w:rPr>
        <w:t xml:space="preserve"> to a curriculum of sufficient breadth and depth</w:t>
      </w:r>
      <w:r>
        <w:rPr>
          <w:lang w:eastAsia="en-AU"/>
        </w:rPr>
        <w:t xml:space="preserve">, especially </w:t>
      </w:r>
      <w:r w:rsidR="006A689D">
        <w:rPr>
          <w:lang w:eastAsia="en-AU"/>
        </w:rPr>
        <w:t>during</w:t>
      </w:r>
      <w:r>
        <w:rPr>
          <w:lang w:eastAsia="en-AU"/>
        </w:rPr>
        <w:t xml:space="preserve"> senior years, or to </w:t>
      </w:r>
      <w:r w:rsidR="004A714E">
        <w:rPr>
          <w:lang w:eastAsia="en-AU"/>
        </w:rPr>
        <w:t>access specialist</w:t>
      </w:r>
      <w:r>
        <w:rPr>
          <w:lang w:eastAsia="en-AU"/>
        </w:rPr>
        <w:t xml:space="preserve"> teachers at any year level.</w:t>
      </w:r>
      <w:r>
        <w:rPr>
          <w:rStyle w:val="FootnoteReference"/>
          <w:lang w:eastAsia="en-AU"/>
        </w:rPr>
        <w:footnoteReference w:id="162"/>
      </w:r>
      <w:r>
        <w:rPr>
          <w:lang w:eastAsia="en-AU"/>
        </w:rPr>
        <w:t xml:space="preserve"> </w:t>
      </w:r>
    </w:p>
    <w:p w14:paraId="3E7631FA" w14:textId="2D105874" w:rsidR="00354C14" w:rsidRDefault="00354C14" w:rsidP="00354C14">
      <w:pPr>
        <w:rPr>
          <w:lang w:eastAsia="en-AU"/>
        </w:rPr>
      </w:pPr>
      <w:r>
        <w:rPr>
          <w:lang w:eastAsia="en-AU"/>
        </w:rPr>
        <w:t xml:space="preserve">The situation has been perpetuated by </w:t>
      </w:r>
      <w:r w:rsidRPr="0086054F">
        <w:rPr>
          <w:lang w:eastAsia="en-AU"/>
        </w:rPr>
        <w:t>assumptions</w:t>
      </w:r>
      <w:r>
        <w:rPr>
          <w:lang w:eastAsia="en-AU"/>
        </w:rPr>
        <w:t xml:space="preserve"> and expectations</w:t>
      </w:r>
      <w:r w:rsidRPr="0086054F">
        <w:rPr>
          <w:lang w:eastAsia="en-AU"/>
        </w:rPr>
        <w:t xml:space="preserve"> that schools</w:t>
      </w:r>
      <w:r>
        <w:rPr>
          <w:lang w:eastAsia="en-AU"/>
        </w:rPr>
        <w:t xml:space="preserve"> are </w:t>
      </w:r>
      <w:r w:rsidRPr="0086054F">
        <w:rPr>
          <w:lang w:eastAsia="en-AU"/>
        </w:rPr>
        <w:t xml:space="preserve">physical places </w:t>
      </w:r>
      <w:r>
        <w:rPr>
          <w:lang w:eastAsia="en-AU"/>
        </w:rPr>
        <w:t>that ought to</w:t>
      </w:r>
      <w:r w:rsidRPr="0086054F">
        <w:rPr>
          <w:lang w:eastAsia="en-AU"/>
        </w:rPr>
        <w:t xml:space="preserve"> operate in familiar ways</w:t>
      </w:r>
      <w:r>
        <w:rPr>
          <w:lang w:eastAsia="en-AU"/>
        </w:rPr>
        <w:t xml:space="preserve">, something which can underpin the way schools market themselves in a competitive school market. In this process, the drivers of traditional schooling can also </w:t>
      </w:r>
      <w:r w:rsidRPr="0086054F">
        <w:rPr>
          <w:lang w:eastAsia="en-AU"/>
        </w:rPr>
        <w:t>become drivers of complacency.</w:t>
      </w:r>
      <w:r w:rsidRPr="0086054F">
        <w:rPr>
          <w:rStyle w:val="FootnoteReference"/>
          <w:lang w:eastAsia="en-AU"/>
        </w:rPr>
        <w:footnoteReference w:id="163"/>
      </w:r>
      <w:r w:rsidRPr="0086054F">
        <w:rPr>
          <w:lang w:eastAsia="en-AU"/>
        </w:rPr>
        <w:t xml:space="preserve"> </w:t>
      </w:r>
    </w:p>
    <w:p w14:paraId="7B51348B" w14:textId="4A16E673" w:rsidR="00D8577F" w:rsidRDefault="00580760" w:rsidP="00E945D5">
      <w:pPr>
        <w:rPr>
          <w:lang w:eastAsia="en-AU"/>
        </w:rPr>
      </w:pPr>
      <w:r>
        <w:rPr>
          <w:lang w:eastAsia="en-AU"/>
        </w:rPr>
        <w:t>A</w:t>
      </w:r>
      <w:r w:rsidR="00D8577F">
        <w:rPr>
          <w:lang w:eastAsia="en-AU"/>
        </w:rPr>
        <w:t xml:space="preserve">lternative models of </w:t>
      </w:r>
      <w:r w:rsidR="00850D19">
        <w:rPr>
          <w:lang w:eastAsia="en-AU"/>
        </w:rPr>
        <w:t xml:space="preserve">teaching, assessment and delivery challenge the </w:t>
      </w:r>
      <w:r w:rsidR="0018532D">
        <w:rPr>
          <w:lang w:eastAsia="en-AU"/>
        </w:rPr>
        <w:t xml:space="preserve">prevailing view that education success equates to </w:t>
      </w:r>
      <w:r w:rsidR="00C744E4">
        <w:rPr>
          <w:lang w:eastAsia="en-AU"/>
        </w:rPr>
        <w:t xml:space="preserve">eligibility to gain entry to higher education qualifications. </w:t>
      </w:r>
      <w:r w:rsidR="005A7672">
        <w:rPr>
          <w:lang w:eastAsia="en-AU"/>
        </w:rPr>
        <w:t>For example,</w:t>
      </w:r>
      <w:r w:rsidR="005A7672" w:rsidRPr="005A7672">
        <w:t xml:space="preserve"> </w:t>
      </w:r>
      <w:r w:rsidR="005A7672">
        <w:t xml:space="preserve">the final report of the </w:t>
      </w:r>
      <w:r w:rsidR="005A7672" w:rsidRPr="002740F7">
        <w:rPr>
          <w:i/>
          <w:iCs/>
        </w:rPr>
        <w:t>Review of senior secondary pathways into work, further education and training</w:t>
      </w:r>
      <w:r w:rsidR="005A7672">
        <w:t xml:space="preserve"> (the </w:t>
      </w:r>
      <w:r w:rsidR="004C16DD">
        <w:t>“</w:t>
      </w:r>
      <w:r w:rsidR="005A7672">
        <w:t xml:space="preserve">Shergold </w:t>
      </w:r>
      <w:r w:rsidR="004C16DD">
        <w:t>Report”</w:t>
      </w:r>
      <w:r w:rsidR="005A7672">
        <w:t>) called for all [Australian] students to leave [school] with a Learner Profile.</w:t>
      </w:r>
      <w:r w:rsidR="005A7672">
        <w:rPr>
          <w:rStyle w:val="FootnoteReference"/>
        </w:rPr>
        <w:footnoteReference w:id="164"/>
      </w:r>
      <w:r w:rsidR="005A7672">
        <w:t xml:space="preserve"> </w:t>
      </w:r>
      <w:r w:rsidR="0098285F">
        <w:t>For those concerned about equitable access to quality education and post-school opportunities, t</w:t>
      </w:r>
      <w:r w:rsidR="00CC02D6">
        <w:rPr>
          <w:lang w:eastAsia="en-AU"/>
        </w:rPr>
        <w:t xml:space="preserve">he hypothesis is that, by valuing a broader range of skills, students </w:t>
      </w:r>
      <w:r w:rsidR="00383249">
        <w:rPr>
          <w:lang w:eastAsia="en-AU"/>
        </w:rPr>
        <w:t xml:space="preserve">from more disadvantaged backgrounds will </w:t>
      </w:r>
      <w:r w:rsidR="00562E65">
        <w:rPr>
          <w:lang w:eastAsia="en-AU"/>
        </w:rPr>
        <w:t xml:space="preserve">remain engaged in learning for longer, and will develop a stronger sense of self-esteem and agency. </w:t>
      </w:r>
      <w:r w:rsidR="00FE6B42">
        <w:rPr>
          <w:lang w:eastAsia="en-AU"/>
        </w:rPr>
        <w:t xml:space="preserve">Students from all backgrounds would, however, benefit from a recognition of the full range of strengths and knowledge </w:t>
      </w:r>
      <w:r w:rsidR="006C3587">
        <w:rPr>
          <w:lang w:eastAsia="en-AU"/>
        </w:rPr>
        <w:t xml:space="preserve">that </w:t>
      </w:r>
      <w:r w:rsidR="00FE6B42">
        <w:rPr>
          <w:lang w:eastAsia="en-AU"/>
        </w:rPr>
        <w:t xml:space="preserve">they bring to bear (and can offer to </w:t>
      </w:r>
      <w:r w:rsidR="00FE6B42">
        <w:rPr>
          <w:lang w:eastAsia="en-AU"/>
        </w:rPr>
        <w:lastRenderedPageBreak/>
        <w:t>future employers).</w:t>
      </w:r>
      <w:r w:rsidR="00CC02D6">
        <w:rPr>
          <w:lang w:eastAsia="en-AU"/>
        </w:rPr>
        <w:t xml:space="preserve"> </w:t>
      </w:r>
      <w:r w:rsidR="0035503B">
        <w:rPr>
          <w:lang w:eastAsia="en-AU"/>
        </w:rPr>
        <w:t>This, again, can mitigate the risk of flight from a school with concentrations of disadvantage.</w:t>
      </w:r>
    </w:p>
    <w:p w14:paraId="36FFC9DD" w14:textId="7CA88594" w:rsidR="000F0696" w:rsidRDefault="00E926E4" w:rsidP="00E07876">
      <w:pPr>
        <w:pStyle w:val="Heading3"/>
      </w:pPr>
      <w:r>
        <w:t>Operation</w:t>
      </w:r>
      <w:r w:rsidR="0045016D">
        <w:t xml:space="preserve"> and location</w:t>
      </w:r>
      <w:r w:rsidR="00764F33">
        <w:t xml:space="preserve"> </w:t>
      </w:r>
    </w:p>
    <w:p w14:paraId="1B1DEA20" w14:textId="77E5D577" w:rsidR="0089635F" w:rsidRDefault="00C211FE" w:rsidP="00C211FE">
      <w:pPr>
        <w:rPr>
          <w:lang w:eastAsia="en-AU"/>
        </w:rPr>
      </w:pPr>
      <w:r>
        <w:rPr>
          <w:lang w:eastAsia="en-AU"/>
        </w:rPr>
        <w:t>Th</w:t>
      </w:r>
      <w:r w:rsidR="0026635A">
        <w:rPr>
          <w:lang w:eastAsia="en-AU"/>
        </w:rPr>
        <w:t xml:space="preserve">e </w:t>
      </w:r>
      <w:r w:rsidR="00B74C07">
        <w:rPr>
          <w:lang w:eastAsia="en-AU"/>
        </w:rPr>
        <w:t xml:space="preserve">schools that challenge </w:t>
      </w:r>
      <w:r w:rsidR="0026635A">
        <w:rPr>
          <w:lang w:eastAsia="en-AU"/>
        </w:rPr>
        <w:t xml:space="preserve">the </w:t>
      </w:r>
      <w:r w:rsidR="00B74C07">
        <w:rPr>
          <w:lang w:eastAsia="en-AU"/>
        </w:rPr>
        <w:t>norms</w:t>
      </w:r>
      <w:r w:rsidR="0026635A">
        <w:rPr>
          <w:lang w:eastAsia="en-AU"/>
        </w:rPr>
        <w:t xml:space="preserve"> of traditional education and assessment </w:t>
      </w:r>
      <w:r>
        <w:rPr>
          <w:lang w:eastAsia="en-AU"/>
        </w:rPr>
        <w:t>are outlier</w:t>
      </w:r>
      <w:r w:rsidR="0026635A">
        <w:rPr>
          <w:lang w:eastAsia="en-AU"/>
        </w:rPr>
        <w:t>s</w:t>
      </w:r>
      <w:r w:rsidR="00A91892">
        <w:rPr>
          <w:lang w:eastAsia="en-AU"/>
        </w:rPr>
        <w:t>,</w:t>
      </w:r>
      <w:r w:rsidR="00B74C07" w:rsidRPr="0086054F">
        <w:rPr>
          <w:rStyle w:val="FootnoteReference"/>
          <w:lang w:eastAsia="en-AU"/>
        </w:rPr>
        <w:footnoteReference w:id="165"/>
      </w:r>
      <w:r w:rsidR="00B74C07">
        <w:rPr>
          <w:lang w:eastAsia="en-AU"/>
        </w:rPr>
        <w:t xml:space="preserve"> </w:t>
      </w:r>
      <w:r w:rsidR="0026635A">
        <w:rPr>
          <w:lang w:eastAsia="en-AU"/>
        </w:rPr>
        <w:t>but</w:t>
      </w:r>
      <w:r w:rsidR="00B74C07">
        <w:rPr>
          <w:lang w:eastAsia="en-AU"/>
        </w:rPr>
        <w:t xml:space="preserve"> </w:t>
      </w:r>
      <w:r>
        <w:rPr>
          <w:lang w:eastAsia="en-AU"/>
        </w:rPr>
        <w:t xml:space="preserve">some are </w:t>
      </w:r>
      <w:r w:rsidR="0026635A">
        <w:rPr>
          <w:lang w:eastAsia="en-AU"/>
        </w:rPr>
        <w:t>seen</w:t>
      </w:r>
      <w:r>
        <w:rPr>
          <w:lang w:eastAsia="en-AU"/>
        </w:rPr>
        <w:t xml:space="preserve"> by</w:t>
      </w:r>
      <w:r w:rsidR="00B74C07" w:rsidRPr="00A26BB0">
        <w:t xml:space="preserve"> </w:t>
      </w:r>
      <w:r w:rsidR="00B74C07" w:rsidRPr="0086054F">
        <w:rPr>
          <w:lang w:eastAsia="en-AU"/>
        </w:rPr>
        <w:t xml:space="preserve">education authorities </w:t>
      </w:r>
      <w:r>
        <w:rPr>
          <w:lang w:eastAsia="en-AU"/>
        </w:rPr>
        <w:t>as useful innovations</w:t>
      </w:r>
      <w:r w:rsidR="005A0DAC">
        <w:rPr>
          <w:lang w:eastAsia="en-AU"/>
        </w:rPr>
        <w:t xml:space="preserve"> </w:t>
      </w:r>
      <w:r w:rsidR="00C37D00">
        <w:rPr>
          <w:lang w:eastAsia="en-AU"/>
        </w:rPr>
        <w:t>to respond to gaps in education provision</w:t>
      </w:r>
      <w:r w:rsidR="00865A1B">
        <w:rPr>
          <w:lang w:eastAsia="en-AU"/>
        </w:rPr>
        <w:t>,</w:t>
      </w:r>
      <w:r w:rsidR="0026635A">
        <w:rPr>
          <w:lang w:eastAsia="en-AU"/>
        </w:rPr>
        <w:t xml:space="preserve"> and are supported</w:t>
      </w:r>
      <w:r w:rsidR="000B52E9">
        <w:rPr>
          <w:lang w:eastAsia="en-AU"/>
        </w:rPr>
        <w:t xml:space="preserve">. The three variations on the theme of </w:t>
      </w:r>
      <w:r w:rsidR="0089635F">
        <w:rPr>
          <w:lang w:eastAsia="en-AU"/>
        </w:rPr>
        <w:t>offering alternative teaching</w:t>
      </w:r>
      <w:r w:rsidR="00452775">
        <w:rPr>
          <w:lang w:eastAsia="en-AU"/>
        </w:rPr>
        <w:t>, assessment</w:t>
      </w:r>
      <w:r w:rsidR="0089635F">
        <w:rPr>
          <w:lang w:eastAsia="en-AU"/>
        </w:rPr>
        <w:t xml:space="preserve"> and delivery models are:</w:t>
      </w:r>
    </w:p>
    <w:p w14:paraId="5D08F74B" w14:textId="7B97A209" w:rsidR="00CE33C9" w:rsidRPr="00DC052B" w:rsidRDefault="0089635F" w:rsidP="00E45BFE">
      <w:pPr>
        <w:pStyle w:val="ListParagraph"/>
        <w:numPr>
          <w:ilvl w:val="0"/>
          <w:numId w:val="27"/>
        </w:numPr>
      </w:pPr>
      <w:r w:rsidRPr="005B5613">
        <w:rPr>
          <w:rFonts w:asciiTheme="majorHAnsi" w:hAnsiTheme="majorHAnsi" w:cstheme="majorHAnsi"/>
        </w:rPr>
        <w:t>O</w:t>
      </w:r>
      <w:r w:rsidR="00CE33C9" w:rsidRPr="005B5613">
        <w:rPr>
          <w:rFonts w:asciiTheme="majorHAnsi" w:hAnsiTheme="majorHAnsi" w:cstheme="majorHAnsi"/>
        </w:rPr>
        <w:t>nline and hybrid delivery</w:t>
      </w:r>
      <w:r w:rsidRPr="005B5613">
        <w:rPr>
          <w:rFonts w:asciiTheme="majorHAnsi" w:hAnsiTheme="majorHAnsi" w:cstheme="majorHAnsi"/>
        </w:rPr>
        <w:t xml:space="preserve"> as the norm rather than exception</w:t>
      </w:r>
      <w:r>
        <w:t xml:space="preserve"> – we focus on the examples </w:t>
      </w:r>
      <w:r w:rsidRPr="00DC052B">
        <w:t xml:space="preserve">of Aurora College in </w:t>
      </w:r>
      <w:r w:rsidR="00383A64" w:rsidRPr="00DC052B">
        <w:t>New South Wales</w:t>
      </w:r>
      <w:r w:rsidR="009F7977" w:rsidRPr="00DC052B">
        <w:t>, the Victorian Virtual Learning Network (VVLN) based in Bendigo,</w:t>
      </w:r>
      <w:r w:rsidRPr="00DC052B">
        <w:t xml:space="preserve"> and</w:t>
      </w:r>
      <w:r w:rsidRPr="005B5613">
        <w:rPr>
          <w:i/>
        </w:rPr>
        <w:t xml:space="preserve"> </w:t>
      </w:r>
      <w:r w:rsidRPr="00DC052B">
        <w:t xml:space="preserve">Te </w:t>
      </w:r>
      <w:r w:rsidR="009F7977" w:rsidRPr="00DC052B">
        <w:t xml:space="preserve">Aho o Te </w:t>
      </w:r>
      <w:r w:rsidRPr="00DC052B">
        <w:t xml:space="preserve">Kura </w:t>
      </w:r>
      <w:r w:rsidR="009F7977" w:rsidRPr="00DC052B">
        <w:t>Pounamu (</w:t>
      </w:r>
      <w:r w:rsidRPr="00DC052B">
        <w:t>Te Kura</w:t>
      </w:r>
      <w:r w:rsidR="009F7977" w:rsidRPr="00DC052B">
        <w:t>)</w:t>
      </w:r>
      <w:r w:rsidRPr="00DC052B">
        <w:t xml:space="preserve"> in New Zealand</w:t>
      </w:r>
      <w:r w:rsidR="001D5C75">
        <w:t xml:space="preserve">. </w:t>
      </w:r>
    </w:p>
    <w:p w14:paraId="309BBBB2" w14:textId="58F8CFDE" w:rsidR="00452775" w:rsidRPr="00DC052B" w:rsidRDefault="00452775" w:rsidP="00E45BFE">
      <w:pPr>
        <w:pStyle w:val="ListParagraph"/>
        <w:numPr>
          <w:ilvl w:val="0"/>
          <w:numId w:val="27"/>
        </w:numPr>
      </w:pPr>
      <w:r w:rsidRPr="005B5613">
        <w:rPr>
          <w:rFonts w:ascii="Segoe UI Semibold" w:hAnsi="Segoe UI Semibold" w:cs="Segoe UI Semibold"/>
        </w:rPr>
        <w:t xml:space="preserve">Changed assessment models that </w:t>
      </w:r>
      <w:r w:rsidR="00C6536D" w:rsidRPr="005B5613">
        <w:rPr>
          <w:rFonts w:ascii="Segoe UI Semibold" w:hAnsi="Segoe UI Semibold" w:cs="Segoe UI Semibold"/>
        </w:rPr>
        <w:t>widen the range of what is valued</w:t>
      </w:r>
      <w:r w:rsidR="00C6536D">
        <w:t xml:space="preserve"> – this is an approach being adopted in several overseas jurisdictions</w:t>
      </w:r>
      <w:r w:rsidR="009665E8">
        <w:t xml:space="preserve"> (e.g., the Philippines)</w:t>
      </w:r>
      <w:r w:rsidR="00C6536D">
        <w:t xml:space="preserve">, </w:t>
      </w:r>
      <w:r w:rsidR="009665E8">
        <w:t>but with prime examples (such as the ‘New Metrics project’ schools) in Australia.</w:t>
      </w:r>
    </w:p>
    <w:p w14:paraId="5A1C59CB" w14:textId="20FA9F9C" w:rsidR="00305247" w:rsidRDefault="00DC052B" w:rsidP="00E45BFE">
      <w:pPr>
        <w:pStyle w:val="ListParagraph"/>
        <w:numPr>
          <w:ilvl w:val="0"/>
          <w:numId w:val="27"/>
        </w:numPr>
      </w:pPr>
      <w:r w:rsidRPr="005B5613">
        <w:rPr>
          <w:rFonts w:asciiTheme="majorHAnsi" w:hAnsiTheme="majorHAnsi" w:cstheme="majorBidi"/>
        </w:rPr>
        <w:t xml:space="preserve">Expanding access to innovative </w:t>
      </w:r>
      <w:r w:rsidR="00030581" w:rsidRPr="005B5613">
        <w:rPr>
          <w:rFonts w:asciiTheme="majorHAnsi" w:hAnsiTheme="majorHAnsi" w:cstheme="majorBidi"/>
        </w:rPr>
        <w:t>and inclusive</w:t>
      </w:r>
      <w:r w:rsidR="00CE7EA6" w:rsidRPr="005B5613">
        <w:rPr>
          <w:rFonts w:asciiTheme="majorHAnsi" w:hAnsiTheme="majorHAnsi" w:cstheme="majorBidi"/>
        </w:rPr>
        <w:t xml:space="preserve"> </w:t>
      </w:r>
      <w:r w:rsidRPr="005B5613">
        <w:rPr>
          <w:rFonts w:asciiTheme="majorHAnsi" w:hAnsiTheme="majorHAnsi" w:cstheme="majorBidi"/>
        </w:rPr>
        <w:t>learning designs</w:t>
      </w:r>
      <w:r>
        <w:t xml:space="preserve"> </w:t>
      </w:r>
      <w:r w:rsidR="00C6536D">
        <w:t>–</w:t>
      </w:r>
      <w:r>
        <w:t xml:space="preserve"> </w:t>
      </w:r>
      <w:r w:rsidR="00C6536D">
        <w:t xml:space="preserve">the key example of this is the Big Picture </w:t>
      </w:r>
      <w:r w:rsidR="00030581">
        <w:t>m</w:t>
      </w:r>
      <w:r w:rsidR="00C6536D">
        <w:t xml:space="preserve">odel, that has </w:t>
      </w:r>
      <w:r w:rsidR="00823C9A">
        <w:t>its</w:t>
      </w:r>
      <w:r w:rsidR="00C6536D">
        <w:t xml:space="preserve"> origins in the US but which has been implemented in </w:t>
      </w:r>
      <w:r w:rsidR="0F89D215">
        <w:t xml:space="preserve">over 40 </w:t>
      </w:r>
      <w:r w:rsidR="00C6536D">
        <w:t>schools across Australia</w:t>
      </w:r>
      <w:r w:rsidR="00F16E3A">
        <w:t xml:space="preserve"> (every state except </w:t>
      </w:r>
      <w:r w:rsidR="00D92C02">
        <w:t>Northern Territory and South Australia)</w:t>
      </w:r>
      <w:r w:rsidR="00C6536D">
        <w:t>.</w:t>
      </w:r>
      <w:r w:rsidRPr="6EC71C90">
        <w:rPr>
          <w:rStyle w:val="FootnoteReference"/>
        </w:rPr>
        <w:footnoteReference w:id="166"/>
      </w:r>
    </w:p>
    <w:p w14:paraId="0D716A80" w14:textId="6625D290" w:rsidR="0089635F" w:rsidRPr="0086054F" w:rsidRDefault="009665E8" w:rsidP="00DC052B">
      <w:pPr>
        <w:pStyle w:val="Bullet"/>
      </w:pPr>
      <w:r>
        <w:t>Each is discussed briefly in turn.</w:t>
      </w:r>
    </w:p>
    <w:p w14:paraId="2C76064D" w14:textId="48E2F04D" w:rsidR="00967019" w:rsidRPr="00F81BDB" w:rsidRDefault="00967019" w:rsidP="00DC052B">
      <w:pPr>
        <w:pStyle w:val="Bullet"/>
        <w:rPr>
          <w:rFonts w:asciiTheme="minorHAnsi" w:hAnsiTheme="minorHAnsi" w:cstheme="minorHAnsi"/>
          <w:b/>
          <w:color w:val="7F7F7F" w:themeColor="text1" w:themeTint="80"/>
        </w:rPr>
      </w:pPr>
      <w:r w:rsidRPr="00F81BDB">
        <w:rPr>
          <w:rFonts w:asciiTheme="minorHAnsi" w:hAnsiTheme="minorHAnsi" w:cstheme="minorHAnsi"/>
          <w:b/>
          <w:color w:val="7F7F7F" w:themeColor="text1" w:themeTint="80"/>
        </w:rPr>
        <w:t>Online and hybrid delivery</w:t>
      </w:r>
    </w:p>
    <w:p w14:paraId="6B62171B" w14:textId="47E04661" w:rsidR="006B485A" w:rsidRDefault="00864A87" w:rsidP="00A3778E">
      <w:r w:rsidRPr="0086054F">
        <w:t>Aurora College</w:t>
      </w:r>
      <w:r w:rsidR="00967019">
        <w:t xml:space="preserve"> is</w:t>
      </w:r>
      <w:r w:rsidRPr="0086054F">
        <w:t xml:space="preserve"> </w:t>
      </w:r>
      <w:r w:rsidR="00CE33C9">
        <w:t>a</w:t>
      </w:r>
      <w:r w:rsidRPr="0086054F">
        <w:t xml:space="preserve"> Sydney</w:t>
      </w:r>
      <w:r w:rsidR="00CE33C9">
        <w:t>-</w:t>
      </w:r>
      <w:r w:rsidRPr="0086054F">
        <w:t xml:space="preserve">based online </w:t>
      </w:r>
      <w:r w:rsidR="00D205A3">
        <w:t xml:space="preserve">selective </w:t>
      </w:r>
      <w:r w:rsidRPr="0086054F">
        <w:t xml:space="preserve">school serving rural and regional NSW. </w:t>
      </w:r>
      <w:r w:rsidR="006F6646">
        <w:t>Students attend their local high school but also log in to Aurora’s online conferencing system each day for lessons.</w:t>
      </w:r>
      <w:r w:rsidR="00F410F6">
        <w:rPr>
          <w:rStyle w:val="FootnoteReference"/>
        </w:rPr>
        <w:footnoteReference w:id="167"/>
      </w:r>
      <w:r w:rsidR="006F6646">
        <w:t xml:space="preserve"> Residential gatherings are held twice each year and students have access to specialised lessons and leading scholars.</w:t>
      </w:r>
      <w:r w:rsidR="005C19BD">
        <w:rPr>
          <w:rStyle w:val="FootnoteReference"/>
        </w:rPr>
        <w:footnoteReference w:id="168"/>
      </w:r>
      <w:r w:rsidR="006F6646">
        <w:t xml:space="preserve"> </w:t>
      </w:r>
    </w:p>
    <w:p w14:paraId="470755F1" w14:textId="1DB608C7" w:rsidR="00864A87" w:rsidRPr="0086054F" w:rsidRDefault="00864A87" w:rsidP="00A3778E">
      <w:r w:rsidRPr="0086054F">
        <w:t xml:space="preserve">The </w:t>
      </w:r>
      <w:bookmarkStart w:id="29" w:name="_Hlk146877310"/>
      <w:r w:rsidRPr="0086054F">
        <w:t>Victorian Virtual Learning Network (VVLN</w:t>
      </w:r>
      <w:bookmarkEnd w:id="29"/>
      <w:r w:rsidRPr="0086054F">
        <w:t>) is an initiative of the principal and staff of Bendigo Senior Secondary College (BSSC). While Aurora College in NSW delivers synchronous lessons, the VVLN has packaged eight VCE subjects for students</w:t>
      </w:r>
      <w:r w:rsidR="00891B18">
        <w:t>.</w:t>
      </w:r>
      <w:r w:rsidRPr="0086054F">
        <w:t xml:space="preserve"> to access at any time, with eight specialist teachers reaching 270 students in 69 schools. </w:t>
      </w:r>
      <w:r w:rsidR="00F01C77">
        <w:t>T</w:t>
      </w:r>
      <w:r w:rsidRPr="0086054F">
        <w:t>he online contact and support includes teacher visits to their far-flung students at least once each year.</w:t>
      </w:r>
      <w:r w:rsidR="00BD7D74" w:rsidRPr="0086054F">
        <w:rPr>
          <w:rStyle w:val="FootnoteReference"/>
        </w:rPr>
        <w:footnoteReference w:id="169"/>
      </w:r>
    </w:p>
    <w:p w14:paraId="787B4FB7" w14:textId="0E7D1634" w:rsidR="004635FB" w:rsidRDefault="006B7BEF" w:rsidP="004635FB">
      <w:pPr>
        <w:pStyle w:val="Bullet"/>
        <w:ind w:left="0" w:firstLine="0"/>
      </w:pPr>
      <w:r>
        <w:rPr>
          <w:noProof/>
        </w:rPr>
        <mc:AlternateContent>
          <mc:Choice Requires="wps">
            <w:drawing>
              <wp:anchor distT="0" distB="0" distL="114300" distR="114300" simplePos="0" relativeHeight="251658258" behindDoc="0" locked="0" layoutInCell="1" allowOverlap="1" wp14:anchorId="3925FABD" wp14:editId="3472C6F0">
                <wp:simplePos x="0" y="0"/>
                <wp:positionH relativeFrom="column">
                  <wp:posOffset>50165</wp:posOffset>
                </wp:positionH>
                <wp:positionV relativeFrom="paragraph">
                  <wp:posOffset>1905</wp:posOffset>
                </wp:positionV>
                <wp:extent cx="1476375" cy="1152525"/>
                <wp:effectExtent l="0" t="0" r="9525" b="9525"/>
                <wp:wrapSquare wrapText="bothSides"/>
                <wp:docPr id="1807806765" name="Text Box 18078067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76375" cy="1152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DE0BF" w14:textId="0BA831BC" w:rsidR="004A0774" w:rsidRDefault="00E35D46" w:rsidP="004A0774">
                            <w:pPr>
                              <w:pStyle w:val="Callout"/>
                              <w:rPr>
                                <w:color w:val="F25E21" w:themeColor="accent2"/>
                              </w:rPr>
                            </w:pPr>
                            <w:r w:rsidRPr="004A0774">
                              <w:rPr>
                                <w:color w:val="F25E21" w:themeColor="accent2"/>
                              </w:rPr>
                              <w:t>“</w:t>
                            </w:r>
                            <w:r w:rsidR="00790454" w:rsidRPr="004A0774">
                              <w:rPr>
                                <w:color w:val="F25E21" w:themeColor="accent2"/>
                              </w:rPr>
                              <w:t>Coming to Te Kura saved these kids</w:t>
                            </w:r>
                            <w:r w:rsidR="004A0774">
                              <w:rPr>
                                <w:color w:val="F25E21" w:themeColor="accent2"/>
                              </w:rPr>
                              <w:t>’</w:t>
                            </w:r>
                            <w:r w:rsidR="00790454" w:rsidRPr="004A0774">
                              <w:rPr>
                                <w:color w:val="F25E21" w:themeColor="accent2"/>
                              </w:rPr>
                              <w:t xml:space="preserve"> lives</w:t>
                            </w:r>
                            <w:r w:rsidR="000F473B" w:rsidRPr="004A0774">
                              <w:rPr>
                                <w:color w:val="F25E21" w:themeColor="accent2"/>
                              </w:rPr>
                              <w:t>”</w:t>
                            </w:r>
                          </w:p>
                          <w:p w14:paraId="0A67CEF2" w14:textId="0CAB74F0" w:rsidR="00790454" w:rsidRPr="00F81BDB" w:rsidRDefault="000F473B" w:rsidP="00F81BDB">
                            <w:pPr>
                              <w:pStyle w:val="Callout"/>
                              <w:jc w:val="right"/>
                              <w:rPr>
                                <w:i/>
                                <w:iCs/>
                                <w:color w:val="F25E21" w:themeColor="accent2"/>
                                <w:sz w:val="18"/>
                                <w:szCs w:val="18"/>
                              </w:rPr>
                            </w:pPr>
                            <w:r w:rsidRPr="00F81BDB">
                              <w:rPr>
                                <w:color w:val="F25E21" w:themeColor="accent2"/>
                                <w:sz w:val="18"/>
                                <w:szCs w:val="18"/>
                              </w:rPr>
                              <w:t xml:space="preserve">   Mike Hollings, </w:t>
                            </w:r>
                            <w:r w:rsidR="004A0774" w:rsidRPr="00F81BDB">
                              <w:rPr>
                                <w:color w:val="F25E21" w:themeColor="accent2"/>
                                <w:sz w:val="18"/>
                                <w:szCs w:val="18"/>
                              </w:rPr>
                              <w:br/>
                            </w:r>
                            <w:r w:rsidRPr="00F81BDB">
                              <w:rPr>
                                <w:i/>
                                <w:iCs/>
                                <w:color w:val="F25E21" w:themeColor="accent2"/>
                                <w:sz w:val="18"/>
                                <w:szCs w:val="18"/>
                              </w:rPr>
                              <w:t>former Te Kura Chief Executive</w:t>
                            </w:r>
                          </w:p>
                          <w:p w14:paraId="4B7ADE79" w14:textId="77777777" w:rsidR="00790454" w:rsidRDefault="00790454" w:rsidP="008C4A87">
                            <w:pPr>
                              <w:pStyle w:val="Callout"/>
                              <w:rPr>
                                <w:color w:val="F25E21" w:themeColor="accent2"/>
                              </w:rPr>
                            </w:pPr>
                          </w:p>
                          <w:p w14:paraId="43B5A984" w14:textId="77777777" w:rsidR="00790454" w:rsidRPr="00885462" w:rsidRDefault="00790454" w:rsidP="008C4A87">
                            <w:pPr>
                              <w:pStyle w:val="Callout"/>
                              <w:rPr>
                                <w:color w:val="F25E21" w:themeColor="accent2"/>
                              </w:rPr>
                            </w:pP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25FABD" id="Text Box 1807806765" o:spid="_x0000_s1033" type="#_x0000_t202" alt="&quot;&quot;" style="position:absolute;margin-left:3.95pt;margin-top:.15pt;width:116.25pt;height:90.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BlegIAAGkFAAAOAAAAZHJzL2Uyb0RvYy54bWysVN9P2zAQfp+0/8Hy+0haaDtVpKgDMU1C&#10;DA0mnl3HptYcn2dfm3R//c5O2jLGC9NUyb3L/fJ9/u7OL7rGsq0K0YCr+Oik5Ew5CbVxTxX//nD9&#10;4SNnEYWrhQWnKr5TkV8s3r87b/1cjWENtlaBURIX562v+BrRz4siyrVqRDwBrxwZNYRGIKnhqaiD&#10;aCl7Y4txWU6LFkLtA0gVI3296o18kfNrrSR+1ToqZLbidDfMZ8jnKp3F4lzMn4LwayOHa4h/uEUj&#10;jKOih1RXAgXbBPNXqsbIABE0nkhoCtDaSJV7oG5G5Ytu7tfCq9wLgRP9Aab4/9LK2+29vwsMu0/Q&#10;0QMmQFof55E+pn46HZr0TzdlZCcIdwfYVIdMpqCz2fR0NuFMkm00mozpl/IUx3AfIn5W0LAkVDzQ&#10;u2S4xPYmYu+6d0nVIlhTXxtrs5K4oC5tYFtBr2gxX5KS/+FlHWsrPj2dlDmxgxTeZ7YupVGZDUO5&#10;Y4tZwp1Vyce6b0ozU+dOX6ktpFTuUD97Jy9Npd4SOPgfb/WW4L4PisiVweEhuDEOQu4+j88RsvrH&#10;HjLd+9PbPOs7iditOmq84rM9A1ZQ74gYAfqZiV5eG3q8GxHxTgQaEuICDT5+pUNbIPBhkDhbQ/j1&#10;2vfkT9wlK2ctDV3F48+NCIoz+8URq9OEZuFsMhuTErJyOi1LUlbPLW7TXAKxYUTrxcssJn+0e1EH&#10;aB5pNyxTRTIJJ6luxXEvXmK/Bmi3SLVcZieaSS/wxt17mVInhBMtH7pHEfzAXSTa38J+NMX8BYV7&#10;3xTpYLlB0CbzO2HcIzpgT/OcJ2TYPWlhPNez13FDLn4DAAD//wMAUEsDBBQABgAIAAAAIQCi/JHJ&#10;3QAAAAYBAAAPAAAAZHJzL2Rvd25yZXYueG1sTI5NT8MwEETvSPwHa5G4UaehghDiVAiEBAcqNVQV&#10;3Nx48wHxOrLdNvz7Lic4juZp5hXLyQ7igD70jhTMZwkIpNqZnloFm/fnqwxEiJqMHhyhgh8MsCzP&#10;zwqdG3ekNR6q2AoeoZBrBV2MYy5lqDu0OszciMRd47zVkaNvpfH6yON2kGmS3Eire+KHTo/42GH9&#10;Xe2tglWDL+nTp822H83av6Wr6us165W6vJge7kFEnOIfDL/6rA4lO+3cnkwQg4LbOwYVXIPgMl0k&#10;CxA7prJ5BrIs5H/98gQAAP//AwBQSwECLQAUAAYACAAAACEAtoM4kv4AAADhAQAAEwAAAAAAAAAA&#10;AAAAAAAAAAAAW0NvbnRlbnRfVHlwZXNdLnhtbFBLAQItABQABgAIAAAAIQA4/SH/1gAAAJQBAAAL&#10;AAAAAAAAAAAAAAAAAC8BAABfcmVscy8ucmVsc1BLAQItABQABgAIAAAAIQBPcsBlegIAAGkFAAAO&#10;AAAAAAAAAAAAAAAAAC4CAABkcnMvZTJvRG9jLnhtbFBLAQItABQABgAIAAAAIQCi/JHJ3QAAAAYB&#10;AAAPAAAAAAAAAAAAAAAAANQEAABkcnMvZG93bnJldi54bWxQSwUGAAAAAAQABADzAAAA3gUAAAAA&#10;" fillcolor="white [3201]" stroked="f" strokeweight=".5pt">
                <v:textbox inset="0,,1mm">
                  <w:txbxContent>
                    <w:p w14:paraId="140DE0BF" w14:textId="0BA831BC" w:rsidR="004A0774" w:rsidRDefault="00E35D46" w:rsidP="004A0774">
                      <w:pPr>
                        <w:pStyle w:val="Callout"/>
                        <w:rPr>
                          <w:color w:val="F25E21" w:themeColor="accent2"/>
                        </w:rPr>
                      </w:pPr>
                      <w:r w:rsidRPr="004A0774">
                        <w:rPr>
                          <w:color w:val="F25E21" w:themeColor="accent2"/>
                        </w:rPr>
                        <w:t>“</w:t>
                      </w:r>
                      <w:r w:rsidR="00790454" w:rsidRPr="004A0774">
                        <w:rPr>
                          <w:color w:val="F25E21" w:themeColor="accent2"/>
                        </w:rPr>
                        <w:t>Coming to Te Kura saved these kids</w:t>
                      </w:r>
                      <w:r w:rsidR="004A0774">
                        <w:rPr>
                          <w:color w:val="F25E21" w:themeColor="accent2"/>
                        </w:rPr>
                        <w:t>’</w:t>
                      </w:r>
                      <w:r w:rsidR="00790454" w:rsidRPr="004A0774">
                        <w:rPr>
                          <w:color w:val="F25E21" w:themeColor="accent2"/>
                        </w:rPr>
                        <w:t xml:space="preserve"> lives</w:t>
                      </w:r>
                      <w:r w:rsidR="000F473B" w:rsidRPr="004A0774">
                        <w:rPr>
                          <w:color w:val="F25E21" w:themeColor="accent2"/>
                        </w:rPr>
                        <w:t>”</w:t>
                      </w:r>
                    </w:p>
                    <w:p w14:paraId="0A67CEF2" w14:textId="0CAB74F0" w:rsidR="00790454" w:rsidRPr="00F81BDB" w:rsidRDefault="000F473B" w:rsidP="00F81BDB">
                      <w:pPr>
                        <w:pStyle w:val="Callout"/>
                        <w:jc w:val="right"/>
                        <w:rPr>
                          <w:i/>
                          <w:iCs/>
                          <w:color w:val="F25E21" w:themeColor="accent2"/>
                          <w:sz w:val="18"/>
                          <w:szCs w:val="18"/>
                        </w:rPr>
                      </w:pPr>
                      <w:r w:rsidRPr="00F81BDB">
                        <w:rPr>
                          <w:color w:val="F25E21" w:themeColor="accent2"/>
                          <w:sz w:val="18"/>
                          <w:szCs w:val="18"/>
                        </w:rPr>
                        <w:t xml:space="preserve">   Mike Hollings, </w:t>
                      </w:r>
                      <w:r w:rsidR="004A0774" w:rsidRPr="00F81BDB">
                        <w:rPr>
                          <w:color w:val="F25E21" w:themeColor="accent2"/>
                          <w:sz w:val="18"/>
                          <w:szCs w:val="18"/>
                        </w:rPr>
                        <w:br/>
                      </w:r>
                      <w:r w:rsidRPr="00F81BDB">
                        <w:rPr>
                          <w:i/>
                          <w:iCs/>
                          <w:color w:val="F25E21" w:themeColor="accent2"/>
                          <w:sz w:val="18"/>
                          <w:szCs w:val="18"/>
                        </w:rPr>
                        <w:t>former Te Kura Chief Executive</w:t>
                      </w:r>
                    </w:p>
                    <w:p w14:paraId="4B7ADE79" w14:textId="77777777" w:rsidR="00790454" w:rsidRDefault="00790454" w:rsidP="008C4A87">
                      <w:pPr>
                        <w:pStyle w:val="Callout"/>
                        <w:rPr>
                          <w:color w:val="F25E21" w:themeColor="accent2"/>
                        </w:rPr>
                      </w:pPr>
                    </w:p>
                    <w:p w14:paraId="43B5A984" w14:textId="77777777" w:rsidR="00790454" w:rsidRPr="00885462" w:rsidRDefault="00790454" w:rsidP="008C4A87">
                      <w:pPr>
                        <w:pStyle w:val="Callout"/>
                        <w:rPr>
                          <w:color w:val="F25E21" w:themeColor="accent2"/>
                        </w:rPr>
                      </w:pPr>
                    </w:p>
                  </w:txbxContent>
                </v:textbox>
                <w10:wrap type="square"/>
              </v:shape>
            </w:pict>
          </mc:Fallback>
        </mc:AlternateContent>
      </w:r>
      <w:r w:rsidR="00793262" w:rsidRPr="007E77A3">
        <w:rPr>
          <w:i/>
          <w:iCs/>
        </w:rPr>
        <w:t>Te Aho o Te Kura Pounamu</w:t>
      </w:r>
      <w:r w:rsidR="00793262" w:rsidRPr="00384CE2">
        <w:t xml:space="preserve"> (Te Kura), was previously </w:t>
      </w:r>
      <w:r w:rsidR="00793262">
        <w:t>a</w:t>
      </w:r>
      <w:r w:rsidR="00793262" w:rsidRPr="00384CE2">
        <w:t xml:space="preserve"> correspondence school</w:t>
      </w:r>
      <w:r w:rsidR="00793262">
        <w:t xml:space="preserve"> and is now New Zealand’s largest </w:t>
      </w:r>
      <w:r w:rsidR="000F06EF">
        <w:t xml:space="preserve">school </w:t>
      </w:r>
      <w:r w:rsidR="00661D51">
        <w:t xml:space="preserve">delivering mostly online education to </w:t>
      </w:r>
      <w:r w:rsidR="00BB451E">
        <w:t xml:space="preserve">almost 30,000 students. </w:t>
      </w:r>
      <w:r w:rsidR="00793262" w:rsidRPr="00384CE2">
        <w:t>Former Chief Executive Mike Hollings reshaped the school to develop personalised learning</w:t>
      </w:r>
      <w:r w:rsidR="002E6439">
        <w:t xml:space="preserve"> and community-based</w:t>
      </w:r>
      <w:r w:rsidR="00987C7A">
        <w:t xml:space="preserve"> projects</w:t>
      </w:r>
      <w:r w:rsidR="00793262" w:rsidRPr="00384CE2">
        <w:t xml:space="preserve">, combining distance education with a network of physical academies based on </w:t>
      </w:r>
      <w:r w:rsidR="00100B05" w:rsidRPr="00384CE2">
        <w:t>Māori</w:t>
      </w:r>
      <w:r w:rsidR="00793262" w:rsidRPr="00384CE2">
        <w:t xml:space="preserve"> and Big Picture learning</w:t>
      </w:r>
      <w:r w:rsidR="00AA5C7D">
        <w:t xml:space="preserve"> (the latter is discussed further below)</w:t>
      </w:r>
      <w:r w:rsidR="00793262" w:rsidRPr="00384CE2">
        <w:t xml:space="preserve">. </w:t>
      </w:r>
    </w:p>
    <w:p w14:paraId="6A7D0A6B" w14:textId="46F46C75" w:rsidR="004635FB" w:rsidRDefault="00987C7A" w:rsidP="004635FB">
      <w:pPr>
        <w:pStyle w:val="Bullet"/>
        <w:ind w:left="0" w:firstLine="0"/>
      </w:pPr>
      <w:r>
        <w:t xml:space="preserve">Most students are referred to it </w:t>
      </w:r>
      <w:r w:rsidR="001C271E">
        <w:t>through other entities due to the students</w:t>
      </w:r>
      <w:r w:rsidR="008E01E1">
        <w:t>’</w:t>
      </w:r>
      <w:r w:rsidR="001C271E">
        <w:t xml:space="preserve"> exclusion or self-exclusion from mainstream schools (for bullying, racism, behavioural and learning problems).</w:t>
      </w:r>
      <w:r w:rsidR="00D40CF1">
        <w:t xml:space="preserve"> </w:t>
      </w:r>
      <w:r w:rsidR="004635FB">
        <w:t xml:space="preserve">About 12,000 of its students enrol in </w:t>
      </w:r>
      <w:r w:rsidR="00D76CDE" w:rsidRPr="00326573">
        <w:t xml:space="preserve">one </w:t>
      </w:r>
      <w:r w:rsidR="008D40D4" w:rsidRPr="00326573">
        <w:t xml:space="preserve">to </w:t>
      </w:r>
      <w:r w:rsidR="00D76CDE" w:rsidRPr="00326573">
        <w:t>four</w:t>
      </w:r>
      <w:r w:rsidR="004635FB">
        <w:t xml:space="preserve"> subjects (such as advanced calculus or Māori law and philosophy) that they would not normally be able to access at their home school. A further 5000 students are young adults (16-19 years old) who are no longer required to be at </w:t>
      </w:r>
      <w:r w:rsidR="00A73059">
        <w:t>school but</w:t>
      </w:r>
      <w:r w:rsidR="004635FB">
        <w:t xml:space="preserve"> have an entitlement to free education.</w:t>
      </w:r>
    </w:p>
    <w:p w14:paraId="37D8E1A8" w14:textId="1840AD98" w:rsidR="00675992" w:rsidRDefault="00D40CF1" w:rsidP="00A12CFE">
      <w:pPr>
        <w:pStyle w:val="Bullet"/>
        <w:ind w:left="0" w:firstLine="0"/>
      </w:pPr>
      <w:r>
        <w:lastRenderedPageBreak/>
        <w:t>Importantly, participating students remain enrolled in their ‘home’ school</w:t>
      </w:r>
      <w:r w:rsidR="0063341A">
        <w:t xml:space="preserve"> and closely connected to their local communities</w:t>
      </w:r>
      <w:r w:rsidR="00F45C70">
        <w:t>, so there is reduced risk of residualisation</w:t>
      </w:r>
      <w:r w:rsidR="00EF5BF8">
        <w:t>.</w:t>
      </w:r>
      <w:r w:rsidR="00F45C70">
        <w:t xml:space="preserve"> </w:t>
      </w:r>
      <w:r w:rsidR="00EF5BF8">
        <w:t>S</w:t>
      </w:r>
      <w:r w:rsidR="00F45C70">
        <w:t>tudents can access</w:t>
      </w:r>
      <w:r w:rsidR="000228C6">
        <w:t xml:space="preserve"> wider curriculum and a range of online supports without having to leave their home school</w:t>
      </w:r>
      <w:r w:rsidR="00255E40">
        <w:t xml:space="preserve">, so it </w:t>
      </w:r>
      <w:r w:rsidR="00744114">
        <w:t>weakens the desire or need for students in lower SES areas</w:t>
      </w:r>
      <w:r w:rsidR="004635FB">
        <w:t xml:space="preserve"> to flee to another school to pursue their interests and ambitions.</w:t>
      </w:r>
    </w:p>
    <w:p w14:paraId="6EFC5AD5" w14:textId="2F498259" w:rsidR="00C6536D" w:rsidRPr="00F81BDB" w:rsidRDefault="006A5AA7" w:rsidP="00C6536D">
      <w:pPr>
        <w:pStyle w:val="Heading5"/>
        <w:numPr>
          <w:ilvl w:val="0"/>
          <w:numId w:val="0"/>
        </w:numPr>
        <w:rPr>
          <w:color w:val="7F7F7F" w:themeColor="text1" w:themeTint="80"/>
        </w:rPr>
      </w:pPr>
      <w:r w:rsidRPr="00F81BDB">
        <w:rPr>
          <w:color w:val="7F7F7F" w:themeColor="text1" w:themeTint="80"/>
        </w:rPr>
        <w:t xml:space="preserve">Changed assessment models that widen the range of what is </w:t>
      </w:r>
      <w:r w:rsidR="00C6536D" w:rsidRPr="00F81BDB">
        <w:rPr>
          <w:color w:val="7F7F7F" w:themeColor="text1" w:themeTint="80"/>
        </w:rPr>
        <w:t xml:space="preserve">valued </w:t>
      </w:r>
    </w:p>
    <w:p w14:paraId="57378EF1" w14:textId="77777777" w:rsidR="00155DD7" w:rsidRDefault="00C6536D" w:rsidP="00C6536D">
      <w:r w:rsidRPr="00940FC1">
        <w:t>A</w:t>
      </w:r>
      <w:r w:rsidR="0041144B">
        <w:t xml:space="preserve"> related innovation seeks to broaden the</w:t>
      </w:r>
      <w:r w:rsidR="00461B95">
        <w:t xml:space="preserve"> knowledge and skills that are recognised and formally included</w:t>
      </w:r>
      <w:r w:rsidR="0041144B">
        <w:t xml:space="preserve"> </w:t>
      </w:r>
      <w:r w:rsidR="00CB4A68">
        <w:t xml:space="preserve">certification of school </w:t>
      </w:r>
      <w:r w:rsidR="00D8577F">
        <w:t xml:space="preserve">achievement. </w:t>
      </w:r>
      <w:r w:rsidR="004C4A39">
        <w:t xml:space="preserve">This is starting to happen at a systemic level with the SACE Board in South Australia piloting a new senior secondary certificate that </w:t>
      </w:r>
      <w:r w:rsidR="00D6511E">
        <w:t xml:space="preserve">involves teacher assessments of </w:t>
      </w:r>
      <w:r w:rsidR="004C4A39">
        <w:t xml:space="preserve">students </w:t>
      </w:r>
      <w:r w:rsidR="00D6511E">
        <w:t>against</w:t>
      </w:r>
      <w:r w:rsidR="004C4A39">
        <w:t xml:space="preserve"> the general capabilities in the Australian Curriculum, and not </w:t>
      </w:r>
      <w:r w:rsidR="008F14F5">
        <w:t xml:space="preserve">just academic achievement. More radical models seek to </w:t>
      </w:r>
      <w:r w:rsidR="000137EF">
        <w:t>value and codify forms of knowledge and experience</w:t>
      </w:r>
      <w:r w:rsidR="00D6511E">
        <w:t xml:space="preserve"> acquired and observed outside the school environment – for example, by providing formal recognition of First Nations’ students contributions to caring for Country or learning </w:t>
      </w:r>
      <w:r w:rsidR="00155DD7">
        <w:t xml:space="preserve">language. </w:t>
      </w:r>
    </w:p>
    <w:p w14:paraId="2F8F50B9" w14:textId="646B4DE3" w:rsidR="00DF5379" w:rsidRDefault="00155DD7" w:rsidP="00C6536D">
      <w:r>
        <w:t xml:space="preserve">The </w:t>
      </w:r>
      <w:r w:rsidR="0016538A">
        <w:t>model in Australia that has begun to develop the strongest evidence base – for the ability to assess these broader competencies</w:t>
      </w:r>
      <w:r w:rsidR="00B5298B">
        <w:t>,</w:t>
      </w:r>
      <w:r w:rsidR="0016538A">
        <w:t xml:space="preserve"> if not yet to demonstrate an impact on equity and outcomes – is the New Metrics project auspiced by the University of Melbourne. </w:t>
      </w:r>
      <w:r w:rsidR="0045329F">
        <w:t xml:space="preserve">Around </w:t>
      </w:r>
      <w:r w:rsidR="00777BAF">
        <w:t>40</w:t>
      </w:r>
      <w:r w:rsidR="0045329F">
        <w:t xml:space="preserve"> Victorian schools participate in a program that seeks to </w:t>
      </w:r>
      <w:r w:rsidR="001D0278">
        <w:t xml:space="preserve">cultivate </w:t>
      </w:r>
      <w:r w:rsidR="00A8650E">
        <w:t xml:space="preserve">and assess </w:t>
      </w:r>
      <w:r w:rsidR="0007336E">
        <w:t>students</w:t>
      </w:r>
      <w:r w:rsidR="00A8650E">
        <w:t>’</w:t>
      </w:r>
      <w:r w:rsidR="001D0278">
        <w:t xml:space="preserve"> capabilities </w:t>
      </w:r>
      <w:r w:rsidR="00A8650E">
        <w:t xml:space="preserve">in areas </w:t>
      </w:r>
      <w:r w:rsidR="00BC0C77">
        <w:t>such as critical and creative thinking or communication skills</w:t>
      </w:r>
      <w:r w:rsidR="00A8650E">
        <w:t>. The a</w:t>
      </w:r>
      <w:r w:rsidR="00B74E02">
        <w:t>ssessment is based on observations</w:t>
      </w:r>
      <w:r w:rsidR="001D0278">
        <w:t xml:space="preserve"> within school (in </w:t>
      </w:r>
      <w:r w:rsidR="00672AE7">
        <w:t xml:space="preserve">the course of the students’ </w:t>
      </w:r>
      <w:r w:rsidR="001D0278">
        <w:t xml:space="preserve">regular </w:t>
      </w:r>
      <w:r w:rsidR="00672AE7">
        <w:t>work and</w:t>
      </w:r>
      <w:r w:rsidR="001D0278">
        <w:t xml:space="preserve"> extra-</w:t>
      </w:r>
      <w:r w:rsidR="00844F71">
        <w:t>curricular</w:t>
      </w:r>
      <w:r w:rsidR="001D0278">
        <w:t xml:space="preserve"> activities) and beyond the school gate (</w:t>
      </w:r>
      <w:r w:rsidR="009B621B">
        <w:t>e.g.,</w:t>
      </w:r>
      <w:r w:rsidR="00844F71">
        <w:t xml:space="preserve"> </w:t>
      </w:r>
      <w:r w:rsidR="001D0278">
        <w:t>in part time employment, sports, or volunteering)</w:t>
      </w:r>
      <w:r w:rsidR="00844F71">
        <w:t xml:space="preserve">, with competency </w:t>
      </w:r>
      <w:r w:rsidR="00544333">
        <w:t>recorded by</w:t>
      </w:r>
      <w:r w:rsidR="00F47911">
        <w:t xml:space="preserve"> teachers and </w:t>
      </w:r>
      <w:r w:rsidR="00672AE7">
        <w:t>relevant people</w:t>
      </w:r>
      <w:r w:rsidR="00F47911">
        <w:t xml:space="preserve"> in the community (such as scout leaders, </w:t>
      </w:r>
      <w:r w:rsidR="00544333">
        <w:t xml:space="preserve">managers). The results are captured in a learner profile or similar </w:t>
      </w:r>
      <w:r w:rsidR="00FD7768">
        <w:t xml:space="preserve">credential to use alongside or instead of </w:t>
      </w:r>
      <w:r w:rsidR="00672AE7">
        <w:t xml:space="preserve">a record of </w:t>
      </w:r>
      <w:r w:rsidR="00FD7768">
        <w:t xml:space="preserve">academic </w:t>
      </w:r>
      <w:r w:rsidR="00672AE7">
        <w:t>achievement.</w:t>
      </w:r>
      <w:r w:rsidR="00DF5379">
        <w:rPr>
          <w:rStyle w:val="FootnoteReference"/>
        </w:rPr>
        <w:footnoteReference w:id="170"/>
      </w:r>
    </w:p>
    <w:p w14:paraId="300F0A4E" w14:textId="5C29A3AA" w:rsidR="0016538A" w:rsidRDefault="003E3B05" w:rsidP="00C6536D">
      <w:r>
        <w:rPr>
          <w:noProof/>
        </w:rPr>
        <mc:AlternateContent>
          <mc:Choice Requires="wps">
            <w:drawing>
              <wp:anchor distT="0" distB="0" distL="114300" distR="114300" simplePos="0" relativeHeight="251658242" behindDoc="0" locked="0" layoutInCell="1" allowOverlap="1" wp14:anchorId="325023DC" wp14:editId="3246AB65">
                <wp:simplePos x="0" y="0"/>
                <wp:positionH relativeFrom="column">
                  <wp:posOffset>4180840</wp:posOffset>
                </wp:positionH>
                <wp:positionV relativeFrom="paragraph">
                  <wp:posOffset>149225</wp:posOffset>
                </wp:positionV>
                <wp:extent cx="1581150" cy="2066925"/>
                <wp:effectExtent l="0" t="0" r="0" b="635"/>
                <wp:wrapSquare wrapText="bothSides"/>
                <wp:docPr id="944080182" name="Text Box 9440801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81150"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8C8CD" w14:textId="77777777" w:rsidR="00962858" w:rsidRDefault="00B47A42" w:rsidP="00B47A42">
                            <w:pPr>
                              <w:pStyle w:val="Callout"/>
                              <w:rPr>
                                <w:color w:val="F25E21" w:themeColor="accent2"/>
                              </w:rPr>
                            </w:pPr>
                            <w:r>
                              <w:rPr>
                                <w:color w:val="F25E21" w:themeColor="accent2"/>
                              </w:rPr>
                              <w:t>“</w:t>
                            </w:r>
                            <w:r w:rsidRPr="00B47A42">
                              <w:rPr>
                                <w:color w:val="F25E21" w:themeColor="accent2"/>
                              </w:rPr>
                              <w:t>The learner profile has the potential to create a more level playing field for accessing university than the ATAR ranking or use of passports and portfolios</w:t>
                            </w:r>
                            <w:r>
                              <w:rPr>
                                <w:color w:val="F25E21" w:themeColor="accent2"/>
                              </w:rPr>
                              <w:t>”</w:t>
                            </w:r>
                            <w:r w:rsidRPr="00B47A42">
                              <w:rPr>
                                <w:color w:val="F25E21" w:themeColor="accent2"/>
                              </w:rPr>
                              <w:t>.</w:t>
                            </w:r>
                            <w:r>
                              <w:rPr>
                                <w:color w:val="F25E21" w:themeColor="accent2"/>
                              </w:rPr>
                              <w:t xml:space="preserve"> </w:t>
                            </w:r>
                            <w:r>
                              <w:rPr>
                                <w:color w:val="F25E21" w:themeColor="accent2"/>
                              </w:rPr>
                              <w:tab/>
                            </w:r>
                          </w:p>
                          <w:p w14:paraId="0EA4F271" w14:textId="369FBC14" w:rsidR="00B47A42" w:rsidRPr="00962858" w:rsidRDefault="00B47A42" w:rsidP="00962858">
                            <w:pPr>
                              <w:pStyle w:val="Callout"/>
                              <w:jc w:val="right"/>
                              <w:rPr>
                                <w:color w:val="F25E21" w:themeColor="accent2"/>
                                <w:sz w:val="18"/>
                                <w:szCs w:val="18"/>
                              </w:rPr>
                            </w:pPr>
                            <w:r w:rsidRPr="00962858">
                              <w:rPr>
                                <w:color w:val="F25E21" w:themeColor="accent2"/>
                                <w:sz w:val="18"/>
                                <w:szCs w:val="18"/>
                              </w:rPr>
                              <w:t>C</w:t>
                            </w:r>
                            <w:r w:rsidR="00962858">
                              <w:rPr>
                                <w:color w:val="F25E21" w:themeColor="accent2"/>
                                <w:sz w:val="18"/>
                                <w:szCs w:val="18"/>
                              </w:rPr>
                              <w:t>entre for Study of Equity in Higher Education</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5023DC" id="Text Box 944080182" o:spid="_x0000_s1034" type="#_x0000_t202" alt="&quot;&quot;" style="position:absolute;margin-left:329.2pt;margin-top:11.75pt;width:124.5pt;height:162.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sHeQIAAGkFAAAOAAAAZHJzL2Uyb0RvYy54bWysVEtv2zAMvg/YfxB0X+ykS5YFdYqsRYYB&#10;RVusHXpWZKkxJouaxMTOfn0p2Xms66XDLjYlvj995PlFWxu2VT5UYAs+HOScKSuhrOxTwX88LD9M&#10;OQsobCkMWFXwnQr8Yv7+3XnjZmoEazCl8oyC2DBrXMHXiG6WZUGuVS3CAJyypNTga4F09E9Z6UVD&#10;0WuTjfJ8kjXgS+dBqhDo9qpT8nmKr7WSeKt1UMhMwak2TF+fvqv4zebnYvbkhVtXsi9D/EMVtags&#10;JT2EuhIo2MZXf4WqK+khgMaBhDoDrSupUg/UzTB/0c39WjiVeiFwgjvAFP5fWHmzvXd3nmH7BVp6&#10;wAhI48Is0GXsp9W+jn+qlJGeINwdYFMtMhmdxtPhcEwqSbpRPpl8Ho1jnOzo7nzArwpqFoWCe3qX&#10;BJfYXgfsTPcmMVsAU5XLyph0iFxQl8azraBXNJiKpOB/WBnLmoJPzqiO6GQhuneRjY03KrGhT3ds&#10;MUm4MyraGPtdaVaVqdNXcgsplT3kT9bRSlOqtzj29seq3uLc9UEeKTNYPDjXlQWfuk/jc4Ss/LmH&#10;THf29DYnfUcR21VLjRd8umfACsodEcNDNzPByWVFj3ctAt4JT0NCD06Dj7f00QYIfOglztbgf792&#10;H+2Ju6TlrKGhK3j4tRFecWa+WWJ1nNAkfBx/GtHBp8PZJM/psDrV2E19CcSGIa0XJ5MY7dHsRe2h&#10;fqTdsIgZSSWspLwFx714id0aoN0i1WKRjGgmncBre+9kDB0RjrR8aB+Fdz13kWh/A/vRFLMXFO5s&#10;o2dwiw0SDRO/I8Ydoj32NM9pQvrdExfG6TlZHTfk/BkAAP//AwBQSwMEFAAGAAgAAAAhAAny1RPh&#10;AAAACgEAAA8AAABkcnMvZG93bnJldi54bWxMj8tOwzAQRfdI/IM1SGwQtZs+aEMmFeKhFrGisGHn&#10;xm4SsMdR7Lbh7xlWsJyZozvnFqvBO3G0fWwDIYxHCoSlKpiWaoT3t6frBYiYNBntAlmEbxthVZ6f&#10;FTo34USv9rhNteAQirlGaFLqcilj1Viv4yh0lvi2D73Xice+lqbXJw73TmZKzaXXLfGHRnf2vrHV&#10;1/bgETbyMzPPL83jx3qsHjZ0tXchSMTLi+HuFkSyQ/qD4Vef1aFkp104kInCIcxniymjCNlkBoKB&#10;pbrhxQ5hMl0qkGUh/1cofwAAAP//AwBQSwECLQAUAAYACAAAACEAtoM4kv4AAADhAQAAEwAAAAAA&#10;AAAAAAAAAAAAAAAAW0NvbnRlbnRfVHlwZXNdLnhtbFBLAQItABQABgAIAAAAIQA4/SH/1gAAAJQB&#10;AAALAAAAAAAAAAAAAAAAAC8BAABfcmVscy8ucmVsc1BLAQItABQABgAIAAAAIQD9NasHeQIAAGkF&#10;AAAOAAAAAAAAAAAAAAAAAC4CAABkcnMvZTJvRG9jLnhtbFBLAQItABQABgAIAAAAIQAJ8tUT4QAA&#10;AAoBAAAPAAAAAAAAAAAAAAAAANMEAABkcnMvZG93bnJldi54bWxQSwUGAAAAAAQABADzAAAA4QUA&#10;AAAA&#10;" fillcolor="white [3201]" stroked="f" strokeweight=".5pt">
                <v:textbox style="mso-fit-shape-to-text:t" inset="0,,1mm">
                  <w:txbxContent>
                    <w:p w14:paraId="7DC8C8CD" w14:textId="77777777" w:rsidR="00962858" w:rsidRDefault="00B47A42" w:rsidP="00B47A42">
                      <w:pPr>
                        <w:pStyle w:val="Callout"/>
                        <w:rPr>
                          <w:color w:val="F25E21" w:themeColor="accent2"/>
                        </w:rPr>
                      </w:pPr>
                      <w:r>
                        <w:rPr>
                          <w:color w:val="F25E21" w:themeColor="accent2"/>
                        </w:rPr>
                        <w:t>“</w:t>
                      </w:r>
                      <w:r w:rsidRPr="00B47A42">
                        <w:rPr>
                          <w:color w:val="F25E21" w:themeColor="accent2"/>
                        </w:rPr>
                        <w:t>The learner profile has the potential to create a more level playing field for accessing university than the ATAR ranking or use of passports and portfolios</w:t>
                      </w:r>
                      <w:r>
                        <w:rPr>
                          <w:color w:val="F25E21" w:themeColor="accent2"/>
                        </w:rPr>
                        <w:t>”</w:t>
                      </w:r>
                      <w:r w:rsidRPr="00B47A42">
                        <w:rPr>
                          <w:color w:val="F25E21" w:themeColor="accent2"/>
                        </w:rPr>
                        <w:t>.</w:t>
                      </w:r>
                      <w:r>
                        <w:rPr>
                          <w:color w:val="F25E21" w:themeColor="accent2"/>
                        </w:rPr>
                        <w:t xml:space="preserve"> </w:t>
                      </w:r>
                      <w:r>
                        <w:rPr>
                          <w:color w:val="F25E21" w:themeColor="accent2"/>
                        </w:rPr>
                        <w:tab/>
                      </w:r>
                    </w:p>
                    <w:p w14:paraId="0EA4F271" w14:textId="369FBC14" w:rsidR="00B47A42" w:rsidRPr="00962858" w:rsidRDefault="00B47A42" w:rsidP="00962858">
                      <w:pPr>
                        <w:pStyle w:val="Callout"/>
                        <w:jc w:val="right"/>
                        <w:rPr>
                          <w:color w:val="F25E21" w:themeColor="accent2"/>
                          <w:sz w:val="18"/>
                          <w:szCs w:val="18"/>
                        </w:rPr>
                      </w:pPr>
                      <w:r w:rsidRPr="00962858">
                        <w:rPr>
                          <w:color w:val="F25E21" w:themeColor="accent2"/>
                          <w:sz w:val="18"/>
                          <w:szCs w:val="18"/>
                        </w:rPr>
                        <w:t>C</w:t>
                      </w:r>
                      <w:r w:rsidR="00962858">
                        <w:rPr>
                          <w:color w:val="F25E21" w:themeColor="accent2"/>
                          <w:sz w:val="18"/>
                          <w:szCs w:val="18"/>
                        </w:rPr>
                        <w:t>entre for Study of Equity in Higher Education</w:t>
                      </w:r>
                    </w:p>
                  </w:txbxContent>
                </v:textbox>
                <w10:wrap type="square"/>
              </v:shape>
            </w:pict>
          </mc:Fallback>
        </mc:AlternateContent>
      </w:r>
      <w:r w:rsidR="006342C7">
        <w:t xml:space="preserve">Participating students and schools </w:t>
      </w:r>
      <w:r w:rsidR="00B24655">
        <w:t>emphasise</w:t>
      </w:r>
      <w:r w:rsidR="006342C7">
        <w:t xml:space="preserve"> the benefits </w:t>
      </w:r>
      <w:r w:rsidR="00B24655">
        <w:t xml:space="preserve">to students from valuing </w:t>
      </w:r>
      <w:r w:rsidR="00EE6FB9">
        <w:t xml:space="preserve">non-academic measures, which not only open opportunities but </w:t>
      </w:r>
      <w:r w:rsidR="006A1CB9">
        <w:t>lift motivation</w:t>
      </w:r>
      <w:r w:rsidR="00962858">
        <w:t>, deepen</w:t>
      </w:r>
      <w:r w:rsidR="00EE6FB9">
        <w:t xml:space="preserve"> engagement in learning</w:t>
      </w:r>
      <w:r w:rsidR="008B5C50">
        <w:t xml:space="preserve"> and facilitat</w:t>
      </w:r>
      <w:r w:rsidR="00962858">
        <w:t>e</w:t>
      </w:r>
      <w:r w:rsidR="008B5C50">
        <w:t xml:space="preserve"> post-school transitions</w:t>
      </w:r>
      <w:r w:rsidR="00EE6FB9">
        <w:t>.</w:t>
      </w:r>
      <w:r w:rsidR="003C7476">
        <w:rPr>
          <w:rStyle w:val="FootnoteReference"/>
        </w:rPr>
        <w:footnoteReference w:id="171"/>
      </w:r>
      <w:r w:rsidR="009C5BB9">
        <w:t xml:space="preserve"> </w:t>
      </w:r>
      <w:r w:rsidR="00A37611">
        <w:t>All</w:t>
      </w:r>
      <w:r w:rsidR="00962858">
        <w:t xml:space="preserve"> varia</w:t>
      </w:r>
      <w:r w:rsidR="00A37611">
        <w:t>nts of</w:t>
      </w:r>
      <w:r w:rsidR="00962858">
        <w:t xml:space="preserve"> the </w:t>
      </w:r>
      <w:r w:rsidR="006A1CB9">
        <w:t>New Metrics model</w:t>
      </w:r>
      <w:r w:rsidR="00A37611">
        <w:t xml:space="preserve"> put significant store in developing student esteem and agency as part of the process</w:t>
      </w:r>
      <w:r w:rsidR="00A25712">
        <w:t>, with the intent to address inequities in the school system. By the same token, it is important in these models to control for adverse impacts on equity by giving advantage to students who have more access to extra-curricular activities</w:t>
      </w:r>
      <w:r w:rsidR="00A03524">
        <w:t>,</w:t>
      </w:r>
      <w:r w:rsidR="00A25712">
        <w:t xml:space="preserve"> which might be counted towards a learner profile. For this reason, there is emphasis on capturing the </w:t>
      </w:r>
      <w:r w:rsidR="00691DCE">
        <w:t>competencies</w:t>
      </w:r>
      <w:r w:rsidR="006B3539">
        <w:t xml:space="preserve"> demonstrated through activities such as caring for family members and </w:t>
      </w:r>
      <w:r w:rsidR="00691DCE">
        <w:t xml:space="preserve">caring for </w:t>
      </w:r>
      <w:r w:rsidR="001414C7">
        <w:t>c</w:t>
      </w:r>
      <w:r w:rsidR="00691DCE">
        <w:t>ountry, and not just participation</w:t>
      </w:r>
      <w:r w:rsidR="006B3539">
        <w:t xml:space="preserve"> in </w:t>
      </w:r>
      <w:r w:rsidR="00691DCE">
        <w:t xml:space="preserve">team sports and </w:t>
      </w:r>
      <w:r w:rsidR="00285C20">
        <w:t>other similar activities</w:t>
      </w:r>
      <w:r w:rsidR="00691DCE">
        <w:t>.</w:t>
      </w:r>
    </w:p>
    <w:p w14:paraId="0F3206AA" w14:textId="5AF88622" w:rsidR="009F219E" w:rsidRPr="00F81BDB" w:rsidRDefault="009F219E" w:rsidP="009F219E">
      <w:pPr>
        <w:pStyle w:val="Heading5"/>
        <w:numPr>
          <w:ilvl w:val="0"/>
          <w:numId w:val="0"/>
        </w:numPr>
        <w:rPr>
          <w:color w:val="7F7F7F" w:themeColor="text1" w:themeTint="80"/>
        </w:rPr>
      </w:pPr>
      <w:r w:rsidRPr="00F81BDB">
        <w:rPr>
          <w:color w:val="7F7F7F" w:themeColor="text1" w:themeTint="80"/>
        </w:rPr>
        <w:t xml:space="preserve">Expanding </w:t>
      </w:r>
      <w:r w:rsidR="00030581" w:rsidRPr="00F81BDB">
        <w:rPr>
          <w:color w:val="7F7F7F" w:themeColor="text1" w:themeTint="80"/>
        </w:rPr>
        <w:t>access to</w:t>
      </w:r>
      <w:r w:rsidRPr="00F81BDB">
        <w:rPr>
          <w:color w:val="7F7F7F" w:themeColor="text1" w:themeTint="80"/>
        </w:rPr>
        <w:t xml:space="preserve"> innovative </w:t>
      </w:r>
      <w:r w:rsidR="00030581" w:rsidRPr="00F81BDB">
        <w:rPr>
          <w:color w:val="7F7F7F" w:themeColor="text1" w:themeTint="80"/>
        </w:rPr>
        <w:t xml:space="preserve">and inclusive </w:t>
      </w:r>
      <w:r w:rsidRPr="00F81BDB">
        <w:rPr>
          <w:color w:val="7F7F7F" w:themeColor="text1" w:themeTint="80"/>
        </w:rPr>
        <w:t xml:space="preserve">learning designs </w:t>
      </w:r>
    </w:p>
    <w:p w14:paraId="1017A23C" w14:textId="270AB3FA" w:rsidR="00B25BE0" w:rsidRDefault="00030581" w:rsidP="009F219E">
      <w:r>
        <w:t>As noted, t</w:t>
      </w:r>
      <w:r w:rsidR="003A0FBD">
        <w:t xml:space="preserve">he Big Picture learning </w:t>
      </w:r>
      <w:r w:rsidR="00AC04CA">
        <w:t>design</w:t>
      </w:r>
      <w:r>
        <w:t xml:space="preserve"> has its origins in the U</w:t>
      </w:r>
      <w:r w:rsidR="00D562F1">
        <w:t xml:space="preserve">S but has evolved </w:t>
      </w:r>
      <w:r w:rsidR="0052014E">
        <w:t>in Australia</w:t>
      </w:r>
      <w:r w:rsidR="002E7B9F">
        <w:t>. The concept centres</w:t>
      </w:r>
      <w:r w:rsidR="005F7028">
        <w:t xml:space="preserve"> on </w:t>
      </w:r>
      <w:r w:rsidR="002E7B9F">
        <w:t>engaging</w:t>
      </w:r>
      <w:r w:rsidR="005F7028">
        <w:t xml:space="preserve"> students who learn through personal passions and connections to opportunities outside school</w:t>
      </w:r>
      <w:r w:rsidR="002E7B9F">
        <w:t xml:space="preserve">, and supporting the </w:t>
      </w:r>
      <w:r w:rsidR="005F7028">
        <w:t>transiti</w:t>
      </w:r>
      <w:r w:rsidR="002E7B9F">
        <w:t>on</w:t>
      </w:r>
      <w:r w:rsidR="005F7028">
        <w:t xml:space="preserve"> to meaningful post-school pathways, including university. Being personalised</w:t>
      </w:r>
      <w:r w:rsidR="00D87837">
        <w:t>, inclusive</w:t>
      </w:r>
      <w:r w:rsidR="005F7028">
        <w:t xml:space="preserve"> and strengths-based, the </w:t>
      </w:r>
      <w:r w:rsidR="002E7B9F">
        <w:t>model</w:t>
      </w:r>
      <w:r w:rsidR="005F7028">
        <w:t xml:space="preserve"> is </w:t>
      </w:r>
      <w:r w:rsidR="002E7B9F">
        <w:t>intended to cater to</w:t>
      </w:r>
      <w:r w:rsidR="005F7028">
        <w:t xml:space="preserve"> all students in every context</w:t>
      </w:r>
      <w:r w:rsidR="00B25BE0">
        <w:t>, catering to their wellbeing as well as their academic potential</w:t>
      </w:r>
      <w:r w:rsidR="002E7B9F">
        <w:t>.</w:t>
      </w:r>
    </w:p>
    <w:p w14:paraId="5521841C" w14:textId="4663519E" w:rsidR="005F7028" w:rsidRDefault="005F7028" w:rsidP="009F219E">
      <w:r>
        <w:t>In Australia, the B</w:t>
      </w:r>
      <w:r w:rsidR="004B04A4">
        <w:t>ig Picture model</w:t>
      </w:r>
      <w:r>
        <w:t xml:space="preserve"> is typically offered within a mainstream secondary school, both within the government a</w:t>
      </w:r>
      <w:r w:rsidRPr="00326573">
        <w:t xml:space="preserve">nd non-government sectors. </w:t>
      </w:r>
      <w:r w:rsidR="009F4B02" w:rsidRPr="00326573">
        <w:t>Its learning design is characterised by the foll</w:t>
      </w:r>
      <w:r w:rsidR="007E5356" w:rsidRPr="00326573">
        <w:t>owing</w:t>
      </w:r>
      <w:r w:rsidR="00DE45A4">
        <w:t xml:space="preserve"> </w:t>
      </w:r>
      <w:r w:rsidR="00036828">
        <w:t>‘</w:t>
      </w:r>
      <w:r w:rsidR="007E5356" w:rsidRPr="00326573">
        <w:t xml:space="preserve">12 distinguishers’. </w:t>
      </w:r>
      <w:r w:rsidR="007E5356" w:rsidRPr="00326573">
        <w:rPr>
          <w:rStyle w:val="FootnoteReference"/>
        </w:rPr>
        <w:footnoteReference w:id="172"/>
      </w:r>
    </w:p>
    <w:p w14:paraId="2F208225" w14:textId="02EF7A5E" w:rsidR="00B61F0B" w:rsidRDefault="00B61F0B" w:rsidP="00B61F0B">
      <w:pPr>
        <w:pStyle w:val="Caption"/>
      </w:pPr>
      <w:r>
        <w:lastRenderedPageBreak/>
        <w:t xml:space="preserve">Figure </w:t>
      </w:r>
      <w:r>
        <w:fldChar w:fldCharType="begin"/>
      </w:r>
      <w:r>
        <w:instrText xml:space="preserve"> SEQ Figure \* ARABIC </w:instrText>
      </w:r>
      <w:r>
        <w:fldChar w:fldCharType="separate"/>
      </w:r>
      <w:r w:rsidR="009B7086">
        <w:rPr>
          <w:noProof/>
        </w:rPr>
        <w:t>5</w:t>
      </w:r>
      <w:r>
        <w:fldChar w:fldCharType="end"/>
      </w:r>
      <w:r>
        <w:t xml:space="preserve"> </w:t>
      </w:r>
      <w:r w:rsidR="00231A0B">
        <w:t xml:space="preserve">I </w:t>
      </w:r>
      <w:r>
        <w:t>The 12 distinguishers of the Big Picture Learning Design</w:t>
      </w:r>
    </w:p>
    <w:p w14:paraId="171165B9" w14:textId="519532FA" w:rsidR="004F56D0" w:rsidRPr="004F56D0" w:rsidRDefault="0008603A" w:rsidP="004F56D0">
      <w:pPr>
        <w:rPr>
          <w:lang w:eastAsia="en-AU"/>
        </w:rPr>
      </w:pPr>
      <w:r>
        <w:rPr>
          <w:noProof/>
        </w:rPr>
        <w:drawing>
          <wp:inline distT="0" distB="0" distL="0" distR="0" wp14:anchorId="76C3CEBF" wp14:editId="7A995C62">
            <wp:extent cx="5832475" cy="3182913"/>
            <wp:effectExtent l="0" t="0" r="0" b="0"/>
            <wp:docPr id="2073428835" name="Picture 2073428835" descr="Figure outlines the 12 distinguishers of the Big Picture Learning Design - academic rigour, leaving to learn (learning through internships), personalisation, authentic assessment, collaboration learning, learning in advisory, trust, respect and care, everyone's a leader, families are enrolled too, creating futures, teachers and leaders are learners too, diverse and enduring partnersh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28835" name="Picture 2073428835" descr="Figure outlines the 12 distinguishers of the Big Picture Learning Design - academic rigour, leaving to learn (learning through internships), personalisation, authentic assessment, collaboration learning, learning in advisory, trust, respect and care, everyone's a leader, families are enrolled too, creating futures, teachers and leaders are learners too, diverse and enduring partnerships. "/>
                    <pic:cNvPicPr/>
                  </pic:nvPicPr>
                  <pic:blipFill>
                    <a:blip r:embed="rId38">
                      <a:extLst>
                        <a:ext uri="{28A0092B-C50C-407E-A947-70E740481C1C}">
                          <a14:useLocalDpi xmlns:a14="http://schemas.microsoft.com/office/drawing/2010/main" val="0"/>
                        </a:ext>
                      </a:extLst>
                    </a:blip>
                    <a:stretch>
                      <a:fillRect/>
                    </a:stretch>
                  </pic:blipFill>
                  <pic:spPr>
                    <a:xfrm>
                      <a:off x="0" y="0"/>
                      <a:ext cx="5832475" cy="3182913"/>
                    </a:xfrm>
                    <a:prstGeom prst="rect">
                      <a:avLst/>
                    </a:prstGeom>
                  </pic:spPr>
                </pic:pic>
              </a:graphicData>
            </a:graphic>
          </wp:inline>
        </w:drawing>
      </w:r>
    </w:p>
    <w:p w14:paraId="0F7DE2AF" w14:textId="7F39C095" w:rsidR="000F0696" w:rsidRDefault="000F0696" w:rsidP="00E07876">
      <w:pPr>
        <w:pStyle w:val="Heading3"/>
      </w:pPr>
      <w:r>
        <w:t>Outcomes</w:t>
      </w:r>
      <w:r w:rsidR="00CF7BEA">
        <w:t xml:space="preserve"> </w:t>
      </w:r>
    </w:p>
    <w:p w14:paraId="1F8BEBE8" w14:textId="77777777" w:rsidR="004A0774" w:rsidRPr="002B4D2F" w:rsidRDefault="004A0774" w:rsidP="0011378C">
      <w:pPr>
        <w:pStyle w:val="Heading5"/>
        <w:rPr>
          <w:rFonts w:asciiTheme="minorHAnsi" w:hAnsiTheme="minorHAnsi" w:cstheme="minorHAnsi"/>
        </w:rPr>
      </w:pPr>
      <w:r w:rsidRPr="002B4D2F">
        <w:t>Diversity</w:t>
      </w:r>
    </w:p>
    <w:p w14:paraId="2001E5E8" w14:textId="5483C902" w:rsidR="00C85282" w:rsidRPr="0086054F" w:rsidRDefault="00C85282" w:rsidP="00C85282">
      <w:pPr>
        <w:rPr>
          <w:lang w:eastAsia="en-AU"/>
        </w:rPr>
      </w:pPr>
      <w:r w:rsidRPr="004A0774">
        <w:rPr>
          <w:rFonts w:asciiTheme="minorHAnsi" w:hAnsiTheme="minorHAnsi" w:cstheme="minorHAnsi"/>
        </w:rPr>
        <w:t xml:space="preserve">Big Picture schools were initially </w:t>
      </w:r>
      <w:r w:rsidR="00F115EC">
        <w:rPr>
          <w:rFonts w:asciiTheme="minorHAnsi" w:hAnsiTheme="minorHAnsi" w:cstheme="minorHAnsi"/>
        </w:rPr>
        <w:t>considered</w:t>
      </w:r>
      <w:r w:rsidRPr="004A0774">
        <w:rPr>
          <w:rFonts w:asciiTheme="minorHAnsi" w:hAnsiTheme="minorHAnsi" w:cstheme="minorHAnsi"/>
        </w:rPr>
        <w:t xml:space="preserve"> a response to the needs of low SES students, but </w:t>
      </w:r>
      <w:r w:rsidR="00504AC1">
        <w:rPr>
          <w:rFonts w:asciiTheme="minorHAnsi" w:hAnsiTheme="minorHAnsi" w:cstheme="minorHAnsi"/>
        </w:rPr>
        <w:t xml:space="preserve">over time </w:t>
      </w:r>
      <w:r w:rsidRPr="004A0774">
        <w:rPr>
          <w:rFonts w:asciiTheme="minorHAnsi" w:hAnsiTheme="minorHAnsi" w:cstheme="minorHAnsi"/>
        </w:rPr>
        <w:t xml:space="preserve">they </w:t>
      </w:r>
      <w:r w:rsidR="008E0D9C">
        <w:rPr>
          <w:rFonts w:asciiTheme="minorHAnsi" w:hAnsiTheme="minorHAnsi" w:cstheme="minorHAnsi"/>
        </w:rPr>
        <w:t xml:space="preserve">have </w:t>
      </w:r>
      <w:r w:rsidR="00504AC1">
        <w:rPr>
          <w:rFonts w:asciiTheme="minorHAnsi" w:hAnsiTheme="minorHAnsi" w:cstheme="minorHAnsi"/>
        </w:rPr>
        <w:t>draw</w:t>
      </w:r>
      <w:r w:rsidR="008E0D9C">
        <w:rPr>
          <w:rFonts w:asciiTheme="minorHAnsi" w:hAnsiTheme="minorHAnsi" w:cstheme="minorHAnsi"/>
        </w:rPr>
        <w:t>n</w:t>
      </w:r>
      <w:r w:rsidR="00504AC1">
        <w:rPr>
          <w:rFonts w:asciiTheme="minorHAnsi" w:hAnsiTheme="minorHAnsi" w:cstheme="minorHAnsi"/>
        </w:rPr>
        <w:t xml:space="preserve"> a wider range of </w:t>
      </w:r>
      <w:r w:rsidRPr="004A0774">
        <w:rPr>
          <w:rFonts w:asciiTheme="minorHAnsi" w:hAnsiTheme="minorHAnsi" w:cstheme="minorHAnsi"/>
        </w:rPr>
        <w:t>students</w:t>
      </w:r>
      <w:r w:rsidR="00504AC1">
        <w:rPr>
          <w:rFonts w:asciiTheme="minorHAnsi" w:hAnsiTheme="minorHAnsi" w:cstheme="minorHAnsi"/>
        </w:rPr>
        <w:t xml:space="preserve"> with different, including more advantaged,</w:t>
      </w:r>
      <w:r w:rsidRPr="004A0774">
        <w:rPr>
          <w:rFonts w:asciiTheme="minorHAnsi" w:hAnsiTheme="minorHAnsi" w:cstheme="minorHAnsi"/>
        </w:rPr>
        <w:t xml:space="preserve"> family background</w:t>
      </w:r>
      <w:r w:rsidR="00504AC1">
        <w:rPr>
          <w:rFonts w:asciiTheme="minorHAnsi" w:hAnsiTheme="minorHAnsi" w:cstheme="minorHAnsi"/>
        </w:rPr>
        <w:t>s (many of whom had</w:t>
      </w:r>
      <w:r w:rsidRPr="004A0774">
        <w:rPr>
          <w:rFonts w:asciiTheme="minorHAnsi" w:hAnsiTheme="minorHAnsi" w:cstheme="minorHAnsi"/>
        </w:rPr>
        <w:t xml:space="preserve"> disengaged </w:t>
      </w:r>
      <w:r w:rsidR="00504AC1">
        <w:rPr>
          <w:rFonts w:asciiTheme="minorHAnsi" w:hAnsiTheme="minorHAnsi" w:cstheme="minorHAnsi"/>
        </w:rPr>
        <w:t>from</w:t>
      </w:r>
      <w:r w:rsidR="000313D0" w:rsidRPr="004A0774">
        <w:rPr>
          <w:rFonts w:asciiTheme="minorHAnsi" w:hAnsiTheme="minorHAnsi" w:cstheme="minorHAnsi"/>
        </w:rPr>
        <w:t xml:space="preserve"> </w:t>
      </w:r>
      <w:r w:rsidRPr="004A0774">
        <w:rPr>
          <w:rFonts w:asciiTheme="minorHAnsi" w:hAnsiTheme="minorHAnsi" w:cstheme="minorHAnsi"/>
        </w:rPr>
        <w:t>mainstream schools</w:t>
      </w:r>
      <w:r w:rsidR="00504AC1">
        <w:rPr>
          <w:rFonts w:asciiTheme="minorHAnsi" w:hAnsiTheme="minorHAnsi" w:cstheme="minorHAnsi"/>
        </w:rPr>
        <w:t>)</w:t>
      </w:r>
      <w:r w:rsidRPr="001C216E">
        <w:rPr>
          <w:rFonts w:asciiTheme="majorHAnsi" w:hAnsiTheme="majorHAnsi" w:cstheme="majorHAnsi"/>
        </w:rPr>
        <w:t>.</w:t>
      </w:r>
      <w:r w:rsidRPr="0086054F">
        <w:rPr>
          <w:lang w:eastAsia="en-AU"/>
        </w:rPr>
        <w:t xml:space="preserve"> In </w:t>
      </w:r>
      <w:r w:rsidR="00EB2012">
        <w:rPr>
          <w:lang w:eastAsia="en-AU"/>
        </w:rPr>
        <w:t xml:space="preserve">its </w:t>
      </w:r>
      <w:r w:rsidRPr="0086054F">
        <w:rPr>
          <w:lang w:eastAsia="en-AU"/>
        </w:rPr>
        <w:t>NSW</w:t>
      </w:r>
      <w:r w:rsidR="00EB2012">
        <w:rPr>
          <w:lang w:eastAsia="en-AU"/>
        </w:rPr>
        <w:t xml:space="preserve"> schools</w:t>
      </w:r>
      <w:r w:rsidRPr="0086054F">
        <w:rPr>
          <w:lang w:eastAsia="en-AU"/>
        </w:rPr>
        <w:t xml:space="preserve">, </w:t>
      </w:r>
      <w:r w:rsidR="00EB2012">
        <w:rPr>
          <w:lang w:eastAsia="en-AU"/>
        </w:rPr>
        <w:t>for example</w:t>
      </w:r>
      <w:r w:rsidRPr="0086054F">
        <w:rPr>
          <w:lang w:eastAsia="en-AU"/>
        </w:rPr>
        <w:t xml:space="preserve">: </w:t>
      </w:r>
    </w:p>
    <w:p w14:paraId="03DDAEC1" w14:textId="04928E0C" w:rsidR="00C85282" w:rsidRPr="005B63ED" w:rsidRDefault="00C85282" w:rsidP="00E45BFE">
      <w:pPr>
        <w:pStyle w:val="Bullet"/>
        <w:numPr>
          <w:ilvl w:val="0"/>
          <w:numId w:val="12"/>
        </w:numPr>
        <w:rPr>
          <w:rFonts w:asciiTheme="minorHAnsi" w:hAnsiTheme="minorHAnsi" w:cstheme="minorHAnsi"/>
        </w:rPr>
      </w:pPr>
      <w:r w:rsidRPr="005B63ED">
        <w:rPr>
          <w:rFonts w:asciiTheme="minorHAnsi" w:hAnsiTheme="minorHAnsi" w:cstheme="minorHAnsi"/>
        </w:rPr>
        <w:t>Cooks Hill Campus of Newcastle High School</w:t>
      </w:r>
      <w:r w:rsidR="00EB2012">
        <w:rPr>
          <w:rFonts w:asciiTheme="minorHAnsi" w:hAnsiTheme="minorHAnsi" w:cstheme="minorHAnsi"/>
        </w:rPr>
        <w:t xml:space="preserve"> has</w:t>
      </w:r>
      <w:r w:rsidRPr="005B63ED">
        <w:rPr>
          <w:rFonts w:asciiTheme="minorHAnsi" w:hAnsiTheme="minorHAnsi" w:cstheme="minorHAnsi"/>
        </w:rPr>
        <w:t xml:space="preserve"> 150 students drawn from 14 local schools</w:t>
      </w:r>
      <w:r w:rsidR="00EB2012">
        <w:rPr>
          <w:rFonts w:asciiTheme="minorHAnsi" w:hAnsiTheme="minorHAnsi" w:cstheme="minorHAnsi"/>
        </w:rPr>
        <w:t>, reflecting</w:t>
      </w:r>
      <w:r w:rsidRPr="005B63ED">
        <w:rPr>
          <w:rFonts w:asciiTheme="minorHAnsi" w:hAnsiTheme="minorHAnsi" w:cstheme="minorHAnsi"/>
        </w:rPr>
        <w:t xml:space="preserve"> the full spread of SES </w:t>
      </w:r>
      <w:r w:rsidR="00424E76" w:rsidRPr="005B63ED">
        <w:rPr>
          <w:rFonts w:asciiTheme="minorHAnsi" w:hAnsiTheme="minorHAnsi" w:cstheme="minorHAnsi"/>
        </w:rPr>
        <w:t>categor</w:t>
      </w:r>
      <w:r w:rsidR="00424E76">
        <w:rPr>
          <w:rFonts w:asciiTheme="minorHAnsi" w:hAnsiTheme="minorHAnsi" w:cstheme="minorHAnsi"/>
        </w:rPr>
        <w:t>ies.</w:t>
      </w:r>
      <w:r w:rsidRPr="005B63ED">
        <w:rPr>
          <w:rFonts w:asciiTheme="minorHAnsi" w:hAnsiTheme="minorHAnsi" w:cstheme="minorHAnsi"/>
        </w:rPr>
        <w:t xml:space="preserve"> </w:t>
      </w:r>
    </w:p>
    <w:p w14:paraId="6A85E1CD" w14:textId="0B4B8911" w:rsidR="00C85282" w:rsidRPr="001C216E" w:rsidRDefault="00C85282" w:rsidP="00E45BFE">
      <w:pPr>
        <w:pStyle w:val="Bullet"/>
        <w:numPr>
          <w:ilvl w:val="0"/>
          <w:numId w:val="12"/>
        </w:numPr>
        <w:rPr>
          <w:rFonts w:asciiTheme="minorHAnsi" w:hAnsiTheme="minorHAnsi" w:cstheme="minorHAnsi"/>
        </w:rPr>
      </w:pPr>
      <w:r w:rsidRPr="005B63ED">
        <w:rPr>
          <w:rFonts w:asciiTheme="minorHAnsi" w:hAnsiTheme="minorHAnsi" w:cstheme="minorHAnsi"/>
        </w:rPr>
        <w:t>Hunter Sports High School</w:t>
      </w:r>
      <w:r w:rsidR="002A3490" w:rsidRPr="005B63ED">
        <w:rPr>
          <w:rFonts w:asciiTheme="minorHAnsi" w:hAnsiTheme="minorHAnsi" w:cstheme="minorHAnsi"/>
        </w:rPr>
        <w:t>,</w:t>
      </w:r>
      <w:r w:rsidRPr="005B63ED">
        <w:rPr>
          <w:rFonts w:asciiTheme="minorHAnsi" w:hAnsiTheme="minorHAnsi" w:cstheme="minorHAnsi"/>
        </w:rPr>
        <w:t xml:space="preserve"> a specialist sports academy with four Big Picture advisories (classes) enrol</w:t>
      </w:r>
      <w:r w:rsidR="00871835">
        <w:rPr>
          <w:rFonts w:asciiTheme="minorHAnsi" w:hAnsiTheme="minorHAnsi" w:cstheme="minorHAnsi"/>
        </w:rPr>
        <w:t xml:space="preserve">s half </w:t>
      </w:r>
      <w:r w:rsidRPr="005B63ED">
        <w:rPr>
          <w:rFonts w:asciiTheme="minorHAnsi" w:hAnsiTheme="minorHAnsi" w:cstheme="minorHAnsi"/>
        </w:rPr>
        <w:t xml:space="preserve">of </w:t>
      </w:r>
      <w:r w:rsidR="00871835">
        <w:rPr>
          <w:rFonts w:asciiTheme="minorHAnsi" w:hAnsiTheme="minorHAnsi" w:cstheme="minorHAnsi"/>
        </w:rPr>
        <w:t>its</w:t>
      </w:r>
      <w:r w:rsidRPr="005B63ED">
        <w:rPr>
          <w:rFonts w:asciiTheme="minorHAnsi" w:hAnsiTheme="minorHAnsi" w:cstheme="minorHAnsi"/>
        </w:rPr>
        <w:t xml:space="preserve"> </w:t>
      </w:r>
      <w:r w:rsidR="00F115EC">
        <w:rPr>
          <w:rFonts w:asciiTheme="minorHAnsi" w:hAnsiTheme="minorHAnsi" w:cstheme="minorHAnsi"/>
        </w:rPr>
        <w:t xml:space="preserve">Big </w:t>
      </w:r>
      <w:r w:rsidR="003963A0">
        <w:rPr>
          <w:rFonts w:asciiTheme="minorHAnsi" w:hAnsiTheme="minorHAnsi" w:cstheme="minorHAnsi"/>
        </w:rPr>
        <w:t>Picture</w:t>
      </w:r>
      <w:r w:rsidR="003963A0" w:rsidRPr="005B63ED">
        <w:rPr>
          <w:rFonts w:asciiTheme="minorHAnsi" w:hAnsiTheme="minorHAnsi" w:cstheme="minorHAnsi"/>
        </w:rPr>
        <w:t xml:space="preserve"> students</w:t>
      </w:r>
      <w:r w:rsidRPr="005B63ED">
        <w:rPr>
          <w:rFonts w:asciiTheme="minorHAnsi" w:hAnsiTheme="minorHAnsi" w:cstheme="minorHAnsi"/>
        </w:rPr>
        <w:t xml:space="preserve"> from</w:t>
      </w:r>
      <w:r>
        <w:t xml:space="preserve"> the sports academy and half from the local (low</w:t>
      </w:r>
      <w:r w:rsidR="00871835">
        <w:t>-</w:t>
      </w:r>
      <w:r>
        <w:t>SES) community</w:t>
      </w:r>
      <w:r w:rsidR="00424E76">
        <w:t>.</w:t>
      </w:r>
      <w:r>
        <w:t xml:space="preserve"> </w:t>
      </w:r>
    </w:p>
    <w:p w14:paraId="4D18279C" w14:textId="4BD4FA4C" w:rsidR="00C85282" w:rsidRPr="001C216E" w:rsidRDefault="00C85282" w:rsidP="00E45BFE">
      <w:pPr>
        <w:pStyle w:val="Bullet"/>
        <w:numPr>
          <w:ilvl w:val="0"/>
          <w:numId w:val="12"/>
        </w:numPr>
        <w:rPr>
          <w:rFonts w:asciiTheme="minorHAnsi" w:hAnsiTheme="minorHAnsi" w:cstheme="minorHAnsi"/>
        </w:rPr>
      </w:pPr>
      <w:r w:rsidRPr="6EC71C90">
        <w:rPr>
          <w:rFonts w:asciiTheme="minorHAnsi" w:hAnsiTheme="minorHAnsi" w:cstheme="minorBidi"/>
        </w:rPr>
        <w:t xml:space="preserve">Morisset High School </w:t>
      </w:r>
      <w:r w:rsidR="00994749" w:rsidRPr="6EC71C90">
        <w:rPr>
          <w:rFonts w:asciiTheme="minorHAnsi" w:hAnsiTheme="minorHAnsi" w:cstheme="minorBidi"/>
        </w:rPr>
        <w:t>is in</w:t>
      </w:r>
      <w:r w:rsidRPr="6EC71C90">
        <w:rPr>
          <w:rFonts w:asciiTheme="minorHAnsi" w:hAnsiTheme="minorHAnsi" w:cstheme="minorBidi"/>
        </w:rPr>
        <w:t xml:space="preserve"> a significantly</w:t>
      </w:r>
      <w:r w:rsidR="00871835" w:rsidRPr="6EC71C90">
        <w:rPr>
          <w:rFonts w:asciiTheme="minorHAnsi" w:hAnsiTheme="minorHAnsi" w:cstheme="minorBidi"/>
        </w:rPr>
        <w:t xml:space="preserve"> </w:t>
      </w:r>
      <w:r w:rsidRPr="6EC71C90">
        <w:rPr>
          <w:rFonts w:asciiTheme="minorHAnsi" w:hAnsiTheme="minorHAnsi" w:cstheme="minorBidi"/>
        </w:rPr>
        <w:t>disadvantaged</w:t>
      </w:r>
      <w:r w:rsidR="00871835" w:rsidRPr="6EC71C90">
        <w:rPr>
          <w:rFonts w:asciiTheme="minorHAnsi" w:hAnsiTheme="minorHAnsi" w:cstheme="minorBidi"/>
        </w:rPr>
        <w:t xml:space="preserve"> </w:t>
      </w:r>
      <w:r w:rsidRPr="6EC71C90">
        <w:rPr>
          <w:rFonts w:asciiTheme="minorHAnsi" w:hAnsiTheme="minorHAnsi" w:cstheme="minorBidi"/>
        </w:rPr>
        <w:t xml:space="preserve">community </w:t>
      </w:r>
      <w:r w:rsidR="00711281" w:rsidRPr="6EC71C90">
        <w:rPr>
          <w:rFonts w:asciiTheme="minorHAnsi" w:hAnsiTheme="minorHAnsi" w:cstheme="minorBidi"/>
        </w:rPr>
        <w:t>but</w:t>
      </w:r>
      <w:r w:rsidRPr="6EC71C90">
        <w:rPr>
          <w:rFonts w:asciiTheme="minorHAnsi" w:hAnsiTheme="minorHAnsi" w:cstheme="minorBidi"/>
        </w:rPr>
        <w:t xml:space="preserve"> has</w:t>
      </w:r>
      <w:r w:rsidR="00871835" w:rsidRPr="6EC71C90">
        <w:rPr>
          <w:rFonts w:asciiTheme="minorHAnsi" w:hAnsiTheme="minorHAnsi" w:cstheme="minorBidi"/>
        </w:rPr>
        <w:t xml:space="preserve"> </w:t>
      </w:r>
      <w:r w:rsidRPr="6EC71C90">
        <w:rPr>
          <w:rFonts w:asciiTheme="minorHAnsi" w:hAnsiTheme="minorHAnsi" w:cstheme="minorBidi"/>
        </w:rPr>
        <w:t>managed to attract a high proportion of lower to middle SES families. The school has five Big Picture advisories.</w:t>
      </w:r>
      <w:r w:rsidR="00C941D5" w:rsidRPr="6EC71C90">
        <w:rPr>
          <w:rStyle w:val="FootnoteReference"/>
          <w:rFonts w:asciiTheme="minorHAnsi" w:hAnsiTheme="minorHAnsi" w:cstheme="minorBidi"/>
        </w:rPr>
        <w:footnoteReference w:id="173"/>
      </w:r>
    </w:p>
    <w:p w14:paraId="2FDC5778" w14:textId="2A52F51A" w:rsidR="00C54B7F" w:rsidRPr="00C54B7F" w:rsidRDefault="00C54B7F" w:rsidP="00DA15F4">
      <w:pPr>
        <w:rPr>
          <w:rFonts w:asciiTheme="minorHAnsi" w:hAnsiTheme="minorHAnsi" w:cstheme="minorHAnsi"/>
        </w:rPr>
      </w:pPr>
      <w:r w:rsidRPr="00C54B7F">
        <w:rPr>
          <w:rFonts w:asciiTheme="minorHAnsi" w:hAnsiTheme="minorHAnsi" w:cstheme="minorHAnsi"/>
        </w:rPr>
        <w:t xml:space="preserve">The inclusiveness of the schools reflects their approach to student assessment, with a comprehensive end-of-school credential, the International Big Picture Learning Credential (IBPLC), now warranted by the University of Melbourne. </w:t>
      </w:r>
      <w:r>
        <w:rPr>
          <w:rStyle w:val="FootnoteReference"/>
          <w:rFonts w:asciiTheme="minorHAnsi" w:hAnsiTheme="minorHAnsi" w:cstheme="minorHAnsi"/>
        </w:rPr>
        <w:footnoteReference w:id="174"/>
      </w:r>
    </w:p>
    <w:p w14:paraId="549CD613" w14:textId="7EA20467" w:rsidR="00DA15F4" w:rsidRDefault="001C6857" w:rsidP="00DA15F4">
      <w:r w:rsidRPr="006A1EBD">
        <w:rPr>
          <w:rFonts w:asciiTheme="majorHAnsi" w:hAnsiTheme="majorHAnsi" w:cstheme="majorHAnsi"/>
        </w:rPr>
        <w:t xml:space="preserve">Te Kura </w:t>
      </w:r>
      <w:r w:rsidR="006A1EBD" w:rsidRPr="00A51DF3">
        <w:rPr>
          <w:rFonts w:asciiTheme="minorHAnsi" w:hAnsiTheme="minorHAnsi" w:cstheme="minorHAnsi"/>
        </w:rPr>
        <w:t xml:space="preserve">is New Zealand’s most socio-economically and </w:t>
      </w:r>
      <w:r w:rsidR="00100B05" w:rsidRPr="00A51DF3">
        <w:rPr>
          <w:rFonts w:asciiTheme="minorHAnsi" w:hAnsiTheme="minorHAnsi" w:cstheme="minorHAnsi"/>
        </w:rPr>
        <w:t>culturally</w:t>
      </w:r>
      <w:r w:rsidR="006A1EBD" w:rsidRPr="00A51DF3">
        <w:rPr>
          <w:rFonts w:asciiTheme="minorHAnsi" w:hAnsiTheme="minorHAnsi" w:cstheme="minorHAnsi"/>
        </w:rPr>
        <w:t xml:space="preserve"> diverse school, </w:t>
      </w:r>
      <w:r w:rsidRPr="00A51DF3">
        <w:rPr>
          <w:rFonts w:asciiTheme="minorHAnsi" w:hAnsiTheme="minorHAnsi" w:cstheme="minorHAnsi"/>
        </w:rPr>
        <w:t>enrol</w:t>
      </w:r>
      <w:r w:rsidR="006A1EBD" w:rsidRPr="00A51DF3">
        <w:rPr>
          <w:rFonts w:asciiTheme="minorHAnsi" w:hAnsiTheme="minorHAnsi" w:cstheme="minorHAnsi"/>
        </w:rPr>
        <w:t>ling</w:t>
      </w:r>
      <w:r w:rsidRPr="00A51DF3">
        <w:rPr>
          <w:rFonts w:asciiTheme="minorHAnsi" w:hAnsiTheme="minorHAnsi" w:cstheme="minorHAnsi"/>
        </w:rPr>
        <w:t xml:space="preserve"> students of all backgrounds and locations across New Ze</w:t>
      </w:r>
      <w:r w:rsidR="006A1EBD" w:rsidRPr="00A51DF3">
        <w:rPr>
          <w:rFonts w:asciiTheme="minorHAnsi" w:hAnsiTheme="minorHAnsi" w:cstheme="minorHAnsi"/>
        </w:rPr>
        <w:t>a</w:t>
      </w:r>
      <w:r w:rsidRPr="00A51DF3">
        <w:rPr>
          <w:rFonts w:asciiTheme="minorHAnsi" w:hAnsiTheme="minorHAnsi" w:cstheme="minorHAnsi"/>
        </w:rPr>
        <w:t>land</w:t>
      </w:r>
      <w:r w:rsidR="006A1EBD" w:rsidRPr="006A1EBD">
        <w:rPr>
          <w:rFonts w:asciiTheme="majorHAnsi" w:hAnsiTheme="majorHAnsi" w:cstheme="majorHAnsi"/>
        </w:rPr>
        <w:t xml:space="preserve">. </w:t>
      </w:r>
      <w:r w:rsidR="006A1EBD" w:rsidRPr="00100B05">
        <w:rPr>
          <w:rFonts w:asciiTheme="minorHAnsi" w:hAnsiTheme="minorHAnsi" w:cstheme="minorHAnsi"/>
        </w:rPr>
        <w:t xml:space="preserve">Its school population and diversity </w:t>
      </w:r>
      <w:r w:rsidRPr="00100B05">
        <w:rPr>
          <w:rFonts w:asciiTheme="minorHAnsi" w:hAnsiTheme="minorHAnsi" w:cstheme="minorHAnsi"/>
        </w:rPr>
        <w:t xml:space="preserve">jumped </w:t>
      </w:r>
      <w:r w:rsidRPr="006A1EBD">
        <w:t xml:space="preserve">higher again during COVID, where </w:t>
      </w:r>
      <w:r w:rsidR="007470C3">
        <w:t xml:space="preserve">at the request of the education minister, it expanded its access and enrolment to </w:t>
      </w:r>
      <w:r w:rsidRPr="006A1EBD">
        <w:t>serve students for whom remote learning at their schools of origin was unsuccessful.</w:t>
      </w:r>
      <w:r w:rsidR="00F65631">
        <w:t xml:space="preserve"> The New Metrics program brings together elite private schools</w:t>
      </w:r>
      <w:r w:rsidR="009A40C7">
        <w:t xml:space="preserve">, highly disadvantaged public schools in very low SES </w:t>
      </w:r>
      <w:r w:rsidR="00C6695F">
        <w:t xml:space="preserve">locations </w:t>
      </w:r>
      <w:r w:rsidR="00592DAA">
        <w:t>(each with strong cultural diversity)</w:t>
      </w:r>
      <w:r w:rsidR="009A40C7">
        <w:t xml:space="preserve">, and dozens of other schools </w:t>
      </w:r>
      <w:r w:rsidR="002B50FC">
        <w:t>between these extremes.</w:t>
      </w:r>
      <w:r w:rsidR="00592DAA">
        <w:t xml:space="preserve"> All participating schools </w:t>
      </w:r>
      <w:r w:rsidR="007F4B4B">
        <w:t xml:space="preserve">consider the program to cultivate and assess capabilities as being a </w:t>
      </w:r>
      <w:r w:rsidR="00994749">
        <w:t>drawcard</w:t>
      </w:r>
      <w:r w:rsidR="007F4B4B">
        <w:t xml:space="preserve"> for current and potential students. </w:t>
      </w:r>
    </w:p>
    <w:p w14:paraId="4EA1ABA8" w14:textId="231F9733" w:rsidR="00A51DF3" w:rsidRPr="00B92181" w:rsidRDefault="00A51DF3" w:rsidP="00F81BDB">
      <w:pPr>
        <w:pStyle w:val="Heading5"/>
        <w:rPr>
          <w:rFonts w:asciiTheme="minorHAnsi" w:hAnsiTheme="minorHAnsi" w:cstheme="minorHAnsi"/>
        </w:rPr>
      </w:pPr>
      <w:r w:rsidRPr="00B92181">
        <w:rPr>
          <w:rFonts w:asciiTheme="minorHAnsi" w:hAnsiTheme="minorHAnsi" w:cstheme="minorHAnsi"/>
        </w:rPr>
        <w:lastRenderedPageBreak/>
        <w:t>Education</w:t>
      </w:r>
    </w:p>
    <w:p w14:paraId="406F3666" w14:textId="32F6BE44" w:rsidR="006D6CE6" w:rsidRDefault="00EA4212" w:rsidP="00864450">
      <w:pPr>
        <w:rPr>
          <w:lang w:eastAsia="en-AU"/>
        </w:rPr>
      </w:pPr>
      <w:r w:rsidRPr="15380E17">
        <w:rPr>
          <w:rFonts w:asciiTheme="majorHAnsi" w:hAnsiTheme="majorHAnsi" w:cstheme="majorBidi"/>
          <w:lang w:eastAsia="en-AU"/>
        </w:rPr>
        <w:t>B</w:t>
      </w:r>
      <w:r w:rsidR="00371AB5" w:rsidRPr="15380E17">
        <w:rPr>
          <w:rFonts w:asciiTheme="majorHAnsi" w:hAnsiTheme="majorHAnsi" w:cstheme="majorBidi"/>
          <w:lang w:eastAsia="en-AU"/>
        </w:rPr>
        <w:t xml:space="preserve">ig </w:t>
      </w:r>
      <w:r w:rsidRPr="15380E17">
        <w:rPr>
          <w:rFonts w:asciiTheme="majorHAnsi" w:hAnsiTheme="majorHAnsi" w:cstheme="majorBidi"/>
          <w:lang w:eastAsia="en-AU"/>
        </w:rPr>
        <w:t>P</w:t>
      </w:r>
      <w:r w:rsidR="00371AB5" w:rsidRPr="15380E17">
        <w:rPr>
          <w:rFonts w:asciiTheme="majorHAnsi" w:hAnsiTheme="majorHAnsi" w:cstheme="majorBidi"/>
          <w:lang w:eastAsia="en-AU"/>
        </w:rPr>
        <w:t>icture</w:t>
      </w:r>
      <w:r w:rsidRPr="15380E17">
        <w:rPr>
          <w:rFonts w:asciiTheme="majorHAnsi" w:hAnsiTheme="majorHAnsi" w:cstheme="majorBidi"/>
          <w:lang w:eastAsia="en-AU"/>
        </w:rPr>
        <w:t xml:space="preserve"> </w:t>
      </w:r>
      <w:r w:rsidR="00C85282" w:rsidRPr="6EC71C90">
        <w:rPr>
          <w:rFonts w:asciiTheme="minorHAnsi" w:hAnsiTheme="minorHAnsi"/>
          <w:lang w:eastAsia="en-AU"/>
        </w:rPr>
        <w:t>schools and academies perform well across a wide range of</w:t>
      </w:r>
      <w:r w:rsidR="00371AB5" w:rsidRPr="6EC71C90">
        <w:rPr>
          <w:rFonts w:asciiTheme="minorHAnsi" w:hAnsiTheme="minorHAnsi"/>
          <w:lang w:eastAsia="en-AU"/>
        </w:rPr>
        <w:t xml:space="preserve"> educational measures</w:t>
      </w:r>
      <w:r w:rsidR="00C85282" w:rsidRPr="0086054F">
        <w:rPr>
          <w:lang w:eastAsia="en-AU"/>
        </w:rPr>
        <w:t xml:space="preserve">, including in </w:t>
      </w:r>
      <w:r w:rsidR="00FA1239">
        <w:rPr>
          <w:lang w:eastAsia="en-AU"/>
        </w:rPr>
        <w:t>academic performance</w:t>
      </w:r>
      <w:r w:rsidR="00C85282" w:rsidRPr="0086054F">
        <w:rPr>
          <w:lang w:eastAsia="en-AU"/>
        </w:rPr>
        <w:t xml:space="preserve">, retention and </w:t>
      </w:r>
      <w:r w:rsidR="00355FA1">
        <w:rPr>
          <w:lang w:eastAsia="en-AU"/>
        </w:rPr>
        <w:t xml:space="preserve">transition to further education, </w:t>
      </w:r>
      <w:r w:rsidR="00994749">
        <w:rPr>
          <w:lang w:eastAsia="en-AU"/>
        </w:rPr>
        <w:t>training,</w:t>
      </w:r>
      <w:r w:rsidR="008C4A87">
        <w:rPr>
          <w:lang w:eastAsia="en-AU"/>
        </w:rPr>
        <w:t xml:space="preserve"> </w:t>
      </w:r>
      <w:r w:rsidR="00355FA1">
        <w:rPr>
          <w:lang w:eastAsia="en-AU"/>
        </w:rPr>
        <w:t xml:space="preserve">or employment. </w:t>
      </w:r>
      <w:r w:rsidR="008C4A87">
        <w:rPr>
          <w:lang w:eastAsia="en-AU"/>
        </w:rPr>
        <w:t xml:space="preserve">They achieve </w:t>
      </w:r>
      <w:r w:rsidR="00154520">
        <w:rPr>
          <w:lang w:eastAsia="en-AU"/>
        </w:rPr>
        <w:t>similar</w:t>
      </w:r>
      <w:r w:rsidR="00075709">
        <w:rPr>
          <w:lang w:eastAsia="en-AU"/>
        </w:rPr>
        <w:t>ly</w:t>
      </w:r>
      <w:r w:rsidR="008C4A87">
        <w:rPr>
          <w:lang w:eastAsia="en-AU"/>
        </w:rPr>
        <w:t xml:space="preserve"> or</w:t>
      </w:r>
      <w:r w:rsidR="00154520">
        <w:rPr>
          <w:lang w:eastAsia="en-AU"/>
        </w:rPr>
        <w:t xml:space="preserve"> superior</w:t>
      </w:r>
      <w:r w:rsidR="00075709">
        <w:rPr>
          <w:lang w:eastAsia="en-AU"/>
        </w:rPr>
        <w:t>ly</w:t>
      </w:r>
      <w:r w:rsidR="00154520">
        <w:rPr>
          <w:lang w:eastAsia="en-AU"/>
        </w:rPr>
        <w:t xml:space="preserve"> to schools with similar cohorts, and their students achiev</w:t>
      </w:r>
      <w:r w:rsidR="00B52B8B">
        <w:rPr>
          <w:lang w:eastAsia="en-AU"/>
        </w:rPr>
        <w:t>e</w:t>
      </w:r>
      <w:r w:rsidR="00154520">
        <w:rPr>
          <w:lang w:eastAsia="en-AU"/>
        </w:rPr>
        <w:t xml:space="preserve"> more than their previous schools (where they have changed schools)</w:t>
      </w:r>
      <w:r w:rsidR="00052D84">
        <w:rPr>
          <w:lang w:eastAsia="en-AU"/>
        </w:rPr>
        <w:t>.</w:t>
      </w:r>
      <w:r w:rsidR="00C85282" w:rsidRPr="0086054F">
        <w:rPr>
          <w:lang w:eastAsia="en-AU"/>
        </w:rPr>
        <w:t xml:space="preserve"> </w:t>
      </w:r>
      <w:r w:rsidR="008C4A87">
        <w:rPr>
          <w:lang w:eastAsia="en-AU"/>
        </w:rPr>
        <w:t>A</w:t>
      </w:r>
      <w:r w:rsidR="00864450" w:rsidRPr="0086054F">
        <w:rPr>
          <w:lang w:eastAsia="en-AU"/>
        </w:rPr>
        <w:t xml:space="preserve"> substantial evaluation of Big Picture, across a wide range of critical outcomes, indicates that the improvement in student outcomes is causa</w:t>
      </w:r>
      <w:r w:rsidR="00864450">
        <w:rPr>
          <w:lang w:eastAsia="en-AU"/>
        </w:rPr>
        <w:t>tive</w:t>
      </w:r>
      <w:r w:rsidR="00864450" w:rsidRPr="0086054F">
        <w:rPr>
          <w:lang w:eastAsia="en-AU"/>
        </w:rPr>
        <w:t xml:space="preserve">. </w:t>
      </w:r>
      <w:r w:rsidR="00AF5E4F" w:rsidRPr="0086054F">
        <w:rPr>
          <w:rStyle w:val="FootnoteReference"/>
          <w:lang w:eastAsia="en-AU"/>
        </w:rPr>
        <w:footnoteReference w:id="175"/>
      </w:r>
      <w:r w:rsidR="00C85282" w:rsidRPr="0086054F">
        <w:rPr>
          <w:lang w:eastAsia="en-AU"/>
        </w:rPr>
        <w:t xml:space="preserve"> </w:t>
      </w:r>
    </w:p>
    <w:p w14:paraId="0FF11FAC" w14:textId="0ECA63FA" w:rsidR="001877B7" w:rsidRDefault="001877B7" w:rsidP="001877B7">
      <w:pPr>
        <w:pStyle w:val="Bullet"/>
        <w:ind w:left="0" w:firstLine="0"/>
        <w:rPr>
          <w:rFonts w:asciiTheme="minorHAnsi" w:hAnsiTheme="minorHAnsi" w:cstheme="minorHAnsi"/>
        </w:rPr>
      </w:pPr>
      <w:r w:rsidRPr="004F27C4">
        <w:rPr>
          <w:rFonts w:asciiTheme="minorHAnsi" w:hAnsiTheme="minorHAnsi" w:cstheme="minorHAnsi"/>
        </w:rPr>
        <w:t>Five Islands Secondary College i</w:t>
      </w:r>
      <w:r>
        <w:rPr>
          <w:rFonts w:asciiTheme="minorHAnsi" w:hAnsiTheme="minorHAnsi" w:cstheme="minorHAnsi"/>
        </w:rPr>
        <w:t>n Port Kembla offers an interesting case study. According to Viv White, Co-Founder and CEO of Big Picture Learning Australia:</w:t>
      </w:r>
    </w:p>
    <w:p w14:paraId="3058B984" w14:textId="131AC1CF" w:rsidR="001877B7" w:rsidRPr="001C216E" w:rsidRDefault="001877B7" w:rsidP="004F0DB3">
      <w:pPr>
        <w:pStyle w:val="Bullet"/>
        <w:ind w:left="426" w:right="425" w:firstLine="0"/>
        <w:rPr>
          <w:rFonts w:asciiTheme="minorHAnsi" w:hAnsiTheme="minorHAnsi" w:cstheme="minorHAnsi"/>
        </w:rPr>
      </w:pPr>
      <w:r>
        <w:rPr>
          <w:rFonts w:asciiTheme="minorHAnsi" w:hAnsiTheme="minorHAnsi" w:cstheme="minorHAnsi"/>
        </w:rPr>
        <w:t>“(u)</w:t>
      </w:r>
      <w:r w:rsidRPr="004F27C4">
        <w:rPr>
          <w:rFonts w:asciiTheme="minorHAnsi" w:hAnsiTheme="minorHAnsi" w:cstheme="minorHAnsi"/>
        </w:rPr>
        <w:t xml:space="preserve">p until 6 years ago, it was a last chance Year 11 and 12 senior college with most young people having failed in the local schools. These young people have significant disadvantages. Their </w:t>
      </w:r>
      <w:r w:rsidR="00E96371">
        <w:rPr>
          <w:rFonts w:asciiTheme="minorHAnsi" w:hAnsiTheme="minorHAnsi" w:cstheme="minorHAnsi"/>
        </w:rPr>
        <w:t>Family Occupation and Education Index (</w:t>
      </w:r>
      <w:r w:rsidRPr="004F27C4">
        <w:rPr>
          <w:rFonts w:asciiTheme="minorHAnsi" w:hAnsiTheme="minorHAnsi" w:cstheme="minorHAnsi"/>
        </w:rPr>
        <w:t>FOEI</w:t>
      </w:r>
      <w:r w:rsidR="00E96371">
        <w:rPr>
          <w:rFonts w:asciiTheme="minorHAnsi" w:hAnsiTheme="minorHAnsi" w:cstheme="minorHAnsi"/>
        </w:rPr>
        <w:t>)</w:t>
      </w:r>
      <w:r w:rsidRPr="004F27C4">
        <w:rPr>
          <w:rFonts w:asciiTheme="minorHAnsi" w:hAnsiTheme="minorHAnsi" w:cstheme="minorHAnsi"/>
        </w:rPr>
        <w:t xml:space="preserve"> (</w:t>
      </w:r>
      <w:r w:rsidR="00E96371">
        <w:rPr>
          <w:rFonts w:asciiTheme="minorHAnsi" w:hAnsiTheme="minorHAnsi" w:cstheme="minorHAnsi"/>
        </w:rPr>
        <w:t xml:space="preserve">a </w:t>
      </w:r>
      <w:r w:rsidRPr="004F27C4">
        <w:rPr>
          <w:rFonts w:asciiTheme="minorHAnsi" w:hAnsiTheme="minorHAnsi" w:cstheme="minorHAnsi"/>
        </w:rPr>
        <w:t>measure of SES) was 180 but with the expansion to Big Picture, their FOEI has gone down to 100.</w:t>
      </w:r>
      <w:r w:rsidR="00DC6AE2">
        <w:rPr>
          <w:rStyle w:val="FootnoteReference"/>
          <w:rFonts w:asciiTheme="minorHAnsi" w:hAnsiTheme="minorHAnsi" w:cstheme="minorHAnsi"/>
        </w:rPr>
        <w:footnoteReference w:id="176"/>
      </w:r>
      <w:r w:rsidRPr="004F27C4">
        <w:rPr>
          <w:rFonts w:asciiTheme="minorHAnsi" w:hAnsiTheme="minorHAnsi" w:cstheme="minorHAnsi"/>
        </w:rPr>
        <w:t xml:space="preserve"> This means that they have lost $600</w:t>
      </w:r>
      <w:r w:rsidR="00691DCE">
        <w:rPr>
          <w:rFonts w:asciiTheme="minorHAnsi" w:hAnsiTheme="minorHAnsi" w:cstheme="minorHAnsi"/>
        </w:rPr>
        <w:t>,</w:t>
      </w:r>
      <w:r w:rsidRPr="004F27C4">
        <w:rPr>
          <w:rFonts w:asciiTheme="minorHAnsi" w:hAnsiTheme="minorHAnsi" w:cstheme="minorHAnsi"/>
        </w:rPr>
        <w:t>000 annually and the more affluent young people coming to the school have significant undiagnosed issues and it is costing the school more to support. This is a consequence of students of a higher SES from private and Catholic schools enrolling in the Big Picture design. Some travel many hours to get to the Big Picture program. It now has 150 students and 10 advisories (classes) drawing from across the Illawarra including elite private schools and Catholic colleges. As a result, they have moved from a low SES full cohort to a mixed SES group.</w:t>
      </w:r>
      <w:r>
        <w:rPr>
          <w:rFonts w:asciiTheme="minorHAnsi" w:hAnsiTheme="minorHAnsi" w:cstheme="minorHAnsi"/>
        </w:rPr>
        <w:t>”</w:t>
      </w:r>
      <w:r w:rsidR="00D67735">
        <w:rPr>
          <w:rStyle w:val="FootnoteReference"/>
          <w:rFonts w:asciiTheme="minorHAnsi" w:hAnsiTheme="minorHAnsi" w:cstheme="minorHAnsi"/>
        </w:rPr>
        <w:footnoteReference w:id="177"/>
      </w:r>
    </w:p>
    <w:p w14:paraId="6CB4BCBA" w14:textId="7250EB1B" w:rsidR="00D10B44" w:rsidRDefault="00D10B44" w:rsidP="00864450">
      <w:pPr>
        <w:rPr>
          <w:lang w:eastAsia="en-AU"/>
        </w:rPr>
      </w:pPr>
      <w:r w:rsidRPr="6EC71C90">
        <w:rPr>
          <w:rFonts w:asciiTheme="majorHAnsi" w:hAnsiTheme="majorHAnsi" w:cstheme="majorBidi"/>
          <w:lang w:eastAsia="en-AU"/>
        </w:rPr>
        <w:t>Te Kura</w:t>
      </w:r>
      <w:r w:rsidR="00B74275" w:rsidRPr="00D26530">
        <w:rPr>
          <w:lang w:eastAsia="en-AU"/>
        </w:rPr>
        <w:t xml:space="preserve"> has been evaluated by the NZ Ministry of Education, </w:t>
      </w:r>
      <w:r w:rsidR="00E56E03" w:rsidRPr="00D26530">
        <w:rPr>
          <w:lang w:eastAsia="en-AU"/>
        </w:rPr>
        <w:t xml:space="preserve">the schooling model is recognised as </w:t>
      </w:r>
      <w:r w:rsidR="00363A0E" w:rsidRPr="00D26530">
        <w:rPr>
          <w:lang w:eastAsia="en-AU"/>
        </w:rPr>
        <w:t>innovative</w:t>
      </w:r>
      <w:r w:rsidR="0064307B" w:rsidRPr="00D26530">
        <w:rPr>
          <w:lang w:eastAsia="en-AU"/>
        </w:rPr>
        <w:t xml:space="preserve"> in digital learning</w:t>
      </w:r>
      <w:r w:rsidR="00363A0E" w:rsidRPr="00D26530">
        <w:rPr>
          <w:lang w:eastAsia="en-AU"/>
        </w:rPr>
        <w:t xml:space="preserve">, </w:t>
      </w:r>
      <w:r w:rsidR="00C4750C" w:rsidRPr="00D26530">
        <w:rPr>
          <w:lang w:eastAsia="en-AU"/>
        </w:rPr>
        <w:t>proven adaptability during COVID-19 pandemic</w:t>
      </w:r>
      <w:r w:rsidR="00363A0E" w:rsidRPr="00D26530">
        <w:rPr>
          <w:lang w:eastAsia="en-AU"/>
        </w:rPr>
        <w:t xml:space="preserve">, </w:t>
      </w:r>
      <w:r w:rsidR="00547FB0" w:rsidRPr="00D26530">
        <w:rPr>
          <w:lang w:eastAsia="en-AU"/>
        </w:rPr>
        <w:t>and effective in student re-</w:t>
      </w:r>
      <w:r w:rsidR="004C5E3A" w:rsidRPr="00D26530">
        <w:rPr>
          <w:lang w:eastAsia="en-AU"/>
        </w:rPr>
        <w:t>engagement</w:t>
      </w:r>
      <w:r w:rsidR="009C7D92" w:rsidRPr="00D26530">
        <w:rPr>
          <w:lang w:eastAsia="en-AU"/>
        </w:rPr>
        <w:t xml:space="preserve"> </w:t>
      </w:r>
      <w:r w:rsidR="00C4750C" w:rsidRPr="00D26530">
        <w:rPr>
          <w:lang w:eastAsia="en-AU"/>
        </w:rPr>
        <w:t>as</w:t>
      </w:r>
      <w:r w:rsidR="00547FB0" w:rsidRPr="00D26530">
        <w:rPr>
          <w:lang w:eastAsia="en-AU"/>
        </w:rPr>
        <w:t xml:space="preserve"> </w:t>
      </w:r>
      <w:r w:rsidR="004C5E3A" w:rsidRPr="00D26530">
        <w:rPr>
          <w:lang w:eastAsia="en-AU"/>
        </w:rPr>
        <w:t>“</w:t>
      </w:r>
      <w:r w:rsidR="009C7D92" w:rsidRPr="00D26530">
        <w:rPr>
          <w:lang w:eastAsia="en-AU"/>
        </w:rPr>
        <w:t>o</w:t>
      </w:r>
      <w:r w:rsidR="004C5E3A" w:rsidRPr="00D26530">
        <w:rPr>
          <w:lang w:eastAsia="en-AU"/>
        </w:rPr>
        <w:t>ngoing modest gains</w:t>
      </w:r>
      <w:r w:rsidR="00D11686" w:rsidRPr="00D26530">
        <w:rPr>
          <w:lang w:eastAsia="en-AU"/>
        </w:rPr>
        <w:t xml:space="preserve"> in student </w:t>
      </w:r>
      <w:r w:rsidR="006C02AD" w:rsidRPr="00D26530">
        <w:rPr>
          <w:lang w:eastAsia="en-AU"/>
        </w:rPr>
        <w:t xml:space="preserve">engagement and achievement </w:t>
      </w:r>
      <w:r w:rsidR="00610C27" w:rsidRPr="00D26530">
        <w:rPr>
          <w:lang w:eastAsia="en-AU"/>
        </w:rPr>
        <w:t>can be seen across the school</w:t>
      </w:r>
      <w:r w:rsidR="009C7D92" w:rsidRPr="00D26530">
        <w:rPr>
          <w:lang w:eastAsia="en-AU"/>
        </w:rPr>
        <w:t>”.</w:t>
      </w:r>
      <w:r w:rsidR="009C7D92" w:rsidRPr="00D26530">
        <w:rPr>
          <w:rStyle w:val="FootnoteReference"/>
          <w:lang w:eastAsia="en-AU"/>
        </w:rPr>
        <w:footnoteReference w:id="178"/>
      </w:r>
      <w:r w:rsidR="00610C27">
        <w:rPr>
          <w:lang w:eastAsia="en-AU"/>
        </w:rPr>
        <w:t xml:space="preserve"> </w:t>
      </w:r>
    </w:p>
    <w:p w14:paraId="4868FD59" w14:textId="482B72DD" w:rsidR="000F0696" w:rsidRDefault="00A51DF3" w:rsidP="00E07876">
      <w:pPr>
        <w:pStyle w:val="Heading3"/>
      </w:pPr>
      <w:r>
        <w:t>E</w:t>
      </w:r>
      <w:r w:rsidR="000F0696">
        <w:t>vidence base</w:t>
      </w:r>
      <w:r w:rsidR="00EF5BBB">
        <w:t xml:space="preserve"> </w:t>
      </w:r>
    </w:p>
    <w:p w14:paraId="6BFFEAC3" w14:textId="3F122D29" w:rsidR="00384A40" w:rsidRDefault="00B34FC6" w:rsidP="000F0696">
      <w:pPr>
        <w:rPr>
          <w:lang w:eastAsia="en-AU"/>
        </w:rPr>
      </w:pPr>
      <w:r>
        <w:rPr>
          <w:lang w:eastAsia="en-AU"/>
        </w:rPr>
        <w:t xml:space="preserve">The evidence on </w:t>
      </w:r>
      <w:r w:rsidR="00B836B8">
        <w:rPr>
          <w:lang w:eastAsia="en-AU"/>
        </w:rPr>
        <w:t>these alternative models</w:t>
      </w:r>
      <w:r w:rsidR="0009692C">
        <w:rPr>
          <w:lang w:eastAsia="en-AU"/>
        </w:rPr>
        <w:t xml:space="preserve"> of learning, </w:t>
      </w:r>
      <w:r w:rsidR="001F3F41">
        <w:rPr>
          <w:lang w:eastAsia="en-AU"/>
        </w:rPr>
        <w:t>assessment,</w:t>
      </w:r>
      <w:r w:rsidR="0009692C">
        <w:rPr>
          <w:lang w:eastAsia="en-AU"/>
        </w:rPr>
        <w:t xml:space="preserve"> and delivery</w:t>
      </w:r>
      <w:r w:rsidR="00B836B8">
        <w:rPr>
          <w:lang w:eastAsia="en-AU"/>
        </w:rPr>
        <w:t xml:space="preserve">, though encouraging, is </w:t>
      </w:r>
      <w:r w:rsidR="0009692C">
        <w:rPr>
          <w:lang w:eastAsia="en-AU"/>
        </w:rPr>
        <w:t>inconsistent</w:t>
      </w:r>
      <w:r w:rsidR="00B836B8">
        <w:rPr>
          <w:lang w:eastAsia="en-AU"/>
        </w:rPr>
        <w:t>.</w:t>
      </w:r>
      <w:r>
        <w:rPr>
          <w:lang w:eastAsia="en-AU"/>
        </w:rPr>
        <w:t xml:space="preserve"> </w:t>
      </w:r>
      <w:r w:rsidR="000E4016">
        <w:rPr>
          <w:lang w:eastAsia="en-AU"/>
        </w:rPr>
        <w:t>In particular, we have yet to see accumulated evidence of the impact on outcomes of deploying different models of learning recognition that value a broader range of knowledge and skills.</w:t>
      </w:r>
      <w:r w:rsidR="000E4016">
        <w:rPr>
          <w:rStyle w:val="FootnoteReference"/>
          <w:lang w:eastAsia="en-AU"/>
        </w:rPr>
        <w:footnoteReference w:id="179"/>
      </w:r>
      <w:r w:rsidR="000E4016">
        <w:rPr>
          <w:lang w:eastAsia="en-AU"/>
        </w:rPr>
        <w:t xml:space="preserve"> </w:t>
      </w:r>
    </w:p>
    <w:p w14:paraId="58C2104B" w14:textId="6FD490AA" w:rsidR="00110D14" w:rsidRDefault="00E9048D" w:rsidP="000F0696">
      <w:pPr>
        <w:rPr>
          <w:lang w:eastAsia="en-AU"/>
        </w:rPr>
      </w:pPr>
      <w:r>
        <w:rPr>
          <w:lang w:eastAsia="en-AU"/>
        </w:rPr>
        <w:t>Further, m</w:t>
      </w:r>
      <w:r w:rsidR="00384A40">
        <w:rPr>
          <w:lang w:eastAsia="en-AU"/>
        </w:rPr>
        <w:t xml:space="preserve">odels </w:t>
      </w:r>
      <w:r w:rsidR="00D36DA6">
        <w:rPr>
          <w:lang w:eastAsia="en-AU"/>
        </w:rPr>
        <w:t>such as Aurora College and VVLN</w:t>
      </w:r>
      <w:r w:rsidR="00384A40">
        <w:rPr>
          <w:lang w:eastAsia="en-AU"/>
        </w:rPr>
        <w:t xml:space="preserve"> are hard to </w:t>
      </w:r>
      <w:r w:rsidR="00D36DA6">
        <w:rPr>
          <w:lang w:eastAsia="en-AU"/>
        </w:rPr>
        <w:t>assess in terms of academic outcomes for the student participants</w:t>
      </w:r>
      <w:r w:rsidR="009A5385">
        <w:rPr>
          <w:lang w:eastAsia="en-AU"/>
        </w:rPr>
        <w:t xml:space="preserve"> as</w:t>
      </w:r>
      <w:r w:rsidR="00110D14">
        <w:rPr>
          <w:lang w:eastAsia="en-AU"/>
        </w:rPr>
        <w:t xml:space="preserve"> their information </w:t>
      </w:r>
      <w:r w:rsidR="00D36DA6">
        <w:rPr>
          <w:lang w:eastAsia="en-AU"/>
        </w:rPr>
        <w:t xml:space="preserve">is included in </w:t>
      </w:r>
      <w:r w:rsidR="00110D14">
        <w:rPr>
          <w:lang w:eastAsia="en-AU"/>
        </w:rPr>
        <w:t xml:space="preserve">the </w:t>
      </w:r>
      <w:r w:rsidR="00D36DA6">
        <w:rPr>
          <w:lang w:eastAsia="en-AU"/>
        </w:rPr>
        <w:t xml:space="preserve">results </w:t>
      </w:r>
      <w:r w:rsidR="00110D14">
        <w:rPr>
          <w:lang w:eastAsia="en-AU"/>
        </w:rPr>
        <w:t xml:space="preserve">of their various ‘home’ schools. </w:t>
      </w:r>
    </w:p>
    <w:p w14:paraId="264DC335" w14:textId="4BB3BB98" w:rsidR="000F0696" w:rsidRPr="00301A6F" w:rsidRDefault="00A51DF3" w:rsidP="0034746A">
      <w:pPr>
        <w:pStyle w:val="Heading3"/>
      </w:pPr>
      <w:r>
        <w:lastRenderedPageBreak/>
        <w:t>Transferability</w:t>
      </w:r>
    </w:p>
    <w:p w14:paraId="20ECE642" w14:textId="6060D726" w:rsidR="00F4327D" w:rsidRDefault="00F4327D" w:rsidP="0034746A">
      <w:pPr>
        <w:pStyle w:val="Listnumbered"/>
        <w:ind w:left="340" w:hanging="340"/>
      </w:pPr>
      <w:r>
        <w:rPr>
          <w:noProof/>
        </w:rPr>
        <w:drawing>
          <wp:inline distT="0" distB="0" distL="0" distR="0" wp14:anchorId="7E2AAEBC" wp14:editId="791F884B">
            <wp:extent cx="5670550" cy="1671141"/>
            <wp:effectExtent l="0" t="0" r="6350" b="5715"/>
            <wp:docPr id="1012059845" name="Picture 1012059845" descr="Lists the dimensions of transferability to the Australian context, with a high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59845" name="Picture 1012059845" descr="Lists the dimensions of transferability to the Australian context, with a high level of transferability to Australia. "/>
                    <pic:cNvPicPr/>
                  </pic:nvPicPr>
                  <pic:blipFill>
                    <a:blip r:embed="rId39">
                      <a:extLst>
                        <a:ext uri="{28A0092B-C50C-407E-A947-70E740481C1C}">
                          <a14:useLocalDpi xmlns:a14="http://schemas.microsoft.com/office/drawing/2010/main" val="0"/>
                        </a:ext>
                      </a:extLst>
                    </a:blip>
                    <a:stretch>
                      <a:fillRect/>
                    </a:stretch>
                  </pic:blipFill>
                  <pic:spPr>
                    <a:xfrm>
                      <a:off x="0" y="0"/>
                      <a:ext cx="5670550" cy="1671141"/>
                    </a:xfrm>
                    <a:prstGeom prst="rect">
                      <a:avLst/>
                    </a:prstGeom>
                  </pic:spPr>
                </pic:pic>
              </a:graphicData>
            </a:graphic>
          </wp:inline>
        </w:drawing>
      </w:r>
    </w:p>
    <w:p w14:paraId="3A924C7E" w14:textId="36F36095" w:rsidR="00895695" w:rsidRDefault="00F879D3" w:rsidP="00F95A0C">
      <w:pPr>
        <w:rPr>
          <w:lang w:eastAsia="en-AU"/>
        </w:rPr>
      </w:pPr>
      <w:r w:rsidRPr="006E45A5">
        <w:t>T</w:t>
      </w:r>
      <w:r>
        <w:rPr>
          <w:lang w:eastAsia="en-AU"/>
        </w:rPr>
        <w:t>he</w:t>
      </w:r>
      <w:r w:rsidR="00753519">
        <w:rPr>
          <w:lang w:eastAsia="en-AU"/>
        </w:rPr>
        <w:t xml:space="preserve"> presence of these </w:t>
      </w:r>
      <w:r w:rsidR="000622D3">
        <w:rPr>
          <w:lang w:eastAsia="en-AU"/>
        </w:rPr>
        <w:t>alternative</w:t>
      </w:r>
      <w:r w:rsidR="00753519">
        <w:rPr>
          <w:lang w:eastAsia="en-AU"/>
        </w:rPr>
        <w:t xml:space="preserve"> learning</w:t>
      </w:r>
      <w:r w:rsidR="0019021D">
        <w:rPr>
          <w:lang w:eastAsia="en-AU"/>
        </w:rPr>
        <w:t>, assessment and delivery</w:t>
      </w:r>
      <w:r w:rsidR="00753519">
        <w:rPr>
          <w:lang w:eastAsia="en-AU"/>
        </w:rPr>
        <w:t xml:space="preserve"> </w:t>
      </w:r>
      <w:r w:rsidR="000622D3">
        <w:rPr>
          <w:lang w:eastAsia="en-AU"/>
        </w:rPr>
        <w:t>models</w:t>
      </w:r>
      <w:r w:rsidR="00753519">
        <w:rPr>
          <w:lang w:eastAsia="en-AU"/>
        </w:rPr>
        <w:t xml:space="preserve"> in Australia indicates their feasibility</w:t>
      </w:r>
      <w:r w:rsidR="003E0BC0">
        <w:rPr>
          <w:lang w:eastAsia="en-AU"/>
        </w:rPr>
        <w:t xml:space="preserve"> in metro and regional locat</w:t>
      </w:r>
      <w:r w:rsidR="000622D3">
        <w:rPr>
          <w:lang w:eastAsia="en-AU"/>
        </w:rPr>
        <w:t>i</w:t>
      </w:r>
      <w:r w:rsidR="003E0BC0">
        <w:rPr>
          <w:lang w:eastAsia="en-AU"/>
        </w:rPr>
        <w:t>ons</w:t>
      </w:r>
      <w:r w:rsidR="00A3112D">
        <w:rPr>
          <w:lang w:eastAsia="en-AU"/>
        </w:rPr>
        <w:t xml:space="preserve">. </w:t>
      </w:r>
      <w:r w:rsidR="00C96990">
        <w:rPr>
          <w:lang w:eastAsia="en-AU"/>
        </w:rPr>
        <w:t>As noted, one jurisdiction is already trialling a broader learning recognition system</w:t>
      </w:r>
      <w:r w:rsidR="00FC2541">
        <w:rPr>
          <w:lang w:eastAsia="en-AU"/>
        </w:rPr>
        <w:t xml:space="preserve">, and </w:t>
      </w:r>
      <w:r w:rsidR="00C96990">
        <w:rPr>
          <w:lang w:eastAsia="en-AU"/>
        </w:rPr>
        <w:t xml:space="preserve">the </w:t>
      </w:r>
      <w:r w:rsidR="00FC2541">
        <w:rPr>
          <w:lang w:eastAsia="en-AU"/>
        </w:rPr>
        <w:t>number of schools employing this type of innovation (which includes not only the cluster of New Metrics schools but also</w:t>
      </w:r>
      <w:r w:rsidR="00830D69">
        <w:rPr>
          <w:lang w:eastAsia="en-AU"/>
        </w:rPr>
        <w:t xml:space="preserve"> Big Picture</w:t>
      </w:r>
      <w:r w:rsidR="00FC2541">
        <w:rPr>
          <w:lang w:eastAsia="en-AU"/>
        </w:rPr>
        <w:t xml:space="preserve"> schools, which have their own internationally</w:t>
      </w:r>
      <w:r w:rsidR="00895695">
        <w:rPr>
          <w:lang w:eastAsia="en-AU"/>
        </w:rPr>
        <w:t xml:space="preserve"> </w:t>
      </w:r>
      <w:r w:rsidR="00FC2541">
        <w:rPr>
          <w:lang w:eastAsia="en-AU"/>
        </w:rPr>
        <w:t>recognised certification</w:t>
      </w:r>
      <w:r w:rsidR="00A3112D">
        <w:rPr>
          <w:lang w:eastAsia="en-AU"/>
        </w:rPr>
        <w:t xml:space="preserve"> for graduating students) is growing</w:t>
      </w:r>
      <w:r w:rsidR="00322289">
        <w:rPr>
          <w:lang w:eastAsia="en-AU"/>
        </w:rPr>
        <w:t xml:space="preserve">. </w:t>
      </w:r>
      <w:r w:rsidR="00A3112D">
        <w:rPr>
          <w:lang w:eastAsia="en-AU"/>
        </w:rPr>
        <w:t>The costs involved are relatively low</w:t>
      </w:r>
      <w:r w:rsidR="00D06933">
        <w:rPr>
          <w:lang w:eastAsia="en-AU"/>
        </w:rPr>
        <w:t>,</w:t>
      </w:r>
      <w:r w:rsidR="00A3112D">
        <w:rPr>
          <w:rStyle w:val="FootnoteReference"/>
          <w:lang w:eastAsia="en-AU"/>
        </w:rPr>
        <w:footnoteReference w:id="180"/>
      </w:r>
      <w:r w:rsidR="00A3112D">
        <w:rPr>
          <w:lang w:eastAsia="en-AU"/>
        </w:rPr>
        <w:t xml:space="preserve"> </w:t>
      </w:r>
      <w:r w:rsidR="005D70C0">
        <w:rPr>
          <w:lang w:eastAsia="en-AU"/>
        </w:rPr>
        <w:t xml:space="preserve">though investment is required in new forms of pedagogy </w:t>
      </w:r>
      <w:r w:rsidR="00A3112D">
        <w:rPr>
          <w:lang w:eastAsia="en-AU"/>
        </w:rPr>
        <w:t xml:space="preserve">and </w:t>
      </w:r>
      <w:r w:rsidR="005D70C0">
        <w:rPr>
          <w:lang w:eastAsia="en-AU"/>
        </w:rPr>
        <w:t>assessment.</w:t>
      </w:r>
      <w:r w:rsidR="008070CB">
        <w:rPr>
          <w:lang w:eastAsia="en-AU"/>
        </w:rPr>
        <w:t xml:space="preserve"> </w:t>
      </w:r>
    </w:p>
    <w:p w14:paraId="7D0BA422" w14:textId="77777777" w:rsidR="0027228D" w:rsidRDefault="00CA5EB1" w:rsidP="00F95A0C">
      <w:pPr>
        <w:rPr>
          <w:lang w:eastAsia="en-AU"/>
        </w:rPr>
      </w:pPr>
      <w:r w:rsidRPr="0086054F">
        <w:rPr>
          <w:lang w:eastAsia="en-AU"/>
        </w:rPr>
        <w:t xml:space="preserve">There is unlikely to be any significant political risk in </w:t>
      </w:r>
      <w:r w:rsidR="0027228D">
        <w:rPr>
          <w:lang w:eastAsia="en-AU"/>
        </w:rPr>
        <w:t>opening-up</w:t>
      </w:r>
      <w:r w:rsidR="00895695">
        <w:rPr>
          <w:lang w:eastAsia="en-AU"/>
        </w:rPr>
        <w:t xml:space="preserve"> access to these alternative models</w:t>
      </w:r>
      <w:r w:rsidR="0027228D">
        <w:rPr>
          <w:lang w:eastAsia="en-AU"/>
        </w:rPr>
        <w:t>. A key implementation concern, however, is to ensure that the focus is on supporting schools with a concentration of disadvantage that may be vulnerable to the ‘residualisation’ phenomenon.</w:t>
      </w:r>
    </w:p>
    <w:p w14:paraId="2ABACCB7" w14:textId="6A040ED5" w:rsidR="00863B7F" w:rsidRDefault="0027228D" w:rsidP="00F95A0C">
      <w:pPr>
        <w:rPr>
          <w:lang w:eastAsia="en-AU"/>
        </w:rPr>
      </w:pPr>
      <w:r>
        <w:rPr>
          <w:lang w:eastAsia="en-AU"/>
        </w:rPr>
        <w:t xml:space="preserve">The downsides of expanding their presence seem few in number, </w:t>
      </w:r>
      <w:r w:rsidR="00D82DE6">
        <w:rPr>
          <w:lang w:eastAsia="en-AU"/>
        </w:rPr>
        <w:t>especially when considering the students who are at high risk of disengaging from learning, though it would be important to establish stronger evidence about impacts to</w:t>
      </w:r>
      <w:r w:rsidR="00B400E6">
        <w:rPr>
          <w:lang w:eastAsia="en-AU"/>
        </w:rPr>
        <w:t xml:space="preserve"> build</w:t>
      </w:r>
      <w:r w:rsidR="000D6F5E">
        <w:rPr>
          <w:lang w:eastAsia="en-AU"/>
        </w:rPr>
        <w:t xml:space="preserve"> a </w:t>
      </w:r>
      <w:r w:rsidR="00B400E6">
        <w:rPr>
          <w:lang w:eastAsia="en-AU"/>
        </w:rPr>
        <w:t>truly compelling argument</w:t>
      </w:r>
      <w:r w:rsidR="008070CB">
        <w:rPr>
          <w:lang w:eastAsia="en-AU"/>
        </w:rPr>
        <w:t xml:space="preserve"> for </w:t>
      </w:r>
      <w:r w:rsidR="00B400E6">
        <w:rPr>
          <w:lang w:eastAsia="en-AU"/>
        </w:rPr>
        <w:t>adopting the models at scale in Australia</w:t>
      </w:r>
      <w:r w:rsidR="000D6F5E">
        <w:rPr>
          <w:lang w:eastAsia="en-AU"/>
        </w:rPr>
        <w:t xml:space="preserve">. </w:t>
      </w:r>
    </w:p>
    <w:p w14:paraId="10794D8E" w14:textId="18A0F171" w:rsidR="001C6857" w:rsidRDefault="001C6857">
      <w:pPr>
        <w:spacing w:after="160"/>
        <w:rPr>
          <w:lang w:eastAsia="en-AU"/>
        </w:rPr>
      </w:pPr>
      <w:r>
        <w:rPr>
          <w:lang w:eastAsia="en-AU"/>
        </w:rPr>
        <w:br w:type="page"/>
      </w:r>
    </w:p>
    <w:tbl>
      <w:tblPr>
        <w:tblStyle w:val="TableGrid"/>
        <w:tblW w:w="0" w:type="auto"/>
        <w:tblBorders>
          <w:left w:val="single" w:sz="18" w:space="0" w:color="F8981D" w:themeColor="accent3"/>
          <w:right w:val="single" w:sz="18" w:space="0" w:color="F8981D" w:themeColor="accent3"/>
          <w:insideH w:val="none" w:sz="0" w:space="0" w:color="auto"/>
          <w:insideV w:val="none" w:sz="0" w:space="0" w:color="auto"/>
        </w:tblBorders>
        <w:shd w:val="clear" w:color="auto" w:fill="00264D" w:themeFill="background2"/>
        <w:tblLook w:val="04A0" w:firstRow="1" w:lastRow="0" w:firstColumn="1" w:lastColumn="0" w:noHBand="0" w:noVBand="1"/>
      </w:tblPr>
      <w:tblGrid>
        <w:gridCol w:w="9185"/>
      </w:tblGrid>
      <w:tr w:rsidR="00EC3356" w14:paraId="1148F4B2" w14:textId="77777777" w:rsidTr="00EC3356">
        <w:tc>
          <w:tcPr>
            <w:tcW w:w="9401" w:type="dxa"/>
            <w:tcBorders>
              <w:top w:val="single" w:sz="24" w:space="0" w:color="0070C0"/>
              <w:left w:val="nil"/>
              <w:bottom w:val="nil"/>
              <w:right w:val="nil"/>
            </w:tcBorders>
            <w:shd w:val="clear" w:color="auto" w:fill="E6E6E1" w:themeFill="accent5"/>
            <w:vAlign w:val="center"/>
          </w:tcPr>
          <w:p w14:paraId="23911E6D" w14:textId="00FB71A6" w:rsidR="00EC3356" w:rsidRDefault="00EC3356" w:rsidP="00EC3356">
            <w:pPr>
              <w:pStyle w:val="Heading2"/>
              <w:spacing w:before="120" w:after="120" w:line="240" w:lineRule="auto"/>
              <w:ind w:left="578" w:hanging="578"/>
            </w:pPr>
            <w:bookmarkStart w:id="32" w:name="_Ref149045145"/>
            <w:bookmarkStart w:id="33" w:name="_Toc149052458"/>
            <w:r w:rsidRPr="00735EC6">
              <w:lastRenderedPageBreak/>
              <w:t xml:space="preserve">Networked </w:t>
            </w:r>
            <w:r>
              <w:t xml:space="preserve">schools and </w:t>
            </w:r>
            <w:r w:rsidRPr="00735EC6">
              <w:t xml:space="preserve">teaching capacity </w:t>
            </w:r>
            <w:r>
              <w:t>exchange</w:t>
            </w:r>
            <w:bookmarkEnd w:id="32"/>
            <w:bookmarkEnd w:id="33"/>
            <w:r w:rsidRPr="00735EC6">
              <w:t xml:space="preserve"> </w:t>
            </w:r>
          </w:p>
        </w:tc>
      </w:tr>
      <w:tr w:rsidR="00EC3356" w14:paraId="4D674F97" w14:textId="77777777" w:rsidTr="00EC3356">
        <w:tc>
          <w:tcPr>
            <w:tcW w:w="9401" w:type="dxa"/>
            <w:tcBorders>
              <w:top w:val="nil"/>
              <w:left w:val="nil"/>
              <w:bottom w:val="single" w:sz="4" w:space="0" w:color="0070C0"/>
              <w:right w:val="nil"/>
            </w:tcBorders>
            <w:shd w:val="clear" w:color="auto" w:fill="F2F2F2" w:themeFill="background1" w:themeFillShade="F2"/>
            <w:tcMar>
              <w:top w:w="113" w:type="dxa"/>
            </w:tcMar>
            <w:vAlign w:val="bottom"/>
          </w:tcPr>
          <w:p w14:paraId="36E013E0" w14:textId="77777777" w:rsidR="00EC3356" w:rsidRPr="00130948" w:rsidRDefault="00EC3356" w:rsidP="00EC3356">
            <w:r>
              <w:rPr>
                <w:noProof/>
              </w:rPr>
              <w:drawing>
                <wp:inline distT="0" distB="0" distL="0" distR="0" wp14:anchorId="0F653E2F" wp14:editId="49BCA84C">
                  <wp:extent cx="3496227" cy="268063"/>
                  <wp:effectExtent l="0" t="0" r="0" b="0"/>
                  <wp:docPr id="512065643" name="Picture 5120656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65643" name="Picture 512065643">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3496227" cy="268063"/>
                          </a:xfrm>
                          <a:prstGeom prst="rect">
                            <a:avLst/>
                          </a:prstGeom>
                        </pic:spPr>
                      </pic:pic>
                    </a:graphicData>
                  </a:graphic>
                </wp:inline>
              </w:drawing>
            </w:r>
          </w:p>
        </w:tc>
      </w:tr>
    </w:tbl>
    <w:p w14:paraId="4ABBEC49" w14:textId="77777777" w:rsidR="00830A69" w:rsidRDefault="00830A69" w:rsidP="00830A69">
      <w:pPr>
        <w:rPr>
          <w:lang w:eastAsia="en-AU"/>
        </w:rPr>
      </w:pPr>
    </w:p>
    <w:p w14:paraId="64547DBF" w14:textId="0633B5CC" w:rsidR="002D5BFB" w:rsidRDefault="00830A69" w:rsidP="00830A69">
      <w:r w:rsidRPr="00830A69">
        <w:t xml:space="preserve">Capacity sharing occurs when two or more schools </w:t>
      </w:r>
      <w:r w:rsidR="00A4148F">
        <w:t>pool resources</w:t>
      </w:r>
      <w:r w:rsidR="00093771">
        <w:t>, share facilities</w:t>
      </w:r>
      <w:r w:rsidR="003033FC">
        <w:t>,</w:t>
      </w:r>
      <w:r w:rsidR="00547DD7">
        <w:t xml:space="preserve"> </w:t>
      </w:r>
      <w:r w:rsidRPr="00830A69">
        <w:t>collaborate in professional learning communities</w:t>
      </w:r>
      <w:r w:rsidR="00AB3560">
        <w:t xml:space="preserve"> </w:t>
      </w:r>
      <w:r w:rsidR="003033FC">
        <w:t>and/</w:t>
      </w:r>
      <w:r w:rsidR="008410F9">
        <w:t>or</w:t>
      </w:r>
      <w:r w:rsidRPr="00830A69">
        <w:t xml:space="preserve"> share responsibility for the delivery of curriculum. </w:t>
      </w:r>
      <w:r w:rsidR="001F3C48">
        <w:t>Such</w:t>
      </w:r>
      <w:r w:rsidRPr="00830A69">
        <w:t xml:space="preserve"> arrangements enable teachers and school leaders to move between schools, </w:t>
      </w:r>
      <w:r w:rsidR="00322289" w:rsidRPr="00830A69">
        <w:t>and</w:t>
      </w:r>
      <w:r w:rsidRPr="00830A69">
        <w:t xml:space="preserve"> </w:t>
      </w:r>
      <w:r w:rsidR="003033FC">
        <w:t xml:space="preserve">to </w:t>
      </w:r>
      <w:r w:rsidRPr="00830A69">
        <w:t xml:space="preserve">bring students from different schools and backgrounds together to </w:t>
      </w:r>
      <w:r w:rsidR="001E7FD3">
        <w:t>take part</w:t>
      </w:r>
      <w:r w:rsidRPr="00830A69">
        <w:t xml:space="preserve"> in common curricular and co-curricular activities. Accordingly, the</w:t>
      </w:r>
      <w:r w:rsidR="001E7FD3">
        <w:t xml:space="preserve">y can serve to improve the experience and outcomes for </w:t>
      </w:r>
      <w:r w:rsidR="006C6B9D">
        <w:t>students in schools where there are concentrations of disadvantage, m</w:t>
      </w:r>
      <w:r w:rsidR="00235FAA">
        <w:t>itigating the risk of ‘flight’ to other school</w:t>
      </w:r>
      <w:r w:rsidR="00332EDD">
        <w:t xml:space="preserve">s and </w:t>
      </w:r>
      <w:r w:rsidR="00732DA7">
        <w:t xml:space="preserve">attracting more students from higher-SES backgrounds. In other words, the outcome over time might see also a ‘capacity exchange’ of students as well as of teachers and school resources more broadly. </w:t>
      </w:r>
    </w:p>
    <w:p w14:paraId="2FD2483F" w14:textId="77777777" w:rsidR="00830A69" w:rsidRDefault="009D1861" w:rsidP="009D1861">
      <w:pPr>
        <w:pStyle w:val="Heading3"/>
      </w:pPr>
      <w:r>
        <w:t xml:space="preserve">Operation and objectives </w:t>
      </w:r>
    </w:p>
    <w:p w14:paraId="312A6444" w14:textId="3EEE06E0" w:rsidR="00792BC7" w:rsidRDefault="00767336" w:rsidP="00792BC7">
      <w:pPr>
        <w:rPr>
          <w:lang w:eastAsia="en-AU"/>
        </w:rPr>
      </w:pPr>
      <w:r>
        <w:rPr>
          <w:lang w:eastAsia="en-AU"/>
        </w:rPr>
        <w:t>I</w:t>
      </w:r>
      <w:r w:rsidR="00792BC7">
        <w:rPr>
          <w:lang w:eastAsia="en-AU"/>
        </w:rPr>
        <w:t xml:space="preserve">n </w:t>
      </w:r>
      <w:r w:rsidR="0037016F">
        <w:rPr>
          <w:rFonts w:asciiTheme="majorHAnsi" w:hAnsiTheme="majorHAnsi" w:cstheme="majorHAnsi"/>
          <w:lang w:eastAsia="en-AU"/>
        </w:rPr>
        <w:t>England</w:t>
      </w:r>
      <w:r w:rsidR="00792BC7">
        <w:rPr>
          <w:lang w:eastAsia="en-AU"/>
        </w:rPr>
        <w:t xml:space="preserve">, Academy schools, which are fully publicly funded but independently operated, have increasingly </w:t>
      </w:r>
      <w:r w:rsidR="00137E79">
        <w:rPr>
          <w:lang w:eastAsia="en-AU"/>
        </w:rPr>
        <w:t>been brought</w:t>
      </w:r>
      <w:r w:rsidR="00792BC7">
        <w:rPr>
          <w:lang w:eastAsia="en-AU"/>
        </w:rPr>
        <w:t xml:space="preserve"> under the control of trusts</w:t>
      </w:r>
      <w:r w:rsidR="00F76835">
        <w:rPr>
          <w:lang w:eastAsia="en-AU"/>
        </w:rPr>
        <w:t xml:space="preserve"> </w:t>
      </w:r>
      <w:r w:rsidR="00BD53C2">
        <w:rPr>
          <w:lang w:eastAsia="en-AU"/>
        </w:rPr>
        <w:t>–</w:t>
      </w:r>
      <w:r w:rsidR="00F76835">
        <w:rPr>
          <w:lang w:eastAsia="en-AU"/>
        </w:rPr>
        <w:t xml:space="preserve"> </w:t>
      </w:r>
      <w:r w:rsidR="00792BC7">
        <w:rPr>
          <w:lang w:eastAsia="en-AU"/>
        </w:rPr>
        <w:t xml:space="preserve">non-profit companies that operate under funding agreements with the Secretary of State for Education. </w:t>
      </w:r>
      <w:r w:rsidR="00B357A9">
        <w:rPr>
          <w:lang w:eastAsia="en-AU"/>
        </w:rPr>
        <w:t>These ‘Multi-Academy Trusts’ (MATs) are now responsible for over a third of all schools in England, educating around half of all students.</w:t>
      </w:r>
      <w:r w:rsidR="00B357A9">
        <w:rPr>
          <w:rStyle w:val="FootnoteReference"/>
          <w:lang w:eastAsia="en-AU"/>
        </w:rPr>
        <w:footnoteReference w:id="181"/>
      </w:r>
      <w:r w:rsidR="00B357A9">
        <w:rPr>
          <w:lang w:eastAsia="en-AU"/>
        </w:rPr>
        <w:t xml:space="preserve"> </w:t>
      </w:r>
      <w:r w:rsidR="00F37651">
        <w:rPr>
          <w:lang w:eastAsia="en-AU"/>
        </w:rPr>
        <w:t>According to</w:t>
      </w:r>
      <w:r w:rsidR="0052381B">
        <w:rPr>
          <w:lang w:eastAsia="en-AU"/>
        </w:rPr>
        <w:t xml:space="preserve"> a</w:t>
      </w:r>
      <w:r w:rsidR="00792BC7">
        <w:rPr>
          <w:lang w:eastAsia="en-AU"/>
        </w:rPr>
        <w:t xml:space="preserve"> 2022 Department for Education white paper</w:t>
      </w:r>
      <w:r w:rsidR="00F37651">
        <w:rPr>
          <w:lang w:eastAsia="en-AU"/>
        </w:rPr>
        <w:t>, the broad intent was to see each MAT</w:t>
      </w:r>
      <w:r w:rsidR="00792BC7">
        <w:rPr>
          <w:lang w:eastAsia="en-AU"/>
        </w:rPr>
        <w:t xml:space="preserve"> responsible for at least 10 schools. </w:t>
      </w:r>
      <w:r w:rsidR="00F37651">
        <w:rPr>
          <w:lang w:eastAsia="en-AU"/>
        </w:rPr>
        <w:t>At this stage,</w:t>
      </w:r>
      <w:r w:rsidR="00792BC7">
        <w:rPr>
          <w:lang w:eastAsia="en-AU"/>
        </w:rPr>
        <w:t xml:space="preserve"> around half of </w:t>
      </w:r>
      <w:r w:rsidR="00F37651">
        <w:rPr>
          <w:lang w:eastAsia="en-AU"/>
        </w:rPr>
        <w:t>the current MATs</w:t>
      </w:r>
      <w:r w:rsidR="00792BC7">
        <w:rPr>
          <w:lang w:eastAsia="en-AU"/>
        </w:rPr>
        <w:t xml:space="preserve"> are smaller than that.</w:t>
      </w:r>
      <w:r>
        <w:rPr>
          <w:rStyle w:val="FootnoteReference"/>
          <w:lang w:eastAsia="en-AU"/>
        </w:rPr>
        <w:footnoteReference w:id="182"/>
      </w:r>
    </w:p>
    <w:p w14:paraId="42555434" w14:textId="77777777" w:rsidR="009A0FBF" w:rsidRDefault="00792BC7" w:rsidP="00792BC7">
      <w:pPr>
        <w:rPr>
          <w:lang w:eastAsia="en-AU"/>
        </w:rPr>
      </w:pPr>
      <w:r>
        <w:rPr>
          <w:lang w:eastAsia="en-AU"/>
        </w:rPr>
        <w:t>MATS seek to</w:t>
      </w:r>
      <w:r w:rsidR="009A0FBF">
        <w:rPr>
          <w:lang w:eastAsia="en-AU"/>
        </w:rPr>
        <w:t>:</w:t>
      </w:r>
    </w:p>
    <w:p w14:paraId="5E8C1E03" w14:textId="79DC4E1F" w:rsidR="009A0FBF" w:rsidRDefault="007D6A70" w:rsidP="00E45BFE">
      <w:pPr>
        <w:pStyle w:val="ListParagraph"/>
        <w:numPr>
          <w:ilvl w:val="0"/>
          <w:numId w:val="26"/>
        </w:numPr>
        <w:rPr>
          <w:lang w:eastAsia="en-AU"/>
        </w:rPr>
      </w:pPr>
      <w:r>
        <w:rPr>
          <w:lang w:eastAsia="en-AU"/>
        </w:rPr>
        <w:t>D</w:t>
      </w:r>
      <w:r w:rsidR="00792BC7">
        <w:rPr>
          <w:lang w:eastAsia="en-AU"/>
        </w:rPr>
        <w:t>eploy common approaches to curriculum, assessment and pedagogy between schools</w:t>
      </w:r>
    </w:p>
    <w:p w14:paraId="40685219" w14:textId="115EBAF8" w:rsidR="009A0FBF" w:rsidRDefault="007D6A70" w:rsidP="00E45BFE">
      <w:pPr>
        <w:pStyle w:val="ListParagraph"/>
        <w:numPr>
          <w:ilvl w:val="0"/>
          <w:numId w:val="26"/>
        </w:numPr>
        <w:rPr>
          <w:lang w:eastAsia="en-AU"/>
        </w:rPr>
      </w:pPr>
      <w:r>
        <w:rPr>
          <w:lang w:eastAsia="en-AU"/>
        </w:rPr>
        <w:t>B</w:t>
      </w:r>
      <w:r w:rsidR="00792BC7">
        <w:rPr>
          <w:lang w:eastAsia="en-AU"/>
        </w:rPr>
        <w:t>uild knowledge and expertise</w:t>
      </w:r>
    </w:p>
    <w:p w14:paraId="7D227054" w14:textId="3B21ECD3" w:rsidR="009A0FBF" w:rsidRDefault="007D6A70" w:rsidP="00E45BFE">
      <w:pPr>
        <w:pStyle w:val="ListParagraph"/>
        <w:numPr>
          <w:ilvl w:val="0"/>
          <w:numId w:val="26"/>
        </w:numPr>
        <w:rPr>
          <w:lang w:eastAsia="en-AU"/>
        </w:rPr>
      </w:pPr>
      <w:r>
        <w:rPr>
          <w:lang w:eastAsia="en-AU"/>
        </w:rPr>
        <w:t>I</w:t>
      </w:r>
      <w:r w:rsidR="00792BC7">
        <w:rPr>
          <w:lang w:eastAsia="en-AU"/>
        </w:rPr>
        <w:t xml:space="preserve">dentify and share successful practices. </w:t>
      </w:r>
    </w:p>
    <w:p w14:paraId="2D3C5242" w14:textId="77777777" w:rsidR="00A052A4" w:rsidRDefault="009A0FBF" w:rsidP="009A0FBF">
      <w:pPr>
        <w:rPr>
          <w:lang w:eastAsia="en-AU"/>
        </w:rPr>
      </w:pPr>
      <w:r>
        <w:rPr>
          <w:lang w:eastAsia="en-AU"/>
        </w:rPr>
        <w:t xml:space="preserve">In practice, the intent is to lift the performance of under-performing schools by matching them with schools further along the journey to excellence. </w:t>
      </w:r>
    </w:p>
    <w:p w14:paraId="7E2C7EAC" w14:textId="2E7C8845" w:rsidR="00EE0964" w:rsidRDefault="00A052A4" w:rsidP="009A0FBF">
      <w:pPr>
        <w:rPr>
          <w:lang w:eastAsia="en-AU"/>
        </w:rPr>
      </w:pPr>
      <w:r>
        <w:rPr>
          <w:lang w:eastAsia="en-AU"/>
        </w:rPr>
        <w:t xml:space="preserve">There are two types of </w:t>
      </w:r>
      <w:r w:rsidR="00CF2CC4">
        <w:rPr>
          <w:lang w:eastAsia="en-AU"/>
        </w:rPr>
        <w:t xml:space="preserve">academies in the MATs: </w:t>
      </w:r>
      <w:r w:rsidR="00EE0964">
        <w:rPr>
          <w:lang w:eastAsia="en-AU"/>
        </w:rPr>
        <w:t xml:space="preserve">sponsored </w:t>
      </w:r>
      <w:r w:rsidR="00A62C11">
        <w:rPr>
          <w:lang w:eastAsia="en-AU"/>
        </w:rPr>
        <w:t xml:space="preserve">academies, which are </w:t>
      </w:r>
      <w:r w:rsidR="00A62C11" w:rsidRPr="00A62C11">
        <w:rPr>
          <w:lang w:eastAsia="en-AU"/>
        </w:rPr>
        <w:t xml:space="preserve">compelled to </w:t>
      </w:r>
      <w:r w:rsidR="00BF5F04">
        <w:rPr>
          <w:lang w:eastAsia="en-AU"/>
        </w:rPr>
        <w:t>come</w:t>
      </w:r>
      <w:r w:rsidR="00A62C11" w:rsidRPr="00A62C11">
        <w:rPr>
          <w:lang w:eastAsia="en-AU"/>
        </w:rPr>
        <w:t xml:space="preserve"> under the </w:t>
      </w:r>
      <w:r w:rsidR="00BF5F04">
        <w:rPr>
          <w:lang w:eastAsia="en-AU"/>
        </w:rPr>
        <w:t>sponsorship</w:t>
      </w:r>
      <w:r w:rsidR="00A62C11" w:rsidRPr="00A62C11">
        <w:rPr>
          <w:lang w:eastAsia="en-AU"/>
        </w:rPr>
        <w:t xml:space="preserve"> of </w:t>
      </w:r>
      <w:r w:rsidR="00BF5F04">
        <w:rPr>
          <w:lang w:eastAsia="en-AU"/>
        </w:rPr>
        <w:t xml:space="preserve">a trust due to poor performance, and </w:t>
      </w:r>
      <w:r w:rsidR="00A62C11" w:rsidRPr="00A62C11">
        <w:rPr>
          <w:lang w:eastAsia="en-AU"/>
        </w:rPr>
        <w:t>converter academies</w:t>
      </w:r>
      <w:r w:rsidR="00BF5F04">
        <w:rPr>
          <w:lang w:eastAsia="en-AU"/>
        </w:rPr>
        <w:t>, which voluntar</w:t>
      </w:r>
      <w:r w:rsidR="002C67D8">
        <w:rPr>
          <w:lang w:eastAsia="en-AU"/>
        </w:rPr>
        <w:t>il</w:t>
      </w:r>
      <w:r w:rsidR="00BF5F04">
        <w:rPr>
          <w:lang w:eastAsia="en-AU"/>
        </w:rPr>
        <w:t>y apply to join</w:t>
      </w:r>
      <w:r w:rsidR="00A62C11" w:rsidRPr="00A62C11">
        <w:rPr>
          <w:lang w:eastAsia="en-AU"/>
        </w:rPr>
        <w:t xml:space="preserve"> a MAT</w:t>
      </w:r>
      <w:r w:rsidR="00BF5F04">
        <w:rPr>
          <w:lang w:eastAsia="en-AU"/>
        </w:rPr>
        <w:t xml:space="preserve">. </w:t>
      </w:r>
      <w:r w:rsidR="00EE0964">
        <w:rPr>
          <w:lang w:eastAsia="en-AU"/>
        </w:rPr>
        <w:t>Sponsored academies and converter academies accounted for 18</w:t>
      </w:r>
      <w:r w:rsidR="0020452E">
        <w:rPr>
          <w:lang w:eastAsia="en-AU"/>
        </w:rPr>
        <w:t xml:space="preserve"> per cent</w:t>
      </w:r>
      <w:r w:rsidR="00EE0964">
        <w:rPr>
          <w:lang w:eastAsia="en-AU"/>
        </w:rPr>
        <w:t xml:space="preserve"> and 44</w:t>
      </w:r>
      <w:r w:rsidR="0020452E">
        <w:rPr>
          <w:lang w:eastAsia="en-AU"/>
        </w:rPr>
        <w:t xml:space="preserve"> per cent</w:t>
      </w:r>
      <w:r w:rsidR="00EE0964">
        <w:rPr>
          <w:lang w:eastAsia="en-AU"/>
        </w:rPr>
        <w:t xml:space="preserve"> of secondary schools respectively in 2017.</w:t>
      </w:r>
    </w:p>
    <w:p w14:paraId="0C047E61" w14:textId="77777777" w:rsidR="00792BC7" w:rsidRDefault="00792BC7" w:rsidP="00792BC7">
      <w:pPr>
        <w:rPr>
          <w:lang w:eastAsia="en-AU"/>
        </w:rPr>
      </w:pPr>
      <w:r>
        <w:rPr>
          <w:lang w:eastAsia="en-AU"/>
        </w:rPr>
        <w:t xml:space="preserve">To achieve </w:t>
      </w:r>
      <w:r w:rsidR="00BF5F04">
        <w:rPr>
          <w:lang w:eastAsia="en-AU"/>
        </w:rPr>
        <w:t>their</w:t>
      </w:r>
      <w:r>
        <w:rPr>
          <w:lang w:eastAsia="en-AU"/>
        </w:rPr>
        <w:t xml:space="preserve"> goals MAT</w:t>
      </w:r>
      <w:r w:rsidR="009A0FBF">
        <w:rPr>
          <w:lang w:eastAsia="en-AU"/>
        </w:rPr>
        <w:t>s</w:t>
      </w:r>
      <w:r>
        <w:rPr>
          <w:lang w:eastAsia="en-AU"/>
        </w:rPr>
        <w:t xml:space="preserve"> use professional learning communities, peer view visits, learning walks (structured school visits), multi-school research and development projects, and ‘sharing excellence weeks’ in which schools share success stories. In larger MAT</w:t>
      </w:r>
      <w:r w:rsidR="00EB04C0">
        <w:rPr>
          <w:lang w:eastAsia="en-AU"/>
        </w:rPr>
        <w:t>s</w:t>
      </w:r>
      <w:r>
        <w:rPr>
          <w:lang w:eastAsia="en-AU"/>
        </w:rPr>
        <w:t xml:space="preserve"> these processes may be facilitated by centrally employed subject consultants who move between schools identifying and sharing best practice.</w:t>
      </w:r>
      <w:r w:rsidR="00767336">
        <w:rPr>
          <w:rStyle w:val="FootnoteReference"/>
          <w:lang w:eastAsia="en-AU"/>
        </w:rPr>
        <w:footnoteReference w:id="183"/>
      </w:r>
      <w:r>
        <w:rPr>
          <w:lang w:eastAsia="en-AU"/>
        </w:rPr>
        <w:t xml:space="preserve"> </w:t>
      </w:r>
    </w:p>
    <w:p w14:paraId="23710650" w14:textId="3EF02E77" w:rsidR="00792BC7" w:rsidRDefault="00792BC7" w:rsidP="00792BC7">
      <w:pPr>
        <w:rPr>
          <w:lang w:eastAsia="en-AU"/>
        </w:rPr>
      </w:pPr>
      <w:r>
        <w:rPr>
          <w:lang w:eastAsia="en-AU"/>
        </w:rPr>
        <w:t xml:space="preserve">United Learning is an example of a large MAT </w:t>
      </w:r>
      <w:r w:rsidR="00EB04C0">
        <w:rPr>
          <w:lang w:eastAsia="en-AU"/>
        </w:rPr>
        <w:t>that</w:t>
      </w:r>
      <w:r>
        <w:rPr>
          <w:lang w:eastAsia="en-AU"/>
        </w:rPr>
        <w:t xml:space="preserve"> runs </w:t>
      </w:r>
      <w:r w:rsidR="00B5270C">
        <w:rPr>
          <w:lang w:eastAsia="en-AU"/>
        </w:rPr>
        <w:t xml:space="preserve">in </w:t>
      </w:r>
      <w:r>
        <w:rPr>
          <w:lang w:eastAsia="en-AU"/>
        </w:rPr>
        <w:t xml:space="preserve">91 schools located across England, serving over 55,000 students. </w:t>
      </w:r>
      <w:r w:rsidR="007777A4">
        <w:rPr>
          <w:lang w:eastAsia="en-AU"/>
        </w:rPr>
        <w:t xml:space="preserve">It is distinctive in that it </w:t>
      </w:r>
      <w:r w:rsidR="005747D5">
        <w:rPr>
          <w:lang w:eastAsia="en-AU"/>
        </w:rPr>
        <w:t>oversees a diverse group of</w:t>
      </w:r>
      <w:r w:rsidR="007777A4">
        <w:rPr>
          <w:lang w:eastAsia="en-AU"/>
        </w:rPr>
        <w:t xml:space="preserve"> </w:t>
      </w:r>
      <w:r w:rsidR="00FA6960">
        <w:rPr>
          <w:lang w:eastAsia="en-AU"/>
        </w:rPr>
        <w:t>academies, independent and free</w:t>
      </w:r>
      <w:r w:rsidR="008F294C">
        <w:rPr>
          <w:lang w:eastAsia="en-AU"/>
        </w:rPr>
        <w:t xml:space="preserve"> </w:t>
      </w:r>
      <w:r w:rsidR="007777A4" w:rsidDel="008F294C">
        <w:rPr>
          <w:lang w:eastAsia="en-AU"/>
        </w:rPr>
        <w:t xml:space="preserve">schools </w:t>
      </w:r>
      <w:r w:rsidR="00604BC3">
        <w:rPr>
          <w:lang w:eastAsia="en-AU"/>
        </w:rPr>
        <w:t>and</w:t>
      </w:r>
      <w:r>
        <w:rPr>
          <w:lang w:eastAsia="en-AU"/>
        </w:rPr>
        <w:t xml:space="preserve"> offers students opportunities to develop </w:t>
      </w:r>
      <w:r w:rsidR="00A70CA6">
        <w:rPr>
          <w:lang w:eastAsia="en-AU"/>
        </w:rPr>
        <w:t xml:space="preserve">connections </w:t>
      </w:r>
      <w:r>
        <w:rPr>
          <w:lang w:eastAsia="en-AU"/>
        </w:rPr>
        <w:t xml:space="preserve">through practical interactions. United Learning brings teachers together from across its schools for subject-specific training, and brings students </w:t>
      </w:r>
      <w:r>
        <w:rPr>
          <w:lang w:eastAsia="en-AU"/>
        </w:rPr>
        <w:lastRenderedPageBreak/>
        <w:t>together for activities like music, dance, sport, drama, art, cultural festivals, charity events and public speaking, as well as online lectures from leading experts from academia and industry.</w:t>
      </w:r>
      <w:r w:rsidR="00AC3EE2">
        <w:rPr>
          <w:rStyle w:val="FootnoteReference"/>
          <w:lang w:eastAsia="en-AU"/>
        </w:rPr>
        <w:footnoteReference w:id="184"/>
      </w:r>
      <w:r>
        <w:rPr>
          <w:lang w:eastAsia="en-AU"/>
        </w:rPr>
        <w:t xml:space="preserve"> </w:t>
      </w:r>
    </w:p>
    <w:p w14:paraId="420BF1F2" w14:textId="16BABB47" w:rsidR="00792BC7" w:rsidRDefault="00792BC7" w:rsidP="00792BC7">
      <w:pPr>
        <w:rPr>
          <w:lang w:eastAsia="en-AU"/>
        </w:rPr>
      </w:pPr>
      <w:r>
        <w:rPr>
          <w:lang w:eastAsia="en-AU"/>
        </w:rPr>
        <w:t xml:space="preserve">In </w:t>
      </w:r>
      <w:r w:rsidRPr="00ED52F9">
        <w:rPr>
          <w:rFonts w:asciiTheme="majorHAnsi" w:hAnsiTheme="majorHAnsi" w:cstheme="majorHAnsi"/>
          <w:lang w:eastAsia="en-AU"/>
        </w:rPr>
        <w:t>Shanghai</w:t>
      </w:r>
      <w:r>
        <w:rPr>
          <w:lang w:eastAsia="en-AU"/>
        </w:rPr>
        <w:t xml:space="preserve"> under the empowered</w:t>
      </w:r>
      <w:r w:rsidR="001C4F3E">
        <w:rPr>
          <w:lang w:eastAsia="en-AU"/>
        </w:rPr>
        <w:t xml:space="preserve"> </w:t>
      </w:r>
      <w:r>
        <w:rPr>
          <w:lang w:eastAsia="en-AU"/>
        </w:rPr>
        <w:t>management program, school districts contract a high-performing school to work with a low-performing school for a period of two years, with the possibility of extension. The Shanghai Education Commission makes a grant to the high-performing school intended to cover the cost of the intervention</w:t>
      </w:r>
      <w:r w:rsidR="00A90910">
        <w:rPr>
          <w:lang w:eastAsia="en-AU"/>
        </w:rPr>
        <w:t>,</w:t>
      </w:r>
      <w:r>
        <w:rPr>
          <w:lang w:eastAsia="en-AU"/>
        </w:rPr>
        <w:t xml:space="preserve"> but also to provide a financial incentive to participate in the scheme.</w:t>
      </w:r>
      <w:r w:rsidR="00AC3EE2">
        <w:rPr>
          <w:rStyle w:val="FootnoteReference"/>
          <w:lang w:eastAsia="en-AU"/>
        </w:rPr>
        <w:footnoteReference w:id="185"/>
      </w:r>
      <w:r>
        <w:rPr>
          <w:lang w:eastAsia="en-AU"/>
        </w:rPr>
        <w:t xml:space="preserve"> Participation by high-performing schools is also viewed as “a social commitment to promote equity in the schools in the city.”</w:t>
      </w:r>
      <w:r w:rsidR="00AC3EE2">
        <w:rPr>
          <w:rStyle w:val="FootnoteReference"/>
          <w:lang w:eastAsia="en-AU"/>
        </w:rPr>
        <w:footnoteReference w:id="186"/>
      </w:r>
      <w:r>
        <w:rPr>
          <w:lang w:eastAsia="en-AU"/>
        </w:rPr>
        <w:t xml:space="preserve"> </w:t>
      </w:r>
    </w:p>
    <w:p w14:paraId="5F4DA44F" w14:textId="77777777" w:rsidR="002148A6" w:rsidRDefault="00792BC7" w:rsidP="00792BC7">
      <w:pPr>
        <w:rPr>
          <w:lang w:eastAsia="en-AU"/>
        </w:rPr>
      </w:pPr>
      <w:r>
        <w:rPr>
          <w:lang w:eastAsia="en-AU"/>
        </w:rPr>
        <w:t>Typically, a school leadership team from the high-performing school will be stationed in the partner school. They lead a process of diagnosis, intervention and implementation of new programs and practices aimed at addressing underachievement. Teachers and school leaders are able to move between the two schools to share knowledge and build capacity. Exemplary groups of teachers lead professional development sessions. </w:t>
      </w:r>
    </w:p>
    <w:p w14:paraId="40A54AE8" w14:textId="0FC2EFCF" w:rsidR="0042519D" w:rsidRPr="0042519D" w:rsidRDefault="0042519D" w:rsidP="00792BC7">
      <w:pPr>
        <w:rPr>
          <w:lang w:eastAsia="en-AU"/>
        </w:rPr>
      </w:pPr>
      <w:r>
        <w:rPr>
          <w:lang w:eastAsia="en-AU"/>
        </w:rPr>
        <w:t>The Victorian Virtual Learning Network (discussed in</w:t>
      </w:r>
      <w:r w:rsidR="00FD4470">
        <w:rPr>
          <w:lang w:eastAsia="en-AU"/>
        </w:rPr>
        <w:t xml:space="preserve"> section</w:t>
      </w:r>
      <w:r>
        <w:rPr>
          <w:lang w:eastAsia="en-AU"/>
        </w:rPr>
        <w:t xml:space="preserve"> </w:t>
      </w:r>
      <w:r w:rsidR="00FD4470">
        <w:rPr>
          <w:lang w:eastAsia="en-AU"/>
        </w:rPr>
        <w:fldChar w:fldCharType="begin"/>
      </w:r>
      <w:r w:rsidR="00FD4470">
        <w:rPr>
          <w:lang w:eastAsia="en-AU"/>
        </w:rPr>
        <w:instrText xml:space="preserve"> REF _Ref149048873 \n \h </w:instrText>
      </w:r>
      <w:r w:rsidR="00FD4470">
        <w:rPr>
          <w:lang w:eastAsia="en-AU"/>
        </w:rPr>
      </w:r>
      <w:r w:rsidR="00FD4470">
        <w:rPr>
          <w:lang w:eastAsia="en-AU"/>
        </w:rPr>
        <w:fldChar w:fldCharType="separate"/>
      </w:r>
      <w:r w:rsidR="009B7086">
        <w:rPr>
          <w:lang w:eastAsia="en-AU"/>
        </w:rPr>
        <w:t>3.8</w:t>
      </w:r>
      <w:r w:rsidR="00FD4470">
        <w:rPr>
          <w:lang w:eastAsia="en-AU"/>
        </w:rPr>
        <w:fldChar w:fldCharType="end"/>
      </w:r>
      <w:r>
        <w:rPr>
          <w:lang w:eastAsia="en-AU"/>
        </w:rPr>
        <w:t xml:space="preserve">) </w:t>
      </w:r>
      <w:r w:rsidRPr="0042519D">
        <w:t>helps meet the demand for specialist teachers in otherwise disadvantaged schools and communities, mostly in rural areas. We do not have visibility of the academic performance or backgrounds</w:t>
      </w:r>
      <w:r>
        <w:t xml:space="preserve"> (SES or cultural)</w:t>
      </w:r>
      <w:r w:rsidRPr="0042519D">
        <w:t xml:space="preserve"> of enrolled students, because they remained enrolled in their local schools</w:t>
      </w:r>
      <w:r w:rsidR="00820391">
        <w:t>.</w:t>
      </w:r>
    </w:p>
    <w:p w14:paraId="37D26DBF" w14:textId="1A62FA19" w:rsidR="00843B84" w:rsidRDefault="00AC3EE2" w:rsidP="00AC3EE2">
      <w:pPr>
        <w:pStyle w:val="Heading3"/>
      </w:pPr>
      <w:r>
        <w:t>Outcomes</w:t>
      </w:r>
    </w:p>
    <w:p w14:paraId="746E47AB" w14:textId="7F5A9D5E" w:rsidR="00E83BF4" w:rsidRDefault="00E83BF4" w:rsidP="000F0135">
      <w:pPr>
        <w:pStyle w:val="Heading5"/>
      </w:pPr>
      <w:r w:rsidRPr="00E83BF4">
        <w:t>Diversity</w:t>
      </w:r>
    </w:p>
    <w:p w14:paraId="7FCCB2BF" w14:textId="77777777" w:rsidR="005E548F" w:rsidRDefault="00EA76DF" w:rsidP="00E83BF4">
      <w:pPr>
        <w:rPr>
          <w:lang w:eastAsia="en-AU"/>
        </w:rPr>
      </w:pPr>
      <w:r>
        <w:rPr>
          <w:lang w:eastAsia="en-AU"/>
        </w:rPr>
        <w:t xml:space="preserve">The research we have been able to access on </w:t>
      </w:r>
      <w:r w:rsidR="005E548F">
        <w:rPr>
          <w:lang w:eastAsia="en-AU"/>
        </w:rPr>
        <w:t>outcomes related to diversity within the MATs and the Shanghai system is very limited in the case of the former, and non-existent in the case of the latter.</w:t>
      </w:r>
    </w:p>
    <w:p w14:paraId="5B4ED5CD" w14:textId="4C8AA6DA" w:rsidR="00502266" w:rsidRDefault="008F5A75" w:rsidP="00E83BF4">
      <w:pPr>
        <w:rPr>
          <w:lang w:eastAsia="en-AU"/>
        </w:rPr>
      </w:pPr>
      <w:r>
        <w:rPr>
          <w:lang w:eastAsia="en-AU"/>
        </w:rPr>
        <w:t xml:space="preserve">In </w:t>
      </w:r>
      <w:r w:rsidR="00335379" w:rsidRPr="000F0135">
        <w:rPr>
          <w:rFonts w:asciiTheme="majorHAnsi" w:hAnsiTheme="majorHAnsi" w:cstheme="majorHAnsi"/>
          <w:lang w:eastAsia="en-AU"/>
        </w:rPr>
        <w:t>England</w:t>
      </w:r>
      <w:r>
        <w:rPr>
          <w:lang w:eastAsia="en-AU"/>
        </w:rPr>
        <w:t xml:space="preserve">, </w:t>
      </w:r>
      <w:r w:rsidR="005E548F">
        <w:rPr>
          <w:lang w:eastAsia="en-AU"/>
        </w:rPr>
        <w:t>the only study we could find relates to a</w:t>
      </w:r>
      <w:r w:rsidR="00BA3C56">
        <w:rPr>
          <w:lang w:eastAsia="en-AU"/>
        </w:rPr>
        <w:t>n Academy within a MAT that caters to students with special needs</w:t>
      </w:r>
      <w:r w:rsidR="0003714B">
        <w:rPr>
          <w:lang w:eastAsia="en-AU"/>
        </w:rPr>
        <w:t xml:space="preserve">. The study found that </w:t>
      </w:r>
      <w:r>
        <w:rPr>
          <w:lang w:eastAsia="en-AU"/>
        </w:rPr>
        <w:t>s</w:t>
      </w:r>
      <w:r w:rsidRPr="008F5A75">
        <w:rPr>
          <w:lang w:eastAsia="en-AU"/>
        </w:rPr>
        <w:t xml:space="preserve">chools that </w:t>
      </w:r>
      <w:bookmarkStart w:id="34" w:name="_Hlk146903463"/>
      <w:r w:rsidRPr="008F5A75">
        <w:rPr>
          <w:lang w:eastAsia="en-AU"/>
        </w:rPr>
        <w:t xml:space="preserve">sponsored academies were more likely </w:t>
      </w:r>
      <w:r w:rsidR="0030206C">
        <w:rPr>
          <w:lang w:eastAsia="en-AU"/>
        </w:rPr>
        <w:t xml:space="preserve">than </w:t>
      </w:r>
      <w:r w:rsidR="00494855">
        <w:rPr>
          <w:lang w:eastAsia="en-AU"/>
        </w:rPr>
        <w:t xml:space="preserve">converter academies </w:t>
      </w:r>
      <w:bookmarkEnd w:id="34"/>
      <w:r w:rsidRPr="008F5A75">
        <w:rPr>
          <w:lang w:eastAsia="en-AU"/>
        </w:rPr>
        <w:t>to decrease the proportion of pupils with special needs and remove additional support for them</w:t>
      </w:r>
      <w:r w:rsidR="004546DC">
        <w:rPr>
          <w:lang w:eastAsia="en-AU"/>
        </w:rPr>
        <w:t>.</w:t>
      </w:r>
      <w:r w:rsidR="00E5619D">
        <w:rPr>
          <w:rStyle w:val="FootnoteReference"/>
          <w:lang w:eastAsia="en-AU"/>
        </w:rPr>
        <w:footnoteReference w:id="187"/>
      </w:r>
      <w:r w:rsidR="000A50E5">
        <w:rPr>
          <w:lang w:eastAsia="en-AU"/>
        </w:rPr>
        <w:t xml:space="preserve"> </w:t>
      </w:r>
      <w:r w:rsidR="00502266">
        <w:rPr>
          <w:lang w:eastAsia="en-AU"/>
        </w:rPr>
        <w:t xml:space="preserve">Academies with a commitment to inclusion do exist, </w:t>
      </w:r>
      <w:r w:rsidR="00BF5F04">
        <w:rPr>
          <w:lang w:eastAsia="en-AU"/>
        </w:rPr>
        <w:t>but</w:t>
      </w:r>
      <w:r w:rsidR="00502266">
        <w:rPr>
          <w:lang w:eastAsia="en-AU"/>
        </w:rPr>
        <w:t xml:space="preserve"> there is no obligation to </w:t>
      </w:r>
      <w:r w:rsidR="004F2782">
        <w:rPr>
          <w:lang w:eastAsia="en-AU"/>
        </w:rPr>
        <w:t>be accessible to all</w:t>
      </w:r>
      <w:r w:rsidR="00502266">
        <w:rPr>
          <w:lang w:eastAsia="en-AU"/>
        </w:rPr>
        <w:t>.</w:t>
      </w:r>
      <w:r w:rsidR="00502266">
        <w:rPr>
          <w:rStyle w:val="FootnoteReference"/>
          <w:lang w:eastAsia="en-AU"/>
        </w:rPr>
        <w:footnoteReference w:id="188"/>
      </w:r>
    </w:p>
    <w:p w14:paraId="655348C6" w14:textId="2A23FCC7" w:rsidR="00A873A6" w:rsidRDefault="001238A9" w:rsidP="00E83BF4">
      <w:pPr>
        <w:rPr>
          <w:lang w:eastAsia="en-AU"/>
        </w:rPr>
      </w:pPr>
      <w:r>
        <w:rPr>
          <w:lang w:eastAsia="en-AU"/>
        </w:rPr>
        <w:t xml:space="preserve">In terms of broader context for the MATs, it is important to note that </w:t>
      </w:r>
      <w:r w:rsidRPr="0003714B">
        <w:rPr>
          <w:lang w:eastAsia="en-AU"/>
        </w:rPr>
        <w:t xml:space="preserve">academies </w:t>
      </w:r>
      <w:r>
        <w:rPr>
          <w:lang w:eastAsia="en-AU"/>
        </w:rPr>
        <w:t>have been criticised</w:t>
      </w:r>
      <w:r w:rsidRPr="0003714B">
        <w:rPr>
          <w:lang w:eastAsia="en-AU"/>
        </w:rPr>
        <w:t xml:space="preserve"> for </w:t>
      </w:r>
      <w:r>
        <w:rPr>
          <w:lang w:eastAsia="en-AU"/>
        </w:rPr>
        <w:t>“</w:t>
      </w:r>
      <w:r w:rsidRPr="0003714B">
        <w:rPr>
          <w:lang w:eastAsia="en-AU"/>
        </w:rPr>
        <w:t>undercutting funding for public schools, using exclusionary admissions criteria, and failing to provide appropriate support for diverse students or those with special educational needs.</w:t>
      </w:r>
      <w:r>
        <w:rPr>
          <w:lang w:eastAsia="en-AU"/>
        </w:rPr>
        <w:t>”</w:t>
      </w:r>
      <w:r>
        <w:rPr>
          <w:rStyle w:val="FootnoteReference"/>
          <w:lang w:eastAsia="en-AU"/>
        </w:rPr>
        <w:footnoteReference w:id="189"/>
      </w:r>
      <w:r>
        <w:rPr>
          <w:lang w:eastAsia="en-AU"/>
        </w:rPr>
        <w:t xml:space="preserve"> Some</w:t>
      </w:r>
      <w:r w:rsidR="00770CFE" w:rsidRPr="00770CFE">
        <w:rPr>
          <w:lang w:eastAsia="en-AU"/>
        </w:rPr>
        <w:t xml:space="preserve"> argue that the development of a variety of school types reduces diversity in the student population within each school type and </w:t>
      </w:r>
      <w:r>
        <w:rPr>
          <w:lang w:eastAsia="en-AU"/>
        </w:rPr>
        <w:t>has heralded</w:t>
      </w:r>
      <w:r w:rsidR="00770CFE" w:rsidRPr="00770CFE">
        <w:rPr>
          <w:lang w:eastAsia="en-AU"/>
        </w:rPr>
        <w:t xml:space="preserve"> the arrival of a two-tier system based on socio-economic boundaries</w:t>
      </w:r>
      <w:r w:rsidR="00A64F3B">
        <w:rPr>
          <w:lang w:eastAsia="en-AU"/>
        </w:rPr>
        <w:t>.</w:t>
      </w:r>
      <w:r w:rsidR="00A21546">
        <w:rPr>
          <w:rStyle w:val="FootnoteReference"/>
          <w:lang w:eastAsia="en-AU"/>
        </w:rPr>
        <w:footnoteReference w:id="190"/>
      </w:r>
      <w:r w:rsidR="00A64F3B">
        <w:rPr>
          <w:lang w:eastAsia="en-AU"/>
        </w:rPr>
        <w:t xml:space="preserve"> </w:t>
      </w:r>
    </w:p>
    <w:p w14:paraId="739E8D71" w14:textId="7053072F" w:rsidR="00597D7A" w:rsidRPr="008F5A75" w:rsidRDefault="00597D7A" w:rsidP="00E83BF4">
      <w:pPr>
        <w:rPr>
          <w:lang w:eastAsia="en-AU"/>
        </w:rPr>
      </w:pPr>
      <w:r>
        <w:rPr>
          <w:lang w:eastAsia="en-AU"/>
        </w:rPr>
        <w:t xml:space="preserve">In </w:t>
      </w:r>
      <w:r w:rsidRPr="000F0135">
        <w:rPr>
          <w:rFonts w:asciiTheme="majorHAnsi" w:hAnsiTheme="majorHAnsi" w:cstheme="majorHAnsi"/>
          <w:lang w:eastAsia="en-AU"/>
        </w:rPr>
        <w:t>Shanghai</w:t>
      </w:r>
      <w:r>
        <w:rPr>
          <w:lang w:eastAsia="en-AU"/>
        </w:rPr>
        <w:t xml:space="preserve"> it appears the empowered-management program focusses primarily on educational equity</w:t>
      </w:r>
      <w:r w:rsidR="00256314">
        <w:rPr>
          <w:lang w:eastAsia="en-AU"/>
        </w:rPr>
        <w:t xml:space="preserve">, </w:t>
      </w:r>
      <w:r w:rsidR="002A23C8">
        <w:rPr>
          <w:lang w:eastAsia="en-AU"/>
        </w:rPr>
        <w:t xml:space="preserve">specifically, </w:t>
      </w:r>
      <w:r w:rsidR="00E028E5">
        <w:rPr>
          <w:lang w:eastAsia="en-AU"/>
        </w:rPr>
        <w:t xml:space="preserve">improved student achievement through </w:t>
      </w:r>
      <w:r w:rsidR="002713DD">
        <w:rPr>
          <w:lang w:eastAsia="en-AU"/>
        </w:rPr>
        <w:t>equal access to quality education,</w:t>
      </w:r>
      <w:r>
        <w:rPr>
          <w:lang w:eastAsia="en-AU"/>
        </w:rPr>
        <w:t xml:space="preserve"> rath</w:t>
      </w:r>
      <w:r w:rsidR="00355DDC">
        <w:rPr>
          <w:lang w:eastAsia="en-AU"/>
        </w:rPr>
        <w:t xml:space="preserve">er than </w:t>
      </w:r>
      <w:r w:rsidR="00355DDC">
        <w:rPr>
          <w:lang w:eastAsia="en-AU"/>
        </w:rPr>
        <w:lastRenderedPageBreak/>
        <w:t xml:space="preserve">socioeconomic </w:t>
      </w:r>
      <w:r w:rsidR="00203CEA">
        <w:rPr>
          <w:lang w:eastAsia="en-AU"/>
        </w:rPr>
        <w:t>diversity</w:t>
      </w:r>
      <w:r w:rsidR="00355DDC">
        <w:rPr>
          <w:lang w:eastAsia="en-AU"/>
        </w:rPr>
        <w:t xml:space="preserve">. PISA 2018 data reveals that </w:t>
      </w:r>
      <w:r w:rsidR="004702D0">
        <w:rPr>
          <w:lang w:eastAsia="en-AU"/>
        </w:rPr>
        <w:t xml:space="preserve">the </w:t>
      </w:r>
      <w:r w:rsidR="00435822" w:rsidRPr="00435822">
        <w:rPr>
          <w:lang w:eastAsia="en-AU"/>
        </w:rPr>
        <w:t>B-S-J-Z (China)</w:t>
      </w:r>
      <w:r w:rsidR="00203CEA">
        <w:rPr>
          <w:lang w:eastAsia="en-AU"/>
        </w:rPr>
        <w:t xml:space="preserve"> remains substantially above the OECD average </w:t>
      </w:r>
      <w:r w:rsidR="001C4F3E">
        <w:rPr>
          <w:lang w:eastAsia="en-AU"/>
        </w:rPr>
        <w:t>in term</w:t>
      </w:r>
      <w:r w:rsidR="00D1110F">
        <w:rPr>
          <w:lang w:eastAsia="en-AU"/>
        </w:rPr>
        <w:t xml:space="preserve">s </w:t>
      </w:r>
      <w:r w:rsidR="003A1EFD">
        <w:rPr>
          <w:lang w:eastAsia="en-AU"/>
        </w:rPr>
        <w:t xml:space="preserve">of </w:t>
      </w:r>
      <w:r w:rsidR="00203CEA">
        <w:rPr>
          <w:lang w:eastAsia="en-AU"/>
        </w:rPr>
        <w:t xml:space="preserve">segregation of </w:t>
      </w:r>
      <w:r w:rsidR="00456483">
        <w:rPr>
          <w:lang w:eastAsia="en-AU"/>
        </w:rPr>
        <w:t xml:space="preserve">both </w:t>
      </w:r>
      <w:r w:rsidR="00203CEA">
        <w:rPr>
          <w:lang w:eastAsia="en-AU"/>
        </w:rPr>
        <w:t>advantaged and disadvantaged students</w:t>
      </w:r>
      <w:r w:rsidR="00532896">
        <w:rPr>
          <w:lang w:eastAsia="en-AU"/>
        </w:rPr>
        <w:t>.</w:t>
      </w:r>
      <w:r w:rsidR="006A401A">
        <w:rPr>
          <w:rStyle w:val="FootnoteReference"/>
          <w:lang w:eastAsia="en-AU"/>
        </w:rPr>
        <w:footnoteReference w:id="191"/>
      </w:r>
    </w:p>
    <w:p w14:paraId="589D0D88" w14:textId="471BC0E0" w:rsidR="00E83BF4" w:rsidRPr="00E83BF4" w:rsidRDefault="006F5A1C" w:rsidP="000F0135">
      <w:pPr>
        <w:pStyle w:val="Heading5"/>
        <w:rPr>
          <w:bCs/>
        </w:rPr>
      </w:pPr>
      <w:r>
        <w:rPr>
          <w:bCs/>
        </w:rPr>
        <w:t>Education</w:t>
      </w:r>
    </w:p>
    <w:p w14:paraId="696E7BC7" w14:textId="3C479B99" w:rsidR="00902D0D" w:rsidRDefault="00902D0D" w:rsidP="00902D0D">
      <w:pPr>
        <w:rPr>
          <w:lang w:eastAsia="en-AU"/>
        </w:rPr>
      </w:pPr>
      <w:r>
        <w:rPr>
          <w:lang w:eastAsia="en-AU"/>
        </w:rPr>
        <w:t xml:space="preserve">The </w:t>
      </w:r>
      <w:r w:rsidRPr="00E83BF4">
        <w:rPr>
          <w:rFonts w:asciiTheme="majorHAnsi" w:hAnsiTheme="majorHAnsi" w:cstheme="majorHAnsi"/>
          <w:lang w:eastAsia="en-AU"/>
        </w:rPr>
        <w:t>United Kingdom</w:t>
      </w:r>
      <w:r>
        <w:rPr>
          <w:lang w:eastAsia="en-AU"/>
        </w:rPr>
        <w:t xml:space="preserve"> performed above average in all subject areas in PISA 2018, but there was not a statistically significant difference in average achievement compared to Australia.</w:t>
      </w:r>
      <w:r w:rsidR="00251185">
        <w:rPr>
          <w:rStyle w:val="FootnoteReference"/>
          <w:lang w:eastAsia="en-AU"/>
        </w:rPr>
        <w:footnoteReference w:id="192"/>
      </w:r>
      <w:r>
        <w:rPr>
          <w:lang w:eastAsia="en-AU"/>
        </w:rPr>
        <w:t xml:space="preserve"> Greany and McGinity </w:t>
      </w:r>
      <w:r w:rsidR="00AC32CF">
        <w:rPr>
          <w:lang w:eastAsia="en-AU"/>
        </w:rPr>
        <w:t xml:space="preserve">concluded from their analysis of </w:t>
      </w:r>
      <w:r>
        <w:rPr>
          <w:lang w:eastAsia="en-AU"/>
        </w:rPr>
        <w:t xml:space="preserve">the evidence </w:t>
      </w:r>
      <w:r w:rsidR="00AC32CF">
        <w:rPr>
          <w:lang w:eastAsia="en-AU"/>
        </w:rPr>
        <w:t xml:space="preserve">produced </w:t>
      </w:r>
      <w:r>
        <w:rPr>
          <w:lang w:eastAsia="en-AU"/>
        </w:rPr>
        <w:t xml:space="preserve">from a number of studies that there are </w:t>
      </w:r>
      <w:r w:rsidR="00AC32CF">
        <w:rPr>
          <w:lang w:eastAsia="en-AU"/>
        </w:rPr>
        <w:t>“</w:t>
      </w:r>
      <w:r>
        <w:rPr>
          <w:lang w:eastAsia="en-AU"/>
        </w:rPr>
        <w:t>wide variations in performance within the MAT sector, and that the sector as a whole is performing at or slightly below the national average.”</w:t>
      </w:r>
      <w:r w:rsidR="00251185">
        <w:rPr>
          <w:rStyle w:val="FootnoteReference"/>
          <w:lang w:eastAsia="en-AU"/>
        </w:rPr>
        <w:footnoteReference w:id="193"/>
      </w:r>
      <w:r>
        <w:rPr>
          <w:lang w:eastAsia="en-AU"/>
        </w:rPr>
        <w:t xml:space="preserve"> There is no available evidence </w:t>
      </w:r>
      <w:r w:rsidR="00823F64">
        <w:rPr>
          <w:lang w:eastAsia="en-AU"/>
        </w:rPr>
        <w:t>th</w:t>
      </w:r>
      <w:r w:rsidR="00777831">
        <w:rPr>
          <w:lang w:eastAsia="en-AU"/>
        </w:rPr>
        <w:t>at</w:t>
      </w:r>
      <w:r>
        <w:rPr>
          <w:lang w:eastAsia="en-AU"/>
        </w:rPr>
        <w:t xml:space="preserve"> delineates the effect of capacity sharing practices on the overall performance of MATs.  </w:t>
      </w:r>
    </w:p>
    <w:p w14:paraId="17941AC6" w14:textId="166A45FF" w:rsidR="00902D0D" w:rsidRDefault="00902D0D" w:rsidP="00902D0D">
      <w:pPr>
        <w:rPr>
          <w:lang w:eastAsia="en-AU"/>
        </w:rPr>
      </w:pPr>
      <w:r>
        <w:rPr>
          <w:lang w:eastAsia="en-AU"/>
        </w:rPr>
        <w:t xml:space="preserve">Significant international focus on </w:t>
      </w:r>
      <w:r w:rsidRPr="006F5A1C">
        <w:rPr>
          <w:rFonts w:asciiTheme="majorHAnsi" w:hAnsiTheme="majorHAnsi" w:cstheme="majorHAnsi"/>
          <w:lang w:eastAsia="en-AU"/>
        </w:rPr>
        <w:t>Shanghai</w:t>
      </w:r>
      <w:r>
        <w:rPr>
          <w:lang w:eastAsia="en-AU"/>
        </w:rPr>
        <w:t xml:space="preserve"> has been stimulated not only by its outstanding overall achievement, but the success of its schools in serving the city’s most disadvantaged students. Researchers have observed that “the poorest </w:t>
      </w:r>
      <w:r w:rsidR="003932E3">
        <w:rPr>
          <w:lang w:eastAsia="en-AU"/>
        </w:rPr>
        <w:t>ten</w:t>
      </w:r>
      <w:r>
        <w:rPr>
          <w:lang w:eastAsia="en-AU"/>
        </w:rPr>
        <w:t xml:space="preserve"> percent of students in Shanghai perform at a level in math that is on average 28 months ahead of the poorest </w:t>
      </w:r>
      <w:r w:rsidR="003932E3">
        <w:rPr>
          <w:lang w:eastAsia="en-AU"/>
        </w:rPr>
        <w:t>ten</w:t>
      </w:r>
      <w:r>
        <w:rPr>
          <w:lang w:eastAsia="en-AU"/>
        </w:rPr>
        <w:t xml:space="preserve"> percent of students in the United States.”</w:t>
      </w:r>
      <w:r w:rsidR="00251185">
        <w:rPr>
          <w:rStyle w:val="FootnoteReference"/>
          <w:lang w:eastAsia="en-AU"/>
        </w:rPr>
        <w:footnoteReference w:id="194"/>
      </w:r>
      <w:r>
        <w:rPr>
          <w:lang w:eastAsia="en-AU"/>
        </w:rPr>
        <w:t xml:space="preserve"> Huang and Sebastian find that, internationally, it is rare for jurisdictions to have statistically significant variations between schools in terms of reducing within-school gaps in achievement associated with socio-economic disadvantage. Shanghai is internationally unique in this regard: 1</w:t>
      </w:r>
      <w:r w:rsidR="003932E3">
        <w:rPr>
          <w:lang w:eastAsia="en-AU"/>
        </w:rPr>
        <w:t>4 per cent</w:t>
      </w:r>
      <w:r>
        <w:rPr>
          <w:lang w:eastAsia="en-AU"/>
        </w:rPr>
        <w:t xml:space="preserve"> of its schools can be described as ‘bridging schools’, where within-school variation is substantially </w:t>
      </w:r>
      <w:r w:rsidR="006B3448">
        <w:rPr>
          <w:lang w:eastAsia="en-AU"/>
        </w:rPr>
        <w:t>minimised,</w:t>
      </w:r>
      <w:r>
        <w:rPr>
          <w:lang w:eastAsia="en-AU"/>
        </w:rPr>
        <w:t xml:space="preserve"> and overall achievement is maximised.</w:t>
      </w:r>
      <w:r w:rsidR="00251185">
        <w:rPr>
          <w:rStyle w:val="FootnoteReference"/>
          <w:lang w:eastAsia="en-AU"/>
        </w:rPr>
        <w:footnoteReference w:id="195"/>
      </w:r>
      <w:r>
        <w:rPr>
          <w:lang w:eastAsia="en-AU"/>
        </w:rPr>
        <w:t xml:space="preserve"> </w:t>
      </w:r>
    </w:p>
    <w:p w14:paraId="76716538" w14:textId="143EDE48" w:rsidR="006E218C" w:rsidRDefault="006E218C" w:rsidP="006E218C">
      <w:pPr>
        <w:pStyle w:val="Heading3"/>
      </w:pPr>
      <w:r>
        <w:t>Evidence base</w:t>
      </w:r>
    </w:p>
    <w:p w14:paraId="3A0F9C30" w14:textId="7E2FCD1D" w:rsidR="00A66035" w:rsidRDefault="00902D0D" w:rsidP="00902D0D">
      <w:pPr>
        <w:rPr>
          <w:lang w:eastAsia="en-AU"/>
        </w:rPr>
      </w:pPr>
      <w:r>
        <w:rPr>
          <w:lang w:eastAsia="en-AU"/>
        </w:rPr>
        <w:t xml:space="preserve">The empowered-management program is only one of multiple major policies that define Shanghai’s education system. Others include a form of needs-based funding, legislated </w:t>
      </w:r>
      <w:r w:rsidR="009E5840">
        <w:rPr>
          <w:lang w:eastAsia="en-AU"/>
        </w:rPr>
        <w:t>quotas,</w:t>
      </w:r>
      <w:r>
        <w:rPr>
          <w:lang w:eastAsia="en-AU"/>
        </w:rPr>
        <w:t xml:space="preserve"> and enhanced standards for entry into the teaching profession.</w:t>
      </w:r>
      <w:r w:rsidR="00251185">
        <w:rPr>
          <w:rStyle w:val="FootnoteReference"/>
          <w:lang w:eastAsia="en-AU"/>
        </w:rPr>
        <w:footnoteReference w:id="196"/>
      </w:r>
      <w:r>
        <w:rPr>
          <w:lang w:eastAsia="en-AU"/>
        </w:rPr>
        <w:t xml:space="preserve"> The role of the empowered-management program in Shanghai’s success </w:t>
      </w:r>
      <w:r w:rsidR="00B10463">
        <w:rPr>
          <w:lang w:eastAsia="en-AU"/>
        </w:rPr>
        <w:t xml:space="preserve">on education performance metrics is therefore </w:t>
      </w:r>
      <w:r>
        <w:rPr>
          <w:lang w:eastAsia="en-AU"/>
        </w:rPr>
        <w:t>unclear. Jensen and Farmer report that: “Precise and transparent quantitative measures of how the empowered-management program impacts student learning are not available to help outside observers discern the effectiveness of the program</w:t>
      </w:r>
      <w:r w:rsidR="00900780">
        <w:rPr>
          <w:lang w:eastAsia="en-AU"/>
        </w:rPr>
        <w:t>.</w:t>
      </w:r>
      <w:r>
        <w:rPr>
          <w:lang w:eastAsia="en-AU"/>
        </w:rPr>
        <w:t>” </w:t>
      </w:r>
      <w:r w:rsidR="00251185">
        <w:rPr>
          <w:rStyle w:val="FootnoteReference"/>
          <w:lang w:eastAsia="en-AU"/>
        </w:rPr>
        <w:footnoteReference w:id="197"/>
      </w:r>
      <w:r>
        <w:rPr>
          <w:lang w:eastAsia="en-AU"/>
        </w:rPr>
        <w:t xml:space="preserve"> </w:t>
      </w:r>
      <w:r w:rsidR="00251185">
        <w:rPr>
          <w:lang w:eastAsia="en-AU"/>
        </w:rPr>
        <w:t xml:space="preserve">There </w:t>
      </w:r>
      <w:r>
        <w:rPr>
          <w:lang w:eastAsia="en-AU"/>
        </w:rPr>
        <w:t>is a lack of available evidence concerning impact on the high-performing school that takes on significant additional responsibilities, as well as the low-performing school which is the target of the intervention.</w:t>
      </w:r>
      <w:r w:rsidR="00251185">
        <w:rPr>
          <w:rStyle w:val="FootnoteReference"/>
          <w:lang w:eastAsia="en-AU"/>
        </w:rPr>
        <w:footnoteReference w:id="198"/>
      </w:r>
      <w:r>
        <w:rPr>
          <w:lang w:eastAsia="en-AU"/>
        </w:rPr>
        <w:t xml:space="preserve"> </w:t>
      </w:r>
    </w:p>
    <w:p w14:paraId="1112ED55" w14:textId="3E608EC5" w:rsidR="00A643CB" w:rsidRPr="00A66035" w:rsidRDefault="00251185" w:rsidP="00A643CB">
      <w:pPr>
        <w:pStyle w:val="Heading3"/>
      </w:pPr>
      <w:r>
        <w:lastRenderedPageBreak/>
        <w:t>Transferability</w:t>
      </w:r>
    </w:p>
    <w:p w14:paraId="6E76F421" w14:textId="16400138" w:rsidR="00155271" w:rsidRDefault="00155271" w:rsidP="00155271">
      <w:r>
        <w:rPr>
          <w:noProof/>
        </w:rPr>
        <w:drawing>
          <wp:inline distT="0" distB="0" distL="0" distR="0" wp14:anchorId="0C771415" wp14:editId="175A9EFD">
            <wp:extent cx="5637809" cy="1702087"/>
            <wp:effectExtent l="0" t="0" r="1270" b="0"/>
            <wp:docPr id="743021838" name="Picture 743021838" descr="Lists the dimensions of transferability to the Australian context, with a high level of transferability to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21838" name="Picture 743021838" descr="Lists the dimensions of transferability to the Australian context, with a high level of transferability to Australia. "/>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637809" cy="1702087"/>
                    </a:xfrm>
                    <a:prstGeom prst="rect">
                      <a:avLst/>
                    </a:prstGeom>
                    <a:noFill/>
                  </pic:spPr>
                </pic:pic>
              </a:graphicData>
            </a:graphic>
          </wp:inline>
        </w:drawing>
      </w:r>
    </w:p>
    <w:p w14:paraId="665BF6AD" w14:textId="6FEE8BB4" w:rsidR="005E0809" w:rsidRPr="0086054F" w:rsidRDefault="00A643CB" w:rsidP="00F94036">
      <w:pPr>
        <w:rPr>
          <w:lang w:eastAsia="en-AU"/>
        </w:rPr>
      </w:pPr>
      <w:r w:rsidRPr="00BB52A4">
        <w:rPr>
          <w:lang w:eastAsia="en-AU"/>
        </w:rPr>
        <w:t xml:space="preserve">Forms of capacity sharing are already </w:t>
      </w:r>
      <w:r w:rsidR="00F01BF8" w:rsidRPr="00BB52A4">
        <w:rPr>
          <w:lang w:eastAsia="en-AU"/>
        </w:rPr>
        <w:t>in evidence</w:t>
      </w:r>
      <w:r w:rsidRPr="00BB52A4">
        <w:rPr>
          <w:lang w:eastAsia="en-AU"/>
        </w:rPr>
        <w:t xml:space="preserve"> across Australia’s education systems, sometimes involving cross-sectoral collaboration as in the case of subject-specific professional associations. However, there may be challenges associated with implementing deeper forms of capacity sharing as instanced internationally. The response of teachers and school leaders in host schools to colleagues from other schools, designated as performing at a higher level, is open to question. Capacity sharing</w:t>
      </w:r>
      <w:r w:rsidR="004A32EC">
        <w:rPr>
          <w:lang w:eastAsia="en-AU"/>
        </w:rPr>
        <w:t>,</w:t>
      </w:r>
      <w:r w:rsidRPr="00BB52A4">
        <w:rPr>
          <w:lang w:eastAsia="en-AU"/>
        </w:rPr>
        <w:t xml:space="preserve"> in the cases discussed</w:t>
      </w:r>
      <w:r w:rsidR="004A32EC">
        <w:rPr>
          <w:lang w:eastAsia="en-AU"/>
        </w:rPr>
        <w:t>,</w:t>
      </w:r>
      <w:r w:rsidRPr="00BB52A4">
        <w:rPr>
          <w:lang w:eastAsia="en-AU"/>
        </w:rPr>
        <w:t xml:space="preserve"> occurred under the auspices of a bureaucratic authority (MATs in the England, municipal authorities in Shanghai). Without such an authority in Australia, the scope for cross-sectoral or cross-jurisdictional capacity sharing may be limited. </w:t>
      </w:r>
      <w:r w:rsidR="005519F1" w:rsidRPr="00BB52A4">
        <w:rPr>
          <w:lang w:eastAsia="en-AU"/>
        </w:rPr>
        <w:t>In that context</w:t>
      </w:r>
      <w:r w:rsidRPr="00BB52A4">
        <w:rPr>
          <w:lang w:eastAsia="en-AU"/>
        </w:rPr>
        <w:t>, there may be a role for academically selective public schools to partner with other schools in their jurisdiction.</w:t>
      </w:r>
    </w:p>
    <w:p w14:paraId="32E6B4FC" w14:textId="725C9F66" w:rsidR="006E299F" w:rsidRPr="00F94036" w:rsidRDefault="00F94036" w:rsidP="00E6012C">
      <w:pPr>
        <w:pStyle w:val="Heading1"/>
        <w:rPr>
          <w:color w:val="FFFFFF" w:themeColor="background1"/>
        </w:rPr>
      </w:pPr>
      <w:bookmarkStart w:id="35" w:name="_Toc149052459"/>
      <w:r w:rsidRPr="00F94036">
        <w:rPr>
          <w:noProof/>
          <w:color w:val="FFFFFF" w:themeColor="background1"/>
        </w:rPr>
        <w:lastRenderedPageBreak/>
        <w:drawing>
          <wp:anchor distT="0" distB="0" distL="114300" distR="114300" simplePos="0" relativeHeight="251658259" behindDoc="1" locked="0" layoutInCell="1" allowOverlap="1" wp14:anchorId="755D8F34" wp14:editId="57915504">
            <wp:simplePos x="0" y="0"/>
            <wp:positionH relativeFrom="column">
              <wp:posOffset>-858891</wp:posOffset>
            </wp:positionH>
            <wp:positionV relativeFrom="paragraph">
              <wp:posOffset>-782955</wp:posOffset>
            </wp:positionV>
            <wp:extent cx="7552178" cy="1259457"/>
            <wp:effectExtent l="0" t="0" r="0" b="0"/>
            <wp:wrapNone/>
            <wp:docPr id="1132756271" name="Picture 1132756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56271" name="Picture 1132756271">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b="34259"/>
                    <a:stretch/>
                  </pic:blipFill>
                  <pic:spPr bwMode="auto">
                    <a:xfrm>
                      <a:off x="0" y="0"/>
                      <a:ext cx="7552178" cy="12594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4BD0" w:rsidRPr="00F94036">
        <w:rPr>
          <w:color w:val="FFFFFF" w:themeColor="background1"/>
        </w:rPr>
        <w:t>Policy i</w:t>
      </w:r>
      <w:r w:rsidR="00792A6C" w:rsidRPr="00F94036">
        <w:rPr>
          <w:color w:val="FFFFFF" w:themeColor="background1"/>
        </w:rPr>
        <w:t xml:space="preserve">mplications </w:t>
      </w:r>
      <w:r w:rsidR="00B74BD0" w:rsidRPr="00F94036">
        <w:rPr>
          <w:color w:val="FFFFFF" w:themeColor="background1"/>
        </w:rPr>
        <w:t>for</w:t>
      </w:r>
      <w:r w:rsidR="00792A6C" w:rsidRPr="00F94036">
        <w:rPr>
          <w:color w:val="FFFFFF" w:themeColor="background1"/>
        </w:rPr>
        <w:t xml:space="preserve"> </w:t>
      </w:r>
      <w:r w:rsidR="00947F08" w:rsidRPr="00F94036">
        <w:rPr>
          <w:color w:val="FFFFFF" w:themeColor="background1"/>
        </w:rPr>
        <w:t>Australia</w:t>
      </w:r>
      <w:bookmarkEnd w:id="35"/>
    </w:p>
    <w:tbl>
      <w:tblPr>
        <w:tblStyle w:val="NousLongformcallout"/>
        <w:tblW w:w="4950" w:type="pct"/>
        <w:tblCellMar>
          <w:top w:w="170" w:type="dxa"/>
          <w:bottom w:w="170" w:type="dxa"/>
        </w:tblCellMar>
        <w:tblLook w:val="04A0" w:firstRow="1" w:lastRow="0" w:firstColumn="1" w:lastColumn="0" w:noHBand="0" w:noVBand="1"/>
      </w:tblPr>
      <w:tblGrid>
        <w:gridCol w:w="9070"/>
      </w:tblGrid>
      <w:tr w:rsidR="004D7034" w14:paraId="1F31A852" w14:textId="77777777" w:rsidTr="005E1D5F">
        <w:tc>
          <w:tcPr>
            <w:tcW w:w="9055" w:type="dxa"/>
          </w:tcPr>
          <w:p w14:paraId="435FEE26" w14:textId="77777777" w:rsidR="004D7034" w:rsidRDefault="004D7034" w:rsidP="005E1D5F">
            <w:pPr>
              <w:pStyle w:val="Longformcallout"/>
            </w:pPr>
            <w:r w:rsidRPr="00AA26DC">
              <w:t xml:space="preserve">This </w:t>
            </w:r>
            <w:r w:rsidR="0092310D">
              <w:t>section</w:t>
            </w:r>
            <w:r w:rsidR="00D673A1">
              <w:t xml:space="preserve"> pulls out </w:t>
            </w:r>
            <w:r w:rsidR="00461B90">
              <w:t>overarching findings and</w:t>
            </w:r>
            <w:r w:rsidR="00D673A1">
              <w:t xml:space="preserve"> implications from across all the </w:t>
            </w:r>
            <w:r w:rsidR="00461B90">
              <w:t>interventions</w:t>
            </w:r>
            <w:r w:rsidR="00D673A1">
              <w:t xml:space="preserve"> examined</w:t>
            </w:r>
            <w:r w:rsidR="00F95267">
              <w:t>.</w:t>
            </w:r>
            <w:r w:rsidR="00E116AB">
              <w:t xml:space="preserve"> It emphasises that no single policy is effective in isolation, and that </w:t>
            </w:r>
            <w:r w:rsidR="00BD7E03">
              <w:t xml:space="preserve">concurrent policies can either reinforce or undermine a policy’s success against its objectives. </w:t>
            </w:r>
          </w:p>
          <w:p w14:paraId="6D02CAF9" w14:textId="77A0FADB" w:rsidR="00BD7E03" w:rsidRPr="00577661" w:rsidRDefault="00BD7E03" w:rsidP="005E1D5F">
            <w:pPr>
              <w:pStyle w:val="Longformcallout"/>
            </w:pPr>
            <w:r>
              <w:t xml:space="preserve">This section also speaks to insights for Australia </w:t>
            </w:r>
            <w:r w:rsidR="007A22F9">
              <w:t xml:space="preserve">from these international </w:t>
            </w:r>
            <w:r w:rsidR="005B5326">
              <w:t>jurisdictions</w:t>
            </w:r>
            <w:r w:rsidR="007A22F9">
              <w:t xml:space="preserve"> </w:t>
            </w:r>
            <w:r w:rsidR="0015206A">
              <w:t>(</w:t>
            </w:r>
            <w:r w:rsidR="007A22F9">
              <w:t>despite cultural</w:t>
            </w:r>
            <w:r w:rsidR="004A29CE">
              <w:t xml:space="preserve"> and </w:t>
            </w:r>
            <w:r w:rsidR="00297637">
              <w:t>geographic</w:t>
            </w:r>
            <w:r w:rsidR="004A29CE">
              <w:t xml:space="preserve"> differ</w:t>
            </w:r>
            <w:r w:rsidR="00A765F1">
              <w:t>ences</w:t>
            </w:r>
            <w:r w:rsidR="0015206A">
              <w:t xml:space="preserve">) </w:t>
            </w:r>
            <w:r w:rsidR="007A22F9">
              <w:t xml:space="preserve">and other changes, </w:t>
            </w:r>
            <w:r w:rsidR="005B5326">
              <w:t>implementation</w:t>
            </w:r>
            <w:r w:rsidR="007A22F9">
              <w:t xml:space="preserve"> considerations, and </w:t>
            </w:r>
            <w:r w:rsidR="005B5326">
              <w:t xml:space="preserve">additional considerations around concentrations of First Nations students, especially in remote areas. </w:t>
            </w:r>
          </w:p>
        </w:tc>
      </w:tr>
    </w:tbl>
    <w:p w14:paraId="23131CEE" w14:textId="24FC9F0F" w:rsidR="008C4B3E" w:rsidRDefault="000A25AE" w:rsidP="00E6012C">
      <w:pPr>
        <w:pStyle w:val="Heading2"/>
      </w:pPr>
      <w:bookmarkStart w:id="36" w:name="_Toc149052460"/>
      <w:r>
        <w:t xml:space="preserve">The </w:t>
      </w:r>
      <w:r w:rsidR="005D67D8">
        <w:t xml:space="preserve">greatest impact </w:t>
      </w:r>
      <w:r w:rsidR="0015358F">
        <w:t>can be</w:t>
      </w:r>
      <w:r>
        <w:t xml:space="preserve"> achieved through a combination of interventions</w:t>
      </w:r>
      <w:bookmarkEnd w:id="36"/>
    </w:p>
    <w:p w14:paraId="6AAFCAA3" w14:textId="121AF3E4" w:rsidR="005A184E" w:rsidRDefault="0075639F" w:rsidP="00656779">
      <w:r>
        <w:t>An</w:t>
      </w:r>
      <w:r w:rsidR="00BA53AC">
        <w:t xml:space="preserve"> overarching finding from our review is that t</w:t>
      </w:r>
      <w:r w:rsidR="00656779">
        <w:t>here is no silver bullet – no</w:t>
      </w:r>
      <w:r w:rsidR="00D0071E">
        <w:t xml:space="preserve"> single policy intervention is effective in isolation. </w:t>
      </w:r>
      <w:r w:rsidR="00B136CC">
        <w:t xml:space="preserve">Most school systems – be they at local, </w:t>
      </w:r>
      <w:r w:rsidR="00F025CB">
        <w:t>subnational,</w:t>
      </w:r>
      <w:r w:rsidR="00B136CC">
        <w:t xml:space="preserve"> or national levels – deploy a suite </w:t>
      </w:r>
      <w:r w:rsidR="00692645">
        <w:t xml:space="preserve">of policy interventions as part of a package, </w:t>
      </w:r>
      <w:r w:rsidR="00BA53AC">
        <w:t>drawing on a combination of</w:t>
      </w:r>
      <w:r w:rsidR="00FB0D79">
        <w:t xml:space="preserve"> government levers, most </w:t>
      </w:r>
      <w:r w:rsidR="006B06F2">
        <w:t>frequently</w:t>
      </w:r>
      <w:r w:rsidR="00FB0D79">
        <w:t xml:space="preserve"> regulatory</w:t>
      </w:r>
      <w:r w:rsidR="00221276">
        <w:t xml:space="preserve"> and funding powers, </w:t>
      </w:r>
      <w:r w:rsidR="006B06F2">
        <w:t xml:space="preserve">supported by </w:t>
      </w:r>
      <w:r w:rsidR="00237785">
        <w:t xml:space="preserve">robust and </w:t>
      </w:r>
      <w:r w:rsidR="00B87D0C">
        <w:t>respected</w:t>
      </w:r>
      <w:r w:rsidR="00237785">
        <w:t xml:space="preserve"> </w:t>
      </w:r>
      <w:r w:rsidR="006B06F2">
        <w:t xml:space="preserve">governance structures. </w:t>
      </w:r>
      <w:r w:rsidR="00194246">
        <w:t xml:space="preserve"> </w:t>
      </w:r>
    </w:p>
    <w:p w14:paraId="487B82E7" w14:textId="08F56D6E" w:rsidR="004D6E49" w:rsidRPr="0086054F" w:rsidRDefault="004D6E49" w:rsidP="005E4B86">
      <w:pPr>
        <w:pStyle w:val="Caption"/>
        <w:rPr>
          <w:lang w:eastAsia="en-AU"/>
        </w:rPr>
      </w:pPr>
      <w:bookmarkStart w:id="37" w:name="_Ref146916700"/>
      <w:r>
        <w:t xml:space="preserve">Figure </w:t>
      </w:r>
      <w:r>
        <w:fldChar w:fldCharType="begin"/>
      </w:r>
      <w:r>
        <w:instrText xml:space="preserve"> SEQ Figure \* ARABIC </w:instrText>
      </w:r>
      <w:r>
        <w:fldChar w:fldCharType="separate"/>
      </w:r>
      <w:r w:rsidR="009B7086">
        <w:rPr>
          <w:noProof/>
        </w:rPr>
        <w:t>6</w:t>
      </w:r>
      <w:r>
        <w:fldChar w:fldCharType="end"/>
      </w:r>
      <w:bookmarkEnd w:id="37"/>
      <w:r w:rsidR="00BA7C21">
        <w:t xml:space="preserve"> | </w:t>
      </w:r>
      <w:r>
        <w:t>Trends in Chilean students’ maths performance, by family income percentile</w:t>
      </w:r>
      <w:r>
        <w:rPr>
          <w:rStyle w:val="FootnoteReference"/>
        </w:rPr>
        <w:footnoteReference w:id="199"/>
      </w:r>
      <w:r>
        <w:t xml:space="preserve"> </w:t>
      </w:r>
    </w:p>
    <w:p w14:paraId="3D446D63" w14:textId="54CB2C31" w:rsidR="009278C5" w:rsidRDefault="005E4B86" w:rsidP="00656779">
      <w:r>
        <w:rPr>
          <w:noProof/>
        </w:rPr>
        <w:drawing>
          <wp:anchor distT="0" distB="0" distL="114300" distR="114300" simplePos="0" relativeHeight="251658260" behindDoc="0" locked="0" layoutInCell="1" allowOverlap="1" wp14:anchorId="5DDCEBC3" wp14:editId="5C2A2319">
            <wp:simplePos x="0" y="0"/>
            <wp:positionH relativeFrom="column">
              <wp:posOffset>-2810</wp:posOffset>
            </wp:positionH>
            <wp:positionV relativeFrom="paragraph">
              <wp:posOffset>10930</wp:posOffset>
            </wp:positionV>
            <wp:extent cx="2912745" cy="3324225"/>
            <wp:effectExtent l="0" t="0" r="1905" b="9525"/>
            <wp:wrapSquare wrapText="bothSides"/>
            <wp:docPr id="1823387978" name="Picture 18233879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87978" name="Picture 1823387978">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2912745" cy="3324225"/>
                    </a:xfrm>
                    <a:prstGeom prst="rect">
                      <a:avLst/>
                    </a:prstGeom>
                  </pic:spPr>
                </pic:pic>
              </a:graphicData>
            </a:graphic>
            <wp14:sizeRelH relativeFrom="margin">
              <wp14:pctWidth>0</wp14:pctWidth>
            </wp14:sizeRelH>
            <wp14:sizeRelV relativeFrom="margin">
              <wp14:pctHeight>0</wp14:pctHeight>
            </wp14:sizeRelV>
          </wp:anchor>
        </w:drawing>
      </w:r>
      <w:r w:rsidR="005A184E">
        <w:t xml:space="preserve">The greatest benefits are when concurrent </w:t>
      </w:r>
      <w:r w:rsidR="00450357">
        <w:t xml:space="preserve">policies are designed as a </w:t>
      </w:r>
      <w:r w:rsidR="002F584C">
        <w:t>cohesive</w:t>
      </w:r>
      <w:r w:rsidR="00450357">
        <w:t xml:space="preserve"> package </w:t>
      </w:r>
      <w:r w:rsidR="002F584C">
        <w:t>in which each element reinforces the others.</w:t>
      </w:r>
      <w:r w:rsidR="005A184E">
        <w:t xml:space="preserve"> </w:t>
      </w:r>
      <w:r w:rsidR="00194246">
        <w:t>For example, Chile</w:t>
      </w:r>
      <w:r w:rsidR="00FC6925">
        <w:t xml:space="preserve">’s education reform </w:t>
      </w:r>
      <w:r w:rsidR="00A33B6E">
        <w:t xml:space="preserve">involved </w:t>
      </w:r>
      <w:r w:rsidR="00A7173A">
        <w:t xml:space="preserve">four of the policy </w:t>
      </w:r>
      <w:r w:rsidR="004B19E0">
        <w:t>interventions</w:t>
      </w:r>
      <w:r w:rsidR="00A7173A">
        <w:t xml:space="preserve"> explored in this review</w:t>
      </w:r>
      <w:r w:rsidR="005206D1">
        <w:t xml:space="preserve"> </w:t>
      </w:r>
      <w:r w:rsidR="00BD53C2">
        <w:t>–</w:t>
      </w:r>
      <w:r w:rsidR="00A7173A">
        <w:t xml:space="preserve"> removal of </w:t>
      </w:r>
      <w:r w:rsidR="00707ABB">
        <w:t xml:space="preserve">fees, removal of </w:t>
      </w:r>
      <w:r w:rsidR="006722BE">
        <w:t>academic selectivity</w:t>
      </w:r>
      <w:r w:rsidR="00A7173A">
        <w:t xml:space="preserve">, introduction of </w:t>
      </w:r>
      <w:r w:rsidR="007A08B2">
        <w:t xml:space="preserve">legislated quotas, </w:t>
      </w:r>
      <w:r w:rsidR="003203BB">
        <w:t>preference matching</w:t>
      </w:r>
      <w:r w:rsidR="007A08B2">
        <w:t xml:space="preserve"> </w:t>
      </w:r>
      <w:r w:rsidR="006722BE">
        <w:t xml:space="preserve">and introduction of added </w:t>
      </w:r>
      <w:r w:rsidR="0057645A">
        <w:t>financial incentives</w:t>
      </w:r>
      <w:r w:rsidR="005206D1">
        <w:t xml:space="preserve"> </w:t>
      </w:r>
      <w:r w:rsidR="00BD53C2">
        <w:t>–</w:t>
      </w:r>
      <w:r w:rsidR="00ED4FDA">
        <w:t xml:space="preserve"> purs</w:t>
      </w:r>
      <w:r w:rsidR="00E36CC5">
        <w:t xml:space="preserve">ued through tight funding agreements and </w:t>
      </w:r>
      <w:r w:rsidR="004B19E0">
        <w:t>accountability</w:t>
      </w:r>
      <w:r w:rsidR="00E36CC5">
        <w:t xml:space="preserve"> </w:t>
      </w:r>
      <w:r w:rsidR="004B19E0">
        <w:t>mechanisms</w:t>
      </w:r>
      <w:r w:rsidR="00E36CC5">
        <w:t xml:space="preserve"> </w:t>
      </w:r>
      <w:r w:rsidR="004B19E0">
        <w:t>underpinned by legislative reform.</w:t>
      </w:r>
      <w:r w:rsidR="00E36CC5">
        <w:t xml:space="preserve"> </w:t>
      </w:r>
      <w:r w:rsidR="00EA3B03">
        <w:t>These reforms benefitted all students, but particularly the most disadvantaged students</w:t>
      </w:r>
      <w:r w:rsidR="00BA2213">
        <w:t xml:space="preserve"> w</w:t>
      </w:r>
      <w:r w:rsidR="00EA3B03">
        <w:t>ho were falling further behind in what had become one of the most segregate</w:t>
      </w:r>
      <w:r w:rsidR="00632E54">
        <w:t>d</w:t>
      </w:r>
      <w:r w:rsidR="00EA3B03">
        <w:t xml:space="preserve"> school systems in the world. </w:t>
      </w:r>
      <w:r w:rsidR="00BA2213">
        <w:t xml:space="preserve">See </w:t>
      </w:r>
      <w:r w:rsidR="00BA2213">
        <w:fldChar w:fldCharType="begin"/>
      </w:r>
      <w:r w:rsidR="00BA2213">
        <w:instrText xml:space="preserve"> REF _Ref146916700 \h </w:instrText>
      </w:r>
      <w:r w:rsidR="00BA2213">
        <w:fldChar w:fldCharType="separate"/>
      </w:r>
      <w:r w:rsidR="009B7086">
        <w:t xml:space="preserve">Figure </w:t>
      </w:r>
      <w:r w:rsidR="009B7086">
        <w:rPr>
          <w:noProof/>
        </w:rPr>
        <w:t>6</w:t>
      </w:r>
      <w:r w:rsidR="00BA2213">
        <w:fldChar w:fldCharType="end"/>
      </w:r>
      <w:r w:rsidR="00BA2213">
        <w:t>, which</w:t>
      </w:r>
      <w:r w:rsidR="005A058D" w:rsidRPr="00E27D1A">
        <w:t xml:space="preserve"> shows how maths scores increased for all students between 2005 and 2012 </w:t>
      </w:r>
      <w:r w:rsidR="00B87D0C">
        <w:t xml:space="preserve">and that </w:t>
      </w:r>
      <w:r w:rsidR="005A058D" w:rsidRPr="00E27D1A">
        <w:t>the gap between the most advantaged and disadvantaged students decreased from 20.8 points to 13.3 points</w:t>
      </w:r>
      <w:r w:rsidR="00D87E03">
        <w:t>.</w:t>
      </w:r>
    </w:p>
    <w:p w14:paraId="543AEB17" w14:textId="2E6C3F4E" w:rsidR="00392F5E" w:rsidRDefault="00392F5E" w:rsidP="00FD2DDF">
      <w:pPr>
        <w:pStyle w:val="Heading2"/>
      </w:pPr>
      <w:bookmarkStart w:id="38" w:name="_Toc149052461"/>
      <w:r>
        <w:t>Concurrent policies can also undermine each</w:t>
      </w:r>
      <w:r w:rsidR="00BF4ECC">
        <w:t xml:space="preserve"> </w:t>
      </w:r>
      <w:r>
        <w:t>other</w:t>
      </w:r>
      <w:bookmarkEnd w:id="38"/>
    </w:p>
    <w:p w14:paraId="7359BD06" w14:textId="6CE0EEF2" w:rsidR="00392F5E" w:rsidRDefault="00392F5E" w:rsidP="008B30AE">
      <w:r>
        <w:t xml:space="preserve">Our </w:t>
      </w:r>
      <w:r w:rsidR="00BF4ECC">
        <w:t>research</w:t>
      </w:r>
      <w:r>
        <w:t xml:space="preserve"> also revealed that policy interventions can be weakened or counteracted by other policies in place. For example, in Belgium, Netherlands, Germany and France, the continuation of tracking students from around 12 years of age into different types of secondary schools with different post school destinations</w:t>
      </w:r>
      <w:r w:rsidR="00B357B6">
        <w:t xml:space="preserve">. This </w:t>
      </w:r>
      <w:r>
        <w:t xml:space="preserve"> </w:t>
      </w:r>
      <w:r>
        <w:lastRenderedPageBreak/>
        <w:t>reinforces the influence of family background on school enrolment profiles and educational outcomes and undermines the positive impact of legislated quotas and controlled choice to reduce school segregation and residualisation. These countries have among highest impacts of segregation on student learning outcomes</w:t>
      </w:r>
      <w:r w:rsidR="000A2AF0">
        <w:t xml:space="preserve"> </w:t>
      </w:r>
      <w:r>
        <w:t xml:space="preserve">among wealthy countries respectively, as shown </w:t>
      </w:r>
      <w:r w:rsidR="006F6DF0">
        <w:t xml:space="preserve">in </w:t>
      </w:r>
      <w:r w:rsidR="006F6DF0">
        <w:rPr>
          <w:highlight w:val="yellow"/>
        </w:rPr>
        <w:fldChar w:fldCharType="begin"/>
      </w:r>
      <w:r w:rsidR="006F6DF0">
        <w:instrText xml:space="preserve"> REF _Ref146882066 \h </w:instrText>
      </w:r>
      <w:r w:rsidR="006F6DF0">
        <w:rPr>
          <w:highlight w:val="yellow"/>
        </w:rPr>
      </w:r>
      <w:r w:rsidR="006F6DF0">
        <w:rPr>
          <w:highlight w:val="yellow"/>
        </w:rPr>
        <w:fldChar w:fldCharType="separate"/>
      </w:r>
      <w:r w:rsidR="009B7086">
        <w:t xml:space="preserve">Figure </w:t>
      </w:r>
      <w:r w:rsidR="009B7086">
        <w:rPr>
          <w:noProof/>
        </w:rPr>
        <w:t>7</w:t>
      </w:r>
      <w:r w:rsidR="006F6DF0">
        <w:rPr>
          <w:highlight w:val="yellow"/>
        </w:rPr>
        <w:fldChar w:fldCharType="end"/>
      </w:r>
      <w:r>
        <w:t>.</w:t>
      </w:r>
      <w:r w:rsidRPr="000A2AF0">
        <w:rPr>
          <w:vertAlign w:val="superscript"/>
        </w:rPr>
        <w:footnoteReference w:id="200"/>
      </w:r>
      <w:r w:rsidRPr="000A2AF0">
        <w:rPr>
          <w:vertAlign w:val="superscript"/>
        </w:rPr>
        <w:t xml:space="preserve">  </w:t>
      </w:r>
    </w:p>
    <w:p w14:paraId="54B5900E" w14:textId="4902794C" w:rsidR="00392F5E" w:rsidRDefault="00392F5E" w:rsidP="00392F5E">
      <w:pPr>
        <w:pStyle w:val="Caption"/>
      </w:pPr>
      <w:bookmarkStart w:id="39" w:name="_Ref146882066"/>
      <w:r>
        <w:t xml:space="preserve">Figure </w:t>
      </w:r>
      <w:r>
        <w:fldChar w:fldCharType="begin"/>
      </w:r>
      <w:r>
        <w:instrText xml:space="preserve"> SEQ Figure \* ARABIC </w:instrText>
      </w:r>
      <w:r>
        <w:fldChar w:fldCharType="separate"/>
      </w:r>
      <w:r w:rsidR="009B7086">
        <w:rPr>
          <w:noProof/>
        </w:rPr>
        <w:t>7</w:t>
      </w:r>
      <w:r>
        <w:fldChar w:fldCharType="end"/>
      </w:r>
      <w:bookmarkEnd w:id="39"/>
      <w:r>
        <w:t xml:space="preserve"> | The </w:t>
      </w:r>
      <w:r w:rsidR="00666211">
        <w:t>socio</w:t>
      </w:r>
      <w:r w:rsidR="00115985">
        <w:t>-</w:t>
      </w:r>
      <w:r w:rsidR="00666211">
        <w:t>economic</w:t>
      </w:r>
      <w:r>
        <w:t xml:space="preserve"> compositional effects across developed countries</w:t>
      </w:r>
      <w:r>
        <w:rPr>
          <w:rStyle w:val="FootnoteReference"/>
        </w:rPr>
        <w:footnoteReference w:id="201"/>
      </w:r>
    </w:p>
    <w:p w14:paraId="5464531C" w14:textId="77777777" w:rsidR="00392F5E" w:rsidRDefault="00392F5E" w:rsidP="00392F5E">
      <w:r>
        <w:rPr>
          <w:noProof/>
          <w:sz w:val="24"/>
          <w:szCs w:val="24"/>
        </w:rPr>
        <w:drawing>
          <wp:inline distT="114300" distB="114300" distL="114300" distR="114300" wp14:anchorId="00F204E5" wp14:editId="3B3E4088">
            <wp:extent cx="5934075" cy="3818255"/>
            <wp:effectExtent l="0" t="0" r="9525" b="0"/>
            <wp:docPr id="18" name="Graphic 18" descr="Figure shows school SES effects across a range of developed countries, with the lowest SES effects in Spain, Norway and Iceland, and the highest effects in the Netherlands, Japan and Belgium. "/>
            <wp:cNvGraphicFramePr/>
            <a:graphic xmlns:a="http://schemas.openxmlformats.org/drawingml/2006/main">
              <a:graphicData uri="http://schemas.openxmlformats.org/drawingml/2006/picture">
                <pic:pic xmlns:pic="http://schemas.openxmlformats.org/drawingml/2006/picture">
                  <pic:nvPicPr>
                    <pic:cNvPr id="18" name="Graphic 18" descr="Figure shows school SES effects across a range of developed countries, with the lowest SES effects in Spain, Norway and Iceland, and the highest effects in the Netherlands, Japan and Belgium. "/>
                    <pic:cNvPicPr preferRelativeResize="0"/>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934415" cy="3818474"/>
                    </a:xfrm>
                    <a:prstGeom prst="rect">
                      <a:avLst/>
                    </a:prstGeom>
                  </pic:spPr>
                </pic:pic>
              </a:graphicData>
            </a:graphic>
          </wp:inline>
        </w:drawing>
      </w:r>
    </w:p>
    <w:p w14:paraId="56672AFD" w14:textId="1A7B5619" w:rsidR="00ED3ADB" w:rsidRDefault="00B14E27" w:rsidP="00FD2DDF">
      <w:pPr>
        <w:pStyle w:val="Heading2"/>
      </w:pPr>
      <w:bookmarkStart w:id="40" w:name="_Toc149052462"/>
      <w:r>
        <w:t>Concentrations of First Nations students a</w:t>
      </w:r>
      <w:r w:rsidR="00EA3E59">
        <w:t xml:space="preserve">re </w:t>
      </w:r>
      <w:r>
        <w:t>a special case</w:t>
      </w:r>
      <w:bookmarkEnd w:id="40"/>
      <w:r>
        <w:t xml:space="preserve"> </w:t>
      </w:r>
    </w:p>
    <w:p w14:paraId="41769BE5" w14:textId="7E3C1C49" w:rsidR="00326573" w:rsidRDefault="00C91C73" w:rsidP="00ED3ADB">
      <w:pPr>
        <w:rPr>
          <w:lang w:eastAsia="en-AU"/>
        </w:rPr>
      </w:pPr>
      <w:r>
        <w:rPr>
          <w:noProof/>
        </w:rPr>
        <mc:AlternateContent>
          <mc:Choice Requires="wps">
            <w:drawing>
              <wp:anchor distT="0" distB="0" distL="114300" distR="114300" simplePos="0" relativeHeight="251658241" behindDoc="0" locked="0" layoutInCell="1" allowOverlap="1" wp14:anchorId="36657816" wp14:editId="5ACEF64A">
                <wp:simplePos x="0" y="0"/>
                <wp:positionH relativeFrom="column">
                  <wp:posOffset>4050665</wp:posOffset>
                </wp:positionH>
                <wp:positionV relativeFrom="paragraph">
                  <wp:posOffset>10160</wp:posOffset>
                </wp:positionV>
                <wp:extent cx="2041525" cy="2647950"/>
                <wp:effectExtent l="0" t="0" r="0" b="0"/>
                <wp:wrapSquare wrapText="bothSides"/>
                <wp:docPr id="419787037" name="Text Box 4197870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41525" cy="2647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28AF7" w14:textId="7E5D090A" w:rsidR="00A958DE" w:rsidRPr="00327217" w:rsidRDefault="00C94153" w:rsidP="00852C92">
                            <w:pPr>
                              <w:pStyle w:val="Callout"/>
                              <w:rPr>
                                <w:color w:val="F25E21" w:themeColor="accent2"/>
                              </w:rPr>
                            </w:pPr>
                            <w:r w:rsidRPr="00327217">
                              <w:rPr>
                                <w:rFonts w:asciiTheme="minorHAnsi" w:hAnsiTheme="minorHAnsi" w:cstheme="minorHAnsi"/>
                                <w:color w:val="F25E21" w:themeColor="accent2"/>
                              </w:rPr>
                              <w:t>C</w:t>
                            </w:r>
                            <w:r w:rsidR="00AB75A4" w:rsidRPr="00327217">
                              <w:rPr>
                                <w:rFonts w:asciiTheme="minorHAnsi" w:hAnsiTheme="minorHAnsi" w:cstheme="minorHAnsi"/>
                                <w:color w:val="F25E21" w:themeColor="accent2"/>
                              </w:rPr>
                              <w:t>ultural safety</w:t>
                            </w:r>
                            <w:r w:rsidR="00AB75A4" w:rsidRPr="00327217">
                              <w:rPr>
                                <w:color w:val="F25E21" w:themeColor="accent2"/>
                              </w:rPr>
                              <w:t xml:space="preserve"> refers to “an environment that is spiritually, socially, and emotionally safe, as well as physically safe for students; where there is no assault challenge or denial of their identity, of who they are, and what they need. It is about shared respect, shared meaning, shared knowledge, and experience of learning together</w:t>
                            </w:r>
                            <w:r w:rsidR="00C91C73" w:rsidRPr="00327217">
                              <w:rPr>
                                <w:color w:val="F25E21" w:themeColor="accent2"/>
                              </w:rPr>
                              <w:t>.</w:t>
                            </w:r>
                          </w:p>
                          <w:p w14:paraId="3E0DD515" w14:textId="5D2B752D" w:rsidR="00A958DE" w:rsidRPr="00327217" w:rsidRDefault="00852C92" w:rsidP="00756142">
                            <w:pPr>
                              <w:pStyle w:val="Callout"/>
                              <w:jc w:val="right"/>
                              <w:rPr>
                                <w:color w:val="F25E21" w:themeColor="accent2"/>
                                <w:sz w:val="18"/>
                                <w:szCs w:val="18"/>
                              </w:rPr>
                            </w:pPr>
                            <w:r w:rsidRPr="00327217">
                              <w:rPr>
                                <w:color w:val="F25E21" w:themeColor="accent2"/>
                                <w:sz w:val="18"/>
                                <w:szCs w:val="18"/>
                              </w:rPr>
                              <w:t xml:space="preserve">Robyn Williams. </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657816" id="Text Box 419787037" o:spid="_x0000_s1035" type="#_x0000_t202" alt="&quot;&quot;" style="position:absolute;margin-left:318.95pt;margin-top:.8pt;width:160.75pt;height:20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jufAIAAGkFAAAOAAAAZHJzL2Uyb0RvYy54bWysVN9P2zAQfp+0/8Hy+0haaDcqUtSBmCYh&#10;QIOJZ9exqTXH59nXJt1fv7OTtozxwrQX5873y/fluzs77xrLNipEA67io6OSM+Uk1MY9Vfz7w9WH&#10;T5xFFK4WFpyq+FZFfj5//+6s9TM1hhXYWgVGSVyctb7iK0Q/K4ooV6oR8Qi8cmTUEBqBpIanog6i&#10;peyNLcZlOS1aCLUPIFWMdHvZG/k859daSbzVOipktuL0NsxnyOcyncX8TMyegvArI4dniH94RSOM&#10;o6L7VJcCBVsH81eqxsgAETQeSWgK0NpIlXugbkbli27uV8Kr3AuBE/0epvj/0sqbzb2/Cwy7z9DR&#10;D0yAtD7OIl2mfjodmvSllzKyE4TbPWyqQybpclyejCbjCWeSbOPpycfTSQa2OIT7EPGLgoYloeKB&#10;/kuGS2yuI1JJct25pGoRrKmvjLVZSVxQFzawjaC/aDE/kiL+8LKOtRWfHlPpFOQghfeZrUs3KrNh&#10;KHdoMUu4tSr5WPdNaWbq3OkrtYWUyu3rZ+/kpanUWwIH/8Or3hLc90ERuTI43Ac3xkHI3efxOUBW&#10;/9hBpnt/AvxZ30nEbtlR4xU/3TFgCfWWiBGgn5no5ZWhn3ctIt6JQENCXKDBx1s6tAUCHwaJsxWE&#10;X6/dJ3/iLlk5a2noKh5/rkVQnNmvjlidJjQLJ5OPY1JCVo6nZUnK8rnFrZsLIDaMaL14mcXkj3Yn&#10;6gDNI+2GRapIJuEk1a047sQL7NcA7RapFovsRDPpBV67ey9T6oRwouVD9yiCH7iLRPsb2I2mmL2g&#10;cO+bIh0s1gjaZH4njHtEB+xpnjPth92TFsZzPXsdNuT8NwAAAP//AwBQSwMEFAAGAAgAAAAhAESd&#10;+XLhAAAACQEAAA8AAABkcnMvZG93bnJldi54bWxMj8tOwzAQRfdI/IM1SOyo01BCEuJUCIQECyo1&#10;IAQ7N5k8IB5HttuGv2dYwXJ0ru49U6xnM4oDOj9YUrBcRCCQatsM1Cl4fXm4SEH4oKnRoyVU8I0e&#10;1uXpSaHzxh5pi4cqdIJLyOdaQR/ClEvp6x6N9gs7ITFrrTM68Ok62Th95HIzyjiKEmn0QLzQ6wnv&#10;eqy/qr1RsGnxMb7/MOnbe7t1z/Gm+nxKB6XOz+bbGxAB5/AXhl99VoeSnXZ2T40Xo4Lk8jrjKIME&#10;BPPsKluB2ClYLdMEZFnI/x+UPwAAAP//AwBQSwECLQAUAAYACAAAACEAtoM4kv4AAADhAQAAEwAA&#10;AAAAAAAAAAAAAAAAAAAAW0NvbnRlbnRfVHlwZXNdLnhtbFBLAQItABQABgAIAAAAIQA4/SH/1gAA&#10;AJQBAAALAAAAAAAAAAAAAAAAAC8BAABfcmVscy8ucmVsc1BLAQItABQABgAIAAAAIQAWWIjufAIA&#10;AGkFAAAOAAAAAAAAAAAAAAAAAC4CAABkcnMvZTJvRG9jLnhtbFBLAQItABQABgAIAAAAIQBEnfly&#10;4QAAAAkBAAAPAAAAAAAAAAAAAAAAANYEAABkcnMvZG93bnJldi54bWxQSwUGAAAAAAQABADzAAAA&#10;5AUAAAAA&#10;" fillcolor="white [3201]" stroked="f" strokeweight=".5pt">
                <v:textbox inset="0,,1mm">
                  <w:txbxContent>
                    <w:p w14:paraId="13A28AF7" w14:textId="7E5D090A" w:rsidR="00A958DE" w:rsidRPr="00327217" w:rsidRDefault="00C94153" w:rsidP="00852C92">
                      <w:pPr>
                        <w:pStyle w:val="Callout"/>
                        <w:rPr>
                          <w:color w:val="F25E21" w:themeColor="accent2"/>
                        </w:rPr>
                      </w:pPr>
                      <w:r w:rsidRPr="00327217">
                        <w:rPr>
                          <w:rFonts w:asciiTheme="minorHAnsi" w:hAnsiTheme="minorHAnsi" w:cstheme="minorHAnsi"/>
                          <w:color w:val="F25E21" w:themeColor="accent2"/>
                        </w:rPr>
                        <w:t>C</w:t>
                      </w:r>
                      <w:r w:rsidR="00AB75A4" w:rsidRPr="00327217">
                        <w:rPr>
                          <w:rFonts w:asciiTheme="minorHAnsi" w:hAnsiTheme="minorHAnsi" w:cstheme="minorHAnsi"/>
                          <w:color w:val="F25E21" w:themeColor="accent2"/>
                        </w:rPr>
                        <w:t>ultural safety</w:t>
                      </w:r>
                      <w:r w:rsidR="00AB75A4" w:rsidRPr="00327217">
                        <w:rPr>
                          <w:color w:val="F25E21" w:themeColor="accent2"/>
                        </w:rPr>
                        <w:t xml:space="preserve"> refers to “an environment that is spiritually, socially, and emotionally safe, as well as physically safe for students; where there is no assault challenge or denial of their identity, of who they are, and what they need. It is about shared respect, shared meaning, shared knowledge, and experience of learning together</w:t>
                      </w:r>
                      <w:r w:rsidR="00C91C73" w:rsidRPr="00327217">
                        <w:rPr>
                          <w:color w:val="F25E21" w:themeColor="accent2"/>
                        </w:rPr>
                        <w:t>.</w:t>
                      </w:r>
                    </w:p>
                    <w:p w14:paraId="3E0DD515" w14:textId="5D2B752D" w:rsidR="00A958DE" w:rsidRPr="00327217" w:rsidRDefault="00852C92" w:rsidP="00756142">
                      <w:pPr>
                        <w:pStyle w:val="Callout"/>
                        <w:jc w:val="right"/>
                        <w:rPr>
                          <w:color w:val="F25E21" w:themeColor="accent2"/>
                          <w:sz w:val="18"/>
                          <w:szCs w:val="18"/>
                        </w:rPr>
                      </w:pPr>
                      <w:r w:rsidRPr="00327217">
                        <w:rPr>
                          <w:color w:val="F25E21" w:themeColor="accent2"/>
                          <w:sz w:val="18"/>
                          <w:szCs w:val="18"/>
                        </w:rPr>
                        <w:t xml:space="preserve">Robyn Williams. </w:t>
                      </w:r>
                    </w:p>
                  </w:txbxContent>
                </v:textbox>
                <w10:wrap type="square"/>
              </v:shape>
            </w:pict>
          </mc:Fallback>
        </mc:AlternateContent>
      </w:r>
      <w:r w:rsidR="003B30AE">
        <w:rPr>
          <w:lang w:eastAsia="en-AU"/>
        </w:rPr>
        <w:t xml:space="preserve">The large and persistent gap in education between First Nations students across Australia and their non-Indigenous </w:t>
      </w:r>
      <w:r w:rsidR="00AB7F2F">
        <w:rPr>
          <w:lang w:eastAsia="en-AU"/>
        </w:rPr>
        <w:t xml:space="preserve">classmates </w:t>
      </w:r>
      <w:r w:rsidR="00516CD7">
        <w:rPr>
          <w:lang w:eastAsia="en-AU"/>
        </w:rPr>
        <w:t xml:space="preserve">merits special </w:t>
      </w:r>
      <w:r w:rsidR="00E239B5">
        <w:rPr>
          <w:lang w:eastAsia="en-AU"/>
        </w:rPr>
        <w:t xml:space="preserve">consideration. </w:t>
      </w:r>
    </w:p>
    <w:p w14:paraId="7D49B918" w14:textId="28222873" w:rsidR="005928D6" w:rsidRDefault="008C2463" w:rsidP="00ED3ADB">
      <w:pPr>
        <w:rPr>
          <w:lang w:eastAsia="en-AU"/>
        </w:rPr>
      </w:pPr>
      <w:r>
        <w:rPr>
          <w:lang w:eastAsia="en-AU"/>
        </w:rPr>
        <w:t xml:space="preserve">These young people are far less likely to </w:t>
      </w:r>
      <w:r w:rsidR="00A90A2C">
        <w:rPr>
          <w:lang w:eastAsia="en-AU"/>
        </w:rPr>
        <w:t xml:space="preserve">achieve </w:t>
      </w:r>
      <w:r>
        <w:rPr>
          <w:lang w:eastAsia="en-AU"/>
        </w:rPr>
        <w:t xml:space="preserve">the four key educational </w:t>
      </w:r>
      <w:r w:rsidR="00A90A2C">
        <w:rPr>
          <w:lang w:eastAsia="en-AU"/>
        </w:rPr>
        <w:t>milestones</w:t>
      </w:r>
      <w:r w:rsidR="00E71096">
        <w:rPr>
          <w:lang w:eastAsia="en-AU"/>
        </w:rPr>
        <w:t xml:space="preserve"> reflected in Australia’s national goals for schooling</w:t>
      </w:r>
      <w:r w:rsidR="005928D6">
        <w:rPr>
          <w:lang w:eastAsia="en-AU"/>
        </w:rPr>
        <w:t>:</w:t>
      </w:r>
    </w:p>
    <w:p w14:paraId="1775B417" w14:textId="20601E2C" w:rsidR="00462709" w:rsidRPr="00326573" w:rsidRDefault="007D6A70" w:rsidP="00E45BFE">
      <w:pPr>
        <w:pStyle w:val="ListParagraph"/>
        <w:numPr>
          <w:ilvl w:val="0"/>
          <w:numId w:val="25"/>
        </w:numPr>
      </w:pPr>
      <w:r>
        <w:t>D</w:t>
      </w:r>
      <w:r w:rsidR="00A90A2C" w:rsidRPr="00326573">
        <w:t>e</w:t>
      </w:r>
      <w:r w:rsidR="001D70FC" w:rsidRPr="00326573">
        <w:t xml:space="preserve">velopmentally on track across all indicators in their first year of primary school </w:t>
      </w:r>
      <w:r w:rsidR="005928D6" w:rsidRPr="00326573">
        <w:t>(62</w:t>
      </w:r>
      <w:r w:rsidR="00CB1194" w:rsidRPr="00326573">
        <w:t xml:space="preserve"> per cent</w:t>
      </w:r>
      <w:r w:rsidR="005928D6" w:rsidRPr="00326573">
        <w:t xml:space="preserve"> </w:t>
      </w:r>
      <w:r w:rsidR="001E1A33" w:rsidRPr="00326573">
        <w:t xml:space="preserve">First Nations </w:t>
      </w:r>
      <w:r w:rsidR="00111921" w:rsidRPr="00326573">
        <w:t xml:space="preserve">meet this milestone </w:t>
      </w:r>
      <w:r w:rsidR="005928D6" w:rsidRPr="00326573">
        <w:t xml:space="preserve">versus </w:t>
      </w:r>
      <w:r w:rsidR="001E1A33" w:rsidRPr="00326573">
        <w:t>80</w:t>
      </w:r>
      <w:r w:rsidR="00CB1194" w:rsidRPr="00326573">
        <w:t xml:space="preserve"> per cent</w:t>
      </w:r>
      <w:r w:rsidR="001E1A33" w:rsidRPr="00326573">
        <w:t xml:space="preserve"> non-</w:t>
      </w:r>
      <w:r w:rsidR="00A61E33" w:rsidRPr="00326573">
        <w:t>Indigenous</w:t>
      </w:r>
      <w:r w:rsidR="001E1A33" w:rsidRPr="00326573">
        <w:t>)</w:t>
      </w:r>
    </w:p>
    <w:p w14:paraId="6D14B074" w14:textId="152D6785" w:rsidR="00462709" w:rsidRPr="00326573" w:rsidRDefault="007D6A70" w:rsidP="00E45BFE">
      <w:pPr>
        <w:pStyle w:val="ListParagraph"/>
        <w:numPr>
          <w:ilvl w:val="0"/>
          <w:numId w:val="25"/>
        </w:numPr>
      </w:pPr>
      <w:r>
        <w:t>P</w:t>
      </w:r>
      <w:r w:rsidR="00F45AEF" w:rsidRPr="00326573">
        <w:t>erforming above the national mini</w:t>
      </w:r>
      <w:r w:rsidR="009F724D" w:rsidRPr="00326573">
        <w:t>mum standard in both literacy and numeracy in Year 7</w:t>
      </w:r>
      <w:r w:rsidR="0025698A">
        <w:t xml:space="preserve"> </w:t>
      </w:r>
      <w:r w:rsidR="00485FC0" w:rsidRPr="00326573">
        <w:t>(40</w:t>
      </w:r>
      <w:r w:rsidR="00CB1194" w:rsidRPr="00326573">
        <w:t xml:space="preserve"> per cent</w:t>
      </w:r>
      <w:r w:rsidR="00485FC0" w:rsidRPr="00326573">
        <w:t xml:space="preserve"> versus 78</w:t>
      </w:r>
      <w:r w:rsidR="00CB1194" w:rsidRPr="00326573">
        <w:t xml:space="preserve"> per cent</w:t>
      </w:r>
      <w:r w:rsidR="00485FC0" w:rsidRPr="00326573">
        <w:t>)</w:t>
      </w:r>
    </w:p>
    <w:p w14:paraId="4E3DED5E" w14:textId="4EF27E84" w:rsidR="00E870EA" w:rsidRPr="00326573" w:rsidRDefault="007D6A70" w:rsidP="00E45BFE">
      <w:pPr>
        <w:pStyle w:val="ListParagraph"/>
        <w:numPr>
          <w:ilvl w:val="0"/>
          <w:numId w:val="25"/>
        </w:numPr>
        <w:rPr>
          <w:szCs w:val="17"/>
        </w:rPr>
      </w:pPr>
      <w:r>
        <w:rPr>
          <w:szCs w:val="17"/>
        </w:rPr>
        <w:lastRenderedPageBreak/>
        <w:t>A</w:t>
      </w:r>
      <w:r w:rsidR="009F724D" w:rsidRPr="00326573">
        <w:rPr>
          <w:szCs w:val="17"/>
        </w:rPr>
        <w:t xml:space="preserve">ttaining a Year 12 </w:t>
      </w:r>
      <w:r w:rsidR="005928D6" w:rsidRPr="00326573">
        <w:rPr>
          <w:szCs w:val="17"/>
        </w:rPr>
        <w:t>certificate</w:t>
      </w:r>
      <w:r w:rsidR="009F724D" w:rsidRPr="00326573">
        <w:rPr>
          <w:szCs w:val="17"/>
        </w:rPr>
        <w:t xml:space="preserve"> of equivalent</w:t>
      </w:r>
      <w:r w:rsidR="005F0F8D" w:rsidRPr="00326573">
        <w:rPr>
          <w:szCs w:val="17"/>
        </w:rPr>
        <w:t xml:space="preserve"> (</w:t>
      </w:r>
      <w:r w:rsidR="00A61E33" w:rsidRPr="00326573">
        <w:rPr>
          <w:szCs w:val="17"/>
        </w:rPr>
        <w:t>58</w:t>
      </w:r>
      <w:r w:rsidR="00CB1194" w:rsidRPr="00326573">
        <w:t xml:space="preserve"> per cent</w:t>
      </w:r>
      <w:r w:rsidR="005F0F8D" w:rsidRPr="00326573">
        <w:rPr>
          <w:szCs w:val="17"/>
        </w:rPr>
        <w:t xml:space="preserve"> versus </w:t>
      </w:r>
      <w:r w:rsidR="00A61E33" w:rsidRPr="00326573">
        <w:rPr>
          <w:szCs w:val="17"/>
        </w:rPr>
        <w:t>83</w:t>
      </w:r>
      <w:r w:rsidR="00CB1194" w:rsidRPr="00326573">
        <w:t xml:space="preserve"> per cent</w:t>
      </w:r>
      <w:r w:rsidR="009F724D" w:rsidRPr="00326573">
        <w:rPr>
          <w:szCs w:val="17"/>
        </w:rPr>
        <w:t xml:space="preserve"> and </w:t>
      </w:r>
      <w:r w:rsidR="0096282C" w:rsidRPr="00326573">
        <w:rPr>
          <w:szCs w:val="17"/>
        </w:rPr>
        <w:t>f</w:t>
      </w:r>
      <w:r w:rsidR="009F724D" w:rsidRPr="00326573">
        <w:rPr>
          <w:szCs w:val="17"/>
        </w:rPr>
        <w:t>ully engaged in education, training and work at age 24</w:t>
      </w:r>
      <w:r w:rsidR="00836661" w:rsidRPr="00326573">
        <w:rPr>
          <w:szCs w:val="17"/>
        </w:rPr>
        <w:t xml:space="preserve"> (41</w:t>
      </w:r>
      <w:r w:rsidR="00CB1194" w:rsidRPr="00326573">
        <w:t xml:space="preserve"> per cent</w:t>
      </w:r>
      <w:r w:rsidR="00836661" w:rsidRPr="00326573">
        <w:rPr>
          <w:szCs w:val="17"/>
        </w:rPr>
        <w:t xml:space="preserve"> versus </w:t>
      </w:r>
      <w:r w:rsidR="00317B4E" w:rsidRPr="00326573">
        <w:rPr>
          <w:szCs w:val="17"/>
        </w:rPr>
        <w:t>71</w:t>
      </w:r>
      <w:r w:rsidR="00CB1194" w:rsidRPr="00326573">
        <w:t xml:space="preserve"> per cent</w:t>
      </w:r>
      <w:r w:rsidR="00317B4E" w:rsidRPr="00326573">
        <w:rPr>
          <w:szCs w:val="17"/>
        </w:rPr>
        <w:t>)</w:t>
      </w:r>
      <w:r w:rsidR="0096282C" w:rsidRPr="00326573">
        <w:rPr>
          <w:szCs w:val="17"/>
        </w:rPr>
        <w:t>.</w:t>
      </w:r>
      <w:r w:rsidR="009F724D" w:rsidRPr="00326573">
        <w:rPr>
          <w:rStyle w:val="FootnoteReference"/>
          <w:szCs w:val="17"/>
        </w:rPr>
        <w:footnoteReference w:id="202"/>
      </w:r>
      <w:r w:rsidR="009F724D" w:rsidRPr="00326573">
        <w:rPr>
          <w:szCs w:val="17"/>
        </w:rPr>
        <w:t xml:space="preserve"> </w:t>
      </w:r>
    </w:p>
    <w:p w14:paraId="350EC2B7" w14:textId="2F0B3AE2" w:rsidR="00267450" w:rsidRDefault="00494E1D" w:rsidP="00ED3ADB">
      <w:pPr>
        <w:rPr>
          <w:lang w:eastAsia="en-AU"/>
        </w:rPr>
      </w:pPr>
      <w:r>
        <w:rPr>
          <w:lang w:eastAsia="en-AU"/>
        </w:rPr>
        <w:t xml:space="preserve">While </w:t>
      </w:r>
      <w:r w:rsidR="00111921">
        <w:rPr>
          <w:lang w:eastAsia="en-AU"/>
        </w:rPr>
        <w:t>educational</w:t>
      </w:r>
      <w:r>
        <w:rPr>
          <w:lang w:eastAsia="en-AU"/>
        </w:rPr>
        <w:t xml:space="preserve"> gaps h</w:t>
      </w:r>
      <w:r w:rsidR="00D31604">
        <w:rPr>
          <w:lang w:eastAsia="en-AU"/>
        </w:rPr>
        <w:t>ave narrowed</w:t>
      </w:r>
      <w:r w:rsidR="001F600D">
        <w:rPr>
          <w:lang w:eastAsia="en-AU"/>
        </w:rPr>
        <w:t xml:space="preserve"> since </w:t>
      </w:r>
      <w:r w:rsidR="0093278B">
        <w:rPr>
          <w:lang w:eastAsia="en-AU"/>
        </w:rPr>
        <w:t xml:space="preserve">2008, they remain unacceptably large, with deleterious effects for these young people, their </w:t>
      </w:r>
      <w:r w:rsidR="0096282C">
        <w:rPr>
          <w:lang w:eastAsia="en-AU"/>
        </w:rPr>
        <w:t>communities,</w:t>
      </w:r>
      <w:r w:rsidR="0093278B">
        <w:rPr>
          <w:lang w:eastAsia="en-AU"/>
        </w:rPr>
        <w:t xml:space="preserve"> and the country.</w:t>
      </w:r>
      <w:r w:rsidR="00513A67">
        <w:rPr>
          <w:lang w:eastAsia="en-AU"/>
        </w:rPr>
        <w:t xml:space="preserve"> Gaps are correlated with remoteness</w:t>
      </w:r>
      <w:r w:rsidR="008C3F84">
        <w:rPr>
          <w:lang w:eastAsia="en-AU"/>
        </w:rPr>
        <w:t xml:space="preserve"> and socio-economic status</w:t>
      </w:r>
      <w:r w:rsidR="00513A67">
        <w:rPr>
          <w:lang w:eastAsia="en-AU"/>
        </w:rPr>
        <w:t>.</w:t>
      </w:r>
      <w:r w:rsidR="008C3F84">
        <w:rPr>
          <w:lang w:eastAsia="en-AU"/>
        </w:rPr>
        <w:t xml:space="preserve"> The further a student lives from </w:t>
      </w:r>
      <w:r w:rsidR="00651DA5">
        <w:rPr>
          <w:lang w:eastAsia="en-AU"/>
        </w:rPr>
        <w:t xml:space="preserve">a </w:t>
      </w:r>
      <w:r w:rsidR="008C3F84">
        <w:rPr>
          <w:lang w:eastAsia="en-AU"/>
        </w:rPr>
        <w:t xml:space="preserve">capital </w:t>
      </w:r>
      <w:r w:rsidR="00651DA5">
        <w:rPr>
          <w:lang w:eastAsia="en-AU"/>
        </w:rPr>
        <w:t>city</w:t>
      </w:r>
      <w:r w:rsidR="008C3F84">
        <w:rPr>
          <w:lang w:eastAsia="en-AU"/>
        </w:rPr>
        <w:t xml:space="preserve">, and the lower the family </w:t>
      </w:r>
      <w:r w:rsidR="007A5980">
        <w:rPr>
          <w:lang w:eastAsia="en-AU"/>
        </w:rPr>
        <w:t xml:space="preserve">income and education levels, the </w:t>
      </w:r>
      <w:r w:rsidR="003A0299">
        <w:rPr>
          <w:lang w:eastAsia="en-AU"/>
        </w:rPr>
        <w:t>lower their chance to achieve these milestones and go on to achieve their full potential.</w:t>
      </w:r>
    </w:p>
    <w:p w14:paraId="248D9B8E" w14:textId="66F7A2AA" w:rsidR="00ED3ADB" w:rsidRPr="0086054F" w:rsidRDefault="00720A42" w:rsidP="00ED3ADB">
      <w:pPr>
        <w:rPr>
          <w:lang w:eastAsia="en-AU"/>
        </w:rPr>
      </w:pPr>
      <w:r>
        <w:rPr>
          <w:lang w:eastAsia="en-AU"/>
        </w:rPr>
        <w:t>Many fa</w:t>
      </w:r>
      <w:r w:rsidR="00C94153">
        <w:rPr>
          <w:lang w:eastAsia="en-AU"/>
        </w:rPr>
        <w:t>c</w:t>
      </w:r>
      <w:r>
        <w:rPr>
          <w:lang w:eastAsia="en-AU"/>
        </w:rPr>
        <w:t xml:space="preserve">tors </w:t>
      </w:r>
      <w:r w:rsidR="00C94153">
        <w:rPr>
          <w:lang w:eastAsia="en-AU"/>
        </w:rPr>
        <w:t>contribute</w:t>
      </w:r>
      <w:r>
        <w:rPr>
          <w:lang w:eastAsia="en-AU"/>
        </w:rPr>
        <w:t xml:space="preserve"> to </w:t>
      </w:r>
      <w:r w:rsidR="00A72495">
        <w:rPr>
          <w:lang w:eastAsia="en-AU"/>
        </w:rPr>
        <w:t xml:space="preserve">the </w:t>
      </w:r>
      <w:r w:rsidR="00326E3E">
        <w:rPr>
          <w:lang w:eastAsia="en-AU"/>
        </w:rPr>
        <w:t>yawning gap</w:t>
      </w:r>
      <w:r>
        <w:rPr>
          <w:lang w:eastAsia="en-AU"/>
        </w:rPr>
        <w:t xml:space="preserve">, including </w:t>
      </w:r>
      <w:r w:rsidR="00C2529C">
        <w:rPr>
          <w:lang w:eastAsia="en-AU"/>
        </w:rPr>
        <w:t>the impacts</w:t>
      </w:r>
      <w:r w:rsidR="005F3B7F">
        <w:rPr>
          <w:lang w:eastAsia="en-AU"/>
        </w:rPr>
        <w:t xml:space="preserve"> of</w:t>
      </w:r>
      <w:r w:rsidR="00C2529C">
        <w:rPr>
          <w:lang w:eastAsia="en-AU"/>
        </w:rPr>
        <w:t xml:space="preserve"> </w:t>
      </w:r>
      <w:r w:rsidR="0032359F">
        <w:rPr>
          <w:lang w:eastAsia="en-AU"/>
        </w:rPr>
        <w:t>colonisation</w:t>
      </w:r>
      <w:r w:rsidR="00A67853">
        <w:rPr>
          <w:lang w:eastAsia="en-AU"/>
        </w:rPr>
        <w:t xml:space="preserve"> and inter</w:t>
      </w:r>
      <w:r w:rsidR="003A0299">
        <w:rPr>
          <w:lang w:eastAsia="en-AU"/>
        </w:rPr>
        <w:t>generational</w:t>
      </w:r>
      <w:r w:rsidR="00A67853">
        <w:rPr>
          <w:lang w:eastAsia="en-AU"/>
        </w:rPr>
        <w:t xml:space="preserve"> </w:t>
      </w:r>
      <w:r w:rsidR="0032359F">
        <w:rPr>
          <w:lang w:eastAsia="en-AU"/>
        </w:rPr>
        <w:t xml:space="preserve">trauma, </w:t>
      </w:r>
      <w:r w:rsidR="004B1B0F">
        <w:rPr>
          <w:lang w:eastAsia="en-AU"/>
        </w:rPr>
        <w:t>susta</w:t>
      </w:r>
      <w:r w:rsidR="00A16B92">
        <w:rPr>
          <w:lang w:eastAsia="en-AU"/>
        </w:rPr>
        <w:t>in</w:t>
      </w:r>
      <w:r w:rsidR="00867766">
        <w:rPr>
          <w:lang w:eastAsia="en-AU"/>
        </w:rPr>
        <w:t>ed</w:t>
      </w:r>
      <w:r w:rsidR="000707BB">
        <w:rPr>
          <w:lang w:eastAsia="en-AU"/>
        </w:rPr>
        <w:t xml:space="preserve"> access to skilled teachers</w:t>
      </w:r>
      <w:r w:rsidR="0032359F">
        <w:rPr>
          <w:lang w:eastAsia="en-AU"/>
        </w:rPr>
        <w:t xml:space="preserve"> (especially in remote schools)</w:t>
      </w:r>
      <w:r w:rsidR="000707BB">
        <w:rPr>
          <w:lang w:eastAsia="en-AU"/>
        </w:rPr>
        <w:t xml:space="preserve">, </w:t>
      </w:r>
      <w:r w:rsidR="000147A6">
        <w:rPr>
          <w:lang w:eastAsia="en-AU"/>
        </w:rPr>
        <w:t>inadequately funded schools (especially in rural and remote areas)</w:t>
      </w:r>
      <w:r w:rsidR="00E21F75">
        <w:rPr>
          <w:lang w:eastAsia="en-AU"/>
        </w:rPr>
        <w:t>,</w:t>
      </w:r>
      <w:r w:rsidR="000147A6">
        <w:rPr>
          <w:lang w:eastAsia="en-AU"/>
        </w:rPr>
        <w:t xml:space="preserve"> </w:t>
      </w:r>
      <w:r w:rsidR="000707BB">
        <w:rPr>
          <w:lang w:eastAsia="en-AU"/>
        </w:rPr>
        <w:t>learning in one</w:t>
      </w:r>
      <w:r w:rsidR="005B4ADC">
        <w:rPr>
          <w:lang w:eastAsia="en-AU"/>
        </w:rPr>
        <w:t>’</w:t>
      </w:r>
      <w:r w:rsidR="000707BB">
        <w:rPr>
          <w:lang w:eastAsia="en-AU"/>
        </w:rPr>
        <w:t xml:space="preserve">s second (or third or </w:t>
      </w:r>
      <w:r w:rsidR="00C94153">
        <w:rPr>
          <w:lang w:eastAsia="en-AU"/>
        </w:rPr>
        <w:t>fourth</w:t>
      </w:r>
      <w:r w:rsidR="000707BB">
        <w:rPr>
          <w:lang w:eastAsia="en-AU"/>
        </w:rPr>
        <w:t xml:space="preserve"> language), </w:t>
      </w:r>
      <w:r w:rsidR="00C94153">
        <w:rPr>
          <w:lang w:eastAsia="en-AU"/>
        </w:rPr>
        <w:t>underlying and un</w:t>
      </w:r>
      <w:r w:rsidR="00FF05CF">
        <w:rPr>
          <w:lang w:eastAsia="en-AU"/>
        </w:rPr>
        <w:t>(</w:t>
      </w:r>
      <w:r w:rsidR="00C94153">
        <w:rPr>
          <w:lang w:eastAsia="en-AU"/>
        </w:rPr>
        <w:t>der</w:t>
      </w:r>
      <w:r w:rsidR="00FF05CF">
        <w:rPr>
          <w:lang w:eastAsia="en-AU"/>
        </w:rPr>
        <w:t>)</w:t>
      </w:r>
      <w:r w:rsidR="00C94153">
        <w:rPr>
          <w:lang w:eastAsia="en-AU"/>
        </w:rPr>
        <w:t xml:space="preserve">-treated health concerns, racism, and a lack of cultural safety in schools. </w:t>
      </w:r>
    </w:p>
    <w:p w14:paraId="4A3DC31E" w14:textId="02032E0C" w:rsidR="00995A40" w:rsidRDefault="00323D7D" w:rsidP="001364F2">
      <w:pPr>
        <w:rPr>
          <w:lang w:eastAsia="en-AU"/>
        </w:rPr>
      </w:pPr>
      <w:r>
        <w:rPr>
          <w:lang w:eastAsia="en-AU"/>
        </w:rPr>
        <w:t>As Robyn Williams articulated</w:t>
      </w:r>
      <w:r w:rsidR="00BD25E2">
        <w:rPr>
          <w:lang w:eastAsia="en-AU"/>
        </w:rPr>
        <w:t xml:space="preserve"> in 1999</w:t>
      </w:r>
      <w:r>
        <w:rPr>
          <w:lang w:eastAsia="en-AU"/>
        </w:rPr>
        <w:t xml:space="preserve">, </w:t>
      </w:r>
      <w:r w:rsidR="00905CF8">
        <w:rPr>
          <w:lang w:eastAsia="en-AU"/>
        </w:rPr>
        <w:t>“</w:t>
      </w:r>
      <w:r>
        <w:rPr>
          <w:lang w:eastAsia="en-AU"/>
        </w:rPr>
        <w:t xml:space="preserve">the issue of cultural safety </w:t>
      </w:r>
      <w:r w:rsidR="00FD3330">
        <w:rPr>
          <w:lang w:eastAsia="en-AU"/>
        </w:rPr>
        <w:t>cannot be avoided</w:t>
      </w:r>
      <w:r w:rsidR="00905CF8">
        <w:rPr>
          <w:lang w:eastAsia="en-AU"/>
        </w:rPr>
        <w:t>”</w:t>
      </w:r>
      <w:r w:rsidR="00FE66F8">
        <w:rPr>
          <w:rStyle w:val="FootnoteReference"/>
        </w:rPr>
        <w:footnoteReference w:id="203"/>
      </w:r>
      <w:r w:rsidR="00FD3330">
        <w:rPr>
          <w:lang w:eastAsia="en-AU"/>
        </w:rPr>
        <w:t xml:space="preserve"> if Australia is</w:t>
      </w:r>
      <w:r>
        <w:rPr>
          <w:lang w:eastAsia="en-AU"/>
        </w:rPr>
        <w:t xml:space="preserve"> t</w:t>
      </w:r>
      <w:r w:rsidR="00282D88">
        <w:rPr>
          <w:lang w:eastAsia="en-AU"/>
        </w:rPr>
        <w:t>o genuinely address the challenges of Indigenous health and education</w:t>
      </w:r>
      <w:r w:rsidR="00FE66F8">
        <w:rPr>
          <w:lang w:eastAsia="en-AU"/>
        </w:rPr>
        <w:t xml:space="preserve">. </w:t>
      </w:r>
      <w:r w:rsidR="00995A40">
        <w:rPr>
          <w:lang w:eastAsia="en-AU"/>
        </w:rPr>
        <w:t xml:space="preserve">This is echoed by </w:t>
      </w:r>
      <w:r w:rsidR="00614808">
        <w:rPr>
          <w:lang w:eastAsia="en-AU"/>
        </w:rPr>
        <w:t>the Australian Institute of Teaching and School Leadership (</w:t>
      </w:r>
      <w:r w:rsidR="00995A40">
        <w:rPr>
          <w:lang w:eastAsia="en-AU"/>
        </w:rPr>
        <w:t>AITSL</w:t>
      </w:r>
      <w:r w:rsidR="00614808">
        <w:rPr>
          <w:lang w:eastAsia="en-AU"/>
        </w:rPr>
        <w:t>)</w:t>
      </w:r>
      <w:r w:rsidR="00995A40">
        <w:rPr>
          <w:lang w:eastAsia="en-AU"/>
        </w:rPr>
        <w:t xml:space="preserve">, which </w:t>
      </w:r>
      <w:r w:rsidR="003972C7">
        <w:rPr>
          <w:lang w:eastAsia="en-AU"/>
        </w:rPr>
        <w:t>advise</w:t>
      </w:r>
      <w:r w:rsidR="008858C2">
        <w:rPr>
          <w:lang w:eastAsia="en-AU"/>
        </w:rPr>
        <w:t>d</w:t>
      </w:r>
      <w:r w:rsidR="003972C7">
        <w:rPr>
          <w:lang w:eastAsia="en-AU"/>
        </w:rPr>
        <w:t xml:space="preserve"> </w:t>
      </w:r>
      <w:r w:rsidR="00BD25E2">
        <w:rPr>
          <w:lang w:eastAsia="en-AU"/>
        </w:rPr>
        <w:t xml:space="preserve">in its landmark </w:t>
      </w:r>
      <w:r w:rsidR="00321110">
        <w:rPr>
          <w:lang w:eastAsia="en-AU"/>
        </w:rPr>
        <w:t xml:space="preserve">report </w:t>
      </w:r>
      <w:r w:rsidR="008858C2">
        <w:rPr>
          <w:lang w:eastAsia="en-AU"/>
        </w:rPr>
        <w:t>on growing teachers’ cultural responsiveness</w:t>
      </w:r>
      <w:r w:rsidR="00614808">
        <w:rPr>
          <w:lang w:eastAsia="en-AU"/>
        </w:rPr>
        <w:t xml:space="preserve"> that</w:t>
      </w:r>
      <w:r w:rsidR="003972C7">
        <w:rPr>
          <w:lang w:eastAsia="en-AU"/>
        </w:rPr>
        <w:t xml:space="preserve"> “</w:t>
      </w:r>
      <w:r w:rsidR="00614808">
        <w:t>t</w:t>
      </w:r>
      <w:r w:rsidR="003972C7">
        <w:t>he cultural safety of Australian schools and other education settings for students, teachers, and ancillary staff is foundational to meeting the learning needs and aspirations of Aboriginal and Torres Strait Islander learners, along with the needs and aspirations of their families and communities.”</w:t>
      </w:r>
      <w:r w:rsidR="00F5364A">
        <w:rPr>
          <w:rStyle w:val="FootnoteReference"/>
        </w:rPr>
        <w:footnoteReference w:id="204"/>
      </w:r>
    </w:p>
    <w:p w14:paraId="31F90747" w14:textId="2B622EAA" w:rsidR="00B174B3" w:rsidRDefault="00C14D5C" w:rsidP="00ED3ADB">
      <w:pPr>
        <w:rPr>
          <w:lang w:eastAsia="en-AU"/>
        </w:rPr>
      </w:pPr>
      <w:r>
        <w:rPr>
          <w:lang w:eastAsia="en-AU"/>
        </w:rPr>
        <w:t xml:space="preserve">Cultural safety can be enhanced </w:t>
      </w:r>
      <w:r w:rsidR="00A27211">
        <w:rPr>
          <w:lang w:eastAsia="en-AU"/>
        </w:rPr>
        <w:t>when</w:t>
      </w:r>
      <w:r>
        <w:rPr>
          <w:lang w:eastAsia="en-AU"/>
        </w:rPr>
        <w:t xml:space="preserve"> the curriculum, ped</w:t>
      </w:r>
      <w:r w:rsidR="00804B3D">
        <w:rPr>
          <w:lang w:eastAsia="en-AU"/>
        </w:rPr>
        <w:t>ag</w:t>
      </w:r>
      <w:r>
        <w:rPr>
          <w:lang w:eastAsia="en-AU"/>
        </w:rPr>
        <w:t>ogy and school community reflect</w:t>
      </w:r>
      <w:r w:rsidR="00804B3D">
        <w:rPr>
          <w:lang w:eastAsia="en-AU"/>
        </w:rPr>
        <w:t xml:space="preserve">, </w:t>
      </w:r>
      <w:r w:rsidR="0088028D">
        <w:rPr>
          <w:lang w:eastAsia="en-AU"/>
        </w:rPr>
        <w:t>value,</w:t>
      </w:r>
      <w:r w:rsidR="00804B3D">
        <w:rPr>
          <w:lang w:eastAsia="en-AU"/>
        </w:rPr>
        <w:t xml:space="preserve"> and respond to </w:t>
      </w:r>
      <w:r w:rsidR="00604EDC">
        <w:rPr>
          <w:lang w:eastAsia="en-AU"/>
        </w:rPr>
        <w:t>cultural knowledge, understanding, language and ways of being, such as learning On Country, from Country</w:t>
      </w:r>
      <w:r w:rsidR="007967B4">
        <w:rPr>
          <w:lang w:eastAsia="en-AU"/>
        </w:rPr>
        <w:t>,</w:t>
      </w:r>
      <w:r w:rsidR="009222B7">
        <w:rPr>
          <w:lang w:eastAsia="en-AU"/>
        </w:rPr>
        <w:t xml:space="preserve"> and</w:t>
      </w:r>
      <w:r w:rsidR="00604EDC">
        <w:rPr>
          <w:lang w:eastAsia="en-AU"/>
        </w:rPr>
        <w:t xml:space="preserve"> inclusion of </w:t>
      </w:r>
      <w:r w:rsidR="009222B7">
        <w:rPr>
          <w:lang w:eastAsia="en-AU"/>
        </w:rPr>
        <w:t>First Nations languages and concepts, as a</w:t>
      </w:r>
      <w:r w:rsidR="0082140E">
        <w:rPr>
          <w:lang w:eastAsia="en-AU"/>
        </w:rPr>
        <w:t xml:space="preserve"> vehicle for engaging students and providing them </w:t>
      </w:r>
      <w:r w:rsidR="0044639B">
        <w:rPr>
          <w:lang w:eastAsia="en-AU"/>
        </w:rPr>
        <w:t xml:space="preserve">with access points to the curriculum and strong literacy, </w:t>
      </w:r>
      <w:r w:rsidR="004B13ED">
        <w:rPr>
          <w:lang w:eastAsia="en-AU"/>
        </w:rPr>
        <w:t>numeracy,</w:t>
      </w:r>
      <w:r w:rsidR="0044639B">
        <w:rPr>
          <w:lang w:eastAsia="en-AU"/>
        </w:rPr>
        <w:t xml:space="preserve"> and other core capabilities.</w:t>
      </w:r>
      <w:r w:rsidR="0082140E">
        <w:rPr>
          <w:lang w:eastAsia="en-AU"/>
        </w:rPr>
        <w:t xml:space="preserve"> </w:t>
      </w:r>
    </w:p>
    <w:p w14:paraId="5AFF069D" w14:textId="33352CB0" w:rsidR="00C14D5C" w:rsidRDefault="0044639B" w:rsidP="00ED3ADB">
      <w:pPr>
        <w:rPr>
          <w:lang w:eastAsia="en-AU"/>
        </w:rPr>
      </w:pPr>
      <w:r>
        <w:rPr>
          <w:lang w:eastAsia="en-AU"/>
        </w:rPr>
        <w:t xml:space="preserve">For this reason, we do not advise </w:t>
      </w:r>
      <w:r w:rsidR="00B174B3">
        <w:rPr>
          <w:lang w:eastAsia="en-AU"/>
        </w:rPr>
        <w:t xml:space="preserve">seeking to </w:t>
      </w:r>
      <w:r>
        <w:rPr>
          <w:lang w:eastAsia="en-AU"/>
        </w:rPr>
        <w:t>reduc</w:t>
      </w:r>
      <w:r w:rsidR="00B174B3">
        <w:rPr>
          <w:lang w:eastAsia="en-AU"/>
        </w:rPr>
        <w:t>e</w:t>
      </w:r>
      <w:r>
        <w:rPr>
          <w:lang w:eastAsia="en-AU"/>
        </w:rPr>
        <w:t xml:space="preserve"> concentrations of Indigenous students within schools, but rather, </w:t>
      </w:r>
      <w:r w:rsidR="002A5B1E">
        <w:rPr>
          <w:lang w:eastAsia="en-AU"/>
        </w:rPr>
        <w:t xml:space="preserve">ensuring the schools </w:t>
      </w:r>
      <w:r w:rsidR="00376A71">
        <w:rPr>
          <w:lang w:eastAsia="en-AU"/>
        </w:rPr>
        <w:t>they attend are fully equipped to meet their educational needs in a culturally safe way.</w:t>
      </w:r>
    </w:p>
    <w:p w14:paraId="27AC19AD" w14:textId="0ADCBC29" w:rsidR="00282D88" w:rsidRDefault="00FE66F8" w:rsidP="00ED3ADB">
      <w:pPr>
        <w:rPr>
          <w:lang w:eastAsia="en-AU"/>
        </w:rPr>
      </w:pPr>
      <w:r>
        <w:rPr>
          <w:lang w:eastAsia="en-AU"/>
        </w:rPr>
        <w:t>The people most able or equipped to provide a culturally safe atmosphere are people from the same culture</w:t>
      </w:r>
      <w:r w:rsidR="00B174B3">
        <w:rPr>
          <w:lang w:eastAsia="en-AU"/>
        </w:rPr>
        <w:t>.</w:t>
      </w:r>
      <w:r>
        <w:rPr>
          <w:rStyle w:val="FootnoteReference"/>
        </w:rPr>
        <w:footnoteReference w:id="205"/>
      </w:r>
      <w:r>
        <w:t xml:space="preserve"> </w:t>
      </w:r>
      <w:r w:rsidR="00714FC1">
        <w:rPr>
          <w:lang w:eastAsia="en-AU"/>
        </w:rPr>
        <w:t xml:space="preserve">Regrettably, the </w:t>
      </w:r>
      <w:r w:rsidR="00161D2C">
        <w:rPr>
          <w:lang w:eastAsia="en-AU"/>
        </w:rPr>
        <w:t>proportion</w:t>
      </w:r>
      <w:r w:rsidR="00714FC1">
        <w:rPr>
          <w:lang w:eastAsia="en-AU"/>
        </w:rPr>
        <w:t xml:space="preserve"> of First </w:t>
      </w:r>
      <w:r w:rsidR="00161D2C">
        <w:rPr>
          <w:lang w:eastAsia="en-AU"/>
        </w:rPr>
        <w:t>Nations</w:t>
      </w:r>
      <w:r w:rsidR="00714FC1">
        <w:rPr>
          <w:lang w:eastAsia="en-AU"/>
        </w:rPr>
        <w:t xml:space="preserve"> teachers is far smaller than the proportion of First Nations people in the general </w:t>
      </w:r>
      <w:r w:rsidR="00161D2C">
        <w:rPr>
          <w:lang w:eastAsia="en-AU"/>
        </w:rPr>
        <w:t>population</w:t>
      </w:r>
      <w:r w:rsidR="00714FC1">
        <w:rPr>
          <w:lang w:eastAsia="en-AU"/>
        </w:rPr>
        <w:t xml:space="preserve">, and </w:t>
      </w:r>
      <w:r w:rsidR="003963F4">
        <w:rPr>
          <w:lang w:eastAsia="en-AU"/>
        </w:rPr>
        <w:t xml:space="preserve">while there are </w:t>
      </w:r>
      <w:r w:rsidR="00227C40">
        <w:rPr>
          <w:lang w:eastAsia="en-AU"/>
        </w:rPr>
        <w:t xml:space="preserve">scattered </w:t>
      </w:r>
      <w:r w:rsidR="003963F4">
        <w:rPr>
          <w:lang w:eastAsia="en-AU"/>
        </w:rPr>
        <w:t>initiatives to recruit, train, support and retain First Nations Teachers scattered across Australia, the</w:t>
      </w:r>
      <w:r w:rsidR="00F51CAA">
        <w:rPr>
          <w:lang w:eastAsia="en-AU"/>
        </w:rPr>
        <w:t>y</w:t>
      </w:r>
      <w:r w:rsidR="003963F4">
        <w:rPr>
          <w:lang w:eastAsia="en-AU"/>
        </w:rPr>
        <w:t xml:space="preserve"> are </w:t>
      </w:r>
      <w:r w:rsidR="00F51CAA">
        <w:rPr>
          <w:lang w:eastAsia="en-AU"/>
        </w:rPr>
        <w:t xml:space="preserve">inadequate, </w:t>
      </w:r>
      <w:r w:rsidR="001364F2">
        <w:rPr>
          <w:lang w:eastAsia="en-AU"/>
        </w:rPr>
        <w:t xml:space="preserve">with Australia continuing to lose current and future teachers at each stage of the workforce pipeline. It is hoped that the </w:t>
      </w:r>
      <w:r w:rsidR="00787CB3">
        <w:rPr>
          <w:lang w:eastAsia="en-AU"/>
        </w:rPr>
        <w:t xml:space="preserve">forthcoming co-design of </w:t>
      </w:r>
      <w:r w:rsidR="00042B34">
        <w:rPr>
          <w:lang w:eastAsia="en-AU"/>
        </w:rPr>
        <w:t xml:space="preserve">actions </w:t>
      </w:r>
      <w:r w:rsidR="00BB571B">
        <w:rPr>
          <w:lang w:eastAsia="en-AU"/>
        </w:rPr>
        <w:t>to attract and retain more</w:t>
      </w:r>
      <w:r w:rsidR="00787CB3">
        <w:rPr>
          <w:lang w:eastAsia="en-AU"/>
        </w:rPr>
        <w:t xml:space="preserve"> First Nations </w:t>
      </w:r>
      <w:r w:rsidR="00BB571B">
        <w:rPr>
          <w:lang w:eastAsia="en-AU"/>
        </w:rPr>
        <w:t xml:space="preserve">teachers (Action </w:t>
      </w:r>
      <w:r w:rsidR="0025698A">
        <w:rPr>
          <w:lang w:eastAsia="en-AU"/>
        </w:rPr>
        <w:t>10</w:t>
      </w:r>
      <w:r w:rsidR="00BB571B">
        <w:rPr>
          <w:lang w:eastAsia="en-AU"/>
        </w:rPr>
        <w:t xml:space="preserve"> of the National Teacher </w:t>
      </w:r>
      <w:r w:rsidR="00EA304E">
        <w:rPr>
          <w:lang w:eastAsia="en-AU"/>
        </w:rPr>
        <w:t>Workforce</w:t>
      </w:r>
      <w:r w:rsidR="00BB571B">
        <w:rPr>
          <w:lang w:eastAsia="en-AU"/>
        </w:rPr>
        <w:t xml:space="preserve"> Action Plan)</w:t>
      </w:r>
      <w:r w:rsidR="00EA304E">
        <w:rPr>
          <w:lang w:eastAsia="en-AU"/>
        </w:rPr>
        <w:t>,  $14</w:t>
      </w:r>
      <w:r w:rsidR="00B520CC">
        <w:rPr>
          <w:lang w:eastAsia="en-AU"/>
        </w:rPr>
        <w:t xml:space="preserve">.1m investment in teaching of First Nations Languages, and AITSL’s work </w:t>
      </w:r>
      <w:r w:rsidR="00C02170">
        <w:rPr>
          <w:lang w:eastAsia="en-AU"/>
        </w:rPr>
        <w:t xml:space="preserve">with First Nations education </w:t>
      </w:r>
      <w:r w:rsidR="00161D2C">
        <w:rPr>
          <w:lang w:eastAsia="en-AU"/>
        </w:rPr>
        <w:t>experts</w:t>
      </w:r>
      <w:r w:rsidR="00C02170">
        <w:rPr>
          <w:lang w:eastAsia="en-AU"/>
        </w:rPr>
        <w:t xml:space="preserve">, </w:t>
      </w:r>
      <w:r w:rsidR="00161D2C">
        <w:rPr>
          <w:lang w:eastAsia="en-AU"/>
        </w:rPr>
        <w:t>students</w:t>
      </w:r>
      <w:r w:rsidR="00C02170">
        <w:rPr>
          <w:lang w:eastAsia="en-AU"/>
        </w:rPr>
        <w:t xml:space="preserve">, </w:t>
      </w:r>
      <w:r w:rsidR="00161D2C">
        <w:rPr>
          <w:lang w:eastAsia="en-AU"/>
        </w:rPr>
        <w:t>teachers</w:t>
      </w:r>
      <w:r w:rsidR="00C02170">
        <w:rPr>
          <w:lang w:eastAsia="en-AU"/>
        </w:rPr>
        <w:t xml:space="preserve">, families and communities to build a cultural competency professional learning toolkit can grow cultural safety and contribute to closing the </w:t>
      </w:r>
      <w:r w:rsidR="00161D2C">
        <w:rPr>
          <w:lang w:eastAsia="en-AU"/>
        </w:rPr>
        <w:t>educational gaps between Indigenous students and their non-Indigenous peers.</w:t>
      </w:r>
      <w:r w:rsidR="00787CB3">
        <w:rPr>
          <w:lang w:eastAsia="en-AU"/>
        </w:rPr>
        <w:t xml:space="preserve"> </w:t>
      </w:r>
    </w:p>
    <w:p w14:paraId="6610506E" w14:textId="15436485" w:rsidR="00ED3ADB" w:rsidRDefault="00EA3E59" w:rsidP="007D5D3A">
      <w:pPr>
        <w:pStyle w:val="Heading2"/>
      </w:pPr>
      <w:bookmarkStart w:id="41" w:name="_Ref148951362"/>
      <w:bookmarkStart w:id="42" w:name="_Ref148951370"/>
      <w:bookmarkStart w:id="43" w:name="_Toc149052463"/>
      <w:bookmarkStart w:id="44" w:name="_Hlk146901196"/>
      <w:r>
        <w:lastRenderedPageBreak/>
        <w:t>I</w:t>
      </w:r>
      <w:r w:rsidR="00514623">
        <w:t xml:space="preserve">nternational </w:t>
      </w:r>
      <w:r w:rsidR="00AD09D5">
        <w:t xml:space="preserve">lessons transcend </w:t>
      </w:r>
      <w:r w:rsidR="00514623">
        <w:t>differences in politics, culture and geography</w:t>
      </w:r>
      <w:bookmarkEnd w:id="41"/>
      <w:bookmarkEnd w:id="42"/>
      <w:bookmarkEnd w:id="43"/>
      <w:r w:rsidR="00514623">
        <w:t xml:space="preserve"> </w:t>
      </w:r>
      <w:bookmarkEnd w:id="44"/>
    </w:p>
    <w:p w14:paraId="1D728C53" w14:textId="5CDECDC3" w:rsidR="00B174B3" w:rsidRPr="000509EB" w:rsidRDefault="00962BD3" w:rsidP="006F3166">
      <w:pPr>
        <w:rPr>
          <w:lang w:eastAsia="en-AU"/>
        </w:rPr>
      </w:pPr>
      <w:r w:rsidRPr="008F6CD5">
        <w:rPr>
          <w:lang w:eastAsia="en-AU"/>
        </w:rPr>
        <w:t xml:space="preserve">The countries covered in this report </w:t>
      </w:r>
      <w:r w:rsidR="00A03330" w:rsidRPr="008F6CD5">
        <w:rPr>
          <w:lang w:eastAsia="en-AU"/>
        </w:rPr>
        <w:t xml:space="preserve">by virtue </w:t>
      </w:r>
      <w:r w:rsidR="00764B15">
        <w:rPr>
          <w:lang w:eastAsia="en-AU"/>
        </w:rPr>
        <w:t>of</w:t>
      </w:r>
      <w:r w:rsidR="00764B15" w:rsidRPr="008F6CD5">
        <w:rPr>
          <w:lang w:eastAsia="en-AU"/>
        </w:rPr>
        <w:t xml:space="preserve"> </w:t>
      </w:r>
      <w:r w:rsidR="00A03330" w:rsidRPr="008F6CD5">
        <w:rPr>
          <w:lang w:eastAsia="en-AU"/>
        </w:rPr>
        <w:t xml:space="preserve">their policy interventions to improve diversity or counter the effects of </w:t>
      </w:r>
      <w:r w:rsidR="00A03330" w:rsidRPr="000509EB">
        <w:rPr>
          <w:lang w:eastAsia="en-AU"/>
        </w:rPr>
        <w:t xml:space="preserve">residualisation </w:t>
      </w:r>
      <w:r w:rsidR="008F6CD5" w:rsidRPr="000509EB">
        <w:rPr>
          <w:lang w:eastAsia="en-AU"/>
        </w:rPr>
        <w:t xml:space="preserve">differ from each other, and Australia, in multiple meaningful ways. </w:t>
      </w:r>
      <w:r w:rsidR="00CF5AB2" w:rsidRPr="000509EB">
        <w:rPr>
          <w:lang w:eastAsia="en-AU"/>
        </w:rPr>
        <w:t xml:space="preserve">Even </w:t>
      </w:r>
      <w:r w:rsidR="005E7C81" w:rsidRPr="000509EB">
        <w:rPr>
          <w:lang w:eastAsia="en-AU"/>
        </w:rPr>
        <w:t>countries</w:t>
      </w:r>
      <w:r w:rsidR="00CF5AB2" w:rsidRPr="000509EB">
        <w:rPr>
          <w:lang w:eastAsia="en-AU"/>
        </w:rPr>
        <w:t xml:space="preserve"> most </w:t>
      </w:r>
      <w:r w:rsidR="00B86E8D" w:rsidRPr="000509EB">
        <w:rPr>
          <w:lang w:eastAsia="en-AU"/>
        </w:rPr>
        <w:t>like</w:t>
      </w:r>
      <w:r w:rsidR="00CF5AB2" w:rsidRPr="000509EB">
        <w:rPr>
          <w:lang w:eastAsia="en-AU"/>
        </w:rPr>
        <w:t xml:space="preserve"> Australia</w:t>
      </w:r>
      <w:r w:rsidR="005E7C81" w:rsidRPr="000509EB">
        <w:rPr>
          <w:lang w:eastAsia="en-AU"/>
        </w:rPr>
        <w:t xml:space="preserve"> </w:t>
      </w:r>
      <w:r w:rsidR="00CF5AB2" w:rsidRPr="000509EB">
        <w:rPr>
          <w:lang w:eastAsia="en-AU"/>
        </w:rPr>
        <w:t>hold distinct differences</w:t>
      </w:r>
      <w:r w:rsidR="00C01EED" w:rsidRPr="000509EB">
        <w:rPr>
          <w:lang w:eastAsia="en-AU"/>
        </w:rPr>
        <w:t>. For example:</w:t>
      </w:r>
    </w:p>
    <w:p w14:paraId="0FBA0FD5" w14:textId="6F7F3213" w:rsidR="0026680D" w:rsidRPr="001A44AA" w:rsidRDefault="00E0417B" w:rsidP="00E45BFE">
      <w:pPr>
        <w:pStyle w:val="ListParagraph"/>
        <w:numPr>
          <w:ilvl w:val="0"/>
          <w:numId w:val="19"/>
        </w:numPr>
      </w:pPr>
      <w:r w:rsidRPr="001A44AA">
        <w:t>New Zealand</w:t>
      </w:r>
      <w:r w:rsidR="0081659F" w:rsidRPr="001A44AA">
        <w:t xml:space="preserve"> share</w:t>
      </w:r>
      <w:r w:rsidR="009172C4" w:rsidRPr="001A44AA">
        <w:t>s with Australia</w:t>
      </w:r>
      <w:r w:rsidR="0081659F" w:rsidRPr="001A44AA">
        <w:t xml:space="preserve"> history </w:t>
      </w:r>
      <w:r w:rsidR="00186A32">
        <w:t xml:space="preserve">of </w:t>
      </w:r>
      <w:r w:rsidR="0081659F" w:rsidRPr="001A44AA">
        <w:t>a British colony</w:t>
      </w:r>
      <w:r w:rsidR="009172C4" w:rsidRPr="001A44AA">
        <w:t xml:space="preserve"> with a Westminster parliamentary system, </w:t>
      </w:r>
      <w:r w:rsidR="00C91429" w:rsidRPr="001A44AA">
        <w:t xml:space="preserve">proud continued First Nations population, population concentrated in capital cities, and </w:t>
      </w:r>
      <w:r w:rsidR="0026680D" w:rsidRPr="001A44AA">
        <w:t xml:space="preserve">strong immigration. However, it also differs culturally and </w:t>
      </w:r>
      <w:r w:rsidR="00586950" w:rsidRPr="001A44AA">
        <w:t>linguistically</w:t>
      </w:r>
      <w:r w:rsidR="0026680D" w:rsidRPr="001A44AA">
        <w:t xml:space="preserve">. There is </w:t>
      </w:r>
      <w:r w:rsidR="00D0444E" w:rsidRPr="001A44AA">
        <w:t>only</w:t>
      </w:r>
      <w:r w:rsidR="0026680D" w:rsidRPr="001A44AA">
        <w:t xml:space="preserve"> </w:t>
      </w:r>
      <w:r w:rsidR="00586950" w:rsidRPr="001A44AA">
        <w:t>one</w:t>
      </w:r>
      <w:r w:rsidR="0026680D" w:rsidRPr="001A44AA">
        <w:t xml:space="preserve"> </w:t>
      </w:r>
      <w:r w:rsidR="00586950" w:rsidRPr="001A44AA">
        <w:t>Māori</w:t>
      </w:r>
      <w:r w:rsidR="0026680D" w:rsidRPr="001A44AA">
        <w:t xml:space="preserve"> </w:t>
      </w:r>
      <w:r w:rsidR="000631B4" w:rsidRPr="001A44AA">
        <w:t>language,</w:t>
      </w:r>
      <w:r w:rsidR="00C13AA0">
        <w:t xml:space="preserve"> and</w:t>
      </w:r>
      <w:r w:rsidR="0026680D" w:rsidRPr="001A44AA">
        <w:t xml:space="preserve"> the </w:t>
      </w:r>
      <w:r w:rsidR="00586950" w:rsidRPr="001A44AA">
        <w:t>Māori</w:t>
      </w:r>
      <w:r w:rsidR="0026680D" w:rsidRPr="001A44AA">
        <w:t xml:space="preserve"> proportion of the national student population is much larger</w:t>
      </w:r>
      <w:r w:rsidR="00C13AA0">
        <w:t xml:space="preserve"> than Australia’s Aboriginal and Torres Strait Islander student proportion</w:t>
      </w:r>
      <w:r w:rsidR="0026680D" w:rsidRPr="001A44AA">
        <w:t xml:space="preserve"> (20</w:t>
      </w:r>
      <w:r w:rsidR="00836E84">
        <w:t xml:space="preserve"> per cent</w:t>
      </w:r>
      <w:r w:rsidR="0026680D" w:rsidRPr="001A44AA">
        <w:t xml:space="preserve"> versus 6</w:t>
      </w:r>
      <w:r w:rsidR="00836E84" w:rsidRPr="00836E84">
        <w:t xml:space="preserve"> </w:t>
      </w:r>
      <w:r w:rsidR="00836E84">
        <w:t>per cent</w:t>
      </w:r>
      <w:r w:rsidR="00004F74" w:rsidRPr="001A44AA">
        <w:t>)</w:t>
      </w:r>
      <w:r w:rsidR="00004F74">
        <w:t>.</w:t>
      </w:r>
      <w:r w:rsidR="00004F74" w:rsidRPr="001A44AA">
        <w:t xml:space="preserve"> </w:t>
      </w:r>
      <w:r w:rsidR="00004F74">
        <w:t>T</w:t>
      </w:r>
      <w:r w:rsidR="00004F74" w:rsidRPr="001A44AA">
        <w:t>here</w:t>
      </w:r>
      <w:r w:rsidR="00586950" w:rsidRPr="001A44AA">
        <w:t xml:space="preserve"> is not a federal system of government, and</w:t>
      </w:r>
      <w:r w:rsidR="000631B4">
        <w:t>,</w:t>
      </w:r>
      <w:r w:rsidR="00586950" w:rsidRPr="001A44AA">
        <w:t xml:space="preserve"> even when there were national standards, these were based on overall teacher judgments, not standardised tests such as NAPLAN. </w:t>
      </w:r>
      <w:r w:rsidR="0026680D" w:rsidRPr="001A44AA">
        <w:t xml:space="preserve"> </w:t>
      </w:r>
    </w:p>
    <w:p w14:paraId="6EFD5CE8" w14:textId="53173958" w:rsidR="0026680D" w:rsidRPr="001A44AA" w:rsidRDefault="00CF5AB2" w:rsidP="00E45BFE">
      <w:pPr>
        <w:pStyle w:val="ListParagraph"/>
        <w:numPr>
          <w:ilvl w:val="0"/>
          <w:numId w:val="19"/>
        </w:numPr>
      </w:pPr>
      <w:r w:rsidRPr="001A44AA">
        <w:t>Canada, like Australia</w:t>
      </w:r>
      <w:r w:rsidR="00C304AF" w:rsidRPr="001A44AA">
        <w:t xml:space="preserve"> has </w:t>
      </w:r>
      <w:r w:rsidR="00D90E03" w:rsidRPr="001A44AA">
        <w:t xml:space="preserve">a relatively young population </w:t>
      </w:r>
      <w:r w:rsidR="0006532E" w:rsidRPr="001A44AA">
        <w:t xml:space="preserve">with </w:t>
      </w:r>
      <w:r w:rsidR="00C304AF" w:rsidRPr="001A44AA">
        <w:t xml:space="preserve">very high proportions of </w:t>
      </w:r>
      <w:r w:rsidR="00D0444E" w:rsidRPr="001A44AA">
        <w:t>first- and second-generation</w:t>
      </w:r>
      <w:r w:rsidR="00D90E03" w:rsidRPr="001A44AA">
        <w:t xml:space="preserve"> migrants </w:t>
      </w:r>
      <w:r w:rsidR="0006532E" w:rsidRPr="001A44AA">
        <w:t xml:space="preserve">and many different First Nations people with their distinct languages and cultures. </w:t>
      </w:r>
      <w:r w:rsidR="00641A19" w:rsidRPr="001A44AA">
        <w:t xml:space="preserve">But while it is a federation, its federal government has no </w:t>
      </w:r>
      <w:r w:rsidR="00CC025B" w:rsidRPr="001A44AA">
        <w:t xml:space="preserve">school system funding, </w:t>
      </w:r>
      <w:r w:rsidR="00A72DEF" w:rsidRPr="001A44AA">
        <w:t>policy,</w:t>
      </w:r>
      <w:r w:rsidR="00CC025B" w:rsidRPr="001A44AA">
        <w:t xml:space="preserve"> or regulat</w:t>
      </w:r>
      <w:r w:rsidR="00DA6208">
        <w:t>ory roles</w:t>
      </w:r>
      <w:r w:rsidR="00CC025B" w:rsidRPr="001A44AA">
        <w:t>.</w:t>
      </w:r>
      <w:r w:rsidR="00EA0D48" w:rsidRPr="001A44AA">
        <w:t xml:space="preserve"> Provinces have greater </w:t>
      </w:r>
      <w:r w:rsidR="001D19FD" w:rsidRPr="001A44AA">
        <w:t>responsibilities</w:t>
      </w:r>
      <w:r w:rsidR="00EA0D48" w:rsidRPr="001A44AA">
        <w:t xml:space="preserve"> – and ability to meet these through </w:t>
      </w:r>
      <w:r w:rsidR="00D2402B">
        <w:t xml:space="preserve">far greater </w:t>
      </w:r>
      <w:r w:rsidR="00EA0D48" w:rsidRPr="001A44AA">
        <w:t>fiscal powers</w:t>
      </w:r>
      <w:r w:rsidR="001D19FD" w:rsidRPr="001A44AA">
        <w:t>. But Cana</w:t>
      </w:r>
      <w:r w:rsidR="00EE638A" w:rsidRPr="001A44AA">
        <w:t xml:space="preserve">da is also </w:t>
      </w:r>
      <w:r w:rsidR="000509EB" w:rsidRPr="001A44AA">
        <w:t>bilingual</w:t>
      </w:r>
      <w:r w:rsidR="00EE638A" w:rsidRPr="001A44AA">
        <w:t>, with the French-speaking population concentrated in Qu</w:t>
      </w:r>
      <w:r w:rsidR="000509EB" w:rsidRPr="001A44AA">
        <w:t>e</w:t>
      </w:r>
      <w:r w:rsidR="00EE638A" w:rsidRPr="001A44AA">
        <w:t>bec.</w:t>
      </w:r>
    </w:p>
    <w:p w14:paraId="54572A57" w14:textId="4CACE1EC" w:rsidR="005E64CF" w:rsidRDefault="00EE638A" w:rsidP="006F3166">
      <w:pPr>
        <w:rPr>
          <w:lang w:eastAsia="en-AU"/>
        </w:rPr>
      </w:pPr>
      <w:r w:rsidRPr="000509EB">
        <w:rPr>
          <w:lang w:eastAsia="en-AU"/>
        </w:rPr>
        <w:t>Despite these differences</w:t>
      </w:r>
      <w:r w:rsidR="005B0C8B">
        <w:rPr>
          <w:lang w:eastAsia="en-AU"/>
        </w:rPr>
        <w:t xml:space="preserve">, our overarching insights still hold. </w:t>
      </w:r>
      <w:r w:rsidR="00C86CBC">
        <w:rPr>
          <w:lang w:eastAsia="en-AU"/>
        </w:rPr>
        <w:t>This report</w:t>
      </w:r>
      <w:r w:rsidR="00370F43">
        <w:rPr>
          <w:lang w:eastAsia="en-AU"/>
        </w:rPr>
        <w:t xml:space="preserve"> shows that countries with very different </w:t>
      </w:r>
      <w:r w:rsidR="003A360A">
        <w:rPr>
          <w:lang w:eastAsia="en-AU"/>
        </w:rPr>
        <w:t>political</w:t>
      </w:r>
      <w:r w:rsidR="00370F43">
        <w:rPr>
          <w:lang w:eastAsia="en-AU"/>
        </w:rPr>
        <w:t xml:space="preserve"> systems, </w:t>
      </w:r>
      <w:r w:rsidR="003A360A">
        <w:rPr>
          <w:lang w:eastAsia="en-AU"/>
        </w:rPr>
        <w:t>histories</w:t>
      </w:r>
      <w:r w:rsidR="00370F43">
        <w:rPr>
          <w:lang w:eastAsia="en-AU"/>
        </w:rPr>
        <w:t xml:space="preserve">, </w:t>
      </w:r>
      <w:r w:rsidR="003A360A">
        <w:rPr>
          <w:lang w:eastAsia="en-AU"/>
        </w:rPr>
        <w:t>geographies, sizes</w:t>
      </w:r>
      <w:r w:rsidR="00D57E3A">
        <w:rPr>
          <w:lang w:eastAsia="en-AU"/>
        </w:rPr>
        <w:t>,</w:t>
      </w:r>
      <w:r w:rsidR="00370F43">
        <w:rPr>
          <w:lang w:eastAsia="en-AU"/>
        </w:rPr>
        <w:t xml:space="preserve"> and cultural mixes can effect significant change through </w:t>
      </w:r>
      <w:r w:rsidR="003A360A">
        <w:rPr>
          <w:lang w:eastAsia="en-AU"/>
        </w:rPr>
        <w:t>concerted effort and w</w:t>
      </w:r>
      <w:r w:rsidR="004B6C25">
        <w:rPr>
          <w:lang w:eastAsia="en-AU"/>
        </w:rPr>
        <w:t>ell-designed policy packages</w:t>
      </w:r>
      <w:r w:rsidR="003820A4">
        <w:rPr>
          <w:lang w:eastAsia="en-AU"/>
        </w:rPr>
        <w:t>.</w:t>
      </w:r>
      <w:r w:rsidR="00A575DA">
        <w:rPr>
          <w:lang w:eastAsia="en-AU"/>
        </w:rPr>
        <w:t xml:space="preserve"> </w:t>
      </w:r>
    </w:p>
    <w:p w14:paraId="389A3164" w14:textId="2A944BE9" w:rsidR="00A22127" w:rsidRDefault="00FD2DDF" w:rsidP="00FD2DDF">
      <w:pPr>
        <w:pStyle w:val="Heading2"/>
      </w:pPr>
      <w:bookmarkStart w:id="45" w:name="_Toc149052464"/>
      <w:r>
        <w:t>Change</w:t>
      </w:r>
      <w:r w:rsidR="00E6149C">
        <w:t>s can be phased in</w:t>
      </w:r>
      <w:bookmarkEnd w:id="45"/>
    </w:p>
    <w:p w14:paraId="53C0CA8C" w14:textId="1DB0F0B8" w:rsidR="00EA3E59" w:rsidRPr="00EA3E59" w:rsidRDefault="00E6149C" w:rsidP="00EA3E59">
      <w:pPr>
        <w:rPr>
          <w:lang w:eastAsia="en-AU"/>
        </w:rPr>
      </w:pPr>
      <w:r>
        <w:rPr>
          <w:lang w:eastAsia="en-AU"/>
        </w:rPr>
        <w:t xml:space="preserve">Even when pursuing a combination of interventions as one </w:t>
      </w:r>
      <w:r w:rsidR="00EA3E59">
        <w:rPr>
          <w:lang w:eastAsia="en-AU"/>
        </w:rPr>
        <w:t xml:space="preserve">package, reform does not have to be done in one ‘big bang’. Several of the interventions we have studied could be introduced gradually. </w:t>
      </w:r>
      <w:r w:rsidR="00EA3E59" w:rsidRPr="00EA3E59">
        <w:rPr>
          <w:lang w:eastAsia="en-AU"/>
        </w:rPr>
        <w:t>For example:</w:t>
      </w:r>
    </w:p>
    <w:p w14:paraId="262751D3" w14:textId="6703D662" w:rsidR="00EA3E59" w:rsidRPr="00EA3E59" w:rsidRDefault="007025A4" w:rsidP="00E45BFE">
      <w:pPr>
        <w:pStyle w:val="ListParagraph"/>
        <w:numPr>
          <w:ilvl w:val="0"/>
          <w:numId w:val="31"/>
        </w:numPr>
        <w:rPr>
          <w:lang w:eastAsia="en-AU"/>
        </w:rPr>
      </w:pPr>
      <w:r>
        <w:rPr>
          <w:lang w:eastAsia="en-AU"/>
        </w:rPr>
        <w:t>R</w:t>
      </w:r>
      <w:r w:rsidR="00EA3E59" w:rsidRPr="00EA3E59">
        <w:rPr>
          <w:lang w:eastAsia="en-AU"/>
        </w:rPr>
        <w:t>educing selectivity among public schools or raising of the</w:t>
      </w:r>
      <w:r w:rsidR="00FD2F9D">
        <w:rPr>
          <w:lang w:eastAsia="en-AU"/>
        </w:rPr>
        <w:t xml:space="preserve"> </w:t>
      </w:r>
      <w:r w:rsidR="00BD53C2">
        <w:rPr>
          <w:lang w:eastAsia="en-AU"/>
        </w:rPr>
        <w:t>‘</w:t>
      </w:r>
      <w:r w:rsidR="00EA3E59" w:rsidRPr="00EA3E59">
        <w:rPr>
          <w:lang w:eastAsia="en-AU"/>
        </w:rPr>
        <w:t>'selectio</w:t>
      </w:r>
      <w:r w:rsidR="00FD2F9D">
        <w:rPr>
          <w:lang w:eastAsia="en-AU"/>
        </w:rPr>
        <w:t>n</w:t>
      </w:r>
      <w:r w:rsidR="00BD53C2">
        <w:rPr>
          <w:lang w:eastAsia="en-AU"/>
        </w:rPr>
        <w:t>’</w:t>
      </w:r>
      <w:r w:rsidR="00EA3E59" w:rsidRPr="00EA3E59">
        <w:rPr>
          <w:lang w:eastAsia="en-AU"/>
        </w:rPr>
        <w:t>' age from Grade 6 (in NSW) to Year 9 with priority for First Nations and very low SES</w:t>
      </w:r>
      <w:r w:rsidR="00FA69BF">
        <w:rPr>
          <w:lang w:eastAsia="en-AU"/>
        </w:rPr>
        <w:t xml:space="preserve"> students</w:t>
      </w:r>
      <w:r w:rsidR="00EA3E59" w:rsidRPr="00EA3E59">
        <w:rPr>
          <w:lang w:eastAsia="en-AU"/>
        </w:rPr>
        <w:t>, as is the case in Victoria</w:t>
      </w:r>
      <w:r w:rsidR="007A7BFB">
        <w:rPr>
          <w:lang w:eastAsia="en-AU"/>
        </w:rPr>
        <w:t>.</w:t>
      </w:r>
    </w:p>
    <w:p w14:paraId="4D7AD3E2" w14:textId="57CF7DEB" w:rsidR="00EA3E59" w:rsidRPr="00EA3E59" w:rsidRDefault="007025A4" w:rsidP="00E45BFE">
      <w:pPr>
        <w:pStyle w:val="ListParagraph"/>
        <w:numPr>
          <w:ilvl w:val="0"/>
          <w:numId w:val="31"/>
        </w:numPr>
        <w:rPr>
          <w:lang w:eastAsia="en-AU"/>
        </w:rPr>
      </w:pPr>
      <w:r>
        <w:rPr>
          <w:lang w:eastAsia="en-AU"/>
        </w:rPr>
        <w:t>I</w:t>
      </w:r>
      <w:r w:rsidR="00EA3E59" w:rsidRPr="00EA3E59">
        <w:rPr>
          <w:lang w:eastAsia="en-AU"/>
        </w:rPr>
        <w:t>mposing enrolment boundaries on non-government schools as a condition of public funding</w:t>
      </w:r>
      <w:r w:rsidR="000A1AEE">
        <w:rPr>
          <w:lang w:eastAsia="en-AU"/>
        </w:rPr>
        <w:t>.</w:t>
      </w:r>
    </w:p>
    <w:p w14:paraId="7C1F62D5" w14:textId="1C643508" w:rsidR="00EA3E59" w:rsidRPr="00EA3E59" w:rsidRDefault="007025A4" w:rsidP="00E45BFE">
      <w:pPr>
        <w:pStyle w:val="ListParagraph"/>
        <w:numPr>
          <w:ilvl w:val="0"/>
          <w:numId w:val="31"/>
        </w:numPr>
        <w:rPr>
          <w:lang w:eastAsia="en-AU"/>
        </w:rPr>
      </w:pPr>
      <w:r>
        <w:rPr>
          <w:lang w:eastAsia="en-AU"/>
        </w:rPr>
        <w:t>I</w:t>
      </w:r>
      <w:r w:rsidR="00EA3E59" w:rsidRPr="00EA3E59">
        <w:rPr>
          <w:lang w:eastAsia="en-AU"/>
        </w:rPr>
        <w:t xml:space="preserve">ntroducing ‘soft’ quotas or targets, potentially </w:t>
      </w:r>
      <w:r w:rsidR="00736D41">
        <w:rPr>
          <w:lang w:eastAsia="en-AU"/>
        </w:rPr>
        <w:t xml:space="preserve">in tandem </w:t>
      </w:r>
      <w:r w:rsidR="00EA3E59" w:rsidRPr="00EA3E59">
        <w:rPr>
          <w:lang w:eastAsia="en-AU"/>
        </w:rPr>
        <w:t>with a lottery element</w:t>
      </w:r>
      <w:r w:rsidR="007A7BFB">
        <w:rPr>
          <w:lang w:eastAsia="en-AU"/>
        </w:rPr>
        <w:t>.</w:t>
      </w:r>
    </w:p>
    <w:p w14:paraId="5B1F8E7F" w14:textId="563F2621" w:rsidR="00EA3E59" w:rsidRPr="00EA3E59" w:rsidRDefault="007025A4" w:rsidP="00E45BFE">
      <w:pPr>
        <w:pStyle w:val="ListParagraph"/>
        <w:numPr>
          <w:ilvl w:val="0"/>
          <w:numId w:val="31"/>
        </w:numPr>
        <w:rPr>
          <w:lang w:eastAsia="en-AU"/>
        </w:rPr>
      </w:pPr>
      <w:r>
        <w:rPr>
          <w:lang w:eastAsia="en-AU"/>
        </w:rPr>
        <w:t>C</w:t>
      </w:r>
      <w:r w:rsidR="00EA3E59" w:rsidRPr="00EA3E59">
        <w:rPr>
          <w:lang w:eastAsia="en-AU"/>
        </w:rPr>
        <w:t xml:space="preserve">apping </w:t>
      </w:r>
      <w:r w:rsidR="007A7BFB" w:rsidRPr="00EA3E59">
        <w:rPr>
          <w:lang w:eastAsia="en-AU"/>
        </w:rPr>
        <w:t>fees or</w:t>
      </w:r>
      <w:r w:rsidR="00EA3E59" w:rsidRPr="00EA3E59">
        <w:rPr>
          <w:lang w:eastAsia="en-AU"/>
        </w:rPr>
        <w:t xml:space="preserve"> using a sliding scale where the public subsidy (post application of the ‘capacity to pay’ adjustment) reduces beyond a certain fee threshold</w:t>
      </w:r>
      <w:r w:rsidR="00D57E3A">
        <w:rPr>
          <w:lang w:eastAsia="en-AU"/>
        </w:rPr>
        <w:t>.</w:t>
      </w:r>
    </w:p>
    <w:p w14:paraId="4D239A6E" w14:textId="0782BC9E" w:rsidR="00D6411A" w:rsidRDefault="00650086" w:rsidP="00006E63">
      <w:pPr>
        <w:pStyle w:val="Heading2"/>
      </w:pPr>
      <w:bookmarkStart w:id="46" w:name="_Toc149052465"/>
      <w:bookmarkStart w:id="47" w:name="_Hlk146902149"/>
      <w:r>
        <w:t xml:space="preserve">There are </w:t>
      </w:r>
      <w:r w:rsidR="00D95820">
        <w:t>several</w:t>
      </w:r>
      <w:r>
        <w:t xml:space="preserve"> </w:t>
      </w:r>
      <w:r w:rsidR="00A575DA">
        <w:t xml:space="preserve">factors </w:t>
      </w:r>
      <w:r w:rsidR="0014045D">
        <w:t>common to successful interventions</w:t>
      </w:r>
      <w:bookmarkEnd w:id="46"/>
    </w:p>
    <w:bookmarkEnd w:id="47"/>
    <w:p w14:paraId="40893411" w14:textId="577722BE" w:rsidR="00DF14C9" w:rsidRPr="00DF14C9" w:rsidRDefault="00DF14C9" w:rsidP="00DF14C9">
      <w:pPr>
        <w:rPr>
          <w:lang w:eastAsia="en-AU"/>
        </w:rPr>
      </w:pPr>
      <w:r>
        <w:rPr>
          <w:lang w:eastAsia="en-AU"/>
        </w:rPr>
        <w:t>The</w:t>
      </w:r>
      <w:r w:rsidR="00650086" w:rsidRPr="00650086">
        <w:t xml:space="preserve"> </w:t>
      </w:r>
      <w:r w:rsidR="00650086">
        <w:t xml:space="preserve">research suggests the following factors are </w:t>
      </w:r>
      <w:r w:rsidR="00650086" w:rsidRPr="00650086">
        <w:rPr>
          <w:lang w:eastAsia="en-AU"/>
        </w:rPr>
        <w:t>associated with achievement of policy goals</w:t>
      </w:r>
      <w:r w:rsidR="00650086">
        <w:rPr>
          <w:lang w:eastAsia="en-AU"/>
        </w:rPr>
        <w:t xml:space="preserve"> related to promoting </w:t>
      </w:r>
      <w:r w:rsidR="00D95820">
        <w:rPr>
          <w:lang w:eastAsia="en-AU"/>
        </w:rPr>
        <w:t>in-school diversity. Several that loom are</w:t>
      </w:r>
      <w:r w:rsidR="002A53F3">
        <w:rPr>
          <w:lang w:eastAsia="en-AU"/>
        </w:rPr>
        <w:t>:</w:t>
      </w:r>
    </w:p>
    <w:p w14:paraId="49D88CDF" w14:textId="1596A66F" w:rsidR="00924065" w:rsidRPr="006724C6" w:rsidRDefault="007025A4" w:rsidP="00E45BFE">
      <w:pPr>
        <w:pStyle w:val="ListParagraph"/>
        <w:numPr>
          <w:ilvl w:val="0"/>
          <w:numId w:val="32"/>
        </w:numPr>
      </w:pPr>
      <w:r w:rsidRPr="00F81BDB">
        <w:rPr>
          <w:rFonts w:asciiTheme="majorHAnsi" w:hAnsiTheme="majorHAnsi" w:cstheme="majorHAnsi"/>
        </w:rPr>
        <w:t>C</w:t>
      </w:r>
      <w:r w:rsidR="00086EFB" w:rsidRPr="00F81BDB">
        <w:rPr>
          <w:rFonts w:asciiTheme="majorHAnsi" w:hAnsiTheme="majorHAnsi" w:cstheme="majorHAnsi"/>
        </w:rPr>
        <w:t>lear</w:t>
      </w:r>
      <w:r w:rsidR="00924065" w:rsidRPr="00F81BDB">
        <w:rPr>
          <w:rFonts w:asciiTheme="majorHAnsi" w:hAnsiTheme="majorHAnsi" w:cstheme="majorHAnsi"/>
        </w:rPr>
        <w:t xml:space="preserve"> objectives</w:t>
      </w:r>
      <w:r w:rsidR="00924065" w:rsidRPr="006724C6">
        <w:t xml:space="preserve"> –</w:t>
      </w:r>
      <w:r w:rsidR="00086EFB" w:rsidRPr="006724C6">
        <w:t xml:space="preserve"> </w:t>
      </w:r>
      <w:r w:rsidR="008B1E74">
        <w:t xml:space="preserve">a </w:t>
      </w:r>
      <w:r w:rsidR="00924065" w:rsidRPr="006724C6">
        <w:t>well-</w:t>
      </w:r>
      <w:r w:rsidR="00CB5188" w:rsidRPr="006724C6">
        <w:t>articulated definition of the</w:t>
      </w:r>
      <w:r w:rsidR="00924065" w:rsidRPr="006724C6">
        <w:t xml:space="preserve"> </w:t>
      </w:r>
      <w:r w:rsidR="00086EFB" w:rsidRPr="006724C6">
        <w:t xml:space="preserve">policy objective and benefits </w:t>
      </w:r>
      <w:r w:rsidR="00C12013" w:rsidRPr="006724C6">
        <w:t>accruing</w:t>
      </w:r>
      <w:r w:rsidR="00086EFB" w:rsidRPr="006724C6">
        <w:t xml:space="preserve"> to </w:t>
      </w:r>
      <w:r w:rsidR="00800248" w:rsidRPr="006724C6">
        <w:t xml:space="preserve">students, </w:t>
      </w:r>
      <w:r w:rsidR="00C12013" w:rsidRPr="006724C6">
        <w:t>communities</w:t>
      </w:r>
      <w:r w:rsidR="00800248" w:rsidRPr="006724C6">
        <w:t xml:space="preserve"> and the nation</w:t>
      </w:r>
      <w:r w:rsidR="008C07CE">
        <w:t>.</w:t>
      </w:r>
    </w:p>
    <w:p w14:paraId="16AB192A" w14:textId="0C13C9EE" w:rsidR="005E64CF" w:rsidRPr="006724C6" w:rsidRDefault="007025A4" w:rsidP="00E45BFE">
      <w:pPr>
        <w:pStyle w:val="ListParagraph"/>
        <w:numPr>
          <w:ilvl w:val="0"/>
          <w:numId w:val="32"/>
        </w:numPr>
      </w:pPr>
      <w:r w:rsidRPr="00F81BDB">
        <w:rPr>
          <w:rFonts w:asciiTheme="majorHAnsi" w:hAnsiTheme="majorHAnsi" w:cstheme="majorHAnsi"/>
        </w:rPr>
        <w:t>C</w:t>
      </w:r>
      <w:r w:rsidR="005E64CF" w:rsidRPr="00F81BDB">
        <w:rPr>
          <w:rFonts w:asciiTheme="majorHAnsi" w:hAnsiTheme="majorHAnsi" w:cstheme="majorHAnsi"/>
        </w:rPr>
        <w:t>areful design</w:t>
      </w:r>
      <w:r w:rsidR="008A6813" w:rsidRPr="006724C6">
        <w:t xml:space="preserve"> –</w:t>
      </w:r>
      <w:r w:rsidR="00F10A70" w:rsidRPr="006724C6">
        <w:t xml:space="preserve"> including consideration of system influences and interaction with concurrent policies</w:t>
      </w:r>
      <w:r w:rsidR="008C07CE">
        <w:t>.</w:t>
      </w:r>
    </w:p>
    <w:p w14:paraId="3A144138" w14:textId="34E361EC" w:rsidR="00B453B0" w:rsidRPr="006724C6" w:rsidRDefault="007025A4" w:rsidP="00E45BFE">
      <w:pPr>
        <w:pStyle w:val="ListParagraph"/>
        <w:numPr>
          <w:ilvl w:val="0"/>
          <w:numId w:val="32"/>
        </w:numPr>
      </w:pPr>
      <w:r w:rsidRPr="00F81BDB">
        <w:rPr>
          <w:rFonts w:asciiTheme="majorHAnsi" w:hAnsiTheme="majorHAnsi" w:cstheme="majorHAnsi"/>
        </w:rPr>
        <w:t>S</w:t>
      </w:r>
      <w:r w:rsidR="008A6813" w:rsidRPr="00F81BDB">
        <w:rPr>
          <w:rFonts w:asciiTheme="majorHAnsi" w:hAnsiTheme="majorHAnsi" w:cstheme="majorHAnsi"/>
        </w:rPr>
        <w:t>ound evidence</w:t>
      </w:r>
      <w:r w:rsidR="008A6813" w:rsidRPr="006724C6">
        <w:t xml:space="preserve"> – </w:t>
      </w:r>
      <w:r w:rsidR="008B1E74">
        <w:t xml:space="preserve">a </w:t>
      </w:r>
      <w:r w:rsidR="008A6813" w:rsidRPr="006724C6">
        <w:t>c</w:t>
      </w:r>
      <w:r w:rsidR="00C12013" w:rsidRPr="006724C6">
        <w:t>ritical review of past policy failings</w:t>
      </w:r>
      <w:r w:rsidR="00B453B0" w:rsidRPr="006724C6">
        <w:t xml:space="preserve">, </w:t>
      </w:r>
      <w:r w:rsidR="003A360A" w:rsidRPr="006724C6">
        <w:t>recognising</w:t>
      </w:r>
      <w:r w:rsidR="00B453B0" w:rsidRPr="006724C6">
        <w:t xml:space="preserve"> change is possible</w:t>
      </w:r>
      <w:r w:rsidR="008C07CE">
        <w:t>.</w:t>
      </w:r>
    </w:p>
    <w:p w14:paraId="695926B5" w14:textId="26E4ED59" w:rsidR="0076121E" w:rsidRPr="006724C6" w:rsidRDefault="007025A4" w:rsidP="00E45BFE">
      <w:pPr>
        <w:pStyle w:val="ListParagraph"/>
        <w:numPr>
          <w:ilvl w:val="0"/>
          <w:numId w:val="32"/>
        </w:numPr>
      </w:pPr>
      <w:r w:rsidRPr="00F81BDB">
        <w:rPr>
          <w:rFonts w:asciiTheme="majorHAnsi" w:hAnsiTheme="majorHAnsi" w:cstheme="majorHAnsi"/>
        </w:rPr>
        <w:t>C</w:t>
      </w:r>
      <w:r w:rsidR="008A6813" w:rsidRPr="00F81BDB">
        <w:rPr>
          <w:rFonts w:asciiTheme="majorHAnsi" w:hAnsiTheme="majorHAnsi" w:cstheme="majorHAnsi"/>
        </w:rPr>
        <w:t>ommunity buy-in</w:t>
      </w:r>
      <w:r w:rsidR="008A6813" w:rsidRPr="006724C6">
        <w:t xml:space="preserve"> – building networks or coalitions of support and enable </w:t>
      </w:r>
      <w:r w:rsidR="00B453B0" w:rsidRPr="006724C6">
        <w:t xml:space="preserve">meaningful community input to the </w:t>
      </w:r>
      <w:r w:rsidR="008A6813" w:rsidRPr="006724C6">
        <w:t xml:space="preserve">design and implementation of </w:t>
      </w:r>
      <w:r w:rsidR="00B453B0" w:rsidRPr="006724C6">
        <w:t>reforms</w:t>
      </w:r>
      <w:r w:rsidR="008C07CE">
        <w:t>.</w:t>
      </w:r>
    </w:p>
    <w:p w14:paraId="583A5BDE" w14:textId="560BF82B" w:rsidR="00660459" w:rsidRPr="006724C6" w:rsidRDefault="007025A4" w:rsidP="00E45BFE">
      <w:pPr>
        <w:pStyle w:val="ListParagraph"/>
        <w:numPr>
          <w:ilvl w:val="0"/>
          <w:numId w:val="32"/>
        </w:numPr>
      </w:pPr>
      <w:r w:rsidRPr="00F81BDB">
        <w:rPr>
          <w:rFonts w:asciiTheme="majorHAnsi" w:hAnsiTheme="majorHAnsi" w:cstheme="majorHAnsi"/>
        </w:rPr>
        <w:t>O</w:t>
      </w:r>
      <w:r w:rsidR="00093B31" w:rsidRPr="00F81BDB">
        <w:rPr>
          <w:rFonts w:asciiTheme="majorHAnsi" w:hAnsiTheme="majorHAnsi" w:cstheme="majorHAnsi"/>
        </w:rPr>
        <w:t>ptionality</w:t>
      </w:r>
      <w:r w:rsidR="00093B31" w:rsidRPr="00B1260D">
        <w:rPr>
          <w:b/>
          <w:bCs/>
        </w:rPr>
        <w:t xml:space="preserve"> </w:t>
      </w:r>
      <w:r w:rsidR="00093B31" w:rsidRPr="006724C6">
        <w:t xml:space="preserve">– </w:t>
      </w:r>
      <w:r w:rsidR="008B1E74">
        <w:t>a</w:t>
      </w:r>
      <w:r w:rsidR="00093B31" w:rsidRPr="006724C6">
        <w:t xml:space="preserve">voiding </w:t>
      </w:r>
      <w:r w:rsidR="0063143B" w:rsidRPr="006724C6">
        <w:t>an over-reliance on</w:t>
      </w:r>
      <w:r w:rsidR="00093B31" w:rsidRPr="006724C6">
        <w:t xml:space="preserve"> compliance </w:t>
      </w:r>
      <w:r w:rsidR="00993EDE" w:rsidRPr="006724C6">
        <w:t xml:space="preserve">versus </w:t>
      </w:r>
      <w:r w:rsidR="00B973F0" w:rsidRPr="006724C6">
        <w:t>incentives and</w:t>
      </w:r>
      <w:r w:rsidR="00993EDE" w:rsidRPr="006724C6">
        <w:t xml:space="preserve"> allow for schools to opt-in where this does not compromise </w:t>
      </w:r>
      <w:r w:rsidR="0048704D" w:rsidRPr="006724C6">
        <w:t>longer-term objectives</w:t>
      </w:r>
      <w:r w:rsidR="00AA616F" w:rsidRPr="006724C6">
        <w:t xml:space="preserve"> of </w:t>
      </w:r>
      <w:r w:rsidR="0048704D" w:rsidRPr="006724C6">
        <w:t xml:space="preserve">more systemic change. </w:t>
      </w:r>
      <w:r w:rsidR="00C12013" w:rsidRPr="006724C6">
        <w:t xml:space="preserve"> </w:t>
      </w:r>
    </w:p>
    <w:p w14:paraId="585DE399" w14:textId="29A66128" w:rsidR="00942447" w:rsidRDefault="00D65BA1" w:rsidP="00417678">
      <w:pPr>
        <w:pStyle w:val="Heading1"/>
      </w:pPr>
      <w:bookmarkStart w:id="48" w:name="_Toc149052466"/>
      <w:r w:rsidRPr="00103F8B">
        <w:rPr>
          <w:noProof/>
          <w:color w:val="FFFFFF" w:themeColor="background1"/>
        </w:rPr>
        <w:lastRenderedPageBreak/>
        <w:drawing>
          <wp:anchor distT="0" distB="0" distL="114300" distR="114300" simplePos="0" relativeHeight="251658255" behindDoc="1" locked="0" layoutInCell="1" allowOverlap="1" wp14:anchorId="38E03669" wp14:editId="50CB4E1F">
            <wp:simplePos x="0" y="0"/>
            <wp:positionH relativeFrom="column">
              <wp:posOffset>-862330</wp:posOffset>
            </wp:positionH>
            <wp:positionV relativeFrom="paragraph">
              <wp:posOffset>-791581</wp:posOffset>
            </wp:positionV>
            <wp:extent cx="7552178" cy="1259457"/>
            <wp:effectExtent l="0" t="0" r="0" b="0"/>
            <wp:wrapNone/>
            <wp:docPr id="1227462903" name="Picture 12274629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62903" name="Picture 1227462903">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b="34259"/>
                    <a:stretch/>
                  </pic:blipFill>
                  <pic:spPr bwMode="auto">
                    <a:xfrm>
                      <a:off x="0" y="0"/>
                      <a:ext cx="7552178" cy="12594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F05" w:rsidRPr="00103F8B">
        <w:rPr>
          <w:color w:val="FFFFFF" w:themeColor="background1"/>
        </w:rPr>
        <w:t>Recommendations</w:t>
      </w:r>
      <w:bookmarkEnd w:id="48"/>
      <w:r w:rsidR="00190F05" w:rsidRPr="00103F8B">
        <w:rPr>
          <w:color w:val="FFFFFF" w:themeColor="background1"/>
        </w:rPr>
        <w:t xml:space="preserve"> </w:t>
      </w:r>
    </w:p>
    <w:tbl>
      <w:tblPr>
        <w:tblStyle w:val="NousLongformcallout"/>
        <w:tblW w:w="4950" w:type="pct"/>
        <w:tblCellMar>
          <w:top w:w="170" w:type="dxa"/>
          <w:bottom w:w="170" w:type="dxa"/>
        </w:tblCellMar>
        <w:tblLook w:val="04A0" w:firstRow="1" w:lastRow="0" w:firstColumn="1" w:lastColumn="0" w:noHBand="0" w:noVBand="1"/>
      </w:tblPr>
      <w:tblGrid>
        <w:gridCol w:w="9070"/>
      </w:tblGrid>
      <w:tr w:rsidR="000351F9" w14:paraId="538A94C0" w14:textId="77777777" w:rsidTr="006203D9">
        <w:tc>
          <w:tcPr>
            <w:tcW w:w="7285" w:type="dxa"/>
          </w:tcPr>
          <w:p w14:paraId="7A34B82D" w14:textId="2B5C050C" w:rsidR="000351F9" w:rsidRPr="002B7A6E" w:rsidRDefault="000351F9" w:rsidP="006B2AF1">
            <w:pPr>
              <w:pStyle w:val="Longformcallout"/>
              <w:rPr>
                <w:b/>
              </w:rPr>
            </w:pPr>
            <w:r w:rsidRPr="00AA26DC">
              <w:t>This</w:t>
            </w:r>
            <w:r w:rsidR="0080423C">
              <w:t xml:space="preserve"> section outlines </w:t>
            </w:r>
            <w:r w:rsidR="00753BCE">
              <w:t xml:space="preserve">the recommendations </w:t>
            </w:r>
            <w:r w:rsidR="00806257">
              <w:t>for further a</w:t>
            </w:r>
            <w:r w:rsidR="003A6383">
              <w:t>ction based on the findings and implications set out in this report</w:t>
            </w:r>
            <w:r w:rsidR="00753BCE">
              <w:t>.</w:t>
            </w:r>
          </w:p>
        </w:tc>
      </w:tr>
    </w:tbl>
    <w:p w14:paraId="131F7A7A" w14:textId="7FF743E3" w:rsidR="00BC09CC" w:rsidRDefault="00A146D5" w:rsidP="00793AD5">
      <w:pPr>
        <w:pStyle w:val="Heading5"/>
        <w:rPr>
          <w:b w:val="0"/>
          <w:bCs/>
          <w:color w:val="auto"/>
        </w:rPr>
      </w:pPr>
      <w:r>
        <w:rPr>
          <w:b w:val="0"/>
          <w:bCs/>
          <w:color w:val="auto"/>
        </w:rPr>
        <w:t xml:space="preserve">Nous has developed recommendations </w:t>
      </w:r>
      <w:r w:rsidR="00B167DE">
        <w:rPr>
          <w:b w:val="0"/>
          <w:bCs/>
          <w:color w:val="auto"/>
        </w:rPr>
        <w:t>fall</w:t>
      </w:r>
      <w:r>
        <w:rPr>
          <w:b w:val="0"/>
          <w:bCs/>
          <w:color w:val="auto"/>
        </w:rPr>
        <w:t>ing</w:t>
      </w:r>
      <w:r w:rsidR="00B167DE">
        <w:rPr>
          <w:b w:val="0"/>
          <w:bCs/>
          <w:color w:val="auto"/>
        </w:rPr>
        <w:t xml:space="preserve"> into </w:t>
      </w:r>
      <w:r w:rsidR="007025A4">
        <w:rPr>
          <w:b w:val="0"/>
          <w:bCs/>
          <w:color w:val="auto"/>
        </w:rPr>
        <w:t>three</w:t>
      </w:r>
      <w:r w:rsidR="00B167DE">
        <w:rPr>
          <w:b w:val="0"/>
          <w:bCs/>
          <w:color w:val="auto"/>
        </w:rPr>
        <w:t xml:space="preserve"> categories:</w:t>
      </w:r>
    </w:p>
    <w:p w14:paraId="0508A829" w14:textId="771E8F71" w:rsidR="00B167DE" w:rsidRPr="006724C6" w:rsidRDefault="00B167DE" w:rsidP="00E45BFE">
      <w:pPr>
        <w:pStyle w:val="ListParagraph"/>
        <w:numPr>
          <w:ilvl w:val="0"/>
          <w:numId w:val="22"/>
        </w:numPr>
      </w:pPr>
      <w:r w:rsidRPr="006724C6">
        <w:t xml:space="preserve">Policy interventions that could be </w:t>
      </w:r>
      <w:r w:rsidR="00AB7ACD" w:rsidRPr="006724C6">
        <w:t xml:space="preserve">tested and </w:t>
      </w:r>
      <w:r w:rsidRPr="006724C6">
        <w:t xml:space="preserve">explored with States, </w:t>
      </w:r>
      <w:r w:rsidR="00795404" w:rsidRPr="006724C6">
        <w:t>Territories,</w:t>
      </w:r>
      <w:r w:rsidRPr="006724C6">
        <w:t xml:space="preserve"> and non-government school </w:t>
      </w:r>
      <w:r w:rsidR="004A3CBD" w:rsidRPr="006724C6">
        <w:t xml:space="preserve">sector </w:t>
      </w:r>
      <w:r w:rsidRPr="006724C6">
        <w:t xml:space="preserve">representatives in the context of negotiations </w:t>
      </w:r>
      <w:r w:rsidR="00843C15" w:rsidRPr="006724C6">
        <w:t>for</w:t>
      </w:r>
      <w:r w:rsidRPr="006724C6">
        <w:t xml:space="preserve"> a new National School Reform Agreement </w:t>
      </w:r>
      <w:r w:rsidR="00B523D9" w:rsidRPr="006724C6">
        <w:t xml:space="preserve">(NSRA) </w:t>
      </w:r>
      <w:r w:rsidRPr="006724C6">
        <w:t>concerning agreed policy directions and priorities.</w:t>
      </w:r>
    </w:p>
    <w:p w14:paraId="1ECD9137" w14:textId="25C18429" w:rsidR="00B167DE" w:rsidRPr="006724C6" w:rsidRDefault="004D5FC7" w:rsidP="00E45BFE">
      <w:pPr>
        <w:pStyle w:val="ListParagraph"/>
        <w:numPr>
          <w:ilvl w:val="0"/>
          <w:numId w:val="22"/>
        </w:numPr>
      </w:pPr>
      <w:r w:rsidRPr="006724C6">
        <w:t>Proposals to s</w:t>
      </w:r>
      <w:r w:rsidR="000F584F" w:rsidRPr="006724C6">
        <w:t xml:space="preserve">trengthen accountability and </w:t>
      </w:r>
      <w:r w:rsidR="001227C6" w:rsidRPr="006724C6">
        <w:t>regulation.</w:t>
      </w:r>
      <w:r w:rsidR="00C672C9" w:rsidRPr="006724C6">
        <w:t xml:space="preserve"> This includes a proposal</w:t>
      </w:r>
      <w:r w:rsidR="00B523D9" w:rsidRPr="006724C6">
        <w:t xml:space="preserve"> to include </w:t>
      </w:r>
      <w:r w:rsidR="00396046" w:rsidRPr="006724C6">
        <w:t xml:space="preserve">metrics </w:t>
      </w:r>
      <w:r w:rsidR="001D7B1A">
        <w:t xml:space="preserve">in the NSRA </w:t>
      </w:r>
      <w:r w:rsidR="00396046" w:rsidRPr="006724C6">
        <w:t>t</w:t>
      </w:r>
      <w:r w:rsidR="00B3720B" w:rsidRPr="006724C6">
        <w:t xml:space="preserve">o monitor levels and trends </w:t>
      </w:r>
      <w:r w:rsidR="00B523D9" w:rsidRPr="006724C6">
        <w:t xml:space="preserve">of </w:t>
      </w:r>
      <w:r w:rsidR="00B3720B" w:rsidRPr="006724C6">
        <w:t xml:space="preserve">concentrated </w:t>
      </w:r>
      <w:r w:rsidR="00B523D9" w:rsidRPr="006724C6">
        <w:t>disadvantage</w:t>
      </w:r>
      <w:r w:rsidR="00B3720B" w:rsidRPr="006724C6">
        <w:t>, and to</w:t>
      </w:r>
      <w:r w:rsidR="00B523D9" w:rsidRPr="006724C6">
        <w:t xml:space="preserve"> </w:t>
      </w:r>
      <w:r w:rsidR="00453B1B" w:rsidRPr="006724C6">
        <w:t xml:space="preserve">build into the regulatory </w:t>
      </w:r>
      <w:r w:rsidR="001227C6" w:rsidRPr="006724C6">
        <w:t>frameworks a requirement to assess schools</w:t>
      </w:r>
      <w:r w:rsidR="00C97656">
        <w:t>’</w:t>
      </w:r>
      <w:r w:rsidR="001227C6" w:rsidRPr="006724C6">
        <w:t xml:space="preserve"> performance in terms of equity</w:t>
      </w:r>
      <w:r w:rsidR="00C3295D" w:rsidRPr="006724C6">
        <w:t xml:space="preserve"> and</w:t>
      </w:r>
      <w:r w:rsidR="001227C6" w:rsidRPr="006724C6">
        <w:t xml:space="preserve"> wellbeing as well as education quality. </w:t>
      </w:r>
    </w:p>
    <w:p w14:paraId="13284F1F" w14:textId="3EFD6507" w:rsidR="00885E31" w:rsidRPr="006724C6" w:rsidRDefault="004D5FC7" w:rsidP="00E45BFE">
      <w:pPr>
        <w:pStyle w:val="ListParagraph"/>
        <w:numPr>
          <w:ilvl w:val="0"/>
          <w:numId w:val="22"/>
        </w:numPr>
      </w:pPr>
      <w:r w:rsidRPr="006724C6">
        <w:t>Recommended follow-up areas of enquiry</w:t>
      </w:r>
      <w:r w:rsidR="00BD728D" w:rsidRPr="006724C6">
        <w:t>. We offer ideas for</w:t>
      </w:r>
      <w:r w:rsidR="001F1477" w:rsidRPr="006724C6">
        <w:t xml:space="preserve"> research </w:t>
      </w:r>
      <w:r w:rsidR="00BD728D" w:rsidRPr="006724C6">
        <w:t>topics for</w:t>
      </w:r>
      <w:r w:rsidR="001F1477" w:rsidRPr="006724C6">
        <w:t xml:space="preserve"> investigation</w:t>
      </w:r>
      <w:r w:rsidR="00102D97" w:rsidRPr="006724C6">
        <w:t xml:space="preserve"> by the Department of Education or </w:t>
      </w:r>
      <w:r w:rsidR="009C0880" w:rsidRPr="006724C6">
        <w:t>partners.</w:t>
      </w:r>
    </w:p>
    <w:p w14:paraId="0BFBDE06" w14:textId="03B4B109" w:rsidR="0059133D" w:rsidRPr="00B167DE" w:rsidRDefault="0059133D" w:rsidP="0059133D">
      <w:pPr>
        <w:pStyle w:val="Listnumbered"/>
        <w:rPr>
          <w:lang w:eastAsia="en-AU"/>
        </w:rPr>
      </w:pPr>
      <w:r>
        <w:rPr>
          <w:lang w:eastAsia="en-AU"/>
        </w:rPr>
        <w:t xml:space="preserve">Each is </w:t>
      </w:r>
      <w:r w:rsidR="00156365">
        <w:rPr>
          <w:lang w:eastAsia="en-AU"/>
        </w:rPr>
        <w:t>discussed briefly in turn.</w:t>
      </w:r>
    </w:p>
    <w:p w14:paraId="5BAFCD61" w14:textId="237EE904" w:rsidR="0001604F" w:rsidRPr="00B167DE" w:rsidRDefault="00AB7ACD" w:rsidP="00AB7ACD">
      <w:pPr>
        <w:pStyle w:val="Heading2"/>
      </w:pPr>
      <w:bookmarkStart w:id="49" w:name="_Toc149052467"/>
      <w:r>
        <w:t>Policy interventions that could be tested</w:t>
      </w:r>
      <w:bookmarkEnd w:id="49"/>
    </w:p>
    <w:tbl>
      <w:tblPr>
        <w:tblStyle w:val="NousLongformcallout"/>
        <w:tblW w:w="5000" w:type="pct"/>
        <w:tblCellMar>
          <w:top w:w="170" w:type="dxa"/>
          <w:bottom w:w="170" w:type="dxa"/>
        </w:tblCellMar>
        <w:tblLook w:val="04A0" w:firstRow="1" w:lastRow="0" w:firstColumn="1" w:lastColumn="0" w:noHBand="0" w:noVBand="1"/>
      </w:tblPr>
      <w:tblGrid>
        <w:gridCol w:w="9162"/>
      </w:tblGrid>
      <w:tr w:rsidR="0001604F" w14:paraId="5EFC5DDF" w14:textId="77777777" w:rsidTr="00A90E73">
        <w:tc>
          <w:tcPr>
            <w:tcW w:w="5000" w:type="pct"/>
          </w:tcPr>
          <w:p w14:paraId="1911E7F5" w14:textId="1E563F0A" w:rsidR="0001604F" w:rsidRPr="002B7A6E" w:rsidRDefault="0001604F" w:rsidP="0001604F">
            <w:pPr>
              <w:pStyle w:val="Longformcallout"/>
              <w:rPr>
                <w:b/>
              </w:rPr>
            </w:pPr>
            <w:r w:rsidRPr="0001604F">
              <w:rPr>
                <w:b/>
                <w:bCs/>
              </w:rPr>
              <w:t>Recommendation 1</w:t>
            </w:r>
            <w:r w:rsidR="00D81816" w:rsidRPr="00D81816">
              <w:t>:</w:t>
            </w:r>
            <w:r w:rsidRPr="0001604F">
              <w:t xml:space="preserve"> Explore interest among system stakeholders in developing or trialling a combination of the highest-rated interventions in terms of our </w:t>
            </w:r>
            <w:r w:rsidR="001A5E6E">
              <w:t xml:space="preserve">assessments of their </w:t>
            </w:r>
            <w:r w:rsidRPr="0001604F">
              <w:t>effectiveness and transferability.</w:t>
            </w:r>
          </w:p>
        </w:tc>
      </w:tr>
    </w:tbl>
    <w:p w14:paraId="2829FAE4" w14:textId="77777777" w:rsidR="009D12A6" w:rsidRPr="009D12A6" w:rsidRDefault="009D12A6" w:rsidP="009D12A6">
      <w:pPr>
        <w:rPr>
          <w:lang w:eastAsia="en-AU"/>
        </w:rPr>
      </w:pPr>
    </w:p>
    <w:p w14:paraId="18FF14FB" w14:textId="56968BC7" w:rsidR="00A70D12" w:rsidRPr="009D12A6" w:rsidRDefault="00AB7ACD" w:rsidP="009D12A6">
      <w:pPr>
        <w:rPr>
          <w:lang w:eastAsia="en-AU"/>
        </w:rPr>
      </w:pPr>
      <w:r>
        <w:rPr>
          <w:lang w:eastAsia="en-AU"/>
        </w:rPr>
        <w:t xml:space="preserve">The high-level assessments of the </w:t>
      </w:r>
      <w:r w:rsidR="00F55350">
        <w:rPr>
          <w:lang w:eastAsia="en-AU"/>
        </w:rPr>
        <w:t>ten</w:t>
      </w:r>
      <w:r>
        <w:rPr>
          <w:lang w:eastAsia="en-AU"/>
        </w:rPr>
        <w:t xml:space="preserve"> interventions discussed in this report</w:t>
      </w:r>
      <w:r w:rsidR="00EB164C">
        <w:rPr>
          <w:lang w:eastAsia="en-AU"/>
        </w:rPr>
        <w:t xml:space="preserve"> – their effectiveness in terms of promoting diversity and lifting </w:t>
      </w:r>
      <w:r w:rsidR="0064655C">
        <w:rPr>
          <w:lang w:eastAsia="en-AU"/>
        </w:rPr>
        <w:t xml:space="preserve">educational </w:t>
      </w:r>
      <w:r w:rsidR="00EB164C">
        <w:rPr>
          <w:lang w:eastAsia="en-AU"/>
        </w:rPr>
        <w:t xml:space="preserve">outcomes, and the ease by which they could be adopted in Australia </w:t>
      </w:r>
      <w:r w:rsidR="00A70D12">
        <w:rPr>
          <w:lang w:eastAsia="en-AU"/>
        </w:rPr>
        <w:t xml:space="preserve">– </w:t>
      </w:r>
      <w:r w:rsidR="008C7101">
        <w:rPr>
          <w:lang w:eastAsia="en-AU"/>
        </w:rPr>
        <w:t>suggest that pursuit of</w:t>
      </w:r>
      <w:r w:rsidR="00A70D12">
        <w:rPr>
          <w:lang w:eastAsia="en-AU"/>
        </w:rPr>
        <w:t xml:space="preserve"> the following </w:t>
      </w:r>
      <w:r w:rsidR="008C7101">
        <w:rPr>
          <w:lang w:eastAsia="en-AU"/>
        </w:rPr>
        <w:t xml:space="preserve">would be </w:t>
      </w:r>
      <w:r w:rsidR="00FA4424">
        <w:rPr>
          <w:lang w:eastAsia="en-AU"/>
        </w:rPr>
        <w:t>the</w:t>
      </w:r>
      <w:r w:rsidR="008C7101">
        <w:rPr>
          <w:lang w:eastAsia="en-AU"/>
        </w:rPr>
        <w:t xml:space="preserve"> most worthwhile: </w:t>
      </w:r>
    </w:p>
    <w:p w14:paraId="2B03409B" w14:textId="15C3304D" w:rsidR="008C7101" w:rsidRPr="006724C6" w:rsidRDefault="00A64C5F" w:rsidP="00E45BFE">
      <w:pPr>
        <w:pStyle w:val="ListParagraph"/>
        <w:numPr>
          <w:ilvl w:val="0"/>
          <w:numId w:val="23"/>
        </w:numPr>
        <w:rPr>
          <w:szCs w:val="19"/>
          <w:lang w:eastAsia="en-AU"/>
        </w:rPr>
      </w:pPr>
      <w:r>
        <w:rPr>
          <w:szCs w:val="19"/>
          <w:lang w:eastAsia="en-AU"/>
        </w:rPr>
        <w:t>R</w:t>
      </w:r>
      <w:r w:rsidR="007A5E4B" w:rsidRPr="006724C6">
        <w:rPr>
          <w:szCs w:val="19"/>
          <w:lang w:eastAsia="en-AU"/>
        </w:rPr>
        <w:t>emoval of fees</w:t>
      </w:r>
      <w:r w:rsidR="00B65F3A" w:rsidRPr="006724C6">
        <w:rPr>
          <w:szCs w:val="19"/>
          <w:lang w:eastAsia="en-AU"/>
        </w:rPr>
        <w:t xml:space="preserve"> (Intervention 2)</w:t>
      </w:r>
    </w:p>
    <w:p w14:paraId="58B76007" w14:textId="107F1A5A" w:rsidR="007A5E4B" w:rsidRPr="006724C6" w:rsidRDefault="00A64C5F" w:rsidP="00E45BFE">
      <w:pPr>
        <w:pStyle w:val="ListParagraph"/>
        <w:numPr>
          <w:ilvl w:val="0"/>
          <w:numId w:val="23"/>
        </w:numPr>
        <w:rPr>
          <w:szCs w:val="19"/>
          <w:lang w:eastAsia="en-AU"/>
        </w:rPr>
      </w:pPr>
      <w:r>
        <w:rPr>
          <w:szCs w:val="19"/>
          <w:lang w:eastAsia="en-AU"/>
        </w:rPr>
        <w:t>F</w:t>
      </w:r>
      <w:r w:rsidR="007A5E4B" w:rsidRPr="006724C6">
        <w:rPr>
          <w:szCs w:val="19"/>
          <w:lang w:eastAsia="en-AU"/>
        </w:rPr>
        <w:t>inancial incentives</w:t>
      </w:r>
      <w:r w:rsidR="00B65F3A" w:rsidRPr="006724C6">
        <w:rPr>
          <w:szCs w:val="19"/>
          <w:lang w:eastAsia="en-AU"/>
        </w:rPr>
        <w:t xml:space="preserve"> </w:t>
      </w:r>
      <w:r w:rsidR="001D7B1A">
        <w:rPr>
          <w:szCs w:val="19"/>
          <w:lang w:eastAsia="en-AU"/>
        </w:rPr>
        <w:t>for</w:t>
      </w:r>
      <w:r w:rsidR="00BC1687">
        <w:rPr>
          <w:szCs w:val="19"/>
          <w:lang w:eastAsia="en-AU"/>
        </w:rPr>
        <w:t xml:space="preserve"> schools </w:t>
      </w:r>
      <w:r w:rsidR="00B65F3A" w:rsidRPr="006724C6">
        <w:rPr>
          <w:szCs w:val="19"/>
          <w:lang w:eastAsia="en-AU"/>
        </w:rPr>
        <w:t>(</w:t>
      </w:r>
      <w:r w:rsidR="000B6E0A" w:rsidRPr="006724C6">
        <w:rPr>
          <w:szCs w:val="19"/>
          <w:lang w:eastAsia="en-AU"/>
        </w:rPr>
        <w:t>Intervention 7)</w:t>
      </w:r>
      <w:r w:rsidR="00BC1687">
        <w:rPr>
          <w:szCs w:val="19"/>
          <w:lang w:eastAsia="en-AU"/>
        </w:rPr>
        <w:t xml:space="preserve"> and educators (Intervention 8)</w:t>
      </w:r>
    </w:p>
    <w:p w14:paraId="46F0E29C" w14:textId="08C52BDD" w:rsidR="007A5E4B" w:rsidRPr="006724C6" w:rsidRDefault="00A64C5F" w:rsidP="00E45BFE">
      <w:pPr>
        <w:pStyle w:val="ListParagraph"/>
        <w:numPr>
          <w:ilvl w:val="0"/>
          <w:numId w:val="23"/>
        </w:numPr>
        <w:rPr>
          <w:szCs w:val="19"/>
          <w:lang w:eastAsia="en-AU"/>
        </w:rPr>
      </w:pPr>
      <w:r>
        <w:rPr>
          <w:szCs w:val="19"/>
          <w:lang w:eastAsia="en-AU"/>
        </w:rPr>
        <w:t>A</w:t>
      </w:r>
      <w:r w:rsidR="007A5E4B" w:rsidRPr="006724C6">
        <w:rPr>
          <w:szCs w:val="19"/>
          <w:lang w:eastAsia="en-AU"/>
        </w:rPr>
        <w:t>lternative learning, assessment and delivery models</w:t>
      </w:r>
      <w:r w:rsidR="000B6E0A" w:rsidRPr="006724C6">
        <w:rPr>
          <w:szCs w:val="19"/>
          <w:lang w:eastAsia="en-AU"/>
        </w:rPr>
        <w:t xml:space="preserve"> (Intervention </w:t>
      </w:r>
      <w:r w:rsidR="00BC1687">
        <w:rPr>
          <w:szCs w:val="19"/>
          <w:lang w:eastAsia="en-AU"/>
        </w:rPr>
        <w:t>9</w:t>
      </w:r>
      <w:r w:rsidR="000B6E0A" w:rsidRPr="006724C6">
        <w:rPr>
          <w:szCs w:val="19"/>
          <w:lang w:eastAsia="en-AU"/>
        </w:rPr>
        <w:t>)</w:t>
      </w:r>
    </w:p>
    <w:p w14:paraId="12A0C8EA" w14:textId="51B02B82" w:rsidR="007A5E4B" w:rsidRPr="006724C6" w:rsidRDefault="00A64C5F" w:rsidP="00E45BFE">
      <w:pPr>
        <w:pStyle w:val="ListParagraph"/>
        <w:numPr>
          <w:ilvl w:val="0"/>
          <w:numId w:val="23"/>
        </w:numPr>
        <w:rPr>
          <w:szCs w:val="19"/>
          <w:lang w:eastAsia="en-AU"/>
        </w:rPr>
      </w:pPr>
      <w:r>
        <w:rPr>
          <w:szCs w:val="19"/>
          <w:lang w:eastAsia="en-AU"/>
        </w:rPr>
        <w:t>N</w:t>
      </w:r>
      <w:r w:rsidR="00220D90" w:rsidRPr="006724C6">
        <w:rPr>
          <w:szCs w:val="19"/>
          <w:lang w:eastAsia="en-AU"/>
        </w:rPr>
        <w:t>etworked schools and teacher capacity exchange</w:t>
      </w:r>
      <w:r w:rsidR="000B6E0A" w:rsidRPr="006724C6">
        <w:rPr>
          <w:szCs w:val="19"/>
          <w:lang w:eastAsia="en-AU"/>
        </w:rPr>
        <w:t xml:space="preserve"> (Intervention </w:t>
      </w:r>
      <w:r w:rsidR="00BC1687">
        <w:rPr>
          <w:szCs w:val="19"/>
          <w:lang w:eastAsia="en-AU"/>
        </w:rPr>
        <w:t>10</w:t>
      </w:r>
      <w:r w:rsidR="000B6E0A" w:rsidRPr="006724C6">
        <w:rPr>
          <w:szCs w:val="19"/>
          <w:lang w:eastAsia="en-AU"/>
        </w:rPr>
        <w:t>)</w:t>
      </w:r>
      <w:r w:rsidR="00E34585" w:rsidRPr="006724C6">
        <w:rPr>
          <w:szCs w:val="19"/>
          <w:lang w:eastAsia="en-AU"/>
        </w:rPr>
        <w:t>.</w:t>
      </w:r>
    </w:p>
    <w:p w14:paraId="789E88B1" w14:textId="22B0CB86" w:rsidR="00220D90" w:rsidRDefault="00220D90" w:rsidP="00220D90">
      <w:pPr>
        <w:rPr>
          <w:lang w:eastAsia="en-AU"/>
        </w:rPr>
      </w:pPr>
      <w:r>
        <w:rPr>
          <w:lang w:eastAsia="en-AU"/>
        </w:rPr>
        <w:t xml:space="preserve">As noted in the previous section, the greatest impact would likely </w:t>
      </w:r>
      <w:r w:rsidR="00EC4F62">
        <w:rPr>
          <w:lang w:eastAsia="en-AU"/>
        </w:rPr>
        <w:t xml:space="preserve">derive from implementing a range of interventions as part of a mutually-reinforcing package of reforms. </w:t>
      </w:r>
    </w:p>
    <w:p w14:paraId="68E0A2CD" w14:textId="6295F532" w:rsidR="008B0928" w:rsidRDefault="008B0928" w:rsidP="00220D90">
      <w:pPr>
        <w:rPr>
          <w:lang w:eastAsia="en-AU"/>
        </w:rPr>
      </w:pPr>
      <w:r>
        <w:rPr>
          <w:lang w:eastAsia="en-AU"/>
        </w:rPr>
        <w:t>Below</w:t>
      </w:r>
      <w:r w:rsidR="009F3A6F">
        <w:rPr>
          <w:lang w:eastAsia="en-AU"/>
        </w:rPr>
        <w:t>,</w:t>
      </w:r>
      <w:r>
        <w:rPr>
          <w:lang w:eastAsia="en-AU"/>
        </w:rPr>
        <w:t xml:space="preserve"> we propose three such combinations</w:t>
      </w:r>
      <w:r w:rsidR="008D4E2A">
        <w:rPr>
          <w:lang w:eastAsia="en-AU"/>
        </w:rPr>
        <w:t xml:space="preserve"> which we consider </w:t>
      </w:r>
      <w:r>
        <w:rPr>
          <w:lang w:eastAsia="en-AU"/>
        </w:rPr>
        <w:t xml:space="preserve">worth exploring further with </w:t>
      </w:r>
      <w:r w:rsidR="008D4E2A">
        <w:rPr>
          <w:lang w:eastAsia="en-AU"/>
        </w:rPr>
        <w:t>the jurisdictions, non</w:t>
      </w:r>
      <w:r w:rsidR="00BD53C2">
        <w:rPr>
          <w:lang w:eastAsia="en-AU"/>
        </w:rPr>
        <w:t>-</w:t>
      </w:r>
      <w:r w:rsidR="008D4E2A">
        <w:rPr>
          <w:lang w:eastAsia="en-AU"/>
        </w:rPr>
        <w:t>government school system peak bodies, and other peak stakeholder groups</w:t>
      </w:r>
      <w:r w:rsidR="00E6566E">
        <w:rPr>
          <w:lang w:eastAsia="en-AU"/>
        </w:rPr>
        <w:t>. These are outlined below.</w:t>
      </w:r>
    </w:p>
    <w:p w14:paraId="6E4AE10C" w14:textId="5DE3181D" w:rsidR="00C80673" w:rsidRDefault="00C80673" w:rsidP="00C80673">
      <w:pPr>
        <w:pStyle w:val="Caption"/>
        <w:rPr>
          <w:lang w:eastAsia="en-AU"/>
        </w:rPr>
      </w:pPr>
      <w:r>
        <w:t xml:space="preserve">Figure </w:t>
      </w:r>
      <w:r>
        <w:fldChar w:fldCharType="begin"/>
      </w:r>
      <w:r>
        <w:instrText xml:space="preserve"> SEQ Figure \* ARABIC </w:instrText>
      </w:r>
      <w:r>
        <w:fldChar w:fldCharType="separate"/>
      </w:r>
      <w:r w:rsidR="009B7086">
        <w:rPr>
          <w:noProof/>
        </w:rPr>
        <w:t>8</w:t>
      </w:r>
      <w:r>
        <w:fldChar w:fldCharType="end"/>
      </w:r>
      <w:r>
        <w:t xml:space="preserve"> </w:t>
      </w:r>
      <w:r w:rsidR="00583043">
        <w:t xml:space="preserve">I </w:t>
      </w:r>
      <w:r>
        <w:t>Proposed policy combinations</w:t>
      </w:r>
    </w:p>
    <w:p w14:paraId="28F603A9" w14:textId="1F77130D" w:rsidR="00C80673" w:rsidRDefault="00E9117C" w:rsidP="00220D90">
      <w:pPr>
        <w:rPr>
          <w:lang w:eastAsia="en-AU"/>
        </w:rPr>
      </w:pPr>
      <w:r w:rsidRPr="00E9117C">
        <w:rPr>
          <w:noProof/>
        </w:rPr>
        <w:drawing>
          <wp:inline distT="0" distB="0" distL="0" distR="0" wp14:anchorId="30A3D5D4" wp14:editId="367C4D58">
            <wp:extent cx="5832475" cy="906915"/>
            <wp:effectExtent l="0" t="0" r="0" b="7620"/>
            <wp:docPr id="455472203" name="Picture 455472203" descr="The figure outlines three recommended policy combinations. Firstly, tightening conditions of funding and move towards fee removal (policy interventions 2, 4 and 7). Secondly, reduce selectivity and promote alternative learning, assessment and delivery approaches (policy interventions 4, 7 and 9). Thirdly, strengthen financial incentives including to boost 'capacity exchange' between (policy interventions 7, 8 and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72203" name="Picture 455472203" descr="The figure outlines three recommended policy combinations. Firstly, tightening conditions of funding and move towards fee removal (policy interventions 2, 4 and 7). Secondly, reduce selectivity and promote alternative learning, assessment and delivery approaches (policy interventions 4, 7 and 9). Thirdly, strengthen financial incentives including to boost 'capacity exchange' between (policy interventions 7, 8 and 10). "/>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832475" cy="906915"/>
                    </a:xfrm>
                    <a:prstGeom prst="rect">
                      <a:avLst/>
                    </a:prstGeom>
                    <a:noFill/>
                    <a:ln>
                      <a:noFill/>
                    </a:ln>
                  </pic:spPr>
                </pic:pic>
              </a:graphicData>
            </a:graphic>
          </wp:inline>
        </w:drawing>
      </w:r>
    </w:p>
    <w:p w14:paraId="6585D891" w14:textId="77777777" w:rsidR="00F93785" w:rsidRDefault="00F93785" w:rsidP="00220D90">
      <w:pPr>
        <w:rPr>
          <w:lang w:eastAsia="en-AU"/>
        </w:rPr>
      </w:pPr>
    </w:p>
    <w:p w14:paraId="24748D77" w14:textId="2E6FEC2C" w:rsidR="008A78C7" w:rsidRPr="007241EA" w:rsidRDefault="00B25399" w:rsidP="00220D90">
      <w:pPr>
        <w:rPr>
          <w:b/>
          <w:lang w:eastAsia="en-AU"/>
        </w:rPr>
      </w:pPr>
      <w:r w:rsidRPr="007241EA">
        <w:rPr>
          <w:b/>
          <w:lang w:eastAsia="en-AU"/>
        </w:rPr>
        <w:lastRenderedPageBreak/>
        <w:t xml:space="preserve">Combination 1 – </w:t>
      </w:r>
      <w:r w:rsidR="0032116F" w:rsidRPr="007241EA">
        <w:rPr>
          <w:b/>
          <w:lang w:eastAsia="en-AU"/>
        </w:rPr>
        <w:t>Tighten conditions of funding</w:t>
      </w:r>
      <w:r w:rsidR="00C95A6C">
        <w:rPr>
          <w:b/>
          <w:bCs/>
          <w:lang w:eastAsia="en-AU"/>
        </w:rPr>
        <w:t xml:space="preserve"> and move towards fee removal</w:t>
      </w:r>
      <w:r w:rsidR="00064A30">
        <w:rPr>
          <w:b/>
          <w:bCs/>
          <w:lang w:eastAsia="en-AU"/>
        </w:rPr>
        <w:t xml:space="preserve"> </w:t>
      </w:r>
    </w:p>
    <w:p w14:paraId="6C84A1D4" w14:textId="1536D2F0" w:rsidR="006D11A2" w:rsidRDefault="00F31D95" w:rsidP="006D11A2">
      <w:pPr>
        <w:rPr>
          <w:lang w:eastAsia="en-AU"/>
        </w:rPr>
      </w:pPr>
      <w:r>
        <w:rPr>
          <w:lang w:eastAsia="en-AU"/>
        </w:rPr>
        <w:t xml:space="preserve">This centres on </w:t>
      </w:r>
      <w:r w:rsidR="004F7E65">
        <w:rPr>
          <w:lang w:eastAsia="en-AU"/>
        </w:rPr>
        <w:t xml:space="preserve">having needs-based recurrent funding </w:t>
      </w:r>
      <w:r w:rsidR="00904625">
        <w:rPr>
          <w:lang w:eastAsia="en-AU"/>
        </w:rPr>
        <w:t>or supplementary funding</w:t>
      </w:r>
      <w:r w:rsidR="006B44F4">
        <w:rPr>
          <w:lang w:eastAsia="en-AU"/>
        </w:rPr>
        <w:t xml:space="preserve"> incentives</w:t>
      </w:r>
      <w:r w:rsidR="004F7E65">
        <w:rPr>
          <w:lang w:eastAsia="en-AU"/>
        </w:rPr>
        <w:t xml:space="preserve"> serve more as a genuine incentive to attract and retain a sizable cohort of low-SES students</w:t>
      </w:r>
      <w:r w:rsidR="00535677">
        <w:rPr>
          <w:lang w:eastAsia="en-AU"/>
        </w:rPr>
        <w:t xml:space="preserve"> (without cherry picking these students based on their academic results)</w:t>
      </w:r>
      <w:r w:rsidR="004F7E65">
        <w:rPr>
          <w:lang w:eastAsia="en-AU"/>
        </w:rPr>
        <w:t xml:space="preserve">. This requires tighter monitoring and improved transparency of where and how needs-based funding is directed. </w:t>
      </w:r>
      <w:r w:rsidR="00BF07CA">
        <w:rPr>
          <w:lang w:eastAsia="en-AU"/>
        </w:rPr>
        <w:t xml:space="preserve">At the same time, the </w:t>
      </w:r>
      <w:r w:rsidR="00F8746C">
        <w:rPr>
          <w:lang w:eastAsia="en-AU"/>
        </w:rPr>
        <w:t>g</w:t>
      </w:r>
      <w:r w:rsidR="00BF07CA">
        <w:rPr>
          <w:lang w:eastAsia="en-AU"/>
        </w:rPr>
        <w:t>overnment could consider</w:t>
      </w:r>
      <w:r w:rsidR="00FD4E74">
        <w:rPr>
          <w:lang w:eastAsia="en-AU"/>
        </w:rPr>
        <w:t xml:space="preserve"> inviting non-government schools to opt-in to receiv</w:t>
      </w:r>
      <w:r w:rsidR="008F5A82">
        <w:rPr>
          <w:lang w:eastAsia="en-AU"/>
        </w:rPr>
        <w:t>e</w:t>
      </w:r>
      <w:r w:rsidR="00FD4E74">
        <w:rPr>
          <w:lang w:eastAsia="en-AU"/>
        </w:rPr>
        <w:t xml:space="preserve"> full public funding in exchange for no longer charging fees and being</w:t>
      </w:r>
      <w:r w:rsidR="00123822">
        <w:rPr>
          <w:lang w:eastAsia="en-AU"/>
        </w:rPr>
        <w:t xml:space="preserve"> less selective. (Schools could continue to retain their own character and be selective on grounds other than </w:t>
      </w:r>
      <w:r w:rsidR="007241EA">
        <w:rPr>
          <w:lang w:eastAsia="en-AU"/>
        </w:rPr>
        <w:t>SES status or prior academic performance</w:t>
      </w:r>
      <w:r w:rsidR="00EE5E1F">
        <w:rPr>
          <w:lang w:eastAsia="en-AU"/>
        </w:rPr>
        <w:t>, such as Catholic schools prioritising Catholic students</w:t>
      </w:r>
      <w:r w:rsidR="007241EA">
        <w:rPr>
          <w:lang w:eastAsia="en-AU"/>
        </w:rPr>
        <w:t xml:space="preserve">.) </w:t>
      </w:r>
    </w:p>
    <w:p w14:paraId="20153D3C" w14:textId="65383914" w:rsidR="007241EA" w:rsidRPr="00C95A6C" w:rsidRDefault="007241EA" w:rsidP="006D11A2">
      <w:pPr>
        <w:rPr>
          <w:b/>
          <w:lang w:eastAsia="en-AU"/>
        </w:rPr>
      </w:pPr>
      <w:r w:rsidRPr="00C95A6C">
        <w:rPr>
          <w:b/>
          <w:lang w:eastAsia="en-AU"/>
        </w:rPr>
        <w:t xml:space="preserve">Combination 2 </w:t>
      </w:r>
      <w:r w:rsidR="00634CAE" w:rsidRPr="00C95A6C">
        <w:rPr>
          <w:b/>
          <w:lang w:eastAsia="en-AU"/>
        </w:rPr>
        <w:t>–</w:t>
      </w:r>
      <w:r w:rsidRPr="00C95A6C">
        <w:rPr>
          <w:b/>
          <w:lang w:eastAsia="en-AU"/>
        </w:rPr>
        <w:t xml:space="preserve"> Reduce</w:t>
      </w:r>
      <w:r w:rsidR="00634CAE" w:rsidRPr="00C95A6C">
        <w:rPr>
          <w:b/>
          <w:lang w:eastAsia="en-AU"/>
        </w:rPr>
        <w:t xml:space="preserve"> selectivity and promote alternative learning, </w:t>
      </w:r>
      <w:r w:rsidR="00F8746C" w:rsidRPr="00C95A6C">
        <w:rPr>
          <w:b/>
          <w:lang w:eastAsia="en-AU"/>
        </w:rPr>
        <w:t>assessment,</w:t>
      </w:r>
      <w:r w:rsidR="00634CAE" w:rsidRPr="00C95A6C">
        <w:rPr>
          <w:b/>
          <w:lang w:eastAsia="en-AU"/>
        </w:rPr>
        <w:t xml:space="preserve"> and delivery models</w:t>
      </w:r>
      <w:r w:rsidR="00064A30">
        <w:rPr>
          <w:b/>
          <w:bCs/>
          <w:lang w:eastAsia="en-AU"/>
        </w:rPr>
        <w:t xml:space="preserve"> </w:t>
      </w:r>
    </w:p>
    <w:p w14:paraId="37412047" w14:textId="2C0CD421" w:rsidR="006D11A2" w:rsidRDefault="006D11A2" w:rsidP="006D11A2">
      <w:pPr>
        <w:rPr>
          <w:lang w:eastAsia="en-AU"/>
        </w:rPr>
      </w:pPr>
      <w:r>
        <w:rPr>
          <w:lang w:eastAsia="en-AU"/>
        </w:rPr>
        <w:t xml:space="preserve">Modify public selective school </w:t>
      </w:r>
      <w:r w:rsidR="0071087D">
        <w:rPr>
          <w:lang w:eastAsia="en-AU"/>
        </w:rPr>
        <w:t xml:space="preserve">admission </w:t>
      </w:r>
      <w:r>
        <w:rPr>
          <w:lang w:eastAsia="en-AU"/>
        </w:rPr>
        <w:t>policies to promote more diversity (</w:t>
      </w:r>
      <w:r w:rsidR="004F75F7">
        <w:rPr>
          <w:lang w:eastAsia="en-AU"/>
        </w:rPr>
        <w:t>e.g.,</w:t>
      </w:r>
      <w:r>
        <w:rPr>
          <w:lang w:eastAsia="en-AU"/>
        </w:rPr>
        <w:t xml:space="preserve"> applying a positive weighting for socio-economically disadvantaged students), regulate catchment areas for non-government schools</w:t>
      </w:r>
      <w:r w:rsidR="00783170">
        <w:rPr>
          <w:lang w:eastAsia="en-AU"/>
        </w:rPr>
        <w:t>,</w:t>
      </w:r>
      <w:r>
        <w:rPr>
          <w:lang w:eastAsia="en-AU"/>
        </w:rPr>
        <w:t xml:space="preserve"> and provide grants to schools with concentrations of low SES students that want to introduce alternative teaching </w:t>
      </w:r>
      <w:r w:rsidR="00C95A6C">
        <w:rPr>
          <w:lang w:eastAsia="en-AU"/>
        </w:rPr>
        <w:t xml:space="preserve">and assessment </w:t>
      </w:r>
      <w:r>
        <w:rPr>
          <w:lang w:eastAsia="en-AU"/>
        </w:rPr>
        <w:t>models shown to be effective with disengaged students, or which open educational opportunities through broader curriculum</w:t>
      </w:r>
      <w:r w:rsidR="00A0188A">
        <w:rPr>
          <w:lang w:eastAsia="en-AU"/>
        </w:rPr>
        <w:t xml:space="preserve">, </w:t>
      </w:r>
      <w:r w:rsidR="004F75F7">
        <w:rPr>
          <w:lang w:eastAsia="en-AU"/>
        </w:rPr>
        <w:t>assessment,</w:t>
      </w:r>
      <w:r>
        <w:rPr>
          <w:lang w:eastAsia="en-AU"/>
        </w:rPr>
        <w:t xml:space="preserve"> and study options.</w:t>
      </w:r>
    </w:p>
    <w:p w14:paraId="4B445355" w14:textId="487AAD20" w:rsidR="00CE3427" w:rsidRPr="00F81BDB" w:rsidRDefault="00C95A6C" w:rsidP="00F81BDB">
      <w:pPr>
        <w:rPr>
          <w:rFonts w:asciiTheme="minorHAnsi" w:hAnsiTheme="minorHAnsi" w:cstheme="minorHAnsi"/>
        </w:rPr>
      </w:pPr>
      <w:r w:rsidRPr="00F81BDB">
        <w:rPr>
          <w:rFonts w:asciiTheme="minorHAnsi" w:hAnsiTheme="minorHAnsi" w:cstheme="minorHAnsi"/>
          <w:b/>
        </w:rPr>
        <w:t xml:space="preserve">Combination 3 – Strengthen financial incentives, including to </w:t>
      </w:r>
      <w:r w:rsidR="00521964" w:rsidRPr="00F81BDB">
        <w:rPr>
          <w:rFonts w:asciiTheme="minorHAnsi" w:hAnsiTheme="minorHAnsi" w:cstheme="minorHAnsi"/>
          <w:b/>
        </w:rPr>
        <w:t>boost ‘capacity exchange’</w:t>
      </w:r>
      <w:r w:rsidR="00CE3427" w:rsidRPr="00F81BDB">
        <w:rPr>
          <w:rFonts w:asciiTheme="minorHAnsi" w:hAnsiTheme="minorHAnsi" w:cstheme="minorHAnsi"/>
          <w:b/>
        </w:rPr>
        <w:t xml:space="preserve"> between schools</w:t>
      </w:r>
    </w:p>
    <w:p w14:paraId="155780EF" w14:textId="77777777" w:rsidR="00AC2377" w:rsidRDefault="00E96EFE" w:rsidP="00220D90">
      <w:pPr>
        <w:rPr>
          <w:lang w:eastAsia="en-AU"/>
        </w:rPr>
      </w:pPr>
      <w:r>
        <w:rPr>
          <w:lang w:eastAsia="en-AU"/>
        </w:rPr>
        <w:t>Consider</w:t>
      </w:r>
      <w:r w:rsidR="00312E6A">
        <w:rPr>
          <w:lang w:eastAsia="en-AU"/>
        </w:rPr>
        <w:t xml:space="preserve"> a </w:t>
      </w:r>
      <w:r w:rsidR="00962BFA">
        <w:rPr>
          <w:lang w:eastAsia="en-AU"/>
        </w:rPr>
        <w:t>funding</w:t>
      </w:r>
      <w:r w:rsidR="00312E6A">
        <w:rPr>
          <w:lang w:eastAsia="en-AU"/>
        </w:rPr>
        <w:t xml:space="preserve"> mechanism to support partnering between schools </w:t>
      </w:r>
      <w:r w:rsidR="00C0261A">
        <w:rPr>
          <w:lang w:eastAsia="en-AU"/>
        </w:rPr>
        <w:t>that represent a contrast of high and low SES students</w:t>
      </w:r>
      <w:r w:rsidR="00312E6A">
        <w:rPr>
          <w:lang w:eastAsia="en-AU"/>
        </w:rPr>
        <w:t xml:space="preserve"> – ideally across sectoral boundaries</w:t>
      </w:r>
      <w:r w:rsidR="00C0261A">
        <w:rPr>
          <w:lang w:eastAsia="en-AU"/>
        </w:rPr>
        <w:t>. T</w:t>
      </w:r>
      <w:r w:rsidR="00A30E8C">
        <w:rPr>
          <w:lang w:eastAsia="en-AU"/>
        </w:rPr>
        <w:t xml:space="preserve">his would see a pooling of resources for co-investment in programs that </w:t>
      </w:r>
      <w:r w:rsidR="00064A30">
        <w:rPr>
          <w:lang w:eastAsia="en-AU"/>
        </w:rPr>
        <w:t>are</w:t>
      </w:r>
      <w:r w:rsidR="00312E6A">
        <w:rPr>
          <w:lang w:eastAsia="en-AU"/>
        </w:rPr>
        <w:t xml:space="preserve"> of </w:t>
      </w:r>
      <w:r w:rsidR="00064A30">
        <w:rPr>
          <w:lang w:eastAsia="en-AU"/>
        </w:rPr>
        <w:t xml:space="preserve">mutual benefit, the potential sharing of </w:t>
      </w:r>
      <w:r w:rsidR="00312E6A">
        <w:rPr>
          <w:lang w:eastAsia="en-AU"/>
        </w:rPr>
        <w:t xml:space="preserve">facilities and teaching resources, </w:t>
      </w:r>
      <w:r w:rsidR="00064A30">
        <w:rPr>
          <w:lang w:eastAsia="en-AU"/>
        </w:rPr>
        <w:t xml:space="preserve">and </w:t>
      </w:r>
      <w:r w:rsidR="009953D6">
        <w:rPr>
          <w:lang w:eastAsia="en-AU"/>
        </w:rPr>
        <w:t xml:space="preserve">structured </w:t>
      </w:r>
      <w:r w:rsidR="00064A30">
        <w:rPr>
          <w:lang w:eastAsia="en-AU"/>
        </w:rPr>
        <w:t>collaboration</w:t>
      </w:r>
      <w:r w:rsidR="009953D6">
        <w:rPr>
          <w:lang w:eastAsia="en-AU"/>
        </w:rPr>
        <w:t xml:space="preserve"> to improve the quality of the learning experience</w:t>
      </w:r>
      <w:r w:rsidR="00C0261A">
        <w:rPr>
          <w:lang w:eastAsia="en-AU"/>
        </w:rPr>
        <w:t xml:space="preserve"> for students </w:t>
      </w:r>
      <w:r w:rsidR="00064A30">
        <w:rPr>
          <w:lang w:eastAsia="en-AU"/>
        </w:rPr>
        <w:t>from disadvantaged backgrounds in particular. Such a combination could be further enabled by investment in</w:t>
      </w:r>
      <w:r w:rsidR="006D11A2">
        <w:rPr>
          <w:lang w:eastAsia="en-AU"/>
        </w:rPr>
        <w:t xml:space="preserve"> incentives </w:t>
      </w:r>
      <w:r w:rsidR="00064A30">
        <w:rPr>
          <w:lang w:eastAsia="en-AU"/>
        </w:rPr>
        <w:t xml:space="preserve">for </w:t>
      </w:r>
      <w:r w:rsidR="007D5D52">
        <w:rPr>
          <w:lang w:eastAsia="en-AU"/>
        </w:rPr>
        <w:t xml:space="preserve">educators </w:t>
      </w:r>
      <w:r w:rsidR="00064A30">
        <w:rPr>
          <w:lang w:eastAsia="en-AU"/>
        </w:rPr>
        <w:t>to recognise the</w:t>
      </w:r>
      <w:r w:rsidR="006D11A2">
        <w:rPr>
          <w:lang w:eastAsia="en-AU"/>
        </w:rPr>
        <w:t xml:space="preserve"> additional professional challeng</w:t>
      </w:r>
      <w:r w:rsidR="00064A30">
        <w:rPr>
          <w:lang w:eastAsia="en-AU"/>
        </w:rPr>
        <w:t>es that might be involved in working across two or more</w:t>
      </w:r>
      <w:r w:rsidR="006D11A2">
        <w:rPr>
          <w:lang w:eastAsia="en-AU"/>
        </w:rPr>
        <w:t xml:space="preserve"> networked schools</w:t>
      </w:r>
      <w:r w:rsidR="00064A30">
        <w:rPr>
          <w:lang w:eastAsia="en-AU"/>
        </w:rPr>
        <w:t xml:space="preserve">. </w:t>
      </w:r>
    </w:p>
    <w:p w14:paraId="2F8BB7C9" w14:textId="7C68A323" w:rsidR="00770888" w:rsidRDefault="00AC2377" w:rsidP="00220D90">
      <w:pPr>
        <w:rPr>
          <w:lang w:eastAsia="en-AU"/>
        </w:rPr>
      </w:pPr>
      <w:r>
        <w:rPr>
          <w:lang w:eastAsia="en-AU"/>
        </w:rPr>
        <w:t>I</w:t>
      </w:r>
      <w:r w:rsidR="00770888">
        <w:rPr>
          <w:lang w:eastAsia="en-AU"/>
        </w:rPr>
        <w:t>ncentives for educators</w:t>
      </w:r>
      <w:r w:rsidR="00A624A5">
        <w:rPr>
          <w:lang w:eastAsia="en-AU"/>
        </w:rPr>
        <w:t xml:space="preserve"> </w:t>
      </w:r>
      <w:r w:rsidR="00077C4F">
        <w:rPr>
          <w:lang w:eastAsia="en-AU"/>
        </w:rPr>
        <w:t>c</w:t>
      </w:r>
      <w:r w:rsidR="00C647A2">
        <w:rPr>
          <w:lang w:eastAsia="en-AU"/>
        </w:rPr>
        <w:t xml:space="preserve">ould </w:t>
      </w:r>
      <w:r w:rsidR="007D6A70">
        <w:rPr>
          <w:lang w:eastAsia="en-AU"/>
        </w:rPr>
        <w:t xml:space="preserve">complement the second and third policy </w:t>
      </w:r>
      <w:r w:rsidR="007B7E63">
        <w:rPr>
          <w:lang w:eastAsia="en-AU"/>
        </w:rPr>
        <w:t>combinations.</w:t>
      </w:r>
    </w:p>
    <w:p w14:paraId="27F5F879" w14:textId="0F377AF6" w:rsidR="008E5F11" w:rsidRDefault="00C52E70" w:rsidP="008E5F11">
      <w:pPr>
        <w:pStyle w:val="Heading2"/>
      </w:pPr>
      <w:bookmarkStart w:id="50" w:name="_Toc149052468"/>
      <w:r>
        <w:t>Proposals to strengthen accountability and regulation</w:t>
      </w:r>
      <w:bookmarkEnd w:id="50"/>
    </w:p>
    <w:tbl>
      <w:tblPr>
        <w:tblStyle w:val="NousLongformcallout"/>
        <w:tblW w:w="5000" w:type="pct"/>
        <w:tblCellMar>
          <w:top w:w="170" w:type="dxa"/>
          <w:bottom w:w="170" w:type="dxa"/>
        </w:tblCellMar>
        <w:tblLook w:val="04A0" w:firstRow="1" w:lastRow="0" w:firstColumn="1" w:lastColumn="0" w:noHBand="0" w:noVBand="1"/>
      </w:tblPr>
      <w:tblGrid>
        <w:gridCol w:w="9162"/>
      </w:tblGrid>
      <w:tr w:rsidR="00064A30" w14:paraId="0CAFA53E" w14:textId="77777777" w:rsidTr="00A90E73">
        <w:tc>
          <w:tcPr>
            <w:tcW w:w="5000" w:type="pct"/>
          </w:tcPr>
          <w:p w14:paraId="450F9B3F" w14:textId="77777777" w:rsidR="001227C6" w:rsidRDefault="00064A30" w:rsidP="00064A30">
            <w:pPr>
              <w:pStyle w:val="Longformcallout"/>
            </w:pPr>
            <w:r w:rsidRPr="00064A30">
              <w:rPr>
                <w:b/>
                <w:bCs/>
              </w:rPr>
              <w:t>Recommendation 2</w:t>
            </w:r>
            <w:r>
              <w:t xml:space="preserve">: </w:t>
            </w:r>
            <w:r w:rsidR="001227C6">
              <w:t>Strengthen accountability through metrics and regulation:</w:t>
            </w:r>
          </w:p>
          <w:p w14:paraId="26EDBD8D" w14:textId="7AD0EDB1" w:rsidR="000D1858" w:rsidRDefault="0006626F" w:rsidP="00E45BFE">
            <w:pPr>
              <w:pStyle w:val="Longformcallout"/>
              <w:numPr>
                <w:ilvl w:val="0"/>
                <w:numId w:val="13"/>
              </w:numPr>
            </w:pPr>
            <w:r>
              <w:t xml:space="preserve">Consider securing national agreement to regulatory approaches that move away from minimum standards based on quality and safety, to broader considerations of </w:t>
            </w:r>
            <w:r w:rsidR="00786919">
              <w:t>equity and wellbeing</w:t>
            </w:r>
            <w:r w:rsidR="00EF657A">
              <w:t>.</w:t>
            </w:r>
          </w:p>
          <w:p w14:paraId="50DB6B49" w14:textId="5EB8842D" w:rsidR="00064A30" w:rsidRPr="00786919" w:rsidRDefault="00A868C6" w:rsidP="00E45BFE">
            <w:pPr>
              <w:pStyle w:val="Longformcallout"/>
              <w:numPr>
                <w:ilvl w:val="0"/>
                <w:numId w:val="13"/>
              </w:numPr>
            </w:pPr>
            <w:r>
              <w:t xml:space="preserve">Adopt new measures in the NSRA to track </w:t>
            </w:r>
            <w:r w:rsidR="009F186C">
              <w:t>levels and trends of concentrated disadvantage as a measure of equity</w:t>
            </w:r>
            <w:r w:rsidR="00786919">
              <w:t>.</w:t>
            </w:r>
          </w:p>
        </w:tc>
      </w:tr>
    </w:tbl>
    <w:p w14:paraId="06D94CC6" w14:textId="42F9C386" w:rsidR="00391FC7" w:rsidRPr="009D12A6" w:rsidRDefault="00391FC7" w:rsidP="00220D90">
      <w:pPr>
        <w:rPr>
          <w:lang w:eastAsia="en-AU"/>
        </w:rPr>
      </w:pPr>
    </w:p>
    <w:p w14:paraId="3BD1EDCC" w14:textId="657D9D2F" w:rsidR="00064A30" w:rsidRPr="009D12A6" w:rsidRDefault="00064A30" w:rsidP="00220D90">
      <w:pPr>
        <w:rPr>
          <w:lang w:eastAsia="en-AU"/>
        </w:rPr>
      </w:pPr>
      <w:r>
        <w:rPr>
          <w:lang w:eastAsia="en-AU"/>
        </w:rPr>
        <w:t xml:space="preserve">While not identified as a </w:t>
      </w:r>
      <w:r w:rsidR="00D65B63">
        <w:rPr>
          <w:lang w:eastAsia="en-AU"/>
        </w:rPr>
        <w:t>separate intervention, the degree of accountability and transparency attached to the deployment of some of the initiatives has played an important role in their success (where relevant).</w:t>
      </w:r>
      <w:r w:rsidR="004A2011">
        <w:rPr>
          <w:lang w:eastAsia="en-AU"/>
        </w:rPr>
        <w:t xml:space="preserve"> </w:t>
      </w:r>
    </w:p>
    <w:p w14:paraId="69FDE16B" w14:textId="586F891D" w:rsidR="004A2011" w:rsidRPr="009D12A6" w:rsidRDefault="004A2011" w:rsidP="00220D90">
      <w:pPr>
        <w:rPr>
          <w:lang w:eastAsia="en-AU"/>
        </w:rPr>
      </w:pPr>
      <w:r>
        <w:rPr>
          <w:noProof/>
          <w:lang w:eastAsia="en-AU"/>
        </w:rPr>
        <mc:AlternateContent>
          <mc:Choice Requires="wps">
            <w:drawing>
              <wp:anchor distT="0" distB="0" distL="114300" distR="114300" simplePos="0" relativeHeight="251658245" behindDoc="0" locked="0" layoutInCell="1" allowOverlap="1" wp14:anchorId="417C7B6E" wp14:editId="7D77599C">
                <wp:simplePos x="0" y="0"/>
                <wp:positionH relativeFrom="column">
                  <wp:posOffset>1905</wp:posOffset>
                </wp:positionH>
                <wp:positionV relativeFrom="paragraph">
                  <wp:posOffset>3810</wp:posOffset>
                </wp:positionV>
                <wp:extent cx="2143125" cy="2066925"/>
                <wp:effectExtent l="0" t="0" r="9525" b="635"/>
                <wp:wrapSquare wrapText="bothSides"/>
                <wp:docPr id="1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43125"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0A4F2" w14:textId="77777777" w:rsidR="00022CAC" w:rsidRDefault="004A2011">
                            <w:pPr>
                              <w:pStyle w:val="Callout"/>
                              <w:rPr>
                                <w:color w:val="F25E21" w:themeColor="accent2"/>
                              </w:rPr>
                            </w:pPr>
                            <w:r>
                              <w:rPr>
                                <w:color w:val="F25E21" w:themeColor="accent2"/>
                              </w:rPr>
                              <w:t>“T</w:t>
                            </w:r>
                            <w:r w:rsidRPr="00885462">
                              <w:rPr>
                                <w:color w:val="F25E21" w:themeColor="accent2"/>
                              </w:rPr>
                              <w:t>h</w:t>
                            </w:r>
                            <w:r>
                              <w:rPr>
                                <w:color w:val="F25E21" w:themeColor="accent2"/>
                              </w:rPr>
                              <w:t>e more discretion and autonomy that schools have, the stronger the central regulatory frameworks must be; Australia has th</w:t>
                            </w:r>
                            <w:r w:rsidR="00022CAC">
                              <w:rPr>
                                <w:color w:val="F25E21" w:themeColor="accent2"/>
                              </w:rPr>
                              <w:t>e balance</w:t>
                            </w:r>
                            <w:r>
                              <w:rPr>
                                <w:color w:val="F25E21" w:themeColor="accent2"/>
                              </w:rPr>
                              <w:t xml:space="preserve"> wrong</w:t>
                            </w:r>
                            <w:r w:rsidR="00022CAC">
                              <w:rPr>
                                <w:color w:val="F25E21" w:themeColor="accent2"/>
                              </w:rPr>
                              <w:t>.</w:t>
                            </w:r>
                            <w:r>
                              <w:rPr>
                                <w:color w:val="F25E21" w:themeColor="accent2"/>
                              </w:rPr>
                              <w:t>”</w:t>
                            </w:r>
                          </w:p>
                          <w:p w14:paraId="4BBDAFF8" w14:textId="41CC3C91" w:rsidR="004A2011" w:rsidRPr="003D17FD" w:rsidRDefault="00022CAC" w:rsidP="00022CAC">
                            <w:pPr>
                              <w:pStyle w:val="Callout"/>
                              <w:jc w:val="right"/>
                              <w:rPr>
                                <w:i/>
                                <w:color w:val="F25E21" w:themeColor="accent2"/>
                                <w:sz w:val="18"/>
                                <w:szCs w:val="18"/>
                              </w:rPr>
                            </w:pPr>
                            <w:r w:rsidRPr="003D17FD">
                              <w:rPr>
                                <w:color w:val="F25E21" w:themeColor="accent2"/>
                                <w:sz w:val="18"/>
                                <w:szCs w:val="18"/>
                              </w:rPr>
                              <w:t>Andreas Schleicher</w:t>
                            </w:r>
                            <w:r w:rsidR="00C039AC" w:rsidRPr="003D17FD">
                              <w:rPr>
                                <w:color w:val="F25E21" w:themeColor="accent2"/>
                                <w:sz w:val="18"/>
                                <w:szCs w:val="18"/>
                              </w:rPr>
                              <w:br/>
                            </w:r>
                            <w:r w:rsidR="00C039AC" w:rsidRPr="003D17FD">
                              <w:rPr>
                                <w:i/>
                                <w:color w:val="F25E21" w:themeColor="accent2"/>
                                <w:sz w:val="18"/>
                                <w:szCs w:val="18"/>
                              </w:rPr>
                              <w:t>OECD Education Director</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17C7B6E" id="Text Box 13" o:spid="_x0000_s1036" type="#_x0000_t202" alt="&quot;&quot;" style="position:absolute;margin-left:.15pt;margin-top:.3pt;width:168.75pt;height:16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8xcewIAAGoFAAAOAAAAZHJzL2Uyb0RvYy54bWysVE1v2zAMvQ/YfxB0X+ykTbYFdYosRYYB&#10;RVusHXpWZKkxJouaxMTOfn0p2flY10uHXWxSfCRF6pEXl21t2Fb5UIEt+HCQc6ashLKyTwX/8bD8&#10;8ImzgMKWwoBVBd+pwC9n799dNG6qRrAGUyrPKIgN08YVfI3oplkW5FrVIgzAKUtGDb4WSKp/ykov&#10;Gopem2yU55OsAV86D1KFQKdXnZHPUnytlcRbrYNCZgpOd8P09em7it9sdiGmT164dSX7a4h/uEUt&#10;KktJD6GuBAq28dVfoepKegigcSChzkDrSqpUA1UzzF9Uc78WTqVaqDnBHdoU/l9YebO9d3eeYfsF&#10;WnrA2JDGhWmgw1hPq30d/3RTRnZq4e7QNtUik3Q4Gp6fDUdjziTZRvlk8pkUipMd3Z0P+FVBzaJQ&#10;cE/vktolttcBO+geErMFMFW5rIxJSuSCWhjPtoJe0WC6JAX/A2Usawo+ORvnKbCF6N5FNjaGUYkN&#10;fbpjiUnCnVERY+x3pVlVpkpfyS2kVPaQP6EjSlOqtzj2+OOt3uLc1UEeKTNYPDjXlQWfqk/jc2xZ&#10;+XPfMt3h6W1O6o4itquWCicGpJmIRysod8QMD93QBCeXFb3etQh4JzxNCZGBJh9v6aMNUPehlzhb&#10;g//92nnEE3nJyllDU1fw8GsjvOLMfLNE6ziiSTgffxyR4pNyNslzUlanFrupF0B0GNJ+cTKJEY9m&#10;L2oP9SMth3nMSCZhJeUtOO7FBXZ7gJaLVPN5AtFQOoHX9t7JGDq2OPLyoX0U3vXkReL9DexnU0xf&#10;cLjDRs/g5hskHiaCHzvaN58GOo1Iv3zixjjVE+q4ImfPAAAA//8DAFBLAwQUAAYACAAAACEALHww&#10;hdwAAAAFAQAADwAAAGRycy9kb3ducmV2LnhtbEyPS0/DMBCE70j8B2uRuCDqPKSAQpwK8RBFnCi9&#10;9ObG2zhgr6PYbcO/ZznBbVYzmvm2Wc7eiSNOcQikIF9kIJC6YAbqFWw+nq9vQcSkyWgXCBV8Y4Rl&#10;e37W6NqEE73jcZ16wSUUa63ApjTWUsbOotdxEUYk9vZh8jrxOfXSTPrE5d7JIssq6fVAvGD1iA8W&#10;u6/1wStYyc/CvL7Zp+1Lnj2u6GrvQpBKXV7M93cgEs7pLwy/+IwOLTPtwoFMFE5ByTkFFQj2yvKG&#10;39ixKKocZNvI//TtDwAAAP//AwBQSwECLQAUAAYACAAAACEAtoM4kv4AAADhAQAAEwAAAAAAAAAA&#10;AAAAAAAAAAAAW0NvbnRlbnRfVHlwZXNdLnhtbFBLAQItABQABgAIAAAAIQA4/SH/1gAAAJQBAAAL&#10;AAAAAAAAAAAAAAAAAC8BAABfcmVscy8ucmVsc1BLAQItABQABgAIAAAAIQA5n8xcewIAAGoFAAAO&#10;AAAAAAAAAAAAAAAAAC4CAABkcnMvZTJvRG9jLnhtbFBLAQItABQABgAIAAAAIQAsfDCF3AAAAAUB&#10;AAAPAAAAAAAAAAAAAAAAANUEAABkcnMvZG93bnJldi54bWxQSwUGAAAAAAQABADzAAAA3gUAAAAA&#10;" fillcolor="white [3201]" stroked="f" strokeweight=".5pt">
                <v:textbox style="mso-fit-shape-to-text:t" inset="0,,1mm">
                  <w:txbxContent>
                    <w:p w14:paraId="5E20A4F2" w14:textId="77777777" w:rsidR="00022CAC" w:rsidRDefault="004A2011">
                      <w:pPr>
                        <w:pStyle w:val="Callout"/>
                        <w:rPr>
                          <w:color w:val="F25E21" w:themeColor="accent2"/>
                        </w:rPr>
                      </w:pPr>
                      <w:r>
                        <w:rPr>
                          <w:color w:val="F25E21" w:themeColor="accent2"/>
                        </w:rPr>
                        <w:t>“T</w:t>
                      </w:r>
                      <w:r w:rsidRPr="00885462">
                        <w:rPr>
                          <w:color w:val="F25E21" w:themeColor="accent2"/>
                        </w:rPr>
                        <w:t>h</w:t>
                      </w:r>
                      <w:r>
                        <w:rPr>
                          <w:color w:val="F25E21" w:themeColor="accent2"/>
                        </w:rPr>
                        <w:t>e more discretion and autonomy that schools have, the stronger the central regulatory frameworks must be; Australia has th</w:t>
                      </w:r>
                      <w:r w:rsidR="00022CAC">
                        <w:rPr>
                          <w:color w:val="F25E21" w:themeColor="accent2"/>
                        </w:rPr>
                        <w:t>e balance</w:t>
                      </w:r>
                      <w:r>
                        <w:rPr>
                          <w:color w:val="F25E21" w:themeColor="accent2"/>
                        </w:rPr>
                        <w:t xml:space="preserve"> wrong</w:t>
                      </w:r>
                      <w:r w:rsidR="00022CAC">
                        <w:rPr>
                          <w:color w:val="F25E21" w:themeColor="accent2"/>
                        </w:rPr>
                        <w:t>.</w:t>
                      </w:r>
                      <w:r>
                        <w:rPr>
                          <w:color w:val="F25E21" w:themeColor="accent2"/>
                        </w:rPr>
                        <w:t>”</w:t>
                      </w:r>
                    </w:p>
                    <w:p w14:paraId="4BBDAFF8" w14:textId="41CC3C91" w:rsidR="004A2011" w:rsidRPr="003D17FD" w:rsidRDefault="00022CAC" w:rsidP="00022CAC">
                      <w:pPr>
                        <w:pStyle w:val="Callout"/>
                        <w:jc w:val="right"/>
                        <w:rPr>
                          <w:i/>
                          <w:color w:val="F25E21" w:themeColor="accent2"/>
                          <w:sz w:val="18"/>
                          <w:szCs w:val="18"/>
                        </w:rPr>
                      </w:pPr>
                      <w:r w:rsidRPr="003D17FD">
                        <w:rPr>
                          <w:color w:val="F25E21" w:themeColor="accent2"/>
                          <w:sz w:val="18"/>
                          <w:szCs w:val="18"/>
                        </w:rPr>
                        <w:t>Andreas Schleicher</w:t>
                      </w:r>
                      <w:r w:rsidR="00C039AC" w:rsidRPr="003D17FD">
                        <w:rPr>
                          <w:color w:val="F25E21" w:themeColor="accent2"/>
                          <w:sz w:val="18"/>
                          <w:szCs w:val="18"/>
                        </w:rPr>
                        <w:br/>
                      </w:r>
                      <w:r w:rsidR="00C039AC" w:rsidRPr="003D17FD">
                        <w:rPr>
                          <w:i/>
                          <w:color w:val="F25E21" w:themeColor="accent2"/>
                          <w:sz w:val="18"/>
                          <w:szCs w:val="18"/>
                        </w:rPr>
                        <w:t>OECD Education Director</w:t>
                      </w:r>
                    </w:p>
                  </w:txbxContent>
                </v:textbox>
                <w10:wrap type="square"/>
              </v:shape>
            </w:pict>
          </mc:Fallback>
        </mc:AlternateContent>
      </w:r>
      <w:r w:rsidR="00012C39">
        <w:rPr>
          <w:lang w:eastAsia="en-AU"/>
        </w:rPr>
        <w:t xml:space="preserve">The concept </w:t>
      </w:r>
      <w:r w:rsidR="00C039AC">
        <w:rPr>
          <w:lang w:eastAsia="en-AU"/>
        </w:rPr>
        <w:t>‘tight-loose’ control</w:t>
      </w:r>
      <w:r w:rsidR="00012C39">
        <w:rPr>
          <w:lang w:eastAsia="en-AU"/>
        </w:rPr>
        <w:t xml:space="preserve"> is based on the principle</w:t>
      </w:r>
      <w:r w:rsidR="005B2A26">
        <w:rPr>
          <w:lang w:eastAsia="en-AU"/>
        </w:rPr>
        <w:t xml:space="preserve"> of giving individuals or organisations freedom to innovate, within a clear policy, funding and/or regulatory frame. This works well in situations where there is no</w:t>
      </w:r>
      <w:r w:rsidR="003935E3">
        <w:rPr>
          <w:lang w:eastAsia="en-AU"/>
        </w:rPr>
        <w:t xml:space="preserve"> systemic risk or performance issue that requires active management from central authorities and </w:t>
      </w:r>
      <w:r w:rsidR="00C82860">
        <w:rPr>
          <w:lang w:eastAsia="en-AU"/>
        </w:rPr>
        <w:t>tight day-to-day oversight and direction</w:t>
      </w:r>
      <w:r w:rsidR="006A23BE">
        <w:rPr>
          <w:lang w:eastAsia="en-AU"/>
        </w:rPr>
        <w:t xml:space="preserve">. Applying a ‘tight-tight’ frame like this in normal conditions is disempowering and </w:t>
      </w:r>
      <w:r w:rsidR="00DC76FE">
        <w:rPr>
          <w:lang w:eastAsia="en-AU"/>
        </w:rPr>
        <w:t>deskilling. The opposite approach – a ‘loose-loose’ model</w:t>
      </w:r>
      <w:r w:rsidR="009B549C">
        <w:rPr>
          <w:lang w:eastAsia="en-AU"/>
        </w:rPr>
        <w:t xml:space="preserve"> – however, leads to fragmentation, highly variable performance</w:t>
      </w:r>
      <w:r w:rsidR="0050387C">
        <w:rPr>
          <w:lang w:eastAsia="en-AU"/>
        </w:rPr>
        <w:t>, misaligned incentives and standards and counter-productive sub-cultures. A</w:t>
      </w:r>
      <w:r w:rsidR="000F584F">
        <w:rPr>
          <w:lang w:eastAsia="en-AU"/>
        </w:rPr>
        <w:t xml:space="preserve">rguably, the </w:t>
      </w:r>
      <w:r w:rsidR="000F584F">
        <w:rPr>
          <w:lang w:eastAsia="en-AU"/>
        </w:rPr>
        <w:lastRenderedPageBreak/>
        <w:t xml:space="preserve">governance of Australia’s schooling system fits into the ‘loose-loose’ category, at least when considered as a whole. (States and Territories might argue, with good reason, that their management of their respective </w:t>
      </w:r>
      <w:r w:rsidR="00A721F4">
        <w:rPr>
          <w:lang w:eastAsia="en-AU"/>
        </w:rPr>
        <w:t>public-school</w:t>
      </w:r>
      <w:r w:rsidR="000F584F">
        <w:rPr>
          <w:lang w:eastAsia="en-AU"/>
        </w:rPr>
        <w:t xml:space="preserve"> systems is closer to the ‘tight-loose’ model.)</w:t>
      </w:r>
    </w:p>
    <w:p w14:paraId="4B483CDD" w14:textId="22131EC3" w:rsidR="00292C9C" w:rsidRDefault="00786919" w:rsidP="00220D90">
      <w:pPr>
        <w:rPr>
          <w:lang w:eastAsia="en-AU"/>
        </w:rPr>
      </w:pPr>
      <w:r>
        <w:rPr>
          <w:lang w:eastAsia="en-AU"/>
        </w:rPr>
        <w:t xml:space="preserve">With that context in mind, </w:t>
      </w:r>
      <w:r w:rsidR="000D1858">
        <w:rPr>
          <w:lang w:eastAsia="en-AU"/>
        </w:rPr>
        <w:t xml:space="preserve">we propose that </w:t>
      </w:r>
      <w:r w:rsidR="00D32007">
        <w:rPr>
          <w:lang w:eastAsia="en-AU"/>
        </w:rPr>
        <w:t xml:space="preserve">there could be </w:t>
      </w:r>
      <w:r w:rsidR="00EF2696">
        <w:rPr>
          <w:lang w:eastAsia="en-AU"/>
        </w:rPr>
        <w:t xml:space="preserve">greater clarity </w:t>
      </w:r>
      <w:r w:rsidR="006974ED">
        <w:rPr>
          <w:lang w:eastAsia="en-AU"/>
        </w:rPr>
        <w:t xml:space="preserve">about the </w:t>
      </w:r>
      <w:r w:rsidR="00EF2696">
        <w:rPr>
          <w:lang w:eastAsia="en-AU"/>
        </w:rPr>
        <w:t xml:space="preserve">expectations </w:t>
      </w:r>
      <w:r w:rsidR="006974ED">
        <w:rPr>
          <w:lang w:eastAsia="en-AU"/>
        </w:rPr>
        <w:t>of</w:t>
      </w:r>
      <w:r w:rsidR="00EF2696">
        <w:rPr>
          <w:lang w:eastAsia="en-AU"/>
        </w:rPr>
        <w:t xml:space="preserve"> schools </w:t>
      </w:r>
      <w:r w:rsidR="006974ED">
        <w:rPr>
          <w:lang w:eastAsia="en-AU"/>
        </w:rPr>
        <w:t xml:space="preserve">to contribute to equity goals, in exchange for their ability to operate (particularly in the non-government sector) with significant freedom and discretion. Those expectations should then inform </w:t>
      </w:r>
      <w:r w:rsidR="00292C9C">
        <w:rPr>
          <w:lang w:eastAsia="en-AU"/>
        </w:rPr>
        <w:t xml:space="preserve">appropriate accountability and </w:t>
      </w:r>
      <w:r w:rsidR="006974ED">
        <w:rPr>
          <w:lang w:eastAsia="en-AU"/>
        </w:rPr>
        <w:t>regulatory framewo</w:t>
      </w:r>
      <w:r w:rsidR="00576CAE">
        <w:rPr>
          <w:lang w:eastAsia="en-AU"/>
        </w:rPr>
        <w:t>rks</w:t>
      </w:r>
      <w:r w:rsidR="00292C9C">
        <w:rPr>
          <w:lang w:eastAsia="en-AU"/>
        </w:rPr>
        <w:t xml:space="preserve">. </w:t>
      </w:r>
    </w:p>
    <w:p w14:paraId="2BCD0D05" w14:textId="77777777" w:rsidR="00292C9C" w:rsidRPr="00924F23" w:rsidRDefault="00292C9C" w:rsidP="00220D90">
      <w:pPr>
        <w:rPr>
          <w:rFonts w:asciiTheme="minorHAnsi" w:hAnsiTheme="minorHAnsi" w:cstheme="minorHAnsi"/>
          <w:b/>
          <w:lang w:eastAsia="en-AU"/>
        </w:rPr>
      </w:pPr>
      <w:r w:rsidRPr="00924F23">
        <w:rPr>
          <w:rFonts w:asciiTheme="minorHAnsi" w:hAnsiTheme="minorHAnsi" w:cstheme="minorHAnsi"/>
          <w:b/>
          <w:lang w:eastAsia="en-AU"/>
        </w:rPr>
        <w:t>Changes</w:t>
      </w:r>
      <w:r w:rsidR="00445F14" w:rsidRPr="00924F23">
        <w:rPr>
          <w:rFonts w:asciiTheme="minorHAnsi" w:hAnsiTheme="minorHAnsi" w:cstheme="minorHAnsi"/>
          <w:b/>
          <w:lang w:eastAsia="en-AU"/>
        </w:rPr>
        <w:t xml:space="preserve"> to</w:t>
      </w:r>
      <w:r w:rsidR="00D32007" w:rsidRPr="00924F23">
        <w:rPr>
          <w:rFonts w:asciiTheme="minorHAnsi" w:hAnsiTheme="minorHAnsi" w:cstheme="minorHAnsi"/>
          <w:b/>
          <w:lang w:eastAsia="en-AU"/>
        </w:rPr>
        <w:t xml:space="preserve"> </w:t>
      </w:r>
      <w:r w:rsidRPr="00924F23">
        <w:rPr>
          <w:rFonts w:asciiTheme="minorHAnsi" w:hAnsiTheme="minorHAnsi" w:cstheme="minorHAnsi"/>
          <w:b/>
          <w:lang w:eastAsia="en-AU"/>
        </w:rPr>
        <w:t>regulatory approaches</w:t>
      </w:r>
    </w:p>
    <w:p w14:paraId="64535A89" w14:textId="0641666F" w:rsidR="000F584F" w:rsidRPr="00292C9C" w:rsidRDefault="00292C9C" w:rsidP="00220D90">
      <w:pPr>
        <w:rPr>
          <w:rFonts w:asciiTheme="minorHAnsi" w:hAnsiTheme="minorHAnsi" w:cstheme="minorHAnsi"/>
          <w:lang w:eastAsia="en-AU"/>
        </w:rPr>
      </w:pPr>
      <w:r w:rsidRPr="00292C9C">
        <w:rPr>
          <w:rFonts w:asciiTheme="minorHAnsi" w:hAnsiTheme="minorHAnsi" w:cstheme="minorHAnsi"/>
          <w:lang w:eastAsia="en-AU"/>
        </w:rPr>
        <w:t>School regulation is largely a State/Territory matter</w:t>
      </w:r>
      <w:r w:rsidR="00F04D7C">
        <w:rPr>
          <w:rFonts w:asciiTheme="minorHAnsi" w:hAnsiTheme="minorHAnsi" w:cstheme="minorHAnsi"/>
          <w:lang w:eastAsia="en-AU"/>
        </w:rPr>
        <w:t xml:space="preserve"> and so each jurisdiction’s regulatory framework and approach is different.</w:t>
      </w:r>
      <w:r w:rsidR="00445F14" w:rsidRPr="00292C9C">
        <w:rPr>
          <w:rFonts w:asciiTheme="minorHAnsi" w:hAnsiTheme="minorHAnsi" w:cstheme="minorHAnsi"/>
          <w:lang w:eastAsia="en-AU"/>
        </w:rPr>
        <w:t xml:space="preserve"> </w:t>
      </w:r>
      <w:r>
        <w:rPr>
          <w:rFonts w:asciiTheme="minorHAnsi" w:hAnsiTheme="minorHAnsi" w:cstheme="minorHAnsi"/>
          <w:lang w:eastAsia="en-AU"/>
        </w:rPr>
        <w:t xml:space="preserve">The </w:t>
      </w:r>
      <w:r w:rsidR="00F04D7C">
        <w:rPr>
          <w:rFonts w:asciiTheme="minorHAnsi" w:hAnsiTheme="minorHAnsi" w:cstheme="minorHAnsi"/>
          <w:lang w:eastAsia="en-AU"/>
        </w:rPr>
        <w:t xml:space="preserve">common elements, however, are a concern to ensure that providers in the market are acting within the bounds of relevant legislation, including with respect to the </w:t>
      </w:r>
      <w:r w:rsidR="000E4B42">
        <w:rPr>
          <w:rFonts w:asciiTheme="minorHAnsi" w:hAnsiTheme="minorHAnsi" w:cstheme="minorHAnsi"/>
          <w:lang w:eastAsia="en-AU"/>
        </w:rPr>
        <w:t>quality of the education services being provided and the safety of the students</w:t>
      </w:r>
      <w:r w:rsidR="001731A2">
        <w:rPr>
          <w:rFonts w:asciiTheme="minorHAnsi" w:hAnsiTheme="minorHAnsi" w:cstheme="minorHAnsi"/>
          <w:lang w:eastAsia="en-AU"/>
        </w:rPr>
        <w:t xml:space="preserve">. </w:t>
      </w:r>
      <w:r w:rsidR="00BD76CE">
        <w:rPr>
          <w:rFonts w:asciiTheme="minorHAnsi" w:hAnsiTheme="minorHAnsi" w:cstheme="minorHAnsi"/>
          <w:lang w:eastAsia="en-AU"/>
        </w:rPr>
        <w:t xml:space="preserve">Non-government schools must also demonstrate that they are operating genuinely as a not-for-profit enterprise. </w:t>
      </w:r>
    </w:p>
    <w:p w14:paraId="46964D96" w14:textId="6FA6B3B2" w:rsidR="00C273FD" w:rsidRPr="00292C9C" w:rsidRDefault="00C273FD" w:rsidP="00220D90">
      <w:pPr>
        <w:rPr>
          <w:rFonts w:asciiTheme="minorHAnsi" w:hAnsiTheme="minorHAnsi" w:cstheme="minorHAnsi"/>
          <w:lang w:eastAsia="en-AU"/>
        </w:rPr>
      </w:pPr>
      <w:r>
        <w:rPr>
          <w:rFonts w:asciiTheme="minorHAnsi" w:hAnsiTheme="minorHAnsi" w:cstheme="minorHAnsi"/>
          <w:lang w:eastAsia="en-AU"/>
        </w:rPr>
        <w:t xml:space="preserve">There is an opportunity to harmonise regulatory frameworks, if not how those frameworks are implemented, to promote a stronger focus on </w:t>
      </w:r>
      <w:r w:rsidR="00766961">
        <w:rPr>
          <w:rFonts w:asciiTheme="minorHAnsi" w:hAnsiTheme="minorHAnsi" w:cstheme="minorHAnsi"/>
          <w:lang w:eastAsia="en-AU"/>
        </w:rPr>
        <w:t xml:space="preserve">lifting performance on key metrics that include broader </w:t>
      </w:r>
      <w:r w:rsidR="000A5E81">
        <w:rPr>
          <w:rFonts w:asciiTheme="minorHAnsi" w:hAnsiTheme="minorHAnsi" w:cstheme="minorHAnsi"/>
          <w:lang w:eastAsia="en-AU"/>
        </w:rPr>
        <w:t>measures of wellbeing and inclusivity (</w:t>
      </w:r>
      <w:r w:rsidR="00CE27AF">
        <w:rPr>
          <w:rFonts w:asciiTheme="minorHAnsi" w:hAnsiTheme="minorHAnsi" w:cstheme="minorHAnsi"/>
          <w:lang w:eastAsia="en-AU"/>
        </w:rPr>
        <w:t>e.g.,</w:t>
      </w:r>
      <w:r w:rsidR="000A5E81">
        <w:rPr>
          <w:rFonts w:asciiTheme="minorHAnsi" w:hAnsiTheme="minorHAnsi" w:cstheme="minorHAnsi"/>
          <w:lang w:eastAsia="en-AU"/>
        </w:rPr>
        <w:t xml:space="preserve"> ‘belonging’) and </w:t>
      </w:r>
      <w:r w:rsidR="00A5103E">
        <w:rPr>
          <w:rFonts w:asciiTheme="minorHAnsi" w:hAnsiTheme="minorHAnsi" w:cstheme="minorHAnsi"/>
          <w:lang w:eastAsia="en-AU"/>
        </w:rPr>
        <w:t>equity (</w:t>
      </w:r>
      <w:r w:rsidR="00CE27AF">
        <w:rPr>
          <w:rFonts w:asciiTheme="minorHAnsi" w:hAnsiTheme="minorHAnsi" w:cstheme="minorHAnsi"/>
          <w:lang w:eastAsia="en-AU"/>
        </w:rPr>
        <w:t>e.g.,</w:t>
      </w:r>
      <w:r w:rsidR="00A5103E">
        <w:rPr>
          <w:rFonts w:asciiTheme="minorHAnsi" w:hAnsiTheme="minorHAnsi" w:cstheme="minorHAnsi"/>
          <w:lang w:eastAsia="en-AU"/>
        </w:rPr>
        <w:t xml:space="preserve"> diversity). </w:t>
      </w:r>
      <w:r w:rsidR="00D91B01">
        <w:rPr>
          <w:rFonts w:asciiTheme="minorHAnsi" w:hAnsiTheme="minorHAnsi" w:cstheme="minorHAnsi"/>
          <w:lang w:eastAsia="en-AU"/>
        </w:rPr>
        <w:t xml:space="preserve">To be clear: we do not propose a compliance regime that leads to stark ‘pass’ or ‘fail’ results along the lines of </w:t>
      </w:r>
      <w:r w:rsidR="00CE27AF">
        <w:rPr>
          <w:rFonts w:asciiTheme="minorHAnsi" w:hAnsiTheme="minorHAnsi" w:cstheme="minorHAnsi"/>
          <w:lang w:eastAsia="en-AU"/>
        </w:rPr>
        <w:t>Ofsted</w:t>
      </w:r>
      <w:r w:rsidR="00D91B01">
        <w:rPr>
          <w:rFonts w:asciiTheme="minorHAnsi" w:hAnsiTheme="minorHAnsi" w:cstheme="minorHAnsi"/>
          <w:lang w:eastAsia="en-AU"/>
        </w:rPr>
        <w:t xml:space="preserve"> in the UK. But there is arguably scope to </w:t>
      </w:r>
      <w:r w:rsidR="00DF32D7">
        <w:rPr>
          <w:rFonts w:asciiTheme="minorHAnsi" w:hAnsiTheme="minorHAnsi" w:cstheme="minorHAnsi"/>
          <w:lang w:eastAsia="en-AU"/>
        </w:rPr>
        <w:t xml:space="preserve">strengthen the role </w:t>
      </w:r>
      <w:r w:rsidR="00924F23">
        <w:rPr>
          <w:rFonts w:asciiTheme="minorHAnsi" w:hAnsiTheme="minorHAnsi" w:cstheme="minorHAnsi"/>
          <w:lang w:eastAsia="en-AU"/>
        </w:rPr>
        <w:t xml:space="preserve">of school regulators to be a force for positive change, including to achieve agreed </w:t>
      </w:r>
      <w:r w:rsidR="002E3A64">
        <w:rPr>
          <w:rFonts w:asciiTheme="minorHAnsi" w:hAnsiTheme="minorHAnsi" w:cstheme="minorHAnsi"/>
          <w:lang w:eastAsia="en-AU"/>
        </w:rPr>
        <w:t xml:space="preserve">strategic </w:t>
      </w:r>
      <w:r w:rsidR="00924F23">
        <w:rPr>
          <w:rFonts w:asciiTheme="minorHAnsi" w:hAnsiTheme="minorHAnsi" w:cstheme="minorHAnsi"/>
          <w:lang w:eastAsia="en-AU"/>
        </w:rPr>
        <w:t>national policy objectives on equity.</w:t>
      </w:r>
    </w:p>
    <w:p w14:paraId="01D1027A" w14:textId="512B36A7" w:rsidR="006208D9" w:rsidRDefault="006208D9" w:rsidP="00220D90">
      <w:pPr>
        <w:rPr>
          <w:lang w:eastAsia="en-AU"/>
        </w:rPr>
      </w:pPr>
      <w:r>
        <w:rPr>
          <w:lang w:eastAsia="en-AU"/>
        </w:rPr>
        <w:t>A model to look at perhaps is the E</w:t>
      </w:r>
      <w:r w:rsidR="00EB2632">
        <w:rPr>
          <w:lang w:eastAsia="en-AU"/>
        </w:rPr>
        <w:t>ducation Review Office</w:t>
      </w:r>
      <w:r>
        <w:rPr>
          <w:lang w:eastAsia="en-AU"/>
        </w:rPr>
        <w:t xml:space="preserve"> </w:t>
      </w:r>
      <w:r w:rsidR="00955B66">
        <w:rPr>
          <w:lang w:eastAsia="en-AU"/>
        </w:rPr>
        <w:t>(ERO)</w:t>
      </w:r>
      <w:r w:rsidR="00EB2632">
        <w:rPr>
          <w:lang w:eastAsia="en-AU"/>
        </w:rPr>
        <w:t xml:space="preserve"> </w:t>
      </w:r>
      <w:r w:rsidR="002D617C">
        <w:rPr>
          <w:lang w:eastAsia="en-AU"/>
        </w:rPr>
        <w:t xml:space="preserve">approach to school reviews in New Zealand. </w:t>
      </w:r>
      <w:r w:rsidR="00955B66">
        <w:rPr>
          <w:lang w:eastAsia="en-AU"/>
        </w:rPr>
        <w:t xml:space="preserve">The reviews conducted by </w:t>
      </w:r>
      <w:r w:rsidR="002D617C" w:rsidRPr="002D617C">
        <w:rPr>
          <w:lang w:eastAsia="en-AU"/>
        </w:rPr>
        <w:t xml:space="preserve">ERO </w:t>
      </w:r>
      <w:r w:rsidR="00955B66">
        <w:rPr>
          <w:lang w:eastAsia="en-AU"/>
        </w:rPr>
        <w:t>include community members on the panel and are</w:t>
      </w:r>
      <w:r w:rsidR="002D617C" w:rsidRPr="002D617C">
        <w:rPr>
          <w:lang w:eastAsia="en-AU"/>
        </w:rPr>
        <w:t xml:space="preserve"> very transparent</w:t>
      </w:r>
      <w:r w:rsidR="00955B66">
        <w:rPr>
          <w:lang w:eastAsia="en-AU"/>
        </w:rPr>
        <w:t>. Their findings provide a ‘</w:t>
      </w:r>
      <w:r w:rsidR="002D617C" w:rsidRPr="002D617C">
        <w:rPr>
          <w:lang w:eastAsia="en-AU"/>
        </w:rPr>
        <w:t>warts and all</w:t>
      </w:r>
      <w:r w:rsidR="00955B66">
        <w:rPr>
          <w:lang w:eastAsia="en-AU"/>
        </w:rPr>
        <w:t xml:space="preserve">’ view, but the </w:t>
      </w:r>
      <w:r w:rsidR="00156455">
        <w:rPr>
          <w:lang w:eastAsia="en-AU"/>
        </w:rPr>
        <w:t xml:space="preserve">intent is to focus on </w:t>
      </w:r>
      <w:r w:rsidR="00042B33">
        <w:rPr>
          <w:lang w:eastAsia="en-AU"/>
        </w:rPr>
        <w:t>learning and improvement</w:t>
      </w:r>
      <w:r w:rsidR="009F74DF">
        <w:rPr>
          <w:lang w:eastAsia="en-AU"/>
        </w:rPr>
        <w:t xml:space="preserve"> at a </w:t>
      </w:r>
      <w:r w:rsidR="002E3A64">
        <w:rPr>
          <w:lang w:eastAsia="en-AU"/>
        </w:rPr>
        <w:t>strategic level. They are not punitive in any way or designed to produce rankings and league tables.</w:t>
      </w:r>
    </w:p>
    <w:p w14:paraId="5B252721" w14:textId="78B8D5BD" w:rsidR="00F07807" w:rsidRDefault="00F07807" w:rsidP="002E3A64">
      <w:pPr>
        <w:rPr>
          <w:rFonts w:asciiTheme="minorHAnsi" w:hAnsiTheme="minorHAnsi" w:cstheme="minorHAnsi"/>
          <w:lang w:eastAsia="en-AU"/>
        </w:rPr>
      </w:pPr>
      <w:r>
        <w:rPr>
          <w:lang w:eastAsia="en-AU"/>
        </w:rPr>
        <w:t xml:space="preserve">We note that this recommendation will have </w:t>
      </w:r>
      <w:r w:rsidR="007B1691">
        <w:rPr>
          <w:lang w:eastAsia="en-AU"/>
        </w:rPr>
        <w:t>greatest</w:t>
      </w:r>
      <w:r>
        <w:rPr>
          <w:lang w:eastAsia="en-AU"/>
        </w:rPr>
        <w:t xml:space="preserve"> direct impact on the non-government sector – particularly independent schools – given that public schools are, to a large degree, already regulated by education departments in such a way as to ensure attention is paid to a broader range of metrics. It would nevertheless be powerful to have a </w:t>
      </w:r>
      <w:r w:rsidR="003C4CD3">
        <w:rPr>
          <w:lang w:eastAsia="en-AU"/>
        </w:rPr>
        <w:t xml:space="preserve">single national framework (not unlike the one used in the early childhood education and care sector) to inform a more consistent approach </w:t>
      </w:r>
      <w:r w:rsidR="00B562F2">
        <w:rPr>
          <w:lang w:eastAsia="en-AU"/>
        </w:rPr>
        <w:t xml:space="preserve">used by jurisdictions and the Catholic education systems through their delegated </w:t>
      </w:r>
      <w:r w:rsidR="008F3E53">
        <w:rPr>
          <w:lang w:eastAsia="en-AU"/>
        </w:rPr>
        <w:t xml:space="preserve">authority. (An alternative option is to agree nationally that that regulatory authority </w:t>
      </w:r>
      <w:r w:rsidR="00AD4380">
        <w:rPr>
          <w:lang w:eastAsia="en-AU"/>
        </w:rPr>
        <w:t>is not</w:t>
      </w:r>
      <w:r w:rsidR="008F3E53">
        <w:rPr>
          <w:lang w:eastAsia="en-AU"/>
        </w:rPr>
        <w:t xml:space="preserve"> delegated</w:t>
      </w:r>
      <w:r w:rsidR="00DA5B6D">
        <w:rPr>
          <w:lang w:eastAsia="en-AU"/>
        </w:rPr>
        <w:t xml:space="preserve"> to </w:t>
      </w:r>
      <w:r w:rsidR="008F3E53">
        <w:rPr>
          <w:lang w:eastAsia="en-AU"/>
        </w:rPr>
        <w:t>enable an even more consistent and comparable approach.)</w:t>
      </w:r>
    </w:p>
    <w:p w14:paraId="46126DC8" w14:textId="34B14FE4" w:rsidR="00924F23" w:rsidRDefault="00924F23" w:rsidP="00220D90">
      <w:pPr>
        <w:rPr>
          <w:rFonts w:asciiTheme="minorHAnsi" w:hAnsiTheme="minorHAnsi" w:cstheme="minorHAnsi"/>
          <w:b/>
          <w:bCs/>
          <w:lang w:eastAsia="en-AU"/>
        </w:rPr>
      </w:pPr>
      <w:r w:rsidRPr="00924F23">
        <w:rPr>
          <w:rFonts w:asciiTheme="minorHAnsi" w:hAnsiTheme="minorHAnsi" w:cstheme="minorHAnsi"/>
          <w:b/>
          <w:bCs/>
          <w:lang w:eastAsia="en-AU"/>
        </w:rPr>
        <w:t>New measures and monitoring under the NSRA</w:t>
      </w:r>
    </w:p>
    <w:p w14:paraId="2C564B7E" w14:textId="01DC82A2" w:rsidR="00924F23" w:rsidRPr="00924F23" w:rsidRDefault="00924F23" w:rsidP="00220D90">
      <w:pPr>
        <w:rPr>
          <w:rFonts w:asciiTheme="minorHAnsi" w:hAnsiTheme="minorHAnsi" w:cstheme="minorHAnsi"/>
          <w:lang w:eastAsia="en-AU"/>
        </w:rPr>
      </w:pPr>
      <w:r>
        <w:rPr>
          <w:rFonts w:asciiTheme="minorHAnsi" w:hAnsiTheme="minorHAnsi" w:cstheme="minorHAnsi"/>
          <w:lang w:eastAsia="en-AU"/>
        </w:rPr>
        <w:t xml:space="preserve">The </w:t>
      </w:r>
      <w:r w:rsidR="002335A1">
        <w:rPr>
          <w:rFonts w:asciiTheme="minorHAnsi" w:hAnsiTheme="minorHAnsi" w:cstheme="minorHAnsi"/>
          <w:lang w:eastAsia="en-AU"/>
        </w:rPr>
        <w:t>Review to Inform a</w:t>
      </w:r>
      <w:r>
        <w:rPr>
          <w:rFonts w:asciiTheme="minorHAnsi" w:hAnsiTheme="minorHAnsi" w:cstheme="minorHAnsi"/>
          <w:lang w:eastAsia="en-AU"/>
        </w:rPr>
        <w:t xml:space="preserve"> Better and Fairer Education System has called for </w:t>
      </w:r>
      <w:r w:rsidR="00AB7CED">
        <w:rPr>
          <w:rFonts w:asciiTheme="minorHAnsi" w:hAnsiTheme="minorHAnsi" w:cstheme="minorHAnsi"/>
          <w:lang w:eastAsia="en-AU"/>
        </w:rPr>
        <w:t xml:space="preserve">perspectives on what ought to be included as new measures in the NSRA, including to </w:t>
      </w:r>
      <w:r w:rsidR="0004754C">
        <w:rPr>
          <w:rFonts w:asciiTheme="minorHAnsi" w:hAnsiTheme="minorHAnsi" w:cstheme="minorHAnsi"/>
          <w:lang w:eastAsia="en-AU"/>
        </w:rPr>
        <w:t>sharpen the focus on aspects of wellbeing</w:t>
      </w:r>
      <w:r w:rsidR="00880D51">
        <w:rPr>
          <w:rFonts w:asciiTheme="minorHAnsi" w:hAnsiTheme="minorHAnsi" w:cstheme="minorHAnsi"/>
          <w:lang w:eastAsia="en-AU"/>
        </w:rPr>
        <w:t>, funding accountability and transparency</w:t>
      </w:r>
      <w:r w:rsidR="0004754C">
        <w:rPr>
          <w:rFonts w:asciiTheme="minorHAnsi" w:hAnsiTheme="minorHAnsi" w:cstheme="minorHAnsi"/>
          <w:lang w:eastAsia="en-AU"/>
        </w:rPr>
        <w:t xml:space="preserve"> (as recommended by the Productivity Commission</w:t>
      </w:r>
      <w:r w:rsidR="00951289">
        <w:rPr>
          <w:rFonts w:asciiTheme="minorHAnsi" w:hAnsiTheme="minorHAnsi" w:cstheme="minorHAnsi"/>
          <w:lang w:eastAsia="en-AU"/>
        </w:rPr>
        <w:t>)</w:t>
      </w:r>
      <w:r w:rsidR="0004754C">
        <w:rPr>
          <w:rFonts w:asciiTheme="minorHAnsi" w:hAnsiTheme="minorHAnsi" w:cstheme="minorHAnsi"/>
          <w:lang w:eastAsia="en-AU"/>
        </w:rPr>
        <w:t xml:space="preserve">. </w:t>
      </w:r>
      <w:r w:rsidR="00F67304">
        <w:rPr>
          <w:rFonts w:asciiTheme="minorHAnsi" w:hAnsiTheme="minorHAnsi" w:cstheme="minorHAnsi"/>
          <w:lang w:eastAsia="en-AU"/>
        </w:rPr>
        <w:t xml:space="preserve">In considering what those measures might be, </w:t>
      </w:r>
      <w:r w:rsidR="00E36209">
        <w:rPr>
          <w:rFonts w:asciiTheme="minorHAnsi" w:hAnsiTheme="minorHAnsi" w:cstheme="minorHAnsi"/>
          <w:lang w:eastAsia="en-AU"/>
        </w:rPr>
        <w:t xml:space="preserve">we would </w:t>
      </w:r>
      <w:r w:rsidR="00D765B0">
        <w:rPr>
          <w:rFonts w:asciiTheme="minorHAnsi" w:hAnsiTheme="minorHAnsi" w:cstheme="minorHAnsi"/>
          <w:lang w:eastAsia="en-AU"/>
        </w:rPr>
        <w:t>advocate for the inclusion of measures that:</w:t>
      </w:r>
    </w:p>
    <w:p w14:paraId="6AC89C82" w14:textId="33789AEF" w:rsidR="00D765B0" w:rsidRPr="00D765B0" w:rsidRDefault="00D765B0" w:rsidP="00E45BFE">
      <w:pPr>
        <w:pStyle w:val="ListParagraph"/>
        <w:numPr>
          <w:ilvl w:val="0"/>
          <w:numId w:val="14"/>
        </w:numPr>
        <w:rPr>
          <w:rFonts w:asciiTheme="minorHAnsi" w:hAnsiTheme="minorHAnsi" w:cstheme="minorHAnsi"/>
          <w:lang w:eastAsia="en-AU"/>
        </w:rPr>
      </w:pPr>
      <w:r w:rsidRPr="00695A26">
        <w:rPr>
          <w:rFonts w:asciiTheme="majorHAnsi" w:hAnsiTheme="majorHAnsi" w:cstheme="majorHAnsi"/>
          <w:lang w:eastAsia="en-AU"/>
        </w:rPr>
        <w:t>Require closer tracking of how needs-based funding is allocated</w:t>
      </w:r>
      <w:r>
        <w:rPr>
          <w:rFonts w:asciiTheme="minorHAnsi" w:hAnsiTheme="minorHAnsi" w:cstheme="minorHAnsi"/>
          <w:lang w:eastAsia="en-AU"/>
        </w:rPr>
        <w:t xml:space="preserve"> </w:t>
      </w:r>
      <w:r w:rsidR="00BB2674">
        <w:rPr>
          <w:rFonts w:asciiTheme="minorHAnsi" w:hAnsiTheme="minorHAnsi" w:cstheme="minorHAnsi"/>
          <w:lang w:eastAsia="en-AU"/>
        </w:rPr>
        <w:t xml:space="preserve">– while it is difficult to ‘follow the money’ </w:t>
      </w:r>
      <w:r w:rsidR="004772AA">
        <w:rPr>
          <w:rFonts w:asciiTheme="minorHAnsi" w:hAnsiTheme="minorHAnsi" w:cstheme="minorHAnsi"/>
          <w:lang w:eastAsia="en-AU"/>
        </w:rPr>
        <w:t xml:space="preserve">in such a complex system as ours, </w:t>
      </w:r>
      <w:r w:rsidR="006C1DE8">
        <w:rPr>
          <w:rFonts w:asciiTheme="minorHAnsi" w:hAnsiTheme="minorHAnsi" w:cstheme="minorHAnsi"/>
          <w:lang w:eastAsia="en-AU"/>
        </w:rPr>
        <w:t>as part of a ‘tight-loose’ structure, it is not unreasonable</w:t>
      </w:r>
      <w:r w:rsidR="004A597E">
        <w:rPr>
          <w:rFonts w:asciiTheme="minorHAnsi" w:hAnsiTheme="minorHAnsi" w:cstheme="minorHAnsi"/>
          <w:lang w:eastAsia="en-AU"/>
        </w:rPr>
        <w:t>, nor beyond capability</w:t>
      </w:r>
      <w:r w:rsidR="005923E1">
        <w:rPr>
          <w:rFonts w:asciiTheme="minorHAnsi" w:hAnsiTheme="minorHAnsi" w:cstheme="minorHAnsi"/>
          <w:lang w:eastAsia="en-AU"/>
        </w:rPr>
        <w:t>, to move closer to a true ‘funding follows the child’</w:t>
      </w:r>
      <w:r w:rsidR="001151DB">
        <w:rPr>
          <w:rFonts w:asciiTheme="minorHAnsi" w:hAnsiTheme="minorHAnsi" w:cstheme="minorHAnsi"/>
          <w:lang w:eastAsia="en-AU"/>
        </w:rPr>
        <w:t xml:space="preserve"> </w:t>
      </w:r>
      <w:r w:rsidR="00513B5C">
        <w:rPr>
          <w:rFonts w:asciiTheme="minorHAnsi" w:hAnsiTheme="minorHAnsi" w:cstheme="minorHAnsi"/>
          <w:lang w:eastAsia="en-AU"/>
        </w:rPr>
        <w:t xml:space="preserve">paradigm. </w:t>
      </w:r>
      <w:r w:rsidR="003F4755">
        <w:rPr>
          <w:rFonts w:asciiTheme="minorHAnsi" w:hAnsiTheme="minorHAnsi" w:cstheme="minorHAnsi"/>
          <w:lang w:eastAsia="en-AU"/>
        </w:rPr>
        <w:t>We do not propose abandoning the SRS</w:t>
      </w:r>
      <w:r w:rsidR="00880D51">
        <w:rPr>
          <w:rFonts w:asciiTheme="minorHAnsi" w:hAnsiTheme="minorHAnsi" w:cstheme="minorHAnsi"/>
          <w:lang w:eastAsia="en-AU"/>
        </w:rPr>
        <w:t xml:space="preserve"> and disad</w:t>
      </w:r>
      <w:r w:rsidR="00122738">
        <w:rPr>
          <w:rFonts w:asciiTheme="minorHAnsi" w:hAnsiTheme="minorHAnsi" w:cstheme="minorHAnsi"/>
          <w:lang w:eastAsia="en-AU"/>
        </w:rPr>
        <w:t>vantage loadings</w:t>
      </w:r>
      <w:r w:rsidR="003F4755">
        <w:rPr>
          <w:rFonts w:asciiTheme="minorHAnsi" w:hAnsiTheme="minorHAnsi" w:cstheme="minorHAnsi"/>
          <w:lang w:eastAsia="en-AU"/>
        </w:rPr>
        <w:t xml:space="preserve"> for something like the </w:t>
      </w:r>
      <w:r w:rsidR="00122738">
        <w:rPr>
          <w:rFonts w:asciiTheme="minorHAnsi" w:hAnsiTheme="minorHAnsi" w:cstheme="minorHAnsi"/>
          <w:lang w:eastAsia="en-AU"/>
        </w:rPr>
        <w:t>UK’s P</w:t>
      </w:r>
      <w:r w:rsidR="003F4755">
        <w:rPr>
          <w:rFonts w:asciiTheme="minorHAnsi" w:hAnsiTheme="minorHAnsi" w:cstheme="minorHAnsi"/>
          <w:lang w:eastAsia="en-AU"/>
        </w:rPr>
        <w:t xml:space="preserve">upil </w:t>
      </w:r>
      <w:r w:rsidR="009E3404">
        <w:rPr>
          <w:rFonts w:asciiTheme="minorHAnsi" w:hAnsiTheme="minorHAnsi" w:cstheme="minorHAnsi"/>
          <w:lang w:eastAsia="en-AU"/>
        </w:rPr>
        <w:t>Premium</w:t>
      </w:r>
      <w:r w:rsidR="00273197">
        <w:rPr>
          <w:rFonts w:asciiTheme="minorHAnsi" w:hAnsiTheme="minorHAnsi" w:cstheme="minorHAnsi"/>
          <w:lang w:eastAsia="en-AU"/>
        </w:rPr>
        <w:t>,</w:t>
      </w:r>
      <w:r w:rsidR="009E3404">
        <w:rPr>
          <w:rFonts w:asciiTheme="minorHAnsi" w:hAnsiTheme="minorHAnsi" w:cstheme="minorHAnsi"/>
          <w:lang w:eastAsia="en-AU"/>
        </w:rPr>
        <w:t xml:space="preserve"> but</w:t>
      </w:r>
      <w:r w:rsidR="003F4755">
        <w:rPr>
          <w:rFonts w:asciiTheme="minorHAnsi" w:hAnsiTheme="minorHAnsi" w:cstheme="minorHAnsi"/>
          <w:lang w:eastAsia="en-AU"/>
        </w:rPr>
        <w:t xml:space="preserve"> </w:t>
      </w:r>
      <w:r w:rsidR="00273197">
        <w:rPr>
          <w:rFonts w:asciiTheme="minorHAnsi" w:hAnsiTheme="minorHAnsi" w:cstheme="minorHAnsi"/>
          <w:lang w:eastAsia="en-AU"/>
        </w:rPr>
        <w:t xml:space="preserve">advocate </w:t>
      </w:r>
      <w:r w:rsidR="001A2225">
        <w:rPr>
          <w:rFonts w:asciiTheme="minorHAnsi" w:hAnsiTheme="minorHAnsi" w:cstheme="minorHAnsi"/>
          <w:lang w:eastAsia="en-AU"/>
        </w:rPr>
        <w:t xml:space="preserve">using data </w:t>
      </w:r>
      <w:r w:rsidR="003C672C">
        <w:rPr>
          <w:rFonts w:asciiTheme="minorHAnsi" w:hAnsiTheme="minorHAnsi" w:cstheme="minorHAnsi"/>
          <w:lang w:eastAsia="en-AU"/>
        </w:rPr>
        <w:t xml:space="preserve">collection and analysis to </w:t>
      </w:r>
      <w:r w:rsidR="00837693">
        <w:rPr>
          <w:rFonts w:asciiTheme="minorHAnsi" w:hAnsiTheme="minorHAnsi" w:cstheme="minorHAnsi"/>
          <w:lang w:eastAsia="en-AU"/>
        </w:rPr>
        <w:t>incentivise greater consideration of how needs-based funding is being used</w:t>
      </w:r>
      <w:r w:rsidR="00971381">
        <w:rPr>
          <w:rFonts w:asciiTheme="minorHAnsi" w:hAnsiTheme="minorHAnsi" w:cstheme="minorHAnsi"/>
          <w:lang w:eastAsia="en-AU"/>
        </w:rPr>
        <w:t>,</w:t>
      </w:r>
      <w:r w:rsidR="00837693">
        <w:rPr>
          <w:rFonts w:asciiTheme="minorHAnsi" w:hAnsiTheme="minorHAnsi" w:cstheme="minorHAnsi"/>
          <w:lang w:eastAsia="en-AU"/>
        </w:rPr>
        <w:t xml:space="preserve"> would be important not only to </w:t>
      </w:r>
      <w:r w:rsidR="000A5EE4">
        <w:rPr>
          <w:rFonts w:asciiTheme="minorHAnsi" w:hAnsiTheme="minorHAnsi" w:cstheme="minorHAnsi"/>
          <w:lang w:eastAsia="en-AU"/>
        </w:rPr>
        <w:t xml:space="preserve">making the </w:t>
      </w:r>
      <w:r w:rsidR="008A4659">
        <w:rPr>
          <w:rFonts w:asciiTheme="minorHAnsi" w:hAnsiTheme="minorHAnsi" w:cstheme="minorHAnsi"/>
          <w:lang w:eastAsia="en-AU"/>
        </w:rPr>
        <w:t>loadings</w:t>
      </w:r>
      <w:r w:rsidR="00063346">
        <w:rPr>
          <w:rFonts w:asciiTheme="minorHAnsi" w:hAnsiTheme="minorHAnsi" w:cstheme="minorHAnsi"/>
          <w:lang w:eastAsia="en-AU"/>
        </w:rPr>
        <w:t xml:space="preserve"> operate more like incentives (as discussed abo</w:t>
      </w:r>
      <w:r w:rsidR="007833F5">
        <w:rPr>
          <w:rFonts w:asciiTheme="minorHAnsi" w:hAnsiTheme="minorHAnsi" w:cstheme="minorHAnsi"/>
          <w:lang w:eastAsia="en-AU"/>
        </w:rPr>
        <w:t xml:space="preserve">ve) </w:t>
      </w:r>
      <w:r w:rsidR="00166D99">
        <w:rPr>
          <w:rFonts w:asciiTheme="minorHAnsi" w:hAnsiTheme="minorHAnsi" w:cstheme="minorHAnsi"/>
          <w:lang w:eastAsia="en-AU"/>
        </w:rPr>
        <w:t xml:space="preserve">but raising the stakes for </w:t>
      </w:r>
      <w:r w:rsidR="00025B90">
        <w:rPr>
          <w:rFonts w:asciiTheme="minorHAnsi" w:hAnsiTheme="minorHAnsi" w:cstheme="minorHAnsi"/>
          <w:lang w:eastAsia="en-AU"/>
        </w:rPr>
        <w:t xml:space="preserve">systems and schools to fulfil the intent of </w:t>
      </w:r>
      <w:r w:rsidR="008A4659">
        <w:rPr>
          <w:rFonts w:asciiTheme="minorHAnsi" w:hAnsiTheme="minorHAnsi" w:cstheme="minorHAnsi"/>
          <w:lang w:eastAsia="en-AU"/>
        </w:rPr>
        <w:t>the ‘Gonski’ reforms.</w:t>
      </w:r>
      <w:r w:rsidR="0086246B">
        <w:rPr>
          <w:rFonts w:asciiTheme="minorHAnsi" w:hAnsiTheme="minorHAnsi" w:cstheme="minorHAnsi"/>
          <w:lang w:eastAsia="en-AU"/>
        </w:rPr>
        <w:t xml:space="preserve"> Ideally the reporting required would be at both the strategy and outcomes levels, so that it prompts deeper consideration of specific initiatives</w:t>
      </w:r>
      <w:r w:rsidR="006208D9">
        <w:rPr>
          <w:rFonts w:asciiTheme="minorHAnsi" w:hAnsiTheme="minorHAnsi" w:cstheme="minorHAnsi"/>
          <w:lang w:eastAsia="en-AU"/>
        </w:rPr>
        <w:t xml:space="preserve"> that might be deployed to lift performance in the areas of equity and diversity</w:t>
      </w:r>
      <w:r w:rsidR="005E5702">
        <w:rPr>
          <w:rFonts w:asciiTheme="minorHAnsi" w:hAnsiTheme="minorHAnsi" w:cstheme="minorHAnsi"/>
          <w:lang w:eastAsia="en-AU"/>
        </w:rPr>
        <w:t xml:space="preserve">, and how this deployment might differ across different contexts, including school population profiles, and location (metro, regional, </w:t>
      </w:r>
      <w:r w:rsidR="009E3404">
        <w:rPr>
          <w:rFonts w:asciiTheme="minorHAnsi" w:hAnsiTheme="minorHAnsi" w:cstheme="minorHAnsi"/>
          <w:lang w:eastAsia="en-AU"/>
        </w:rPr>
        <w:t>rural,</w:t>
      </w:r>
      <w:r w:rsidR="005E5702">
        <w:rPr>
          <w:rFonts w:asciiTheme="minorHAnsi" w:hAnsiTheme="minorHAnsi" w:cstheme="minorHAnsi"/>
          <w:lang w:eastAsia="en-AU"/>
        </w:rPr>
        <w:t xml:space="preserve"> and remote)</w:t>
      </w:r>
      <w:r w:rsidR="006208D9">
        <w:rPr>
          <w:rFonts w:asciiTheme="minorHAnsi" w:hAnsiTheme="minorHAnsi" w:cstheme="minorHAnsi"/>
          <w:lang w:eastAsia="en-AU"/>
        </w:rPr>
        <w:t>.</w:t>
      </w:r>
    </w:p>
    <w:p w14:paraId="131294A4" w14:textId="45B81774" w:rsidR="0086246B" w:rsidRPr="0086246B" w:rsidRDefault="00695A26" w:rsidP="00E45BFE">
      <w:pPr>
        <w:pStyle w:val="ListParagraph"/>
        <w:numPr>
          <w:ilvl w:val="0"/>
          <w:numId w:val="14"/>
        </w:numPr>
        <w:rPr>
          <w:rFonts w:asciiTheme="minorHAnsi" w:hAnsiTheme="minorHAnsi" w:cstheme="minorHAnsi"/>
          <w:lang w:eastAsia="en-AU"/>
        </w:rPr>
      </w:pPr>
      <w:r w:rsidRPr="00BE17C1">
        <w:rPr>
          <w:rFonts w:asciiTheme="majorHAnsi" w:hAnsiTheme="majorHAnsi" w:cstheme="majorHAnsi"/>
          <w:lang w:eastAsia="en-AU"/>
        </w:rPr>
        <w:lastRenderedPageBreak/>
        <w:t xml:space="preserve">Report </w:t>
      </w:r>
      <w:r w:rsidR="00EA4FD7" w:rsidRPr="00BE17C1">
        <w:rPr>
          <w:rFonts w:asciiTheme="majorHAnsi" w:hAnsiTheme="majorHAnsi" w:cstheme="majorHAnsi"/>
          <w:lang w:eastAsia="en-AU"/>
        </w:rPr>
        <w:t xml:space="preserve">with reasonable granularity on the levels and trends </w:t>
      </w:r>
      <w:r w:rsidR="0086246B" w:rsidRPr="00BE17C1">
        <w:rPr>
          <w:rFonts w:asciiTheme="majorHAnsi" w:hAnsiTheme="majorHAnsi" w:cstheme="majorHAnsi"/>
          <w:lang w:eastAsia="en-AU"/>
        </w:rPr>
        <w:t>related to concentrations of disadvantage</w:t>
      </w:r>
      <w:r w:rsidR="0086246B">
        <w:rPr>
          <w:rFonts w:asciiTheme="minorHAnsi" w:hAnsiTheme="minorHAnsi" w:cstheme="minorHAnsi"/>
          <w:lang w:eastAsia="en-AU"/>
        </w:rPr>
        <w:t xml:space="preserve"> – </w:t>
      </w:r>
      <w:r w:rsidR="002E3A64">
        <w:rPr>
          <w:rFonts w:asciiTheme="minorHAnsi" w:hAnsiTheme="minorHAnsi" w:cstheme="minorHAnsi"/>
          <w:lang w:eastAsia="en-AU"/>
        </w:rPr>
        <w:t>the Department has recently undertaken detailed analysis of MySchool data, continuing work begun several years ago to observe changes in concentrations of disadvantage among Australia’s schools. Such work should continue and be shared</w:t>
      </w:r>
      <w:r w:rsidR="006563F7">
        <w:rPr>
          <w:rFonts w:asciiTheme="minorHAnsi" w:hAnsiTheme="minorHAnsi" w:cstheme="minorHAnsi"/>
          <w:lang w:eastAsia="en-AU"/>
        </w:rPr>
        <w:t xml:space="preserve"> to raise awareness about the problem – not just from a schooling perspective, but a community perspective. </w:t>
      </w:r>
      <w:r w:rsidR="00371D04">
        <w:rPr>
          <w:rFonts w:asciiTheme="minorHAnsi" w:hAnsiTheme="minorHAnsi" w:cstheme="minorHAnsi"/>
          <w:lang w:eastAsia="en-AU"/>
        </w:rPr>
        <w:t xml:space="preserve">As part of this work, it will be important to address the issue that continually arises about the relationship between residential segregation and school segregation. While current measures of geographic SES distribution are imperfect for using in school-based </w:t>
      </w:r>
      <w:r w:rsidR="00565873">
        <w:rPr>
          <w:rFonts w:asciiTheme="minorHAnsi" w:hAnsiTheme="minorHAnsi" w:cstheme="minorHAnsi"/>
          <w:lang w:eastAsia="en-AU"/>
        </w:rPr>
        <w:t>analysis and</w:t>
      </w:r>
      <w:r w:rsidR="00371D04">
        <w:rPr>
          <w:rFonts w:asciiTheme="minorHAnsi" w:hAnsiTheme="minorHAnsi" w:cstheme="minorHAnsi"/>
          <w:lang w:eastAsia="en-AU"/>
        </w:rPr>
        <w:t xml:space="preserve"> should be used with caution (see </w:t>
      </w:r>
      <w:r w:rsidR="00371D04">
        <w:rPr>
          <w:rFonts w:asciiTheme="minorHAnsi" w:hAnsiTheme="minorHAnsi" w:cstheme="minorHAnsi"/>
          <w:lang w:eastAsia="en-AU"/>
        </w:rPr>
        <w:fldChar w:fldCharType="begin"/>
      </w:r>
      <w:r w:rsidR="00371D04">
        <w:rPr>
          <w:rFonts w:asciiTheme="minorHAnsi" w:hAnsiTheme="minorHAnsi" w:cstheme="minorHAnsi"/>
          <w:lang w:eastAsia="en-AU"/>
        </w:rPr>
        <w:instrText xml:space="preserve"> REF _Ref146891964 \r \h </w:instrText>
      </w:r>
      <w:r w:rsidR="00371D04">
        <w:rPr>
          <w:rFonts w:asciiTheme="minorHAnsi" w:hAnsiTheme="minorHAnsi" w:cstheme="minorHAnsi"/>
          <w:lang w:eastAsia="en-AU"/>
        </w:rPr>
      </w:r>
      <w:r w:rsidR="00371D04">
        <w:rPr>
          <w:rFonts w:asciiTheme="minorHAnsi" w:hAnsiTheme="minorHAnsi" w:cstheme="minorHAnsi"/>
          <w:lang w:eastAsia="en-AU"/>
        </w:rPr>
        <w:fldChar w:fldCharType="separate"/>
      </w:r>
      <w:r w:rsidR="009B7086">
        <w:rPr>
          <w:rFonts w:asciiTheme="minorHAnsi" w:hAnsiTheme="minorHAnsi" w:cstheme="minorHAnsi"/>
          <w:lang w:eastAsia="en-AU"/>
        </w:rPr>
        <w:t>Appendix A</w:t>
      </w:r>
      <w:r w:rsidR="00371D04">
        <w:rPr>
          <w:rFonts w:asciiTheme="minorHAnsi" w:hAnsiTheme="minorHAnsi" w:cstheme="minorHAnsi"/>
          <w:lang w:eastAsia="en-AU"/>
        </w:rPr>
        <w:fldChar w:fldCharType="end"/>
      </w:r>
      <w:r w:rsidR="00371D04">
        <w:rPr>
          <w:rFonts w:asciiTheme="minorHAnsi" w:hAnsiTheme="minorHAnsi" w:cstheme="minorHAnsi"/>
          <w:lang w:eastAsia="en-AU"/>
        </w:rPr>
        <w:t xml:space="preserve">), </w:t>
      </w:r>
      <w:r w:rsidR="00BE17C1">
        <w:rPr>
          <w:rFonts w:asciiTheme="minorHAnsi" w:hAnsiTheme="minorHAnsi" w:cstheme="minorHAnsi"/>
          <w:lang w:eastAsia="en-AU"/>
        </w:rPr>
        <w:t xml:space="preserve">there is a base to build on. Monitoring of these trends at a school-level will be important not only to </w:t>
      </w:r>
      <w:r w:rsidR="00F44099">
        <w:rPr>
          <w:rFonts w:asciiTheme="minorHAnsi" w:hAnsiTheme="minorHAnsi" w:cstheme="minorHAnsi"/>
          <w:lang w:eastAsia="en-AU"/>
        </w:rPr>
        <w:t xml:space="preserve">deepen understanding of particular localities and cohorts being affected, but also to assess more thoroughly the impact of any interventions designed to counter the residualisation trend. </w:t>
      </w:r>
    </w:p>
    <w:p w14:paraId="481208E7" w14:textId="32EA9704" w:rsidR="00C52E70" w:rsidRDefault="00C52E70" w:rsidP="00C52E70">
      <w:pPr>
        <w:pStyle w:val="Heading2"/>
      </w:pPr>
      <w:bookmarkStart w:id="51" w:name="_Toc149052469"/>
      <w:r>
        <w:t>Recommended follow-up areas of enquiry</w:t>
      </w:r>
      <w:bookmarkEnd w:id="51"/>
    </w:p>
    <w:tbl>
      <w:tblPr>
        <w:tblStyle w:val="NousLongformcallout"/>
        <w:tblW w:w="5000" w:type="pct"/>
        <w:tblCellMar>
          <w:top w:w="170" w:type="dxa"/>
          <w:bottom w:w="170" w:type="dxa"/>
        </w:tblCellMar>
        <w:tblLook w:val="04A0" w:firstRow="1" w:lastRow="0" w:firstColumn="1" w:lastColumn="0" w:noHBand="0" w:noVBand="1"/>
      </w:tblPr>
      <w:tblGrid>
        <w:gridCol w:w="9162"/>
      </w:tblGrid>
      <w:tr w:rsidR="002A2F62" w14:paraId="1ED505FB" w14:textId="77777777" w:rsidTr="00A90E73">
        <w:tc>
          <w:tcPr>
            <w:tcW w:w="5000" w:type="pct"/>
          </w:tcPr>
          <w:p w14:paraId="3FCC61E9" w14:textId="6DF5E650" w:rsidR="002A2F62" w:rsidRPr="002B7A6E" w:rsidRDefault="002A2F62" w:rsidP="00304907">
            <w:pPr>
              <w:pStyle w:val="Longformcallout"/>
              <w:rPr>
                <w:b/>
              </w:rPr>
            </w:pPr>
            <w:r w:rsidRPr="00304907">
              <w:rPr>
                <w:rFonts w:asciiTheme="minorHAnsi" w:hAnsiTheme="minorHAnsi" w:cstheme="minorHAnsi"/>
                <w:b/>
                <w:bCs/>
              </w:rPr>
              <w:t>Recommendation 3</w:t>
            </w:r>
            <w:r w:rsidRPr="002A2F62">
              <w:rPr>
                <w:rFonts w:asciiTheme="majorHAnsi" w:hAnsiTheme="majorHAnsi" w:cstheme="majorHAnsi"/>
              </w:rPr>
              <w:t>:</w:t>
            </w:r>
            <w:r>
              <w:t xml:space="preserve"> </w:t>
            </w:r>
            <w:r w:rsidR="00304907">
              <w:t>Fund or auspice further research to build the evidence base</w:t>
            </w:r>
          </w:p>
        </w:tc>
      </w:tr>
    </w:tbl>
    <w:p w14:paraId="6408C6FE" w14:textId="77777777" w:rsidR="006F6DF0" w:rsidRDefault="006F6DF0" w:rsidP="002A2F62">
      <w:pPr>
        <w:rPr>
          <w:rFonts w:asciiTheme="minorHAnsi" w:hAnsiTheme="minorHAnsi" w:cstheme="minorHAnsi"/>
          <w:lang w:eastAsia="en-AU"/>
        </w:rPr>
      </w:pPr>
    </w:p>
    <w:p w14:paraId="27351171" w14:textId="70F78DD3" w:rsidR="00304907" w:rsidRDefault="00304907" w:rsidP="002A2F62">
      <w:pPr>
        <w:rPr>
          <w:rFonts w:asciiTheme="minorHAnsi" w:hAnsiTheme="minorHAnsi" w:cstheme="minorHAnsi"/>
          <w:lang w:eastAsia="en-AU"/>
        </w:rPr>
      </w:pPr>
      <w:r>
        <w:rPr>
          <w:rFonts w:asciiTheme="minorHAnsi" w:hAnsiTheme="minorHAnsi" w:cstheme="minorHAnsi"/>
          <w:lang w:eastAsia="en-AU"/>
        </w:rPr>
        <w:t xml:space="preserve">It is clear from the analysis in this report that there are gaps in </w:t>
      </w:r>
      <w:r w:rsidR="00F03E14">
        <w:rPr>
          <w:rFonts w:asciiTheme="minorHAnsi" w:hAnsiTheme="minorHAnsi" w:cstheme="minorHAnsi"/>
          <w:lang w:eastAsia="en-AU"/>
        </w:rPr>
        <w:t xml:space="preserve">the evidence related to </w:t>
      </w:r>
      <w:r w:rsidR="00695F21">
        <w:rPr>
          <w:rFonts w:asciiTheme="minorHAnsi" w:hAnsiTheme="minorHAnsi" w:cstheme="minorHAnsi"/>
          <w:lang w:eastAsia="en-AU"/>
        </w:rPr>
        <w:t xml:space="preserve">several of the </w:t>
      </w:r>
      <w:r w:rsidR="00506D23">
        <w:rPr>
          <w:rFonts w:asciiTheme="minorHAnsi" w:hAnsiTheme="minorHAnsi" w:cstheme="minorHAnsi"/>
          <w:lang w:eastAsia="en-AU"/>
        </w:rPr>
        <w:t>interventions</w:t>
      </w:r>
      <w:r w:rsidR="00695F21">
        <w:rPr>
          <w:rFonts w:asciiTheme="minorHAnsi" w:hAnsiTheme="minorHAnsi" w:cstheme="minorHAnsi"/>
          <w:lang w:eastAsia="en-AU"/>
        </w:rPr>
        <w:t xml:space="preserve">, as well as potentially fruitful areas of enquiry to support related policy and strategy development. </w:t>
      </w:r>
      <w:r w:rsidR="0027195A">
        <w:rPr>
          <w:rFonts w:asciiTheme="minorHAnsi" w:hAnsiTheme="minorHAnsi" w:cstheme="minorHAnsi"/>
          <w:lang w:eastAsia="en-AU"/>
        </w:rPr>
        <w:t xml:space="preserve">A selection of some areas that could be the focus of follow-on research </w:t>
      </w:r>
      <w:r w:rsidR="00AB43F5">
        <w:rPr>
          <w:rFonts w:asciiTheme="minorHAnsi" w:hAnsiTheme="minorHAnsi" w:cstheme="minorHAnsi"/>
          <w:lang w:eastAsia="en-AU"/>
        </w:rPr>
        <w:t xml:space="preserve">follows (noting this is not an exhaustive list): </w:t>
      </w:r>
    </w:p>
    <w:p w14:paraId="2F07581E" w14:textId="2A050762" w:rsidR="001D5976" w:rsidRPr="001D5976" w:rsidRDefault="00A71821" w:rsidP="00E45BFE">
      <w:pPr>
        <w:pStyle w:val="ListParagraph"/>
        <w:numPr>
          <w:ilvl w:val="0"/>
          <w:numId w:val="15"/>
        </w:numPr>
        <w:rPr>
          <w:rFonts w:asciiTheme="minorHAnsi" w:hAnsiTheme="minorHAnsi" w:cstheme="minorHAnsi"/>
          <w:lang w:eastAsia="en-AU"/>
        </w:rPr>
      </w:pPr>
      <w:r w:rsidRPr="00233C93">
        <w:rPr>
          <w:rFonts w:asciiTheme="majorHAnsi" w:hAnsiTheme="majorHAnsi" w:cstheme="majorHAnsi"/>
          <w:noProof/>
          <w:lang w:eastAsia="en-AU"/>
        </w:rPr>
        <mc:AlternateContent>
          <mc:Choice Requires="wps">
            <w:drawing>
              <wp:anchor distT="0" distB="0" distL="114300" distR="114300" simplePos="0" relativeHeight="251658254" behindDoc="0" locked="0" layoutInCell="1" allowOverlap="1" wp14:anchorId="4E51E001" wp14:editId="66B5A9BC">
                <wp:simplePos x="0" y="0"/>
                <wp:positionH relativeFrom="column">
                  <wp:posOffset>4044315</wp:posOffset>
                </wp:positionH>
                <wp:positionV relativeFrom="paragraph">
                  <wp:posOffset>969645</wp:posOffset>
                </wp:positionV>
                <wp:extent cx="1720850" cy="2066925"/>
                <wp:effectExtent l="0" t="0" r="0" b="0"/>
                <wp:wrapSquare wrapText="bothSides"/>
                <wp:docPr id="14"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20850" cy="206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5816F" w14:textId="5BDA7501" w:rsidR="00233C93" w:rsidRDefault="00233C93" w:rsidP="00233C93">
                            <w:pPr>
                              <w:pStyle w:val="Callout"/>
                              <w:rPr>
                                <w:color w:val="F25E21" w:themeColor="accent2"/>
                              </w:rPr>
                            </w:pPr>
                            <w:r>
                              <w:rPr>
                                <w:color w:val="F25E21" w:themeColor="accent2"/>
                              </w:rPr>
                              <w:t>“</w:t>
                            </w:r>
                            <w:r w:rsidRPr="00233C93">
                              <w:rPr>
                                <w:color w:val="F25E21" w:themeColor="accent2"/>
                              </w:rPr>
                              <w:t>Parents in the Netherlands have created</w:t>
                            </w:r>
                            <w:r>
                              <w:rPr>
                                <w:color w:val="F25E21" w:themeColor="accent2"/>
                              </w:rPr>
                              <w:t xml:space="preserve"> </w:t>
                            </w:r>
                            <w:r w:rsidRPr="00233C93">
                              <w:rPr>
                                <w:color w:val="F25E21" w:themeColor="accent2"/>
                              </w:rPr>
                              <w:t>approximately 90 parent groups that use school choice as an effective means to desegregate schools</w:t>
                            </w:r>
                            <w:r>
                              <w:rPr>
                                <w:color w:val="F25E21" w:themeColor="accent2"/>
                              </w:rPr>
                              <w:t xml:space="preserve"> </w:t>
                            </w:r>
                            <w:r w:rsidRPr="00233C93">
                              <w:rPr>
                                <w:color w:val="F25E21" w:themeColor="accent2"/>
                              </w:rPr>
                              <w:t>and provide a quality education for all</w:t>
                            </w:r>
                            <w:r>
                              <w:rPr>
                                <w:color w:val="F25E21" w:themeColor="accent2"/>
                              </w:rPr>
                              <w:t>”</w:t>
                            </w:r>
                            <w:r w:rsidR="003E5897">
                              <w:rPr>
                                <w:color w:val="F25E21" w:themeColor="accent2"/>
                              </w:rPr>
                              <w:t>.</w:t>
                            </w:r>
                            <w:r>
                              <w:rPr>
                                <w:color w:val="F25E21" w:themeColor="accent2"/>
                              </w:rPr>
                              <w:t xml:space="preserve"> </w:t>
                            </w:r>
                          </w:p>
                          <w:p w14:paraId="35C37796" w14:textId="21E932B6" w:rsidR="00233C93" w:rsidRPr="00F81BDB" w:rsidRDefault="001918E9" w:rsidP="00233C93">
                            <w:pPr>
                              <w:pStyle w:val="Callout"/>
                              <w:jc w:val="right"/>
                              <w:rPr>
                                <w:color w:val="F25E21" w:themeColor="accent2"/>
                                <w:sz w:val="18"/>
                                <w:szCs w:val="18"/>
                              </w:rPr>
                            </w:pPr>
                            <w:r w:rsidRPr="00F81BDB">
                              <w:rPr>
                                <w:color w:val="F25E21" w:themeColor="accent2"/>
                                <w:sz w:val="18"/>
                                <w:szCs w:val="18"/>
                              </w:rPr>
                              <w:t xml:space="preserve">OECD </w:t>
                            </w:r>
                            <w:r w:rsidR="005B7B1B">
                              <w:rPr>
                                <w:color w:val="F25E21" w:themeColor="accent2"/>
                                <w:sz w:val="18"/>
                                <w:szCs w:val="18"/>
                              </w:rPr>
                              <w:t xml:space="preserve">2019 </w:t>
                            </w:r>
                            <w:r w:rsidR="00A8216D" w:rsidRPr="00F81BDB">
                              <w:rPr>
                                <w:i/>
                                <w:iCs/>
                                <w:color w:val="F25E21" w:themeColor="accent2"/>
                                <w:sz w:val="18"/>
                                <w:szCs w:val="18"/>
                              </w:rPr>
                              <w:t xml:space="preserve">PISA </w:t>
                            </w:r>
                            <w:r w:rsidR="005C47F0">
                              <w:rPr>
                                <w:i/>
                                <w:iCs/>
                                <w:color w:val="F25E21" w:themeColor="accent2"/>
                                <w:sz w:val="18"/>
                                <w:szCs w:val="18"/>
                              </w:rPr>
                              <w:t>R</w:t>
                            </w:r>
                            <w:r w:rsidR="00A8216D" w:rsidRPr="00F81BDB">
                              <w:rPr>
                                <w:i/>
                                <w:iCs/>
                                <w:color w:val="F25E21" w:themeColor="accent2"/>
                                <w:sz w:val="18"/>
                                <w:szCs w:val="18"/>
                              </w:rPr>
                              <w:t>e</w:t>
                            </w:r>
                            <w:r w:rsidR="005C47F0">
                              <w:rPr>
                                <w:i/>
                                <w:iCs/>
                                <w:color w:val="F25E21" w:themeColor="accent2"/>
                                <w:sz w:val="18"/>
                                <w:szCs w:val="18"/>
                              </w:rPr>
                              <w:t>sults</w:t>
                            </w:r>
                            <w:r w:rsidR="00A8216D" w:rsidRPr="00F81BDB">
                              <w:rPr>
                                <w:i/>
                                <w:iCs/>
                                <w:color w:val="F25E21" w:themeColor="accent2"/>
                                <w:sz w:val="18"/>
                                <w:szCs w:val="18"/>
                              </w:rPr>
                              <w:t xml:space="preserve">: </w:t>
                            </w:r>
                            <w:r w:rsidR="00B874B3" w:rsidRPr="00F81BDB">
                              <w:rPr>
                                <w:i/>
                                <w:iCs/>
                                <w:color w:val="F25E21" w:themeColor="accent2"/>
                                <w:sz w:val="18"/>
                                <w:szCs w:val="18"/>
                              </w:rPr>
                              <w:t xml:space="preserve">Balancing </w:t>
                            </w:r>
                            <w:r w:rsidR="00766EA6" w:rsidRPr="00F81BDB">
                              <w:rPr>
                                <w:i/>
                                <w:iCs/>
                                <w:color w:val="F25E21" w:themeColor="accent2"/>
                                <w:sz w:val="18"/>
                                <w:szCs w:val="18"/>
                              </w:rPr>
                              <w:t>Choice and Equity</w:t>
                            </w:r>
                          </w:p>
                          <w:p w14:paraId="26CF7D80" w14:textId="77777777" w:rsidR="00233C93" w:rsidRPr="00885462" w:rsidRDefault="00233C93">
                            <w:pPr>
                              <w:pStyle w:val="Callout"/>
                              <w:rPr>
                                <w:color w:val="F25E21" w:themeColor="accent2"/>
                              </w:rPr>
                            </w:pP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E51E001" id="Text Box 14" o:spid="_x0000_s1037" type="#_x0000_t202" alt="&quot;&quot;" style="position:absolute;left:0;text-align:left;margin-left:318.45pt;margin-top:76.35pt;width:135.5pt;height:162.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XxeQIAAGoFAAAOAAAAZHJzL2Uyb0RvYy54bWysVN9v2jAQfp+0/8Hy+0igK+sQoWJUnSah&#10;tlo79dk4NkRzfJ5tSNhf3zsnQNf1pdNekrPv9+fvbnrZ1obtlA8V2IIPBzlnykooK7su+I+H6w8X&#10;nIUobCkMWFXwvQr8cvb+3bRxEzWCDZhSeYZBbJg0ruCbGN0ky4LcqFqEAThlUanB1yLi0a+z0osG&#10;o9cmG+X5OGvAl86DVCHg7VWn5LMUX2sl463WQUVmCo61xfT16buibzabisnaC7epZF+G+IcqalFZ&#10;THoMdSWiYFtf/RWqrqSHADoOJNQZaF1JlXrAbob5i27uN8Kp1AuCE9wRpvD/wsqb3b278yy2X6DF&#10;ByRAGhcmAS+pn1b7mv5YKUM9Qrg/wqbayCQ5fRrlF+eokqgb5ePx59E5xclO7s6H+FVBzUgouMd3&#10;SXCJ3TLEzvRgQtkCmKq8roxJB+KCWhjPdgJf0cRUJAb/w8pY1hR8fIZ1kJMFcu8iG0s3KrGhT3dq&#10;MUlxbxTZGPtdaVaVqdNXcgsplT3mT9ZkpTHVWxx7+1NVb3Hu+kCPlBlsPDrXlQWfuk/jc4Ks/HmA&#10;THf2+DbP+iYxtqsWG8fHPFJgBeUemeGhG5rg5HWFr7cUId4Jj1OCL46TH2/xow0g+tBLnG3A/37t&#10;nuyRvKjlrMGpK3j4tRVecWa+WaQ1jWgSPp4jqTjz6XA2znM8rJ5r7LZeANJhiPvFySSSfTQHUXuo&#10;H3E5zCkjqoSVmLfg8SAuYrcHcLlINZ8nIxxKJ+LS3jtJoQli4uVD+yi868kbkfc3cJhNMXnB4c6W&#10;PIObbyPyMBGcQO4Q7cHHgU4j0i8f2hjPz8nqtCJnTwAAAP//AwBQSwMEFAAGAAgAAAAhADsltaTh&#10;AAAACwEAAA8AAABkcnMvZG93bnJldi54bWxMj8tOwzAQRfdI/IM1SGxQazdA0oY4FeKhFrFqYcPO&#10;jd04YI+j2G3D3zOsYDlzj+6cqZajd+xohtgFlDCbCmAGm6A7bCW8vz1P5sBiUqiVC2gkfJsIy/r8&#10;rFKlDifcmOM2tYxKMJZKgk2pLzmPjTVexWnoDVK2D4NXicah5XpQJyr3jmdC5NyrDumCVb15sKb5&#10;2h68hDX/zPTLq336WM3E4xqv9i4ELuXlxXh/ByyZMf3B8KtP6lCT0y4cUEfmJOTX+YJQCm6zAhgR&#10;C1HQZifhpphnwOuK//+h/gEAAP//AwBQSwECLQAUAAYACAAAACEAtoM4kv4AAADhAQAAEwAAAAAA&#10;AAAAAAAAAAAAAAAAW0NvbnRlbnRfVHlwZXNdLnhtbFBLAQItABQABgAIAAAAIQA4/SH/1gAAAJQB&#10;AAALAAAAAAAAAAAAAAAAAC8BAABfcmVscy8ucmVsc1BLAQItABQABgAIAAAAIQBhvPXxeQIAAGoF&#10;AAAOAAAAAAAAAAAAAAAAAC4CAABkcnMvZTJvRG9jLnhtbFBLAQItABQABgAIAAAAIQA7JbWk4QAA&#10;AAsBAAAPAAAAAAAAAAAAAAAAANMEAABkcnMvZG93bnJldi54bWxQSwUGAAAAAAQABADzAAAA4QUA&#10;AAAA&#10;" fillcolor="white [3201]" stroked="f" strokeweight=".5pt">
                <v:textbox style="mso-fit-shape-to-text:t" inset="0,,1mm">
                  <w:txbxContent>
                    <w:p w14:paraId="6D85816F" w14:textId="5BDA7501" w:rsidR="00233C93" w:rsidRDefault="00233C93" w:rsidP="00233C93">
                      <w:pPr>
                        <w:pStyle w:val="Callout"/>
                        <w:rPr>
                          <w:color w:val="F25E21" w:themeColor="accent2"/>
                        </w:rPr>
                      </w:pPr>
                      <w:r>
                        <w:rPr>
                          <w:color w:val="F25E21" w:themeColor="accent2"/>
                        </w:rPr>
                        <w:t>“</w:t>
                      </w:r>
                      <w:r w:rsidRPr="00233C93">
                        <w:rPr>
                          <w:color w:val="F25E21" w:themeColor="accent2"/>
                        </w:rPr>
                        <w:t>Parents in the Netherlands have created</w:t>
                      </w:r>
                      <w:r>
                        <w:rPr>
                          <w:color w:val="F25E21" w:themeColor="accent2"/>
                        </w:rPr>
                        <w:t xml:space="preserve"> </w:t>
                      </w:r>
                      <w:r w:rsidRPr="00233C93">
                        <w:rPr>
                          <w:color w:val="F25E21" w:themeColor="accent2"/>
                        </w:rPr>
                        <w:t>approximately 90 parent groups that use school choice as an effective means to desegregate schools</w:t>
                      </w:r>
                      <w:r>
                        <w:rPr>
                          <w:color w:val="F25E21" w:themeColor="accent2"/>
                        </w:rPr>
                        <w:t xml:space="preserve"> </w:t>
                      </w:r>
                      <w:r w:rsidRPr="00233C93">
                        <w:rPr>
                          <w:color w:val="F25E21" w:themeColor="accent2"/>
                        </w:rPr>
                        <w:t>and provide a quality education for all</w:t>
                      </w:r>
                      <w:r>
                        <w:rPr>
                          <w:color w:val="F25E21" w:themeColor="accent2"/>
                        </w:rPr>
                        <w:t>”</w:t>
                      </w:r>
                      <w:r w:rsidR="003E5897">
                        <w:rPr>
                          <w:color w:val="F25E21" w:themeColor="accent2"/>
                        </w:rPr>
                        <w:t>.</w:t>
                      </w:r>
                      <w:r>
                        <w:rPr>
                          <w:color w:val="F25E21" w:themeColor="accent2"/>
                        </w:rPr>
                        <w:t xml:space="preserve"> </w:t>
                      </w:r>
                    </w:p>
                    <w:p w14:paraId="35C37796" w14:textId="21E932B6" w:rsidR="00233C93" w:rsidRPr="00F81BDB" w:rsidRDefault="001918E9" w:rsidP="00233C93">
                      <w:pPr>
                        <w:pStyle w:val="Callout"/>
                        <w:jc w:val="right"/>
                        <w:rPr>
                          <w:color w:val="F25E21" w:themeColor="accent2"/>
                          <w:sz w:val="18"/>
                          <w:szCs w:val="18"/>
                        </w:rPr>
                      </w:pPr>
                      <w:r w:rsidRPr="00F81BDB">
                        <w:rPr>
                          <w:color w:val="F25E21" w:themeColor="accent2"/>
                          <w:sz w:val="18"/>
                          <w:szCs w:val="18"/>
                        </w:rPr>
                        <w:t xml:space="preserve">OECD </w:t>
                      </w:r>
                      <w:r w:rsidR="005B7B1B">
                        <w:rPr>
                          <w:color w:val="F25E21" w:themeColor="accent2"/>
                          <w:sz w:val="18"/>
                          <w:szCs w:val="18"/>
                        </w:rPr>
                        <w:t xml:space="preserve">2019 </w:t>
                      </w:r>
                      <w:r w:rsidR="00A8216D" w:rsidRPr="00F81BDB">
                        <w:rPr>
                          <w:i/>
                          <w:iCs/>
                          <w:color w:val="F25E21" w:themeColor="accent2"/>
                          <w:sz w:val="18"/>
                          <w:szCs w:val="18"/>
                        </w:rPr>
                        <w:t xml:space="preserve">PISA </w:t>
                      </w:r>
                      <w:r w:rsidR="005C47F0">
                        <w:rPr>
                          <w:i/>
                          <w:iCs/>
                          <w:color w:val="F25E21" w:themeColor="accent2"/>
                          <w:sz w:val="18"/>
                          <w:szCs w:val="18"/>
                        </w:rPr>
                        <w:t>R</w:t>
                      </w:r>
                      <w:r w:rsidR="00A8216D" w:rsidRPr="00F81BDB">
                        <w:rPr>
                          <w:i/>
                          <w:iCs/>
                          <w:color w:val="F25E21" w:themeColor="accent2"/>
                          <w:sz w:val="18"/>
                          <w:szCs w:val="18"/>
                        </w:rPr>
                        <w:t>e</w:t>
                      </w:r>
                      <w:r w:rsidR="005C47F0">
                        <w:rPr>
                          <w:i/>
                          <w:iCs/>
                          <w:color w:val="F25E21" w:themeColor="accent2"/>
                          <w:sz w:val="18"/>
                          <w:szCs w:val="18"/>
                        </w:rPr>
                        <w:t>sults</w:t>
                      </w:r>
                      <w:r w:rsidR="00A8216D" w:rsidRPr="00F81BDB">
                        <w:rPr>
                          <w:i/>
                          <w:iCs/>
                          <w:color w:val="F25E21" w:themeColor="accent2"/>
                          <w:sz w:val="18"/>
                          <w:szCs w:val="18"/>
                        </w:rPr>
                        <w:t xml:space="preserve">: </w:t>
                      </w:r>
                      <w:r w:rsidR="00B874B3" w:rsidRPr="00F81BDB">
                        <w:rPr>
                          <w:i/>
                          <w:iCs/>
                          <w:color w:val="F25E21" w:themeColor="accent2"/>
                          <w:sz w:val="18"/>
                          <w:szCs w:val="18"/>
                        </w:rPr>
                        <w:t xml:space="preserve">Balancing </w:t>
                      </w:r>
                      <w:r w:rsidR="00766EA6" w:rsidRPr="00F81BDB">
                        <w:rPr>
                          <w:i/>
                          <w:iCs/>
                          <w:color w:val="F25E21" w:themeColor="accent2"/>
                          <w:sz w:val="18"/>
                          <w:szCs w:val="18"/>
                        </w:rPr>
                        <w:t>Choice and Equity</w:t>
                      </w:r>
                    </w:p>
                    <w:p w14:paraId="26CF7D80" w14:textId="77777777" w:rsidR="00233C93" w:rsidRPr="00885462" w:rsidRDefault="00233C93">
                      <w:pPr>
                        <w:pStyle w:val="Callout"/>
                        <w:rPr>
                          <w:color w:val="F25E21" w:themeColor="accent2"/>
                        </w:rPr>
                      </w:pPr>
                    </w:p>
                  </w:txbxContent>
                </v:textbox>
                <w10:wrap type="square"/>
              </v:shape>
            </w:pict>
          </mc:Fallback>
        </mc:AlternateContent>
      </w:r>
      <w:r w:rsidR="001D5976" w:rsidRPr="00842C32">
        <w:rPr>
          <w:rFonts w:asciiTheme="majorHAnsi" w:hAnsiTheme="majorHAnsi" w:cstheme="majorHAnsi"/>
          <w:lang w:eastAsia="en-AU"/>
        </w:rPr>
        <w:t>Controlled choice models</w:t>
      </w:r>
      <w:r w:rsidR="001D5976">
        <w:rPr>
          <w:rFonts w:asciiTheme="minorHAnsi" w:hAnsiTheme="minorHAnsi" w:cstheme="minorHAnsi"/>
          <w:lang w:eastAsia="en-AU"/>
        </w:rPr>
        <w:t xml:space="preserve"> – </w:t>
      </w:r>
      <w:r w:rsidR="00A31242">
        <w:rPr>
          <w:rFonts w:asciiTheme="minorHAnsi" w:hAnsiTheme="minorHAnsi" w:cstheme="minorHAnsi"/>
          <w:lang w:eastAsia="en-AU"/>
        </w:rPr>
        <w:t xml:space="preserve">the research is patchy given that these interventions are </w:t>
      </w:r>
      <w:r w:rsidR="006715F7">
        <w:rPr>
          <w:rFonts w:asciiTheme="minorHAnsi" w:hAnsiTheme="minorHAnsi" w:cstheme="minorHAnsi"/>
          <w:lang w:eastAsia="en-AU"/>
        </w:rPr>
        <w:t xml:space="preserve">typically applied </w:t>
      </w:r>
      <w:r w:rsidR="00A31242">
        <w:rPr>
          <w:rFonts w:asciiTheme="minorHAnsi" w:hAnsiTheme="minorHAnsi" w:cstheme="minorHAnsi"/>
          <w:lang w:eastAsia="en-AU"/>
        </w:rPr>
        <w:t xml:space="preserve">at </w:t>
      </w:r>
      <w:r w:rsidR="006715F7">
        <w:rPr>
          <w:rFonts w:asciiTheme="minorHAnsi" w:hAnsiTheme="minorHAnsi" w:cstheme="minorHAnsi"/>
          <w:lang w:eastAsia="en-AU"/>
        </w:rPr>
        <w:t xml:space="preserve">a </w:t>
      </w:r>
      <w:r w:rsidR="00A31242">
        <w:rPr>
          <w:rFonts w:asciiTheme="minorHAnsi" w:hAnsiTheme="minorHAnsi" w:cstheme="minorHAnsi"/>
          <w:lang w:eastAsia="en-AU"/>
        </w:rPr>
        <w:t>district level</w:t>
      </w:r>
      <w:r w:rsidR="00115C51">
        <w:rPr>
          <w:rFonts w:asciiTheme="minorHAnsi" w:hAnsiTheme="minorHAnsi" w:cstheme="minorHAnsi"/>
          <w:lang w:eastAsia="en-AU"/>
        </w:rPr>
        <w:t>. The findings that are available are mixed. However, we were struck by Andreas Schleicher’s comments that suggest two things:</w:t>
      </w:r>
      <w:r w:rsidR="00A31242">
        <w:rPr>
          <w:rFonts w:asciiTheme="minorHAnsi" w:hAnsiTheme="minorHAnsi" w:cstheme="minorHAnsi"/>
          <w:lang w:eastAsia="en-AU"/>
        </w:rPr>
        <w:t xml:space="preserve"> </w:t>
      </w:r>
      <w:r w:rsidR="00DF51F4">
        <w:rPr>
          <w:rFonts w:asciiTheme="minorHAnsi" w:hAnsiTheme="minorHAnsi" w:cstheme="minorHAnsi"/>
          <w:lang w:eastAsia="en-AU"/>
        </w:rPr>
        <w:t>the impact is strong at first but then becomes less observable given a new ‘normal’ has been established</w:t>
      </w:r>
      <w:r w:rsidR="00C47AF9">
        <w:rPr>
          <w:rFonts w:asciiTheme="minorHAnsi" w:hAnsiTheme="minorHAnsi" w:cstheme="minorHAnsi"/>
          <w:lang w:eastAsia="en-AU"/>
        </w:rPr>
        <w:t>, meaning reliance on recent PISA data (which is aggregated anyway) may not be helpful</w:t>
      </w:r>
      <w:r w:rsidR="00464104">
        <w:rPr>
          <w:rFonts w:asciiTheme="minorHAnsi" w:hAnsiTheme="minorHAnsi" w:cstheme="minorHAnsi"/>
          <w:lang w:eastAsia="en-AU"/>
        </w:rPr>
        <w:t xml:space="preserve">; </w:t>
      </w:r>
      <w:r w:rsidR="009958F9">
        <w:rPr>
          <w:rFonts w:asciiTheme="minorHAnsi" w:hAnsiTheme="minorHAnsi" w:cstheme="minorHAnsi"/>
          <w:lang w:eastAsia="en-AU"/>
        </w:rPr>
        <w:t xml:space="preserve">and </w:t>
      </w:r>
      <w:r w:rsidR="000F76F4">
        <w:rPr>
          <w:rFonts w:asciiTheme="minorHAnsi" w:hAnsiTheme="minorHAnsi" w:cstheme="minorHAnsi"/>
          <w:lang w:eastAsia="en-AU"/>
        </w:rPr>
        <w:t xml:space="preserve">the on-the-ground reality in the Netherlands and Belgium </w:t>
      </w:r>
      <w:r w:rsidR="00842C32">
        <w:rPr>
          <w:rFonts w:asciiTheme="minorHAnsi" w:hAnsiTheme="minorHAnsi" w:cstheme="minorHAnsi"/>
          <w:lang w:eastAsia="en-AU"/>
        </w:rPr>
        <w:t>tells a much more compelling story</w:t>
      </w:r>
      <w:r w:rsidR="00662D74">
        <w:rPr>
          <w:rFonts w:asciiTheme="minorHAnsi" w:hAnsiTheme="minorHAnsi" w:cstheme="minorHAnsi"/>
          <w:lang w:eastAsia="en-AU"/>
        </w:rPr>
        <w:t xml:space="preserve"> than is suggested by the data</w:t>
      </w:r>
      <w:r w:rsidR="00842C32">
        <w:rPr>
          <w:rFonts w:asciiTheme="minorHAnsi" w:hAnsiTheme="minorHAnsi" w:cstheme="minorHAnsi"/>
          <w:lang w:eastAsia="en-AU"/>
        </w:rPr>
        <w:t>. Developing a firmer view on their impact and</w:t>
      </w:r>
      <w:r w:rsidR="007A3E02">
        <w:rPr>
          <w:rFonts w:asciiTheme="minorHAnsi" w:hAnsiTheme="minorHAnsi" w:cstheme="minorHAnsi"/>
          <w:lang w:eastAsia="en-AU"/>
        </w:rPr>
        <w:t xml:space="preserve"> the specific aspects of their design and implementation would be valuable, as introducing a degree of controlled choice in Australia may be the most viable way to nudge the system away from being</w:t>
      </w:r>
      <w:r w:rsidR="007E2775">
        <w:rPr>
          <w:rFonts w:asciiTheme="minorHAnsi" w:hAnsiTheme="minorHAnsi" w:cstheme="minorHAnsi"/>
          <w:lang w:eastAsia="en-AU"/>
        </w:rPr>
        <w:t xml:space="preserve"> overly </w:t>
      </w:r>
      <w:r w:rsidR="00142BB6">
        <w:rPr>
          <w:rFonts w:asciiTheme="minorHAnsi" w:hAnsiTheme="minorHAnsi" w:cstheme="minorHAnsi"/>
          <w:lang w:eastAsia="en-AU"/>
        </w:rPr>
        <w:t>market oriented</w:t>
      </w:r>
      <w:r w:rsidR="00B81D5E">
        <w:rPr>
          <w:rFonts w:asciiTheme="minorHAnsi" w:hAnsiTheme="minorHAnsi" w:cstheme="minorHAnsi"/>
          <w:lang w:eastAsia="en-AU"/>
        </w:rPr>
        <w:t>.</w:t>
      </w:r>
    </w:p>
    <w:p w14:paraId="1F30B00F" w14:textId="06E82B77" w:rsidR="00B81D5E" w:rsidRPr="00B81D5E" w:rsidRDefault="00B81D5E" w:rsidP="00E45BFE">
      <w:pPr>
        <w:pStyle w:val="ListParagraph"/>
        <w:numPr>
          <w:ilvl w:val="0"/>
          <w:numId w:val="15"/>
        </w:numPr>
        <w:rPr>
          <w:rFonts w:asciiTheme="minorHAnsi" w:hAnsiTheme="minorHAnsi" w:cstheme="minorHAnsi"/>
          <w:lang w:eastAsia="en-AU"/>
        </w:rPr>
      </w:pPr>
      <w:r w:rsidRPr="00233C93">
        <w:rPr>
          <w:rFonts w:asciiTheme="majorHAnsi" w:hAnsiTheme="majorHAnsi" w:cstheme="majorHAnsi"/>
          <w:lang w:eastAsia="en-AU"/>
        </w:rPr>
        <w:t>Parent-led initiatives</w:t>
      </w:r>
      <w:r>
        <w:rPr>
          <w:rFonts w:asciiTheme="minorHAnsi" w:hAnsiTheme="minorHAnsi" w:cstheme="minorHAnsi"/>
          <w:lang w:eastAsia="en-AU"/>
        </w:rPr>
        <w:t xml:space="preserve"> – the Netherlands provides an example of grass-roots initiatives that emerged to counter arguments from the pro-school choice lobby (</w:t>
      </w:r>
      <w:r w:rsidR="009706A0">
        <w:rPr>
          <w:rFonts w:asciiTheme="minorHAnsi" w:hAnsiTheme="minorHAnsi" w:cstheme="minorHAnsi"/>
          <w:lang w:eastAsia="en-AU"/>
        </w:rPr>
        <w:t>that has been quite dominant). Understanding how these formed,</w:t>
      </w:r>
      <w:r w:rsidR="00E422CD">
        <w:rPr>
          <w:rFonts w:asciiTheme="minorHAnsi" w:hAnsiTheme="minorHAnsi" w:cstheme="minorHAnsi"/>
          <w:lang w:eastAsia="en-AU"/>
        </w:rPr>
        <w:t xml:space="preserve"> and</w:t>
      </w:r>
      <w:r w:rsidR="009706A0">
        <w:rPr>
          <w:rFonts w:asciiTheme="minorHAnsi" w:hAnsiTheme="minorHAnsi" w:cstheme="minorHAnsi"/>
          <w:lang w:eastAsia="en-AU"/>
        </w:rPr>
        <w:t xml:space="preserve"> w</w:t>
      </w:r>
      <w:r w:rsidR="00E422CD">
        <w:rPr>
          <w:rFonts w:asciiTheme="minorHAnsi" w:hAnsiTheme="minorHAnsi" w:cstheme="minorHAnsi"/>
          <w:lang w:eastAsia="en-AU"/>
        </w:rPr>
        <w:t xml:space="preserve">hich of their strategies were most effective, would be helpful again in an </w:t>
      </w:r>
      <w:r w:rsidR="00881B50">
        <w:rPr>
          <w:rFonts w:asciiTheme="minorHAnsi" w:hAnsiTheme="minorHAnsi" w:cstheme="minorHAnsi"/>
          <w:lang w:eastAsia="en-AU"/>
        </w:rPr>
        <w:t>Australian</w:t>
      </w:r>
      <w:r w:rsidR="00E422CD">
        <w:rPr>
          <w:rFonts w:asciiTheme="minorHAnsi" w:hAnsiTheme="minorHAnsi" w:cstheme="minorHAnsi"/>
          <w:lang w:eastAsia="en-AU"/>
        </w:rPr>
        <w:t xml:space="preserve"> context, where the reflexive </w:t>
      </w:r>
      <w:r w:rsidR="00E422CD" w:rsidRPr="00FB2AD7">
        <w:rPr>
          <w:rFonts w:asciiTheme="minorHAnsi" w:hAnsiTheme="minorHAnsi" w:cstheme="minorHAnsi"/>
          <w:lang w:eastAsia="en-AU"/>
        </w:rPr>
        <w:t>position</w:t>
      </w:r>
      <w:r w:rsidR="00E422CD">
        <w:rPr>
          <w:rFonts w:asciiTheme="minorHAnsi" w:hAnsiTheme="minorHAnsi" w:cstheme="minorHAnsi"/>
          <w:lang w:eastAsia="en-AU"/>
        </w:rPr>
        <w:t xml:space="preserve"> of most parents would be to support choice </w:t>
      </w:r>
      <w:r w:rsidR="00FB2AD7">
        <w:rPr>
          <w:rFonts w:asciiTheme="minorHAnsi" w:hAnsiTheme="minorHAnsi" w:cstheme="minorHAnsi"/>
          <w:lang w:eastAsia="en-AU"/>
        </w:rPr>
        <w:t xml:space="preserve">(even if they are highly sympathetic to </w:t>
      </w:r>
      <w:r w:rsidR="007F0A8F" w:rsidRPr="007F0A8F">
        <w:rPr>
          <w:rFonts w:asciiTheme="minorHAnsi" w:hAnsiTheme="minorHAnsi" w:cstheme="minorHAnsi"/>
          <w:lang w:eastAsia="en-AU"/>
        </w:rPr>
        <w:t xml:space="preserve">the intent of the </w:t>
      </w:r>
      <w:r w:rsidR="008D35D3">
        <w:rPr>
          <w:rFonts w:asciiTheme="minorHAnsi" w:hAnsiTheme="minorHAnsi" w:cstheme="minorHAnsi"/>
          <w:lang w:eastAsia="en-AU"/>
        </w:rPr>
        <w:t>“</w:t>
      </w:r>
      <w:r w:rsidR="007F0A8F" w:rsidRPr="007F0A8F">
        <w:rPr>
          <w:rFonts w:asciiTheme="minorHAnsi" w:hAnsiTheme="minorHAnsi" w:cstheme="minorHAnsi"/>
          <w:lang w:eastAsia="en-AU"/>
        </w:rPr>
        <w:t>Gonski reforms</w:t>
      </w:r>
      <w:r w:rsidR="008D35D3">
        <w:rPr>
          <w:rFonts w:asciiTheme="minorHAnsi" w:hAnsiTheme="minorHAnsi" w:cstheme="minorHAnsi"/>
          <w:lang w:eastAsia="en-AU"/>
        </w:rPr>
        <w:t>” as restoring some fairness into Australian schooling</w:t>
      </w:r>
      <w:r w:rsidR="00FB2AD7">
        <w:rPr>
          <w:rFonts w:asciiTheme="minorHAnsi" w:hAnsiTheme="minorHAnsi" w:cstheme="minorHAnsi"/>
          <w:lang w:eastAsia="en-AU"/>
        </w:rPr>
        <w:t>)</w:t>
      </w:r>
      <w:r w:rsidR="007F0A8F" w:rsidRPr="00FB2AD7">
        <w:rPr>
          <w:rFonts w:asciiTheme="minorHAnsi" w:hAnsiTheme="minorHAnsi" w:cstheme="minorHAnsi"/>
          <w:lang w:eastAsia="en-AU"/>
        </w:rPr>
        <w:t>.</w:t>
      </w:r>
      <w:r w:rsidR="007F0A8F" w:rsidRPr="007F0A8F">
        <w:rPr>
          <w:rFonts w:asciiTheme="minorHAnsi" w:hAnsiTheme="minorHAnsi" w:cstheme="minorHAnsi"/>
          <w:lang w:eastAsia="en-AU"/>
        </w:rPr>
        <w:t xml:space="preserve"> </w:t>
      </w:r>
    </w:p>
    <w:p w14:paraId="05A3CEE2" w14:textId="3411382F" w:rsidR="005D6CD9" w:rsidRPr="00FB2AD7" w:rsidRDefault="009E4D4E" w:rsidP="00E45BFE">
      <w:pPr>
        <w:pStyle w:val="ListParagraph"/>
        <w:numPr>
          <w:ilvl w:val="0"/>
          <w:numId w:val="15"/>
        </w:numPr>
        <w:rPr>
          <w:rFonts w:asciiTheme="minorHAnsi" w:hAnsiTheme="minorHAnsi" w:cstheme="minorHAnsi"/>
          <w:lang w:eastAsia="en-AU"/>
        </w:rPr>
      </w:pPr>
      <w:r w:rsidRPr="00A71821">
        <w:rPr>
          <w:rFonts w:asciiTheme="majorHAnsi" w:hAnsiTheme="majorHAnsi" w:cstheme="majorHAnsi"/>
          <w:lang w:eastAsia="en-AU"/>
        </w:rPr>
        <w:t xml:space="preserve">Education outcomes from </w:t>
      </w:r>
      <w:r w:rsidR="00A71821" w:rsidRPr="00A71821">
        <w:rPr>
          <w:rFonts w:asciiTheme="majorHAnsi" w:hAnsiTheme="majorHAnsi" w:cstheme="majorHAnsi"/>
          <w:lang w:eastAsia="en-AU"/>
        </w:rPr>
        <w:t>Big Picture Learning</w:t>
      </w:r>
      <w:r w:rsidR="00A71821">
        <w:rPr>
          <w:rFonts w:asciiTheme="minorHAnsi" w:hAnsiTheme="minorHAnsi" w:cstheme="minorHAnsi"/>
          <w:lang w:eastAsia="en-AU"/>
        </w:rPr>
        <w:t xml:space="preserve"> – the data we received on individual schools’ level of diversity was encouraging, </w:t>
      </w:r>
      <w:r w:rsidR="00A65676">
        <w:rPr>
          <w:rFonts w:asciiTheme="minorHAnsi" w:hAnsiTheme="minorHAnsi" w:cstheme="minorHAnsi"/>
          <w:lang w:eastAsia="en-AU"/>
        </w:rPr>
        <w:t xml:space="preserve">but it would be helpful to </w:t>
      </w:r>
      <w:r w:rsidR="008D1530">
        <w:rPr>
          <w:rFonts w:asciiTheme="minorHAnsi" w:hAnsiTheme="minorHAnsi" w:cstheme="minorHAnsi"/>
          <w:lang w:eastAsia="en-AU"/>
        </w:rPr>
        <w:t xml:space="preserve">understand more comprehensively </w:t>
      </w:r>
      <w:r w:rsidR="004237E2">
        <w:rPr>
          <w:rFonts w:asciiTheme="minorHAnsi" w:hAnsiTheme="minorHAnsi" w:cstheme="minorHAnsi"/>
          <w:lang w:eastAsia="en-AU"/>
        </w:rPr>
        <w:t>the impact</w:t>
      </w:r>
      <w:r w:rsidR="00E04369">
        <w:rPr>
          <w:rFonts w:asciiTheme="minorHAnsi" w:hAnsiTheme="minorHAnsi" w:cstheme="minorHAnsi"/>
          <w:lang w:eastAsia="en-AU"/>
        </w:rPr>
        <w:t xml:space="preserve"> that</w:t>
      </w:r>
      <w:r w:rsidR="004237E2">
        <w:rPr>
          <w:rFonts w:asciiTheme="minorHAnsi" w:hAnsiTheme="minorHAnsi" w:cstheme="minorHAnsi"/>
          <w:lang w:eastAsia="en-AU"/>
        </w:rPr>
        <w:t xml:space="preserve"> this (and similar models) is having </w:t>
      </w:r>
      <w:r w:rsidR="00D12DA0">
        <w:rPr>
          <w:rFonts w:asciiTheme="minorHAnsi" w:hAnsiTheme="minorHAnsi" w:cstheme="minorHAnsi"/>
          <w:lang w:eastAsia="en-AU"/>
        </w:rPr>
        <w:t>on students</w:t>
      </w:r>
      <w:r w:rsidR="00573DF6">
        <w:rPr>
          <w:rFonts w:asciiTheme="minorHAnsi" w:hAnsiTheme="minorHAnsi" w:cstheme="minorHAnsi"/>
          <w:lang w:eastAsia="en-AU"/>
        </w:rPr>
        <w:t xml:space="preserve">’ post-school pathways, </w:t>
      </w:r>
      <w:r w:rsidR="009118E5">
        <w:rPr>
          <w:rFonts w:asciiTheme="minorHAnsi" w:hAnsiTheme="minorHAnsi" w:cstheme="minorHAnsi"/>
          <w:lang w:eastAsia="en-AU"/>
        </w:rPr>
        <w:t xml:space="preserve">including through comparison with a control group. </w:t>
      </w:r>
      <w:r w:rsidR="00E04369">
        <w:rPr>
          <w:rFonts w:asciiTheme="minorHAnsi" w:hAnsiTheme="minorHAnsi" w:cstheme="minorHAnsi"/>
          <w:lang w:eastAsia="en-AU"/>
        </w:rPr>
        <w:t>Certainly,</w:t>
      </w:r>
      <w:r w:rsidR="009118E5">
        <w:rPr>
          <w:rFonts w:asciiTheme="minorHAnsi" w:hAnsiTheme="minorHAnsi" w:cstheme="minorHAnsi"/>
          <w:lang w:eastAsia="en-AU"/>
        </w:rPr>
        <w:t xml:space="preserve"> it would be important to have this evidence base before committing to any government-funded incentive to </w:t>
      </w:r>
      <w:r w:rsidR="00580B2A">
        <w:rPr>
          <w:rFonts w:asciiTheme="minorHAnsi" w:hAnsiTheme="minorHAnsi" w:cstheme="minorHAnsi"/>
          <w:lang w:eastAsia="en-AU"/>
        </w:rPr>
        <w:t>support schools to adopt this learning design.</w:t>
      </w:r>
    </w:p>
    <w:p w14:paraId="5A10698E" w14:textId="7D15F7E6" w:rsidR="00580B2A" w:rsidRPr="00580B2A" w:rsidRDefault="00580B2A" w:rsidP="00E45BFE">
      <w:pPr>
        <w:pStyle w:val="ListParagraph"/>
        <w:numPr>
          <w:ilvl w:val="0"/>
          <w:numId w:val="15"/>
        </w:numPr>
        <w:rPr>
          <w:rFonts w:asciiTheme="minorHAnsi" w:hAnsiTheme="minorHAnsi" w:cstheme="minorHAnsi"/>
          <w:lang w:eastAsia="en-AU"/>
        </w:rPr>
      </w:pPr>
      <w:r w:rsidRPr="00580B2A">
        <w:rPr>
          <w:rFonts w:asciiTheme="majorHAnsi" w:hAnsiTheme="majorHAnsi" w:cstheme="majorHAnsi"/>
          <w:lang w:eastAsia="en-AU"/>
        </w:rPr>
        <w:t>Peer effects in a hybrid delivery model</w:t>
      </w:r>
      <w:r>
        <w:rPr>
          <w:rFonts w:asciiTheme="minorHAnsi" w:hAnsiTheme="minorHAnsi" w:cstheme="minorHAnsi"/>
          <w:lang w:eastAsia="en-AU"/>
        </w:rPr>
        <w:t xml:space="preserve"> – the Aurora and Te Kura models are interesting from the point of view of understanding </w:t>
      </w:r>
      <w:r w:rsidR="00816C1B">
        <w:rPr>
          <w:rFonts w:asciiTheme="minorHAnsi" w:hAnsiTheme="minorHAnsi" w:cstheme="minorHAnsi"/>
          <w:lang w:eastAsia="en-AU"/>
        </w:rPr>
        <w:t xml:space="preserve">whether creating virtual classrooms that are more diverse generates </w:t>
      </w:r>
      <w:r w:rsidR="00816C1B">
        <w:rPr>
          <w:rFonts w:asciiTheme="minorHAnsi" w:hAnsiTheme="minorHAnsi" w:cstheme="minorHAnsi"/>
          <w:lang w:eastAsia="en-AU"/>
        </w:rPr>
        <w:lastRenderedPageBreak/>
        <w:t>similar peer effects to</w:t>
      </w:r>
      <w:r>
        <w:rPr>
          <w:rFonts w:asciiTheme="minorHAnsi" w:hAnsiTheme="minorHAnsi" w:cstheme="minorHAnsi"/>
          <w:lang w:eastAsia="en-AU"/>
        </w:rPr>
        <w:t xml:space="preserve"> </w:t>
      </w:r>
      <w:r w:rsidR="00B85C9F">
        <w:rPr>
          <w:rFonts w:asciiTheme="minorHAnsi" w:hAnsiTheme="minorHAnsi" w:cstheme="minorHAnsi"/>
          <w:lang w:eastAsia="en-AU"/>
        </w:rPr>
        <w:t>those observed in mixed in-person classrooms. Given the extensive analysis of online learning and its impacts during COVID</w:t>
      </w:r>
      <w:r w:rsidR="00A6692F">
        <w:rPr>
          <w:rFonts w:asciiTheme="minorHAnsi" w:hAnsiTheme="minorHAnsi" w:cstheme="minorHAnsi"/>
          <w:lang w:eastAsia="en-AU"/>
        </w:rPr>
        <w:t>, there may</w:t>
      </w:r>
      <w:r w:rsidR="00C6274C">
        <w:rPr>
          <w:rFonts w:asciiTheme="minorHAnsi" w:hAnsiTheme="minorHAnsi" w:cstheme="minorHAnsi"/>
          <w:lang w:eastAsia="en-AU"/>
        </w:rPr>
        <w:t xml:space="preserve"> </w:t>
      </w:r>
      <w:r w:rsidR="00A6692F">
        <w:rPr>
          <w:rFonts w:asciiTheme="minorHAnsi" w:hAnsiTheme="minorHAnsi" w:cstheme="minorHAnsi"/>
          <w:lang w:eastAsia="en-AU"/>
        </w:rPr>
        <w:t xml:space="preserve">be data to leverage on this which would, at minimum, provide the counterfactual of online learning with the </w:t>
      </w:r>
      <w:r w:rsidR="00DE7138">
        <w:rPr>
          <w:rFonts w:asciiTheme="minorHAnsi" w:hAnsiTheme="minorHAnsi" w:cstheme="minorHAnsi"/>
          <w:lang w:eastAsia="en-AU"/>
        </w:rPr>
        <w:t xml:space="preserve">regular classroom cohort, versus online learning involving peers </w:t>
      </w:r>
      <w:r w:rsidR="00D86835">
        <w:rPr>
          <w:rFonts w:asciiTheme="minorHAnsi" w:hAnsiTheme="minorHAnsi" w:cstheme="minorHAnsi"/>
          <w:lang w:eastAsia="en-AU"/>
        </w:rPr>
        <w:t xml:space="preserve">from a much wider variety of backgrounds and locations. </w:t>
      </w:r>
      <w:r w:rsidR="00A6692F">
        <w:rPr>
          <w:rFonts w:asciiTheme="minorHAnsi" w:hAnsiTheme="minorHAnsi" w:cstheme="minorHAnsi"/>
          <w:lang w:eastAsia="en-AU"/>
        </w:rPr>
        <w:t xml:space="preserve"> </w:t>
      </w:r>
    </w:p>
    <w:p w14:paraId="522FF553" w14:textId="7D0FACF0" w:rsidR="009008BA" w:rsidRPr="009008BA" w:rsidRDefault="009008BA" w:rsidP="009008BA">
      <w:pPr>
        <w:rPr>
          <w:lang w:eastAsia="en-AU"/>
        </w:rPr>
      </w:pPr>
      <w:r>
        <w:rPr>
          <w:lang w:eastAsia="en-AU"/>
        </w:rPr>
        <w:t xml:space="preserve">In addition, we would support efforts to develop a </w:t>
      </w:r>
      <w:r w:rsidR="00C52E70">
        <w:rPr>
          <w:lang w:eastAsia="en-AU"/>
        </w:rPr>
        <w:t xml:space="preserve">regression model </w:t>
      </w:r>
      <w:r>
        <w:rPr>
          <w:lang w:eastAsia="en-AU"/>
        </w:rPr>
        <w:t xml:space="preserve">– specifically </w:t>
      </w:r>
      <w:r w:rsidRPr="009008BA">
        <w:rPr>
          <w:lang w:eastAsia="en-AU"/>
        </w:rPr>
        <w:t>a generalised additive mixed model</w:t>
      </w:r>
      <w:r>
        <w:rPr>
          <w:lang w:eastAsia="en-AU"/>
        </w:rPr>
        <w:t xml:space="preserve"> – </w:t>
      </w:r>
      <w:r w:rsidRPr="009008BA">
        <w:rPr>
          <w:lang w:eastAsia="en-AU"/>
        </w:rPr>
        <w:t>to estimate the effect sizes of interventions on different measures of equity</w:t>
      </w:r>
      <w:r w:rsidR="00273595">
        <w:rPr>
          <w:lang w:eastAsia="en-AU"/>
        </w:rPr>
        <w:t xml:space="preserve"> and PISA scores</w:t>
      </w:r>
      <w:r>
        <w:rPr>
          <w:lang w:eastAsia="en-AU"/>
        </w:rPr>
        <w:t xml:space="preserve">. This would require </w:t>
      </w:r>
      <w:r w:rsidRPr="009008BA">
        <w:rPr>
          <w:lang w:eastAsia="en-AU"/>
        </w:rPr>
        <w:t xml:space="preserve">research to identify the best measure, </w:t>
      </w:r>
      <w:r w:rsidR="00E572BA">
        <w:rPr>
          <w:lang w:eastAsia="en-AU"/>
        </w:rPr>
        <w:t>including to confirm that</w:t>
      </w:r>
      <w:r w:rsidRPr="009008BA">
        <w:rPr>
          <w:lang w:eastAsia="en-AU"/>
        </w:rPr>
        <w:t xml:space="preserve"> the dissimilarity index </w:t>
      </w:r>
      <w:r w:rsidR="00E572BA">
        <w:rPr>
          <w:lang w:eastAsia="en-AU"/>
        </w:rPr>
        <w:t>is the most appropriate</w:t>
      </w:r>
      <w:r w:rsidR="00273595">
        <w:rPr>
          <w:lang w:eastAsia="en-AU"/>
        </w:rPr>
        <w:t xml:space="preserve">. </w:t>
      </w:r>
      <w:r w:rsidRPr="009008BA">
        <w:rPr>
          <w:lang w:eastAsia="en-AU"/>
        </w:rPr>
        <w:t>The model would account for the autocorrelations in a country's PISA data across the different waves</w:t>
      </w:r>
      <w:r w:rsidR="00273595">
        <w:rPr>
          <w:lang w:eastAsia="en-AU"/>
        </w:rPr>
        <w:t xml:space="preserve"> of reforms</w:t>
      </w:r>
      <w:r w:rsidRPr="009008BA">
        <w:rPr>
          <w:lang w:eastAsia="en-AU"/>
        </w:rPr>
        <w:t>, and for between-country differences.</w:t>
      </w:r>
      <w:r w:rsidR="00273595">
        <w:rPr>
          <w:lang w:eastAsia="en-AU"/>
        </w:rPr>
        <w:t xml:space="preserve"> The</w:t>
      </w:r>
      <w:r w:rsidR="006D28B9">
        <w:rPr>
          <w:lang w:eastAsia="en-AU"/>
        </w:rPr>
        <w:t xml:space="preserve"> analysis provided here would provide a strong basis for coding</w:t>
      </w:r>
      <w:r w:rsidRPr="009008BA">
        <w:rPr>
          <w:lang w:eastAsia="en-AU"/>
        </w:rPr>
        <w:t xml:space="preserve"> the interventions into a form </w:t>
      </w:r>
      <w:r w:rsidR="006D28B9">
        <w:rPr>
          <w:lang w:eastAsia="en-AU"/>
        </w:rPr>
        <w:t>for</w:t>
      </w:r>
      <w:r w:rsidRPr="009008BA">
        <w:rPr>
          <w:lang w:eastAsia="en-AU"/>
        </w:rPr>
        <w:t xml:space="preserve"> </w:t>
      </w:r>
      <w:r w:rsidR="006D28B9">
        <w:rPr>
          <w:lang w:eastAsia="en-AU"/>
        </w:rPr>
        <w:t>use</w:t>
      </w:r>
      <w:r w:rsidRPr="009008BA">
        <w:rPr>
          <w:lang w:eastAsia="en-AU"/>
        </w:rPr>
        <w:t xml:space="preserve"> in a regression mode</w:t>
      </w:r>
      <w:r w:rsidR="006D28B9">
        <w:rPr>
          <w:lang w:eastAsia="en-AU"/>
        </w:rPr>
        <w:t>l.</w:t>
      </w:r>
    </w:p>
    <w:p w14:paraId="19665D04" w14:textId="46BDFD44" w:rsidR="001331EC" w:rsidRPr="0086054F" w:rsidRDefault="007D5D3A">
      <w:pPr>
        <w:spacing w:after="160"/>
        <w:rPr>
          <w:lang w:eastAsia="en-AU"/>
        </w:rPr>
      </w:pPr>
      <w:r>
        <w:rPr>
          <w:lang w:eastAsia="en-AU"/>
        </w:rPr>
        <w:br w:type="page"/>
      </w:r>
    </w:p>
    <w:p w14:paraId="4DDBBB15" w14:textId="77CA4ED3" w:rsidR="005A21E1" w:rsidRDefault="005D7E60" w:rsidP="00537162">
      <w:pPr>
        <w:pStyle w:val="xAppendixLevel1"/>
      </w:pPr>
      <w:bookmarkStart w:id="52" w:name="_Ref146891964"/>
      <w:bookmarkStart w:id="53" w:name="_Ref149039670"/>
      <w:bookmarkStart w:id="54" w:name="_Toc149052470"/>
      <w:r>
        <w:lastRenderedPageBreak/>
        <w:t>Measuring school and community differences</w:t>
      </w:r>
      <w:bookmarkEnd w:id="52"/>
      <w:r w:rsidR="00BA6D3E">
        <w:rPr>
          <w:rStyle w:val="FootnoteReference"/>
        </w:rPr>
        <w:footnoteReference w:id="206"/>
      </w:r>
      <w:bookmarkEnd w:id="53"/>
      <w:bookmarkEnd w:id="54"/>
    </w:p>
    <w:p w14:paraId="3AC8EFFC" w14:textId="4099097C" w:rsidR="005D7E60" w:rsidRPr="005D7E60" w:rsidRDefault="005D7E60" w:rsidP="005D7E60">
      <w:pPr>
        <w:rPr>
          <w:lang w:eastAsia="en-AU"/>
        </w:rPr>
      </w:pPr>
      <w:r w:rsidRPr="005D7E60">
        <w:rPr>
          <w:lang w:eastAsia="en-AU"/>
        </w:rPr>
        <w:t xml:space="preserve">Many students are not local to their school. Schools </w:t>
      </w:r>
      <w:r w:rsidR="00350184">
        <w:rPr>
          <w:lang w:eastAsia="en-AU"/>
        </w:rPr>
        <w:t>that are</w:t>
      </w:r>
      <w:r w:rsidRPr="005D7E60">
        <w:rPr>
          <w:lang w:eastAsia="en-AU"/>
        </w:rPr>
        <w:t xml:space="preserve"> able to do so, routinely enrol students from well beyond the locality of the school, creating a mismatch between the socio-educational status of communities and the equivalent measure of their school</w:t>
      </w:r>
      <w:r w:rsidR="00537162">
        <w:rPr>
          <w:lang w:eastAsia="en-AU"/>
        </w:rPr>
        <w:t>(</w:t>
      </w:r>
      <w:r w:rsidRPr="005D7E60">
        <w:rPr>
          <w:lang w:eastAsia="en-AU"/>
        </w:rPr>
        <w:t>s</w:t>
      </w:r>
      <w:r w:rsidR="00537162">
        <w:rPr>
          <w:lang w:eastAsia="en-AU"/>
        </w:rPr>
        <w:t>)</w:t>
      </w:r>
      <w:r w:rsidRPr="005D7E60">
        <w:rPr>
          <w:lang w:eastAsia="en-AU"/>
        </w:rPr>
        <w:t xml:space="preserve">. Low SES schools commonly have an enrolment more disadvantaged than represented in their local community. </w:t>
      </w:r>
    </w:p>
    <w:p w14:paraId="49AB6B4A" w14:textId="77777777" w:rsidR="005D7E60" w:rsidRPr="005D7E60" w:rsidRDefault="005D7E60" w:rsidP="00BA6D3E">
      <w:pPr>
        <w:pStyle w:val="Heading3"/>
        <w:numPr>
          <w:ilvl w:val="0"/>
          <w:numId w:val="0"/>
        </w:numPr>
      </w:pPr>
      <w:r w:rsidRPr="005D7E60">
        <w:t xml:space="preserve">Available data </w:t>
      </w:r>
    </w:p>
    <w:p w14:paraId="68736030" w14:textId="50BEEAB9" w:rsidR="00DE6402" w:rsidRDefault="005D7E60" w:rsidP="00DC2BF8">
      <w:r w:rsidRPr="00C5786D">
        <w:t>The school measure is the Index of Community Socio-Educational Advantage (ICSEA)</w:t>
      </w:r>
      <w:r w:rsidR="00EC36C7">
        <w:t>,</w:t>
      </w:r>
      <w:r w:rsidRPr="00C5786D">
        <w:t xml:space="preserve"> which reveals the socio-educational advantage (SEA) of each school’s enrolments. ICSEA is created from information on student enrolment records about such things as parent</w:t>
      </w:r>
      <w:r w:rsidR="00F869D2">
        <w:t>al</w:t>
      </w:r>
      <w:r w:rsidRPr="00C5786D">
        <w:t xml:space="preserve"> occupation, level of education and language background.</w:t>
      </w:r>
    </w:p>
    <w:p w14:paraId="5D114EE4" w14:textId="0127A1B5" w:rsidR="005D7E60" w:rsidRPr="00C5786D" w:rsidRDefault="005D7E60" w:rsidP="00DC2BF8">
      <w:r w:rsidRPr="00C5786D">
        <w:t xml:space="preserve">The community measures are two Socio-Economic Indexes for Areas (SEIFA) created by the Australian Bureau of Statistics (ABS).  </w:t>
      </w:r>
    </w:p>
    <w:p w14:paraId="1F6DC7C6" w14:textId="77777777" w:rsidR="00E83BBF" w:rsidRPr="00E83BBF" w:rsidRDefault="005D7E60" w:rsidP="005D7E60">
      <w:pPr>
        <w:pStyle w:val="Listnumbered"/>
        <w:numPr>
          <w:ilvl w:val="1"/>
          <w:numId w:val="3"/>
        </w:numPr>
      </w:pPr>
      <w:r w:rsidRPr="00E83BBF">
        <w:rPr>
          <w:lang w:eastAsia="en-AU"/>
        </w:rPr>
        <w:t xml:space="preserve">The Index of Relative Socio-Economic Advantage and Disadvantage (IRSAD) uses indicators of both advantage (including income and qualifications) and disadvantage (including employment status, income, house size). </w:t>
      </w:r>
    </w:p>
    <w:p w14:paraId="66BE02F0" w14:textId="34DC9649" w:rsidR="00E83BBF" w:rsidRDefault="005D7E60" w:rsidP="00DC2BF8">
      <w:pPr>
        <w:pStyle w:val="Listnumbered"/>
        <w:numPr>
          <w:ilvl w:val="1"/>
          <w:numId w:val="3"/>
        </w:numPr>
        <w:rPr>
          <w:lang w:eastAsia="en-AU"/>
        </w:rPr>
      </w:pPr>
      <w:r w:rsidRPr="00E83BBF">
        <w:rPr>
          <w:lang w:eastAsia="en-AU"/>
        </w:rPr>
        <w:t xml:space="preserve">The Index of Education and Occupation (IEO) includes indicators of both. </w:t>
      </w:r>
    </w:p>
    <w:p w14:paraId="3ECD676A" w14:textId="120BB8D2" w:rsidR="005D7E60" w:rsidRPr="00E83BBF" w:rsidRDefault="005D7E60" w:rsidP="00375F23">
      <w:r w:rsidRPr="005D7E60">
        <w:rPr>
          <w:lang w:eastAsia="en-AU"/>
        </w:rPr>
        <w:t xml:space="preserve">Both ICSEA and SEIFA describe socio-economic and/or educational status. Some things to think about: </w:t>
      </w:r>
    </w:p>
    <w:p w14:paraId="735C9F70" w14:textId="40617664" w:rsidR="00DE6402" w:rsidRPr="00765A9E" w:rsidRDefault="00E83BBF" w:rsidP="00E45BFE">
      <w:pPr>
        <w:pStyle w:val="ListParagraph"/>
        <w:numPr>
          <w:ilvl w:val="0"/>
          <w:numId w:val="24"/>
        </w:numPr>
      </w:pPr>
      <w:r w:rsidRPr="00765A9E">
        <w:t>e</w:t>
      </w:r>
      <w:r w:rsidR="005D7E60" w:rsidRPr="00765A9E">
        <w:t xml:space="preserve">ach measure needs to be, or close to, the same year. Note the </w:t>
      </w:r>
      <w:r w:rsidR="009205AA">
        <w:t>five</w:t>
      </w:r>
      <w:r w:rsidR="005D7E60" w:rsidRPr="00765A9E">
        <w:t>-year interval between each census</w:t>
      </w:r>
    </w:p>
    <w:p w14:paraId="2C32D952" w14:textId="686E186B" w:rsidR="00DE6402" w:rsidRPr="00765A9E" w:rsidRDefault="00E83BBF" w:rsidP="00E45BFE">
      <w:pPr>
        <w:pStyle w:val="ListParagraph"/>
        <w:numPr>
          <w:ilvl w:val="0"/>
          <w:numId w:val="24"/>
        </w:numPr>
      </w:pPr>
      <w:r w:rsidRPr="00765A9E">
        <w:t>t</w:t>
      </w:r>
      <w:r w:rsidR="005D7E60" w:rsidRPr="00765A9E">
        <w:t>here needs to be sufficient statistical correlation between the two indices</w:t>
      </w:r>
    </w:p>
    <w:p w14:paraId="6B705D2F" w14:textId="62ABC006" w:rsidR="00DE6402" w:rsidRPr="00765A9E" w:rsidRDefault="00E83BBF" w:rsidP="00E45BFE">
      <w:pPr>
        <w:pStyle w:val="ListParagraph"/>
        <w:numPr>
          <w:ilvl w:val="0"/>
          <w:numId w:val="24"/>
        </w:numPr>
      </w:pPr>
      <w:r w:rsidRPr="00765A9E">
        <w:t>t</w:t>
      </w:r>
      <w:r w:rsidR="005D7E60" w:rsidRPr="00765A9E">
        <w:t>he validity of comparisons using the two, and conclusions derived, needs to be considered</w:t>
      </w:r>
    </w:p>
    <w:p w14:paraId="696C5C01" w14:textId="71F28962" w:rsidR="00DE6402" w:rsidRPr="00765A9E" w:rsidRDefault="00E83BBF" w:rsidP="00E45BFE">
      <w:pPr>
        <w:pStyle w:val="ListParagraph"/>
        <w:numPr>
          <w:ilvl w:val="0"/>
          <w:numId w:val="24"/>
        </w:numPr>
      </w:pPr>
      <w:r w:rsidRPr="00765A9E">
        <w:t>o</w:t>
      </w:r>
      <w:r w:rsidR="005D7E60" w:rsidRPr="00765A9E">
        <w:t>ngoing comparisons are important, given that data from both indices will change over time</w:t>
      </w:r>
    </w:p>
    <w:p w14:paraId="0670E75F" w14:textId="08D62CE1" w:rsidR="005D7E60" w:rsidRPr="00765A9E" w:rsidRDefault="005D7E60" w:rsidP="00E45BFE">
      <w:pPr>
        <w:pStyle w:val="ListParagraph"/>
        <w:numPr>
          <w:ilvl w:val="0"/>
          <w:numId w:val="24"/>
        </w:numPr>
      </w:pPr>
      <w:r w:rsidRPr="00765A9E">
        <w:t>the comparisons and conclusions will be more robust for larger groups of schools</w:t>
      </w:r>
      <w:r w:rsidR="008A2855" w:rsidRPr="00765A9E">
        <w:t>.</w:t>
      </w:r>
      <w:r w:rsidRPr="00765A9E">
        <w:t xml:space="preserve"> </w:t>
      </w:r>
    </w:p>
    <w:p w14:paraId="39B763A0" w14:textId="1EFB3323" w:rsidR="005D7E60" w:rsidRPr="005D7E60" w:rsidRDefault="005D7E60" w:rsidP="005D7E60">
      <w:pPr>
        <w:rPr>
          <w:lang w:eastAsia="en-AU"/>
        </w:rPr>
      </w:pPr>
      <w:r w:rsidRPr="005D7E60">
        <w:rPr>
          <w:lang w:eastAsia="en-AU"/>
        </w:rPr>
        <w:t>It is not easy to identify the particular ABS local area which best approximates to the locality of each school. Government schools serve a prescribed drawing area, but school enrolment catchments are not an ABS construct. The closest the ABS goes is to present data for postcodes and State Suburb, albeit with variations. In metropolitan areas</w:t>
      </w:r>
      <w:r w:rsidR="009D5406">
        <w:rPr>
          <w:lang w:eastAsia="en-AU"/>
        </w:rPr>
        <w:t>,</w:t>
      </w:r>
      <w:r w:rsidRPr="005D7E60">
        <w:rPr>
          <w:lang w:eastAsia="en-AU"/>
        </w:rPr>
        <w:t xml:space="preserve"> postcodes can be a reasonable proxy for the locality of each school. The SEIFA data for postcode 2073 in Sydney, for example, is not going to vary greatly between Pymble and West Pymble – and the ICSEA values for the seven schools in that area only range from 1157 to 1214. On the other hand, postcodes in provincial and rural areas often encompass larger areas with diverse communities. The ICSEA of schools in Tamworth NSW (postcode 2340) range from 667 to 1065. In Bendigo Victoria (postcode 3550) they range from 850 to 1105. In such places</w:t>
      </w:r>
      <w:r w:rsidR="00666417">
        <w:rPr>
          <w:lang w:eastAsia="en-AU"/>
        </w:rPr>
        <w:t>,</w:t>
      </w:r>
      <w:r w:rsidRPr="005D7E60">
        <w:rPr>
          <w:lang w:eastAsia="en-AU"/>
        </w:rPr>
        <w:t xml:space="preserve"> the smaller State Suburb index more closely reflects the area in which each school is located. </w:t>
      </w:r>
    </w:p>
    <w:p w14:paraId="4B75CD5D" w14:textId="77777777" w:rsidR="005D7E60" w:rsidRPr="005D7E60" w:rsidRDefault="005D7E60" w:rsidP="00D94B99">
      <w:pPr>
        <w:pStyle w:val="Heading3"/>
        <w:numPr>
          <w:ilvl w:val="0"/>
          <w:numId w:val="0"/>
        </w:numPr>
      </w:pPr>
      <w:r w:rsidRPr="005D7E60">
        <w:t>Some findings</w:t>
      </w:r>
    </w:p>
    <w:p w14:paraId="163F8050" w14:textId="50C864A7" w:rsidR="005D7E60" w:rsidRPr="005D7E60" w:rsidRDefault="005D7E60" w:rsidP="005D7E60">
      <w:pPr>
        <w:rPr>
          <w:lang w:eastAsia="en-AU"/>
        </w:rPr>
      </w:pPr>
      <w:r w:rsidRPr="005D7E60">
        <w:rPr>
          <w:lang w:eastAsia="en-AU"/>
        </w:rPr>
        <w:t xml:space="preserve">Given local factors and impacts might be quite unique, how much weight can be placed on fine-grained comparisons between individual schools? On the other hand, such comparisons </w:t>
      </w:r>
      <w:r w:rsidR="00872E25">
        <w:rPr>
          <w:lang w:eastAsia="en-AU"/>
        </w:rPr>
        <w:t xml:space="preserve">can </w:t>
      </w:r>
      <w:r w:rsidRPr="005D7E60">
        <w:rPr>
          <w:lang w:eastAsia="en-AU"/>
        </w:rPr>
        <w:t>be very useful for large groups of schools where overall system equity and balance need to be assessed. On this larger scale</w:t>
      </w:r>
      <w:r w:rsidR="00872E25">
        <w:rPr>
          <w:lang w:eastAsia="en-AU"/>
        </w:rPr>
        <w:t>,</w:t>
      </w:r>
      <w:r w:rsidRPr="005D7E60">
        <w:rPr>
          <w:lang w:eastAsia="en-AU"/>
        </w:rPr>
        <w:t xml:space="preserve"> it is clear that schools with ICSEAs above their local SEIFA indices have a more advantaged population than found </w:t>
      </w:r>
      <w:r w:rsidRPr="005D7E60">
        <w:rPr>
          <w:lang w:eastAsia="en-AU"/>
        </w:rPr>
        <w:lastRenderedPageBreak/>
        <w:t>in the school’s locality – and low ICSEA schools tend to be more disadvantaged than people in their locality. In the following table</w:t>
      </w:r>
      <w:r w:rsidR="00542CE3">
        <w:rPr>
          <w:lang w:eastAsia="en-AU"/>
        </w:rPr>
        <w:t>,</w:t>
      </w:r>
      <w:r w:rsidRPr="005D7E60">
        <w:rPr>
          <w:lang w:eastAsia="en-AU"/>
        </w:rPr>
        <w:t xml:space="preserve"> schools are categorised into six ICSEA groups. The table shows</w:t>
      </w:r>
      <w:r w:rsidR="003C5A45">
        <w:rPr>
          <w:lang w:eastAsia="en-AU"/>
        </w:rPr>
        <w:t xml:space="preserve"> the average ICSEA for groups of schools in various ICSEA ranges</w:t>
      </w:r>
      <w:r w:rsidRPr="005D7E60">
        <w:rPr>
          <w:lang w:eastAsia="en-AU"/>
        </w:rPr>
        <w:t xml:space="preserve">. The SEIFA data in the table is the average of the two SEIFA indices for each school’s locality, in this case postcode. </w:t>
      </w:r>
    </w:p>
    <w:p w14:paraId="29990928" w14:textId="59B3EBBC" w:rsidR="0062549E" w:rsidRDefault="0062549E" w:rsidP="0062549E">
      <w:pPr>
        <w:pStyle w:val="Caption"/>
      </w:pPr>
      <w:r>
        <w:t xml:space="preserve">Table </w:t>
      </w:r>
      <w:r>
        <w:fldChar w:fldCharType="begin"/>
      </w:r>
      <w:r>
        <w:instrText xml:space="preserve"> SEQ Table \* ARABIC </w:instrText>
      </w:r>
      <w:r>
        <w:fldChar w:fldCharType="separate"/>
      </w:r>
      <w:r w:rsidR="009B7086">
        <w:rPr>
          <w:noProof/>
        </w:rPr>
        <w:t>2</w:t>
      </w:r>
      <w:r>
        <w:fldChar w:fldCharType="end"/>
      </w:r>
      <w:r>
        <w:t xml:space="preserve"> |</w:t>
      </w:r>
      <w:r w:rsidRPr="0062549E">
        <w:t xml:space="preserve"> </w:t>
      </w:r>
      <w:r>
        <w:t xml:space="preserve">School ICSEA values and ABS SEIFA indices - </w:t>
      </w:r>
      <w:r w:rsidR="00CF7388">
        <w:t>a</w:t>
      </w:r>
      <w:r>
        <w:t>ll Australian schools</w:t>
      </w:r>
      <w:r w:rsidR="003F37F1">
        <w:rPr>
          <w:rStyle w:val="FootnoteReference"/>
        </w:rPr>
        <w:footnoteReference w:id="207"/>
      </w:r>
    </w:p>
    <w:tbl>
      <w:tblPr>
        <w:tblStyle w:val="NOUS"/>
        <w:tblW w:w="5000" w:type="pct"/>
        <w:tblLook w:val="04A0" w:firstRow="1" w:lastRow="0" w:firstColumn="1" w:lastColumn="0" w:noHBand="0" w:noVBand="1"/>
      </w:tblPr>
      <w:tblGrid>
        <w:gridCol w:w="1737"/>
        <w:gridCol w:w="1240"/>
        <w:gridCol w:w="1242"/>
        <w:gridCol w:w="1242"/>
        <w:gridCol w:w="1242"/>
        <w:gridCol w:w="1242"/>
        <w:gridCol w:w="1240"/>
      </w:tblGrid>
      <w:tr w:rsidR="0001132C" w14:paraId="6586917F" w14:textId="77777777" w:rsidTr="00A90E73">
        <w:trPr>
          <w:cnfStyle w:val="100000000000" w:firstRow="1" w:lastRow="0" w:firstColumn="0" w:lastColumn="0" w:oddVBand="0" w:evenVBand="0" w:oddHBand="0" w:evenHBand="0" w:firstRowFirstColumn="0" w:firstRowLastColumn="0" w:lastRowFirstColumn="0" w:lastRowLastColumn="0"/>
          <w:trHeight w:val="557"/>
        </w:trPr>
        <w:tc>
          <w:tcPr>
            <w:tcW w:w="945" w:type="pct"/>
          </w:tcPr>
          <w:p w14:paraId="2248FB01" w14:textId="7E61CC0E" w:rsidR="00DD4BA1" w:rsidRPr="0062549E" w:rsidRDefault="00DD4BA1">
            <w:pPr>
              <w:rPr>
                <w:rFonts w:asciiTheme="majorHAnsi" w:hAnsiTheme="majorHAnsi" w:cstheme="majorHAnsi"/>
                <w:b w:val="0"/>
              </w:rPr>
            </w:pPr>
            <w:r w:rsidRPr="0062549E">
              <w:rPr>
                <w:rFonts w:asciiTheme="majorHAnsi" w:hAnsiTheme="majorHAnsi" w:cstheme="majorHAnsi"/>
                <w:b w:val="0"/>
              </w:rPr>
              <w:t>ICSEA group</w:t>
            </w:r>
          </w:p>
        </w:tc>
        <w:tc>
          <w:tcPr>
            <w:tcW w:w="675" w:type="pct"/>
            <w:hideMark/>
          </w:tcPr>
          <w:p w14:paraId="64D22ADB" w14:textId="77777777" w:rsidR="00DD4BA1" w:rsidRPr="0062549E" w:rsidRDefault="00DD4BA1">
            <w:pPr>
              <w:jc w:val="center"/>
              <w:rPr>
                <w:rFonts w:asciiTheme="majorHAnsi" w:hAnsiTheme="majorHAnsi" w:cstheme="majorHAnsi"/>
                <w:b w:val="0"/>
              </w:rPr>
            </w:pPr>
            <w:r w:rsidRPr="0062549E">
              <w:rPr>
                <w:rFonts w:asciiTheme="majorHAnsi" w:hAnsiTheme="majorHAnsi" w:cstheme="majorHAnsi"/>
                <w:b w:val="0"/>
              </w:rPr>
              <w:t>1200 &amp; over</w:t>
            </w:r>
          </w:p>
          <w:p w14:paraId="6DC2F710" w14:textId="77777777" w:rsidR="00DD4BA1" w:rsidRPr="0062549E" w:rsidRDefault="00DD4BA1">
            <w:pPr>
              <w:jc w:val="center"/>
              <w:rPr>
                <w:rFonts w:asciiTheme="majorHAnsi" w:hAnsiTheme="majorHAnsi" w:cstheme="majorHAnsi"/>
                <w:b w:val="0"/>
                <w:sz w:val="18"/>
                <w:szCs w:val="18"/>
              </w:rPr>
            </w:pPr>
            <w:r w:rsidRPr="0062549E">
              <w:rPr>
                <w:rFonts w:asciiTheme="majorHAnsi" w:hAnsiTheme="majorHAnsi" w:cstheme="majorHAnsi"/>
                <w:b w:val="0"/>
                <w:sz w:val="18"/>
                <w:szCs w:val="18"/>
              </w:rPr>
              <w:t>(54 Schools)</w:t>
            </w:r>
          </w:p>
        </w:tc>
        <w:tc>
          <w:tcPr>
            <w:tcW w:w="676" w:type="pct"/>
            <w:hideMark/>
          </w:tcPr>
          <w:p w14:paraId="6B8D030B" w14:textId="77777777" w:rsidR="00DD4BA1" w:rsidRPr="0062549E" w:rsidRDefault="00DD4BA1">
            <w:pPr>
              <w:jc w:val="center"/>
              <w:rPr>
                <w:rFonts w:asciiTheme="majorHAnsi" w:hAnsiTheme="majorHAnsi" w:cstheme="majorHAnsi"/>
                <w:b w:val="0"/>
                <w:sz w:val="22"/>
              </w:rPr>
            </w:pPr>
            <w:r w:rsidRPr="0062549E">
              <w:rPr>
                <w:rFonts w:asciiTheme="majorHAnsi" w:hAnsiTheme="majorHAnsi" w:cstheme="majorHAnsi"/>
                <w:b w:val="0"/>
              </w:rPr>
              <w:t>1100-1199</w:t>
            </w:r>
          </w:p>
          <w:p w14:paraId="1BBA9BEF" w14:textId="77777777" w:rsidR="00DD4BA1" w:rsidRPr="0062549E" w:rsidRDefault="00DD4BA1">
            <w:pPr>
              <w:jc w:val="center"/>
              <w:rPr>
                <w:rFonts w:asciiTheme="majorHAnsi" w:hAnsiTheme="majorHAnsi" w:cstheme="majorHAnsi"/>
                <w:b w:val="0"/>
                <w:sz w:val="18"/>
                <w:szCs w:val="18"/>
              </w:rPr>
            </w:pPr>
            <w:r w:rsidRPr="0062549E">
              <w:rPr>
                <w:rFonts w:asciiTheme="majorHAnsi" w:hAnsiTheme="majorHAnsi" w:cstheme="majorHAnsi"/>
                <w:b w:val="0"/>
                <w:sz w:val="18"/>
                <w:szCs w:val="18"/>
              </w:rPr>
              <w:t>(1115 schools)</w:t>
            </w:r>
          </w:p>
        </w:tc>
        <w:tc>
          <w:tcPr>
            <w:tcW w:w="676" w:type="pct"/>
            <w:hideMark/>
          </w:tcPr>
          <w:p w14:paraId="60FCD8B1" w14:textId="77777777" w:rsidR="00DD4BA1" w:rsidRPr="0062549E" w:rsidRDefault="00DD4BA1">
            <w:pPr>
              <w:jc w:val="center"/>
              <w:rPr>
                <w:rFonts w:asciiTheme="majorHAnsi" w:hAnsiTheme="majorHAnsi" w:cstheme="majorHAnsi"/>
                <w:b w:val="0"/>
                <w:sz w:val="22"/>
              </w:rPr>
            </w:pPr>
            <w:r w:rsidRPr="0062549E">
              <w:rPr>
                <w:rFonts w:asciiTheme="majorHAnsi" w:hAnsiTheme="majorHAnsi" w:cstheme="majorHAnsi"/>
                <w:b w:val="0"/>
              </w:rPr>
              <w:t>1000-1099</w:t>
            </w:r>
          </w:p>
          <w:p w14:paraId="5F11F955" w14:textId="77777777" w:rsidR="00DD4BA1" w:rsidRPr="0062549E" w:rsidRDefault="00DD4BA1">
            <w:pPr>
              <w:jc w:val="center"/>
              <w:rPr>
                <w:rFonts w:asciiTheme="majorHAnsi" w:hAnsiTheme="majorHAnsi" w:cstheme="majorHAnsi"/>
                <w:b w:val="0"/>
                <w:sz w:val="18"/>
                <w:szCs w:val="18"/>
              </w:rPr>
            </w:pPr>
            <w:r w:rsidRPr="0062549E">
              <w:rPr>
                <w:rFonts w:asciiTheme="majorHAnsi" w:hAnsiTheme="majorHAnsi" w:cstheme="majorHAnsi"/>
                <w:b w:val="0"/>
                <w:sz w:val="18"/>
                <w:szCs w:val="18"/>
              </w:rPr>
              <w:t>(3363 schools)</w:t>
            </w:r>
          </w:p>
        </w:tc>
        <w:tc>
          <w:tcPr>
            <w:tcW w:w="676" w:type="pct"/>
            <w:hideMark/>
          </w:tcPr>
          <w:p w14:paraId="4F971575" w14:textId="77777777" w:rsidR="00DD4BA1" w:rsidRPr="0062549E" w:rsidRDefault="00DD4BA1">
            <w:pPr>
              <w:jc w:val="center"/>
              <w:rPr>
                <w:rFonts w:asciiTheme="majorHAnsi" w:hAnsiTheme="majorHAnsi" w:cstheme="majorHAnsi"/>
                <w:b w:val="0"/>
                <w:sz w:val="22"/>
              </w:rPr>
            </w:pPr>
            <w:r w:rsidRPr="0062549E">
              <w:rPr>
                <w:rFonts w:asciiTheme="majorHAnsi" w:hAnsiTheme="majorHAnsi" w:cstheme="majorHAnsi"/>
                <w:b w:val="0"/>
              </w:rPr>
              <w:t>900-999</w:t>
            </w:r>
          </w:p>
          <w:p w14:paraId="721F12B3" w14:textId="77777777" w:rsidR="00DD4BA1" w:rsidRPr="0062549E" w:rsidRDefault="00DD4BA1">
            <w:pPr>
              <w:jc w:val="center"/>
              <w:rPr>
                <w:rFonts w:asciiTheme="majorHAnsi" w:hAnsiTheme="majorHAnsi" w:cstheme="majorHAnsi"/>
                <w:b w:val="0"/>
                <w:sz w:val="18"/>
                <w:szCs w:val="18"/>
              </w:rPr>
            </w:pPr>
            <w:r w:rsidRPr="0062549E">
              <w:rPr>
                <w:rFonts w:asciiTheme="majorHAnsi" w:hAnsiTheme="majorHAnsi" w:cstheme="majorHAnsi"/>
                <w:b w:val="0"/>
                <w:sz w:val="18"/>
                <w:szCs w:val="18"/>
              </w:rPr>
              <w:t>(3331 schools)</w:t>
            </w:r>
          </w:p>
        </w:tc>
        <w:tc>
          <w:tcPr>
            <w:tcW w:w="676" w:type="pct"/>
            <w:hideMark/>
          </w:tcPr>
          <w:p w14:paraId="2D1D5E21" w14:textId="77777777" w:rsidR="00DD4BA1" w:rsidRPr="0062549E" w:rsidRDefault="00DD4BA1">
            <w:pPr>
              <w:jc w:val="center"/>
              <w:rPr>
                <w:rFonts w:asciiTheme="majorHAnsi" w:hAnsiTheme="majorHAnsi" w:cstheme="majorHAnsi"/>
                <w:b w:val="0"/>
                <w:sz w:val="22"/>
              </w:rPr>
            </w:pPr>
            <w:r w:rsidRPr="0062549E">
              <w:rPr>
                <w:rFonts w:asciiTheme="majorHAnsi" w:hAnsiTheme="majorHAnsi" w:cstheme="majorHAnsi"/>
                <w:b w:val="0"/>
              </w:rPr>
              <w:t>800-899</w:t>
            </w:r>
          </w:p>
          <w:p w14:paraId="5AB0F0A1" w14:textId="77777777" w:rsidR="00DD4BA1" w:rsidRPr="0062549E" w:rsidRDefault="00DD4BA1">
            <w:pPr>
              <w:jc w:val="center"/>
              <w:rPr>
                <w:rFonts w:asciiTheme="majorHAnsi" w:hAnsiTheme="majorHAnsi" w:cstheme="majorHAnsi"/>
                <w:b w:val="0"/>
                <w:sz w:val="18"/>
                <w:szCs w:val="18"/>
              </w:rPr>
            </w:pPr>
            <w:r w:rsidRPr="0062549E">
              <w:rPr>
                <w:rFonts w:asciiTheme="majorHAnsi" w:hAnsiTheme="majorHAnsi" w:cstheme="majorHAnsi"/>
                <w:b w:val="0"/>
                <w:sz w:val="18"/>
                <w:szCs w:val="18"/>
              </w:rPr>
              <w:t>(504 schools)</w:t>
            </w:r>
          </w:p>
        </w:tc>
        <w:tc>
          <w:tcPr>
            <w:tcW w:w="675" w:type="pct"/>
            <w:hideMark/>
          </w:tcPr>
          <w:p w14:paraId="510C25C2" w14:textId="77777777" w:rsidR="00DD4BA1" w:rsidRPr="0062549E" w:rsidRDefault="00DD4BA1">
            <w:pPr>
              <w:jc w:val="center"/>
              <w:rPr>
                <w:rFonts w:asciiTheme="majorHAnsi" w:hAnsiTheme="majorHAnsi" w:cstheme="majorHAnsi"/>
                <w:b w:val="0"/>
                <w:sz w:val="22"/>
              </w:rPr>
            </w:pPr>
            <w:r w:rsidRPr="0062549E">
              <w:rPr>
                <w:rFonts w:asciiTheme="majorHAnsi" w:hAnsiTheme="majorHAnsi" w:cstheme="majorHAnsi"/>
                <w:b w:val="0"/>
              </w:rPr>
              <w:t>Under 800</w:t>
            </w:r>
          </w:p>
          <w:p w14:paraId="5A115213" w14:textId="77777777" w:rsidR="00DD4BA1" w:rsidRPr="0062549E" w:rsidRDefault="00DD4BA1">
            <w:pPr>
              <w:jc w:val="center"/>
              <w:rPr>
                <w:rFonts w:asciiTheme="majorHAnsi" w:hAnsiTheme="majorHAnsi" w:cstheme="majorHAnsi"/>
                <w:b w:val="0"/>
                <w:sz w:val="18"/>
                <w:szCs w:val="18"/>
              </w:rPr>
            </w:pPr>
            <w:r w:rsidRPr="0062549E">
              <w:rPr>
                <w:rFonts w:asciiTheme="majorHAnsi" w:hAnsiTheme="majorHAnsi" w:cstheme="majorHAnsi"/>
                <w:b w:val="0"/>
                <w:sz w:val="18"/>
                <w:szCs w:val="18"/>
              </w:rPr>
              <w:t>(288 schools)</w:t>
            </w:r>
          </w:p>
        </w:tc>
      </w:tr>
      <w:tr w:rsidR="00DD4BA1" w14:paraId="14DF8B1A" w14:textId="77777777" w:rsidTr="00A90E73">
        <w:tc>
          <w:tcPr>
            <w:tcW w:w="945" w:type="pct"/>
            <w:hideMark/>
          </w:tcPr>
          <w:p w14:paraId="768892DE" w14:textId="77777777" w:rsidR="00DD4BA1" w:rsidRPr="0062549E" w:rsidRDefault="00DD4BA1" w:rsidP="0062549E">
            <w:pPr>
              <w:rPr>
                <w:rFonts w:asciiTheme="minorHAnsi" w:hAnsiTheme="minorHAnsi" w:cstheme="minorHAnsi"/>
                <w:sz w:val="20"/>
                <w:szCs w:val="20"/>
              </w:rPr>
            </w:pPr>
            <w:r w:rsidRPr="0062549E">
              <w:rPr>
                <w:rFonts w:asciiTheme="minorHAnsi" w:hAnsiTheme="minorHAnsi" w:cstheme="minorHAnsi"/>
                <w:sz w:val="20"/>
                <w:szCs w:val="20"/>
              </w:rPr>
              <w:t>Average school ICSEA</w:t>
            </w:r>
          </w:p>
        </w:tc>
        <w:tc>
          <w:tcPr>
            <w:tcW w:w="675" w:type="pct"/>
            <w:hideMark/>
          </w:tcPr>
          <w:p w14:paraId="707757C4" w14:textId="77777777" w:rsidR="00DD4BA1" w:rsidRPr="0062549E" w:rsidRDefault="00DD4BA1" w:rsidP="0062549E">
            <w:pPr>
              <w:jc w:val="center"/>
              <w:rPr>
                <w:rFonts w:asciiTheme="minorHAnsi" w:hAnsiTheme="minorHAnsi" w:cstheme="minorHAnsi"/>
                <w:sz w:val="22"/>
              </w:rPr>
            </w:pPr>
            <w:r w:rsidRPr="0062549E">
              <w:rPr>
                <w:rFonts w:asciiTheme="minorHAnsi" w:hAnsiTheme="minorHAnsi" w:cstheme="minorHAnsi"/>
              </w:rPr>
              <w:t>1218</w:t>
            </w:r>
          </w:p>
        </w:tc>
        <w:tc>
          <w:tcPr>
            <w:tcW w:w="676" w:type="pct"/>
            <w:hideMark/>
          </w:tcPr>
          <w:p w14:paraId="2D6EE3A1"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1138</w:t>
            </w:r>
          </w:p>
        </w:tc>
        <w:tc>
          <w:tcPr>
            <w:tcW w:w="676" w:type="pct"/>
            <w:hideMark/>
          </w:tcPr>
          <w:p w14:paraId="121F60D9"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1042</w:t>
            </w:r>
          </w:p>
        </w:tc>
        <w:tc>
          <w:tcPr>
            <w:tcW w:w="676" w:type="pct"/>
            <w:hideMark/>
          </w:tcPr>
          <w:p w14:paraId="58D311A3"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958</w:t>
            </w:r>
          </w:p>
        </w:tc>
        <w:tc>
          <w:tcPr>
            <w:tcW w:w="676" w:type="pct"/>
            <w:hideMark/>
          </w:tcPr>
          <w:p w14:paraId="34588BE2"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867</w:t>
            </w:r>
          </w:p>
        </w:tc>
        <w:tc>
          <w:tcPr>
            <w:tcW w:w="675" w:type="pct"/>
            <w:hideMark/>
          </w:tcPr>
          <w:p w14:paraId="43FB25A2"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664</w:t>
            </w:r>
          </w:p>
        </w:tc>
      </w:tr>
      <w:tr w:rsidR="00DD4BA1" w14:paraId="43BC722F" w14:textId="77777777" w:rsidTr="00A90E73">
        <w:tc>
          <w:tcPr>
            <w:tcW w:w="945" w:type="pct"/>
            <w:hideMark/>
          </w:tcPr>
          <w:p w14:paraId="5EE8105A" w14:textId="77777777" w:rsidR="00DD4BA1" w:rsidRPr="0062549E" w:rsidRDefault="00DD4BA1" w:rsidP="0062549E">
            <w:pPr>
              <w:rPr>
                <w:rFonts w:asciiTheme="minorHAnsi" w:hAnsiTheme="minorHAnsi" w:cstheme="minorHAnsi"/>
                <w:sz w:val="20"/>
                <w:szCs w:val="20"/>
              </w:rPr>
            </w:pPr>
            <w:r w:rsidRPr="0062549E">
              <w:rPr>
                <w:rFonts w:asciiTheme="minorHAnsi" w:hAnsiTheme="minorHAnsi" w:cstheme="minorHAnsi"/>
                <w:sz w:val="20"/>
                <w:szCs w:val="20"/>
              </w:rPr>
              <w:t>Average postcode SEIFA</w:t>
            </w:r>
          </w:p>
        </w:tc>
        <w:tc>
          <w:tcPr>
            <w:tcW w:w="675" w:type="pct"/>
            <w:hideMark/>
          </w:tcPr>
          <w:p w14:paraId="07C83779" w14:textId="77777777" w:rsidR="00DD4BA1" w:rsidRPr="0062549E" w:rsidRDefault="00DD4BA1" w:rsidP="0062549E">
            <w:pPr>
              <w:jc w:val="center"/>
              <w:rPr>
                <w:rFonts w:asciiTheme="minorHAnsi" w:hAnsiTheme="minorHAnsi" w:cstheme="minorHAnsi"/>
                <w:sz w:val="22"/>
              </w:rPr>
            </w:pPr>
            <w:r w:rsidRPr="0062549E">
              <w:rPr>
                <w:rFonts w:asciiTheme="minorHAnsi" w:hAnsiTheme="minorHAnsi" w:cstheme="minorHAnsi"/>
              </w:rPr>
              <w:t>1140</w:t>
            </w:r>
          </w:p>
        </w:tc>
        <w:tc>
          <w:tcPr>
            <w:tcW w:w="676" w:type="pct"/>
            <w:hideMark/>
          </w:tcPr>
          <w:p w14:paraId="2704CA37"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1093</w:t>
            </w:r>
          </w:p>
        </w:tc>
        <w:tc>
          <w:tcPr>
            <w:tcW w:w="676" w:type="pct"/>
            <w:hideMark/>
          </w:tcPr>
          <w:p w14:paraId="7DCE6EBA"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1005</w:t>
            </w:r>
          </w:p>
        </w:tc>
        <w:tc>
          <w:tcPr>
            <w:tcW w:w="676" w:type="pct"/>
            <w:hideMark/>
          </w:tcPr>
          <w:p w14:paraId="737AD219"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948</w:t>
            </w:r>
          </w:p>
        </w:tc>
        <w:tc>
          <w:tcPr>
            <w:tcW w:w="676" w:type="pct"/>
            <w:hideMark/>
          </w:tcPr>
          <w:p w14:paraId="49DB0517"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921</w:t>
            </w:r>
          </w:p>
        </w:tc>
        <w:tc>
          <w:tcPr>
            <w:tcW w:w="675" w:type="pct"/>
            <w:hideMark/>
          </w:tcPr>
          <w:p w14:paraId="725F0E81"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872</w:t>
            </w:r>
          </w:p>
        </w:tc>
      </w:tr>
      <w:tr w:rsidR="00DD4BA1" w14:paraId="6A67D27F" w14:textId="77777777" w:rsidTr="00A90E73">
        <w:tc>
          <w:tcPr>
            <w:tcW w:w="945" w:type="pct"/>
            <w:hideMark/>
          </w:tcPr>
          <w:p w14:paraId="2F7550B6" w14:textId="77777777" w:rsidR="00DD4BA1" w:rsidRPr="0062549E" w:rsidRDefault="00DD4BA1" w:rsidP="0062549E">
            <w:pPr>
              <w:rPr>
                <w:rFonts w:asciiTheme="minorHAnsi" w:hAnsiTheme="minorHAnsi" w:cstheme="minorHAnsi"/>
                <w:sz w:val="20"/>
                <w:szCs w:val="20"/>
              </w:rPr>
            </w:pPr>
            <w:r w:rsidRPr="0062549E">
              <w:rPr>
                <w:rFonts w:asciiTheme="minorHAnsi" w:hAnsiTheme="minorHAnsi" w:cstheme="minorHAnsi"/>
                <w:sz w:val="20"/>
                <w:szCs w:val="20"/>
              </w:rPr>
              <w:t>ICSEA/SEIFA gap (difference)</w:t>
            </w:r>
          </w:p>
        </w:tc>
        <w:tc>
          <w:tcPr>
            <w:tcW w:w="675" w:type="pct"/>
            <w:hideMark/>
          </w:tcPr>
          <w:p w14:paraId="42A63593" w14:textId="77777777" w:rsidR="00DD4BA1" w:rsidRPr="0062549E" w:rsidRDefault="00DD4BA1" w:rsidP="0062549E">
            <w:pPr>
              <w:jc w:val="center"/>
              <w:rPr>
                <w:rFonts w:asciiTheme="minorHAnsi" w:hAnsiTheme="minorHAnsi" w:cstheme="minorHAnsi"/>
                <w:sz w:val="22"/>
              </w:rPr>
            </w:pPr>
            <w:r w:rsidRPr="0062549E">
              <w:rPr>
                <w:rFonts w:asciiTheme="minorHAnsi" w:hAnsiTheme="minorHAnsi" w:cstheme="minorHAnsi"/>
              </w:rPr>
              <w:t>+78</w:t>
            </w:r>
          </w:p>
        </w:tc>
        <w:tc>
          <w:tcPr>
            <w:tcW w:w="676" w:type="pct"/>
            <w:hideMark/>
          </w:tcPr>
          <w:p w14:paraId="7D6231F9"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+45</w:t>
            </w:r>
          </w:p>
        </w:tc>
        <w:tc>
          <w:tcPr>
            <w:tcW w:w="676" w:type="pct"/>
            <w:hideMark/>
          </w:tcPr>
          <w:p w14:paraId="3B241B0A"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+37</w:t>
            </w:r>
          </w:p>
        </w:tc>
        <w:tc>
          <w:tcPr>
            <w:tcW w:w="676" w:type="pct"/>
            <w:hideMark/>
          </w:tcPr>
          <w:p w14:paraId="732E1297"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+10</w:t>
            </w:r>
          </w:p>
        </w:tc>
        <w:tc>
          <w:tcPr>
            <w:tcW w:w="676" w:type="pct"/>
            <w:hideMark/>
          </w:tcPr>
          <w:p w14:paraId="498C2164"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-54</w:t>
            </w:r>
          </w:p>
        </w:tc>
        <w:tc>
          <w:tcPr>
            <w:tcW w:w="675" w:type="pct"/>
            <w:hideMark/>
          </w:tcPr>
          <w:p w14:paraId="1FE9E0F5" w14:textId="77777777" w:rsidR="00DD4BA1" w:rsidRPr="0062549E" w:rsidRDefault="00DD4BA1" w:rsidP="0062549E">
            <w:pPr>
              <w:jc w:val="center"/>
              <w:rPr>
                <w:rFonts w:asciiTheme="minorHAnsi" w:hAnsiTheme="minorHAnsi" w:cstheme="minorHAnsi"/>
              </w:rPr>
            </w:pPr>
            <w:r w:rsidRPr="0062549E">
              <w:rPr>
                <w:rFonts w:asciiTheme="minorHAnsi" w:hAnsiTheme="minorHAnsi" w:cstheme="minorHAnsi"/>
              </w:rPr>
              <w:t>-208</w:t>
            </w:r>
          </w:p>
        </w:tc>
      </w:tr>
    </w:tbl>
    <w:p w14:paraId="6BB37702" w14:textId="77777777" w:rsidR="005D7E60" w:rsidRPr="005D7E60" w:rsidRDefault="005D7E60" w:rsidP="005D7E60">
      <w:pPr>
        <w:rPr>
          <w:lang w:eastAsia="en-AU"/>
        </w:rPr>
      </w:pPr>
    </w:p>
    <w:p w14:paraId="3F6CAEA8" w14:textId="1144BCCD" w:rsidR="005D7E60" w:rsidRPr="005D7E60" w:rsidRDefault="005D7E60" w:rsidP="005D7E60">
      <w:pPr>
        <w:rPr>
          <w:lang w:eastAsia="en-AU"/>
        </w:rPr>
      </w:pPr>
      <w:r w:rsidRPr="005D7E60">
        <w:rPr>
          <w:lang w:eastAsia="en-AU"/>
        </w:rPr>
        <w:t xml:space="preserve">Higher ICSEA schools, the schools enrolling more socio-educationally advantaged students, have a positive ICSEA/SEIFA gap. These schools have an enrolment even more advantaged than might be the case if they just enrolled students from their postcode. The numbers for the lowest ICSEA schools suggest that advantaged students who live locally go elsewhere to school - to the higher ICSEA schools. </w:t>
      </w:r>
      <w:r w:rsidR="0068172D">
        <w:rPr>
          <w:lang w:eastAsia="en-AU"/>
        </w:rPr>
        <w:t>As demonstrated,</w:t>
      </w:r>
      <w:r w:rsidRPr="005D7E60">
        <w:rPr>
          <w:lang w:eastAsia="en-AU"/>
        </w:rPr>
        <w:t xml:space="preserve"> the bigger ICSEA/SEIFA gaps are found </w:t>
      </w:r>
      <w:r w:rsidR="0068172D">
        <w:rPr>
          <w:lang w:eastAsia="en-AU"/>
        </w:rPr>
        <w:t>in</w:t>
      </w:r>
      <w:r w:rsidRPr="005D7E60">
        <w:rPr>
          <w:lang w:eastAsia="en-AU"/>
        </w:rPr>
        <w:t xml:space="preserve"> schools at either end of the advantaged-disadvantaged spectrum.</w:t>
      </w:r>
    </w:p>
    <w:p w14:paraId="477528B7" w14:textId="77777777" w:rsidR="005D7E60" w:rsidRPr="005D7E60" w:rsidRDefault="005D7E60" w:rsidP="00BA6D3E">
      <w:pPr>
        <w:pStyle w:val="Heading3"/>
        <w:numPr>
          <w:ilvl w:val="0"/>
          <w:numId w:val="0"/>
        </w:numPr>
      </w:pPr>
      <w:r w:rsidRPr="005D7E60">
        <w:t>Issues</w:t>
      </w:r>
    </w:p>
    <w:p w14:paraId="6435B660" w14:textId="046367A6" w:rsidR="005D7E60" w:rsidRPr="005D7E60" w:rsidRDefault="005D7E60" w:rsidP="005D7E60">
      <w:pPr>
        <w:rPr>
          <w:lang w:eastAsia="en-AU"/>
        </w:rPr>
      </w:pPr>
      <w:r w:rsidRPr="005D7E60">
        <w:rPr>
          <w:lang w:eastAsia="en-AU"/>
        </w:rPr>
        <w:t xml:space="preserve">The concentration of disadvantage in low SES schools might be better addressed if more is known about the demographic imbalance between each school and its locality. However, unless more precision is possible, it may not be valid to use such data to support such interventions as quotas or incentive funding. </w:t>
      </w:r>
      <w:r w:rsidR="002A63EF" w:rsidRPr="005D7E60">
        <w:rPr>
          <w:lang w:eastAsia="en-AU"/>
        </w:rPr>
        <w:t>However,</w:t>
      </w:r>
      <w:r w:rsidRPr="005D7E60">
        <w:rPr>
          <w:lang w:eastAsia="en-AU"/>
        </w:rPr>
        <w:t xml:space="preserve"> as an indicator of system health and how it changes over time, comparisons between school ICSEA and local SEIFA should be seriously considered. At stake are not only student outcomes but wider issues around sustaining and growing both school and community social/cultural capital.   </w:t>
      </w:r>
    </w:p>
    <w:p w14:paraId="0DFF38DA" w14:textId="18445DFD" w:rsidR="00001116" w:rsidRDefault="00D56564" w:rsidP="00001116">
      <w:pPr>
        <w:pStyle w:val="xAppendixLevel1"/>
      </w:pPr>
      <w:bookmarkStart w:id="55" w:name="_Toc149052471"/>
      <w:r>
        <w:lastRenderedPageBreak/>
        <w:t>Additional PISA analysis</w:t>
      </w:r>
      <w:bookmarkEnd w:id="55"/>
    </w:p>
    <w:p w14:paraId="372F51D3" w14:textId="0F86DB26" w:rsidR="00001116" w:rsidRDefault="00343ADB" w:rsidP="00D56564">
      <w:pPr>
        <w:pStyle w:val="Caption"/>
      </w:pPr>
      <w:bookmarkStart w:id="56" w:name="_Ref146879708"/>
      <w:r>
        <w:rPr>
          <w:noProof/>
        </w:rPr>
        <w:drawing>
          <wp:anchor distT="0" distB="0" distL="114300" distR="114300" simplePos="0" relativeHeight="251658262" behindDoc="1" locked="0" layoutInCell="1" allowOverlap="1" wp14:anchorId="269DEB56" wp14:editId="40F38F58">
            <wp:simplePos x="0" y="0"/>
            <wp:positionH relativeFrom="column">
              <wp:posOffset>-59690</wp:posOffset>
            </wp:positionH>
            <wp:positionV relativeFrom="paragraph">
              <wp:posOffset>438785</wp:posOffset>
            </wp:positionV>
            <wp:extent cx="5851525" cy="7550150"/>
            <wp:effectExtent l="0" t="0" r="0" b="0"/>
            <wp:wrapTight wrapText="bothSides">
              <wp:wrapPolygon edited="0">
                <wp:start x="0" y="0"/>
                <wp:lineTo x="0" y="21527"/>
                <wp:lineTo x="21518" y="21527"/>
                <wp:lineTo x="21518" y="0"/>
                <wp:lineTo x="0" y="0"/>
              </wp:wrapPolygon>
            </wp:wrapTight>
            <wp:docPr id="1942529891" name="Graphic 1942529891" descr="Figure shows performance in reading and maths by SES cohort across selected countries as well as the OECD average from 2012 to 2018. The figure shows both the average for each country as well average performance for the bottom and top SES quinti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29891" name="Graphic 1942529891" descr="Figure shows performance in reading and maths by SES cohort across selected countries as well as the OECD average from 2012 to 2018. The figure shows both the average for each country as well average performance for the bottom and top SES quintiles. "/>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851525" cy="7550150"/>
                    </a:xfrm>
                    <a:prstGeom prst="rect">
                      <a:avLst/>
                    </a:prstGeom>
                  </pic:spPr>
                </pic:pic>
              </a:graphicData>
            </a:graphic>
            <wp14:sizeRelH relativeFrom="margin">
              <wp14:pctWidth>0</wp14:pctWidth>
            </wp14:sizeRelH>
            <wp14:sizeRelV relativeFrom="margin">
              <wp14:pctHeight>0</wp14:pctHeight>
            </wp14:sizeRelV>
          </wp:anchor>
        </w:drawing>
      </w:r>
      <w:r w:rsidR="00001116" w:rsidRPr="00852759">
        <w:t xml:space="preserve">Figure </w:t>
      </w:r>
      <w:r w:rsidR="00001116" w:rsidRPr="00852759">
        <w:fldChar w:fldCharType="begin"/>
      </w:r>
      <w:r w:rsidR="00001116" w:rsidRPr="00852759">
        <w:instrText xml:space="preserve"> SEQ Figure \* ARABIC </w:instrText>
      </w:r>
      <w:r w:rsidR="00001116" w:rsidRPr="00852759">
        <w:fldChar w:fldCharType="separate"/>
      </w:r>
      <w:r w:rsidR="009B7086">
        <w:rPr>
          <w:noProof/>
        </w:rPr>
        <w:t>9</w:t>
      </w:r>
      <w:r w:rsidR="00001116" w:rsidRPr="00852759">
        <w:fldChar w:fldCharType="end"/>
      </w:r>
      <w:bookmarkEnd w:id="56"/>
      <w:r w:rsidR="00001116" w:rsidRPr="00852759">
        <w:t xml:space="preserve"> |</w:t>
      </w:r>
      <w:r w:rsidR="00001116">
        <w:t xml:space="preserve"> Performance in reading </w:t>
      </w:r>
      <w:r w:rsidR="00207F3F">
        <w:t xml:space="preserve">and maths </w:t>
      </w:r>
      <w:r w:rsidR="00001116">
        <w:t xml:space="preserve">by SES cohort across selected countries </w:t>
      </w:r>
      <w:r w:rsidR="00B8604E" w:rsidRPr="00B8604E">
        <w:rPr>
          <w:rFonts w:asciiTheme="minorHAnsi" w:hAnsiTheme="minorHAnsi" w:cstheme="minorHAnsi"/>
        </w:rPr>
        <w:t>(</w:t>
      </w:r>
      <w:r w:rsidR="00B8604E">
        <w:rPr>
          <w:rFonts w:asciiTheme="minorHAnsi" w:hAnsiTheme="minorHAnsi" w:cstheme="minorHAnsi"/>
        </w:rPr>
        <w:t>Commentary overleaf)</w:t>
      </w:r>
    </w:p>
    <w:p w14:paraId="4F771C1A" w14:textId="37B8A9E1" w:rsidR="00B10D66" w:rsidRPr="00B10D66" w:rsidRDefault="00B10D66" w:rsidP="00B10D66"/>
    <w:p w14:paraId="6912ADF2" w14:textId="5CC298A4" w:rsidR="00BA4842" w:rsidRDefault="00852759" w:rsidP="0007411A">
      <w:r>
        <w:lastRenderedPageBreak/>
        <w:fldChar w:fldCharType="begin"/>
      </w:r>
      <w:r>
        <w:instrText xml:space="preserve"> REF _Ref146879708 \h  \* MERGEFORMAT </w:instrText>
      </w:r>
      <w:r>
        <w:fldChar w:fldCharType="separate"/>
      </w:r>
      <w:r w:rsidR="009B7086" w:rsidRPr="00852759">
        <w:t xml:space="preserve">Figure </w:t>
      </w:r>
      <w:r w:rsidR="009B7086">
        <w:rPr>
          <w:noProof/>
        </w:rPr>
        <w:t>9</w:t>
      </w:r>
      <w:r>
        <w:fldChar w:fldCharType="end"/>
      </w:r>
      <w:r w:rsidR="00D02B9E">
        <w:t xml:space="preserve"> shows the reading performance of students </w:t>
      </w:r>
      <w:r w:rsidR="008A498D">
        <w:t xml:space="preserve">in </w:t>
      </w:r>
      <w:r w:rsidR="00D02B9E">
        <w:t>the bottom and top SES quartiles from the nations we have repeatedly referred to across this report for their use of policy interventions to improve diversity and reduce residualisation and its ill effects. It shows, for instance, that Canada has retained a high and stable performance with small gaps between SES groups; that Belgium is trending down across all groups and measures</w:t>
      </w:r>
      <w:r w:rsidR="0083271C">
        <w:t>;</w:t>
      </w:r>
      <w:r w:rsidR="00D02B9E">
        <w:t xml:space="preserve"> and that Poland and the UK have seen a lift in </w:t>
      </w:r>
      <w:r w:rsidR="00D86985">
        <w:t>a</w:t>
      </w:r>
      <w:r w:rsidR="00D02B9E">
        <w:t xml:space="preserve">verage performance </w:t>
      </w:r>
      <w:r w:rsidR="00775505">
        <w:t xml:space="preserve">with similar or slightly </w:t>
      </w:r>
      <w:r w:rsidR="000D3037">
        <w:t>widening</w:t>
      </w:r>
      <w:r w:rsidR="00D02B9E">
        <w:t xml:space="preserve"> gaps </w:t>
      </w:r>
      <w:r w:rsidR="008D220A">
        <w:t xml:space="preserve">during the </w:t>
      </w:r>
      <w:r w:rsidR="00D02B9E">
        <w:t>2015-2018</w:t>
      </w:r>
      <w:r w:rsidR="008D220A">
        <w:t xml:space="preserve"> time period</w:t>
      </w:r>
      <w:r w:rsidR="00D02B9E">
        <w:t>.</w:t>
      </w:r>
      <w:r w:rsidR="00BA4842">
        <w:br w:type="page"/>
      </w:r>
    </w:p>
    <w:p w14:paraId="516E5D8E" w14:textId="0F9C79EE" w:rsidR="00BA4842" w:rsidRDefault="00BA4842">
      <w:pPr>
        <w:spacing w:after="160"/>
        <w:rPr>
          <w:lang w:eastAsia="en-AU"/>
        </w:rPr>
      </w:pPr>
      <w:r w:rsidRPr="0086054F">
        <w:rPr>
          <w:noProof/>
          <w:lang w:eastAsia="en-AU"/>
        </w:rPr>
        <w:lastRenderedPageBreak/>
        <w:drawing>
          <wp:anchor distT="0" distB="0" distL="114300" distR="114300" simplePos="0" relativeHeight="251658251" behindDoc="0" locked="0" layoutInCell="1" allowOverlap="1" wp14:anchorId="2F597147" wp14:editId="1FC80D1E">
            <wp:simplePos x="0" y="0"/>
            <wp:positionH relativeFrom="column">
              <wp:posOffset>-991235</wp:posOffset>
            </wp:positionH>
            <wp:positionV relativeFrom="paragraph">
              <wp:posOffset>-166267</wp:posOffset>
            </wp:positionV>
            <wp:extent cx="7682337" cy="9941442"/>
            <wp:effectExtent l="0" t="0" r="0" b="317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682337" cy="9941442"/>
                    </a:xfrm>
                    <a:prstGeom prst="rect">
                      <a:avLst/>
                    </a:prstGeom>
                  </pic:spPr>
                </pic:pic>
              </a:graphicData>
            </a:graphic>
            <wp14:sizeRelH relativeFrom="margin">
              <wp14:pctWidth>0</wp14:pctWidth>
            </wp14:sizeRelH>
            <wp14:sizeRelV relativeFrom="margin">
              <wp14:pctHeight>0</wp14:pctHeight>
            </wp14:sizeRelV>
          </wp:anchor>
        </w:drawing>
      </w:r>
    </w:p>
    <w:p w14:paraId="26B16DBF" w14:textId="77777777" w:rsidR="00F61671" w:rsidRDefault="00F61671">
      <w:pPr>
        <w:spacing w:after="160"/>
        <w:rPr>
          <w:lang w:eastAsia="en-AU"/>
        </w:rPr>
      </w:pPr>
    </w:p>
    <w:sectPr w:rsidR="00F61671" w:rsidSect="00000447">
      <w:footerReference w:type="default" r:id="rId49"/>
      <w:pgSz w:w="11907" w:h="16839" w:code="9"/>
      <w:pgMar w:top="1418" w:right="1361" w:bottom="1361" w:left="136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A84D7" w14:textId="77777777" w:rsidR="00471E92" w:rsidRDefault="00471E92" w:rsidP="00302076">
      <w:pPr>
        <w:spacing w:after="0"/>
      </w:pPr>
      <w:r>
        <w:separator/>
      </w:r>
    </w:p>
  </w:endnote>
  <w:endnote w:type="continuationSeparator" w:id="0">
    <w:p w14:paraId="188A801B" w14:textId="77777777" w:rsidR="00471E92" w:rsidRDefault="00471E92" w:rsidP="00302076">
      <w:pPr>
        <w:spacing w:after="0"/>
      </w:pPr>
      <w:r>
        <w:continuationSeparator/>
      </w:r>
    </w:p>
  </w:endnote>
  <w:endnote w:type="continuationNotice" w:id="1">
    <w:p w14:paraId="745227D5" w14:textId="77777777" w:rsidR="00471E92" w:rsidRDefault="00471E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0F71" w14:textId="3377E4C7" w:rsidR="0004487F" w:rsidRPr="00FD4AB1" w:rsidRDefault="0004487F" w:rsidP="00FD4AB1">
    <w:pPr>
      <w:pStyle w:val="Footer"/>
      <w:rPr>
        <w:rFonts w:ascii="Segoe UI Semibold" w:hAnsi="Segoe UI Semibold" w:cs="Segoe UI"/>
        <w:b/>
      </w:rPr>
    </w:pPr>
    <w:r>
      <w:rPr>
        <w:color w:val="808080" w:themeColor="background1" w:themeShade="80"/>
        <w:szCs w:val="15"/>
        <w:lang w:eastAsia="en-AU"/>
      </w:rPr>
      <w:t xml:space="preserve">Nous Group | </w:t>
    </w:r>
    <w:r w:rsidR="0031184F">
      <w:rPr>
        <w:color w:val="808080" w:themeColor="background1" w:themeShade="80"/>
        <w:szCs w:val="15"/>
        <w:lang w:eastAsia="en-AU"/>
      </w:rPr>
      <w:t>Review of policy interventions to increase socio-economic diversity and improve learning outcomes</w:t>
    </w:r>
    <w:r>
      <w:rPr>
        <w:color w:val="808080" w:themeColor="background1" w:themeShade="80"/>
        <w:szCs w:val="15"/>
        <w:lang w:eastAsia="en-AU"/>
      </w:rPr>
      <w:t xml:space="preserve"> | </w:t>
    </w:r>
    <w:r w:rsidR="00772EDC">
      <w:rPr>
        <w:color w:val="808080" w:themeColor="background1" w:themeShade="80"/>
        <w:szCs w:val="15"/>
        <w:lang w:eastAsia="en-AU"/>
      </w:rPr>
      <w:t>24 October 2023</w:t>
    </w:r>
    <w:r w:rsidRPr="00FD4AB1">
      <w:rPr>
        <w:rFonts w:ascii="Segoe UI Semibold" w:hAnsi="Segoe UI Semibold" w:cs="Segoe UI"/>
        <w:color w:val="A5A5A5"/>
      </w:rPr>
      <w:ptab w:relativeTo="margin" w:alignment="right" w:leader="none"/>
    </w:r>
    <w:r w:rsidRPr="00FD4AB1">
      <w:rPr>
        <w:rFonts w:cs="Segoe UI"/>
        <w:color w:val="A5A5A5"/>
      </w:rPr>
      <w:t xml:space="preserve">| </w:t>
    </w:r>
    <w:r w:rsidRPr="003B464C">
      <w:rPr>
        <w:rFonts w:cs="Segoe UI"/>
        <w:b/>
        <w:color w:val="A5A5A5"/>
        <w:sz w:val="16"/>
        <w:szCs w:val="16"/>
      </w:rPr>
      <w:fldChar w:fldCharType="begin"/>
    </w:r>
    <w:r w:rsidRPr="003B464C">
      <w:rPr>
        <w:rFonts w:cs="Segoe UI"/>
        <w:color w:val="A5A5A5"/>
        <w:sz w:val="16"/>
        <w:szCs w:val="16"/>
      </w:rPr>
      <w:instrText xml:space="preserve"> PAGE  \* roman  \* MERGEFORMAT </w:instrText>
    </w:r>
    <w:r w:rsidRPr="003B464C">
      <w:rPr>
        <w:rFonts w:cs="Segoe UI"/>
        <w:b/>
        <w:color w:val="A5A5A5"/>
        <w:sz w:val="16"/>
        <w:szCs w:val="16"/>
      </w:rPr>
      <w:fldChar w:fldCharType="separate"/>
    </w:r>
    <w:r w:rsidRPr="00F75386">
      <w:rPr>
        <w:rFonts w:cs="Segoe UI"/>
        <w:b/>
        <w:noProof/>
        <w:color w:val="A5A5A5"/>
        <w:sz w:val="16"/>
        <w:szCs w:val="16"/>
      </w:rPr>
      <w:t>i</w:t>
    </w:r>
    <w:r w:rsidRPr="003B464C">
      <w:rPr>
        <w:rFonts w:cs="Segoe UI"/>
        <w:b/>
        <w:color w:val="A5A5A5"/>
        <w:sz w:val="16"/>
        <w:szCs w:val="16"/>
      </w:rPr>
      <w:fldChar w:fldCharType="end"/>
    </w:r>
    <w:r w:rsidRPr="003B464C">
      <w:rPr>
        <w:rFonts w:cs="Segoe UI"/>
        <w:color w:val="A5A5A5"/>
        <w:sz w:val="16"/>
        <w:szCs w:val="16"/>
      </w:rPr>
      <w:t xml:space="preserve"> </w:t>
    </w:r>
    <w:r w:rsidRPr="00FD4AB1">
      <w:rPr>
        <w:rFonts w:cs="Segoe UI"/>
        <w:color w:val="A5A5A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619EB" w14:textId="551DC637" w:rsidR="00FD4AB1" w:rsidRPr="00FD4AB1" w:rsidRDefault="00294C7F" w:rsidP="00FD4AB1">
    <w:pPr>
      <w:pStyle w:val="Footer"/>
      <w:rPr>
        <w:rFonts w:ascii="Segoe UI Semibold" w:hAnsi="Segoe UI Semibold" w:cs="Segoe UI"/>
        <w:b/>
      </w:rPr>
    </w:pPr>
    <w:r w:rsidRPr="0086054F">
      <w:rPr>
        <w:color w:val="808080" w:themeColor="background1" w:themeShade="80"/>
        <w:szCs w:val="15"/>
        <w:lang w:eastAsia="en-AU"/>
      </w:rPr>
      <w:t xml:space="preserve">Nous Group | </w:t>
    </w:r>
    <w:r w:rsidR="0031184F">
      <w:rPr>
        <w:color w:val="808080" w:themeColor="background1" w:themeShade="80"/>
        <w:szCs w:val="15"/>
        <w:lang w:eastAsia="en-AU"/>
      </w:rPr>
      <w:t>Review of policy interventions to increase socio-economic diversity and improve learning outcomes</w:t>
    </w:r>
    <w:r w:rsidRPr="0086054F">
      <w:rPr>
        <w:color w:val="808080" w:themeColor="background1" w:themeShade="80"/>
        <w:szCs w:val="15"/>
        <w:lang w:eastAsia="en-AU"/>
      </w:rPr>
      <w:t xml:space="preserve"> | </w:t>
    </w:r>
    <w:r w:rsidR="00772EDC">
      <w:rPr>
        <w:color w:val="808080" w:themeColor="background1" w:themeShade="80"/>
        <w:szCs w:val="15"/>
        <w:lang w:eastAsia="en-AU"/>
      </w:rPr>
      <w:t>24 October 2023</w:t>
    </w:r>
    <w:r w:rsidR="00FD4AB1" w:rsidRPr="00FD4AB1">
      <w:rPr>
        <w:rFonts w:ascii="Segoe UI Semibold" w:hAnsi="Segoe UI Semibold" w:cs="Segoe UI"/>
        <w:color w:val="A5A5A5"/>
      </w:rPr>
      <w:ptab w:relativeTo="margin" w:alignment="right" w:leader="none"/>
    </w:r>
    <w:r w:rsidR="00FD4AB1" w:rsidRPr="00FD4AB1">
      <w:rPr>
        <w:rFonts w:cs="Segoe UI"/>
        <w:color w:val="A5A5A5"/>
      </w:rPr>
      <w:t xml:space="preserve">| </w:t>
    </w:r>
    <w:r w:rsidR="00FD4AB1" w:rsidRPr="007401D3">
      <w:rPr>
        <w:rFonts w:cs="Segoe UI"/>
        <w:color w:val="A5A5A5"/>
        <w:sz w:val="16"/>
        <w:szCs w:val="16"/>
      </w:rPr>
      <w:fldChar w:fldCharType="begin"/>
    </w:r>
    <w:r w:rsidR="00FD4AB1" w:rsidRPr="007401D3">
      <w:rPr>
        <w:rFonts w:cs="Segoe UI"/>
        <w:color w:val="A5A5A5"/>
        <w:sz w:val="16"/>
        <w:szCs w:val="16"/>
      </w:rPr>
      <w:instrText xml:space="preserve"> PAGE  \* roman  \* MERGEFORMAT </w:instrText>
    </w:r>
    <w:r w:rsidR="00FD4AB1" w:rsidRPr="007401D3">
      <w:rPr>
        <w:rFonts w:cs="Segoe UI"/>
        <w:color w:val="A5A5A5"/>
        <w:sz w:val="16"/>
        <w:szCs w:val="16"/>
      </w:rPr>
      <w:fldChar w:fldCharType="separate"/>
    </w:r>
    <w:r w:rsidR="00836AA0" w:rsidRPr="007401D3">
      <w:rPr>
        <w:rFonts w:cs="Segoe UI"/>
        <w:noProof/>
        <w:color w:val="A5A5A5"/>
        <w:sz w:val="16"/>
        <w:szCs w:val="16"/>
      </w:rPr>
      <w:t>ii</w:t>
    </w:r>
    <w:r w:rsidR="00FD4AB1" w:rsidRPr="007401D3">
      <w:rPr>
        <w:rFonts w:cs="Segoe UI"/>
        <w:color w:val="A5A5A5"/>
        <w:sz w:val="16"/>
        <w:szCs w:val="16"/>
      </w:rPr>
      <w:fldChar w:fldCharType="end"/>
    </w:r>
    <w:r w:rsidR="00FD4AB1" w:rsidRPr="003B464C">
      <w:rPr>
        <w:rFonts w:cs="Segoe UI"/>
        <w:color w:val="A5A5A5"/>
        <w:sz w:val="16"/>
        <w:szCs w:val="16"/>
      </w:rPr>
      <w:t xml:space="preserve"> </w:t>
    </w:r>
    <w:r w:rsidR="00FD4AB1" w:rsidRPr="00FD4AB1">
      <w:rPr>
        <w:rFonts w:cs="Segoe UI"/>
        <w:color w:val="A5A5A5"/>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4110" w14:textId="1F240010" w:rsidR="003B464C" w:rsidRPr="007401D3" w:rsidRDefault="00294C7F" w:rsidP="00FD4AB1">
    <w:pPr>
      <w:pStyle w:val="Footer"/>
      <w:rPr>
        <w:rFonts w:cs="Segoe UI"/>
        <w:b/>
      </w:rPr>
    </w:pPr>
    <w:r w:rsidRPr="0086054F">
      <w:rPr>
        <w:rFonts w:cs="Segoe UI"/>
        <w:color w:val="808080" w:themeColor="background1" w:themeShade="80"/>
        <w:szCs w:val="15"/>
        <w:lang w:eastAsia="en-AU"/>
      </w:rPr>
      <w:t xml:space="preserve">Nous Group | </w:t>
    </w:r>
    <w:r w:rsidR="0031184F">
      <w:rPr>
        <w:rFonts w:cs="Segoe UI"/>
        <w:color w:val="808080" w:themeColor="background1" w:themeShade="80"/>
        <w:szCs w:val="15"/>
        <w:lang w:eastAsia="en-AU"/>
      </w:rPr>
      <w:t>Review of policy interventions to increase socio-economic diversity and improve learning outcomes</w:t>
    </w:r>
    <w:r w:rsidRPr="0086054F">
      <w:rPr>
        <w:rFonts w:cs="Segoe UI"/>
        <w:color w:val="808080" w:themeColor="background1" w:themeShade="80"/>
        <w:szCs w:val="15"/>
        <w:lang w:eastAsia="en-AU"/>
      </w:rPr>
      <w:t xml:space="preserve"> | </w:t>
    </w:r>
    <w:r w:rsidR="00772EDC">
      <w:rPr>
        <w:rFonts w:cs="Segoe UI"/>
        <w:color w:val="808080" w:themeColor="background1" w:themeShade="80"/>
        <w:szCs w:val="15"/>
        <w:lang w:eastAsia="en-AU"/>
      </w:rPr>
      <w:t>24 October 2023</w:t>
    </w:r>
    <w:r w:rsidR="003B464C" w:rsidRPr="007401D3">
      <w:rPr>
        <w:rFonts w:cs="Segoe UI"/>
        <w:color w:val="A5A5A5"/>
      </w:rPr>
      <w:ptab w:relativeTo="margin" w:alignment="right" w:leader="none"/>
    </w:r>
    <w:r w:rsidR="003B464C" w:rsidRPr="007401D3">
      <w:rPr>
        <w:rFonts w:cs="Segoe UI"/>
        <w:color w:val="A5A5A5"/>
      </w:rPr>
      <w:t>|</w:t>
    </w:r>
    <w:r w:rsidR="003B464C" w:rsidRPr="007401D3">
      <w:rPr>
        <w:rFonts w:cs="Segoe UI"/>
        <w:color w:val="808080" w:themeColor="background1" w:themeShade="80"/>
      </w:rPr>
      <w:t xml:space="preserve"> </w:t>
    </w:r>
    <w:r w:rsidR="003B464C" w:rsidRPr="007401D3">
      <w:rPr>
        <w:rFonts w:cs="Segoe UI"/>
        <w:color w:val="808080" w:themeColor="background1" w:themeShade="80"/>
        <w:sz w:val="16"/>
        <w:szCs w:val="16"/>
      </w:rPr>
      <w:fldChar w:fldCharType="begin"/>
    </w:r>
    <w:r w:rsidR="003B464C" w:rsidRPr="007401D3">
      <w:rPr>
        <w:rFonts w:cs="Segoe UI"/>
        <w:color w:val="808080" w:themeColor="background1" w:themeShade="80"/>
        <w:sz w:val="16"/>
        <w:szCs w:val="16"/>
      </w:rPr>
      <w:instrText xml:space="preserve"> PAGE  \* Arabic  \* MERGEFORMAT </w:instrText>
    </w:r>
    <w:r w:rsidR="003B464C" w:rsidRPr="007401D3">
      <w:rPr>
        <w:rFonts w:cs="Segoe UI"/>
        <w:color w:val="808080" w:themeColor="background1" w:themeShade="80"/>
        <w:sz w:val="16"/>
        <w:szCs w:val="16"/>
      </w:rPr>
      <w:fldChar w:fldCharType="separate"/>
    </w:r>
    <w:r w:rsidR="00836AA0" w:rsidRPr="007401D3">
      <w:rPr>
        <w:rFonts w:cs="Segoe UI"/>
        <w:noProof/>
        <w:color w:val="808080" w:themeColor="background1" w:themeShade="80"/>
        <w:sz w:val="16"/>
        <w:szCs w:val="16"/>
      </w:rPr>
      <w:t>1</w:t>
    </w:r>
    <w:r w:rsidR="003B464C" w:rsidRPr="007401D3">
      <w:rPr>
        <w:rFonts w:cs="Segoe UI"/>
        <w:color w:val="808080" w:themeColor="background1" w:themeShade="80"/>
        <w:sz w:val="16"/>
        <w:szCs w:val="16"/>
      </w:rPr>
      <w:fldChar w:fldCharType="end"/>
    </w:r>
    <w:r w:rsidR="003B464C" w:rsidRPr="007401D3">
      <w:rPr>
        <w:rFonts w:cs="Segoe UI"/>
        <w:b/>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ECB34" w14:textId="77777777" w:rsidR="00471E92" w:rsidRDefault="00471E92" w:rsidP="00302076">
      <w:pPr>
        <w:spacing w:after="0"/>
      </w:pPr>
      <w:r>
        <w:separator/>
      </w:r>
    </w:p>
  </w:footnote>
  <w:footnote w:type="continuationSeparator" w:id="0">
    <w:p w14:paraId="702B99C8" w14:textId="77777777" w:rsidR="00471E92" w:rsidRDefault="00471E92" w:rsidP="00302076">
      <w:pPr>
        <w:spacing w:after="0"/>
      </w:pPr>
      <w:r>
        <w:continuationSeparator/>
      </w:r>
    </w:p>
  </w:footnote>
  <w:footnote w:type="continuationNotice" w:id="1">
    <w:p w14:paraId="4206B70C" w14:textId="77777777" w:rsidR="00471E92" w:rsidRDefault="00471E92">
      <w:pPr>
        <w:spacing w:after="0"/>
      </w:pPr>
    </w:p>
  </w:footnote>
  <w:footnote w:id="2">
    <w:p w14:paraId="154CFCD4" w14:textId="1BB9A8FD" w:rsidR="00021B4E" w:rsidRPr="00BF4596" w:rsidRDefault="00021B4E" w:rsidP="008073F7">
      <w:pPr>
        <w:pStyle w:val="Footer"/>
      </w:pPr>
      <w:r w:rsidRPr="005C127E">
        <w:rPr>
          <w:rStyle w:val="FootnoteReference"/>
          <w:rFonts w:asciiTheme="minorHAnsi" w:hAnsiTheme="minorHAnsi" w:cstheme="minorHAnsi"/>
          <w:szCs w:val="15"/>
        </w:rPr>
        <w:footnoteRef/>
      </w:r>
      <w:r w:rsidRPr="005C127E">
        <w:t xml:space="preserve"> </w:t>
      </w:r>
      <w:r w:rsidR="00993398" w:rsidRPr="005C127E">
        <w:t>S. Lamb (2007) ‘</w:t>
      </w:r>
      <w:hyperlink r:id="rId1" w:history="1">
        <w:r w:rsidR="00993398" w:rsidRPr="00C5075B">
          <w:rPr>
            <w:rStyle w:val="Hyperlink"/>
          </w:rPr>
          <w:t>School Reform and Inequality in Urban Australia: A case of residualising the poor</w:t>
        </w:r>
      </w:hyperlink>
      <w:r w:rsidR="00993398" w:rsidRPr="005C127E">
        <w:t xml:space="preserve">’, in </w:t>
      </w:r>
      <w:r w:rsidR="00701E7B">
        <w:t xml:space="preserve">R. </w:t>
      </w:r>
      <w:r w:rsidR="00993398" w:rsidRPr="005C127E">
        <w:t xml:space="preserve">Teese &amp; </w:t>
      </w:r>
      <w:r w:rsidR="00701E7B">
        <w:t xml:space="preserve">S. </w:t>
      </w:r>
      <w:r w:rsidR="00993398" w:rsidRPr="005C127E">
        <w:t xml:space="preserve">Lamb </w:t>
      </w:r>
      <w:r w:rsidR="00993398" w:rsidRPr="00BF4596">
        <w:t xml:space="preserve">(eds.) </w:t>
      </w:r>
      <w:r w:rsidR="00993398" w:rsidRPr="00332B64">
        <w:rPr>
          <w:i/>
          <w:iCs/>
        </w:rPr>
        <w:t>Education and Equity: International Perspectives on Theory and Policy</w:t>
      </w:r>
      <w:r w:rsidR="00993398" w:rsidRPr="00BF4596">
        <w:t xml:space="preserve">, </w:t>
      </w:r>
      <w:r w:rsidR="00C5075B">
        <w:t>V</w:t>
      </w:r>
      <w:r w:rsidR="00993398" w:rsidRPr="00BF4596">
        <w:t xml:space="preserve">ol 3. </w:t>
      </w:r>
      <w:r w:rsidR="000D5667">
        <w:t xml:space="preserve">Melbourne, </w:t>
      </w:r>
      <w:r w:rsidR="00993398" w:rsidRPr="00BF4596">
        <w:t xml:space="preserve">Springer; </w:t>
      </w:r>
      <w:r w:rsidR="00FE1DF2" w:rsidRPr="00BF4596">
        <w:t>Nous Group</w:t>
      </w:r>
      <w:r w:rsidR="00EC4BFE" w:rsidRPr="00BF4596">
        <w:t xml:space="preserve"> (2011)</w:t>
      </w:r>
      <w:r w:rsidR="00FE1DF2" w:rsidRPr="00BF4596">
        <w:t xml:space="preserve"> </w:t>
      </w:r>
      <w:hyperlink r:id="rId2" w:history="1">
        <w:r w:rsidR="009C5784" w:rsidRPr="00332B64">
          <w:rPr>
            <w:rStyle w:val="Hyperlink"/>
            <w:i/>
            <w:iCs/>
          </w:rPr>
          <w:t>Schooling Challenges and Opportunities: a report for the Gonski Review of School funding</w:t>
        </w:r>
      </w:hyperlink>
      <w:r w:rsidR="009C5784" w:rsidRPr="00332B64">
        <w:rPr>
          <w:i/>
          <w:iCs/>
        </w:rPr>
        <w:t>,</w:t>
      </w:r>
      <w:r w:rsidR="009C5784">
        <w:t xml:space="preserve"> </w:t>
      </w:r>
      <w:r w:rsidR="00EC4BFE" w:rsidRPr="00BF4596">
        <w:t xml:space="preserve">Prepared </w:t>
      </w:r>
      <w:r w:rsidR="00FE1DF2" w:rsidRPr="00BF4596">
        <w:t xml:space="preserve">for the </w:t>
      </w:r>
      <w:r w:rsidR="00EC4BFE" w:rsidRPr="00BF4596">
        <w:t>Australian Government</w:t>
      </w:r>
      <w:r w:rsidR="00FE1DF2" w:rsidRPr="00BF4596">
        <w:t xml:space="preserve"> Review of Funding</w:t>
      </w:r>
      <w:r w:rsidR="00EC4BFE" w:rsidRPr="00BF4596">
        <w:t xml:space="preserve"> for Schools</w:t>
      </w:r>
      <w:r w:rsidR="00701E7B">
        <w:t>, Melbourne, Nous Group</w:t>
      </w:r>
      <w:r w:rsidR="00EC4BFE" w:rsidRPr="00BF4596">
        <w:t>.</w:t>
      </w:r>
    </w:p>
  </w:footnote>
  <w:footnote w:id="3">
    <w:p w14:paraId="1FDC97EB" w14:textId="4527E35B" w:rsidR="00CD21E8" w:rsidRPr="005C127E" w:rsidRDefault="00CD21E8" w:rsidP="008073F7">
      <w:pPr>
        <w:pStyle w:val="Footer"/>
      </w:pPr>
      <w:r w:rsidRPr="005C127E">
        <w:rPr>
          <w:rStyle w:val="FootnoteReference"/>
          <w:rFonts w:asciiTheme="minorHAnsi" w:hAnsiTheme="minorHAnsi" w:cstheme="minorHAnsi"/>
          <w:szCs w:val="15"/>
        </w:rPr>
        <w:footnoteRef/>
      </w:r>
      <w:r w:rsidRPr="005C127E">
        <w:t xml:space="preserve"> </w:t>
      </w:r>
      <w:r w:rsidR="00E94859" w:rsidRPr="005C127E">
        <w:t>S. Lamb et al (2020</w:t>
      </w:r>
      <w:r w:rsidR="00E94859" w:rsidRPr="00332B64">
        <w:rPr>
          <w:i/>
          <w:iCs/>
        </w:rPr>
        <w:t xml:space="preserve">) </w:t>
      </w:r>
      <w:r w:rsidR="00717208">
        <w:rPr>
          <w:i/>
          <w:iCs/>
        </w:rPr>
        <w:t>‘</w:t>
      </w:r>
      <w:hyperlink r:id="rId3" w:history="1">
        <w:r w:rsidR="00E94859" w:rsidRPr="00F81BDB">
          <w:rPr>
            <w:rStyle w:val="Hyperlink"/>
          </w:rPr>
          <w:t>Educational Opportunity in Australia: Who succeeds and who misses out</w:t>
        </w:r>
      </w:hyperlink>
      <w:r w:rsidR="00717208">
        <w:rPr>
          <w:rStyle w:val="Hyperlink"/>
        </w:rPr>
        <w:t>’</w:t>
      </w:r>
      <w:r w:rsidR="00E94859" w:rsidRPr="005C127E">
        <w:t xml:space="preserve">, Melbourne, Mitchell Institute; and OECD </w:t>
      </w:r>
      <w:r w:rsidR="00E94859" w:rsidRPr="00F24085">
        <w:t xml:space="preserve">(2019) </w:t>
      </w:r>
      <w:hyperlink r:id="rId4" w:history="1">
        <w:r w:rsidR="00E94859" w:rsidRPr="00986703">
          <w:rPr>
            <w:rStyle w:val="Hyperlink"/>
            <w:i/>
            <w:iCs/>
          </w:rPr>
          <w:t>PISA 2018 Results: Where all students can succeed, Volume 2</w:t>
        </w:r>
      </w:hyperlink>
      <w:r w:rsidR="00E94859" w:rsidRPr="005C127E">
        <w:t>, OECD Publishing, Paris</w:t>
      </w:r>
      <w:r w:rsidR="00BE7354">
        <w:t>.</w:t>
      </w:r>
      <w:r w:rsidR="00E94859" w:rsidRPr="005C127E">
        <w:t xml:space="preserve"> </w:t>
      </w:r>
    </w:p>
  </w:footnote>
  <w:footnote w:id="4">
    <w:p w14:paraId="0CEA0E80" w14:textId="36834C7E" w:rsidR="00F319E3" w:rsidRPr="005C127E" w:rsidRDefault="00F319E3" w:rsidP="008073F7">
      <w:pPr>
        <w:pStyle w:val="Footer"/>
      </w:pPr>
      <w:r w:rsidRPr="005C127E">
        <w:rPr>
          <w:rStyle w:val="FootnoteReference"/>
          <w:rFonts w:asciiTheme="minorHAnsi" w:hAnsiTheme="minorHAnsi" w:cstheme="minorHAnsi"/>
          <w:szCs w:val="15"/>
        </w:rPr>
        <w:footnoteRef/>
      </w:r>
      <w:r w:rsidRPr="005C127E">
        <w:t xml:space="preserve"> Nous Group (2011)</w:t>
      </w:r>
      <w:r w:rsidR="009C5784" w:rsidRPr="005A11C4">
        <w:rPr>
          <w:i/>
        </w:rPr>
        <w:t xml:space="preserve"> </w:t>
      </w:r>
      <w:r w:rsidR="00323664">
        <w:rPr>
          <w:i/>
          <w:iCs/>
        </w:rPr>
        <w:t>o</w:t>
      </w:r>
      <w:r w:rsidR="009C5784" w:rsidRPr="005A11C4">
        <w:rPr>
          <w:i/>
          <w:iCs/>
        </w:rPr>
        <w:t xml:space="preserve">p. </w:t>
      </w:r>
      <w:r w:rsidR="00323664">
        <w:rPr>
          <w:i/>
          <w:iCs/>
        </w:rPr>
        <w:t>c</w:t>
      </w:r>
      <w:r w:rsidR="009C5784" w:rsidRPr="005A11C4">
        <w:rPr>
          <w:i/>
          <w:iCs/>
        </w:rPr>
        <w:t>it</w:t>
      </w:r>
      <w:r w:rsidR="001807FD">
        <w:rPr>
          <w:i/>
          <w:iCs/>
        </w:rPr>
        <w:t xml:space="preserve">. </w:t>
      </w:r>
    </w:p>
  </w:footnote>
  <w:footnote w:id="5">
    <w:p w14:paraId="70CFCBCA" w14:textId="661A52D1" w:rsidR="00D37541" w:rsidRPr="005C127E" w:rsidRDefault="005017F2">
      <w:pPr>
        <w:pStyle w:val="FootnoteText"/>
      </w:pPr>
      <w:r>
        <w:rPr>
          <w:rStyle w:val="FootnoteReference"/>
        </w:rPr>
        <w:footnoteRef/>
      </w:r>
      <w:r>
        <w:t xml:space="preserve"> </w:t>
      </w:r>
      <w:r w:rsidRPr="005017F2">
        <w:rPr>
          <w:rFonts w:asciiTheme="minorHAnsi" w:hAnsiTheme="minorHAnsi" w:cstheme="minorHAnsi"/>
          <w:szCs w:val="15"/>
        </w:rPr>
        <w:t>G. Erreygers, P. Clarke and T. Van Ourti (2012), ‘“</w:t>
      </w:r>
      <w:r w:rsidRPr="005017F2">
        <w:rPr>
          <w:rFonts w:asciiTheme="minorHAnsi" w:hAnsiTheme="minorHAnsi" w:cstheme="minorHAnsi"/>
          <w:i/>
          <w:szCs w:val="15"/>
        </w:rPr>
        <w:t>Mirror, mirror, on the wall, who in this land is fairest of all</w:t>
      </w:r>
      <w:r w:rsidRPr="005017F2">
        <w:rPr>
          <w:rFonts w:asciiTheme="minorHAnsi" w:hAnsiTheme="minorHAnsi" w:cstheme="minorHAnsi"/>
          <w:szCs w:val="15"/>
        </w:rPr>
        <w:t>?”—Distributional sensitivity in the measurement of socio-economic inequality of health’, Journal of Health Economics, Vol. 31, Iss. 1, pp. 257-270</w:t>
      </w:r>
      <w:r w:rsidR="00BE7354">
        <w:rPr>
          <w:rFonts w:asciiTheme="minorHAnsi" w:hAnsiTheme="minorHAnsi" w:cstheme="minorHAnsi"/>
          <w:szCs w:val="15"/>
        </w:rPr>
        <w:t>.</w:t>
      </w:r>
    </w:p>
  </w:footnote>
  <w:footnote w:id="6">
    <w:p w14:paraId="5CAE7C5D" w14:textId="10B4072E" w:rsidR="00D72935" w:rsidRPr="005C127E" w:rsidRDefault="002362B1" w:rsidP="008073F7">
      <w:pPr>
        <w:pStyle w:val="Footer"/>
      </w:pPr>
      <w:r>
        <w:rPr>
          <w:rStyle w:val="FootnoteReference"/>
        </w:rPr>
        <w:footnoteRef/>
      </w:r>
      <w:r>
        <w:t xml:space="preserve"> </w:t>
      </w:r>
      <w:r w:rsidRPr="002362B1">
        <w:t xml:space="preserve">The seven countries that excel at minimising the impact of SES background on school education outcomes are Belarus, Denmark, Finland, Japan, the Russian Federation, Slovenia and Ukraine. OECD (2019) ‘Chapter 2. </w:t>
      </w:r>
      <w:r w:rsidRPr="002362B1">
        <w:rPr>
          <w:i/>
        </w:rPr>
        <w:t>Students socio-economic status and performance’</w:t>
      </w:r>
      <w:r w:rsidRPr="002362B1">
        <w:t xml:space="preserve"> in </w:t>
      </w:r>
      <w:r w:rsidRPr="002362B1">
        <w:rPr>
          <w:iCs/>
        </w:rPr>
        <w:t xml:space="preserve">PISA 2018 Results: </w:t>
      </w:r>
      <w:r w:rsidRPr="002362B1">
        <w:rPr>
          <w:i/>
        </w:rPr>
        <w:t>Where all students can succeed,</w:t>
      </w:r>
      <w:r w:rsidRPr="002362B1">
        <w:rPr>
          <w:iCs/>
        </w:rPr>
        <w:t xml:space="preserve"> Volume</w:t>
      </w:r>
      <w:r w:rsidRPr="002362B1">
        <w:t xml:space="preserve"> 2, Paris, OECD Publishing.</w:t>
      </w:r>
    </w:p>
  </w:footnote>
  <w:footnote w:id="7">
    <w:p w14:paraId="60D485B0" w14:textId="770AE09C" w:rsidR="00C114A2" w:rsidRDefault="00C114A2">
      <w:pPr>
        <w:pStyle w:val="FootnoteText"/>
      </w:pPr>
      <w:r w:rsidRPr="00BB4A09">
        <w:rPr>
          <w:rStyle w:val="FootnoteReference"/>
        </w:rPr>
        <w:footnoteRef/>
      </w:r>
      <w:r w:rsidRPr="00BB4A09">
        <w:t xml:space="preserve"> Monash University (2023). </w:t>
      </w:r>
      <w:r w:rsidR="00775DDD" w:rsidRPr="00BB4A09">
        <w:t>‘</w:t>
      </w:r>
      <w:r w:rsidRPr="00F81BDB">
        <w:t>What works to address concentrations of disadvantage in schools?</w:t>
      </w:r>
      <w:r w:rsidRPr="00BB4A09">
        <w:t xml:space="preserve"> A rapid scoping review.</w:t>
      </w:r>
      <w:r w:rsidR="00C76583" w:rsidRPr="00BB4A09">
        <w:t>’</w:t>
      </w:r>
      <w:r w:rsidRPr="00BB4A09">
        <w:t xml:space="preserve"> Behaviour Works Australia</w:t>
      </w:r>
      <w:r w:rsidR="001D27EA" w:rsidRPr="00BB4A09">
        <w:t xml:space="preserve">; </w:t>
      </w:r>
      <w:r w:rsidR="001D27EA" w:rsidRPr="00F81BDB">
        <w:rPr>
          <w:lang w:eastAsia="en-AU"/>
        </w:rPr>
        <w:t>UNESCO, 2020[83])</w:t>
      </w:r>
      <w:r w:rsidR="005A5FCF" w:rsidRPr="00F81BDB">
        <w:rPr>
          <w:lang w:eastAsia="en-AU"/>
        </w:rPr>
        <w:t xml:space="preserve"> </w:t>
      </w:r>
      <w:r w:rsidR="001D27EA" w:rsidRPr="00F81BDB">
        <w:rPr>
          <w:lang w:eastAsia="en-AU"/>
        </w:rPr>
        <w:t xml:space="preserve">cited in OECD </w:t>
      </w:r>
      <w:r w:rsidR="005A5FCF" w:rsidRPr="00F81BDB">
        <w:rPr>
          <w:lang w:eastAsia="en-AU"/>
        </w:rPr>
        <w:t>(</w:t>
      </w:r>
      <w:r w:rsidR="001D27EA" w:rsidRPr="00F81BDB">
        <w:rPr>
          <w:lang w:eastAsia="en-AU"/>
        </w:rPr>
        <w:t>2023</w:t>
      </w:r>
      <w:r w:rsidR="005A5FCF" w:rsidRPr="00F81BDB">
        <w:rPr>
          <w:lang w:eastAsia="en-AU"/>
        </w:rPr>
        <w:t>)</w:t>
      </w:r>
      <w:r w:rsidR="001D27EA" w:rsidRPr="00F81BDB">
        <w:rPr>
          <w:lang w:eastAsia="en-AU"/>
        </w:rPr>
        <w:t xml:space="preserve"> </w:t>
      </w:r>
      <w:r w:rsidR="006C7948" w:rsidRPr="00F81BDB">
        <w:rPr>
          <w:lang w:eastAsia="en-AU"/>
        </w:rPr>
        <w:t>Equity and Inclusion in Education: Finding strength through diversity</w:t>
      </w:r>
      <w:r w:rsidR="00CF3031" w:rsidRPr="00F81BDB">
        <w:rPr>
          <w:lang w:eastAsia="en-AU"/>
        </w:rPr>
        <w:t>, OECD Publishing, Paris.</w:t>
      </w:r>
    </w:p>
  </w:footnote>
  <w:footnote w:id="8">
    <w:p w14:paraId="7A8FA43A" w14:textId="7757B9AE" w:rsidR="00430548" w:rsidRDefault="00430548">
      <w:pPr>
        <w:pStyle w:val="FootnoteText"/>
      </w:pPr>
      <w:r>
        <w:rPr>
          <w:rStyle w:val="FootnoteReference"/>
        </w:rPr>
        <w:footnoteRef/>
      </w:r>
      <w:r>
        <w:t xml:space="preserve"> </w:t>
      </w:r>
      <w:r w:rsidRPr="00F81BDB">
        <w:rPr>
          <w:rFonts w:asciiTheme="minorHAnsi" w:hAnsiTheme="minorHAnsi" w:cstheme="minorHAnsi"/>
          <w:szCs w:val="15"/>
        </w:rPr>
        <w:t>R</w:t>
      </w:r>
      <w:r w:rsidRPr="00430548">
        <w:rPr>
          <w:rFonts w:asciiTheme="minorHAnsi" w:hAnsiTheme="minorHAnsi" w:cstheme="minorHAnsi"/>
          <w:szCs w:val="15"/>
        </w:rPr>
        <w:t xml:space="preserve">ui, N., (2009), </w:t>
      </w:r>
      <w:r w:rsidR="00D15D13" w:rsidRPr="00430548" w:rsidDel="00121916">
        <w:rPr>
          <w:rFonts w:asciiTheme="minorHAnsi" w:hAnsiTheme="minorHAnsi" w:cstheme="minorHAnsi"/>
          <w:szCs w:val="15"/>
        </w:rPr>
        <w:t>‘</w:t>
      </w:r>
      <w:hyperlink r:id="rId5" w:anchor=":~:text=The%20evidence%20with%20respect%20to,and%20high%2Dability%20student%20achievement." w:history="1">
        <w:r w:rsidR="00D15D13" w:rsidRPr="00F81BDB" w:rsidDel="00121916">
          <w:rPr>
            <w:rStyle w:val="Hyperlink"/>
            <w:iCs/>
          </w:rPr>
          <w:t>Four decades of research on the effects of detracking reform: Where do we stand</w:t>
        </w:r>
      </w:hyperlink>
      <w:r w:rsidR="00D15D13" w:rsidRPr="00430548" w:rsidDel="00121916">
        <w:rPr>
          <w:rFonts w:asciiTheme="minorHAnsi" w:hAnsiTheme="minorHAnsi" w:cstheme="minorHAnsi"/>
          <w:szCs w:val="15"/>
        </w:rPr>
        <w:t>?</w:t>
      </w:r>
      <w:r w:rsidR="005F3B9D">
        <w:rPr>
          <w:rFonts w:asciiTheme="minorHAnsi" w:hAnsiTheme="minorHAnsi" w:cstheme="minorHAnsi"/>
          <w:szCs w:val="15"/>
        </w:rPr>
        <w:t>’</w:t>
      </w:r>
      <w:r w:rsidR="00D15D13" w:rsidRPr="00430548" w:rsidDel="00121916">
        <w:rPr>
          <w:rFonts w:asciiTheme="minorHAnsi" w:hAnsiTheme="minorHAnsi" w:cstheme="minorHAnsi"/>
          <w:szCs w:val="15"/>
        </w:rPr>
        <w:t xml:space="preserve"> </w:t>
      </w:r>
      <w:r w:rsidR="00D15D13" w:rsidRPr="00F81BDB" w:rsidDel="00121916">
        <w:rPr>
          <w:rFonts w:asciiTheme="minorHAnsi" w:hAnsiTheme="minorHAnsi" w:cstheme="minorHAnsi"/>
          <w:i/>
          <w:iCs/>
          <w:szCs w:val="15"/>
        </w:rPr>
        <w:t>A systematic review of the evidence’ Journal of Evidence Based Medicine</w:t>
      </w:r>
      <w:r w:rsidR="00D15D13" w:rsidRPr="00430548" w:rsidDel="00121916">
        <w:rPr>
          <w:rFonts w:asciiTheme="minorHAnsi" w:hAnsiTheme="minorHAnsi" w:cstheme="minorHAnsi"/>
          <w:szCs w:val="15"/>
        </w:rPr>
        <w:t>, Vol</w:t>
      </w:r>
      <w:r w:rsidR="0048143E">
        <w:rPr>
          <w:rFonts w:asciiTheme="minorHAnsi" w:hAnsiTheme="minorHAnsi" w:cstheme="minorHAnsi"/>
          <w:szCs w:val="15"/>
        </w:rPr>
        <w:t>.</w:t>
      </w:r>
      <w:r w:rsidR="00D15D13" w:rsidRPr="00430548" w:rsidDel="00121916">
        <w:rPr>
          <w:rFonts w:asciiTheme="minorHAnsi" w:hAnsiTheme="minorHAnsi" w:cstheme="minorHAnsi"/>
          <w:szCs w:val="15"/>
        </w:rPr>
        <w:t xml:space="preserve"> </w:t>
      </w:r>
      <w:r w:rsidRPr="00430548">
        <w:rPr>
          <w:rFonts w:asciiTheme="minorHAnsi" w:hAnsiTheme="minorHAnsi" w:cstheme="minorHAnsi"/>
          <w:szCs w:val="15"/>
        </w:rPr>
        <w:t>2</w:t>
      </w:r>
      <w:r w:rsidR="0048143E">
        <w:rPr>
          <w:rFonts w:asciiTheme="minorHAnsi" w:hAnsiTheme="minorHAnsi" w:cstheme="minorHAnsi"/>
          <w:szCs w:val="15"/>
        </w:rPr>
        <w:t>,</w:t>
      </w:r>
      <w:r w:rsidRPr="00430548">
        <w:rPr>
          <w:rFonts w:asciiTheme="minorHAnsi" w:hAnsiTheme="minorHAnsi" w:cstheme="minorHAnsi"/>
          <w:szCs w:val="15"/>
        </w:rPr>
        <w:t xml:space="preserve"> Iss. 3</w:t>
      </w:r>
      <w:r w:rsidR="00A23CF7">
        <w:rPr>
          <w:rFonts w:asciiTheme="minorHAnsi" w:hAnsiTheme="minorHAnsi" w:cstheme="minorHAnsi"/>
          <w:szCs w:val="15"/>
        </w:rPr>
        <w:t xml:space="preserve">; </w:t>
      </w:r>
      <w:r w:rsidR="00A23CF7" w:rsidRPr="00A1437A">
        <w:t>B. McGaw (2006) ‘</w:t>
      </w:r>
      <w:hyperlink r:id="rId6" w:history="1">
        <w:r w:rsidR="00A23CF7" w:rsidRPr="00A1437A">
          <w:rPr>
            <w:rStyle w:val="Hyperlink"/>
          </w:rPr>
          <w:t>Achieving quality and equity education’</w:t>
        </w:r>
      </w:hyperlink>
      <w:r w:rsidR="00A23CF7">
        <w:t>. Melbourne Education Research Institute</w:t>
      </w:r>
      <w:r w:rsidR="005F3B9D">
        <w:t>.</w:t>
      </w:r>
    </w:p>
  </w:footnote>
  <w:footnote w:id="9">
    <w:p w14:paraId="7834F1FB" w14:textId="1F046B47" w:rsidR="000046F2" w:rsidRPr="005C127E" w:rsidRDefault="000046F2" w:rsidP="008073F7">
      <w:pPr>
        <w:pStyle w:val="Footer"/>
      </w:pPr>
      <w:r w:rsidRPr="005C127E">
        <w:rPr>
          <w:rStyle w:val="FootnoteReference"/>
          <w:rFonts w:asciiTheme="minorHAnsi" w:hAnsiTheme="minorHAnsi" w:cstheme="minorHAnsi"/>
          <w:szCs w:val="15"/>
        </w:rPr>
        <w:footnoteRef/>
      </w:r>
      <w:r w:rsidRPr="005C127E">
        <w:t xml:space="preserve"> Housing programs are predominantly used in the US and take the form of relocation vouchers or subsidised home ownership. Relocation vouchers (such as the Moving to Opportunity program) were found to have limited uptake and no observable impact on educational outcomes Vicki Ware (2010) </w:t>
      </w:r>
      <w:r w:rsidRPr="00391FB6">
        <w:t>Addressing locational disadvantage effectively (international evidence)</w:t>
      </w:r>
      <w:r w:rsidRPr="005C127E">
        <w:rPr>
          <w:i/>
        </w:rPr>
        <w:t xml:space="preserve"> </w:t>
      </w:r>
      <w:r w:rsidRPr="005C127E">
        <w:t>Australian Housing and Urban Research Institute,</w:t>
      </w:r>
      <w:r w:rsidRPr="005C127E">
        <w:rPr>
          <w:i/>
        </w:rPr>
        <w:t xml:space="preserve"> </w:t>
      </w:r>
      <w:r w:rsidRPr="005C127E">
        <w:t>Melbourne. Investments in rental housing have little to no effect. Conversely, subsidising home ownership was associated with decrease in the percentage of socio-economically disadvantaged students in some local schools and increases in standardised maths and reading tests scores. CC. Chelman, IG Ellen, BJ McCabe, AE Schwarz &amp; L Stiefl (2011) ‘</w:t>
      </w:r>
      <w:r w:rsidRPr="00F81BDB">
        <w:t>Does city-subsidised owner-occupier housing improve school quality?’</w:t>
      </w:r>
      <w:r w:rsidRPr="002C41AD">
        <w:rPr>
          <w:i/>
        </w:rPr>
        <w:t xml:space="preserve"> </w:t>
      </w:r>
      <w:r w:rsidRPr="00F81BDB">
        <w:rPr>
          <w:i/>
        </w:rPr>
        <w:t>Journal of American Planning</w:t>
      </w:r>
      <w:r w:rsidRPr="00C9787E">
        <w:t>,</w:t>
      </w:r>
      <w:r w:rsidRPr="005C127E">
        <w:rPr>
          <w:i/>
        </w:rPr>
        <w:t xml:space="preserve"> </w:t>
      </w:r>
      <w:r w:rsidRPr="005C127E">
        <w:t>Vol 77, Is 2, pp.127-141</w:t>
      </w:r>
      <w:r w:rsidR="00CD3B4C">
        <w:t>.</w:t>
      </w:r>
      <w:r w:rsidRPr="005C127E">
        <w:t xml:space="preserve"> Given the very high cost and limited supply of homes to buy and rent in Australia, this </w:t>
      </w:r>
      <w:r w:rsidR="00611225">
        <w:t>intervention</w:t>
      </w:r>
      <w:r w:rsidR="00CD3B4C">
        <w:t xml:space="preserve"> </w:t>
      </w:r>
      <w:r w:rsidRPr="005C127E">
        <w:t>was ruled out</w:t>
      </w:r>
      <w:r w:rsidR="00611225">
        <w:t xml:space="preserve"> of consideration for Australia</w:t>
      </w:r>
      <w:r w:rsidRPr="005C127E">
        <w:t>.</w:t>
      </w:r>
    </w:p>
  </w:footnote>
  <w:footnote w:id="10">
    <w:p w14:paraId="22343002" w14:textId="10AC8CCC" w:rsidR="000046F2" w:rsidRPr="005C127E" w:rsidRDefault="000046F2" w:rsidP="008073F7">
      <w:pPr>
        <w:pStyle w:val="Footer"/>
      </w:pPr>
      <w:r w:rsidRPr="005C127E">
        <w:rPr>
          <w:rStyle w:val="FootnoteReference"/>
          <w:rFonts w:asciiTheme="minorHAnsi" w:hAnsiTheme="minorHAnsi" w:cstheme="minorHAnsi"/>
          <w:szCs w:val="15"/>
        </w:rPr>
        <w:footnoteRef/>
      </w:r>
      <w:r w:rsidRPr="005C127E">
        <w:t xml:space="preserve"> A. Schleicher (2023) Interview with project team, 27 September</w:t>
      </w:r>
      <w:r w:rsidR="004509D5">
        <w:t>.</w:t>
      </w:r>
    </w:p>
  </w:footnote>
  <w:footnote w:id="11">
    <w:p w14:paraId="29F2E0BF" w14:textId="002EC125" w:rsidR="003476E6" w:rsidRPr="005C127E" w:rsidRDefault="003476E6" w:rsidP="008073F7">
      <w:pPr>
        <w:pStyle w:val="Footer"/>
        <w:rPr>
          <w:i/>
        </w:rPr>
      </w:pPr>
      <w:r w:rsidRPr="005C127E">
        <w:rPr>
          <w:rStyle w:val="FootnoteReference"/>
          <w:rFonts w:asciiTheme="minorHAnsi" w:hAnsiTheme="minorHAnsi" w:cstheme="minorHAnsi"/>
          <w:szCs w:val="15"/>
        </w:rPr>
        <w:footnoteRef/>
      </w:r>
      <w:r w:rsidRPr="005C127E">
        <w:t xml:space="preserve"> OECD (2019) ‘Chapter 2. </w:t>
      </w:r>
      <w:r w:rsidR="00B34A69" w:rsidRPr="0086054F">
        <w:t>Students’</w:t>
      </w:r>
      <w:r w:rsidRPr="005C127E">
        <w:t xml:space="preserve"> socio-economic status and performance’ in </w:t>
      </w:r>
      <w:hyperlink r:id="rId7" w:history="1">
        <w:r w:rsidRPr="007165A7">
          <w:rPr>
            <w:rStyle w:val="Hyperlink"/>
            <w:i/>
          </w:rPr>
          <w:t xml:space="preserve">PISA 2018 Results: </w:t>
        </w:r>
        <w:r w:rsidRPr="00F81BDB">
          <w:rPr>
            <w:rStyle w:val="Hyperlink"/>
            <w:i/>
          </w:rPr>
          <w:t>Where all students can succeed</w:t>
        </w:r>
      </w:hyperlink>
      <w:r w:rsidRPr="00DC52F8">
        <w:t>,</w:t>
      </w:r>
      <w:r w:rsidRPr="005C127E">
        <w:rPr>
          <w:i/>
        </w:rPr>
        <w:t xml:space="preserve"> </w:t>
      </w:r>
      <w:r w:rsidRPr="005C127E">
        <w:t xml:space="preserve">Volume 2, </w:t>
      </w:r>
      <w:r w:rsidR="00A70B92">
        <w:t xml:space="preserve">Paris, </w:t>
      </w:r>
      <w:r w:rsidRPr="005C127E">
        <w:t>OECD Publishing</w:t>
      </w:r>
      <w:r w:rsidR="00A70B92">
        <w:t>.</w:t>
      </w:r>
      <w:r w:rsidRPr="005C127E">
        <w:t xml:space="preserve"> Further detail is available in the OECD’s PISA technical reports.</w:t>
      </w:r>
      <w:r w:rsidRPr="005C127E">
        <w:rPr>
          <w:i/>
        </w:rPr>
        <w:t xml:space="preserve"> </w:t>
      </w:r>
    </w:p>
  </w:footnote>
  <w:footnote w:id="12">
    <w:p w14:paraId="737B3E28" w14:textId="3FDB8731" w:rsidR="00DE3CE4" w:rsidRPr="005C127E" w:rsidRDefault="00DE3CE4" w:rsidP="008073F7">
      <w:pPr>
        <w:pStyle w:val="Footer"/>
      </w:pPr>
      <w:r w:rsidRPr="005C127E">
        <w:rPr>
          <w:rStyle w:val="FootnoteReference"/>
          <w:rFonts w:asciiTheme="minorHAnsi" w:hAnsiTheme="minorHAnsi" w:cstheme="minorHAnsi"/>
          <w:szCs w:val="15"/>
        </w:rPr>
        <w:footnoteRef/>
      </w:r>
      <w:r w:rsidRPr="005C127E">
        <w:t xml:space="preserve"> D. Nusche, et al. (2015). </w:t>
      </w:r>
      <w:r w:rsidR="00A70B92" w:rsidRPr="00F81BDB">
        <w:rPr>
          <w:u w:val="single"/>
        </w:rPr>
        <w:t>‘</w:t>
      </w:r>
      <w:hyperlink r:id="rId8" w:history="1">
        <w:r w:rsidRPr="00F81BDB">
          <w:rPr>
            <w:rStyle w:val="Hyperlink"/>
          </w:rPr>
          <w:t>Provision of school places in the Flemish Community of Belgium</w:t>
        </w:r>
      </w:hyperlink>
      <w:r w:rsidR="00A70B92">
        <w:rPr>
          <w:i/>
        </w:rPr>
        <w:t>,’</w:t>
      </w:r>
      <w:r w:rsidRPr="005C127E">
        <w:t xml:space="preserve"> </w:t>
      </w:r>
      <w:r w:rsidRPr="00F81BDB">
        <w:rPr>
          <w:i/>
        </w:rPr>
        <w:t>OECD Review of Schools Resources: Flemish Community of Belgium</w:t>
      </w:r>
      <w:r w:rsidRPr="005C127E">
        <w:t xml:space="preserve">, </w:t>
      </w:r>
      <w:r w:rsidR="00A70B92">
        <w:t xml:space="preserve">Paris, </w:t>
      </w:r>
      <w:r w:rsidRPr="005C127E">
        <w:t>OECD Publishing</w:t>
      </w:r>
      <w:r w:rsidR="000A50CC">
        <w:t>.</w:t>
      </w:r>
    </w:p>
  </w:footnote>
  <w:footnote w:id="13">
    <w:p w14:paraId="239A9091" w14:textId="63DE3658" w:rsidR="00883D7B" w:rsidRPr="005C127E" w:rsidRDefault="00883D7B" w:rsidP="008073F7">
      <w:pPr>
        <w:pStyle w:val="Footer"/>
      </w:pPr>
      <w:r w:rsidRPr="005C127E">
        <w:rPr>
          <w:rStyle w:val="FootnoteReference"/>
          <w:rFonts w:asciiTheme="minorHAnsi" w:hAnsiTheme="minorHAnsi" w:cstheme="minorHAnsi"/>
          <w:szCs w:val="15"/>
        </w:rPr>
        <w:footnoteRef/>
      </w:r>
      <w:r w:rsidRPr="005C127E">
        <w:t xml:space="preserve"> </w:t>
      </w:r>
      <w:r w:rsidR="00EE32AF" w:rsidRPr="005C127E">
        <w:t>J. Danhier &amp; N. Friant (2018) ‘</w:t>
      </w:r>
      <w:hyperlink r:id="rId9" w:history="1">
        <w:r w:rsidR="00EE32AF" w:rsidRPr="00F81BDB">
          <w:rPr>
            <w:rStyle w:val="Hyperlink"/>
          </w:rPr>
          <w:t>Assessing local socio</w:t>
        </w:r>
        <w:r w:rsidR="00EC5BA3" w:rsidRPr="00F81BDB">
          <w:rPr>
            <w:rStyle w:val="Hyperlink"/>
          </w:rPr>
          <w:t>-</w:t>
        </w:r>
        <w:r w:rsidR="00EE32AF" w:rsidRPr="00F81BDB">
          <w:rPr>
            <w:rStyle w:val="Hyperlink"/>
          </w:rPr>
          <w:t>economic desegregation</w:t>
        </w:r>
        <w:r w:rsidR="00EE32AF" w:rsidRPr="007F2CAF">
          <w:rPr>
            <w:rStyle w:val="Hyperlink"/>
          </w:rPr>
          <w:t xml:space="preserve">: </w:t>
        </w:r>
        <w:r w:rsidR="00EE32AF" w:rsidRPr="00F81BDB">
          <w:rPr>
            <w:rStyle w:val="Hyperlink"/>
          </w:rPr>
          <w:t>The effects of successive decrees regulating school choice in the Belgian-French community</w:t>
        </w:r>
      </w:hyperlink>
      <w:r w:rsidR="00EE32AF" w:rsidRPr="00F81BDB">
        <w:rPr>
          <w:i/>
          <w:iCs/>
        </w:rPr>
        <w:t>’</w:t>
      </w:r>
      <w:r w:rsidR="00EE32AF" w:rsidRPr="005C127E">
        <w:t xml:space="preserve">, </w:t>
      </w:r>
      <w:r w:rsidR="00EE32AF" w:rsidRPr="00323D40">
        <w:rPr>
          <w:i/>
        </w:rPr>
        <w:t>European Educational Research Journal</w:t>
      </w:r>
      <w:r w:rsidR="00EE32AF" w:rsidRPr="005C127E">
        <w:rPr>
          <w:i/>
          <w:iCs/>
        </w:rPr>
        <w:t xml:space="preserve">, </w:t>
      </w:r>
      <w:r w:rsidR="00EE32AF" w:rsidRPr="005C127E">
        <w:t>Vol. 18, Iss.2, pp.248-268</w:t>
      </w:r>
      <w:r w:rsidR="008550C6" w:rsidRPr="005C127E">
        <w:t>; V. Dupriez &amp; M. Verhoeven (2023) ‘</w:t>
      </w:r>
      <w:hyperlink r:id="rId10" w:history="1">
        <w:r w:rsidR="008550C6" w:rsidRPr="0058771B">
          <w:rPr>
            <w:rStyle w:val="Hyperlink"/>
          </w:rPr>
          <w:t>School Desegregation Policies in Belgium</w:t>
        </w:r>
      </w:hyperlink>
      <w:r w:rsidR="008550C6" w:rsidRPr="005C127E">
        <w:t xml:space="preserve">’ in </w:t>
      </w:r>
      <w:r w:rsidR="008550C6" w:rsidRPr="007E4A44">
        <w:t>Educational Markets and Segregation,</w:t>
      </w:r>
      <w:r w:rsidR="008550C6" w:rsidRPr="005C127E">
        <w:rPr>
          <w:i/>
          <w:iCs/>
        </w:rPr>
        <w:t xml:space="preserve"> </w:t>
      </w:r>
      <w:r w:rsidR="008550C6" w:rsidRPr="005C127E">
        <w:t>pp.151-166</w:t>
      </w:r>
      <w:r w:rsidR="00756809">
        <w:t>.</w:t>
      </w:r>
    </w:p>
  </w:footnote>
  <w:footnote w:id="14">
    <w:p w14:paraId="246EDFC3" w14:textId="44AE0CF5" w:rsidR="0092722D" w:rsidRPr="005C127E" w:rsidRDefault="0092722D" w:rsidP="008073F7">
      <w:pPr>
        <w:pStyle w:val="Footer"/>
      </w:pPr>
      <w:r w:rsidRPr="005C127E">
        <w:rPr>
          <w:rStyle w:val="FootnoteReference"/>
          <w:rFonts w:asciiTheme="minorHAnsi" w:hAnsiTheme="minorHAnsi" w:cstheme="minorHAnsi"/>
          <w:szCs w:val="15"/>
        </w:rPr>
        <w:footnoteRef/>
      </w:r>
      <w:r w:rsidRPr="005C127E">
        <w:t xml:space="preserve"> Under Pinochet equal-value vouchers that families could use to enrol at any school, </w:t>
      </w:r>
      <w:r w:rsidR="006E0CDB" w:rsidRPr="005C127E">
        <w:t xml:space="preserve">which </w:t>
      </w:r>
      <w:r w:rsidRPr="005C127E">
        <w:t>saw the proportion of students in public schools drop from around 70-80</w:t>
      </w:r>
      <w:r w:rsidR="003D633E">
        <w:t xml:space="preserve"> per cent</w:t>
      </w:r>
      <w:r w:rsidRPr="005C127E">
        <w:t xml:space="preserve"> to around 30</w:t>
      </w:r>
      <w:r w:rsidR="003D633E">
        <w:t xml:space="preserve"> per cent</w:t>
      </w:r>
      <w:r w:rsidRPr="005C127E">
        <w:t xml:space="preserve"> (depending on location)</w:t>
      </w:r>
      <w:r w:rsidR="008E25D0" w:rsidRPr="005C127E">
        <w:t xml:space="preserve"> and extreme </w:t>
      </w:r>
      <w:r w:rsidR="00760E1A" w:rsidRPr="005C127E">
        <w:t>stratification</w:t>
      </w:r>
      <w:r w:rsidR="008E25D0" w:rsidRPr="005C127E">
        <w:t>.</w:t>
      </w:r>
    </w:p>
  </w:footnote>
  <w:footnote w:id="15">
    <w:p w14:paraId="34A24891" w14:textId="59B868FE" w:rsidR="00B56EA2" w:rsidRPr="005C127E" w:rsidRDefault="00B56EA2" w:rsidP="008073F7">
      <w:pPr>
        <w:pStyle w:val="Footer"/>
        <w:rPr>
          <w:i/>
          <w:iCs/>
        </w:rPr>
      </w:pPr>
      <w:r w:rsidRPr="005C127E">
        <w:rPr>
          <w:rStyle w:val="FootnoteReference"/>
          <w:rFonts w:asciiTheme="minorHAnsi" w:hAnsiTheme="minorHAnsi" w:cstheme="minorHAnsi"/>
          <w:szCs w:val="15"/>
        </w:rPr>
        <w:footnoteRef/>
      </w:r>
      <w:r w:rsidRPr="005C127E">
        <w:t xml:space="preserve"> </w:t>
      </w:r>
      <w:r w:rsidR="00C9595C" w:rsidRPr="005C127E">
        <w:t>M. Zhang</w:t>
      </w:r>
      <w:r w:rsidR="00B15F0F" w:rsidRPr="005C127E">
        <w:t xml:space="preserve"> (20</w:t>
      </w:r>
      <w:r w:rsidR="00907F18" w:rsidRPr="005C127E">
        <w:t xml:space="preserve">14) </w:t>
      </w:r>
      <w:r w:rsidR="002E1F9E" w:rsidRPr="005C127E">
        <w:t xml:space="preserve">in M. Tucker (ed) </w:t>
      </w:r>
      <w:r w:rsidR="000D37F1">
        <w:t>‘</w:t>
      </w:r>
      <w:hyperlink r:id="rId11" w:history="1">
        <w:r w:rsidR="002E1F9E" w:rsidRPr="00F81BDB">
          <w:rPr>
            <w:rStyle w:val="Hyperlink"/>
          </w:rPr>
          <w:t>Chinese Lessons: Shanghai’s Rise to the Top of the PISA League Tables</w:t>
        </w:r>
      </w:hyperlink>
      <w:r w:rsidR="000D37F1">
        <w:rPr>
          <w:rStyle w:val="Hyperlink"/>
          <w:i/>
          <w:iCs/>
        </w:rPr>
        <w:t>’</w:t>
      </w:r>
      <w:r w:rsidR="002E1F9E" w:rsidRPr="005C127E">
        <w:rPr>
          <w:i/>
          <w:iCs/>
        </w:rPr>
        <w:t xml:space="preserve">, </w:t>
      </w:r>
      <w:r w:rsidR="002E1F9E" w:rsidRPr="005C127E">
        <w:t>Centre for International Education Benchmarking</w:t>
      </w:r>
      <w:r w:rsidR="00DC41E8" w:rsidRPr="005C127E">
        <w:t>, a program of the National Centre on Education and the Economy.</w:t>
      </w:r>
      <w:r w:rsidR="002E1F9E" w:rsidRPr="005C127E">
        <w:rPr>
          <w:i/>
          <w:iCs/>
        </w:rPr>
        <w:t xml:space="preserve"> </w:t>
      </w:r>
    </w:p>
  </w:footnote>
  <w:footnote w:id="16">
    <w:p w14:paraId="3799B6B3" w14:textId="7A3E631D" w:rsidR="00CE333D" w:rsidRPr="005C127E" w:rsidRDefault="00CE333D" w:rsidP="008073F7">
      <w:pPr>
        <w:pStyle w:val="Footer"/>
      </w:pPr>
      <w:r w:rsidRPr="005C127E">
        <w:rPr>
          <w:rStyle w:val="FootnoteReference"/>
          <w:rFonts w:asciiTheme="minorHAnsi" w:hAnsiTheme="minorHAnsi" w:cstheme="minorHAnsi"/>
          <w:szCs w:val="15"/>
        </w:rPr>
        <w:footnoteRef/>
      </w:r>
      <w:r w:rsidRPr="005C127E">
        <w:t xml:space="preserve"> </w:t>
      </w:r>
      <w:r w:rsidR="00B10E93" w:rsidRPr="005C127E">
        <w:t>K. Wong</w:t>
      </w:r>
      <w:r w:rsidR="00656256" w:rsidRPr="005C127E">
        <w:t xml:space="preserve"> (2023)</w:t>
      </w:r>
      <w:r w:rsidR="00B10E93" w:rsidRPr="005C127E">
        <w:t xml:space="preserve"> Interview </w:t>
      </w:r>
      <w:r w:rsidR="00FE269D" w:rsidRPr="005C127E">
        <w:t>w</w:t>
      </w:r>
      <w:r w:rsidR="00B10E93" w:rsidRPr="005C127E">
        <w:t>ith</w:t>
      </w:r>
      <w:r w:rsidR="00656256" w:rsidRPr="005C127E">
        <w:t xml:space="preserve"> project team, 27 September.</w:t>
      </w:r>
    </w:p>
  </w:footnote>
  <w:footnote w:id="17">
    <w:p w14:paraId="7C778221" w14:textId="6750FA7E" w:rsidR="009B3535" w:rsidRPr="005C127E" w:rsidRDefault="009B3535" w:rsidP="008073F7">
      <w:pPr>
        <w:pStyle w:val="Footer"/>
      </w:pPr>
      <w:r w:rsidRPr="005C127E">
        <w:rPr>
          <w:rStyle w:val="FootnoteReference"/>
          <w:rFonts w:asciiTheme="minorHAnsi" w:hAnsiTheme="minorHAnsi" w:cstheme="minorHAnsi"/>
          <w:szCs w:val="15"/>
        </w:rPr>
        <w:footnoteRef/>
      </w:r>
      <w:r w:rsidR="00AD213D" w:rsidRPr="005C127E">
        <w:t xml:space="preserve"> Duprie</w:t>
      </w:r>
      <w:r w:rsidR="00FE5B35" w:rsidRPr="005C127E">
        <w:t>z</w:t>
      </w:r>
      <w:r w:rsidR="00AD213D" w:rsidRPr="005C127E">
        <w:t xml:space="preserve"> &amp; Verhoeven</w:t>
      </w:r>
      <w:r w:rsidR="00FE5B35" w:rsidRPr="005C127E">
        <w:t xml:space="preserve"> (2023)</w:t>
      </w:r>
      <w:r w:rsidR="00657CA5">
        <w:t xml:space="preserve"> </w:t>
      </w:r>
      <w:r w:rsidR="00657CA5">
        <w:rPr>
          <w:i/>
          <w:iCs/>
        </w:rPr>
        <w:t>op</w:t>
      </w:r>
      <w:r w:rsidR="00323664">
        <w:rPr>
          <w:i/>
          <w:iCs/>
        </w:rPr>
        <w:t>.</w:t>
      </w:r>
      <w:r w:rsidR="00657CA5">
        <w:rPr>
          <w:i/>
          <w:iCs/>
        </w:rPr>
        <w:t xml:space="preserve"> cit</w:t>
      </w:r>
      <w:r w:rsidR="004C7840" w:rsidRPr="005C127E">
        <w:t>.</w:t>
      </w:r>
      <w:r w:rsidR="00323664">
        <w:t>;</w:t>
      </w:r>
      <w:r w:rsidR="004C7840" w:rsidRPr="005C127E">
        <w:t xml:space="preserve"> Danhier &amp; Friant (2018) </w:t>
      </w:r>
      <w:r w:rsidR="00657CA5">
        <w:rPr>
          <w:i/>
          <w:iCs/>
        </w:rPr>
        <w:t xml:space="preserve">op cit. </w:t>
      </w:r>
    </w:p>
  </w:footnote>
  <w:footnote w:id="18">
    <w:p w14:paraId="41C57D36" w14:textId="7E550E38" w:rsidR="007C3B98" w:rsidRPr="005C127E" w:rsidRDefault="007C3B98" w:rsidP="008073F7">
      <w:pPr>
        <w:pStyle w:val="Footer"/>
      </w:pPr>
      <w:r w:rsidRPr="005C127E">
        <w:rPr>
          <w:rStyle w:val="FootnoteReference"/>
          <w:rFonts w:asciiTheme="minorHAnsi" w:hAnsiTheme="minorHAnsi" w:cstheme="minorHAnsi"/>
          <w:szCs w:val="15"/>
        </w:rPr>
        <w:footnoteRef/>
      </w:r>
      <w:r w:rsidRPr="005C127E">
        <w:t xml:space="preserve"> </w:t>
      </w:r>
      <w:r w:rsidR="00E063B8" w:rsidRPr="005C127E">
        <w:t>OECD (2019) ‘</w:t>
      </w:r>
      <w:hyperlink r:id="rId12" w:history="1">
        <w:r w:rsidR="00E063B8" w:rsidRPr="00F94C93">
          <w:rPr>
            <w:rStyle w:val="Hyperlink"/>
          </w:rPr>
          <w:t>Chapter 2. Students’ socio-economic status and performance’</w:t>
        </w:r>
      </w:hyperlink>
      <w:r w:rsidR="00E063B8" w:rsidRPr="005C127E">
        <w:t xml:space="preserve">, in </w:t>
      </w:r>
      <w:r w:rsidR="00E063B8" w:rsidRPr="005C127E">
        <w:rPr>
          <w:i/>
          <w:iCs/>
        </w:rPr>
        <w:t xml:space="preserve">PISA 2018 Results (Volume II): </w:t>
      </w:r>
      <w:r w:rsidR="00F94C93" w:rsidRPr="00F81BDB">
        <w:t>Where all students can succeed</w:t>
      </w:r>
      <w:r w:rsidR="00E063B8" w:rsidRPr="005C127E">
        <w:rPr>
          <w:i/>
          <w:iCs/>
        </w:rPr>
        <w:t xml:space="preserve">, </w:t>
      </w:r>
      <w:r w:rsidR="00E063B8" w:rsidRPr="005C127E">
        <w:t>Paris, OECD Publishing</w:t>
      </w:r>
      <w:r w:rsidR="00466D44">
        <w:t>.</w:t>
      </w:r>
    </w:p>
  </w:footnote>
  <w:footnote w:id="19">
    <w:p w14:paraId="628BE916" w14:textId="1AE7FBFD" w:rsidR="003B0EBA" w:rsidRPr="005C127E" w:rsidRDefault="003B0EBA" w:rsidP="008073F7">
      <w:pPr>
        <w:pStyle w:val="Footer"/>
      </w:pPr>
      <w:r w:rsidRPr="005C127E">
        <w:rPr>
          <w:rStyle w:val="FootnoteReference"/>
          <w:rFonts w:asciiTheme="minorHAnsi" w:hAnsiTheme="minorHAnsi" w:cstheme="minorHAnsi"/>
          <w:szCs w:val="15"/>
        </w:rPr>
        <w:footnoteRef/>
      </w:r>
      <w:r w:rsidRPr="005C127E">
        <w:t xml:space="preserve"> Brookings</w:t>
      </w:r>
      <w:r w:rsidR="00323C6F" w:rsidRPr="005C127E">
        <w:t xml:space="preserve">, as cited in OECD (2023) </w:t>
      </w:r>
      <w:r w:rsidR="00323C6F" w:rsidRPr="005C127E">
        <w:rPr>
          <w:i/>
          <w:iCs/>
        </w:rPr>
        <w:t xml:space="preserve">Choice and Fairness, </w:t>
      </w:r>
      <w:r w:rsidR="00323C6F" w:rsidRPr="005C127E">
        <w:t>Paris, OECD Publishing, p.25</w:t>
      </w:r>
      <w:r w:rsidR="008B514E">
        <w:t>.</w:t>
      </w:r>
    </w:p>
  </w:footnote>
  <w:footnote w:id="20">
    <w:p w14:paraId="029F8854" w14:textId="2CE32198" w:rsidR="00214BD2" w:rsidRPr="005C127E" w:rsidRDefault="00214BD2" w:rsidP="00214BD2">
      <w:pPr>
        <w:pStyle w:val="Footer"/>
      </w:pPr>
      <w:r w:rsidRPr="005C127E">
        <w:rPr>
          <w:rStyle w:val="FootnoteReference"/>
          <w:rFonts w:asciiTheme="minorHAnsi" w:hAnsiTheme="minorHAnsi" w:cstheme="minorHAnsi"/>
          <w:szCs w:val="15"/>
        </w:rPr>
        <w:footnoteRef/>
      </w:r>
      <w:r w:rsidRPr="005C127E">
        <w:t xml:space="preserve"> OECD (2019) ‘Chapter 2. Students’ socio-economic status and performance’, in </w:t>
      </w:r>
      <w:r w:rsidR="00E56F55" w:rsidRPr="005C127E">
        <w:rPr>
          <w:i/>
          <w:iCs/>
        </w:rPr>
        <w:t xml:space="preserve">PISA 2018 Results (Volume II): </w:t>
      </w:r>
      <w:hyperlink r:id="rId13" w:history="1">
        <w:r w:rsidR="00E56F55" w:rsidRPr="00F6547C">
          <w:rPr>
            <w:rStyle w:val="Hyperlink"/>
            <w:i/>
            <w:iCs/>
          </w:rPr>
          <w:t>Where all students can succeed</w:t>
        </w:r>
      </w:hyperlink>
      <w:r w:rsidR="00E56F55" w:rsidRPr="005C127E">
        <w:rPr>
          <w:i/>
          <w:iCs/>
        </w:rPr>
        <w:t xml:space="preserve">, </w:t>
      </w:r>
      <w:r w:rsidR="00E56F55" w:rsidRPr="005C127E">
        <w:t>Paris, OECD Publishing</w:t>
      </w:r>
      <w:r w:rsidR="00E56F55">
        <w:t>.</w:t>
      </w:r>
      <w:r w:rsidR="00E56F55" w:rsidRPr="005C127E">
        <w:t xml:space="preserve"> </w:t>
      </w:r>
      <w:r w:rsidR="00E56F55" w:rsidRPr="005C127E">
        <w:rPr>
          <w:i/>
          <w:iCs/>
        </w:rPr>
        <w:t xml:space="preserve"> </w:t>
      </w:r>
    </w:p>
  </w:footnote>
  <w:footnote w:id="21">
    <w:p w14:paraId="086990F5" w14:textId="05B487B8" w:rsidR="001A5A5A" w:rsidRPr="00F81BDB" w:rsidRDefault="001A5A5A">
      <w:pPr>
        <w:pStyle w:val="FootnoteText"/>
        <w:rPr>
          <w:i/>
          <w:iCs/>
        </w:rPr>
      </w:pPr>
      <w:r>
        <w:rPr>
          <w:rStyle w:val="FootnoteReference"/>
        </w:rPr>
        <w:footnoteRef/>
      </w:r>
      <w:r>
        <w:t xml:space="preserve"> G. S. Zinny (2014), </w:t>
      </w:r>
      <w:hyperlink r:id="rId14" w:anchor=":~:text=Chile's%20performance%20has%20also%20been,complete%20a%20full%20secondary%20education." w:history="1">
        <w:r w:rsidRPr="00A9615E">
          <w:rPr>
            <w:rStyle w:val="Hyperlink"/>
          </w:rPr>
          <w:t>‘</w:t>
        </w:r>
        <w:r w:rsidR="00A9615E" w:rsidRPr="00A9615E">
          <w:rPr>
            <w:rStyle w:val="Hyperlink"/>
          </w:rPr>
          <w:t>Chile’s education system is the best in Latin America – so why is it being overhauled?’</w:t>
        </w:r>
      </w:hyperlink>
      <w:r w:rsidR="00A9615E">
        <w:t xml:space="preserve">, </w:t>
      </w:r>
      <w:r w:rsidR="00A9615E">
        <w:rPr>
          <w:i/>
          <w:iCs/>
        </w:rPr>
        <w:t>Atlantic Council</w:t>
      </w:r>
      <w:r w:rsidR="00286EE3">
        <w:t>; E. Vegas &amp; P. Zoid</w:t>
      </w:r>
      <w:r w:rsidR="00C01F7A">
        <w:t>o (2017), ‘</w:t>
      </w:r>
      <w:hyperlink r:id="rId15" w:history="1">
        <w:r w:rsidR="00C01F7A" w:rsidRPr="00C01F7A">
          <w:rPr>
            <w:rStyle w:val="Hyperlink"/>
          </w:rPr>
          <w:t>Latin American countries pay attention to global assessments of student learning’</w:t>
        </w:r>
      </w:hyperlink>
      <w:r w:rsidR="00C01F7A">
        <w:t xml:space="preserve">, </w:t>
      </w:r>
      <w:r w:rsidR="00C01F7A">
        <w:rPr>
          <w:i/>
          <w:iCs/>
        </w:rPr>
        <w:t>Brookings</w:t>
      </w:r>
      <w:r w:rsidR="00E56F55">
        <w:rPr>
          <w:i/>
          <w:iCs/>
        </w:rPr>
        <w:t>.</w:t>
      </w:r>
    </w:p>
  </w:footnote>
  <w:footnote w:id="22">
    <w:p w14:paraId="2E514E78" w14:textId="208C94C5" w:rsidR="00206E1B" w:rsidRPr="005C127E" w:rsidRDefault="00206E1B" w:rsidP="00206E1B">
      <w:pPr>
        <w:pStyle w:val="Footer"/>
      </w:pPr>
      <w:r w:rsidRPr="005C127E">
        <w:rPr>
          <w:rStyle w:val="FootnoteReference"/>
          <w:rFonts w:asciiTheme="minorHAnsi" w:hAnsiTheme="minorHAnsi" w:cstheme="minorHAnsi"/>
          <w:szCs w:val="15"/>
        </w:rPr>
        <w:footnoteRef/>
      </w:r>
      <w:r w:rsidRPr="005C127E">
        <w:t xml:space="preserve"> OECD (2023) </w:t>
      </w:r>
      <w:hyperlink r:id="rId16" w:history="1">
        <w:r w:rsidR="009F5D8B" w:rsidRPr="009F5D8B">
          <w:rPr>
            <w:rStyle w:val="Hyperlink"/>
          </w:rPr>
          <w:t>‘</w:t>
        </w:r>
        <w:r w:rsidRPr="00F81BDB">
          <w:rPr>
            <w:rStyle w:val="Hyperlink"/>
          </w:rPr>
          <w:t>Education at a Glance</w:t>
        </w:r>
        <w:r w:rsidR="00F918CE" w:rsidRPr="009F5D8B">
          <w:rPr>
            <w:rStyle w:val="Hyperlink"/>
            <w:i/>
            <w:iCs/>
          </w:rPr>
          <w:t xml:space="preserve"> </w:t>
        </w:r>
        <w:r w:rsidR="00F918CE" w:rsidRPr="00F81BDB">
          <w:rPr>
            <w:rStyle w:val="Hyperlink"/>
          </w:rPr>
          <w:t>2023</w:t>
        </w:r>
        <w:r w:rsidR="0035567C" w:rsidRPr="009F5D8B">
          <w:rPr>
            <w:rStyle w:val="Hyperlink"/>
            <w:i/>
            <w:iCs/>
          </w:rPr>
          <w:t xml:space="preserve">: </w:t>
        </w:r>
        <w:r w:rsidR="0035567C" w:rsidRPr="00F81BDB">
          <w:rPr>
            <w:rStyle w:val="Hyperlink"/>
          </w:rPr>
          <w:t>OECD Indicators</w:t>
        </w:r>
        <w:r w:rsidR="009F5D8B" w:rsidRPr="009F5D8B">
          <w:rPr>
            <w:rStyle w:val="Hyperlink"/>
            <w:i/>
            <w:iCs/>
          </w:rPr>
          <w:t>’</w:t>
        </w:r>
      </w:hyperlink>
      <w:r w:rsidRPr="005C127E">
        <w:t xml:space="preserve">, Paris, </w:t>
      </w:r>
      <w:r w:rsidRPr="005C127E">
        <w:rPr>
          <w:iCs/>
        </w:rPr>
        <w:t>OECD Publishing</w:t>
      </w:r>
      <w:r>
        <w:t>.</w:t>
      </w:r>
    </w:p>
  </w:footnote>
  <w:footnote w:id="23">
    <w:p w14:paraId="7F352D54" w14:textId="77777777" w:rsidR="00206E1B" w:rsidRPr="005C127E" w:rsidRDefault="00206E1B" w:rsidP="00206E1B">
      <w:pPr>
        <w:pStyle w:val="Footer"/>
      </w:pPr>
      <w:r w:rsidRPr="005C127E">
        <w:rPr>
          <w:rStyle w:val="FootnoteReference"/>
          <w:rFonts w:asciiTheme="minorHAnsi" w:hAnsiTheme="minorHAnsi" w:cstheme="minorHAnsi"/>
          <w:szCs w:val="15"/>
        </w:rPr>
        <w:footnoteRef/>
      </w:r>
      <w:r w:rsidRPr="005C127E">
        <w:t xml:space="preserve"> A. Schleicher (2023) Interview with the Project team, 27 September.</w:t>
      </w:r>
    </w:p>
  </w:footnote>
  <w:footnote w:id="24">
    <w:p w14:paraId="29CEB33D" w14:textId="50BAC724" w:rsidR="3D15B6A8" w:rsidRPr="005C127E" w:rsidRDefault="3D15B6A8" w:rsidP="008073F7">
      <w:pPr>
        <w:pStyle w:val="Footer"/>
      </w:pPr>
      <w:r w:rsidRPr="005C127E">
        <w:rPr>
          <w:rStyle w:val="FootnoteReference"/>
          <w:rFonts w:asciiTheme="minorHAnsi" w:hAnsiTheme="minorHAnsi" w:cstheme="minorHAnsi"/>
          <w:szCs w:val="15"/>
        </w:rPr>
        <w:footnoteRef/>
      </w:r>
      <w:r w:rsidR="5B402204" w:rsidRPr="005C127E">
        <w:t xml:space="preserve"> A. Chmielewski &amp; S. Maharaj (2022), </w:t>
      </w:r>
      <w:hyperlink r:id="rId17" w:history="1">
        <w:r w:rsidR="71559738" w:rsidRPr="00DD77ED">
          <w:rPr>
            <w:rStyle w:val="Hyperlink"/>
          </w:rPr>
          <w:t>’Socio</w:t>
        </w:r>
        <w:r w:rsidR="5B402204" w:rsidRPr="00DD77ED">
          <w:rPr>
            <w:rStyle w:val="Hyperlink"/>
          </w:rPr>
          <w:t>-Economic Segregation Between Schools in Canada</w:t>
        </w:r>
      </w:hyperlink>
      <w:r w:rsidR="5B402204" w:rsidRPr="005C127E">
        <w:t>’, Future Skills Research Lab, University of Toronto, p</w:t>
      </w:r>
      <w:r w:rsidR="00D80297">
        <w:t>p</w:t>
      </w:r>
      <w:r w:rsidR="5B402204" w:rsidRPr="005C127E">
        <w:t>.7</w:t>
      </w:r>
      <w:r w:rsidR="008B514E">
        <w:t>.</w:t>
      </w:r>
    </w:p>
  </w:footnote>
  <w:footnote w:id="25">
    <w:p w14:paraId="60AF64DB" w14:textId="74597E49" w:rsidR="65A4489E" w:rsidRPr="005C127E" w:rsidRDefault="65A4489E" w:rsidP="008073F7">
      <w:pPr>
        <w:pStyle w:val="Footer"/>
      </w:pPr>
      <w:r w:rsidRPr="005C127E">
        <w:rPr>
          <w:rStyle w:val="FootnoteReference"/>
          <w:rFonts w:asciiTheme="minorHAnsi" w:hAnsiTheme="minorHAnsi" w:cstheme="minorHAnsi"/>
          <w:szCs w:val="15"/>
        </w:rPr>
        <w:footnoteRef/>
      </w:r>
      <w:r w:rsidR="25048CE0" w:rsidRPr="005C127E">
        <w:t xml:space="preserve"> Ontario Catholic School Trustees’ Association (2023), </w:t>
      </w:r>
      <w:r w:rsidR="25048CE0" w:rsidRPr="00F81BDB">
        <w:rPr>
          <w:rStyle w:val="Hyperlink"/>
        </w:rPr>
        <w:t>‘</w:t>
      </w:r>
      <w:hyperlink r:id="rId18">
        <w:r w:rsidR="25048CE0" w:rsidRPr="00F81BDB">
          <w:rPr>
            <w:rStyle w:val="Hyperlink"/>
          </w:rPr>
          <w:t>Catholic Schools in Ontario</w:t>
        </w:r>
      </w:hyperlink>
      <w:r w:rsidR="25048CE0" w:rsidRPr="005C127E">
        <w:t>’</w:t>
      </w:r>
      <w:r w:rsidR="54150810" w:rsidRPr="005C127E">
        <w:t xml:space="preserve">. </w:t>
      </w:r>
    </w:p>
  </w:footnote>
  <w:footnote w:id="26">
    <w:p w14:paraId="3C4DFFA6" w14:textId="171C03ED" w:rsidR="206E57F7" w:rsidRPr="005C127E" w:rsidRDefault="206E57F7" w:rsidP="008073F7">
      <w:pPr>
        <w:pStyle w:val="Footer"/>
      </w:pPr>
      <w:r w:rsidRPr="005C127E">
        <w:rPr>
          <w:rStyle w:val="FootnoteReference"/>
          <w:rFonts w:asciiTheme="minorHAnsi" w:hAnsiTheme="minorHAnsi" w:cstheme="minorHAnsi"/>
          <w:szCs w:val="15"/>
        </w:rPr>
        <w:footnoteRef/>
      </w:r>
      <w:r w:rsidR="05F7D757" w:rsidRPr="005C127E">
        <w:t xml:space="preserve"> E. Vegas (2018), </w:t>
      </w:r>
      <w:r w:rsidR="7DE50ABC" w:rsidRPr="005C127E">
        <w:t>‘</w:t>
      </w:r>
      <w:hyperlink r:id="rId19" w:history="1">
        <w:r w:rsidR="7DE50ABC" w:rsidRPr="00DD77ED">
          <w:rPr>
            <w:rStyle w:val="Hyperlink"/>
          </w:rPr>
          <w:t>5 lessons from recent educational reforms in Chile’</w:t>
        </w:r>
      </w:hyperlink>
      <w:r w:rsidR="7DE50ABC" w:rsidRPr="005C127E">
        <w:t>, Brookings Institute.</w:t>
      </w:r>
      <w:r w:rsidR="05F7D757" w:rsidRPr="005C127E">
        <w:t xml:space="preserve"> Accessed 27 September 2023</w:t>
      </w:r>
      <w:r w:rsidR="008B514E">
        <w:t>.</w:t>
      </w:r>
    </w:p>
  </w:footnote>
  <w:footnote w:id="27">
    <w:p w14:paraId="3B9C3F0A" w14:textId="28768CB1" w:rsidR="7F391689" w:rsidRPr="005C127E" w:rsidRDefault="7F391689" w:rsidP="008073F7">
      <w:pPr>
        <w:pStyle w:val="Footer"/>
      </w:pPr>
      <w:r w:rsidRPr="005C127E">
        <w:rPr>
          <w:rStyle w:val="FootnoteReference"/>
          <w:rFonts w:asciiTheme="minorHAnsi" w:hAnsiTheme="minorHAnsi" w:cstheme="minorHAnsi"/>
          <w:szCs w:val="15"/>
        </w:rPr>
        <w:footnoteRef/>
      </w:r>
      <w:r w:rsidR="70938C06" w:rsidRPr="005C127E">
        <w:t xml:space="preserve"> Government of Chile (2016), ‘</w:t>
      </w:r>
      <w:hyperlink r:id="rId20">
        <w:r w:rsidR="70938C06" w:rsidRPr="00F81BDB">
          <w:rPr>
            <w:rStyle w:val="Hyperlink"/>
          </w:rPr>
          <w:t>School Inclusion Law: 10 Key Points</w:t>
        </w:r>
      </w:hyperlink>
      <w:r w:rsidR="70938C06" w:rsidRPr="00F81BDB">
        <w:rPr>
          <w:rStyle w:val="Hyperlink"/>
        </w:rPr>
        <w:t>’</w:t>
      </w:r>
      <w:r w:rsidR="70938C06" w:rsidRPr="005C127E">
        <w:t>; M. Sevilla &amp; E. Trevino (2021), ‘</w:t>
      </w:r>
      <w:hyperlink r:id="rId21" w:history="1">
        <w:r w:rsidR="70938C06" w:rsidRPr="000E50AE">
          <w:rPr>
            <w:rStyle w:val="Hyperlink"/>
          </w:rPr>
          <w:t>Socio</w:t>
        </w:r>
        <w:r w:rsidR="00017998">
          <w:rPr>
            <w:rStyle w:val="Hyperlink"/>
          </w:rPr>
          <w:t>-</w:t>
        </w:r>
        <w:r w:rsidR="70938C06" w:rsidRPr="000E50AE">
          <w:rPr>
            <w:rStyle w:val="Hyperlink"/>
          </w:rPr>
          <w:t>economic segregation between and within curriculum tracking</w:t>
        </w:r>
      </w:hyperlink>
      <w:r w:rsidR="70938C06" w:rsidRPr="005C127E">
        <w:t xml:space="preserve">’, </w:t>
      </w:r>
      <w:r w:rsidR="70938C06" w:rsidRPr="00F81BDB">
        <w:rPr>
          <w:i/>
        </w:rPr>
        <w:t>International Journal of Educational Development</w:t>
      </w:r>
      <w:r w:rsidR="70938C06" w:rsidRPr="005C127E">
        <w:t>, Vol. 87, p</w:t>
      </w:r>
      <w:r w:rsidR="008A23AA">
        <w:t>p</w:t>
      </w:r>
      <w:r w:rsidR="70938C06" w:rsidRPr="005C127E">
        <w:t>.2</w:t>
      </w:r>
      <w:r w:rsidR="008B514E">
        <w:t>.</w:t>
      </w:r>
    </w:p>
  </w:footnote>
  <w:footnote w:id="28">
    <w:p w14:paraId="284F45E5" w14:textId="67002941" w:rsidR="00E57059" w:rsidRPr="00F81BDB" w:rsidRDefault="00E57059" w:rsidP="008073F7">
      <w:pPr>
        <w:pStyle w:val="Footer"/>
        <w:rPr>
          <w:rStyle w:val="Hyperlink"/>
        </w:rPr>
      </w:pPr>
      <w:r w:rsidRPr="005C127E">
        <w:rPr>
          <w:rStyle w:val="FootnoteReference"/>
          <w:rFonts w:asciiTheme="minorHAnsi" w:hAnsiTheme="minorHAnsi" w:cstheme="minorHAnsi"/>
          <w:szCs w:val="15"/>
        </w:rPr>
        <w:footnoteRef/>
      </w:r>
      <w:r w:rsidRPr="005C127E">
        <w:t xml:space="preserve"> Y. Wong &amp; P. Kwan (2019), ‘</w:t>
      </w:r>
      <w:r w:rsidRPr="00F81BDB">
        <w:rPr>
          <w:rStyle w:val="Hyperlink"/>
        </w:rPr>
        <w:t>School Choice and Whose Choice: The Case of Direct Subsidy Scheme Schools in Hong Kong’</w:t>
      </w:r>
      <w:r w:rsidRPr="005C127E">
        <w:t xml:space="preserve">, </w:t>
      </w:r>
      <w:r w:rsidRPr="00F81BDB">
        <w:rPr>
          <w:i/>
        </w:rPr>
        <w:t>Journal of School Choice</w:t>
      </w:r>
      <w:r w:rsidRPr="005C127E">
        <w:t xml:space="preserve">, </w:t>
      </w:r>
      <w:r w:rsidR="00D80297">
        <w:t>Vol.</w:t>
      </w:r>
      <w:r w:rsidRPr="005C127E">
        <w:t>13</w:t>
      </w:r>
      <w:r w:rsidR="00D80297">
        <w:t xml:space="preserve">, Issue </w:t>
      </w:r>
      <w:r w:rsidRPr="005C127E">
        <w:t>3, p</w:t>
      </w:r>
      <w:r w:rsidR="008A23AA">
        <w:t>p</w:t>
      </w:r>
      <w:r w:rsidRPr="005C127E">
        <w:t>. 343</w:t>
      </w:r>
      <w:r w:rsidR="008B514E">
        <w:rPr>
          <w:iCs/>
        </w:rPr>
        <w:t>.</w:t>
      </w:r>
    </w:p>
  </w:footnote>
  <w:footnote w:id="29">
    <w:p w14:paraId="6D6DD01F" w14:textId="0C3BA358" w:rsidR="00A1279F" w:rsidRPr="009721B2" w:rsidRDefault="00A1279F" w:rsidP="008073F7">
      <w:pPr>
        <w:pStyle w:val="Footer"/>
        <w:rPr>
          <w:rFonts w:asciiTheme="minorHAnsi" w:hAnsiTheme="minorHAnsi" w:cstheme="minorHAnsi"/>
          <w:szCs w:val="15"/>
        </w:rPr>
      </w:pPr>
      <w:r>
        <w:rPr>
          <w:rStyle w:val="FootnoteReference"/>
        </w:rPr>
        <w:footnoteRef/>
      </w:r>
      <w:r w:rsidR="009721B2">
        <w:t xml:space="preserve"> </w:t>
      </w:r>
      <w:r w:rsidR="00F330F3" w:rsidRPr="005C127E">
        <w:t>A. Chmielewski el al. (2022). ‘</w:t>
      </w:r>
      <w:hyperlink r:id="rId22" w:history="1">
        <w:r w:rsidR="00F330F3" w:rsidRPr="005C127E">
          <w:rPr>
            <w:rStyle w:val="Hyperlink"/>
            <w:rFonts w:asciiTheme="minorHAnsi" w:hAnsiTheme="minorHAnsi" w:cstheme="minorHAnsi"/>
            <w:szCs w:val="15"/>
          </w:rPr>
          <w:t>Socio</w:t>
        </w:r>
        <w:r w:rsidR="00017998">
          <w:rPr>
            <w:rStyle w:val="Hyperlink"/>
            <w:rFonts w:asciiTheme="minorHAnsi" w:hAnsiTheme="minorHAnsi" w:cstheme="minorHAnsi"/>
            <w:szCs w:val="15"/>
          </w:rPr>
          <w:t>-e</w:t>
        </w:r>
        <w:r w:rsidR="00F330F3" w:rsidRPr="005C127E">
          <w:rPr>
            <w:rStyle w:val="Hyperlink"/>
            <w:rFonts w:asciiTheme="minorHAnsi" w:hAnsiTheme="minorHAnsi" w:cstheme="minorHAnsi"/>
            <w:szCs w:val="15"/>
          </w:rPr>
          <w:t>conomic segregation between schools in Canada</w:t>
        </w:r>
      </w:hyperlink>
      <w:r w:rsidR="00F330F3" w:rsidRPr="005C127E">
        <w:t xml:space="preserve">,’ </w:t>
      </w:r>
      <w:r w:rsidR="00F330F3" w:rsidRPr="00F81BDB">
        <w:t>FutureSkills Research Lab</w:t>
      </w:r>
      <w:r w:rsidR="00F330F3" w:rsidRPr="005C127E">
        <w:t xml:space="preserve">. </w:t>
      </w:r>
      <w:r w:rsidR="00D21FFB">
        <w:t xml:space="preserve">Callout from </w:t>
      </w:r>
      <w:r w:rsidR="00F330F3" w:rsidRPr="005C127E">
        <w:t>p</w:t>
      </w:r>
      <w:r w:rsidR="00D21FFB">
        <w:t>age</w:t>
      </w:r>
      <w:r w:rsidR="00F330F3" w:rsidRPr="005C127E">
        <w:t>16</w:t>
      </w:r>
      <w:r w:rsidR="00D21FFB">
        <w:t xml:space="preserve">, </w:t>
      </w:r>
      <w:r w:rsidR="00FA500A">
        <w:t>graph from p</w:t>
      </w:r>
      <w:r w:rsidR="00217A65">
        <w:t>p</w:t>
      </w:r>
      <w:r w:rsidR="00F330F3">
        <w:t>19</w:t>
      </w:r>
      <w:r w:rsidR="008B514E">
        <w:t>.</w:t>
      </w:r>
    </w:p>
  </w:footnote>
  <w:footnote w:id="30">
    <w:p w14:paraId="1AC7743D" w14:textId="77777777" w:rsidR="006552CB" w:rsidRPr="005C127E" w:rsidRDefault="006552CB" w:rsidP="008073F7">
      <w:pPr>
        <w:pStyle w:val="Footer"/>
      </w:pPr>
      <w:r w:rsidRPr="005C127E">
        <w:rPr>
          <w:rStyle w:val="FootnoteReference"/>
          <w:rFonts w:asciiTheme="minorHAnsi" w:hAnsiTheme="minorHAnsi" w:cstheme="minorHAnsi"/>
          <w:szCs w:val="15"/>
        </w:rPr>
        <w:footnoteRef/>
      </w:r>
      <w:r w:rsidRPr="005C127E">
        <w:t xml:space="preserve"> The dissimilarity index was calculated among the pairs of groups: students in the lowest quintile by ESCS scores and everyone else; and students in the bottom of half by ESCS scores and everyone else in Chile. A value of zero indicates that the proportion of both groups in every school is equal to the proportions found in the population (i.e., there is no segregation) and a value of one indicated complete segregation of students between the two groups.</w:t>
      </w:r>
    </w:p>
  </w:footnote>
  <w:footnote w:id="31">
    <w:p w14:paraId="07D9DB75" w14:textId="31FD00D7" w:rsidR="48F03805" w:rsidRPr="005C127E" w:rsidRDefault="48F03805" w:rsidP="008073F7">
      <w:pPr>
        <w:pStyle w:val="Footer"/>
        <w:rPr>
          <w:rFonts w:eastAsiaTheme="minorEastAsia"/>
        </w:rPr>
      </w:pPr>
      <w:r w:rsidRPr="005C127E">
        <w:rPr>
          <w:rStyle w:val="FootnoteReference"/>
          <w:rFonts w:asciiTheme="minorHAnsi" w:hAnsiTheme="minorHAnsi" w:cstheme="minorHAnsi"/>
          <w:szCs w:val="15"/>
        </w:rPr>
        <w:footnoteRef/>
      </w:r>
      <w:r w:rsidR="52047599" w:rsidRPr="005C127E">
        <w:t xml:space="preserve"> </w:t>
      </w:r>
      <w:r w:rsidR="52047599" w:rsidRPr="005C127E">
        <w:rPr>
          <w:rFonts w:eastAsiaTheme="minorEastAsia"/>
        </w:rPr>
        <w:t>OECD (2019), ‘</w:t>
      </w:r>
      <w:hyperlink r:id="rId23" w:history="1">
        <w:r w:rsidR="52047599" w:rsidRPr="00A9668E">
          <w:rPr>
            <w:rStyle w:val="Hyperlink"/>
            <w:rFonts w:asciiTheme="minorHAnsi" w:eastAsiaTheme="minorEastAsia" w:hAnsiTheme="minorHAnsi" w:cstheme="minorHAnsi"/>
            <w:szCs w:val="15"/>
          </w:rPr>
          <w:t xml:space="preserve">Hong Kong (China) </w:t>
        </w:r>
        <w:r w:rsidR="00323664">
          <w:rPr>
            <w:rStyle w:val="Hyperlink"/>
            <w:rFonts w:asciiTheme="minorHAnsi" w:eastAsiaTheme="minorEastAsia" w:hAnsiTheme="minorHAnsi" w:cstheme="minorHAnsi"/>
            <w:szCs w:val="15"/>
          </w:rPr>
          <w:t>–</w:t>
        </w:r>
        <w:r w:rsidR="52047599" w:rsidRPr="00A9668E">
          <w:rPr>
            <w:rStyle w:val="Hyperlink"/>
            <w:rFonts w:asciiTheme="minorHAnsi" w:eastAsiaTheme="minorEastAsia" w:hAnsiTheme="minorHAnsi" w:cstheme="minorHAnsi"/>
            <w:szCs w:val="15"/>
          </w:rPr>
          <w:t xml:space="preserve"> Country Note </w:t>
        </w:r>
        <w:r w:rsidR="00323664">
          <w:rPr>
            <w:rStyle w:val="Hyperlink"/>
            <w:rFonts w:asciiTheme="minorHAnsi" w:eastAsiaTheme="minorEastAsia" w:hAnsiTheme="minorHAnsi" w:cstheme="minorHAnsi"/>
            <w:szCs w:val="15"/>
          </w:rPr>
          <w:t>–</w:t>
        </w:r>
        <w:r w:rsidR="52047599" w:rsidRPr="00A9668E">
          <w:rPr>
            <w:rStyle w:val="Hyperlink"/>
            <w:rFonts w:asciiTheme="minorHAnsi" w:eastAsiaTheme="minorEastAsia" w:hAnsiTheme="minorHAnsi" w:cstheme="minorHAnsi"/>
            <w:szCs w:val="15"/>
          </w:rPr>
          <w:t xml:space="preserve"> PISA 2018 Results</w:t>
        </w:r>
      </w:hyperlink>
      <w:r w:rsidR="52047599" w:rsidRPr="005C127E">
        <w:rPr>
          <w:rFonts w:eastAsiaTheme="minorEastAsia"/>
        </w:rPr>
        <w:t>’, p</w:t>
      </w:r>
      <w:r w:rsidR="00D80297">
        <w:rPr>
          <w:rFonts w:eastAsiaTheme="minorEastAsia"/>
        </w:rPr>
        <w:t>p</w:t>
      </w:r>
      <w:r w:rsidR="52047599" w:rsidRPr="005C127E">
        <w:rPr>
          <w:rFonts w:eastAsiaTheme="minorEastAsia"/>
        </w:rPr>
        <w:t>.4</w:t>
      </w:r>
      <w:r w:rsidR="008B514E">
        <w:rPr>
          <w:rFonts w:eastAsiaTheme="minorEastAsia"/>
        </w:rPr>
        <w:t>.</w:t>
      </w:r>
    </w:p>
  </w:footnote>
  <w:footnote w:id="32">
    <w:p w14:paraId="71B4202F" w14:textId="5215FFBC" w:rsidR="436672FA" w:rsidRPr="005C127E" w:rsidRDefault="436672FA" w:rsidP="008073F7">
      <w:pPr>
        <w:pStyle w:val="Footer"/>
        <w:rPr>
          <w:rFonts w:eastAsiaTheme="minorEastAsia"/>
        </w:rPr>
      </w:pPr>
      <w:r w:rsidRPr="005C127E">
        <w:rPr>
          <w:rStyle w:val="FootnoteReference"/>
          <w:rFonts w:asciiTheme="minorHAnsi" w:hAnsiTheme="minorHAnsi" w:cstheme="minorHAnsi"/>
          <w:szCs w:val="15"/>
        </w:rPr>
        <w:footnoteRef/>
      </w:r>
      <w:r w:rsidR="0B4A1686" w:rsidRPr="005C127E">
        <w:t xml:space="preserve"> </w:t>
      </w:r>
      <w:r w:rsidR="0B4A1686" w:rsidRPr="005C127E">
        <w:rPr>
          <w:rFonts w:eastAsiaTheme="minorEastAsia"/>
        </w:rPr>
        <w:t>D. Allison (2022), ‘</w:t>
      </w:r>
      <w:hyperlink r:id="rId24" w:history="1">
        <w:r w:rsidR="0B4A1686" w:rsidRPr="00F43B45">
          <w:rPr>
            <w:rStyle w:val="Hyperlink"/>
            <w:rFonts w:eastAsiaTheme="minorEastAsia"/>
          </w:rPr>
          <w:t>What International Tests (PISA) Tell US about Education in Canada</w:t>
        </w:r>
      </w:hyperlink>
      <w:r w:rsidR="0B4A1686" w:rsidRPr="005C127E">
        <w:rPr>
          <w:rFonts w:eastAsiaTheme="minorEastAsia"/>
        </w:rPr>
        <w:t>’, Fraser Institute, p</w:t>
      </w:r>
      <w:r w:rsidR="00F43B45">
        <w:rPr>
          <w:rFonts w:eastAsiaTheme="minorEastAsia"/>
        </w:rPr>
        <w:t>p</w:t>
      </w:r>
      <w:r w:rsidR="0B4A1686" w:rsidRPr="005C127E">
        <w:rPr>
          <w:rFonts w:eastAsiaTheme="minorEastAsia"/>
        </w:rPr>
        <w:t>.15</w:t>
      </w:r>
      <w:r w:rsidR="008B514E">
        <w:rPr>
          <w:rFonts w:eastAsiaTheme="minorEastAsia"/>
        </w:rPr>
        <w:t>.</w:t>
      </w:r>
    </w:p>
  </w:footnote>
  <w:footnote w:id="33">
    <w:p w14:paraId="7A2FBCB8" w14:textId="3100C203" w:rsidR="61556884" w:rsidRPr="005C127E" w:rsidRDefault="61556884" w:rsidP="008073F7">
      <w:pPr>
        <w:pStyle w:val="Footer"/>
      </w:pPr>
      <w:r w:rsidRPr="005C127E">
        <w:rPr>
          <w:rStyle w:val="FootnoteReference"/>
          <w:rFonts w:asciiTheme="minorHAnsi" w:hAnsiTheme="minorHAnsi" w:cstheme="minorHAnsi"/>
          <w:szCs w:val="15"/>
        </w:rPr>
        <w:footnoteRef/>
      </w:r>
      <w:r w:rsidR="68995051" w:rsidRPr="005C127E">
        <w:t xml:space="preserve"> Chmielewski &amp; Maharaj (2022), </w:t>
      </w:r>
      <w:r w:rsidR="009D12B6">
        <w:t>‘</w:t>
      </w:r>
      <w:hyperlink r:id="rId25" w:history="1">
        <w:r w:rsidR="0090547B" w:rsidRPr="00A9754A">
          <w:rPr>
            <w:rStyle w:val="Hyperlink"/>
          </w:rPr>
          <w:t>Socio-Economic Segregation Between Schools in Canada</w:t>
        </w:r>
        <w:r w:rsidR="00D61095" w:rsidRPr="00A9754A">
          <w:rPr>
            <w:rStyle w:val="Hyperlink"/>
          </w:rPr>
          <w:t>’</w:t>
        </w:r>
      </w:hyperlink>
      <w:r w:rsidR="00D61095">
        <w:t>,</w:t>
      </w:r>
      <w:r w:rsidR="68995051" w:rsidRPr="005C127E">
        <w:t xml:space="preserve"> p</w:t>
      </w:r>
      <w:r w:rsidR="002854DF">
        <w:t>p</w:t>
      </w:r>
      <w:r w:rsidR="68995051" w:rsidRPr="005C127E">
        <w:t>.23</w:t>
      </w:r>
      <w:r w:rsidR="008B514E">
        <w:t>.</w:t>
      </w:r>
    </w:p>
  </w:footnote>
  <w:footnote w:id="34">
    <w:p w14:paraId="1504A9A9" w14:textId="5B36CD38" w:rsidR="004C6A93" w:rsidRPr="005C127E" w:rsidRDefault="004C6A93" w:rsidP="008073F7">
      <w:pPr>
        <w:pStyle w:val="Footer"/>
      </w:pPr>
      <w:r w:rsidRPr="005C127E">
        <w:rPr>
          <w:rStyle w:val="FootnoteReference"/>
          <w:rFonts w:asciiTheme="minorHAnsi" w:hAnsiTheme="minorHAnsi" w:cstheme="minorHAnsi"/>
          <w:szCs w:val="15"/>
          <w:vertAlign w:val="baseline"/>
        </w:rPr>
        <w:footnoteRef/>
      </w:r>
      <w:r w:rsidRPr="005C127E">
        <w:t xml:space="preserve"> M. Homsy &amp; Savard (2018), ‘</w:t>
      </w:r>
      <w:hyperlink r:id="rId26" w:history="1">
        <w:r w:rsidRPr="00B501FF">
          <w:rPr>
            <w:rStyle w:val="Hyperlink"/>
          </w:rPr>
          <w:t>School dropouts in Quebec: ten years of standing still, despite funding Efforts’</w:t>
        </w:r>
      </w:hyperlink>
      <w:r w:rsidRPr="005C127E">
        <w:t>, Montreal, Institut du Québec, p.3; N. Elez &amp; K. Zeman (2022), ‘</w:t>
      </w:r>
      <w:hyperlink r:id="rId27">
        <w:r w:rsidRPr="005C127E">
          <w:rPr>
            <w:rStyle w:val="Hyperlink"/>
            <w:rFonts w:asciiTheme="minorHAnsi" w:hAnsiTheme="minorHAnsi" w:cstheme="minorHAnsi"/>
            <w:color w:val="auto"/>
            <w:szCs w:val="15"/>
            <w:u w:val="none"/>
          </w:rPr>
          <w:t>High school graduation rates in Canada,</w:t>
        </w:r>
      </w:hyperlink>
      <w:r w:rsidRPr="005C127E">
        <w:t xml:space="preserve"> </w:t>
      </w:r>
      <w:hyperlink r:id="rId28">
        <w:r w:rsidRPr="005C127E">
          <w:rPr>
            <w:rStyle w:val="Hyperlink"/>
            <w:rFonts w:asciiTheme="minorHAnsi" w:hAnsiTheme="minorHAnsi" w:cstheme="minorHAnsi"/>
            <w:color w:val="auto"/>
            <w:szCs w:val="15"/>
            <w:u w:val="none"/>
          </w:rPr>
          <w:t>2016/2017 to 2019/2020</w:t>
        </w:r>
      </w:hyperlink>
      <w:r w:rsidRPr="005C127E">
        <w:t>’, Statistics Canada, Catalogue no. 81-599-X – No. 17.</w:t>
      </w:r>
    </w:p>
  </w:footnote>
  <w:footnote w:id="35">
    <w:p w14:paraId="2B90B343" w14:textId="4D5F63F7" w:rsidR="722148BE" w:rsidRPr="005C127E" w:rsidRDefault="722148BE" w:rsidP="008073F7">
      <w:pPr>
        <w:pStyle w:val="Footer"/>
      </w:pPr>
      <w:r w:rsidRPr="00187578">
        <w:rPr>
          <w:rStyle w:val="FootnoteReference"/>
          <w:rFonts w:asciiTheme="minorHAnsi" w:hAnsiTheme="minorHAnsi" w:cstheme="minorHAnsi"/>
          <w:szCs w:val="15"/>
        </w:rPr>
        <w:footnoteRef/>
      </w:r>
      <w:r w:rsidR="38349683" w:rsidRPr="005C127E">
        <w:t xml:space="preserve"> OECD (2019), </w:t>
      </w:r>
      <w:r w:rsidR="00CB4C37">
        <w:t>‘</w:t>
      </w:r>
      <w:hyperlink r:id="rId29" w:history="1">
        <w:r w:rsidR="00323664">
          <w:rPr>
            <w:rStyle w:val="Hyperlink"/>
          </w:rPr>
          <w:t>’</w:t>
        </w:r>
        <w:r w:rsidR="00EA4AB9" w:rsidRPr="00EA4AB9">
          <w:rPr>
            <w:rStyle w:val="Hyperlink"/>
          </w:rPr>
          <w:t>Hong Kong (China)</w:t>
        </w:r>
        <w:r w:rsidR="00323664">
          <w:rPr>
            <w:rStyle w:val="Hyperlink"/>
          </w:rPr>
          <w:t>’</w:t>
        </w:r>
        <w:r w:rsidR="00EA4AB9" w:rsidRPr="00EA4AB9">
          <w:rPr>
            <w:rStyle w:val="Hyperlink"/>
          </w:rPr>
          <w:t xml:space="preserve"> </w:t>
        </w:r>
        <w:r w:rsidR="00323664">
          <w:rPr>
            <w:rStyle w:val="Hyperlink"/>
          </w:rPr>
          <w:t>–</w:t>
        </w:r>
        <w:r w:rsidR="00EA4AB9" w:rsidRPr="00EA4AB9">
          <w:rPr>
            <w:rStyle w:val="Hyperlink"/>
          </w:rPr>
          <w:t xml:space="preserve"> Country Note </w:t>
        </w:r>
        <w:r w:rsidR="00323664">
          <w:rPr>
            <w:rStyle w:val="Hyperlink"/>
          </w:rPr>
          <w:t>–</w:t>
        </w:r>
        <w:r w:rsidR="00EA4AB9" w:rsidRPr="00EA4AB9">
          <w:rPr>
            <w:rStyle w:val="Hyperlink"/>
          </w:rPr>
          <w:t xml:space="preserve"> PISA 2018 Results</w:t>
        </w:r>
        <w:r w:rsidR="00323664">
          <w:rPr>
            <w:rStyle w:val="Hyperlink"/>
          </w:rPr>
          <w:t>’</w:t>
        </w:r>
      </w:hyperlink>
      <w:r w:rsidR="38349683" w:rsidRPr="005C127E">
        <w:t>, p</w:t>
      </w:r>
      <w:r w:rsidR="00CB4C37">
        <w:t>p</w:t>
      </w:r>
      <w:r w:rsidR="38349683" w:rsidRPr="005C127E">
        <w:t>. 4</w:t>
      </w:r>
      <w:r w:rsidR="008B514E">
        <w:t>.</w:t>
      </w:r>
    </w:p>
  </w:footnote>
  <w:footnote w:id="36">
    <w:p w14:paraId="12EF22C5" w14:textId="5F8AEAE6" w:rsidR="62D184C3" w:rsidRPr="005C127E" w:rsidRDefault="62D184C3" w:rsidP="008073F7">
      <w:pPr>
        <w:pStyle w:val="Footer"/>
      </w:pPr>
      <w:r w:rsidRPr="00187578">
        <w:rPr>
          <w:rStyle w:val="FootnoteReference"/>
          <w:rFonts w:asciiTheme="minorHAnsi" w:hAnsiTheme="minorHAnsi" w:cstheme="minorHAnsi"/>
          <w:szCs w:val="15"/>
        </w:rPr>
        <w:footnoteRef/>
      </w:r>
      <w:r w:rsidRPr="005C127E">
        <w:t xml:space="preserve"> R. Murnane, M. Waldman, J. Willett, M. Bos, &amp; E. Vegas (2017), ‘</w:t>
      </w:r>
      <w:hyperlink r:id="rId30" w:history="1">
        <w:r w:rsidRPr="00F81BDB">
          <w:rPr>
            <w:rStyle w:val="Hyperlink"/>
            <w:rFonts w:asciiTheme="minorHAnsi" w:hAnsiTheme="minorHAnsi" w:cstheme="minorHAnsi"/>
            <w:szCs w:val="15"/>
          </w:rPr>
          <w:t>The Consequences of Educational Voucher Reform in Chile</w:t>
        </w:r>
        <w:r w:rsidRPr="00E8133D">
          <w:rPr>
            <w:rStyle w:val="Hyperlink"/>
          </w:rPr>
          <w:t>’</w:t>
        </w:r>
      </w:hyperlink>
      <w:r w:rsidRPr="005C127E">
        <w:t xml:space="preserve">, </w:t>
      </w:r>
      <w:r w:rsidRPr="00F81BDB">
        <w:rPr>
          <w:i/>
          <w:iCs/>
        </w:rPr>
        <w:t>NBER Working Paper No.</w:t>
      </w:r>
      <w:r w:rsidRPr="00F81BDB">
        <w:rPr>
          <w:i/>
        </w:rPr>
        <w:t xml:space="preserve"> 23550</w:t>
      </w:r>
      <w:r w:rsidRPr="005C127E">
        <w:t>, p</w:t>
      </w:r>
      <w:r w:rsidR="00CB4C37">
        <w:t>p</w:t>
      </w:r>
      <w:r w:rsidRPr="005C127E">
        <w:t>.50</w:t>
      </w:r>
      <w:r w:rsidR="00CB4C37">
        <w:t xml:space="preserve"> </w:t>
      </w:r>
      <w:r w:rsidRPr="005C127E">
        <w:t>; C. Neilson (2013). ‘</w:t>
      </w:r>
      <w:hyperlink r:id="rId31" w:history="1">
        <w:r w:rsidRPr="00F81BDB">
          <w:rPr>
            <w:rStyle w:val="Hyperlink"/>
            <w:rFonts w:asciiTheme="minorHAnsi" w:hAnsiTheme="minorHAnsi" w:cstheme="minorHAnsi"/>
            <w:szCs w:val="15"/>
          </w:rPr>
          <w:t>Targeted vouchers, competition among schools, and the academic achievement of poor students</w:t>
        </w:r>
        <w:r w:rsidRPr="0017417F">
          <w:rPr>
            <w:rStyle w:val="Hyperlink"/>
          </w:rPr>
          <w:t>’</w:t>
        </w:r>
      </w:hyperlink>
      <w:r w:rsidRPr="005C127E">
        <w:t>. Working paper. Yale University, p</w:t>
      </w:r>
      <w:r w:rsidR="00CB4C37">
        <w:t>p</w:t>
      </w:r>
      <w:r w:rsidRPr="005C127E">
        <w:t>. 45; A. Mizala &amp; F. Torche (2017). ‘</w:t>
      </w:r>
      <w:hyperlink r:id="rId32" w:history="1">
        <w:r w:rsidRPr="00D211D7">
          <w:rPr>
            <w:rStyle w:val="Hyperlink"/>
          </w:rPr>
          <w:t>Means-tested school vouchers and educational achievement: Evidence from Chile’s universal voucher system</w:t>
        </w:r>
      </w:hyperlink>
      <w:r w:rsidRPr="005C127E">
        <w:t xml:space="preserve">’. </w:t>
      </w:r>
      <w:r w:rsidRPr="005C127E">
        <w:rPr>
          <w:i/>
        </w:rPr>
        <w:t>The Annals of the American Academy of Political and Social Science,</w:t>
      </w:r>
      <w:r w:rsidRPr="005C127E">
        <w:t xml:space="preserve"> </w:t>
      </w:r>
      <w:r w:rsidR="00192FBC" w:rsidRPr="005C127E">
        <w:t xml:space="preserve">Vol. </w:t>
      </w:r>
      <w:r w:rsidRPr="005C127E">
        <w:t>674</w:t>
      </w:r>
      <w:r w:rsidR="00192FBC" w:rsidRPr="005C127E">
        <w:t>, Iss.</w:t>
      </w:r>
      <w:r w:rsidRPr="005C127E">
        <w:t>1, p</w:t>
      </w:r>
      <w:r w:rsidR="008B7B86">
        <w:t>p</w:t>
      </w:r>
      <w:r w:rsidRPr="005C127E">
        <w:t>.180</w:t>
      </w:r>
      <w:r w:rsidR="008B514E">
        <w:t>.</w:t>
      </w:r>
    </w:p>
  </w:footnote>
  <w:footnote w:id="37">
    <w:p w14:paraId="3C7A618A" w14:textId="6F62502B" w:rsidR="49265102" w:rsidRPr="005C127E" w:rsidRDefault="49265102" w:rsidP="008073F7">
      <w:pPr>
        <w:pStyle w:val="Footer"/>
      </w:pPr>
      <w:r w:rsidRPr="00187578">
        <w:rPr>
          <w:rStyle w:val="FootnoteReference"/>
          <w:rFonts w:asciiTheme="minorHAnsi" w:hAnsiTheme="minorHAnsi" w:cstheme="minorHAnsi"/>
          <w:szCs w:val="15"/>
        </w:rPr>
        <w:footnoteRef/>
      </w:r>
      <w:r w:rsidRPr="00187578">
        <w:rPr>
          <w:vertAlign w:val="superscript"/>
        </w:rPr>
        <w:t xml:space="preserve"> </w:t>
      </w:r>
      <w:r w:rsidRPr="005C127E">
        <w:t>C. Haeck &amp; P. Lefebvre (2021). ‘</w:t>
      </w:r>
      <w:hyperlink r:id="rId33" w:history="1">
        <w:r w:rsidRPr="004D2295">
          <w:rPr>
            <w:rStyle w:val="Hyperlink"/>
          </w:rPr>
          <w:t>Trends in Cognitive Skill Inequalities by Socio-Economic Status across Canada’</w:t>
        </w:r>
      </w:hyperlink>
      <w:r w:rsidRPr="005C127E">
        <w:t xml:space="preserve">. </w:t>
      </w:r>
      <w:r w:rsidRPr="00F81BDB">
        <w:rPr>
          <w:i/>
          <w:iCs/>
        </w:rPr>
        <w:t>Canadian Public Policy</w:t>
      </w:r>
      <w:r w:rsidRPr="005C127E">
        <w:t xml:space="preserve">, </w:t>
      </w:r>
      <w:r w:rsidR="00021F35">
        <w:t xml:space="preserve">Vol. </w:t>
      </w:r>
      <w:r w:rsidRPr="005C127E">
        <w:t>47</w:t>
      </w:r>
      <w:r w:rsidR="00021F35">
        <w:t>, Iss.</w:t>
      </w:r>
      <w:r w:rsidRPr="005C127E">
        <w:t>1, p</w:t>
      </w:r>
      <w:r w:rsidR="00021F35">
        <w:t>p</w:t>
      </w:r>
      <w:r w:rsidRPr="005C127E">
        <w:t>.105; Also see Chmielewski &amp; Maharaj (2022), p</w:t>
      </w:r>
      <w:r w:rsidR="00021F35">
        <w:t>p</w:t>
      </w:r>
      <w:r w:rsidRPr="005C127E">
        <w:t>.23</w:t>
      </w:r>
      <w:r w:rsidR="008B514E">
        <w:t>.</w:t>
      </w:r>
    </w:p>
  </w:footnote>
  <w:footnote w:id="38">
    <w:p w14:paraId="3DFCAF18" w14:textId="58A8C477" w:rsidR="216B9B0C" w:rsidRPr="005C127E" w:rsidRDefault="216B9B0C" w:rsidP="008073F7">
      <w:pPr>
        <w:pStyle w:val="Footer"/>
      </w:pPr>
      <w:r w:rsidRPr="00187578">
        <w:rPr>
          <w:rStyle w:val="FootnoteReference"/>
          <w:rFonts w:asciiTheme="minorHAnsi" w:hAnsiTheme="minorHAnsi" w:cstheme="minorHAnsi"/>
          <w:szCs w:val="15"/>
        </w:rPr>
        <w:footnoteRef/>
      </w:r>
      <w:r w:rsidRPr="005C127E">
        <w:t xml:space="preserve"> L. Volante, F. Borgonovi, J. Ritzen (2019), ‘</w:t>
      </w:r>
      <w:hyperlink r:id="rId34">
        <w:r w:rsidRPr="00F81BDB">
          <w:rPr>
            <w:rStyle w:val="Hyperlink"/>
            <w:rFonts w:asciiTheme="minorHAnsi" w:hAnsiTheme="minorHAnsi" w:cstheme="minorHAnsi"/>
            <w:szCs w:val="15"/>
          </w:rPr>
          <w:t>Global education rankings may overlook poor graduation rates</w:t>
        </w:r>
      </w:hyperlink>
      <w:r w:rsidRPr="005C127E">
        <w:t>’</w:t>
      </w:r>
      <w:r w:rsidR="00EA6A7A">
        <w:t>,</w:t>
      </w:r>
      <w:r w:rsidRPr="005C127E">
        <w:t xml:space="preserve"> </w:t>
      </w:r>
      <w:r w:rsidRPr="00EA6A7A">
        <w:rPr>
          <w:i/>
          <w:iCs/>
        </w:rPr>
        <w:t>The Conversation</w:t>
      </w:r>
      <w:r w:rsidR="00021F35">
        <w:t>.</w:t>
      </w:r>
    </w:p>
  </w:footnote>
  <w:footnote w:id="39">
    <w:p w14:paraId="292D414E" w14:textId="29AA80ED" w:rsidR="0E646106" w:rsidRPr="005C127E" w:rsidRDefault="0E646106" w:rsidP="008073F7">
      <w:pPr>
        <w:pStyle w:val="Footer"/>
      </w:pPr>
      <w:r w:rsidRPr="00187578">
        <w:rPr>
          <w:rStyle w:val="FootnoteReference"/>
          <w:rFonts w:asciiTheme="minorHAnsi" w:hAnsiTheme="minorHAnsi" w:cstheme="minorHAnsi"/>
          <w:szCs w:val="15"/>
        </w:rPr>
        <w:footnoteRef/>
      </w:r>
      <w:r w:rsidR="46A7F980" w:rsidRPr="005C127E">
        <w:t xml:space="preserve"> </w:t>
      </w:r>
      <w:r w:rsidR="46A7F980" w:rsidRPr="00ED1855">
        <w:t xml:space="preserve">M. Sevilla &amp; E. Trevino (2021), </w:t>
      </w:r>
      <w:r w:rsidR="000E50AE" w:rsidRPr="00ED1855">
        <w:rPr>
          <w:i/>
        </w:rPr>
        <w:t>op</w:t>
      </w:r>
      <w:r w:rsidR="00323664">
        <w:rPr>
          <w:i/>
        </w:rPr>
        <w:t>.</w:t>
      </w:r>
      <w:r w:rsidR="000E50AE" w:rsidRPr="00ED1855">
        <w:rPr>
          <w:i/>
        </w:rPr>
        <w:t xml:space="preserve"> cit</w:t>
      </w:r>
      <w:r w:rsidR="00323664">
        <w:rPr>
          <w:i/>
        </w:rPr>
        <w:t>.</w:t>
      </w:r>
      <w:r w:rsidR="000E50AE" w:rsidRPr="00ED1855">
        <w:rPr>
          <w:i/>
        </w:rPr>
        <w:t xml:space="preserve">, </w:t>
      </w:r>
      <w:r w:rsidR="46A7F980" w:rsidRPr="00ED1855">
        <w:t>pp. 1&amp;2</w:t>
      </w:r>
      <w:r w:rsidR="008B514E">
        <w:t>.</w:t>
      </w:r>
    </w:p>
  </w:footnote>
  <w:footnote w:id="40">
    <w:p w14:paraId="531BA53C" w14:textId="76A3E158" w:rsidR="5BE9C309" w:rsidRPr="005C127E" w:rsidRDefault="5BE9C309" w:rsidP="008073F7">
      <w:pPr>
        <w:pStyle w:val="Footer"/>
      </w:pPr>
      <w:r w:rsidRPr="00187578">
        <w:rPr>
          <w:rStyle w:val="FootnoteReference"/>
          <w:rFonts w:asciiTheme="minorHAnsi" w:hAnsiTheme="minorHAnsi" w:cstheme="minorHAnsi"/>
          <w:szCs w:val="15"/>
        </w:rPr>
        <w:footnoteRef/>
      </w:r>
      <w:r w:rsidR="2363C451" w:rsidRPr="005C127E">
        <w:t xml:space="preserve"> E. Di Gropello, M. J. Vargas, M. Y. Pagans</w:t>
      </w:r>
      <w:r w:rsidR="00F165E3">
        <w:t xml:space="preserve"> (2019)</w:t>
      </w:r>
      <w:r w:rsidR="2363C451" w:rsidRPr="005C127E">
        <w:t>, ‘</w:t>
      </w:r>
      <w:hyperlink r:id="rId35" w:history="1">
        <w:r w:rsidR="009065B7" w:rsidRPr="009065B7">
          <w:rPr>
            <w:rStyle w:val="Hyperlink"/>
          </w:rPr>
          <w:t>What are the main lessons from the latest results from PISA 2018 for Latin America</w:t>
        </w:r>
      </w:hyperlink>
      <w:r w:rsidR="009065B7">
        <w:t>?</w:t>
      </w:r>
      <w:r w:rsidR="2363C451" w:rsidRPr="005C127E">
        <w:t xml:space="preserve">’, </w:t>
      </w:r>
      <w:r w:rsidR="2363C451" w:rsidRPr="005C127E">
        <w:rPr>
          <w:i/>
          <w:iCs/>
        </w:rPr>
        <w:t>World Bank Blog</w:t>
      </w:r>
      <w:r w:rsidR="00F165E3">
        <w:t>.</w:t>
      </w:r>
    </w:p>
  </w:footnote>
  <w:footnote w:id="41">
    <w:p w14:paraId="5E0D12F0" w14:textId="0D20CEF4" w:rsidR="58324CFE" w:rsidRPr="005C127E" w:rsidRDefault="58324CFE" w:rsidP="008073F7">
      <w:pPr>
        <w:pStyle w:val="Footer"/>
      </w:pPr>
      <w:r w:rsidRPr="00187578">
        <w:rPr>
          <w:rStyle w:val="FootnoteReference"/>
          <w:rFonts w:asciiTheme="minorHAnsi" w:hAnsiTheme="minorHAnsi" w:cstheme="minorHAnsi"/>
          <w:szCs w:val="15"/>
        </w:rPr>
        <w:footnoteRef/>
      </w:r>
      <w:r w:rsidR="4B1590A2" w:rsidRPr="005C127E">
        <w:t xml:space="preserve"> OECD (2019), ‘</w:t>
      </w:r>
      <w:hyperlink r:id="rId36">
        <w:r w:rsidR="4B1590A2" w:rsidRPr="005C127E">
          <w:rPr>
            <w:rStyle w:val="Hyperlink"/>
            <w:rFonts w:asciiTheme="minorHAnsi" w:hAnsiTheme="minorHAnsi" w:cstheme="minorHAnsi"/>
            <w:i/>
            <w:iCs/>
            <w:color w:val="auto"/>
            <w:szCs w:val="15"/>
            <w:u w:val="none"/>
          </w:rPr>
          <w:t>Chile - Country Note - PISA 2018 Result</w:t>
        </w:r>
        <w:r w:rsidR="4B1590A2" w:rsidRPr="005C127E">
          <w:rPr>
            <w:rStyle w:val="Hyperlink"/>
            <w:rFonts w:asciiTheme="minorHAnsi" w:hAnsiTheme="minorHAnsi" w:cstheme="minorHAnsi"/>
            <w:color w:val="auto"/>
            <w:szCs w:val="15"/>
            <w:u w:val="none"/>
          </w:rPr>
          <w:t>s</w:t>
        </w:r>
      </w:hyperlink>
      <w:r w:rsidR="4B1590A2" w:rsidRPr="005C127E">
        <w:t>’, p. 3</w:t>
      </w:r>
      <w:r w:rsidR="008B514E">
        <w:t>.</w:t>
      </w:r>
    </w:p>
  </w:footnote>
  <w:footnote w:id="42">
    <w:p w14:paraId="1F5C5976" w14:textId="21EA1011" w:rsidR="002C7AFA" w:rsidRPr="005C127E" w:rsidRDefault="002C7AFA" w:rsidP="008073F7">
      <w:pPr>
        <w:pStyle w:val="Footer"/>
      </w:pPr>
      <w:r w:rsidRPr="005C127E">
        <w:rPr>
          <w:rStyle w:val="FootnoteReference"/>
          <w:rFonts w:asciiTheme="minorHAnsi" w:hAnsiTheme="minorHAnsi" w:cstheme="minorHAnsi"/>
          <w:szCs w:val="15"/>
        </w:rPr>
        <w:footnoteRef/>
      </w:r>
      <w:r w:rsidRPr="005C127E">
        <w:t xml:space="preserve"> </w:t>
      </w:r>
      <w:r w:rsidR="00FB6ADA" w:rsidRPr="005C127E">
        <w:t>New Zealand Ministry of Education (2023)</w:t>
      </w:r>
      <w:r w:rsidRPr="005C127E">
        <w:t xml:space="preserve"> </w:t>
      </w:r>
      <w:hyperlink r:id="rId37" w:history="1">
        <w:r w:rsidR="00FB101B" w:rsidRPr="005C127E">
          <w:rPr>
            <w:rStyle w:val="Hyperlink"/>
            <w:rFonts w:asciiTheme="minorHAnsi" w:hAnsiTheme="minorHAnsi" w:cstheme="minorHAnsi"/>
            <w:szCs w:val="15"/>
          </w:rPr>
          <w:t>‘School rol</w:t>
        </w:r>
        <w:r w:rsidR="00FB6ADA" w:rsidRPr="005C127E">
          <w:rPr>
            <w:rStyle w:val="Hyperlink"/>
            <w:rFonts w:asciiTheme="minorHAnsi" w:hAnsiTheme="minorHAnsi" w:cstheme="minorHAnsi"/>
            <w:szCs w:val="15"/>
          </w:rPr>
          <w:t>l statistical collections’</w:t>
        </w:r>
      </w:hyperlink>
      <w:r w:rsidRPr="005C127E">
        <w:rPr>
          <w:i/>
          <w:iCs/>
        </w:rPr>
        <w:t xml:space="preserve">, </w:t>
      </w:r>
      <w:r w:rsidR="00FB6ADA" w:rsidRPr="005C127E">
        <w:rPr>
          <w:i/>
          <w:iCs/>
        </w:rPr>
        <w:t>Education Counts</w:t>
      </w:r>
      <w:r w:rsidR="00A63DC3">
        <w:t>.</w:t>
      </w:r>
    </w:p>
  </w:footnote>
  <w:footnote w:id="43">
    <w:p w14:paraId="7BA4BE64" w14:textId="27118D38" w:rsidR="002C7AFA" w:rsidRPr="005C127E" w:rsidRDefault="002C7AFA" w:rsidP="008073F7">
      <w:pPr>
        <w:pStyle w:val="Footer"/>
        <w:rPr>
          <w:rFonts w:eastAsia="Segoe UI"/>
        </w:rPr>
      </w:pPr>
      <w:r w:rsidRPr="005C127E">
        <w:rPr>
          <w:rStyle w:val="FootnoteReference"/>
          <w:rFonts w:asciiTheme="minorHAnsi" w:hAnsiTheme="minorHAnsi" w:cstheme="minorHAnsi"/>
          <w:szCs w:val="15"/>
        </w:rPr>
        <w:footnoteRef/>
      </w:r>
      <w:r w:rsidRPr="005C127E">
        <w:t xml:space="preserve"> N</w:t>
      </w:r>
      <w:r w:rsidR="00501A26" w:rsidRPr="005C127E">
        <w:t xml:space="preserve">ew </w:t>
      </w:r>
      <w:r w:rsidRPr="005C127E">
        <w:t>Z</w:t>
      </w:r>
      <w:r w:rsidR="00501A26" w:rsidRPr="005C127E">
        <w:t xml:space="preserve">ealand Catholic </w:t>
      </w:r>
      <w:r w:rsidRPr="005C127E">
        <w:t>E</w:t>
      </w:r>
      <w:r w:rsidR="00501A26" w:rsidRPr="005C127E">
        <w:t xml:space="preserve">ducation </w:t>
      </w:r>
      <w:r w:rsidRPr="005C127E">
        <w:t>O</w:t>
      </w:r>
      <w:r w:rsidR="00501A26" w:rsidRPr="005C127E">
        <w:t>ffice</w:t>
      </w:r>
      <w:r w:rsidRPr="005C127E">
        <w:t xml:space="preserve"> (2023)</w:t>
      </w:r>
      <w:r w:rsidR="00950886" w:rsidRPr="005C127E">
        <w:t xml:space="preserve"> ‘</w:t>
      </w:r>
      <w:hyperlink r:id="rId38" w:history="1">
        <w:r w:rsidR="00950886" w:rsidRPr="005C127E">
          <w:rPr>
            <w:rStyle w:val="Hyperlink"/>
            <w:rFonts w:asciiTheme="minorHAnsi" w:hAnsiTheme="minorHAnsi" w:cstheme="minorHAnsi"/>
            <w:szCs w:val="15"/>
          </w:rPr>
          <w:t>Summary gross Attendance Dues Rates 2023’</w:t>
        </w:r>
      </w:hyperlink>
      <w:r w:rsidR="00950886" w:rsidRPr="005C127E">
        <w:t xml:space="preserve">, </w:t>
      </w:r>
      <w:r w:rsidR="00950886" w:rsidRPr="005C127E">
        <w:rPr>
          <w:i/>
          <w:iCs/>
        </w:rPr>
        <w:t>Attendance Dues Rates</w:t>
      </w:r>
      <w:r w:rsidR="00A63DC3">
        <w:t>.</w:t>
      </w:r>
    </w:p>
  </w:footnote>
  <w:footnote w:id="44">
    <w:p w14:paraId="0B6EB5FB" w14:textId="7B43FB9B" w:rsidR="27F0EAB5" w:rsidRPr="005C127E" w:rsidRDefault="27F0EAB5" w:rsidP="008073F7">
      <w:pPr>
        <w:pStyle w:val="Footer"/>
      </w:pPr>
      <w:r w:rsidRPr="005C127E">
        <w:rPr>
          <w:rStyle w:val="FootnoteReference"/>
          <w:rFonts w:asciiTheme="minorHAnsi" w:hAnsiTheme="minorHAnsi" w:cstheme="minorHAnsi"/>
          <w:szCs w:val="15"/>
        </w:rPr>
        <w:footnoteRef/>
      </w:r>
      <w:r w:rsidR="0138D32D" w:rsidRPr="005C127E">
        <w:t xml:space="preserve"> </w:t>
      </w:r>
      <w:r w:rsidR="008D7F07" w:rsidRPr="005C127E">
        <w:t xml:space="preserve">New Zealand </w:t>
      </w:r>
      <w:r w:rsidR="00A63DC3">
        <w:t>Ministry of Education</w:t>
      </w:r>
      <w:r w:rsidR="00A63DC3" w:rsidRPr="005C127E">
        <w:t xml:space="preserve"> </w:t>
      </w:r>
      <w:r w:rsidR="6371B120" w:rsidRPr="005C127E">
        <w:t>(2023)</w:t>
      </w:r>
      <w:r w:rsidR="00501A26" w:rsidRPr="005C127E">
        <w:t xml:space="preserve"> ‘</w:t>
      </w:r>
      <w:hyperlink r:id="rId39" w:history="1">
        <w:r w:rsidR="00750C00" w:rsidRPr="005C127E">
          <w:rPr>
            <w:rStyle w:val="Hyperlink"/>
            <w:rFonts w:asciiTheme="minorHAnsi" w:hAnsiTheme="minorHAnsi" w:cstheme="minorHAnsi"/>
            <w:szCs w:val="15"/>
          </w:rPr>
          <w:t>Fees, charges and donations'</w:t>
        </w:r>
      </w:hyperlink>
      <w:r w:rsidR="00A63DC3">
        <w:rPr>
          <w:rStyle w:val="Hyperlink"/>
          <w:rFonts w:asciiTheme="minorHAnsi" w:hAnsiTheme="minorHAnsi" w:cstheme="minorHAnsi"/>
          <w:szCs w:val="15"/>
        </w:rPr>
        <w:t>.</w:t>
      </w:r>
    </w:p>
  </w:footnote>
  <w:footnote w:id="45">
    <w:p w14:paraId="59F420D8" w14:textId="55EECE10" w:rsidR="4BD2B240" w:rsidRPr="005C127E" w:rsidRDefault="4BD2B240" w:rsidP="008073F7">
      <w:pPr>
        <w:pStyle w:val="Footer"/>
        <w:rPr>
          <w:rFonts w:eastAsia="Segoe UI"/>
        </w:rPr>
      </w:pPr>
      <w:r w:rsidRPr="005C127E">
        <w:rPr>
          <w:rStyle w:val="FootnoteReference"/>
          <w:rFonts w:asciiTheme="minorHAnsi" w:hAnsiTheme="minorHAnsi" w:cstheme="minorHAnsi"/>
          <w:szCs w:val="15"/>
        </w:rPr>
        <w:footnoteRef/>
      </w:r>
      <w:r w:rsidRPr="005C127E">
        <w:t xml:space="preserve"> Parliamentary Counsel Office, (2023)</w:t>
      </w:r>
      <w:r w:rsidR="008D7F07" w:rsidRPr="005C127E">
        <w:t xml:space="preserve"> </w:t>
      </w:r>
      <w:r w:rsidR="008D7F07" w:rsidRPr="00F81BDB">
        <w:rPr>
          <w:u w:val="single"/>
        </w:rPr>
        <w:t>‘</w:t>
      </w:r>
      <w:hyperlink r:id="rId40" w:history="1">
        <w:r w:rsidRPr="00F81BDB">
          <w:rPr>
            <w:rStyle w:val="Hyperlink"/>
            <w:rFonts w:asciiTheme="minorHAnsi" w:hAnsiTheme="minorHAnsi" w:cstheme="minorHAnsi"/>
            <w:szCs w:val="15"/>
          </w:rPr>
          <w:t>Private Schools Conditional Integration Act 1975</w:t>
        </w:r>
        <w:r w:rsidR="008D7F07" w:rsidRPr="00F81BDB">
          <w:rPr>
            <w:rStyle w:val="Hyperlink"/>
            <w:rFonts w:asciiTheme="minorHAnsi" w:hAnsiTheme="minorHAnsi" w:cstheme="minorHAnsi"/>
            <w:szCs w:val="15"/>
          </w:rPr>
          <w:t>’</w:t>
        </w:r>
      </w:hyperlink>
      <w:r w:rsidR="008D7F07" w:rsidRPr="005C127E">
        <w:rPr>
          <w:i/>
          <w:iCs/>
        </w:rPr>
        <w:t>,</w:t>
      </w:r>
      <w:r w:rsidRPr="00A63DC3">
        <w:t xml:space="preserve"> </w:t>
      </w:r>
      <w:r w:rsidR="00A63DC3" w:rsidRPr="005C127E">
        <w:t>New Zealand Government</w:t>
      </w:r>
      <w:r w:rsidR="00A63DC3">
        <w:t>.</w:t>
      </w:r>
    </w:p>
  </w:footnote>
  <w:footnote w:id="46">
    <w:p w14:paraId="0801889E" w14:textId="017FDF0E" w:rsidR="509FC845" w:rsidRPr="005C127E" w:rsidRDefault="509FC845" w:rsidP="008073F7">
      <w:pPr>
        <w:pStyle w:val="Footer"/>
      </w:pPr>
      <w:r w:rsidRPr="005C127E">
        <w:rPr>
          <w:rStyle w:val="FootnoteReference"/>
          <w:rFonts w:asciiTheme="minorHAnsi" w:hAnsiTheme="minorHAnsi" w:cstheme="minorHAnsi"/>
          <w:szCs w:val="15"/>
        </w:rPr>
        <w:footnoteRef/>
      </w:r>
      <w:r w:rsidR="75129C4A" w:rsidRPr="005C127E">
        <w:t xml:space="preserve"> New Zealand Ministry of Education (2023</w:t>
      </w:r>
      <w:r w:rsidR="46A1DDDC" w:rsidRPr="005C127E">
        <w:t>)</w:t>
      </w:r>
      <w:r w:rsidR="00725CE6" w:rsidRPr="005C127E">
        <w:t xml:space="preserve"> </w:t>
      </w:r>
      <w:hyperlink r:id="rId41" w:history="1">
        <w:r w:rsidR="00725CE6" w:rsidRPr="005C127E">
          <w:rPr>
            <w:rStyle w:val="Hyperlink"/>
            <w:rFonts w:asciiTheme="minorHAnsi" w:hAnsiTheme="minorHAnsi" w:cstheme="minorHAnsi"/>
            <w:szCs w:val="15"/>
          </w:rPr>
          <w:t>‘School Donations’</w:t>
        </w:r>
      </w:hyperlink>
      <w:r w:rsidR="00725CE6" w:rsidRPr="005C127E">
        <w:t xml:space="preserve">, </w:t>
      </w:r>
      <w:r w:rsidR="00725CE6" w:rsidRPr="005C127E">
        <w:rPr>
          <w:i/>
          <w:iCs/>
        </w:rPr>
        <w:t>Education Counts</w:t>
      </w:r>
      <w:r w:rsidR="00A63DC3">
        <w:t>.</w:t>
      </w:r>
    </w:p>
  </w:footnote>
  <w:footnote w:id="47">
    <w:p w14:paraId="7E14BEED" w14:textId="5CF5A217" w:rsidR="00552A9F" w:rsidRPr="005C127E" w:rsidRDefault="00552A9F" w:rsidP="008073F7">
      <w:pPr>
        <w:pStyle w:val="Footer"/>
      </w:pPr>
      <w:r w:rsidRPr="005C127E">
        <w:rPr>
          <w:rStyle w:val="FootnoteReference"/>
          <w:rFonts w:asciiTheme="minorHAnsi" w:hAnsiTheme="minorHAnsi" w:cstheme="minorHAnsi"/>
          <w:szCs w:val="15"/>
        </w:rPr>
        <w:footnoteRef/>
      </w:r>
      <w:r w:rsidRPr="005C127E">
        <w:t xml:space="preserve"> </w:t>
      </w:r>
      <w:r w:rsidR="002307E6" w:rsidRPr="005C127E">
        <w:t xml:space="preserve">National Centre on Education and the Economy (2023) </w:t>
      </w:r>
      <w:hyperlink r:id="rId42" w:history="1">
        <w:r w:rsidR="002307E6" w:rsidRPr="005C127E">
          <w:rPr>
            <w:rStyle w:val="Hyperlink"/>
            <w:rFonts w:asciiTheme="minorHAnsi" w:hAnsiTheme="minorHAnsi" w:cstheme="minorHAnsi"/>
            <w:szCs w:val="15"/>
          </w:rPr>
          <w:t>‘Hong Kong,’</w:t>
        </w:r>
      </w:hyperlink>
      <w:r w:rsidR="002307E6" w:rsidRPr="005C127E">
        <w:t xml:space="preserve"> </w:t>
      </w:r>
      <w:r w:rsidR="002307E6" w:rsidRPr="00F81BDB">
        <w:t>Top-Performing Countries</w:t>
      </w:r>
      <w:r w:rsidR="002307E6" w:rsidRPr="005C127E">
        <w:t xml:space="preserve"> </w:t>
      </w:r>
      <w:r w:rsidR="00DD5025">
        <w:t xml:space="preserve">; </w:t>
      </w:r>
      <w:r w:rsidR="00971807" w:rsidRPr="005C127E">
        <w:t xml:space="preserve">Hong Kong </w:t>
      </w:r>
      <w:r w:rsidR="025349BF" w:rsidRPr="005C127E">
        <w:t>Education Burea</w:t>
      </w:r>
      <w:r w:rsidR="00DD1F05" w:rsidRPr="005C127E">
        <w:t>u</w:t>
      </w:r>
      <w:r w:rsidR="224E0AE2" w:rsidRPr="005C127E">
        <w:t xml:space="preserve"> </w:t>
      </w:r>
      <w:r w:rsidR="0092769A" w:rsidRPr="005C127E">
        <w:t>(</w:t>
      </w:r>
      <w:r w:rsidR="00D91C44" w:rsidRPr="005C127E">
        <w:t>2023</w:t>
      </w:r>
      <w:r w:rsidR="0092769A" w:rsidRPr="005C127E">
        <w:t>)</w:t>
      </w:r>
      <w:r w:rsidR="00DD1F05" w:rsidRPr="005C127E">
        <w:t xml:space="preserve"> ‘</w:t>
      </w:r>
      <w:hyperlink r:id="rId43" w:history="1">
        <w:r w:rsidR="00DD1F05" w:rsidRPr="005C127E">
          <w:rPr>
            <w:rStyle w:val="Hyperlink"/>
            <w:rFonts w:asciiTheme="minorHAnsi" w:hAnsiTheme="minorHAnsi" w:cstheme="minorHAnsi"/>
            <w:szCs w:val="15"/>
          </w:rPr>
          <w:t>General Information on DSS,’</w:t>
        </w:r>
      </w:hyperlink>
      <w:r w:rsidR="0092769A" w:rsidRPr="005C127E">
        <w:t xml:space="preserve"> </w:t>
      </w:r>
      <w:r w:rsidR="109FA387" w:rsidRPr="00F81BDB">
        <w:t>Special Administrative Region</w:t>
      </w:r>
      <w:r w:rsidR="00DD5025" w:rsidRPr="00F81BDB">
        <w:rPr>
          <w:iCs/>
        </w:rPr>
        <w:t>.</w:t>
      </w:r>
    </w:p>
  </w:footnote>
  <w:footnote w:id="48">
    <w:p w14:paraId="64EA9097" w14:textId="3EB02BBA" w:rsidR="32661A50" w:rsidRPr="005C127E" w:rsidRDefault="32661A50" w:rsidP="008073F7">
      <w:pPr>
        <w:pStyle w:val="Footer"/>
        <w:rPr>
          <w:rFonts w:eastAsia="Segoe UI"/>
        </w:rPr>
      </w:pPr>
      <w:r w:rsidRPr="005C127E">
        <w:rPr>
          <w:rStyle w:val="FootnoteReference"/>
          <w:rFonts w:asciiTheme="minorHAnsi" w:hAnsiTheme="minorHAnsi" w:cstheme="minorHAnsi"/>
          <w:szCs w:val="15"/>
        </w:rPr>
        <w:footnoteRef/>
      </w:r>
      <w:r w:rsidRPr="005C127E">
        <w:t xml:space="preserve"> </w:t>
      </w:r>
      <w:r w:rsidRPr="005C127E">
        <w:rPr>
          <w:rFonts w:eastAsia="Segoe UI"/>
        </w:rPr>
        <w:t xml:space="preserve">Legislative Council Panel on Education </w:t>
      </w:r>
      <w:r w:rsidR="00730A43" w:rsidRPr="005C127E">
        <w:rPr>
          <w:rFonts w:eastAsia="Segoe UI"/>
        </w:rPr>
        <w:t>(</w:t>
      </w:r>
      <w:r w:rsidRPr="00F81BDB">
        <w:rPr>
          <w:rFonts w:eastAsia="Segoe UI"/>
        </w:rPr>
        <w:t>2000</w:t>
      </w:r>
      <w:r w:rsidR="00730A43" w:rsidRPr="005C127E">
        <w:rPr>
          <w:rFonts w:eastAsia="Segoe UI"/>
        </w:rPr>
        <w:t>)</w:t>
      </w:r>
      <w:r w:rsidRPr="005C127E">
        <w:rPr>
          <w:rFonts w:eastAsia="Segoe UI"/>
        </w:rPr>
        <w:t xml:space="preserve"> </w:t>
      </w:r>
      <w:r w:rsidR="00C66827" w:rsidRPr="005C127E">
        <w:rPr>
          <w:rFonts w:eastAsia="Segoe UI"/>
        </w:rPr>
        <w:t>‘</w:t>
      </w:r>
      <w:hyperlink r:id="rId44" w:history="1">
        <w:r w:rsidR="769A000E" w:rsidRPr="005C127E">
          <w:rPr>
            <w:rStyle w:val="Hyperlink"/>
            <w:rFonts w:asciiTheme="minorHAnsi" w:eastAsia="Segoe UI" w:hAnsiTheme="minorHAnsi" w:cstheme="minorHAnsi"/>
            <w:szCs w:val="15"/>
          </w:rPr>
          <w:t>Modifications to Direct Subsidy Scheme</w:t>
        </w:r>
        <w:r w:rsidR="00C66827" w:rsidRPr="005C127E">
          <w:rPr>
            <w:rStyle w:val="Hyperlink"/>
            <w:rFonts w:asciiTheme="minorHAnsi" w:eastAsia="Segoe UI" w:hAnsiTheme="minorHAnsi" w:cstheme="minorHAnsi"/>
            <w:szCs w:val="15"/>
          </w:rPr>
          <w:t>’</w:t>
        </w:r>
      </w:hyperlink>
      <w:r w:rsidR="00A85B57" w:rsidRPr="005C127E">
        <w:rPr>
          <w:rFonts w:eastAsia="Segoe UI"/>
        </w:rPr>
        <w:t>,</w:t>
      </w:r>
      <w:r w:rsidR="00A85B57" w:rsidRPr="005C127E">
        <w:t xml:space="preserve"> </w:t>
      </w:r>
      <w:r w:rsidR="00A85B57" w:rsidRPr="005C127E">
        <w:rPr>
          <w:rFonts w:eastAsia="Segoe UI"/>
          <w:i/>
          <w:iCs/>
        </w:rPr>
        <w:t>Paper No. CB(2)264/00-01(02</w:t>
      </w:r>
      <w:r w:rsidR="00F26372">
        <w:rPr>
          <w:rFonts w:eastAsia="Segoe UI"/>
          <w:i/>
          <w:iCs/>
        </w:rPr>
        <w:t xml:space="preserve"> ; </w:t>
      </w:r>
      <w:r w:rsidR="79426FC6" w:rsidRPr="005C127E">
        <w:rPr>
          <w:rFonts w:eastAsia="Segoe UI"/>
        </w:rPr>
        <w:t>Y.</w:t>
      </w:r>
      <w:r w:rsidR="76280B9D" w:rsidRPr="005C127E">
        <w:rPr>
          <w:rFonts w:eastAsia="Segoe UI"/>
        </w:rPr>
        <w:t xml:space="preserve"> </w:t>
      </w:r>
      <w:r w:rsidR="436ECFA6" w:rsidRPr="005C127E">
        <w:t>Zhou, Y</w:t>
      </w:r>
      <w:r w:rsidR="4B2F5BF1" w:rsidRPr="005C127E">
        <w:t>.</w:t>
      </w:r>
      <w:r w:rsidR="436ECFA6" w:rsidRPr="005C127E">
        <w:t xml:space="preserve"> Wong, </w:t>
      </w:r>
      <w:r w:rsidR="3C52BB57" w:rsidRPr="005C127E">
        <w:t>&amp; W.</w:t>
      </w:r>
      <w:r w:rsidR="436ECFA6" w:rsidRPr="005C127E">
        <w:t xml:space="preserve"> Li, (2015). </w:t>
      </w:r>
      <w:hyperlink r:id="rId45" w:anchor=":~:text=Direct%20subsidy%20scheme%20(DSS)%20schools,%2C%20staffing%2C%20and%20student%20admission." w:history="1">
        <w:r w:rsidR="670D6480" w:rsidRPr="00322034">
          <w:rPr>
            <w:rStyle w:val="Hyperlink"/>
          </w:rPr>
          <w:t>’Educational</w:t>
        </w:r>
        <w:r w:rsidR="436ECFA6" w:rsidRPr="00322034">
          <w:rPr>
            <w:rStyle w:val="Hyperlink"/>
          </w:rPr>
          <w:t xml:space="preserve"> choice and marketization in Hong Kong: the case of direct subsidy scheme </w:t>
        </w:r>
        <w:r w:rsidR="670D6480" w:rsidRPr="00322034">
          <w:rPr>
            <w:rStyle w:val="Hyperlink"/>
          </w:rPr>
          <w:t>schoo</w:t>
        </w:r>
      </w:hyperlink>
      <w:r w:rsidR="670D6480" w:rsidRPr="005C127E">
        <w:t>ls’</w:t>
      </w:r>
      <w:r w:rsidR="1424E200" w:rsidRPr="005C127E">
        <w:t>,</w:t>
      </w:r>
      <w:r w:rsidR="436ECFA6" w:rsidRPr="005C127E">
        <w:t xml:space="preserve"> </w:t>
      </w:r>
      <w:r w:rsidR="436ECFA6" w:rsidRPr="005C127E">
        <w:rPr>
          <w:i/>
          <w:iCs/>
        </w:rPr>
        <w:t>Asia Pacific Education Review</w:t>
      </w:r>
      <w:r w:rsidR="436ECFA6" w:rsidRPr="005C127E">
        <w:t xml:space="preserve">, </w:t>
      </w:r>
      <w:r w:rsidR="00937750" w:rsidRPr="005C127E">
        <w:t>Vol.</w:t>
      </w:r>
      <w:r w:rsidR="436ECFA6" w:rsidRPr="00F81BDB">
        <w:t>16</w:t>
      </w:r>
      <w:r w:rsidR="436ECFA6" w:rsidRPr="005C127E">
        <w:t xml:space="preserve">, </w:t>
      </w:r>
      <w:r w:rsidR="6CC555FD" w:rsidRPr="005C127E">
        <w:rPr>
          <w:rFonts w:eastAsia="Segoe UI"/>
        </w:rPr>
        <w:t>p</w:t>
      </w:r>
      <w:r w:rsidR="00F26372">
        <w:rPr>
          <w:rFonts w:eastAsia="Segoe UI"/>
        </w:rPr>
        <w:t>p</w:t>
      </w:r>
      <w:r w:rsidR="6CC555FD" w:rsidRPr="005C127E">
        <w:rPr>
          <w:rFonts w:eastAsia="Segoe UI"/>
        </w:rPr>
        <w:t>.</w:t>
      </w:r>
      <w:r w:rsidR="0A6173C1" w:rsidRPr="005C127E">
        <w:rPr>
          <w:rFonts w:eastAsia="Segoe UI"/>
        </w:rPr>
        <w:t>627</w:t>
      </w:r>
      <w:r w:rsidR="008B514E">
        <w:rPr>
          <w:rFonts w:eastAsia="Segoe UI"/>
        </w:rPr>
        <w:t>.</w:t>
      </w:r>
    </w:p>
  </w:footnote>
  <w:footnote w:id="49">
    <w:p w14:paraId="36127E7F" w14:textId="078A442F" w:rsidR="00530EC8" w:rsidRPr="005C127E" w:rsidRDefault="00530EC8" w:rsidP="008073F7">
      <w:pPr>
        <w:pStyle w:val="Footer"/>
        <w:rPr>
          <w:rFonts w:eastAsia="Segoe UI"/>
        </w:rPr>
      </w:pPr>
      <w:r w:rsidRPr="005C127E">
        <w:rPr>
          <w:rStyle w:val="FootnoteReference"/>
          <w:rFonts w:asciiTheme="minorHAnsi" w:hAnsiTheme="minorHAnsi" w:cstheme="minorHAnsi"/>
          <w:szCs w:val="15"/>
        </w:rPr>
        <w:footnoteRef/>
      </w:r>
      <w:r w:rsidRPr="005C127E">
        <w:t xml:space="preserve"> Y.L. Wong &amp; P. Kwan (2019), </w:t>
      </w:r>
      <w:hyperlink r:id="rId46" w:history="1">
        <w:r w:rsidRPr="004D7ACC">
          <w:rPr>
            <w:rStyle w:val="Hyperlink"/>
          </w:rPr>
          <w:t>’School choice and whose choice: The case of direct subsidy scheme schools in Hong Kong’</w:t>
        </w:r>
      </w:hyperlink>
      <w:r w:rsidRPr="005C127E">
        <w:t xml:space="preserve">, </w:t>
      </w:r>
      <w:r w:rsidRPr="005C127E">
        <w:rPr>
          <w:i/>
          <w:iCs/>
        </w:rPr>
        <w:t>Journal of School Choice</w:t>
      </w:r>
      <w:r w:rsidRPr="005C127E">
        <w:t xml:space="preserve">, </w:t>
      </w:r>
      <w:r w:rsidR="00937750" w:rsidRPr="005C127E">
        <w:t>Vol.</w:t>
      </w:r>
      <w:r w:rsidRPr="00F81BDB">
        <w:t>13</w:t>
      </w:r>
      <w:r w:rsidR="00937750" w:rsidRPr="005C127E">
        <w:t xml:space="preserve">, Iss. </w:t>
      </w:r>
      <w:r w:rsidRPr="005C127E">
        <w:t>3, p</w:t>
      </w:r>
      <w:r w:rsidR="00F26372">
        <w:t>p</w:t>
      </w:r>
      <w:r w:rsidRPr="005C127E">
        <w:t>.</w:t>
      </w:r>
      <w:r w:rsidR="004D7ACC">
        <w:t xml:space="preserve"> </w:t>
      </w:r>
      <w:r w:rsidRPr="005C127E">
        <w:rPr>
          <w:rFonts w:eastAsia="Segoe UI"/>
        </w:rPr>
        <w:t>340</w:t>
      </w:r>
      <w:r w:rsidR="008B514E">
        <w:rPr>
          <w:rFonts w:eastAsia="Segoe UI"/>
        </w:rPr>
        <w:t>.</w:t>
      </w:r>
    </w:p>
  </w:footnote>
  <w:footnote w:id="50">
    <w:p w14:paraId="15B9E36C" w14:textId="5E6668BC" w:rsidR="00591A37" w:rsidRPr="005C127E" w:rsidRDefault="00591A37" w:rsidP="008073F7">
      <w:pPr>
        <w:pStyle w:val="Footer"/>
      </w:pPr>
      <w:r w:rsidRPr="005C127E">
        <w:rPr>
          <w:rStyle w:val="FootnoteReference"/>
          <w:rFonts w:asciiTheme="minorHAnsi" w:hAnsiTheme="minorHAnsi" w:cstheme="minorHAnsi"/>
          <w:szCs w:val="15"/>
        </w:rPr>
        <w:footnoteRef/>
      </w:r>
      <w:r w:rsidRPr="005C127E">
        <w:t xml:space="preserve"> </w:t>
      </w:r>
      <w:r w:rsidR="00EB5134" w:rsidRPr="005C127E">
        <w:t>Hong Kong Education Bureau (2023) ‘</w:t>
      </w:r>
      <w:hyperlink r:id="rId47" w:history="1">
        <w:r w:rsidR="00EB5134" w:rsidRPr="00327073">
          <w:rPr>
            <w:rStyle w:val="Hyperlink"/>
          </w:rPr>
          <w:t>General Information on DSS’</w:t>
        </w:r>
      </w:hyperlink>
      <w:r w:rsidR="008B514E" w:rsidRPr="008B514E">
        <w:t>.</w:t>
      </w:r>
    </w:p>
  </w:footnote>
  <w:footnote w:id="51">
    <w:p w14:paraId="17FDDEBC" w14:textId="19CCCDD7" w:rsidR="00FD503F" w:rsidRDefault="00FD503F" w:rsidP="00FD503F">
      <w:pPr>
        <w:pStyle w:val="FootnoteText"/>
      </w:pPr>
      <w:r>
        <w:rPr>
          <w:rStyle w:val="FootnoteReference"/>
        </w:rPr>
        <w:footnoteRef/>
      </w:r>
      <w:r>
        <w:t xml:space="preserve"> </w:t>
      </w:r>
      <w:r w:rsidR="005B3BE7" w:rsidRPr="005C127E">
        <w:rPr>
          <w:rFonts w:eastAsia="Segoe UI"/>
        </w:rPr>
        <w:t>Legislative Council Panel on Education (</w:t>
      </w:r>
      <w:r w:rsidR="005B3BE7" w:rsidRPr="0062456E">
        <w:rPr>
          <w:rFonts w:eastAsia="Segoe UI"/>
        </w:rPr>
        <w:t>2000</w:t>
      </w:r>
      <w:r w:rsidR="005B3BE7" w:rsidRPr="005C127E">
        <w:rPr>
          <w:rFonts w:eastAsia="Segoe UI"/>
        </w:rPr>
        <w:t>) ‘</w:t>
      </w:r>
      <w:hyperlink r:id="rId48" w:history="1">
        <w:r w:rsidR="005B3BE7" w:rsidRPr="005C127E">
          <w:rPr>
            <w:rStyle w:val="Hyperlink"/>
            <w:rFonts w:asciiTheme="minorHAnsi" w:eastAsia="Segoe UI" w:hAnsiTheme="minorHAnsi" w:cstheme="minorHAnsi"/>
            <w:szCs w:val="15"/>
          </w:rPr>
          <w:t>Modifications to Direct Subsidy Scheme’</w:t>
        </w:r>
      </w:hyperlink>
      <w:r w:rsidR="005B3BE7" w:rsidRPr="005C127E">
        <w:rPr>
          <w:rFonts w:eastAsia="Segoe UI"/>
        </w:rPr>
        <w:t>,</w:t>
      </w:r>
      <w:r w:rsidR="005B3BE7" w:rsidRPr="005C127E">
        <w:t xml:space="preserve"> </w:t>
      </w:r>
      <w:r>
        <w:t>Paper No. CB(2)264/00-01(02)</w:t>
      </w:r>
      <w:r w:rsidR="00F26372">
        <w:t>;</w:t>
      </w:r>
      <w:r>
        <w:t xml:space="preserve"> Y. Zhou, Y. Wong, &amp; W. Li, (2015). ’</w:t>
      </w:r>
      <w:hyperlink r:id="rId49" w:anchor=":~:text=Direct%20subsidy%20scheme%20(DSS)%20schools,%2C%20staffing%2C%20and%20student%20admission." w:history="1">
        <w:r w:rsidRPr="0020686B">
          <w:rPr>
            <w:rStyle w:val="Hyperlink"/>
          </w:rPr>
          <w:t>Educational choice and marketization in Hong Kong: the case of direct subsidy scheme schools’</w:t>
        </w:r>
      </w:hyperlink>
      <w:r>
        <w:t xml:space="preserve">, </w:t>
      </w:r>
      <w:r w:rsidRPr="00F81BDB">
        <w:rPr>
          <w:i/>
          <w:iCs/>
        </w:rPr>
        <w:t>Asia Pacific Education Review</w:t>
      </w:r>
      <w:r>
        <w:t>, Vol.</w:t>
      </w:r>
      <w:r w:rsidR="004D7ACC">
        <w:t xml:space="preserve"> </w:t>
      </w:r>
      <w:r>
        <w:t>16, p</w:t>
      </w:r>
      <w:r w:rsidR="00F26372">
        <w:t>p</w:t>
      </w:r>
      <w:r>
        <w:t>.</w:t>
      </w:r>
      <w:r w:rsidR="004D7ACC">
        <w:t xml:space="preserve"> </w:t>
      </w:r>
      <w:r>
        <w:t>627</w:t>
      </w:r>
      <w:r w:rsidR="00C57830">
        <w:t xml:space="preserve">. </w:t>
      </w:r>
    </w:p>
  </w:footnote>
  <w:footnote w:id="52">
    <w:p w14:paraId="34CE9B0D" w14:textId="35D093E7" w:rsidR="5D024346" w:rsidRPr="005C127E" w:rsidRDefault="5D024346" w:rsidP="008073F7">
      <w:pPr>
        <w:pStyle w:val="Footer"/>
      </w:pPr>
      <w:r w:rsidRPr="005C127E">
        <w:rPr>
          <w:rStyle w:val="FootnoteReference"/>
          <w:rFonts w:asciiTheme="minorHAnsi" w:hAnsiTheme="minorHAnsi" w:cstheme="minorHAnsi"/>
          <w:szCs w:val="15"/>
        </w:rPr>
        <w:footnoteRef/>
      </w:r>
      <w:r w:rsidRPr="005C127E">
        <w:t xml:space="preserve"> Australian Curriculum </w:t>
      </w:r>
      <w:r w:rsidR="7A9E6109" w:rsidRPr="005C127E">
        <w:t xml:space="preserve">and Reporting Authority </w:t>
      </w:r>
      <w:r w:rsidR="2CBD3D9A" w:rsidRPr="005C127E">
        <w:t>(2023).</w:t>
      </w:r>
    </w:p>
  </w:footnote>
  <w:footnote w:id="53">
    <w:p w14:paraId="194E9F57" w14:textId="13D46BB0" w:rsidR="10D51777" w:rsidRPr="005C127E" w:rsidRDefault="10D51777" w:rsidP="008073F7">
      <w:pPr>
        <w:pStyle w:val="Footer"/>
      </w:pPr>
      <w:r w:rsidRPr="005C127E">
        <w:rPr>
          <w:rStyle w:val="FootnoteReference"/>
          <w:rFonts w:asciiTheme="minorHAnsi" w:hAnsiTheme="minorHAnsi" w:cstheme="minorHAnsi"/>
          <w:szCs w:val="15"/>
        </w:rPr>
        <w:footnoteRef/>
      </w:r>
      <w:r w:rsidR="79BFA22B" w:rsidRPr="005C127E">
        <w:t xml:space="preserve"> M. Otto (2019), </w:t>
      </w:r>
      <w:hyperlink r:id="rId50" w:history="1">
        <w:r w:rsidR="58B395FD" w:rsidRPr="005C127E">
          <w:rPr>
            <w:rStyle w:val="Hyperlink"/>
            <w:rFonts w:asciiTheme="minorHAnsi" w:hAnsiTheme="minorHAnsi" w:cstheme="minorHAnsi"/>
            <w:szCs w:val="15"/>
          </w:rPr>
          <w:t>‘Ethnic mix changing in Catholic schools</w:t>
        </w:r>
      </w:hyperlink>
      <w:r w:rsidR="673B6597" w:rsidRPr="005C127E">
        <w:t xml:space="preserve">‘, </w:t>
      </w:r>
      <w:r w:rsidR="673B6597" w:rsidRPr="005C127E">
        <w:rPr>
          <w:i/>
          <w:iCs/>
        </w:rPr>
        <w:t xml:space="preserve">NZ </w:t>
      </w:r>
      <w:r w:rsidR="6932F764" w:rsidRPr="005C127E">
        <w:rPr>
          <w:i/>
          <w:iCs/>
        </w:rPr>
        <w:t>Catholic.</w:t>
      </w:r>
      <w:r w:rsidR="6932F764" w:rsidRPr="005C127E">
        <w:t xml:space="preserve"> </w:t>
      </w:r>
    </w:p>
  </w:footnote>
  <w:footnote w:id="54">
    <w:p w14:paraId="0BF364A6" w14:textId="4DB05D97" w:rsidR="55BD710C" w:rsidRPr="005C127E" w:rsidRDefault="55BD710C" w:rsidP="008073F7">
      <w:pPr>
        <w:pStyle w:val="Footer"/>
      </w:pPr>
      <w:r w:rsidRPr="005C127E">
        <w:rPr>
          <w:rStyle w:val="FootnoteReference"/>
          <w:rFonts w:asciiTheme="minorHAnsi" w:hAnsiTheme="minorHAnsi" w:cstheme="minorHAnsi"/>
          <w:szCs w:val="15"/>
        </w:rPr>
        <w:footnoteRef/>
      </w:r>
      <w:r w:rsidR="5630946D" w:rsidRPr="005C127E">
        <w:t xml:space="preserve"> P. Lynch</w:t>
      </w:r>
      <w:r w:rsidR="3CBB47D3" w:rsidRPr="005C127E">
        <w:t xml:space="preserve"> (2012</w:t>
      </w:r>
      <w:r w:rsidR="7A6FE1A2" w:rsidRPr="005C127E">
        <w:t>),</w:t>
      </w:r>
      <w:r w:rsidR="3CBB47D3" w:rsidRPr="005C127E">
        <w:t xml:space="preserve"> ’A</w:t>
      </w:r>
      <w:r w:rsidR="5630946D" w:rsidRPr="005C127E">
        <w:t xml:space="preserve"> brief history of the integration of Catholic Schools </w:t>
      </w:r>
      <w:r w:rsidR="6038F99B" w:rsidRPr="005C127E">
        <w:t xml:space="preserve">in New Zealand </w:t>
      </w:r>
      <w:r w:rsidR="5630946D" w:rsidRPr="005C127E">
        <w:t xml:space="preserve">into </w:t>
      </w:r>
      <w:r w:rsidR="43A2D6BC" w:rsidRPr="005C127E">
        <w:t xml:space="preserve">the state system of </w:t>
      </w:r>
      <w:r w:rsidR="22E02138" w:rsidRPr="005C127E">
        <w:t>schools’, New Zealand Catholic Education Office</w:t>
      </w:r>
      <w:r w:rsidR="00C700F9">
        <w:t>.</w:t>
      </w:r>
    </w:p>
  </w:footnote>
  <w:footnote w:id="55">
    <w:p w14:paraId="4BC46BAE" w14:textId="610166E7" w:rsidR="00D01516" w:rsidRPr="005C127E" w:rsidRDefault="00D01516" w:rsidP="008073F7">
      <w:pPr>
        <w:pStyle w:val="Footer"/>
        <w:rPr>
          <w:rFonts w:eastAsia="Segoe UI"/>
        </w:rPr>
      </w:pPr>
      <w:r w:rsidRPr="005C127E">
        <w:rPr>
          <w:rStyle w:val="FootnoteReference"/>
          <w:rFonts w:asciiTheme="minorHAnsi" w:hAnsiTheme="minorHAnsi" w:cstheme="minorHAnsi"/>
          <w:szCs w:val="15"/>
        </w:rPr>
        <w:footnoteRef/>
      </w:r>
      <w:r w:rsidRPr="005C127E">
        <w:t xml:space="preserve"> Y.L. Wong &amp; P. Kwan (2019), </w:t>
      </w:r>
      <w:r w:rsidR="00791835" w:rsidRPr="005C127E">
        <w:rPr>
          <w:i/>
          <w:iCs/>
        </w:rPr>
        <w:t>op</w:t>
      </w:r>
      <w:r w:rsidR="00323664">
        <w:rPr>
          <w:i/>
          <w:iCs/>
        </w:rPr>
        <w:t>.</w:t>
      </w:r>
      <w:r w:rsidR="00791835" w:rsidRPr="005C127E">
        <w:rPr>
          <w:i/>
          <w:iCs/>
        </w:rPr>
        <w:t xml:space="preserve"> cit. </w:t>
      </w:r>
      <w:r w:rsidRPr="005C127E">
        <w:rPr>
          <w:rFonts w:eastAsia="Segoe UI"/>
        </w:rPr>
        <w:t>p.342</w:t>
      </w:r>
      <w:r w:rsidR="00C57830">
        <w:rPr>
          <w:rFonts w:eastAsia="Segoe UI"/>
        </w:rPr>
        <w:t>.</w:t>
      </w:r>
    </w:p>
  </w:footnote>
  <w:footnote w:id="56">
    <w:p w14:paraId="4963D318" w14:textId="0DD595CC" w:rsidR="00D01516" w:rsidRPr="005C127E" w:rsidRDefault="00D01516" w:rsidP="008073F7">
      <w:pPr>
        <w:pStyle w:val="Footer"/>
      </w:pPr>
      <w:r w:rsidRPr="005C127E">
        <w:rPr>
          <w:rStyle w:val="FootnoteReference"/>
          <w:rFonts w:asciiTheme="minorHAnsi" w:hAnsiTheme="minorHAnsi" w:cstheme="minorHAnsi"/>
          <w:szCs w:val="15"/>
        </w:rPr>
        <w:footnoteRef/>
      </w:r>
      <w:r w:rsidRPr="005C127E">
        <w:t xml:space="preserve"> Y.L. Wong &amp; P. Kwan (2019),</w:t>
      </w:r>
      <w:r w:rsidRPr="005C127E">
        <w:rPr>
          <w:rFonts w:eastAsia="Segoe UI"/>
        </w:rPr>
        <w:t xml:space="preserve"> </w:t>
      </w:r>
      <w:r w:rsidR="0087165D" w:rsidRPr="005C127E">
        <w:rPr>
          <w:i/>
          <w:iCs/>
        </w:rPr>
        <w:t xml:space="preserve">op cit. </w:t>
      </w:r>
      <w:r w:rsidRPr="005C127E">
        <w:rPr>
          <w:rFonts w:eastAsia="Segoe UI"/>
        </w:rPr>
        <w:t>p.351</w:t>
      </w:r>
      <w:r w:rsidR="00C57830">
        <w:rPr>
          <w:rFonts w:eastAsia="Segoe UI"/>
        </w:rPr>
        <w:t>.</w:t>
      </w:r>
    </w:p>
  </w:footnote>
  <w:footnote w:id="57">
    <w:p w14:paraId="652D972A" w14:textId="55E05979" w:rsidR="18671F43" w:rsidRPr="005C127E" w:rsidRDefault="18671F43" w:rsidP="008073F7">
      <w:pPr>
        <w:pStyle w:val="Footer"/>
      </w:pPr>
      <w:r w:rsidRPr="005C127E">
        <w:rPr>
          <w:rStyle w:val="FootnoteReference"/>
          <w:rFonts w:asciiTheme="minorHAnsi" w:hAnsiTheme="minorHAnsi" w:cstheme="minorHAnsi"/>
          <w:szCs w:val="15"/>
        </w:rPr>
        <w:footnoteRef/>
      </w:r>
      <w:r w:rsidR="664F331E" w:rsidRPr="005C127E">
        <w:t xml:space="preserve"> OECD (2019), </w:t>
      </w:r>
      <w:r w:rsidR="007E3C6B">
        <w:t>‘</w:t>
      </w:r>
      <w:hyperlink r:id="rId51" w:history="1">
        <w:r w:rsidR="664F331E" w:rsidRPr="00F81BDB">
          <w:rPr>
            <w:rStyle w:val="Hyperlink"/>
          </w:rPr>
          <w:t>PISA 2018 Results (Volume II): Where All Students Can Succeed</w:t>
        </w:r>
      </w:hyperlink>
      <w:r w:rsidR="007E3C6B">
        <w:rPr>
          <w:rStyle w:val="Hyperlink"/>
        </w:rPr>
        <w:t>’</w:t>
      </w:r>
      <w:r w:rsidR="664F331E" w:rsidRPr="005C127E">
        <w:t xml:space="preserve">, PISA, </w:t>
      </w:r>
      <w:r w:rsidR="00327073">
        <w:t xml:space="preserve">Paris, </w:t>
      </w:r>
      <w:r w:rsidR="664F331E" w:rsidRPr="005C127E">
        <w:t xml:space="preserve">OECD Publishing, </w:t>
      </w:r>
      <w:r w:rsidR="00327073">
        <w:t>p.</w:t>
      </w:r>
      <w:r w:rsidR="664F331E" w:rsidRPr="005C127E">
        <w:t>23</w:t>
      </w:r>
      <w:r w:rsidR="00C57830">
        <w:t>.</w:t>
      </w:r>
    </w:p>
  </w:footnote>
  <w:footnote w:id="58">
    <w:p w14:paraId="2D82F308" w14:textId="50F154C1" w:rsidR="003113AE" w:rsidRPr="005C127E" w:rsidRDefault="003113AE" w:rsidP="008073F7">
      <w:pPr>
        <w:pStyle w:val="Footer"/>
        <w:rPr>
          <w:rFonts w:eastAsia="Segoe UI"/>
        </w:rPr>
      </w:pPr>
      <w:r w:rsidRPr="005C127E">
        <w:rPr>
          <w:rStyle w:val="FootnoteReference"/>
          <w:rFonts w:asciiTheme="minorHAnsi" w:hAnsiTheme="minorHAnsi" w:cstheme="minorHAnsi"/>
          <w:szCs w:val="15"/>
        </w:rPr>
        <w:footnoteRef/>
      </w:r>
      <w:r w:rsidRPr="005C127E">
        <w:t xml:space="preserve"> A. Echazarra &amp; M. Schwabe</w:t>
      </w:r>
      <w:r w:rsidRPr="005C127E">
        <w:rPr>
          <w:rFonts w:eastAsia="Segoe UI"/>
        </w:rPr>
        <w:t xml:space="preserve"> (2019), </w:t>
      </w:r>
      <w:r w:rsidR="006273DD" w:rsidRPr="005C127E">
        <w:rPr>
          <w:rFonts w:eastAsia="Segoe UI"/>
        </w:rPr>
        <w:t>‘</w:t>
      </w:r>
      <w:hyperlink r:id="rId52" w:history="1">
        <w:r w:rsidRPr="005C127E">
          <w:rPr>
            <w:rStyle w:val="Hyperlink"/>
            <w:rFonts w:asciiTheme="minorHAnsi" w:eastAsia="Segoe UI" w:hAnsiTheme="minorHAnsi" w:cstheme="minorHAnsi"/>
            <w:szCs w:val="15"/>
          </w:rPr>
          <w:t>Results from PISA 2018, Country Note - Australia</w:t>
        </w:r>
      </w:hyperlink>
      <w:r w:rsidRPr="005C127E">
        <w:rPr>
          <w:rFonts w:eastAsia="Segoe UI"/>
        </w:rPr>
        <w:t>,</w:t>
      </w:r>
      <w:r w:rsidR="00014D26" w:rsidRPr="005C127E">
        <w:rPr>
          <w:rFonts w:eastAsia="Segoe UI"/>
        </w:rPr>
        <w:t>’</w:t>
      </w:r>
      <w:r w:rsidRPr="005C127E">
        <w:rPr>
          <w:rFonts w:eastAsia="Segoe UI"/>
        </w:rPr>
        <w:t xml:space="preserve"> p</w:t>
      </w:r>
      <w:r w:rsidR="008F40F9">
        <w:rPr>
          <w:rFonts w:eastAsia="Segoe UI"/>
        </w:rPr>
        <w:t>p</w:t>
      </w:r>
      <w:r w:rsidRPr="005C127E">
        <w:rPr>
          <w:rFonts w:eastAsia="Segoe UI"/>
        </w:rPr>
        <w:t>.4.; F. Avvisati, A. Echazarra, P. Givord and M. Schwabe</w:t>
      </w:r>
      <w:r w:rsidRPr="005C127E">
        <w:t xml:space="preserve"> (2019)</w:t>
      </w:r>
      <w:r w:rsidRPr="005C127E">
        <w:rPr>
          <w:rFonts w:eastAsia="Segoe UI"/>
        </w:rPr>
        <w:t xml:space="preserve"> </w:t>
      </w:r>
      <w:hyperlink r:id="rId53" w:history="1">
        <w:r w:rsidR="0028035D" w:rsidRPr="0028035D">
          <w:rPr>
            <w:rStyle w:val="Hyperlink"/>
            <w:rFonts w:eastAsia="Segoe UI"/>
          </w:rPr>
          <w:t>'Results from PISA 2018, Country Note - New Zealand'</w:t>
        </w:r>
      </w:hyperlink>
      <w:r w:rsidR="0028035D">
        <w:rPr>
          <w:rFonts w:eastAsia="Segoe UI"/>
        </w:rPr>
        <w:t>.</w:t>
      </w:r>
    </w:p>
  </w:footnote>
  <w:footnote w:id="59">
    <w:p w14:paraId="0A13D8EC" w14:textId="1AD550CC" w:rsidR="1658E835" w:rsidRPr="005C127E" w:rsidRDefault="1658E835" w:rsidP="008073F7">
      <w:pPr>
        <w:pStyle w:val="Footer"/>
        <w:rPr>
          <w:rFonts w:eastAsia="Segoe UI"/>
        </w:rPr>
      </w:pPr>
      <w:r w:rsidRPr="005C127E">
        <w:rPr>
          <w:rStyle w:val="FootnoteReference"/>
          <w:rFonts w:asciiTheme="minorHAnsi" w:hAnsiTheme="minorHAnsi" w:cstheme="minorHAnsi"/>
          <w:szCs w:val="15"/>
        </w:rPr>
        <w:footnoteRef/>
      </w:r>
      <w:r w:rsidR="317F367D" w:rsidRPr="005C127E">
        <w:t xml:space="preserve"> </w:t>
      </w:r>
      <w:r w:rsidR="317F367D" w:rsidRPr="005C127E">
        <w:rPr>
          <w:rFonts w:eastAsia="Segoe UI"/>
        </w:rPr>
        <w:t xml:space="preserve">Y. </w:t>
      </w:r>
      <w:r w:rsidR="317F367D" w:rsidRPr="005C127E">
        <w:t xml:space="preserve">Zhou, Y. Wong, &amp; W. Li, (2015), </w:t>
      </w:r>
      <w:r w:rsidR="00693F81" w:rsidRPr="005C127E">
        <w:rPr>
          <w:i/>
          <w:iCs/>
        </w:rPr>
        <w:t>op</w:t>
      </w:r>
      <w:r w:rsidR="001D6241">
        <w:rPr>
          <w:i/>
          <w:iCs/>
        </w:rPr>
        <w:t>.</w:t>
      </w:r>
      <w:r w:rsidR="00693F81" w:rsidRPr="005C127E">
        <w:rPr>
          <w:i/>
          <w:iCs/>
        </w:rPr>
        <w:t xml:space="preserve"> cit. </w:t>
      </w:r>
      <w:r w:rsidR="317F367D" w:rsidRPr="005C127E">
        <w:rPr>
          <w:rFonts w:eastAsia="Segoe UI"/>
        </w:rPr>
        <w:t>p. 635</w:t>
      </w:r>
      <w:r w:rsidR="00C57830">
        <w:rPr>
          <w:rFonts w:eastAsia="Segoe UI"/>
        </w:rPr>
        <w:t>.</w:t>
      </w:r>
    </w:p>
  </w:footnote>
  <w:footnote w:id="60">
    <w:p w14:paraId="3B726DCB" w14:textId="64C09EF7" w:rsidR="008A407C" w:rsidRPr="005C127E" w:rsidRDefault="008A407C" w:rsidP="008073F7">
      <w:pPr>
        <w:pStyle w:val="Footer"/>
      </w:pPr>
      <w:r w:rsidRPr="005C127E">
        <w:rPr>
          <w:rStyle w:val="FootnoteReference"/>
          <w:rFonts w:asciiTheme="minorHAnsi" w:hAnsiTheme="minorHAnsi" w:cstheme="minorHAnsi"/>
          <w:szCs w:val="15"/>
        </w:rPr>
        <w:footnoteRef/>
      </w:r>
      <w:r w:rsidRPr="005C127E">
        <w:t xml:space="preserve"> New Zealand Post Primary Teachers Association (2009), </w:t>
      </w:r>
      <w:hyperlink r:id="rId54" w:history="1">
        <w:r w:rsidRPr="005C127E">
          <w:rPr>
            <w:rStyle w:val="Hyperlink"/>
            <w:rFonts w:asciiTheme="minorHAnsi" w:hAnsiTheme="minorHAnsi" w:cstheme="minorHAnsi"/>
            <w:szCs w:val="15"/>
          </w:rPr>
          <w:t>’Integration or disintegration</w:t>
        </w:r>
      </w:hyperlink>
      <w:r w:rsidRPr="005C127E">
        <w:t>?</w:t>
      </w:r>
      <w:r w:rsidR="009D74E7">
        <w:t xml:space="preserve">; </w:t>
      </w:r>
      <w:r w:rsidRPr="005C127E">
        <w:rPr>
          <w:rFonts w:eastAsia="Segoe UI"/>
          <w:color w:val="333333"/>
        </w:rPr>
        <w:t xml:space="preserve">E. O’Dwyer (2022), </w:t>
      </w:r>
      <w:hyperlink r:id="rId55" w:history="1">
        <w:r w:rsidRPr="001E19C3">
          <w:rPr>
            <w:rStyle w:val="Hyperlink"/>
            <w:rFonts w:eastAsia="Segoe UI"/>
          </w:rPr>
          <w:t>’State-integrated schools: preserving elitism or providing diversity?</w:t>
        </w:r>
      </w:hyperlink>
      <w:r w:rsidRPr="005C127E">
        <w:rPr>
          <w:rFonts w:eastAsia="Segoe UI"/>
        </w:rPr>
        <w:t xml:space="preserve">’, </w:t>
      </w:r>
      <w:r w:rsidRPr="005C127E">
        <w:rPr>
          <w:rFonts w:eastAsia="Segoe UI"/>
          <w:i/>
        </w:rPr>
        <w:t>Stuff</w:t>
      </w:r>
      <w:r w:rsidR="004F50C5">
        <w:rPr>
          <w:rFonts w:eastAsia="Segoe UI"/>
        </w:rPr>
        <w:t xml:space="preserve"> </w:t>
      </w:r>
      <w:r w:rsidRPr="005C127E">
        <w:rPr>
          <w:rFonts w:eastAsia="Segoe UI"/>
        </w:rPr>
        <w:t xml:space="preserve">; T. Fitzsimons (2017), </w:t>
      </w:r>
      <w:hyperlink r:id="rId56" w:history="1">
        <w:r w:rsidRPr="009D74E7">
          <w:rPr>
            <w:rStyle w:val="Hyperlink"/>
            <w:rFonts w:eastAsia="Segoe UI"/>
          </w:rPr>
          <w:t>’Special characters: The state-funded schools that ask pupils for $5000 and more’</w:t>
        </w:r>
      </w:hyperlink>
      <w:r w:rsidRPr="00F81BDB">
        <w:rPr>
          <w:rStyle w:val="Hyperlink"/>
          <w:i/>
          <w:color w:val="auto"/>
          <w:u w:val="none"/>
        </w:rPr>
        <w:t xml:space="preserve">, </w:t>
      </w:r>
      <w:r w:rsidR="00512BB1" w:rsidRPr="00F81BDB">
        <w:rPr>
          <w:rStyle w:val="Hyperlink"/>
          <w:rFonts w:eastAsia="Segoe UI"/>
          <w:i/>
          <w:iCs/>
          <w:color w:val="auto"/>
          <w:u w:val="none"/>
        </w:rPr>
        <w:t>Stuff.</w:t>
      </w:r>
    </w:p>
  </w:footnote>
  <w:footnote w:id="61">
    <w:p w14:paraId="7AC30D09" w14:textId="4C9F56E7" w:rsidR="00391936" w:rsidRPr="005C127E" w:rsidRDefault="00391936" w:rsidP="008073F7">
      <w:pPr>
        <w:pStyle w:val="Footer"/>
        <w:rPr>
          <w:iCs/>
        </w:rPr>
      </w:pPr>
      <w:r w:rsidRPr="005C127E">
        <w:rPr>
          <w:rStyle w:val="FootnoteReference"/>
          <w:rFonts w:asciiTheme="minorHAnsi" w:hAnsiTheme="minorHAnsi" w:cstheme="minorHAnsi"/>
          <w:szCs w:val="15"/>
        </w:rPr>
        <w:footnoteRef/>
      </w:r>
      <w:r w:rsidRPr="005C127E">
        <w:t xml:space="preserve"> M</w:t>
      </w:r>
      <w:r w:rsidR="008F5C1D">
        <w:t xml:space="preserve">. </w:t>
      </w:r>
      <w:r w:rsidRPr="005C127E">
        <w:t xml:space="preserve">Tham (2021) </w:t>
      </w:r>
      <w:hyperlink r:id="rId57" w:history="1">
        <w:r w:rsidRPr="00B22E69">
          <w:rPr>
            <w:rStyle w:val="Hyperlink"/>
          </w:rPr>
          <w:t>‘Selective schooling and equity: policy proposals for addressing socio</w:t>
        </w:r>
        <w:r w:rsidR="00017998" w:rsidRPr="00B22E69">
          <w:rPr>
            <w:rStyle w:val="Hyperlink"/>
          </w:rPr>
          <w:t>-</w:t>
        </w:r>
        <w:r w:rsidRPr="00B22E69">
          <w:rPr>
            <w:rStyle w:val="Hyperlink"/>
          </w:rPr>
          <w:t>economic and academic stratification in Australian schools.’</w:t>
        </w:r>
      </w:hyperlink>
      <w:r w:rsidRPr="005C127E">
        <w:t xml:space="preserve"> </w:t>
      </w:r>
      <w:r w:rsidRPr="005C127E">
        <w:rPr>
          <w:i/>
        </w:rPr>
        <w:t>CIRES Working Paper 02/2021: Policy Brief</w:t>
      </w:r>
      <w:r w:rsidRPr="005C127E">
        <w:rPr>
          <w:iCs/>
        </w:rPr>
        <w:t>. Melbourne, Centre for International Research on Education Systems, Victoria University.</w:t>
      </w:r>
    </w:p>
  </w:footnote>
  <w:footnote w:id="62">
    <w:p w14:paraId="75D7D56B" w14:textId="048973C9" w:rsidR="004C09B7" w:rsidRDefault="004C09B7">
      <w:pPr>
        <w:pStyle w:val="FootnoteText"/>
      </w:pPr>
      <w:r>
        <w:rPr>
          <w:rStyle w:val="FootnoteReference"/>
        </w:rPr>
        <w:footnoteRef/>
      </w:r>
      <w:r>
        <w:t xml:space="preserve"> </w:t>
      </w:r>
      <w:r w:rsidR="00BB5410">
        <w:t xml:space="preserve">NSW Department of Education (2023) </w:t>
      </w:r>
      <w:r w:rsidR="00BC0A37">
        <w:t>‘</w:t>
      </w:r>
      <w:hyperlink r:id="rId58" w:history="1">
        <w:r w:rsidR="00D71FFF" w:rsidRPr="00D71FFF">
          <w:rPr>
            <w:rStyle w:val="Hyperlink"/>
          </w:rPr>
          <w:t>Equity placement model</w:t>
        </w:r>
      </w:hyperlink>
      <w:r w:rsidR="00BC0A37">
        <w:rPr>
          <w:rStyle w:val="Hyperlink"/>
        </w:rPr>
        <w:t>’</w:t>
      </w:r>
      <w:r w:rsidR="00C57830">
        <w:rPr>
          <w:rStyle w:val="Hyperlink"/>
        </w:rPr>
        <w:t>.</w:t>
      </w:r>
    </w:p>
  </w:footnote>
  <w:footnote w:id="63">
    <w:p w14:paraId="0A2F3D67" w14:textId="282B990C" w:rsidR="00314629" w:rsidRPr="005C127E" w:rsidRDefault="00314629" w:rsidP="008073F7">
      <w:pPr>
        <w:pStyle w:val="Footer"/>
      </w:pPr>
      <w:r w:rsidRPr="005C127E">
        <w:rPr>
          <w:rStyle w:val="FootnoteReference"/>
          <w:rFonts w:asciiTheme="minorHAnsi" w:hAnsiTheme="minorHAnsi" w:cstheme="minorHAnsi"/>
          <w:szCs w:val="15"/>
        </w:rPr>
        <w:footnoteRef/>
      </w:r>
      <w:r w:rsidRPr="005C127E">
        <w:t xml:space="preserve"> C</w:t>
      </w:r>
      <w:r w:rsidR="006672BE" w:rsidRPr="005C127E">
        <w:t>.</w:t>
      </w:r>
      <w:r w:rsidRPr="005C127E">
        <w:t xml:space="preserve"> Ho</w:t>
      </w:r>
      <w:r w:rsidR="006672BE" w:rsidRPr="005C127E">
        <w:t>,</w:t>
      </w:r>
      <w:r w:rsidRPr="005C127E">
        <w:t xml:space="preserve"> (2018). ‘</w:t>
      </w:r>
      <w:hyperlink r:id="rId59" w:history="1">
        <w:r w:rsidR="00C575FE" w:rsidRPr="005C127E">
          <w:rPr>
            <w:rStyle w:val="Hyperlink"/>
            <w:rFonts w:asciiTheme="minorHAnsi" w:hAnsiTheme="minorHAnsi" w:cstheme="minorHAnsi"/>
            <w:szCs w:val="15"/>
          </w:rPr>
          <w:t>Institutionalised Separation: The Impact of Selective Schools</w:t>
        </w:r>
        <w:r w:rsidR="00C52723" w:rsidRPr="005C127E">
          <w:rPr>
            <w:rStyle w:val="Hyperlink"/>
            <w:rFonts w:asciiTheme="minorHAnsi" w:hAnsiTheme="minorHAnsi" w:cstheme="minorHAnsi"/>
            <w:szCs w:val="15"/>
          </w:rPr>
          <w:t>’</w:t>
        </w:r>
      </w:hyperlink>
      <w:r w:rsidR="00C52723" w:rsidRPr="005C127E">
        <w:t xml:space="preserve">, </w:t>
      </w:r>
      <w:r w:rsidR="0098612D" w:rsidRPr="0098612D">
        <w:t>Sydney,</w:t>
      </w:r>
      <w:r w:rsidR="00EB535A" w:rsidRPr="005C127E">
        <w:t xml:space="preserve"> </w:t>
      </w:r>
      <w:r w:rsidR="00220883" w:rsidRPr="003C41ED">
        <w:t>Centre for Policy Development,</w:t>
      </w:r>
      <w:r w:rsidR="00220883" w:rsidRPr="005C127E">
        <w:rPr>
          <w:i/>
          <w:iCs/>
        </w:rPr>
        <w:t xml:space="preserve"> </w:t>
      </w:r>
      <w:r w:rsidR="00E35CDE" w:rsidRPr="005C127E">
        <w:t>p</w:t>
      </w:r>
      <w:r w:rsidR="003F4E14">
        <w:t>p</w:t>
      </w:r>
      <w:r w:rsidR="00E35CDE" w:rsidRPr="005C127E">
        <w:t>. 4</w:t>
      </w:r>
      <w:r w:rsidR="007C4B76">
        <w:t>.</w:t>
      </w:r>
    </w:p>
  </w:footnote>
  <w:footnote w:id="64">
    <w:p w14:paraId="244FF526" w14:textId="2B9B2F96" w:rsidR="007C2BEB" w:rsidRPr="005C127E" w:rsidRDefault="007C2BEB" w:rsidP="008073F7">
      <w:pPr>
        <w:pStyle w:val="Footer"/>
      </w:pPr>
      <w:r w:rsidRPr="005C127E">
        <w:rPr>
          <w:rStyle w:val="FootnoteReference"/>
          <w:rFonts w:asciiTheme="minorHAnsi" w:hAnsiTheme="minorHAnsi" w:cstheme="minorHAnsi"/>
          <w:szCs w:val="15"/>
        </w:rPr>
        <w:footnoteRef/>
      </w:r>
      <w:r w:rsidRPr="005C127E">
        <w:t xml:space="preserve"> </w:t>
      </w:r>
      <w:r w:rsidR="00137BF9" w:rsidRPr="005C127E">
        <w:t>OECD (2019) ‘</w:t>
      </w:r>
      <w:hyperlink r:id="rId60" w:history="1">
        <w:r w:rsidR="00137BF9" w:rsidRPr="004E0850">
          <w:rPr>
            <w:rStyle w:val="Hyperlink"/>
          </w:rPr>
          <w:t>Chapter 4. How school choice policies are related to quality and equity in education.</w:t>
        </w:r>
        <w:r w:rsidR="00092D6B" w:rsidRPr="004E0850">
          <w:rPr>
            <w:rStyle w:val="Hyperlink"/>
          </w:rPr>
          <w:t>’</w:t>
        </w:r>
      </w:hyperlink>
      <w:r w:rsidR="00092D6B" w:rsidRPr="005C127E">
        <w:t xml:space="preserve"> </w:t>
      </w:r>
      <w:r w:rsidR="00137BF9" w:rsidRPr="005C127E">
        <w:rPr>
          <w:i/>
        </w:rPr>
        <w:t>Balancing school choice and equity, an international perspective based on PISA</w:t>
      </w:r>
      <w:r w:rsidR="00731046" w:rsidRPr="005C127E">
        <w:rPr>
          <w:i/>
        </w:rPr>
        <w:t xml:space="preserve">, </w:t>
      </w:r>
      <w:r w:rsidR="00731046" w:rsidRPr="004D41F3">
        <w:t>Paris, OECD Publishing,</w:t>
      </w:r>
      <w:r w:rsidR="001C2D95" w:rsidRPr="004D41F3">
        <w:t xml:space="preserve"> p</w:t>
      </w:r>
      <w:r w:rsidR="00731046" w:rsidRPr="004D41F3">
        <w:t>p.</w:t>
      </w:r>
      <w:r w:rsidR="001C2D95" w:rsidRPr="004D41F3">
        <w:t xml:space="preserve">66 </w:t>
      </w:r>
      <w:r w:rsidR="00C006BE">
        <w:t>–</w:t>
      </w:r>
      <w:r w:rsidR="001C2D95" w:rsidRPr="004D41F3">
        <w:t xml:space="preserve"> 71</w:t>
      </w:r>
      <w:r w:rsidR="007C4B76">
        <w:t>.</w:t>
      </w:r>
    </w:p>
  </w:footnote>
  <w:footnote w:id="65">
    <w:p w14:paraId="41A5887B" w14:textId="7B7D593E" w:rsidR="00B66F75" w:rsidRPr="005C127E" w:rsidRDefault="00B66F75" w:rsidP="008073F7">
      <w:pPr>
        <w:pStyle w:val="Footer"/>
        <w:rPr>
          <w:i/>
        </w:rPr>
      </w:pPr>
      <w:r w:rsidRPr="005C127E">
        <w:rPr>
          <w:rStyle w:val="FootnoteReference"/>
          <w:rFonts w:asciiTheme="minorHAnsi" w:hAnsiTheme="minorHAnsi" w:cstheme="minorHAnsi"/>
          <w:szCs w:val="15"/>
        </w:rPr>
        <w:footnoteRef/>
      </w:r>
      <w:r w:rsidRPr="005C127E">
        <w:t xml:space="preserve"> </w:t>
      </w:r>
      <w:r w:rsidR="007E7372" w:rsidRPr="005C127E">
        <w:t>OECD (2023) ‘</w:t>
      </w:r>
      <w:hyperlink r:id="rId61" w:history="1">
        <w:r w:rsidR="005774A1" w:rsidRPr="003C2A9C">
          <w:rPr>
            <w:rStyle w:val="Hyperlink"/>
          </w:rPr>
          <w:t>Chapter 2. Governing and designing education systems to promote equity and inclusion</w:t>
        </w:r>
      </w:hyperlink>
      <w:r w:rsidR="005774A1" w:rsidRPr="005C127E">
        <w:t>.’</w:t>
      </w:r>
      <w:r w:rsidR="002D72FF" w:rsidRPr="005C127E">
        <w:t xml:space="preserve"> </w:t>
      </w:r>
      <w:r w:rsidR="002D72FF" w:rsidRPr="005C127E">
        <w:rPr>
          <w:i/>
        </w:rPr>
        <w:t>Equity and inclusion in Education</w:t>
      </w:r>
      <w:r w:rsidR="004E0850">
        <w:rPr>
          <w:iCs/>
        </w:rPr>
        <w:t>, pp.</w:t>
      </w:r>
      <w:r w:rsidR="002D72FF" w:rsidRPr="00F81BDB">
        <w:rPr>
          <w:iCs/>
        </w:rPr>
        <w:t>101</w:t>
      </w:r>
      <w:r w:rsidR="007C4B76">
        <w:rPr>
          <w:iCs/>
        </w:rPr>
        <w:t>.</w:t>
      </w:r>
    </w:p>
  </w:footnote>
  <w:footnote w:id="66">
    <w:p w14:paraId="2C0AF280" w14:textId="1C1EC820" w:rsidR="00CB4438" w:rsidRPr="00F81BDB" w:rsidRDefault="00CB4438">
      <w:pPr>
        <w:pStyle w:val="FootnoteText"/>
        <w:rPr>
          <w:i/>
          <w:iCs/>
        </w:rPr>
      </w:pPr>
      <w:r>
        <w:rPr>
          <w:rStyle w:val="FootnoteReference"/>
        </w:rPr>
        <w:footnoteRef/>
      </w:r>
      <w:r>
        <w:t xml:space="preserve"> </w:t>
      </w:r>
      <w:r w:rsidR="00BF7CF0">
        <w:t xml:space="preserve">G. </w:t>
      </w:r>
      <w:r w:rsidR="00BF7CF0" w:rsidRPr="00BF7CF0">
        <w:t>Gutiérrez</w:t>
      </w:r>
      <w:r w:rsidR="00BF7CF0">
        <w:t xml:space="preserve"> </w:t>
      </w:r>
      <w:r w:rsidR="0030717E">
        <w:t>(2021)</w:t>
      </w:r>
      <w:r w:rsidR="00057805">
        <w:t xml:space="preserve"> ‘</w:t>
      </w:r>
      <w:hyperlink r:id="rId62" w:history="1">
        <w:r w:rsidR="00AF4340" w:rsidRPr="00AF4340">
          <w:rPr>
            <w:rStyle w:val="Hyperlink"/>
          </w:rPr>
          <w:t>Chile’s enduring educational segregation: A trend unchanged by different cycles of reform</w:t>
        </w:r>
      </w:hyperlink>
      <w:r w:rsidR="00AF4340">
        <w:t xml:space="preserve">’ </w:t>
      </w:r>
      <w:r w:rsidR="00AF4340">
        <w:rPr>
          <w:i/>
          <w:iCs/>
        </w:rPr>
        <w:t>British Educational Research Association</w:t>
      </w:r>
      <w:r w:rsidR="00B476DC">
        <w:rPr>
          <w:i/>
          <w:iCs/>
        </w:rPr>
        <w:t>.</w:t>
      </w:r>
    </w:p>
  </w:footnote>
  <w:footnote w:id="67">
    <w:p w14:paraId="0AEE3701" w14:textId="3E61EF90" w:rsidR="003D5146" w:rsidRDefault="003D5146">
      <w:pPr>
        <w:pStyle w:val="FootnoteText"/>
      </w:pPr>
      <w:r>
        <w:rPr>
          <w:rStyle w:val="FootnoteReference"/>
        </w:rPr>
        <w:footnoteRef/>
      </w:r>
      <w:r>
        <w:t xml:space="preserve"> Ibid.</w:t>
      </w:r>
    </w:p>
  </w:footnote>
  <w:footnote w:id="68">
    <w:p w14:paraId="0E22A8A3" w14:textId="32A40930" w:rsidR="00ED5389" w:rsidRDefault="00ED5389">
      <w:pPr>
        <w:pStyle w:val="FootnoteText"/>
      </w:pPr>
      <w:r>
        <w:rPr>
          <w:rStyle w:val="FootnoteReference"/>
        </w:rPr>
        <w:footnoteRef/>
      </w:r>
      <w:r>
        <w:t xml:space="preserve"> </w:t>
      </w:r>
      <w:r w:rsidR="00C434CA" w:rsidRPr="00C434CA">
        <w:t xml:space="preserve">B. McGaw </w:t>
      </w:r>
      <w:r w:rsidR="00C434CA">
        <w:t>(</w:t>
      </w:r>
      <w:r w:rsidR="00C434CA" w:rsidRPr="00C434CA">
        <w:t>2021</w:t>
      </w:r>
      <w:r w:rsidR="00C434CA">
        <w:t>) ‘</w:t>
      </w:r>
      <w:r w:rsidR="00C434CA" w:rsidRPr="00C434CA">
        <w:t>Quality and equity in education: simultaneous pursuits or trade-offs?</w:t>
      </w:r>
      <w:r w:rsidR="00C434CA">
        <w:t xml:space="preserve">’ </w:t>
      </w:r>
      <w:r w:rsidR="00E30955" w:rsidRPr="00E30955">
        <w:t>Presentation at the Jubilee Symposium, The Social Futures of Australia, of the Academy of the Social Sciences</w:t>
      </w:r>
      <w:r w:rsidR="00B476DC">
        <w:t>.</w:t>
      </w:r>
    </w:p>
  </w:footnote>
  <w:footnote w:id="69">
    <w:p w14:paraId="70E00C99" w14:textId="7ADDB730" w:rsidR="00A749ED" w:rsidRPr="005C127E" w:rsidRDefault="00A749ED" w:rsidP="008073F7">
      <w:pPr>
        <w:pStyle w:val="Footer"/>
        <w:rPr>
          <w:i/>
        </w:rPr>
      </w:pPr>
      <w:r w:rsidRPr="005C127E">
        <w:rPr>
          <w:rStyle w:val="FootnoteReference"/>
          <w:rFonts w:asciiTheme="minorHAnsi" w:hAnsiTheme="minorHAnsi" w:cstheme="minorHAnsi"/>
          <w:szCs w:val="15"/>
        </w:rPr>
        <w:footnoteRef/>
      </w:r>
      <w:r w:rsidRPr="005C127E">
        <w:t xml:space="preserve"> </w:t>
      </w:r>
      <w:r w:rsidR="00436FD3" w:rsidRPr="005C127E">
        <w:t xml:space="preserve">A, Castejon &amp; A. Zancajo </w:t>
      </w:r>
      <w:r w:rsidR="00315DC4" w:rsidRPr="005C127E">
        <w:t>(2015) ‘</w:t>
      </w:r>
      <w:hyperlink r:id="rId63" w:history="1">
        <w:r w:rsidR="00315DC4" w:rsidRPr="00AF7B26">
          <w:rPr>
            <w:rStyle w:val="Hyperlink"/>
          </w:rPr>
          <w:t>Educational differentiation policies and the performance of disadvantaged students across OECD countries</w:t>
        </w:r>
      </w:hyperlink>
      <w:r w:rsidR="00315DC4" w:rsidRPr="005C127E">
        <w:t xml:space="preserve">.’ </w:t>
      </w:r>
      <w:r w:rsidR="00397AF8" w:rsidRPr="005C127E">
        <w:rPr>
          <w:i/>
          <w:iCs/>
        </w:rPr>
        <w:t>European Educational Research Journal</w:t>
      </w:r>
      <w:r w:rsidR="006A33D7" w:rsidRPr="005C127E">
        <w:rPr>
          <w:i/>
          <w:iCs/>
        </w:rPr>
        <w:t xml:space="preserve">. </w:t>
      </w:r>
      <w:r w:rsidR="00632CF0" w:rsidRPr="001A1089">
        <w:t>Vol</w:t>
      </w:r>
      <w:r w:rsidR="001A1089">
        <w:t>.</w:t>
      </w:r>
      <w:r w:rsidR="00632CF0" w:rsidRPr="001A1089">
        <w:t xml:space="preserve"> 14, Iss</w:t>
      </w:r>
      <w:r w:rsidR="001A1089">
        <w:t>.</w:t>
      </w:r>
      <w:r w:rsidR="00632CF0" w:rsidRPr="001A1089">
        <w:t xml:space="preserve">3-4, </w:t>
      </w:r>
      <w:r w:rsidR="006A33D7" w:rsidRPr="001A1089">
        <w:t>p</w:t>
      </w:r>
      <w:r w:rsidR="00B476DC">
        <w:t>p</w:t>
      </w:r>
      <w:r w:rsidR="00632CF0" w:rsidRPr="001A1089">
        <w:t xml:space="preserve">. </w:t>
      </w:r>
      <w:r w:rsidR="006A33D7" w:rsidRPr="001A1089">
        <w:t>234</w:t>
      </w:r>
      <w:r w:rsidR="000E7E00">
        <w:t xml:space="preserve">; </w:t>
      </w:r>
      <w:r w:rsidR="000E7E00" w:rsidRPr="000E7E00">
        <w:t>However, it should be noted that this study does not use a method from which one can infer causality, and national educational policies and social conditions may differ significantly.</w:t>
      </w:r>
    </w:p>
  </w:footnote>
  <w:footnote w:id="70">
    <w:p w14:paraId="7FEFFE58" w14:textId="248031CB" w:rsidR="0046500F" w:rsidRDefault="0046500F" w:rsidP="009F14EA">
      <w:pPr>
        <w:pStyle w:val="FootnoteText"/>
      </w:pPr>
      <w:r>
        <w:rPr>
          <w:rStyle w:val="FootnoteReference"/>
        </w:rPr>
        <w:footnoteRef/>
      </w:r>
      <w:r>
        <w:t xml:space="preserve"> Inte</w:t>
      </w:r>
      <w:r w:rsidR="000E0600">
        <w:t>r</w:t>
      </w:r>
      <w:r>
        <w:t>view with J. Wennstr</w:t>
      </w:r>
      <w:r w:rsidR="009F14EA">
        <w:t>ö</w:t>
      </w:r>
      <w:r>
        <w:t xml:space="preserve">m </w:t>
      </w:r>
      <w:r w:rsidR="000E0600">
        <w:t xml:space="preserve">20 October 2023; </w:t>
      </w:r>
      <w:r w:rsidR="009F14EA">
        <w:t xml:space="preserve">M. Henrekson &amp; J. Wennström (2022) </w:t>
      </w:r>
      <w:r w:rsidR="009F14EA" w:rsidRPr="00F81BDB">
        <w:rPr>
          <w:i/>
          <w:iCs/>
        </w:rPr>
        <w:t xml:space="preserve">Dumbing Down: </w:t>
      </w:r>
      <w:r w:rsidR="009C15D1" w:rsidRPr="00F81BDB">
        <w:rPr>
          <w:i/>
          <w:iCs/>
        </w:rPr>
        <w:t>The Deinstitutionalization and Fragmentation of the Swedish School System</w:t>
      </w:r>
      <w:r w:rsidR="009F14EA">
        <w:rPr>
          <w:i/>
          <w:iCs/>
        </w:rPr>
        <w:t xml:space="preserve">, </w:t>
      </w:r>
      <w:r w:rsidR="009F14EA">
        <w:t>Palgrave Macmillan.</w:t>
      </w:r>
    </w:p>
  </w:footnote>
  <w:footnote w:id="71">
    <w:p w14:paraId="7B1312E8" w14:textId="12D591DE" w:rsidR="003F07BD" w:rsidRDefault="003F07BD">
      <w:pPr>
        <w:pStyle w:val="FootnoteText"/>
      </w:pPr>
      <w:r>
        <w:rPr>
          <w:rStyle w:val="FootnoteReference"/>
        </w:rPr>
        <w:footnoteRef/>
      </w:r>
      <w:r>
        <w:t xml:space="preserve"> </w:t>
      </w:r>
      <w:r w:rsidRPr="005C127E">
        <w:t xml:space="preserve">OECD (2019) ‘Chapter 4. How school choice policies are related to quality and equity in education.’ </w:t>
      </w:r>
      <w:r w:rsidRPr="005C127E">
        <w:rPr>
          <w:i/>
        </w:rPr>
        <w:t xml:space="preserve">Balancing school choice and equity, an international perspective based on PISA, </w:t>
      </w:r>
      <w:r w:rsidRPr="004D41F3">
        <w:t>Paris, OECD Publishing, pp.</w:t>
      </w:r>
      <w:r>
        <w:t>39</w:t>
      </w:r>
      <w:r w:rsidR="007C4B76">
        <w:t>.</w:t>
      </w:r>
    </w:p>
  </w:footnote>
  <w:footnote w:id="72">
    <w:p w14:paraId="7CC28B91" w14:textId="5BE3443E" w:rsidR="00A45ED0" w:rsidRDefault="00A45ED0">
      <w:pPr>
        <w:pStyle w:val="FootnoteText"/>
      </w:pPr>
      <w:r>
        <w:rPr>
          <w:rStyle w:val="FootnoteReference"/>
        </w:rPr>
        <w:footnoteRef/>
      </w:r>
      <w:r>
        <w:t xml:space="preserve"> </w:t>
      </w:r>
      <w:r w:rsidR="00FE447D">
        <w:t xml:space="preserve">M. </w:t>
      </w:r>
      <w:r w:rsidR="00FE447D" w:rsidRPr="00F81BDB">
        <w:rPr>
          <w:rFonts w:cs="Segoe UI"/>
          <w:shd w:val="clear" w:color="auto" w:fill="FCFCFC"/>
        </w:rPr>
        <w:t xml:space="preserve">Jakubowski (2021). </w:t>
      </w:r>
      <w:r w:rsidR="00B476DC">
        <w:rPr>
          <w:rFonts w:cs="Segoe UI"/>
          <w:color w:val="333333"/>
          <w:shd w:val="clear" w:color="auto" w:fill="FCFCFC"/>
        </w:rPr>
        <w:t>‘</w:t>
      </w:r>
      <w:hyperlink r:id="rId64" w:anchor=":~:text=The%20reforms%20implemented%20between%201999,how%20successful%20these%20changes%20were." w:history="1">
        <w:r w:rsidR="00FE447D" w:rsidRPr="00F81BDB">
          <w:rPr>
            <w:rStyle w:val="Hyperlink"/>
          </w:rPr>
          <w:t>Poland: Polish Education Reforms and Evidence from International Assessments</w:t>
        </w:r>
        <w:r w:rsidR="00B476DC" w:rsidRPr="006724F5">
          <w:rPr>
            <w:rStyle w:val="Hyperlink"/>
            <w:rFonts w:cs="Segoe UI"/>
            <w:shd w:val="clear" w:color="auto" w:fill="FCFCFC"/>
          </w:rPr>
          <w:t>’</w:t>
        </w:r>
      </w:hyperlink>
      <w:r w:rsidR="00FE447D">
        <w:rPr>
          <w:rFonts w:cs="Segoe UI"/>
          <w:color w:val="333333"/>
          <w:shd w:val="clear" w:color="auto" w:fill="FCFCFC"/>
        </w:rPr>
        <w:t xml:space="preserve">. </w:t>
      </w:r>
      <w:r w:rsidR="00FE447D" w:rsidRPr="00F81BDB">
        <w:rPr>
          <w:rFonts w:cs="Segoe UI"/>
          <w:i/>
          <w:iCs/>
          <w:color w:val="333333"/>
          <w:shd w:val="clear" w:color="auto" w:fill="FCFCFC"/>
        </w:rPr>
        <w:t>Improving a Country’s Education</w:t>
      </w:r>
      <w:r w:rsidR="00FE447D">
        <w:rPr>
          <w:rFonts w:cs="Segoe UI"/>
          <w:color w:val="333333"/>
          <w:shd w:val="clear" w:color="auto" w:fill="FCFCFC"/>
        </w:rPr>
        <w:t xml:space="preserve">. Springer, Cham. </w:t>
      </w:r>
    </w:p>
  </w:footnote>
  <w:footnote w:id="73">
    <w:p w14:paraId="413CF970" w14:textId="2649AC52" w:rsidR="003566E9" w:rsidRPr="005C127E" w:rsidRDefault="003566E9" w:rsidP="008073F7">
      <w:pPr>
        <w:pStyle w:val="Footer"/>
      </w:pPr>
      <w:r w:rsidRPr="005C127E">
        <w:rPr>
          <w:rStyle w:val="FootnoteReference"/>
          <w:rFonts w:asciiTheme="minorHAnsi" w:hAnsiTheme="minorHAnsi" w:cstheme="minorHAnsi"/>
          <w:szCs w:val="15"/>
        </w:rPr>
        <w:footnoteRef/>
      </w:r>
      <w:r w:rsidRPr="005C127E">
        <w:t xml:space="preserve"> </w:t>
      </w:r>
      <w:r w:rsidR="009A7F07" w:rsidRPr="005C127E">
        <w:t xml:space="preserve">R. </w:t>
      </w:r>
      <w:r w:rsidRPr="005C127E">
        <w:t xml:space="preserve">Murname et al </w:t>
      </w:r>
      <w:r w:rsidR="009A7F07" w:rsidRPr="005C127E">
        <w:t>(</w:t>
      </w:r>
      <w:r w:rsidRPr="005C127E">
        <w:t>2017</w:t>
      </w:r>
      <w:r w:rsidR="009A7F07" w:rsidRPr="005C127E">
        <w:t>), ‘</w:t>
      </w:r>
      <w:hyperlink r:id="rId65" w:history="1">
        <w:r w:rsidR="001C091B" w:rsidRPr="005C127E">
          <w:rPr>
            <w:rStyle w:val="Hyperlink"/>
            <w:rFonts w:asciiTheme="minorHAnsi" w:hAnsiTheme="minorHAnsi" w:cstheme="minorHAnsi"/>
            <w:szCs w:val="15"/>
          </w:rPr>
          <w:t>The consequences of Educational Voucher reform in Chile</w:t>
        </w:r>
      </w:hyperlink>
      <w:r w:rsidR="00413F5E" w:rsidRPr="005C127E">
        <w:t>,</w:t>
      </w:r>
      <w:r w:rsidR="006B3DA9" w:rsidRPr="005C127E">
        <w:t xml:space="preserve">’ </w:t>
      </w:r>
      <w:r w:rsidR="00413F5E" w:rsidRPr="005C127E">
        <w:rPr>
          <w:i/>
          <w:iCs/>
        </w:rPr>
        <w:t>NBER Working Paper No. 23550,</w:t>
      </w:r>
      <w:r w:rsidR="001C091B" w:rsidRPr="005C127E">
        <w:t xml:space="preserve"> </w:t>
      </w:r>
      <w:r w:rsidR="00B67A7B" w:rsidRPr="00F81BDB">
        <w:rPr>
          <w:iCs/>
        </w:rPr>
        <w:t>p</w:t>
      </w:r>
      <w:r w:rsidR="006724F5">
        <w:rPr>
          <w:iCs/>
        </w:rPr>
        <w:t>p.</w:t>
      </w:r>
      <w:r w:rsidR="00B67A7B" w:rsidRPr="00F81BDB">
        <w:rPr>
          <w:iCs/>
        </w:rPr>
        <w:t>5</w:t>
      </w:r>
      <w:r w:rsidR="007C4B76">
        <w:rPr>
          <w:iCs/>
        </w:rPr>
        <w:t>.</w:t>
      </w:r>
    </w:p>
  </w:footnote>
  <w:footnote w:id="74">
    <w:p w14:paraId="6AF416E8" w14:textId="71D78880" w:rsidR="00D06418" w:rsidRPr="005C127E" w:rsidRDefault="00D06418" w:rsidP="008073F7">
      <w:pPr>
        <w:pStyle w:val="Footer"/>
        <w:rPr>
          <w:rFonts w:eastAsia="Times New Roman"/>
          <w:lang w:eastAsia="en-AU"/>
        </w:rPr>
      </w:pPr>
      <w:r w:rsidRPr="005C127E">
        <w:rPr>
          <w:rStyle w:val="FootnoteReference"/>
          <w:rFonts w:asciiTheme="minorHAnsi" w:hAnsiTheme="minorHAnsi" w:cstheme="minorHAnsi"/>
          <w:szCs w:val="15"/>
        </w:rPr>
        <w:footnoteRef/>
      </w:r>
      <w:r w:rsidRPr="005C127E">
        <w:t xml:space="preserve"> S. </w:t>
      </w:r>
      <w:r w:rsidRPr="005C127E">
        <w:rPr>
          <w:rFonts w:eastAsia="Times New Roman"/>
          <w:color w:val="333333"/>
          <w:shd w:val="clear" w:color="auto" w:fill="FFFFFF"/>
          <w:lang w:eastAsia="en-AU"/>
        </w:rPr>
        <w:t xml:space="preserve">Saporito (2017). </w:t>
      </w:r>
      <w:r w:rsidR="005C127E" w:rsidRPr="005C127E">
        <w:rPr>
          <w:rFonts w:eastAsia="Times New Roman"/>
          <w:color w:val="333333"/>
          <w:shd w:val="clear" w:color="auto" w:fill="FFFFFF"/>
          <w:lang w:eastAsia="en-AU"/>
        </w:rPr>
        <w:t>‘</w:t>
      </w:r>
      <w:hyperlink r:id="rId66" w:history="1">
        <w:r w:rsidRPr="00C21361">
          <w:rPr>
            <w:rStyle w:val="Hyperlink"/>
            <w:rFonts w:eastAsia="Times New Roman"/>
            <w:shd w:val="clear" w:color="auto" w:fill="FFFFFF"/>
            <w:lang w:eastAsia="en-AU"/>
          </w:rPr>
          <w:t>Shaping Income Segregation in Schools: The Role of School Attendance Zone Geography</w:t>
        </w:r>
      </w:hyperlink>
      <w:r w:rsidR="005C127E" w:rsidRPr="005C127E">
        <w:rPr>
          <w:rFonts w:eastAsia="Times New Roman"/>
          <w:color w:val="333333"/>
          <w:shd w:val="clear" w:color="auto" w:fill="FFFFFF"/>
          <w:lang w:eastAsia="en-AU"/>
        </w:rPr>
        <w:t>,’</w:t>
      </w:r>
      <w:r w:rsidRPr="005C127E">
        <w:rPr>
          <w:rFonts w:eastAsia="Times New Roman"/>
          <w:color w:val="333333"/>
          <w:shd w:val="clear" w:color="auto" w:fill="FFFFFF"/>
          <w:lang w:eastAsia="en-AU"/>
        </w:rPr>
        <w:t> </w:t>
      </w:r>
      <w:r w:rsidRPr="005C127E">
        <w:rPr>
          <w:rFonts w:eastAsia="Times New Roman"/>
          <w:i/>
          <w:color w:val="333333"/>
          <w:shd w:val="clear" w:color="auto" w:fill="FFFFFF"/>
          <w:lang w:eastAsia="en-AU"/>
        </w:rPr>
        <w:t>American Educational Research Journal</w:t>
      </w:r>
      <w:r w:rsidRPr="005C127E">
        <w:rPr>
          <w:rFonts w:eastAsia="Times New Roman"/>
          <w:color w:val="333333"/>
          <w:shd w:val="clear" w:color="auto" w:fill="FFFFFF"/>
          <w:lang w:eastAsia="en-AU"/>
        </w:rPr>
        <w:t>, </w:t>
      </w:r>
      <w:r w:rsidR="0004532E" w:rsidRPr="00BB6FE5">
        <w:rPr>
          <w:rFonts w:eastAsia="Times New Roman"/>
          <w:color w:val="333333"/>
          <w:shd w:val="clear" w:color="auto" w:fill="FFFFFF"/>
          <w:lang w:eastAsia="en-AU"/>
        </w:rPr>
        <w:t xml:space="preserve">Vol, </w:t>
      </w:r>
      <w:r w:rsidRPr="00BB6FE5">
        <w:rPr>
          <w:rFonts w:eastAsia="Times New Roman"/>
          <w:color w:val="333333"/>
          <w:shd w:val="clear" w:color="auto" w:fill="FFFFFF"/>
          <w:lang w:eastAsia="en-AU"/>
        </w:rPr>
        <w:t>54</w:t>
      </w:r>
      <w:r w:rsidR="0004532E" w:rsidRPr="00BB6FE5">
        <w:rPr>
          <w:rFonts w:eastAsia="Times New Roman"/>
          <w:color w:val="333333"/>
          <w:shd w:val="clear" w:color="auto" w:fill="FFFFFF"/>
          <w:lang w:eastAsia="en-AU"/>
        </w:rPr>
        <w:t xml:space="preserve">, Iss. </w:t>
      </w:r>
      <w:r w:rsidRPr="005C127E">
        <w:rPr>
          <w:rFonts w:eastAsia="Times New Roman"/>
          <w:color w:val="333333"/>
          <w:shd w:val="clear" w:color="auto" w:fill="FFFFFF"/>
          <w:lang w:eastAsia="en-AU"/>
        </w:rPr>
        <w:t xml:space="preserve">6, </w:t>
      </w:r>
      <w:r w:rsidR="005C127E" w:rsidRPr="005C127E">
        <w:rPr>
          <w:rFonts w:eastAsia="Times New Roman"/>
          <w:color w:val="333333"/>
          <w:shd w:val="clear" w:color="auto" w:fill="FFFFFF"/>
          <w:lang w:eastAsia="en-AU"/>
        </w:rPr>
        <w:t>p</w:t>
      </w:r>
      <w:r w:rsidR="00710991">
        <w:rPr>
          <w:rFonts w:eastAsia="Times New Roman"/>
          <w:color w:val="333333"/>
          <w:shd w:val="clear" w:color="auto" w:fill="FFFFFF"/>
          <w:lang w:eastAsia="en-AU"/>
        </w:rPr>
        <w:t>p</w:t>
      </w:r>
      <w:r w:rsidR="005C127E" w:rsidRPr="005C127E">
        <w:rPr>
          <w:rFonts w:eastAsia="Times New Roman"/>
          <w:color w:val="333333"/>
          <w:shd w:val="clear" w:color="auto" w:fill="FFFFFF"/>
          <w:lang w:eastAsia="en-AU"/>
        </w:rPr>
        <w:t xml:space="preserve">. </w:t>
      </w:r>
      <w:r w:rsidRPr="005C127E">
        <w:rPr>
          <w:rFonts w:eastAsia="Times New Roman"/>
          <w:color w:val="333333"/>
          <w:shd w:val="clear" w:color="auto" w:fill="FFFFFF"/>
          <w:lang w:eastAsia="en-AU"/>
        </w:rPr>
        <w:t>1345–1377</w:t>
      </w:r>
      <w:r w:rsidR="007C4B76">
        <w:rPr>
          <w:rFonts w:eastAsia="Times New Roman"/>
          <w:lang w:eastAsia="en-AU"/>
        </w:rPr>
        <w:t>.</w:t>
      </w:r>
    </w:p>
  </w:footnote>
  <w:footnote w:id="75">
    <w:p w14:paraId="27B5F172" w14:textId="3A8D755F" w:rsidR="00EE17D8" w:rsidRPr="005C127E" w:rsidRDefault="00EE17D8" w:rsidP="008073F7">
      <w:pPr>
        <w:pStyle w:val="Footer"/>
      </w:pPr>
      <w:r w:rsidRPr="005C127E">
        <w:rPr>
          <w:rStyle w:val="FootnoteReference"/>
          <w:rFonts w:asciiTheme="minorHAnsi" w:hAnsiTheme="minorHAnsi" w:cstheme="minorHAnsi"/>
          <w:szCs w:val="15"/>
        </w:rPr>
        <w:footnoteRef/>
      </w:r>
      <w:r w:rsidRPr="005C127E">
        <w:t xml:space="preserve"> OECD (2010), “</w:t>
      </w:r>
      <w:hyperlink r:id="rId67" w:history="1">
        <w:r w:rsidRPr="00C21361">
          <w:rPr>
            <w:rStyle w:val="Hyperlink"/>
          </w:rPr>
          <w:t>What school choices are available and what measures do countries use to promote or restrict school choice</w:t>
        </w:r>
      </w:hyperlink>
      <w:r w:rsidRPr="005C127E">
        <w:t xml:space="preserve">?” </w:t>
      </w:r>
      <w:r w:rsidRPr="005C127E">
        <w:rPr>
          <w:i/>
        </w:rPr>
        <w:t>Education at a Glance 2010: OECD Indicators</w:t>
      </w:r>
      <w:r w:rsidRPr="005C127E">
        <w:t>,</w:t>
      </w:r>
      <w:r w:rsidR="00C21361">
        <w:t xml:space="preserve"> Paris,</w:t>
      </w:r>
      <w:r w:rsidRPr="005C127E">
        <w:t xml:space="preserve"> OECD Publishing</w:t>
      </w:r>
      <w:r w:rsidR="00C21361">
        <w:t>.</w:t>
      </w:r>
    </w:p>
  </w:footnote>
  <w:footnote w:id="76">
    <w:p w14:paraId="5CA1D1CB" w14:textId="38BDE8C6" w:rsidR="00466A87" w:rsidRPr="005C127E" w:rsidRDefault="00466A87" w:rsidP="008073F7">
      <w:pPr>
        <w:pStyle w:val="Footer"/>
      </w:pPr>
      <w:r w:rsidRPr="005C127E">
        <w:rPr>
          <w:rStyle w:val="FootnoteReference"/>
          <w:rFonts w:asciiTheme="minorHAnsi" w:hAnsiTheme="minorHAnsi" w:cstheme="minorHAnsi"/>
          <w:szCs w:val="15"/>
        </w:rPr>
        <w:footnoteRef/>
      </w:r>
      <w:r w:rsidRPr="005C127E">
        <w:t xml:space="preserve"> </w:t>
      </w:r>
      <w:r w:rsidR="005D29E6">
        <w:t xml:space="preserve">Monash University (2023). </w:t>
      </w:r>
      <w:r w:rsidR="007C64FB" w:rsidRPr="007C64FB">
        <w:t>‘</w:t>
      </w:r>
      <w:r w:rsidR="005D29E6" w:rsidRPr="00F81BDB">
        <w:t>What works to address concentrations of disadvantage in schools?</w:t>
      </w:r>
      <w:r w:rsidR="007C64FB" w:rsidRPr="00F81BDB">
        <w:t>’</w:t>
      </w:r>
      <w:r w:rsidR="005D29E6">
        <w:t xml:space="preserve"> A rapid scoping review. Behaviour Works Australia.</w:t>
      </w:r>
      <w:r w:rsidR="007C64FB">
        <w:t xml:space="preserve"> </w:t>
      </w:r>
      <w:r w:rsidR="007C64FB" w:rsidRPr="007C64FB">
        <w:t>UNESCO, 2020[83]) cited in OECD (2023) Equity and Inclusion in Education: Finding strength through diversity, OECD Publishing, Paris.</w:t>
      </w:r>
    </w:p>
  </w:footnote>
  <w:footnote w:id="77">
    <w:p w14:paraId="7D310E47" w14:textId="3A7F90E2" w:rsidR="00811FFA" w:rsidRDefault="00811FFA">
      <w:pPr>
        <w:pStyle w:val="FootnoteText"/>
      </w:pPr>
      <w:r>
        <w:rPr>
          <w:rStyle w:val="FootnoteReference"/>
        </w:rPr>
        <w:footnoteRef/>
      </w:r>
      <w:r>
        <w:t xml:space="preserve"> A. Castro et al. (2023) ‘</w:t>
      </w:r>
      <w:hyperlink r:id="rId68" w:history="1">
        <w:r w:rsidRPr="00FB6C9B">
          <w:rPr>
            <w:rStyle w:val="Hyperlink"/>
          </w:rPr>
          <w:t>Drawn into policy: A systematic review of school rezoning rationales, processes, and outcomes’</w:t>
        </w:r>
      </w:hyperlink>
      <w:r>
        <w:t xml:space="preserve">, </w:t>
      </w:r>
      <w:r>
        <w:rPr>
          <w:i/>
          <w:iCs/>
        </w:rPr>
        <w:t>Review of Educational Research</w:t>
      </w:r>
      <w:r w:rsidR="00D01F94">
        <w:rPr>
          <w:i/>
          <w:iCs/>
        </w:rPr>
        <w:t>.</w:t>
      </w:r>
    </w:p>
  </w:footnote>
  <w:footnote w:id="78">
    <w:p w14:paraId="34E6AD5F" w14:textId="3C26DC6D" w:rsidR="0047365E" w:rsidRPr="0047365E" w:rsidRDefault="0047365E">
      <w:pPr>
        <w:pStyle w:val="FootnoteText"/>
      </w:pPr>
      <w:r>
        <w:rPr>
          <w:rStyle w:val="FootnoteReference"/>
        </w:rPr>
        <w:footnoteRef/>
      </w:r>
      <w:r>
        <w:t xml:space="preserve"> S. Saporito (2017), ‘</w:t>
      </w:r>
      <w:hyperlink r:id="rId69" w:anchor=":~:text=Third%2C%20irregularly%2Dshaped%20attendance%20zones,and%20scale%20of%20residential%20segregation." w:history="1">
        <w:r w:rsidRPr="00F81BDB">
          <w:rPr>
            <w:rStyle w:val="Hyperlink"/>
          </w:rPr>
          <w:t>Irregularly-shaped school attendance zones and racial integration</w:t>
        </w:r>
      </w:hyperlink>
      <w:r>
        <w:t xml:space="preserve">’ </w:t>
      </w:r>
      <w:r>
        <w:rPr>
          <w:i/>
          <w:iCs/>
        </w:rPr>
        <w:t xml:space="preserve">Social Science Research, </w:t>
      </w:r>
      <w:r w:rsidR="00CE6464">
        <w:t xml:space="preserve">Vol. </w:t>
      </w:r>
      <w:r w:rsidR="00D92239">
        <w:t>46.</w:t>
      </w:r>
    </w:p>
  </w:footnote>
  <w:footnote w:id="79">
    <w:p w14:paraId="04F97205" w14:textId="7E5FD523" w:rsidR="00C81ADA" w:rsidRDefault="00C81ADA">
      <w:pPr>
        <w:pStyle w:val="FootnoteText"/>
      </w:pPr>
      <w:r>
        <w:rPr>
          <w:rStyle w:val="FootnoteReference"/>
        </w:rPr>
        <w:footnoteRef/>
      </w:r>
      <w:r>
        <w:t xml:space="preserve"> </w:t>
      </w:r>
      <w:r w:rsidR="0015405A">
        <w:t>A. Castro et al. (2023) ‘</w:t>
      </w:r>
      <w:hyperlink r:id="rId70" w:history="1">
        <w:r w:rsidR="0015405A" w:rsidRPr="00FB6C9B">
          <w:rPr>
            <w:rStyle w:val="Hyperlink"/>
          </w:rPr>
          <w:t>Drawn into policy: A systematic review of school rezoning rationales, processes, and outcomes’</w:t>
        </w:r>
      </w:hyperlink>
      <w:r w:rsidR="0015405A">
        <w:t xml:space="preserve">, </w:t>
      </w:r>
      <w:r w:rsidR="0015405A">
        <w:rPr>
          <w:i/>
          <w:iCs/>
        </w:rPr>
        <w:t>Review of Educational Research</w:t>
      </w:r>
      <w:r w:rsidR="00D01F94">
        <w:rPr>
          <w:i/>
          <w:iCs/>
        </w:rPr>
        <w:t>.</w:t>
      </w:r>
    </w:p>
  </w:footnote>
  <w:footnote w:id="80">
    <w:p w14:paraId="527A6025" w14:textId="1E9FF731" w:rsidR="00DF61D0" w:rsidRPr="0029443A" w:rsidRDefault="00DF61D0" w:rsidP="008073F7">
      <w:pPr>
        <w:pStyle w:val="Footer"/>
        <w:rPr>
          <w:i/>
          <w:iCs/>
        </w:rPr>
      </w:pPr>
      <w:r w:rsidRPr="005C127E">
        <w:rPr>
          <w:rStyle w:val="FootnoteReference"/>
          <w:rFonts w:asciiTheme="minorHAnsi" w:hAnsiTheme="minorHAnsi" w:cstheme="minorHAnsi"/>
          <w:szCs w:val="15"/>
        </w:rPr>
        <w:footnoteRef/>
      </w:r>
      <w:r w:rsidR="0093165B" w:rsidRPr="005C127E">
        <w:t xml:space="preserve"> </w:t>
      </w:r>
      <w:r w:rsidR="0029443A" w:rsidRPr="005C127E">
        <w:t>T</w:t>
      </w:r>
      <w:r w:rsidR="0029443A">
        <w:t xml:space="preserve">. </w:t>
      </w:r>
      <w:r w:rsidR="00310A56" w:rsidRPr="005C127E">
        <w:t>Monarrez</w:t>
      </w:r>
      <w:r w:rsidR="0029443A">
        <w:t xml:space="preserve"> et al. (2021)</w:t>
      </w:r>
      <w:r w:rsidR="00310A56" w:rsidRPr="005C127E">
        <w:t xml:space="preserve"> ‘Dividing Lines: Racially </w:t>
      </w:r>
      <w:r w:rsidR="005C127E" w:rsidRPr="005C127E">
        <w:t>Unequal</w:t>
      </w:r>
      <w:r w:rsidR="005C127E">
        <w:t xml:space="preserve"> </w:t>
      </w:r>
      <w:r w:rsidR="00310A56" w:rsidRPr="005C127E">
        <w:t>School Boundaries in US Public School Systems</w:t>
      </w:r>
      <w:r w:rsidR="0095143C">
        <w:t>,</w:t>
      </w:r>
      <w:r w:rsidR="00310A56" w:rsidRPr="005C127E">
        <w:t xml:space="preserve">’ </w:t>
      </w:r>
      <w:r w:rsidR="00310A56" w:rsidRPr="005C127E">
        <w:rPr>
          <w:i/>
          <w:iCs/>
        </w:rPr>
        <w:t>Urban Institut</w:t>
      </w:r>
      <w:r w:rsidR="0029443A">
        <w:rPr>
          <w:i/>
          <w:iCs/>
        </w:rPr>
        <w:t>e</w:t>
      </w:r>
      <w:r w:rsidR="00236514">
        <w:rPr>
          <w:i/>
          <w:iCs/>
        </w:rPr>
        <w:t xml:space="preserve"> Centre on Education Data and Policy.</w:t>
      </w:r>
    </w:p>
  </w:footnote>
  <w:footnote w:id="81">
    <w:p w14:paraId="547D5000" w14:textId="6897BD22" w:rsidR="007A1D65" w:rsidRPr="005C127E" w:rsidRDefault="007A1D65" w:rsidP="008073F7">
      <w:pPr>
        <w:pStyle w:val="Footer"/>
      </w:pPr>
      <w:r w:rsidRPr="005C127E">
        <w:rPr>
          <w:rStyle w:val="FootnoteReference"/>
          <w:rFonts w:asciiTheme="minorHAnsi" w:hAnsiTheme="minorHAnsi" w:cstheme="minorHAnsi"/>
          <w:szCs w:val="15"/>
        </w:rPr>
        <w:footnoteRef/>
      </w:r>
      <w:r w:rsidRPr="005C127E">
        <w:t xml:space="preserve"> M. Richards (2014) ‘</w:t>
      </w:r>
      <w:hyperlink r:id="rId71" w:history="1">
        <w:r w:rsidRPr="002C71BD">
          <w:rPr>
            <w:rStyle w:val="Hyperlink"/>
            <w:rFonts w:asciiTheme="minorHAnsi" w:hAnsiTheme="minorHAnsi" w:cstheme="minorHAnsi"/>
            <w:szCs w:val="15"/>
          </w:rPr>
          <w:t>The gerrymandering of school attendance zones and the segregation of public schools: a geospatial analysis’</w:t>
        </w:r>
      </w:hyperlink>
      <w:r w:rsidRPr="005C127E">
        <w:t xml:space="preserve">, </w:t>
      </w:r>
      <w:r w:rsidRPr="005C127E">
        <w:rPr>
          <w:i/>
          <w:iCs/>
        </w:rPr>
        <w:t xml:space="preserve">American Educational Research Journal, </w:t>
      </w:r>
      <w:r w:rsidRPr="005C127E">
        <w:t>Vol. 51, Iss. 6, pp.119</w:t>
      </w:r>
      <w:r w:rsidR="00D01F94">
        <w:t>.</w:t>
      </w:r>
    </w:p>
  </w:footnote>
  <w:footnote w:id="82">
    <w:p w14:paraId="569745FB" w14:textId="1A865395" w:rsidR="0094148D" w:rsidRPr="005C127E" w:rsidRDefault="0094148D" w:rsidP="008073F7">
      <w:pPr>
        <w:pStyle w:val="Footer"/>
      </w:pPr>
      <w:r w:rsidRPr="00A670CC">
        <w:rPr>
          <w:rStyle w:val="FootnoteReference"/>
          <w:rFonts w:asciiTheme="minorHAnsi" w:hAnsiTheme="minorHAnsi" w:cstheme="minorHAnsi"/>
          <w:szCs w:val="15"/>
        </w:rPr>
        <w:footnoteRef/>
      </w:r>
      <w:r w:rsidRPr="00A670CC">
        <w:t xml:space="preserve"> </w:t>
      </w:r>
      <w:r w:rsidRPr="005C127E">
        <w:t xml:space="preserve">O. Dlabac et al (2022) </w:t>
      </w:r>
      <w:r w:rsidR="005C127E">
        <w:t>‘</w:t>
      </w:r>
      <w:hyperlink r:id="rId72" w:history="1">
        <w:r w:rsidRPr="00A951FE">
          <w:rPr>
            <w:rStyle w:val="Hyperlink"/>
            <w:rFonts w:asciiTheme="minorHAnsi" w:hAnsiTheme="minorHAnsi" w:cstheme="minorHAnsi"/>
            <w:szCs w:val="15"/>
          </w:rPr>
          <w:t xml:space="preserve">School mixing: more equity through intelligent school zoning. Optimised school catchment areas for </w:t>
        </w:r>
        <w:r w:rsidR="005C127E" w:rsidRPr="00A951FE">
          <w:rPr>
            <w:rStyle w:val="Hyperlink"/>
            <w:rFonts w:asciiTheme="minorHAnsi" w:hAnsiTheme="minorHAnsi" w:cstheme="minorHAnsi"/>
            <w:szCs w:val="15"/>
          </w:rPr>
          <w:t>Swiss</w:t>
        </w:r>
        <w:r w:rsidRPr="00A951FE">
          <w:rPr>
            <w:rStyle w:val="Hyperlink"/>
            <w:rFonts w:asciiTheme="minorHAnsi" w:hAnsiTheme="minorHAnsi" w:cstheme="minorHAnsi"/>
            <w:szCs w:val="15"/>
          </w:rPr>
          <w:t xml:space="preserve"> cities</w:t>
        </w:r>
        <w:r w:rsidR="005C127E" w:rsidRPr="00A951FE">
          <w:rPr>
            <w:rStyle w:val="Hyperlink"/>
            <w:rFonts w:asciiTheme="minorHAnsi" w:hAnsiTheme="minorHAnsi" w:cstheme="minorHAnsi"/>
            <w:szCs w:val="15"/>
          </w:rPr>
          <w:t>’</w:t>
        </w:r>
        <w:r w:rsidRPr="00A951FE">
          <w:rPr>
            <w:rStyle w:val="Hyperlink"/>
            <w:rFonts w:asciiTheme="minorHAnsi" w:hAnsiTheme="minorHAnsi" w:cstheme="minorHAnsi"/>
            <w:szCs w:val="15"/>
          </w:rPr>
          <w:t>,</w:t>
        </w:r>
      </w:hyperlink>
      <w:r w:rsidRPr="005C127E">
        <w:rPr>
          <w:i/>
          <w:iCs/>
        </w:rPr>
        <w:t xml:space="preserve"> Study reports of the Centre for Democracy Studies Aarau, No. 17.</w:t>
      </w:r>
      <w:r w:rsidRPr="005C127E">
        <w:t xml:space="preserve"> </w:t>
      </w:r>
    </w:p>
  </w:footnote>
  <w:footnote w:id="83">
    <w:p w14:paraId="0464907E" w14:textId="6154DC1E" w:rsidR="0094148D" w:rsidRPr="005C127E" w:rsidRDefault="0094148D" w:rsidP="008073F7">
      <w:pPr>
        <w:pStyle w:val="Footer"/>
      </w:pPr>
      <w:r w:rsidRPr="005C127E">
        <w:rPr>
          <w:rStyle w:val="FootnoteReference"/>
          <w:rFonts w:asciiTheme="minorHAnsi" w:hAnsiTheme="minorHAnsi" w:cstheme="minorHAnsi"/>
          <w:szCs w:val="15"/>
        </w:rPr>
        <w:footnoteRef/>
      </w:r>
      <w:r w:rsidRPr="005C127E">
        <w:t xml:space="preserve"> </w:t>
      </w:r>
      <w:r w:rsidR="00EC3967">
        <w:t>Ibid.</w:t>
      </w:r>
      <w:r w:rsidRPr="005C127E">
        <w:t xml:space="preserve"> </w:t>
      </w:r>
    </w:p>
  </w:footnote>
  <w:footnote w:id="84">
    <w:p w14:paraId="7DCD7F3D" w14:textId="45DAB9D3" w:rsidR="00A904DA" w:rsidRDefault="00A904DA">
      <w:pPr>
        <w:pStyle w:val="FootnoteText"/>
      </w:pPr>
      <w:r>
        <w:rPr>
          <w:rStyle w:val="FootnoteReference"/>
        </w:rPr>
        <w:footnoteRef/>
      </w:r>
      <w:r>
        <w:t xml:space="preserve"> </w:t>
      </w:r>
      <w:r w:rsidR="006379B7" w:rsidRPr="005C127E">
        <w:t xml:space="preserve">O. Dlabac et al (2022) </w:t>
      </w:r>
      <w:r w:rsidR="006379B7">
        <w:t>‘</w:t>
      </w:r>
      <w:hyperlink r:id="rId73" w:history="1">
        <w:r w:rsidR="006379B7" w:rsidRPr="00A951FE">
          <w:rPr>
            <w:rStyle w:val="Hyperlink"/>
            <w:rFonts w:asciiTheme="minorHAnsi" w:hAnsiTheme="minorHAnsi" w:cstheme="minorHAnsi"/>
            <w:szCs w:val="15"/>
          </w:rPr>
          <w:t>School mixing: more equity through intelligent school zoning. Optimised school catchment areas for Swiss cities’,</w:t>
        </w:r>
      </w:hyperlink>
      <w:r w:rsidR="006379B7" w:rsidRPr="005C127E">
        <w:rPr>
          <w:i/>
          <w:iCs/>
        </w:rPr>
        <w:t xml:space="preserve"> Study reports of the Centre for Democracy Studies Aarau, No. 17.</w:t>
      </w:r>
      <w:r w:rsidR="006379B7" w:rsidRPr="005C127E">
        <w:t xml:space="preserve"> </w:t>
      </w:r>
    </w:p>
  </w:footnote>
  <w:footnote w:id="85">
    <w:p w14:paraId="71A51AC8" w14:textId="749C88C3" w:rsidR="00395701" w:rsidRPr="002D27BF" w:rsidRDefault="00395701" w:rsidP="008073F7">
      <w:pPr>
        <w:pStyle w:val="Footer"/>
      </w:pPr>
      <w:r w:rsidRPr="005C127E">
        <w:rPr>
          <w:rStyle w:val="FootnoteReference"/>
          <w:rFonts w:asciiTheme="minorHAnsi" w:hAnsiTheme="minorHAnsi" w:cstheme="minorHAnsi"/>
          <w:szCs w:val="15"/>
        </w:rPr>
        <w:footnoteRef/>
      </w:r>
      <w:r w:rsidRPr="005C127E">
        <w:t xml:space="preserve"> </w:t>
      </w:r>
      <w:bookmarkStart w:id="22" w:name="_Hlk146839236"/>
      <w:r w:rsidRPr="005C127E">
        <w:t>Basteck, C. et al</w:t>
      </w:r>
      <w:r w:rsidR="00E415DD">
        <w:t xml:space="preserve"> (2021)</w:t>
      </w:r>
      <w:r w:rsidRPr="005C127E">
        <w:t xml:space="preserve"> ‘</w:t>
      </w:r>
      <w:hyperlink r:id="rId74" w:history="1">
        <w:r w:rsidRPr="002D27BF">
          <w:rPr>
            <w:rStyle w:val="Hyperlink"/>
          </w:rPr>
          <w:t>How Lotteries in School Choice Help to Level the Playing Field</w:t>
        </w:r>
        <w:r w:rsidR="00BF530F" w:rsidRPr="002D27BF">
          <w:rPr>
            <w:rStyle w:val="Hyperlink"/>
          </w:rPr>
          <w:t>,</w:t>
        </w:r>
      </w:hyperlink>
      <w:r w:rsidR="00BF530F">
        <w:t>’</w:t>
      </w:r>
      <w:r w:rsidR="008D0A97" w:rsidRPr="005C127E">
        <w:t xml:space="preserve"> </w:t>
      </w:r>
      <w:r w:rsidR="008D0A97" w:rsidRPr="00BF530F">
        <w:rPr>
          <w:i/>
          <w:iCs/>
        </w:rPr>
        <w:t>Games and Economic Behaviour</w:t>
      </w:r>
      <w:r w:rsidR="00BF530F" w:rsidRPr="00BF530F">
        <w:rPr>
          <w:i/>
          <w:iCs/>
        </w:rPr>
        <w:t>,</w:t>
      </w:r>
      <w:r w:rsidR="008D0A97" w:rsidRPr="00BF530F">
        <w:rPr>
          <w:i/>
          <w:iCs/>
        </w:rPr>
        <w:t xml:space="preserve"> </w:t>
      </w:r>
      <w:r w:rsidR="002243C7" w:rsidRPr="002D27BF">
        <w:rPr>
          <w:rFonts w:asciiTheme="minorHAnsi" w:hAnsiTheme="minorHAnsi" w:cstheme="minorHAnsi"/>
          <w:szCs w:val="15"/>
        </w:rPr>
        <w:t>Vol</w:t>
      </w:r>
      <w:r w:rsidR="00E5511C">
        <w:rPr>
          <w:rFonts w:asciiTheme="minorHAnsi" w:hAnsiTheme="minorHAnsi" w:cstheme="minorHAnsi"/>
          <w:szCs w:val="15"/>
        </w:rPr>
        <w:t xml:space="preserve">. </w:t>
      </w:r>
      <w:r w:rsidR="002243C7" w:rsidRPr="002D27BF">
        <w:rPr>
          <w:rFonts w:asciiTheme="minorHAnsi" w:hAnsiTheme="minorHAnsi" w:cstheme="minorHAnsi"/>
          <w:szCs w:val="15"/>
        </w:rPr>
        <w:t>129</w:t>
      </w:r>
      <w:r w:rsidR="002243C7" w:rsidRPr="002D27BF">
        <w:t>, </w:t>
      </w:r>
      <w:r w:rsidR="00D01F94">
        <w:t>pp.</w:t>
      </w:r>
      <w:r w:rsidR="002243C7" w:rsidRPr="002D27BF">
        <w:t xml:space="preserve"> 198-23</w:t>
      </w:r>
      <w:bookmarkEnd w:id="22"/>
      <w:r w:rsidR="007C4B76">
        <w:t>.</w:t>
      </w:r>
    </w:p>
  </w:footnote>
  <w:footnote w:id="86">
    <w:p w14:paraId="1052B24B" w14:textId="3437A131" w:rsidR="002279C5" w:rsidRPr="005C127E" w:rsidRDefault="002279C5" w:rsidP="008073F7">
      <w:pPr>
        <w:pStyle w:val="Footer"/>
      </w:pPr>
      <w:r w:rsidRPr="005C127E">
        <w:rPr>
          <w:rStyle w:val="FootnoteReference"/>
          <w:rFonts w:asciiTheme="minorHAnsi" w:hAnsiTheme="minorHAnsi" w:cstheme="minorHAnsi"/>
          <w:szCs w:val="15"/>
        </w:rPr>
        <w:footnoteRef/>
      </w:r>
      <w:r w:rsidRPr="005C127E">
        <w:t xml:space="preserve"> R. Allen et al. (2010),‘</w:t>
      </w:r>
      <w:hyperlink r:id="rId75" w:history="1">
        <w:r w:rsidRPr="0042426E">
          <w:rPr>
            <w:rStyle w:val="Hyperlink"/>
          </w:rPr>
          <w:t>The early impact of Brighton and Hove’s school admission reforms</w:t>
        </w:r>
      </w:hyperlink>
      <w:r w:rsidRPr="005C127E">
        <w:t xml:space="preserve">’, </w:t>
      </w:r>
      <w:r w:rsidRPr="005C127E">
        <w:rPr>
          <w:i/>
        </w:rPr>
        <w:t>The Centre for Market and Public Organisation</w:t>
      </w:r>
      <w:r w:rsidRPr="005C127E">
        <w:t>, Working Paper No 10/244</w:t>
      </w:r>
      <w:r w:rsidR="007C4B76">
        <w:t>.</w:t>
      </w:r>
    </w:p>
  </w:footnote>
  <w:footnote w:id="87">
    <w:p w14:paraId="44D6065B" w14:textId="4CC824B3" w:rsidR="004C5311" w:rsidRPr="007C4B76" w:rsidRDefault="004C5311">
      <w:pPr>
        <w:pStyle w:val="FootnoteText"/>
      </w:pPr>
      <w:r>
        <w:rPr>
          <w:rStyle w:val="FootnoteReference"/>
        </w:rPr>
        <w:footnoteRef/>
      </w:r>
      <w:r>
        <w:t xml:space="preserve"> K. Quick (2016) ‘</w:t>
      </w:r>
      <w:hyperlink r:id="rId76" w:history="1">
        <w:r w:rsidRPr="00032F14">
          <w:rPr>
            <w:rStyle w:val="Hyperlink"/>
          </w:rPr>
          <w:t>Chicago Public Schools: Ensuring Diversity in Selective Enrolment and Magnet Schools</w:t>
        </w:r>
      </w:hyperlink>
      <w:r>
        <w:t xml:space="preserve">’, </w:t>
      </w:r>
      <w:r>
        <w:rPr>
          <w:i/>
          <w:iCs/>
        </w:rPr>
        <w:t>The Century Foundation</w:t>
      </w:r>
      <w:r w:rsidR="007C4B76">
        <w:t>.</w:t>
      </w:r>
    </w:p>
  </w:footnote>
  <w:footnote w:id="88">
    <w:p w14:paraId="60FFAAC6" w14:textId="67114110" w:rsidR="002C4950" w:rsidRPr="00F11946" w:rsidRDefault="002C4950">
      <w:pPr>
        <w:pStyle w:val="FootnoteText"/>
        <w:rPr>
          <w:i/>
        </w:rPr>
      </w:pPr>
      <w:r>
        <w:rPr>
          <w:rStyle w:val="FootnoteReference"/>
        </w:rPr>
        <w:footnoteRef/>
      </w:r>
      <w:r w:rsidR="004C5311">
        <w:t>Ibid.</w:t>
      </w:r>
    </w:p>
  </w:footnote>
  <w:footnote w:id="89">
    <w:p w14:paraId="0B512531" w14:textId="6E6FE111" w:rsidR="005B7B6C" w:rsidRPr="007C4B76" w:rsidRDefault="005B7B6C">
      <w:pPr>
        <w:pStyle w:val="FootnoteText"/>
      </w:pPr>
      <w:r>
        <w:rPr>
          <w:rStyle w:val="FootnoteReference"/>
        </w:rPr>
        <w:footnoteRef/>
      </w:r>
      <w:r>
        <w:t xml:space="preserve"> A. Castro et al. (2023) ‘</w:t>
      </w:r>
      <w:hyperlink r:id="rId77" w:history="1">
        <w:r w:rsidRPr="00FB6C9B">
          <w:rPr>
            <w:rStyle w:val="Hyperlink"/>
          </w:rPr>
          <w:t>Drawn into policy: A systematic review of school rezoning rationales, processes, and outcomes’</w:t>
        </w:r>
      </w:hyperlink>
      <w:r>
        <w:t xml:space="preserve">, </w:t>
      </w:r>
      <w:r>
        <w:rPr>
          <w:i/>
          <w:iCs/>
        </w:rPr>
        <w:t>Review of Educational Research</w:t>
      </w:r>
      <w:r w:rsidR="007C4B76">
        <w:t>.</w:t>
      </w:r>
    </w:p>
  </w:footnote>
  <w:footnote w:id="90">
    <w:p w14:paraId="0152D419" w14:textId="09456D2B" w:rsidR="009578FB" w:rsidRPr="00FB6C9B" w:rsidRDefault="009578FB">
      <w:pPr>
        <w:pStyle w:val="FootnoteText"/>
      </w:pPr>
      <w:r>
        <w:rPr>
          <w:rStyle w:val="FootnoteReference"/>
        </w:rPr>
        <w:footnoteRef/>
      </w:r>
      <w:r>
        <w:t xml:space="preserve"> </w:t>
      </w:r>
      <w:r w:rsidR="005B7B6C">
        <w:t>Ibid</w:t>
      </w:r>
      <w:r w:rsidR="007C4B76">
        <w:t>.</w:t>
      </w:r>
    </w:p>
  </w:footnote>
  <w:footnote w:id="91">
    <w:p w14:paraId="482E2A15" w14:textId="552FB47C" w:rsidR="007F6833" w:rsidRPr="005C127E" w:rsidRDefault="007F6833" w:rsidP="008073F7">
      <w:pPr>
        <w:pStyle w:val="Footer"/>
      </w:pPr>
      <w:r w:rsidRPr="005C127E">
        <w:rPr>
          <w:rStyle w:val="FootnoteReference"/>
          <w:rFonts w:asciiTheme="minorHAnsi" w:hAnsiTheme="minorHAnsi" w:cstheme="minorHAnsi"/>
          <w:szCs w:val="15"/>
        </w:rPr>
        <w:footnoteRef/>
      </w:r>
      <w:r w:rsidRPr="005C127E">
        <w:t xml:space="preserve"> J. B. Cullen et al. (2006) ‘</w:t>
      </w:r>
      <w:hyperlink r:id="rId78" w:history="1">
        <w:r w:rsidRPr="00470799">
          <w:rPr>
            <w:rStyle w:val="Hyperlink"/>
          </w:rPr>
          <w:t>The effect of school choice on participants: evidence from randomized lotteries</w:t>
        </w:r>
      </w:hyperlink>
      <w:r w:rsidRPr="005C127E">
        <w:t xml:space="preserve">’, </w:t>
      </w:r>
      <w:r w:rsidRPr="005C127E">
        <w:rPr>
          <w:i/>
        </w:rPr>
        <w:t>Econometrica</w:t>
      </w:r>
      <w:r w:rsidRPr="005C127E">
        <w:t>, Vol. 74, No. 5, pp.1191–1230</w:t>
      </w:r>
      <w:r w:rsidR="007C4B76">
        <w:t>.</w:t>
      </w:r>
    </w:p>
  </w:footnote>
  <w:footnote w:id="92">
    <w:p w14:paraId="2E1153D4" w14:textId="3125E9EA" w:rsidR="007F6833" w:rsidRPr="005C127E" w:rsidRDefault="007F6833" w:rsidP="008073F7">
      <w:pPr>
        <w:pStyle w:val="Footer"/>
      </w:pPr>
      <w:r w:rsidRPr="005C127E">
        <w:rPr>
          <w:rStyle w:val="FootnoteReference"/>
          <w:rFonts w:asciiTheme="minorHAnsi" w:hAnsiTheme="minorHAnsi" w:cstheme="minorHAnsi"/>
          <w:szCs w:val="15"/>
        </w:rPr>
        <w:footnoteRef/>
      </w:r>
      <w:r w:rsidRPr="005C127E">
        <w:t xml:space="preserve"> J. S. Hastings et al. (2006) ‘</w:t>
      </w:r>
      <w:hyperlink r:id="rId79" w:history="1">
        <w:r w:rsidRPr="003714DA">
          <w:rPr>
            <w:rStyle w:val="Hyperlink"/>
          </w:rPr>
          <w:t>Preferences and heterogeneous treatment effects in a public school choice lottery</w:t>
        </w:r>
      </w:hyperlink>
      <w:r w:rsidRPr="005C127E">
        <w:t xml:space="preserve">’, </w:t>
      </w:r>
      <w:r w:rsidRPr="005C127E">
        <w:rPr>
          <w:i/>
        </w:rPr>
        <w:t xml:space="preserve">NBER Working Paper </w:t>
      </w:r>
      <w:r w:rsidRPr="005C127E">
        <w:t>Series, No. 12145</w:t>
      </w:r>
      <w:r w:rsidR="00B9128D">
        <w:t>.</w:t>
      </w:r>
    </w:p>
  </w:footnote>
  <w:footnote w:id="93">
    <w:p w14:paraId="6056D27B" w14:textId="07A932C0" w:rsidR="00CB26E9" w:rsidRPr="005C127E" w:rsidRDefault="00CB26E9" w:rsidP="008073F7">
      <w:pPr>
        <w:pStyle w:val="Footer"/>
      </w:pPr>
      <w:r w:rsidRPr="005C127E">
        <w:rPr>
          <w:rStyle w:val="FootnoteReference"/>
          <w:rFonts w:asciiTheme="minorHAnsi" w:hAnsiTheme="minorHAnsi" w:cstheme="minorHAnsi"/>
          <w:szCs w:val="15"/>
        </w:rPr>
        <w:footnoteRef/>
      </w:r>
      <w:r w:rsidRPr="005C127E">
        <w:t xml:space="preserve"> I. Ramos Lobato (2021) ‘</w:t>
      </w:r>
      <w:hyperlink r:id="rId80" w:history="1">
        <w:r w:rsidRPr="0042426E">
          <w:rPr>
            <w:rStyle w:val="Hyperlink"/>
          </w:rPr>
          <w:t>From catchment areas to parental choice: education policy reforms and their effects on school segregation</w:t>
        </w:r>
      </w:hyperlink>
      <w:r w:rsidRPr="005C127E">
        <w:t xml:space="preserve">.’ </w:t>
      </w:r>
      <w:r w:rsidRPr="005C127E">
        <w:rPr>
          <w:i/>
          <w:iCs/>
        </w:rPr>
        <w:t>Journal for Research and Debate</w:t>
      </w:r>
      <w:r w:rsidRPr="005C127E">
        <w:t xml:space="preserve">, </w:t>
      </w:r>
      <w:r w:rsidR="00F17D18">
        <w:t xml:space="preserve">Vol. </w:t>
      </w:r>
      <w:r w:rsidRPr="005C127E">
        <w:t>4</w:t>
      </w:r>
      <w:r w:rsidR="00F17D18">
        <w:t>, Iss.1.</w:t>
      </w:r>
      <w:r w:rsidRPr="005C127E">
        <w:t xml:space="preserve"> </w:t>
      </w:r>
    </w:p>
  </w:footnote>
  <w:footnote w:id="94">
    <w:p w14:paraId="69C9AA94" w14:textId="010CA853" w:rsidR="007F6833" w:rsidRPr="005C127E" w:rsidRDefault="007F6833" w:rsidP="008073F7">
      <w:pPr>
        <w:pStyle w:val="Footer"/>
      </w:pPr>
      <w:r w:rsidRPr="005C127E">
        <w:rPr>
          <w:rStyle w:val="FootnoteReference"/>
          <w:rFonts w:asciiTheme="minorHAnsi" w:hAnsiTheme="minorHAnsi" w:cstheme="minorHAnsi"/>
          <w:szCs w:val="15"/>
        </w:rPr>
        <w:footnoteRef/>
      </w:r>
      <w:r w:rsidRPr="005C127E">
        <w:t xml:space="preserve"> C. Stasz et al. (2007) ‘The Use of Lottery Systems in School Admissions’</w:t>
      </w:r>
      <w:r w:rsidRPr="005C127E">
        <w:rPr>
          <w:i/>
        </w:rPr>
        <w:t>, RAND Europe Working Paper</w:t>
      </w:r>
      <w:r w:rsidRPr="005C127E">
        <w:t xml:space="preserve"> </w:t>
      </w:r>
      <w:r w:rsidRPr="005C127E">
        <w:rPr>
          <w:i/>
        </w:rPr>
        <w:t>WR-460-SUT.</w:t>
      </w:r>
    </w:p>
  </w:footnote>
  <w:footnote w:id="95">
    <w:p w14:paraId="73313032" w14:textId="6C85C3C2" w:rsidR="00297B00" w:rsidRPr="00F81BDB" w:rsidRDefault="00297B00">
      <w:pPr>
        <w:pStyle w:val="FootnoteText"/>
        <w:rPr>
          <w:i/>
          <w:iCs/>
        </w:rPr>
      </w:pPr>
      <w:r>
        <w:rPr>
          <w:rStyle w:val="FootnoteReference"/>
        </w:rPr>
        <w:footnoteRef/>
      </w:r>
      <w:r>
        <w:t xml:space="preserve"> </w:t>
      </w:r>
      <w:r w:rsidR="001D0CFB">
        <w:t>H. Bloom &amp; R. Unterman (2014), ‘</w:t>
      </w:r>
      <w:hyperlink r:id="rId81" w:history="1">
        <w:r w:rsidR="001D0CFB" w:rsidRPr="001D0CFB">
          <w:rPr>
            <w:rStyle w:val="Hyperlink"/>
          </w:rPr>
          <w:t>Can Small High Schools of Choice Improve Educational Prospects for Disadvantaged Students?</w:t>
        </w:r>
      </w:hyperlink>
      <w:r w:rsidR="001D0CFB">
        <w:t xml:space="preserve">’, </w:t>
      </w:r>
      <w:r w:rsidR="001D0CFB">
        <w:rPr>
          <w:i/>
          <w:iCs/>
        </w:rPr>
        <w:t>Journal of Policy Analysis and Management</w:t>
      </w:r>
      <w:r w:rsidR="00F75573">
        <w:rPr>
          <w:i/>
          <w:iCs/>
        </w:rPr>
        <w:t>.</w:t>
      </w:r>
    </w:p>
  </w:footnote>
  <w:footnote w:id="96">
    <w:p w14:paraId="7DB712EF" w14:textId="186EA4E7" w:rsidR="007A7379" w:rsidRDefault="007A7379" w:rsidP="007A7379">
      <w:pPr>
        <w:pStyle w:val="FootnoteText"/>
      </w:pPr>
      <w:r>
        <w:rPr>
          <w:rStyle w:val="FootnoteReference"/>
        </w:rPr>
        <w:footnoteRef/>
      </w:r>
      <w:r w:rsidR="007467F1">
        <w:t xml:space="preserve">H. </w:t>
      </w:r>
      <w:r w:rsidR="0082347D" w:rsidRPr="0082347D">
        <w:t xml:space="preserve">Bloom &amp; </w:t>
      </w:r>
      <w:r w:rsidR="007467F1">
        <w:t xml:space="preserve">R. </w:t>
      </w:r>
      <w:r w:rsidR="0082347D" w:rsidRPr="0082347D">
        <w:t>Unterman</w:t>
      </w:r>
      <w:r w:rsidR="0082347D">
        <w:t xml:space="preserve"> (</w:t>
      </w:r>
      <w:r w:rsidR="0082347D" w:rsidRPr="0082347D">
        <w:t>2014</w:t>
      </w:r>
      <w:r w:rsidR="0082347D">
        <w:t xml:space="preserve">) in </w:t>
      </w:r>
      <w:r>
        <w:t xml:space="preserve">Monash University (2023). </w:t>
      </w:r>
      <w:r w:rsidRPr="0042610A">
        <w:rPr>
          <w:i/>
          <w:iCs/>
        </w:rPr>
        <w:t>What works to address concentrations of disadvantage in schools?</w:t>
      </w:r>
      <w:r>
        <w:t xml:space="preserve"> A rapid scoping review. Behaviour Works Australia.</w:t>
      </w:r>
    </w:p>
  </w:footnote>
  <w:footnote w:id="97">
    <w:p w14:paraId="48DD04B2" w14:textId="5DA230F2" w:rsidR="003426E9" w:rsidRDefault="003426E9">
      <w:pPr>
        <w:pStyle w:val="FootnoteText"/>
      </w:pPr>
      <w:r>
        <w:rPr>
          <w:rStyle w:val="FootnoteReference"/>
        </w:rPr>
        <w:footnoteRef/>
      </w:r>
      <w:r>
        <w:t xml:space="preserve"> </w:t>
      </w:r>
      <w:r w:rsidR="005B6C2B">
        <w:t xml:space="preserve">J. </w:t>
      </w:r>
      <w:r w:rsidR="00857F18" w:rsidRPr="00857F18">
        <w:t>Oyarzun et al.</w:t>
      </w:r>
      <w:r w:rsidR="005B6C2B">
        <w:t xml:space="preserve"> (</w:t>
      </w:r>
      <w:r w:rsidR="00857F18" w:rsidRPr="00857F18">
        <w:t>2023</w:t>
      </w:r>
      <w:r w:rsidR="005B6C2B">
        <w:t xml:space="preserve">) in </w:t>
      </w:r>
      <w:r w:rsidR="005B6C2B" w:rsidRPr="005B6C2B">
        <w:t xml:space="preserve">Monash University (2023). </w:t>
      </w:r>
      <w:r w:rsidR="00C66DEC">
        <w:t>‘</w:t>
      </w:r>
      <w:r w:rsidR="005B6C2B" w:rsidRPr="005B6C2B">
        <w:t>What works to address concentrations of disadvantage in schools?</w:t>
      </w:r>
      <w:r w:rsidR="00C66DEC">
        <w:t xml:space="preserve">’ </w:t>
      </w:r>
      <w:r w:rsidR="005B6C2B" w:rsidRPr="005B6C2B">
        <w:t>A rapid scoping review. Behaviour Works Australia.</w:t>
      </w:r>
    </w:p>
  </w:footnote>
  <w:footnote w:id="98">
    <w:p w14:paraId="16107151" w14:textId="5C0514FC" w:rsidR="0029315A" w:rsidRPr="005C127E" w:rsidRDefault="0029315A" w:rsidP="008073F7">
      <w:pPr>
        <w:pStyle w:val="Footer"/>
      </w:pPr>
      <w:r w:rsidRPr="005C127E">
        <w:rPr>
          <w:rStyle w:val="FootnoteReference"/>
          <w:rFonts w:asciiTheme="minorHAnsi" w:hAnsiTheme="minorHAnsi" w:cstheme="minorHAnsi"/>
          <w:szCs w:val="15"/>
        </w:rPr>
        <w:footnoteRef/>
      </w:r>
      <w:r w:rsidRPr="005C127E">
        <w:t xml:space="preserve"> </w:t>
      </w:r>
      <w:r w:rsidR="00391712" w:rsidRPr="005C127E">
        <w:t xml:space="preserve">H. Oosterbeek et al. (2021) </w:t>
      </w:r>
      <w:r w:rsidR="00B22675">
        <w:t>‘</w:t>
      </w:r>
      <w:hyperlink r:id="rId82" w:history="1">
        <w:r w:rsidR="00391712" w:rsidRPr="005D2E10">
          <w:rPr>
            <w:rStyle w:val="Hyperlink"/>
          </w:rPr>
          <w:t>Preference heterogeneity and school segregation</w:t>
        </w:r>
        <w:r w:rsidR="00B22675" w:rsidRPr="005D2E10">
          <w:rPr>
            <w:rStyle w:val="Hyperlink"/>
          </w:rPr>
          <w:t>’</w:t>
        </w:r>
      </w:hyperlink>
      <w:r w:rsidR="00391712" w:rsidRPr="005C127E">
        <w:t xml:space="preserve">, </w:t>
      </w:r>
      <w:r w:rsidR="00391712" w:rsidRPr="005C127E">
        <w:rPr>
          <w:i/>
        </w:rPr>
        <w:t>Journal of Public Economics,</w:t>
      </w:r>
      <w:r w:rsidR="00391712" w:rsidRPr="005C127E">
        <w:t xml:space="preserve"> Volume 197</w:t>
      </w:r>
      <w:r w:rsidR="00C66DEC">
        <w:t>.</w:t>
      </w:r>
    </w:p>
  </w:footnote>
  <w:footnote w:id="99">
    <w:p w14:paraId="0BF65D1D" w14:textId="222BD12A" w:rsidR="000A4D24" w:rsidRPr="005C127E" w:rsidRDefault="000A4D24" w:rsidP="008073F7">
      <w:pPr>
        <w:pStyle w:val="Footer"/>
        <w:rPr>
          <w:rStyle w:val="FooterChar"/>
          <w:rFonts w:asciiTheme="minorHAnsi" w:hAnsiTheme="minorHAnsi" w:cstheme="minorHAnsi"/>
          <w:szCs w:val="15"/>
        </w:rPr>
      </w:pPr>
      <w:r w:rsidRPr="005C127E">
        <w:rPr>
          <w:rStyle w:val="FootnoteReference"/>
          <w:rFonts w:asciiTheme="minorHAnsi" w:hAnsiTheme="minorHAnsi" w:cstheme="minorHAnsi"/>
          <w:szCs w:val="15"/>
        </w:rPr>
        <w:footnoteRef/>
      </w:r>
      <w:r w:rsidRPr="005C127E">
        <w:t xml:space="preserve"> </w:t>
      </w:r>
      <w:r w:rsidRPr="005C127E">
        <w:rPr>
          <w:rStyle w:val="FooterChar"/>
          <w:rFonts w:asciiTheme="minorHAnsi" w:hAnsiTheme="minorHAnsi" w:cstheme="minorHAnsi"/>
          <w:szCs w:val="15"/>
        </w:rPr>
        <w:t>A. Abdulkadiroglu et al (2011) ‘</w:t>
      </w:r>
      <w:hyperlink r:id="rId83" w:history="1">
        <w:r w:rsidRPr="005F024E">
          <w:rPr>
            <w:rStyle w:val="Hyperlink"/>
            <w:rFonts w:asciiTheme="minorHAnsi" w:hAnsiTheme="minorHAnsi" w:cstheme="minorHAnsi"/>
            <w:szCs w:val="15"/>
          </w:rPr>
          <w:t>Resolving Conflicting Preferences in School Choice: The "Boston Mechanism" Reconsidered’</w:t>
        </w:r>
      </w:hyperlink>
      <w:r w:rsidRPr="005C127E">
        <w:rPr>
          <w:rStyle w:val="FooterChar"/>
          <w:rFonts w:asciiTheme="minorHAnsi" w:hAnsiTheme="minorHAnsi" w:cstheme="minorHAnsi"/>
          <w:szCs w:val="15"/>
        </w:rPr>
        <w:t xml:space="preserve">, </w:t>
      </w:r>
      <w:r w:rsidRPr="005C127E">
        <w:rPr>
          <w:rStyle w:val="FooterChar"/>
          <w:rFonts w:asciiTheme="minorHAnsi" w:hAnsiTheme="minorHAnsi" w:cstheme="minorHAnsi"/>
          <w:i/>
          <w:szCs w:val="15"/>
        </w:rPr>
        <w:t>American Economic Review</w:t>
      </w:r>
      <w:r w:rsidRPr="005C127E">
        <w:rPr>
          <w:rStyle w:val="FooterChar"/>
          <w:rFonts w:asciiTheme="minorHAnsi" w:hAnsiTheme="minorHAnsi" w:cstheme="minorHAnsi"/>
          <w:szCs w:val="15"/>
        </w:rPr>
        <w:t xml:space="preserve"> Vol</w:t>
      </w:r>
      <w:r w:rsidR="00C66DEC">
        <w:rPr>
          <w:rStyle w:val="FooterChar"/>
          <w:rFonts w:asciiTheme="minorHAnsi" w:hAnsiTheme="minorHAnsi" w:cstheme="minorHAnsi"/>
          <w:szCs w:val="15"/>
        </w:rPr>
        <w:t>.</w:t>
      </w:r>
      <w:r w:rsidRPr="005C127E">
        <w:rPr>
          <w:rStyle w:val="FooterChar"/>
          <w:rFonts w:asciiTheme="minorHAnsi" w:hAnsiTheme="minorHAnsi" w:cstheme="minorHAnsi"/>
          <w:szCs w:val="15"/>
        </w:rPr>
        <w:t>101 Iss</w:t>
      </w:r>
      <w:r w:rsidR="00237288">
        <w:rPr>
          <w:rStyle w:val="FooterChar"/>
          <w:rFonts w:asciiTheme="minorHAnsi" w:hAnsiTheme="minorHAnsi" w:cstheme="minorHAnsi"/>
          <w:szCs w:val="15"/>
        </w:rPr>
        <w:t>.1,</w:t>
      </w:r>
      <w:r w:rsidRPr="005C127E">
        <w:rPr>
          <w:rStyle w:val="FooterChar"/>
          <w:rFonts w:asciiTheme="minorHAnsi" w:hAnsiTheme="minorHAnsi" w:cstheme="minorHAnsi"/>
          <w:szCs w:val="15"/>
        </w:rPr>
        <w:t xml:space="preserve"> pp. 399-410</w:t>
      </w:r>
      <w:r w:rsidR="007C4B76">
        <w:rPr>
          <w:rStyle w:val="FooterChar"/>
          <w:rFonts w:asciiTheme="minorHAnsi" w:hAnsiTheme="minorHAnsi" w:cstheme="minorHAnsi"/>
          <w:szCs w:val="15"/>
        </w:rPr>
        <w:t>.</w:t>
      </w:r>
    </w:p>
  </w:footnote>
  <w:footnote w:id="100">
    <w:p w14:paraId="055EE7BF" w14:textId="0604031D" w:rsidR="000A4D24" w:rsidRPr="00E160C5" w:rsidRDefault="000A4D24" w:rsidP="008073F7">
      <w:pPr>
        <w:pStyle w:val="Footer"/>
        <w:rPr>
          <w:i/>
          <w:iCs/>
        </w:rPr>
      </w:pPr>
      <w:r w:rsidRPr="005C127E">
        <w:rPr>
          <w:rStyle w:val="FootnoteReference"/>
          <w:rFonts w:asciiTheme="minorHAnsi" w:hAnsiTheme="minorHAnsi" w:cstheme="minorHAnsi"/>
          <w:szCs w:val="15"/>
        </w:rPr>
        <w:footnoteRef/>
      </w:r>
      <w:r w:rsidRPr="005C127E">
        <w:t xml:space="preserve"> </w:t>
      </w:r>
      <w:r w:rsidR="00CD43FB">
        <w:t>G. Fack et a. (</w:t>
      </w:r>
      <w:r w:rsidR="00CD43FB" w:rsidRPr="00CD43FB">
        <w:t>2019</w:t>
      </w:r>
      <w:r w:rsidR="00CD43FB">
        <w:t xml:space="preserve">) </w:t>
      </w:r>
      <w:hyperlink r:id="rId84" w:history="1">
        <w:r w:rsidR="000A690B" w:rsidRPr="000A690B">
          <w:rPr>
            <w:rStyle w:val="Hyperlink"/>
          </w:rPr>
          <w:t>'Beyond</w:t>
        </w:r>
        <w:r w:rsidR="00CD43FB" w:rsidRPr="000A690B">
          <w:rPr>
            <w:rStyle w:val="Hyperlink"/>
          </w:rPr>
          <w:t xml:space="preserve"> Truth-Telling: Preference Estimation with Centralized School Choice and College Admissions</w:t>
        </w:r>
        <w:r w:rsidR="000A690B" w:rsidRPr="000A690B">
          <w:rPr>
            <w:rStyle w:val="Hyperlink"/>
          </w:rPr>
          <w:t>.'</w:t>
        </w:r>
      </w:hyperlink>
      <w:r w:rsidR="00CD43FB" w:rsidRPr="00CD43FB">
        <w:t xml:space="preserve"> </w:t>
      </w:r>
      <w:r w:rsidR="00CD43FB" w:rsidRPr="00E160C5">
        <w:rPr>
          <w:i/>
          <w:iCs/>
        </w:rPr>
        <w:t xml:space="preserve">American Economic Review, </w:t>
      </w:r>
      <w:r w:rsidR="000A690B" w:rsidRPr="00F81BDB">
        <w:t>Vol.</w:t>
      </w:r>
      <w:r w:rsidR="000A690B">
        <w:rPr>
          <w:i/>
          <w:iCs/>
        </w:rPr>
        <w:t xml:space="preserve"> </w:t>
      </w:r>
      <w:r w:rsidR="00CD43FB" w:rsidRPr="00F81BDB">
        <w:t>109</w:t>
      </w:r>
      <w:r w:rsidR="000A690B">
        <w:t>, Iss</w:t>
      </w:r>
      <w:r w:rsidR="00FD5B24">
        <w:t>. 4, pp.</w:t>
      </w:r>
      <w:r w:rsidR="00CD43FB" w:rsidRPr="00F81BDB">
        <w:t>1486-1529</w:t>
      </w:r>
      <w:r w:rsidR="007C4B76">
        <w:t>.</w:t>
      </w:r>
    </w:p>
  </w:footnote>
  <w:footnote w:id="101">
    <w:p w14:paraId="1AEC0A1D" w14:textId="76CCE9AE" w:rsidR="009A3B31" w:rsidRDefault="009A3B31">
      <w:pPr>
        <w:pStyle w:val="FootnoteText"/>
      </w:pPr>
      <w:r>
        <w:rPr>
          <w:rStyle w:val="FootnoteReference"/>
        </w:rPr>
        <w:footnoteRef/>
      </w:r>
      <w:r>
        <w:t xml:space="preserve"> Monash University (2023) </w:t>
      </w:r>
      <w:r w:rsidR="00C70771">
        <w:t>‘</w:t>
      </w:r>
      <w:r w:rsidRPr="00F81BDB">
        <w:t>What works to address concentrations of disadvantage in schools?</w:t>
      </w:r>
      <w:r>
        <w:t xml:space="preserve"> </w:t>
      </w:r>
      <w:r w:rsidRPr="00C70771">
        <w:t>A rapid scoping review</w:t>
      </w:r>
      <w:r>
        <w:t>.</w:t>
      </w:r>
      <w:r w:rsidR="00C70771">
        <w:t>’</w:t>
      </w:r>
      <w:r>
        <w:t xml:space="preserve"> Behaviour Works Australia</w:t>
      </w:r>
      <w:r w:rsidR="00872213">
        <w:t xml:space="preserve"> ; </w:t>
      </w:r>
      <w:r w:rsidR="00872213" w:rsidRPr="00872213">
        <w:t xml:space="preserve">UNESCO, 2020[83]) cited in OECD (2023) </w:t>
      </w:r>
      <w:r w:rsidR="00872213">
        <w:t>‘</w:t>
      </w:r>
      <w:r w:rsidR="00872213" w:rsidRPr="00872213">
        <w:t>Equity and Inclusion in Education: Finding strength through diversity</w:t>
      </w:r>
      <w:r w:rsidR="00872213">
        <w:t>’,</w:t>
      </w:r>
      <w:r w:rsidR="00872213" w:rsidRPr="00872213">
        <w:t xml:space="preserve"> OECD Publishing, Paris.</w:t>
      </w:r>
    </w:p>
  </w:footnote>
  <w:footnote w:id="102">
    <w:p w14:paraId="24ED456F" w14:textId="735B5127" w:rsidR="000A4D24" w:rsidRPr="00B22675" w:rsidRDefault="000A4D24" w:rsidP="008073F7">
      <w:pPr>
        <w:pStyle w:val="Footer"/>
        <w:rPr>
          <w:i/>
          <w:iCs/>
        </w:rPr>
      </w:pPr>
      <w:r w:rsidRPr="005C127E">
        <w:rPr>
          <w:rStyle w:val="FootnoteReference"/>
          <w:rFonts w:asciiTheme="minorHAnsi" w:hAnsiTheme="minorHAnsi" w:cstheme="minorHAnsi"/>
          <w:szCs w:val="15"/>
        </w:rPr>
        <w:footnoteRef/>
      </w:r>
      <w:r w:rsidRPr="005C127E">
        <w:t xml:space="preserve"> Angrist et al</w:t>
      </w:r>
      <w:r w:rsidR="00B22675">
        <w:t xml:space="preserve"> (2022)</w:t>
      </w:r>
      <w:r w:rsidRPr="005C127E">
        <w:t xml:space="preserve"> </w:t>
      </w:r>
      <w:hyperlink r:id="rId85" w:history="1">
        <w:r w:rsidRPr="00B22675">
          <w:rPr>
            <w:rStyle w:val="Hyperlink"/>
            <w:rFonts w:asciiTheme="minorHAnsi" w:hAnsiTheme="minorHAnsi" w:cstheme="minorHAnsi"/>
            <w:szCs w:val="15"/>
          </w:rPr>
          <w:t>‘Still Worth the Trip? School Busing Effects in Boston and New York’</w:t>
        </w:r>
      </w:hyperlink>
      <w:r w:rsidRPr="005C127E">
        <w:t xml:space="preserve">, </w:t>
      </w:r>
      <w:r w:rsidRPr="00B22675">
        <w:rPr>
          <w:i/>
          <w:iCs/>
        </w:rPr>
        <w:t>National Bureau of Economic Research Working Paper 30308</w:t>
      </w:r>
      <w:r w:rsidR="006923A0" w:rsidRPr="000743AA">
        <w:t>.</w:t>
      </w:r>
    </w:p>
  </w:footnote>
  <w:footnote w:id="103">
    <w:p w14:paraId="6F2894AA" w14:textId="48DFD268" w:rsidR="002279C5" w:rsidRPr="005C127E" w:rsidRDefault="002279C5" w:rsidP="008073F7">
      <w:pPr>
        <w:pStyle w:val="Footer"/>
      </w:pPr>
      <w:r w:rsidRPr="005C127E">
        <w:rPr>
          <w:rStyle w:val="FootnoteReference"/>
          <w:rFonts w:asciiTheme="minorHAnsi" w:hAnsiTheme="minorHAnsi" w:cstheme="minorHAnsi"/>
          <w:szCs w:val="15"/>
        </w:rPr>
        <w:footnoteRef/>
      </w:r>
      <w:r w:rsidRPr="005C127E">
        <w:t xml:space="preserve"> </w:t>
      </w:r>
      <w:r w:rsidRPr="005C127E">
        <w:rPr>
          <w:lang w:eastAsia="en-AU"/>
        </w:rPr>
        <w:t xml:space="preserve">P. Charousset et al. (2023) </w:t>
      </w:r>
      <w:hyperlink r:id="rId86" w:history="1">
        <w:r w:rsidR="00B22675" w:rsidRPr="00B22675">
          <w:rPr>
            <w:rStyle w:val="Hyperlink"/>
            <w:rFonts w:asciiTheme="minorHAnsi" w:hAnsiTheme="minorHAnsi" w:cstheme="minorHAnsi"/>
            <w:szCs w:val="15"/>
            <w:lang w:eastAsia="en-AU"/>
          </w:rPr>
          <w:t>‘</w:t>
        </w:r>
        <w:r w:rsidRPr="00B22675">
          <w:rPr>
            <w:rStyle w:val="Hyperlink"/>
            <w:rFonts w:asciiTheme="minorHAnsi" w:hAnsiTheme="minorHAnsi" w:cstheme="minorHAnsi"/>
            <w:szCs w:val="15"/>
            <w:lang w:eastAsia="en-AU"/>
          </w:rPr>
          <w:t>La réforme d’Affelnet-lycée à Paris: une mixité sociale et scolaire en forte progression dans les lycées publics</w:t>
        </w:r>
        <w:r w:rsidR="00B22675" w:rsidRPr="00B22675">
          <w:rPr>
            <w:rStyle w:val="Hyperlink"/>
            <w:rFonts w:asciiTheme="minorHAnsi" w:hAnsiTheme="minorHAnsi" w:cstheme="minorHAnsi"/>
            <w:szCs w:val="15"/>
            <w:lang w:eastAsia="en-AU"/>
          </w:rPr>
          <w:t>’</w:t>
        </w:r>
      </w:hyperlink>
      <w:r w:rsidRPr="005C127E">
        <w:rPr>
          <w:lang w:eastAsia="en-AU"/>
        </w:rPr>
        <w:t xml:space="preserve">, </w:t>
      </w:r>
      <w:r w:rsidRPr="005C127E">
        <w:rPr>
          <w:i/>
          <w:lang w:eastAsia="en-AU"/>
        </w:rPr>
        <w:t>Institute des Politiques Publiques</w:t>
      </w:r>
      <w:r w:rsidR="00250001">
        <w:rPr>
          <w:i/>
          <w:lang w:eastAsia="en-AU"/>
        </w:rPr>
        <w:t>;</w:t>
      </w:r>
      <w:r w:rsidR="00142FB3">
        <w:rPr>
          <w:i/>
          <w:lang w:eastAsia="en-AU"/>
        </w:rPr>
        <w:t xml:space="preserve">; </w:t>
      </w:r>
      <w:r w:rsidR="00142FB3" w:rsidRPr="00142FB3">
        <w:rPr>
          <w:iCs/>
          <w:lang w:eastAsia="en-AU"/>
        </w:rPr>
        <w:t>G. Fack (2014)</w:t>
      </w:r>
      <w:r w:rsidR="00142FB3">
        <w:rPr>
          <w:lang w:eastAsia="en-AU"/>
        </w:rPr>
        <w:t xml:space="preserve"> ‘</w:t>
      </w:r>
      <w:hyperlink r:id="rId87" w:history="1">
        <w:r w:rsidR="00142FB3" w:rsidRPr="0024622B">
          <w:rPr>
            <w:rStyle w:val="Hyperlink"/>
            <w:lang w:eastAsia="en-AU"/>
          </w:rPr>
          <w:t>Can we increase the social and academic mix in the education system? The impact of allocation procedures on lycée students in the Paris region</w:t>
        </w:r>
      </w:hyperlink>
      <w:r w:rsidR="00142FB3">
        <w:rPr>
          <w:lang w:eastAsia="en-AU"/>
        </w:rPr>
        <w:t xml:space="preserve">’, </w:t>
      </w:r>
      <w:r w:rsidR="000A3900">
        <w:rPr>
          <w:i/>
          <w:iCs/>
          <w:lang w:eastAsia="en-AU"/>
        </w:rPr>
        <w:t>Institute des Politics Publiques Policy Briefs</w:t>
      </w:r>
      <w:r w:rsidR="003D3083" w:rsidRPr="000743AA">
        <w:rPr>
          <w:lang w:eastAsia="en-AU"/>
        </w:rPr>
        <w:t>.</w:t>
      </w:r>
    </w:p>
  </w:footnote>
  <w:footnote w:id="104">
    <w:p w14:paraId="0D66BD66" w14:textId="1C09FC7B" w:rsidR="000A4D24" w:rsidRPr="005C127E" w:rsidRDefault="000A4D24" w:rsidP="008073F7">
      <w:pPr>
        <w:pStyle w:val="Footer"/>
      </w:pPr>
      <w:r w:rsidRPr="005C127E">
        <w:rPr>
          <w:rStyle w:val="FootnoteReference"/>
          <w:rFonts w:asciiTheme="minorHAnsi" w:hAnsiTheme="minorHAnsi" w:cstheme="minorHAnsi"/>
          <w:szCs w:val="15"/>
        </w:rPr>
        <w:footnoteRef/>
      </w:r>
      <w:r w:rsidRPr="005C127E">
        <w:t xml:space="preserve"> </w:t>
      </w:r>
      <w:r w:rsidR="00240575" w:rsidRPr="005C127E">
        <w:t>Angrist et al</w:t>
      </w:r>
      <w:r w:rsidR="00240575">
        <w:t xml:space="preserve"> (2022)</w:t>
      </w:r>
      <w:r w:rsidR="00240575" w:rsidRPr="005C127E">
        <w:t xml:space="preserve"> </w:t>
      </w:r>
      <w:hyperlink r:id="rId88" w:history="1">
        <w:r w:rsidR="00240575" w:rsidRPr="00B22675">
          <w:rPr>
            <w:rStyle w:val="Hyperlink"/>
            <w:rFonts w:asciiTheme="minorHAnsi" w:hAnsiTheme="minorHAnsi" w:cstheme="minorHAnsi"/>
            <w:szCs w:val="15"/>
          </w:rPr>
          <w:t>‘Still Worth the Trip? School Busing Effects in Boston and New York’</w:t>
        </w:r>
      </w:hyperlink>
      <w:r w:rsidR="00240575" w:rsidRPr="005C127E">
        <w:t xml:space="preserve">, </w:t>
      </w:r>
      <w:r w:rsidR="00240575" w:rsidRPr="00B22675">
        <w:rPr>
          <w:i/>
          <w:iCs/>
        </w:rPr>
        <w:t>National Bureau of Economic Research Working Paper 30308</w:t>
      </w:r>
      <w:r w:rsidR="00F178A8" w:rsidRPr="000743AA">
        <w:t>.</w:t>
      </w:r>
    </w:p>
  </w:footnote>
  <w:footnote w:id="105">
    <w:p w14:paraId="12F1833E" w14:textId="07A8ED23" w:rsidR="001861DB" w:rsidRPr="005C127E" w:rsidRDefault="001861DB" w:rsidP="008073F7">
      <w:pPr>
        <w:pStyle w:val="Footer"/>
      </w:pPr>
      <w:r w:rsidRPr="005C127E">
        <w:rPr>
          <w:rStyle w:val="FootnoteReference"/>
          <w:rFonts w:asciiTheme="minorHAnsi" w:hAnsiTheme="minorHAnsi" w:cstheme="minorHAnsi"/>
          <w:szCs w:val="15"/>
        </w:rPr>
        <w:footnoteRef/>
      </w:r>
      <w:r w:rsidRPr="005C127E">
        <w:t xml:space="preserve"> </w:t>
      </w:r>
      <w:r w:rsidR="00F178A8" w:rsidRPr="005C127E">
        <w:t>I</w:t>
      </w:r>
      <w:r w:rsidR="00A4192F" w:rsidRPr="005C127E">
        <w:t>bid</w:t>
      </w:r>
      <w:r w:rsidR="00F178A8">
        <w:t>.</w:t>
      </w:r>
    </w:p>
  </w:footnote>
  <w:footnote w:id="106">
    <w:p w14:paraId="39592ABB" w14:textId="1FBFEB0E" w:rsidR="00771BB6" w:rsidRPr="005778C0" w:rsidRDefault="00771BB6" w:rsidP="008073F7">
      <w:pPr>
        <w:pStyle w:val="Footer"/>
        <w:rPr>
          <w:i/>
        </w:rPr>
      </w:pPr>
      <w:r w:rsidRPr="005C127E">
        <w:rPr>
          <w:rStyle w:val="FootnoteReference"/>
          <w:rFonts w:asciiTheme="minorHAnsi" w:hAnsiTheme="minorHAnsi" w:cstheme="minorHAnsi"/>
          <w:szCs w:val="15"/>
        </w:rPr>
        <w:footnoteRef/>
      </w:r>
      <w:r w:rsidRPr="005C127E">
        <w:t xml:space="preserve"> </w:t>
      </w:r>
      <w:r w:rsidR="00624FA3">
        <w:t>Ibid.</w:t>
      </w:r>
    </w:p>
  </w:footnote>
  <w:footnote w:id="107">
    <w:p w14:paraId="4688DC51" w14:textId="10FA9CEB" w:rsidR="000A4D24" w:rsidRPr="005C127E" w:rsidRDefault="000A4D24" w:rsidP="008073F7">
      <w:pPr>
        <w:pStyle w:val="Footer"/>
      </w:pPr>
      <w:r w:rsidRPr="005C127E">
        <w:rPr>
          <w:rStyle w:val="FootnoteReference"/>
          <w:rFonts w:asciiTheme="minorHAnsi" w:hAnsiTheme="minorHAnsi" w:cstheme="minorHAnsi"/>
          <w:szCs w:val="15"/>
        </w:rPr>
        <w:footnoteRef/>
      </w:r>
      <w:r w:rsidRPr="005C127E">
        <w:t xml:space="preserve"> D. Armor (2019) </w:t>
      </w:r>
      <w:r w:rsidR="0079159E">
        <w:t>‘</w:t>
      </w:r>
      <w:hyperlink r:id="rId89" w:history="1">
        <w:r w:rsidRPr="00215589">
          <w:rPr>
            <w:rStyle w:val="Hyperlink"/>
            <w:rFonts w:asciiTheme="minorHAnsi" w:hAnsiTheme="minorHAnsi" w:cstheme="minorHAnsi"/>
            <w:szCs w:val="15"/>
          </w:rPr>
          <w:t>The Problems with Economic Integration and Controlled Choice</w:t>
        </w:r>
        <w:r w:rsidR="0079159E" w:rsidRPr="00215589">
          <w:rPr>
            <w:rStyle w:val="Hyperlink"/>
            <w:rFonts w:asciiTheme="minorHAnsi" w:hAnsiTheme="minorHAnsi" w:cstheme="minorHAnsi"/>
            <w:szCs w:val="15"/>
          </w:rPr>
          <w:t>’</w:t>
        </w:r>
      </w:hyperlink>
      <w:r w:rsidRPr="005C127E">
        <w:t xml:space="preserve">, </w:t>
      </w:r>
      <w:r w:rsidRPr="00EB3832">
        <w:rPr>
          <w:i/>
          <w:iCs/>
        </w:rPr>
        <w:t>CATO</w:t>
      </w:r>
      <w:r w:rsidR="00EB3832" w:rsidRPr="00EB3832">
        <w:rPr>
          <w:i/>
          <w:iCs/>
        </w:rPr>
        <w:t xml:space="preserve"> </w:t>
      </w:r>
      <w:r w:rsidR="00EB3832" w:rsidRPr="00A24E80">
        <w:rPr>
          <w:i/>
          <w:iCs/>
        </w:rPr>
        <w:t>Institute</w:t>
      </w:r>
      <w:r w:rsidRPr="00A24E80">
        <w:rPr>
          <w:i/>
          <w:iCs/>
        </w:rPr>
        <w:t>,</w:t>
      </w:r>
      <w:r w:rsidR="00EB3832" w:rsidRPr="00A24E80">
        <w:rPr>
          <w:i/>
          <w:iCs/>
        </w:rPr>
        <w:t xml:space="preserve"> Number </w:t>
      </w:r>
      <w:r w:rsidR="00A24E80" w:rsidRPr="00A24E80">
        <w:rPr>
          <w:i/>
          <w:iCs/>
        </w:rPr>
        <w:t>880</w:t>
      </w:r>
      <w:r w:rsidR="00A24E80" w:rsidRPr="000743AA">
        <w:rPr>
          <w:i/>
          <w:iCs/>
        </w:rPr>
        <w:t>.</w:t>
      </w:r>
    </w:p>
  </w:footnote>
  <w:footnote w:id="108">
    <w:p w14:paraId="67879646" w14:textId="41E0FC0B" w:rsidR="00BC3A1A" w:rsidRPr="000743AA" w:rsidRDefault="00BC3A1A">
      <w:pPr>
        <w:pStyle w:val="FootnoteText"/>
      </w:pPr>
      <w:r>
        <w:rPr>
          <w:rStyle w:val="FootnoteReference"/>
        </w:rPr>
        <w:footnoteRef/>
      </w:r>
      <w:r>
        <w:t xml:space="preserve"> P. Charousset &amp; J. Grenet (2023) ‘</w:t>
      </w:r>
      <w:hyperlink r:id="rId90" w:history="1">
        <w:r w:rsidR="003C4EEF" w:rsidRPr="003C4EEF">
          <w:rPr>
            <w:rStyle w:val="Hyperlink"/>
          </w:rPr>
          <w:t>Peut-on concilier ouverture sociale et excellence scolaire? Un premier bilan de l’intégration des lycées Henri-IV et Louis-le-Grand à la procédure Affelnet</w:t>
        </w:r>
      </w:hyperlink>
      <w:r w:rsidR="003C4EEF">
        <w:t xml:space="preserve">’, </w:t>
      </w:r>
      <w:r w:rsidR="003C4EEF">
        <w:rPr>
          <w:i/>
          <w:iCs/>
        </w:rPr>
        <w:t>Institut des Politiques Publiques</w:t>
      </w:r>
      <w:r w:rsidR="000743AA">
        <w:t>.</w:t>
      </w:r>
    </w:p>
  </w:footnote>
  <w:footnote w:id="109">
    <w:p w14:paraId="3657242C" w14:textId="708F149A" w:rsidR="00125934" w:rsidRPr="000743AA" w:rsidRDefault="00125934">
      <w:pPr>
        <w:pStyle w:val="FootnoteText"/>
      </w:pPr>
      <w:r>
        <w:rPr>
          <w:rStyle w:val="FootnoteReference"/>
        </w:rPr>
        <w:footnoteRef/>
      </w:r>
      <w:r>
        <w:t xml:space="preserve"> </w:t>
      </w:r>
      <w:r w:rsidRPr="00125934">
        <w:t>P. Charousset &amp; J. Grenet (2023) ‘</w:t>
      </w:r>
      <w:hyperlink r:id="rId91" w:history="1">
        <w:r w:rsidR="00EC5538" w:rsidRPr="00EC5538">
          <w:rPr>
            <w:rStyle w:val="Hyperlink"/>
          </w:rPr>
          <w:t>La réforme d’Affelnet-lycée à Paris : une mixité sociale et scolaire en forte progression dans les lycées publics</w:t>
        </w:r>
        <w:r w:rsidRPr="00EC5538">
          <w:rPr>
            <w:rStyle w:val="Hyperlink"/>
          </w:rPr>
          <w:t>’</w:t>
        </w:r>
      </w:hyperlink>
      <w:r w:rsidRPr="00125934">
        <w:t xml:space="preserve">, </w:t>
      </w:r>
      <w:r w:rsidRPr="00F81BDB">
        <w:rPr>
          <w:i/>
          <w:iCs/>
        </w:rPr>
        <w:t>Institut des Politiques Publiques</w:t>
      </w:r>
      <w:r w:rsidR="000743AA">
        <w:t xml:space="preserve">. </w:t>
      </w:r>
    </w:p>
  </w:footnote>
  <w:footnote w:id="110">
    <w:p w14:paraId="0B78FD0D" w14:textId="62F8349E" w:rsidR="000A4D24" w:rsidRPr="00CB6C36" w:rsidRDefault="000A4D24" w:rsidP="008073F7">
      <w:pPr>
        <w:pStyle w:val="Footer"/>
      </w:pPr>
      <w:r w:rsidRPr="005C127E">
        <w:rPr>
          <w:rStyle w:val="FootnoteReference"/>
          <w:rFonts w:asciiTheme="minorHAnsi" w:hAnsiTheme="minorHAnsi" w:cstheme="minorHAnsi"/>
          <w:szCs w:val="15"/>
        </w:rPr>
        <w:footnoteRef/>
      </w:r>
      <w:r w:rsidRPr="005C127E">
        <w:t xml:space="preserve"> Nous Group</w:t>
      </w:r>
      <w:r w:rsidR="00C46453">
        <w:t xml:space="preserve"> (</w:t>
      </w:r>
      <w:r w:rsidR="00C46453" w:rsidRPr="005C127E">
        <w:t>2011</w:t>
      </w:r>
      <w:r w:rsidR="00C46453">
        <w:t>)</w:t>
      </w:r>
      <w:r w:rsidR="00774788">
        <w:t xml:space="preserve"> </w:t>
      </w:r>
      <w:r w:rsidR="001D6241">
        <w:rPr>
          <w:i/>
          <w:iCs/>
        </w:rPr>
        <w:t>o</w:t>
      </w:r>
      <w:r w:rsidR="00774788">
        <w:rPr>
          <w:i/>
          <w:iCs/>
        </w:rPr>
        <w:t>p</w:t>
      </w:r>
      <w:r w:rsidR="001D6241">
        <w:rPr>
          <w:i/>
          <w:iCs/>
        </w:rPr>
        <w:t>.</w:t>
      </w:r>
      <w:r w:rsidR="00774788">
        <w:rPr>
          <w:i/>
          <w:iCs/>
        </w:rPr>
        <w:t xml:space="preserve"> cit</w:t>
      </w:r>
      <w:r w:rsidR="00774788" w:rsidRPr="00F54C49">
        <w:t xml:space="preserve">. </w:t>
      </w:r>
    </w:p>
  </w:footnote>
  <w:footnote w:id="111">
    <w:p w14:paraId="46B618A6" w14:textId="67077D5E" w:rsidR="001C63BB" w:rsidRPr="0012597F" w:rsidRDefault="001C63BB" w:rsidP="008073F7">
      <w:pPr>
        <w:pStyle w:val="Footer"/>
        <w:rPr>
          <w:i/>
          <w:iCs/>
        </w:rPr>
      </w:pPr>
      <w:r w:rsidRPr="005C127E">
        <w:rPr>
          <w:rStyle w:val="FootnoteReference"/>
          <w:rFonts w:asciiTheme="minorHAnsi" w:hAnsiTheme="minorHAnsi" w:cstheme="minorHAnsi"/>
          <w:szCs w:val="15"/>
        </w:rPr>
        <w:footnoteRef/>
      </w:r>
      <w:r w:rsidRPr="005C127E">
        <w:t xml:space="preserve"> </w:t>
      </w:r>
      <w:r w:rsidR="00943925">
        <w:t>W.</w:t>
      </w:r>
      <w:r w:rsidR="004D5B36">
        <w:t xml:space="preserve"> R. </w:t>
      </w:r>
      <w:r w:rsidRPr="005C127E">
        <w:t>Boterman and R</w:t>
      </w:r>
      <w:r w:rsidR="004D5B36">
        <w:t>.</w:t>
      </w:r>
      <w:r w:rsidRPr="005C127E">
        <w:t xml:space="preserve"> Lobato</w:t>
      </w:r>
      <w:r w:rsidR="00BE00A3" w:rsidRPr="005C127E">
        <w:t>. I</w:t>
      </w:r>
      <w:r w:rsidR="0012597F">
        <w:t xml:space="preserve"> (2022)</w:t>
      </w:r>
      <w:r w:rsidRPr="005C127E">
        <w:t xml:space="preserve"> ‘</w:t>
      </w:r>
      <w:hyperlink r:id="rId92" w:history="1">
        <w:r w:rsidRPr="00467CEF">
          <w:rPr>
            <w:rStyle w:val="Hyperlink"/>
          </w:rPr>
          <w:t>Meddling with school choice: comparing education policy interventions and their impact on school segregation</w:t>
        </w:r>
      </w:hyperlink>
      <w:r w:rsidR="0012597F">
        <w:t>,</w:t>
      </w:r>
      <w:r w:rsidRPr="005C127E">
        <w:t xml:space="preserve">’ </w:t>
      </w:r>
      <w:r w:rsidRPr="0012597F">
        <w:rPr>
          <w:i/>
          <w:iCs/>
        </w:rPr>
        <w:t xml:space="preserve">Comparative Education, </w:t>
      </w:r>
      <w:r w:rsidR="003D3083" w:rsidRPr="00F81BDB">
        <w:t xml:space="preserve">Vol. </w:t>
      </w:r>
      <w:r w:rsidRPr="00F81BDB">
        <w:t>58</w:t>
      </w:r>
      <w:r w:rsidR="003D3083" w:rsidRPr="00F81BDB">
        <w:t xml:space="preserve">, Iss. </w:t>
      </w:r>
      <w:r w:rsidRPr="00F81BDB">
        <w:t>4,</w:t>
      </w:r>
      <w:r w:rsidR="003D3083" w:rsidRPr="00F81BDB">
        <w:t xml:space="preserve"> pp.</w:t>
      </w:r>
      <w:r w:rsidRPr="00F81BDB">
        <w:t xml:space="preserve"> 470-488</w:t>
      </w:r>
      <w:r w:rsidR="00F54C49">
        <w:t>.</w:t>
      </w:r>
    </w:p>
  </w:footnote>
  <w:footnote w:id="112">
    <w:p w14:paraId="2EDC8417" w14:textId="26AB9BC2" w:rsidR="00A80630" w:rsidRPr="005C127E" w:rsidRDefault="00B450B3" w:rsidP="008073F7">
      <w:pPr>
        <w:pStyle w:val="Footer"/>
        <w:rPr>
          <w:i/>
        </w:rPr>
      </w:pPr>
      <w:r w:rsidRPr="005C127E">
        <w:rPr>
          <w:rStyle w:val="FootnoteReference"/>
          <w:rFonts w:asciiTheme="minorHAnsi" w:hAnsiTheme="minorHAnsi" w:cstheme="minorHAnsi"/>
          <w:szCs w:val="15"/>
        </w:rPr>
        <w:footnoteRef/>
      </w:r>
      <w:r w:rsidRPr="005C127E">
        <w:t xml:space="preserve"> </w:t>
      </w:r>
      <w:r w:rsidR="007B40A2" w:rsidRPr="005C127E">
        <w:t>Jung-Sook Lee</w:t>
      </w:r>
      <w:r w:rsidR="00C50E82" w:rsidRPr="005C127E">
        <w:t xml:space="preserve"> et al.</w:t>
      </w:r>
      <w:r w:rsidR="001975B3" w:rsidRPr="005C127E">
        <w:t xml:space="preserve"> (2020)</w:t>
      </w:r>
      <w:r w:rsidR="00C40D42" w:rsidRPr="005C127E">
        <w:t xml:space="preserve"> </w:t>
      </w:r>
      <w:hyperlink r:id="rId93" w:history="1">
        <w:r w:rsidR="00A80630" w:rsidRPr="005C127E">
          <w:rPr>
            <w:rStyle w:val="Hyperlink"/>
            <w:rFonts w:asciiTheme="minorHAnsi" w:hAnsiTheme="minorHAnsi" w:cstheme="minorHAnsi"/>
            <w:szCs w:val="15"/>
          </w:rPr>
          <w:t>‘</w:t>
        </w:r>
        <w:r w:rsidR="001975B3" w:rsidRPr="005C127E">
          <w:rPr>
            <w:rStyle w:val="Hyperlink"/>
            <w:rFonts w:asciiTheme="minorHAnsi" w:hAnsiTheme="minorHAnsi" w:cstheme="minorHAnsi"/>
            <w:szCs w:val="15"/>
          </w:rPr>
          <w:t xml:space="preserve"> NSW Adults’ Beliefs and Attitudes about Educational Equity</w:t>
        </w:r>
      </w:hyperlink>
      <w:r w:rsidR="00C40D42" w:rsidRPr="005C127E">
        <w:t>’</w:t>
      </w:r>
      <w:r w:rsidR="001975B3" w:rsidRPr="005C127E">
        <w:t xml:space="preserve">, </w:t>
      </w:r>
      <w:r w:rsidR="00527232" w:rsidRPr="005C127E">
        <w:t xml:space="preserve">Sydney, </w:t>
      </w:r>
      <w:r w:rsidR="001975B3" w:rsidRPr="005C127E">
        <w:rPr>
          <w:i/>
        </w:rPr>
        <w:t>Gonski Institute for Education</w:t>
      </w:r>
      <w:r w:rsidR="002052DE" w:rsidRPr="005C127E">
        <w:rPr>
          <w:i/>
        </w:rPr>
        <w:t>;</w:t>
      </w:r>
    </w:p>
    <w:p w14:paraId="7A3D54F5" w14:textId="25617589" w:rsidR="00B450B3" w:rsidRPr="00F54C49" w:rsidRDefault="00AE3E38" w:rsidP="00F81BDB">
      <w:pPr>
        <w:pStyle w:val="FootnoteText"/>
      </w:pPr>
      <w:r w:rsidRPr="005C127E">
        <w:t xml:space="preserve">L. Connors </w:t>
      </w:r>
      <w:r w:rsidR="008B742F" w:rsidRPr="005C127E">
        <w:t xml:space="preserve">er al. </w:t>
      </w:r>
      <w:r w:rsidRPr="005C127E">
        <w:t xml:space="preserve">(2015) </w:t>
      </w:r>
      <w:hyperlink r:id="rId94" w:history="1">
        <w:r w:rsidRPr="005C127E">
          <w:rPr>
            <w:rStyle w:val="Hyperlink"/>
            <w:rFonts w:asciiTheme="minorHAnsi" w:hAnsiTheme="minorHAnsi" w:cstheme="minorHAnsi"/>
            <w:szCs w:val="15"/>
          </w:rPr>
          <w:t>‘</w:t>
        </w:r>
        <w:r w:rsidR="008B742F" w:rsidRPr="005C127E">
          <w:rPr>
            <w:rStyle w:val="Hyperlink"/>
            <w:rFonts w:asciiTheme="minorHAnsi" w:hAnsiTheme="minorHAnsi" w:cstheme="minorHAnsi"/>
            <w:szCs w:val="15"/>
          </w:rPr>
          <w:t>Imperatives in Schools Funding: Equity, sustainability and achievement’,</w:t>
        </w:r>
      </w:hyperlink>
      <w:r w:rsidR="008B742F" w:rsidRPr="005C127E">
        <w:t xml:space="preserve"> </w:t>
      </w:r>
      <w:r w:rsidR="008B742F" w:rsidRPr="005C127E">
        <w:rPr>
          <w:i/>
        </w:rPr>
        <w:t>Australian Education Review</w:t>
      </w:r>
      <w:r w:rsidR="00136FC6" w:rsidRPr="005C127E">
        <w:rPr>
          <w:i/>
        </w:rPr>
        <w:t xml:space="preserve">, </w:t>
      </w:r>
      <w:r w:rsidR="00136FC6" w:rsidRPr="005C127E">
        <w:t>Melbourne, Australian Council for Educational Research</w:t>
      </w:r>
      <w:r w:rsidR="00DE4EAF" w:rsidRPr="005C127E">
        <w:t xml:space="preserve">; </w:t>
      </w:r>
      <w:r w:rsidR="007D2415" w:rsidRPr="00F81BDB">
        <w:t xml:space="preserve">OECD (2012), </w:t>
      </w:r>
      <w:hyperlink r:id="rId95" w:history="1">
        <w:r w:rsidR="007D2415" w:rsidRPr="005C127E">
          <w:rPr>
            <w:rStyle w:val="Hyperlink"/>
            <w:rFonts w:asciiTheme="minorHAnsi" w:hAnsiTheme="minorHAnsi" w:cstheme="minorHAnsi"/>
            <w:i/>
            <w:szCs w:val="15"/>
          </w:rPr>
          <w:t>Equity and Quality in Education: Supporting Disadvantaged Students and Schools</w:t>
        </w:r>
      </w:hyperlink>
      <w:r w:rsidR="007D2415" w:rsidRPr="005C127E">
        <w:rPr>
          <w:i/>
          <w:color w:val="00264D" w:themeColor="background2"/>
        </w:rPr>
        <w:t xml:space="preserve"> </w:t>
      </w:r>
      <w:r w:rsidR="00064B26" w:rsidRPr="00F81BDB">
        <w:t xml:space="preserve">Paris, </w:t>
      </w:r>
      <w:r w:rsidR="007D2415" w:rsidRPr="00F81BDB">
        <w:t>OECD Publishing</w:t>
      </w:r>
      <w:r w:rsidR="00DE4EAF" w:rsidRPr="005C127E">
        <w:rPr>
          <w:color w:val="00264D" w:themeColor="background2"/>
        </w:rPr>
        <w:t xml:space="preserve">; </w:t>
      </w:r>
      <w:r w:rsidR="001975B3" w:rsidRPr="005C127E">
        <w:t xml:space="preserve">Australian Education Union, </w:t>
      </w:r>
      <w:hyperlink r:id="rId96" w:history="1">
        <w:r w:rsidR="001975B3" w:rsidRPr="005C127E">
          <w:rPr>
            <w:rStyle w:val="Hyperlink"/>
            <w:rFonts w:asciiTheme="minorHAnsi" w:hAnsiTheme="minorHAnsi" w:cstheme="minorHAnsi"/>
            <w:szCs w:val="15"/>
          </w:rPr>
          <w:t>‘New OECD report highlights unmet need for Australia's public schools’</w:t>
        </w:r>
      </w:hyperlink>
      <w:r w:rsidR="00F54C49">
        <w:rPr>
          <w:rStyle w:val="Hyperlink"/>
          <w:rFonts w:asciiTheme="minorHAnsi" w:hAnsiTheme="minorHAnsi" w:cstheme="minorHAnsi"/>
          <w:szCs w:val="15"/>
          <w:u w:val="none"/>
        </w:rPr>
        <w:t>.</w:t>
      </w:r>
    </w:p>
  </w:footnote>
  <w:footnote w:id="113">
    <w:p w14:paraId="3B447001" w14:textId="3BB3FDCC" w:rsidR="007F079E" w:rsidRDefault="007F079E" w:rsidP="001F0B21">
      <w:pPr>
        <w:pStyle w:val="FootnoteText"/>
      </w:pPr>
      <w:r w:rsidRPr="00F44043">
        <w:rPr>
          <w:rStyle w:val="FootnoteReference"/>
        </w:rPr>
        <w:footnoteRef/>
      </w:r>
      <w:r w:rsidRPr="00F44043">
        <w:t xml:space="preserve"> </w:t>
      </w:r>
      <w:r w:rsidR="00F44043" w:rsidRPr="00F81BDB">
        <w:t>Department for Education UK (2023), ‘</w:t>
      </w:r>
      <w:hyperlink r:id="rId97" w:history="1">
        <w:r w:rsidR="00F44043" w:rsidRPr="00F81BDB">
          <w:rPr>
            <w:rStyle w:val="Hyperlink"/>
          </w:rPr>
          <w:t>Pupil premium: overview</w:t>
        </w:r>
      </w:hyperlink>
      <w:r w:rsidR="00F44043" w:rsidRPr="00F81BDB">
        <w:t>’</w:t>
      </w:r>
      <w:r w:rsidR="00F54C49">
        <w:t>.</w:t>
      </w:r>
    </w:p>
  </w:footnote>
  <w:footnote w:id="114">
    <w:p w14:paraId="7970AE16" w14:textId="2ED55B07" w:rsidR="00200802" w:rsidRPr="005C127E" w:rsidRDefault="00200802" w:rsidP="008073F7">
      <w:pPr>
        <w:pStyle w:val="Footer"/>
      </w:pPr>
      <w:r w:rsidRPr="005C127E">
        <w:rPr>
          <w:rStyle w:val="FootnoteReference"/>
          <w:rFonts w:asciiTheme="minorHAnsi" w:hAnsiTheme="minorHAnsi" w:cstheme="minorHAnsi"/>
          <w:szCs w:val="15"/>
        </w:rPr>
        <w:footnoteRef/>
      </w:r>
      <w:r w:rsidRPr="005C127E">
        <w:t xml:space="preserve"> </w:t>
      </w:r>
      <w:r w:rsidR="0022315B" w:rsidRPr="005C127E">
        <w:t xml:space="preserve">National Centre on Education and the Economy (2023) </w:t>
      </w:r>
      <w:hyperlink r:id="rId98" w:history="1">
        <w:r w:rsidR="0022315B" w:rsidRPr="005C127E">
          <w:rPr>
            <w:rStyle w:val="Hyperlink"/>
            <w:rFonts w:asciiTheme="minorHAnsi" w:hAnsiTheme="minorHAnsi" w:cstheme="minorHAnsi"/>
            <w:szCs w:val="15"/>
          </w:rPr>
          <w:t>‘Hong Kong,’</w:t>
        </w:r>
      </w:hyperlink>
      <w:r w:rsidR="0022315B" w:rsidRPr="005C127E">
        <w:t xml:space="preserve"> </w:t>
      </w:r>
      <w:r w:rsidR="0022315B" w:rsidRPr="005C127E">
        <w:rPr>
          <w:i/>
          <w:iCs/>
        </w:rPr>
        <w:t>Top-Performing Countries</w:t>
      </w:r>
      <w:r w:rsidR="007E14C3" w:rsidRPr="00F54C49">
        <w:t>.</w:t>
      </w:r>
    </w:p>
  </w:footnote>
  <w:footnote w:id="115">
    <w:p w14:paraId="7C0A0EE5" w14:textId="031C47D8" w:rsidR="0009560A" w:rsidRPr="005C127E" w:rsidRDefault="0009560A" w:rsidP="00F2265F">
      <w:pPr>
        <w:pStyle w:val="Footer"/>
      </w:pPr>
      <w:r w:rsidRPr="003250E4">
        <w:rPr>
          <w:rStyle w:val="FootnoteReference"/>
          <w:rFonts w:asciiTheme="minorHAnsi" w:hAnsiTheme="minorHAnsi" w:cstheme="minorHAnsi"/>
          <w:szCs w:val="15"/>
        </w:rPr>
        <w:footnoteRef/>
      </w:r>
      <w:r w:rsidRPr="003250E4">
        <w:rPr>
          <w:vertAlign w:val="superscript"/>
        </w:rPr>
        <w:t xml:space="preserve"> </w:t>
      </w:r>
      <w:r w:rsidRPr="005C127E">
        <w:t>S. Gorard, N. Siddiqui &amp; B</w:t>
      </w:r>
      <w:r w:rsidR="00661F41">
        <w:t>.H.</w:t>
      </w:r>
      <w:r w:rsidRPr="005C127E">
        <w:t xml:space="preserve"> See (2021) </w:t>
      </w:r>
      <w:r w:rsidR="00F2265F">
        <w:t>‘</w:t>
      </w:r>
      <w:hyperlink r:id="rId99" w:history="1">
        <w:r w:rsidR="00F2265F" w:rsidRPr="003808DE">
          <w:rPr>
            <w:rStyle w:val="Hyperlink"/>
          </w:rPr>
          <w:t>The difficulties of judging what difference the Pupil Premium has made to school intakes and outcomes in England</w:t>
        </w:r>
      </w:hyperlink>
      <w:r w:rsidRPr="005C127E">
        <w:t>‘</w:t>
      </w:r>
      <w:r w:rsidR="005B61AF">
        <w:t xml:space="preserve">, </w:t>
      </w:r>
      <w:r w:rsidR="005B61AF">
        <w:rPr>
          <w:i/>
          <w:iCs/>
        </w:rPr>
        <w:t xml:space="preserve">Research Papers in Education, </w:t>
      </w:r>
      <w:r w:rsidR="005B61AF">
        <w:t>Vo</w:t>
      </w:r>
      <w:r w:rsidR="00D44484">
        <w:t xml:space="preserve">l. </w:t>
      </w:r>
      <w:r w:rsidRPr="005C127E">
        <w:t xml:space="preserve">36, Iss 3, pp355-370; S. Gorard (2022) ‘What is the evidence on the impact of Pupil Premium funding on school intakes and attainment by age 16 in England?’, </w:t>
      </w:r>
      <w:r w:rsidRPr="005C127E">
        <w:rPr>
          <w:i/>
          <w:iCs/>
        </w:rPr>
        <w:t>British Educational Research Journal</w:t>
      </w:r>
      <w:r w:rsidRPr="005C127E">
        <w:t xml:space="preserve">, Vol 48, Iss 3, pp 446-468; S. Gorard, N. Siddiqui &amp; BN See (2022) ‘Assessing the impact of Pupil Premium funding on primary school segregation and attainment’, </w:t>
      </w:r>
      <w:r w:rsidRPr="005C127E">
        <w:rPr>
          <w:i/>
          <w:iCs/>
        </w:rPr>
        <w:t>Research Papers in Education</w:t>
      </w:r>
      <w:r w:rsidRPr="005C127E">
        <w:t>, Vol. 37 Iss 6, pp/992-1019</w:t>
      </w:r>
      <w:r w:rsidR="00F54C49">
        <w:t>.</w:t>
      </w:r>
    </w:p>
  </w:footnote>
  <w:footnote w:id="116">
    <w:p w14:paraId="7D77D884" w14:textId="6026F65D" w:rsidR="005C51AB" w:rsidRDefault="005C51AB">
      <w:pPr>
        <w:pStyle w:val="FootnoteText"/>
      </w:pPr>
      <w:r>
        <w:rPr>
          <w:rStyle w:val="FootnoteReference"/>
        </w:rPr>
        <w:footnoteRef/>
      </w:r>
      <w:r>
        <w:t xml:space="preserve"> Monash University (2023). </w:t>
      </w:r>
      <w:r w:rsidR="008A71DB">
        <w:t>‘</w:t>
      </w:r>
      <w:r w:rsidRPr="00F81BDB">
        <w:t>What works to address concentrations of disadvantage in schools?</w:t>
      </w:r>
      <w:r>
        <w:t xml:space="preserve"> A rapid scoping review.</w:t>
      </w:r>
      <w:r w:rsidR="008A71DB">
        <w:t xml:space="preserve">’ </w:t>
      </w:r>
      <w:r>
        <w:t>Behaviour Works Australia</w:t>
      </w:r>
      <w:r w:rsidR="008A71DB">
        <w:t xml:space="preserve"> ; </w:t>
      </w:r>
      <w:r w:rsidR="006123ED" w:rsidRPr="006123ED">
        <w:t xml:space="preserve">UNESCO, 2020[83]) cited in OECD (2023) </w:t>
      </w:r>
      <w:r w:rsidR="008A71DB">
        <w:t>‘</w:t>
      </w:r>
      <w:r w:rsidR="006123ED" w:rsidRPr="006123ED">
        <w:t>Equity and Inclusion in Education: Finding strength through diversity</w:t>
      </w:r>
      <w:r w:rsidR="008A71DB">
        <w:t>’</w:t>
      </w:r>
      <w:r w:rsidR="006123ED" w:rsidRPr="006123ED">
        <w:t>, OECD Publishing, Paris.</w:t>
      </w:r>
    </w:p>
  </w:footnote>
  <w:footnote w:id="117">
    <w:p w14:paraId="220716DF" w14:textId="7367BC19" w:rsidR="0035644A" w:rsidRPr="005C127E" w:rsidRDefault="0035644A" w:rsidP="008073F7">
      <w:pPr>
        <w:pStyle w:val="Footer"/>
      </w:pPr>
      <w:r w:rsidRPr="003250E4">
        <w:rPr>
          <w:rStyle w:val="FootnoteReference"/>
          <w:rFonts w:asciiTheme="minorHAnsi" w:hAnsiTheme="minorHAnsi" w:cstheme="minorHAnsi"/>
          <w:szCs w:val="15"/>
        </w:rPr>
        <w:footnoteRef/>
      </w:r>
      <w:r w:rsidRPr="005C127E">
        <w:t xml:space="preserve"> </w:t>
      </w:r>
      <w:r w:rsidR="00D44484">
        <w:t xml:space="preserve">Hoard, Siddiqui &amp; See </w:t>
      </w:r>
      <w:r w:rsidR="006123D1">
        <w:t xml:space="preserve">(2021) </w:t>
      </w:r>
      <w:r w:rsidR="001D6241">
        <w:rPr>
          <w:i/>
          <w:iCs/>
        </w:rPr>
        <w:t>o</w:t>
      </w:r>
      <w:r w:rsidRPr="00F54C49">
        <w:rPr>
          <w:i/>
          <w:iCs/>
        </w:rPr>
        <w:t>p</w:t>
      </w:r>
      <w:r w:rsidR="001D6241">
        <w:rPr>
          <w:i/>
          <w:iCs/>
        </w:rPr>
        <w:t>.</w:t>
      </w:r>
      <w:r w:rsidRPr="00F54C49">
        <w:rPr>
          <w:i/>
          <w:iCs/>
        </w:rPr>
        <w:t xml:space="preserve"> </w:t>
      </w:r>
      <w:r w:rsidR="001D6241">
        <w:rPr>
          <w:i/>
          <w:iCs/>
        </w:rPr>
        <w:t>c</w:t>
      </w:r>
      <w:r w:rsidRPr="00F54C49">
        <w:rPr>
          <w:i/>
          <w:iCs/>
        </w:rPr>
        <w:t>it</w:t>
      </w:r>
      <w:r w:rsidRPr="005C127E">
        <w:t xml:space="preserve">. </w:t>
      </w:r>
    </w:p>
  </w:footnote>
  <w:footnote w:id="118">
    <w:p w14:paraId="050528DB" w14:textId="4C298D03" w:rsidR="0035644A" w:rsidRPr="005C127E" w:rsidRDefault="0035644A" w:rsidP="008073F7">
      <w:pPr>
        <w:pStyle w:val="Footer"/>
      </w:pPr>
      <w:r w:rsidRPr="005C127E">
        <w:rPr>
          <w:rStyle w:val="FootnoteReference"/>
          <w:rFonts w:asciiTheme="minorHAnsi" w:hAnsiTheme="minorHAnsi" w:cstheme="minorHAnsi"/>
          <w:szCs w:val="15"/>
        </w:rPr>
        <w:footnoteRef/>
      </w:r>
      <w:r w:rsidRPr="005C127E">
        <w:t xml:space="preserve"> A. Lindorff et al (2023) </w:t>
      </w:r>
      <w:r w:rsidR="00FB216A">
        <w:t>‘</w:t>
      </w:r>
      <w:hyperlink r:id="rId100" w:history="1">
        <w:r w:rsidRPr="00F81BDB">
          <w:rPr>
            <w:rStyle w:val="Hyperlink"/>
          </w:rPr>
          <w:t>PIRLS 2021: National Report for England</w:t>
        </w:r>
      </w:hyperlink>
      <w:r w:rsidR="00FB216A">
        <w:rPr>
          <w:rStyle w:val="Hyperlink"/>
        </w:rPr>
        <w:t>’</w:t>
      </w:r>
      <w:r w:rsidRPr="005C127E">
        <w:rPr>
          <w:i/>
          <w:iCs/>
        </w:rPr>
        <w:t xml:space="preserve">, </w:t>
      </w:r>
      <w:r w:rsidRPr="005C127E">
        <w:t>London, Department for Education</w:t>
      </w:r>
      <w:r w:rsidR="00745F32">
        <w:t>.</w:t>
      </w:r>
    </w:p>
  </w:footnote>
  <w:footnote w:id="119">
    <w:p w14:paraId="58F16890" w14:textId="41D553E3" w:rsidR="009911B7" w:rsidRPr="005C127E" w:rsidRDefault="009911B7" w:rsidP="008073F7">
      <w:pPr>
        <w:pStyle w:val="Footer"/>
        <w:rPr>
          <w:i/>
        </w:rPr>
      </w:pPr>
      <w:r w:rsidRPr="005C127E">
        <w:rPr>
          <w:rStyle w:val="FootnoteReference"/>
          <w:rFonts w:asciiTheme="minorHAnsi" w:hAnsiTheme="minorHAnsi" w:cstheme="minorHAnsi"/>
          <w:szCs w:val="15"/>
        </w:rPr>
        <w:footnoteRef/>
      </w:r>
      <w:r w:rsidRPr="005C127E">
        <w:t xml:space="preserve"> E.</w:t>
      </w:r>
      <w:r w:rsidR="00A90E97">
        <w:t xml:space="preserve"> </w:t>
      </w:r>
      <w:r w:rsidRPr="005C127E">
        <w:t xml:space="preserve">Vegas (2018) ‘5 lessons from recent educational reforms in Chile’, </w:t>
      </w:r>
      <w:r w:rsidRPr="005C127E">
        <w:rPr>
          <w:i/>
        </w:rPr>
        <w:t>The Brookings Institution</w:t>
      </w:r>
      <w:r w:rsidRPr="00F54C49">
        <w:rPr>
          <w:iCs/>
        </w:rPr>
        <w:t>.</w:t>
      </w:r>
    </w:p>
  </w:footnote>
  <w:footnote w:id="120">
    <w:p w14:paraId="3F84905D" w14:textId="6DA7FC4C" w:rsidR="00490B61" w:rsidRPr="00F128ED" w:rsidRDefault="00490B61">
      <w:pPr>
        <w:pStyle w:val="FootnoteText"/>
      </w:pPr>
      <w:r>
        <w:rPr>
          <w:rStyle w:val="FootnoteReference"/>
        </w:rPr>
        <w:footnoteRef/>
      </w:r>
      <w:r>
        <w:t xml:space="preserve"> </w:t>
      </w:r>
      <w:r w:rsidR="00F128ED">
        <w:t>P. Cummings et al (2023) ‘C</w:t>
      </w:r>
      <w:hyperlink r:id="rId101" w:history="1">
        <w:r w:rsidR="00F128ED" w:rsidRPr="00242CDB">
          <w:rPr>
            <w:rStyle w:val="Hyperlink"/>
          </w:rPr>
          <w:t>hile’s Inclusion Law: the arduous drive to regulate an unequal education system, 2006-19</w:t>
        </w:r>
      </w:hyperlink>
      <w:r w:rsidR="00F128ED">
        <w:t xml:space="preserve">, </w:t>
      </w:r>
      <w:r w:rsidR="00F128ED">
        <w:rPr>
          <w:i/>
          <w:iCs/>
        </w:rPr>
        <w:t xml:space="preserve">Educational Review, </w:t>
      </w:r>
      <w:r w:rsidR="002A5659" w:rsidRPr="006B460B">
        <w:t>pp.1-26</w:t>
      </w:r>
      <w:r w:rsidR="00F54C49">
        <w:t>.</w:t>
      </w:r>
    </w:p>
  </w:footnote>
  <w:footnote w:id="121">
    <w:p w14:paraId="7975A347" w14:textId="0DE8A577" w:rsidR="005E2638" w:rsidRDefault="005E2638">
      <w:pPr>
        <w:pStyle w:val="FootnoteText"/>
      </w:pPr>
      <w:r>
        <w:rPr>
          <w:rStyle w:val="FootnoteReference"/>
        </w:rPr>
        <w:footnoteRef/>
      </w:r>
      <w:r>
        <w:t xml:space="preserve"> E. Vegas</w:t>
      </w:r>
      <w:r w:rsidR="008079D1">
        <w:t xml:space="preserve"> (2023) Interview with the Project team, 21 October 2023.</w:t>
      </w:r>
    </w:p>
  </w:footnote>
  <w:footnote w:id="122">
    <w:p w14:paraId="65A52EEA" w14:textId="751D738B" w:rsidR="008423C8" w:rsidRPr="005C127E" w:rsidRDefault="008423C8" w:rsidP="008073F7">
      <w:pPr>
        <w:pStyle w:val="Footer"/>
      </w:pPr>
      <w:r w:rsidRPr="005C127E">
        <w:rPr>
          <w:rStyle w:val="FootnoteReference"/>
          <w:rFonts w:asciiTheme="minorHAnsi" w:hAnsiTheme="minorHAnsi" w:cstheme="minorHAnsi"/>
          <w:szCs w:val="15"/>
        </w:rPr>
        <w:footnoteRef/>
      </w:r>
      <w:r w:rsidRPr="005C127E">
        <w:t xml:space="preserve"> OECD (2019) ‘Chapter 2. </w:t>
      </w:r>
      <w:r w:rsidR="002610DF" w:rsidRPr="005C127E">
        <w:t>Students’</w:t>
      </w:r>
      <w:r w:rsidRPr="005C127E">
        <w:t xml:space="preserve"> socio-economic status and performance’</w:t>
      </w:r>
      <w:r w:rsidR="003C2842">
        <w:t xml:space="preserve"> </w:t>
      </w:r>
      <w:r w:rsidR="003C2842">
        <w:rPr>
          <w:i/>
          <w:iCs/>
        </w:rPr>
        <w:t>op</w:t>
      </w:r>
      <w:r w:rsidR="001D6241">
        <w:rPr>
          <w:i/>
          <w:iCs/>
        </w:rPr>
        <w:t>.</w:t>
      </w:r>
      <w:r w:rsidR="003C2842">
        <w:rPr>
          <w:i/>
          <w:iCs/>
        </w:rPr>
        <w:t xml:space="preserve"> cit</w:t>
      </w:r>
      <w:r w:rsidR="003C2842" w:rsidRPr="00F54C49">
        <w:t xml:space="preserve">. </w:t>
      </w:r>
    </w:p>
  </w:footnote>
  <w:footnote w:id="123">
    <w:p w14:paraId="7310E5A6" w14:textId="7A477420" w:rsidR="003E5EBD" w:rsidRPr="005C127E" w:rsidRDefault="003E5EBD" w:rsidP="008073F7">
      <w:pPr>
        <w:pStyle w:val="Footer"/>
      </w:pPr>
      <w:r w:rsidRPr="005C127E">
        <w:rPr>
          <w:rStyle w:val="FootnoteReference"/>
          <w:rFonts w:asciiTheme="minorHAnsi" w:hAnsiTheme="minorHAnsi" w:cstheme="minorHAnsi"/>
          <w:szCs w:val="15"/>
        </w:rPr>
        <w:footnoteRef/>
      </w:r>
      <w:r w:rsidRPr="005C127E">
        <w:t xml:space="preserve"> National Centre on Education and the Economy (2023) </w:t>
      </w:r>
      <w:hyperlink r:id="rId102" w:history="1">
        <w:r w:rsidR="0086017A" w:rsidRPr="005C127E">
          <w:rPr>
            <w:rStyle w:val="Hyperlink"/>
            <w:rFonts w:asciiTheme="minorHAnsi" w:hAnsiTheme="minorHAnsi" w:cstheme="minorHAnsi"/>
            <w:szCs w:val="15"/>
          </w:rPr>
          <w:t>‘</w:t>
        </w:r>
        <w:r w:rsidRPr="005C127E">
          <w:rPr>
            <w:rStyle w:val="Hyperlink"/>
            <w:rFonts w:asciiTheme="minorHAnsi" w:hAnsiTheme="minorHAnsi" w:cstheme="minorHAnsi"/>
            <w:szCs w:val="15"/>
          </w:rPr>
          <w:t>Hong Kong</w:t>
        </w:r>
        <w:r w:rsidR="00E87E75" w:rsidRPr="005C127E">
          <w:rPr>
            <w:rStyle w:val="Hyperlink"/>
            <w:rFonts w:asciiTheme="minorHAnsi" w:hAnsiTheme="minorHAnsi" w:cstheme="minorHAnsi"/>
            <w:szCs w:val="15"/>
          </w:rPr>
          <w:t>,’</w:t>
        </w:r>
      </w:hyperlink>
      <w:r w:rsidR="00E87E75" w:rsidRPr="005C127E">
        <w:t xml:space="preserve"> </w:t>
      </w:r>
      <w:r w:rsidR="00E87E75" w:rsidRPr="005C127E">
        <w:rPr>
          <w:i/>
          <w:iCs/>
        </w:rPr>
        <w:t>Top-Performing Countries</w:t>
      </w:r>
      <w:r w:rsidR="00B46BEA" w:rsidRPr="00F54C49">
        <w:t>.</w:t>
      </w:r>
    </w:p>
  </w:footnote>
  <w:footnote w:id="124">
    <w:p w14:paraId="3E0DFCDE" w14:textId="6086DB21" w:rsidR="00813FA8" w:rsidRPr="00C20CCB" w:rsidRDefault="00813FA8" w:rsidP="00813FA8">
      <w:pPr>
        <w:pStyle w:val="Footer"/>
        <w:rPr>
          <w:rStyle w:val="Hyperlink"/>
          <w:u w:val="none"/>
        </w:rPr>
      </w:pPr>
      <w:r w:rsidRPr="00CC2776">
        <w:rPr>
          <w:rStyle w:val="FootnoteReference"/>
          <w:rFonts w:asciiTheme="minorHAnsi" w:hAnsiTheme="minorHAnsi" w:cstheme="minorHAnsi"/>
          <w:szCs w:val="15"/>
        </w:rPr>
        <w:footnoteRef/>
      </w:r>
      <w:r w:rsidRPr="00CC2776">
        <w:t xml:space="preserve"> </w:t>
      </w:r>
      <w:r w:rsidRPr="005C127E">
        <w:t>Jung-Sook Lee et al. (2020)</w:t>
      </w:r>
      <w:r>
        <w:t xml:space="preserve"> </w:t>
      </w:r>
      <w:r>
        <w:rPr>
          <w:i/>
          <w:iCs/>
        </w:rPr>
        <w:t xml:space="preserve">op cit. </w:t>
      </w:r>
      <w:r w:rsidRPr="005C127E">
        <w:t xml:space="preserve">L. Connors er al. (2015) </w:t>
      </w:r>
      <w:r>
        <w:rPr>
          <w:i/>
          <w:iCs/>
        </w:rPr>
        <w:t>op</w:t>
      </w:r>
      <w:r w:rsidR="001D6241">
        <w:rPr>
          <w:i/>
          <w:iCs/>
        </w:rPr>
        <w:t>.</w:t>
      </w:r>
      <w:r>
        <w:rPr>
          <w:i/>
          <w:iCs/>
        </w:rPr>
        <w:t xml:space="preserve"> cit</w:t>
      </w:r>
      <w:r w:rsidR="001D6241">
        <w:rPr>
          <w:i/>
          <w:iCs/>
        </w:rPr>
        <w:t>.</w:t>
      </w:r>
      <w:r>
        <w:rPr>
          <w:i/>
        </w:rPr>
        <w:t xml:space="preserve">; </w:t>
      </w:r>
      <w:r w:rsidRPr="005C127E">
        <w:rPr>
          <w:color w:val="00264D" w:themeColor="background2"/>
        </w:rPr>
        <w:t xml:space="preserve">OECD (2012) </w:t>
      </w:r>
      <w:hyperlink r:id="rId103" w:history="1">
        <w:r w:rsidRPr="005C127E">
          <w:rPr>
            <w:rStyle w:val="Hyperlink"/>
            <w:rFonts w:asciiTheme="minorHAnsi" w:hAnsiTheme="minorHAnsi" w:cstheme="minorHAnsi"/>
            <w:i/>
            <w:szCs w:val="15"/>
          </w:rPr>
          <w:t>Equity and Quality in Education: Supporting Disadvantaged Students and Schools</w:t>
        </w:r>
      </w:hyperlink>
      <w:r w:rsidRPr="005C127E">
        <w:rPr>
          <w:i/>
          <w:color w:val="00264D" w:themeColor="background2"/>
        </w:rPr>
        <w:t xml:space="preserve"> </w:t>
      </w:r>
      <w:r w:rsidRPr="00287781">
        <w:t xml:space="preserve">Paris, OECD Publishing; </w:t>
      </w:r>
      <w:r w:rsidRPr="005C127E">
        <w:t xml:space="preserve">Australian Education Union, </w:t>
      </w:r>
      <w:r>
        <w:t>Victoria (2023)</w:t>
      </w:r>
      <w:r w:rsidRPr="005C127E">
        <w:t xml:space="preserve"> </w:t>
      </w:r>
      <w:hyperlink r:id="rId104" w:history="1">
        <w:r w:rsidRPr="005C127E">
          <w:rPr>
            <w:rStyle w:val="Hyperlink"/>
            <w:rFonts w:asciiTheme="minorHAnsi" w:hAnsiTheme="minorHAnsi" w:cstheme="minorHAnsi"/>
            <w:szCs w:val="15"/>
          </w:rPr>
          <w:t>‘New OECD report highlights unmet need for Australia's public schools’</w:t>
        </w:r>
      </w:hyperlink>
      <w:r w:rsidR="00C20CCB">
        <w:rPr>
          <w:rStyle w:val="Hyperlink"/>
          <w:rFonts w:asciiTheme="minorHAnsi" w:hAnsiTheme="minorHAnsi" w:cstheme="minorHAnsi"/>
          <w:szCs w:val="15"/>
          <w:u w:val="none"/>
        </w:rPr>
        <w:t>.</w:t>
      </w:r>
    </w:p>
  </w:footnote>
  <w:footnote w:id="125">
    <w:p w14:paraId="665B1B8C" w14:textId="77456CE2" w:rsidR="009B6427" w:rsidRDefault="009B6427" w:rsidP="009B6427">
      <w:pPr>
        <w:pStyle w:val="FootnoteText"/>
      </w:pPr>
      <w:r>
        <w:rPr>
          <w:rStyle w:val="FootnoteReference"/>
        </w:rPr>
        <w:footnoteRef/>
      </w:r>
      <w:r w:rsidR="005522C0">
        <w:t xml:space="preserve"> B.</w:t>
      </w:r>
      <w:r>
        <w:t xml:space="preserve"> </w:t>
      </w:r>
      <w:r w:rsidRPr="008E57C3">
        <w:t>Pont</w:t>
      </w:r>
      <w:r w:rsidR="001F155A">
        <w:t xml:space="preserve">, </w:t>
      </w:r>
      <w:r w:rsidRPr="008E57C3">
        <w:t xml:space="preserve">D. Nusche </w:t>
      </w:r>
      <w:r w:rsidR="001F155A">
        <w:t>&amp;</w:t>
      </w:r>
      <w:r w:rsidRPr="008E57C3">
        <w:t xml:space="preserve"> H. Moorman (2008) </w:t>
      </w:r>
      <w:r w:rsidR="001F155A">
        <w:t>‘</w:t>
      </w:r>
      <w:hyperlink r:id="rId105" w:history="1">
        <w:r w:rsidRPr="00EA206E">
          <w:rPr>
            <w:rStyle w:val="Hyperlink"/>
          </w:rPr>
          <w:t>Improving School Leadership, Volume 1: Policy and Practice</w:t>
        </w:r>
      </w:hyperlink>
      <w:r w:rsidR="001F155A">
        <w:rPr>
          <w:rStyle w:val="Hyperlink"/>
        </w:rPr>
        <w:t>’</w:t>
      </w:r>
      <w:r w:rsidRPr="008E57C3">
        <w:t>, OECD Publishing, Paris</w:t>
      </w:r>
      <w:r>
        <w:t xml:space="preserve">; OECD (2005), </w:t>
      </w:r>
      <w:r w:rsidR="001F155A">
        <w:t>‘</w:t>
      </w:r>
      <w:hyperlink r:id="rId106" w:history="1">
        <w:r w:rsidRPr="00432743">
          <w:rPr>
            <w:rStyle w:val="Hyperlink"/>
          </w:rPr>
          <w:t>Teachers Matter: Attracting, Developing and Retaining Effective Teachers</w:t>
        </w:r>
      </w:hyperlink>
      <w:r w:rsidR="001F155A">
        <w:rPr>
          <w:rStyle w:val="Hyperlink"/>
        </w:rPr>
        <w:t>’</w:t>
      </w:r>
      <w:r w:rsidRPr="005574BD">
        <w:t>, OECD</w:t>
      </w:r>
      <w:r>
        <w:t xml:space="preserve"> Publishing.</w:t>
      </w:r>
    </w:p>
  </w:footnote>
  <w:footnote w:id="126">
    <w:p w14:paraId="1B7B9825" w14:textId="3D6F1090" w:rsidR="0026572B" w:rsidRDefault="0026572B">
      <w:pPr>
        <w:pStyle w:val="FootnoteText"/>
      </w:pPr>
      <w:r>
        <w:rPr>
          <w:rStyle w:val="FootnoteReference"/>
        </w:rPr>
        <w:footnoteRef/>
      </w:r>
      <w:r>
        <w:t xml:space="preserve"> </w:t>
      </w:r>
      <w:r w:rsidR="00327C6B">
        <w:t xml:space="preserve">OECD (2005) </w:t>
      </w:r>
      <w:r w:rsidR="001F155A">
        <w:t>‘</w:t>
      </w:r>
      <w:hyperlink r:id="rId107" w:history="1">
        <w:r w:rsidR="005574BD" w:rsidRPr="00432743">
          <w:rPr>
            <w:rStyle w:val="Hyperlink"/>
          </w:rPr>
          <w:t>Teachers Matter: Attracting, Developing and Retaining Effective Teachers</w:t>
        </w:r>
      </w:hyperlink>
      <w:r w:rsidR="001F155A">
        <w:rPr>
          <w:rStyle w:val="Hyperlink"/>
        </w:rPr>
        <w:t>’</w:t>
      </w:r>
      <w:r w:rsidR="005574BD" w:rsidRPr="005574BD">
        <w:t>, OECD</w:t>
      </w:r>
      <w:r w:rsidR="00177C10">
        <w:t xml:space="preserve"> Publishing.</w:t>
      </w:r>
    </w:p>
  </w:footnote>
  <w:footnote w:id="127">
    <w:p w14:paraId="7E52B9C2" w14:textId="30917401" w:rsidR="00BC4F1A" w:rsidRDefault="00BC4F1A">
      <w:pPr>
        <w:pStyle w:val="FootnoteText"/>
      </w:pPr>
      <w:r w:rsidRPr="00ED2D18">
        <w:rPr>
          <w:rStyle w:val="FootnoteReference"/>
        </w:rPr>
        <w:footnoteRef/>
      </w:r>
      <w:r w:rsidRPr="00ED2D18">
        <w:t xml:space="preserve"> </w:t>
      </w:r>
      <w:r w:rsidR="006B20BB" w:rsidRPr="00F81BDB">
        <w:t xml:space="preserve">P. Burge, et al. (2021) </w:t>
      </w:r>
      <w:r w:rsidR="001F155A">
        <w:t>‘</w:t>
      </w:r>
      <w:hyperlink r:id="rId108" w:history="1">
        <w:r w:rsidR="006B20BB" w:rsidRPr="00F81BDB">
          <w:rPr>
            <w:rStyle w:val="Hyperlink"/>
          </w:rPr>
          <w:t>Understanding teacher retention</w:t>
        </w:r>
        <w:r w:rsidR="00686898" w:rsidRPr="00F81BDB">
          <w:rPr>
            <w:rStyle w:val="Hyperlink"/>
          </w:rPr>
          <w:t>: Using a discrete choice experiment to measure teacher retention in England</w:t>
        </w:r>
      </w:hyperlink>
      <w:r w:rsidR="00686898" w:rsidRPr="00F81BDB">
        <w:t>.</w:t>
      </w:r>
      <w:r w:rsidR="001F155A">
        <w:t xml:space="preserve">’ </w:t>
      </w:r>
      <w:r w:rsidR="00686898" w:rsidRPr="00F81BDB">
        <w:t xml:space="preserve">Rand Europe. </w:t>
      </w:r>
      <w:r w:rsidR="006733FD" w:rsidRPr="00F81BDB">
        <w:t>Office of Manpower Economics</w:t>
      </w:r>
      <w:r w:rsidR="00AD28BB" w:rsidRPr="00F81BDB">
        <w:t>, pp.10</w:t>
      </w:r>
      <w:r w:rsidR="00C20CCB">
        <w:t>.</w:t>
      </w:r>
    </w:p>
  </w:footnote>
  <w:footnote w:id="128">
    <w:p w14:paraId="3D713F30" w14:textId="463F74E6" w:rsidR="00416AD9" w:rsidRDefault="00416AD9" w:rsidP="00416AD9">
      <w:pPr>
        <w:pStyle w:val="FootnoteText"/>
      </w:pPr>
      <w:r>
        <w:rPr>
          <w:rStyle w:val="FootnoteReference"/>
        </w:rPr>
        <w:footnoteRef/>
      </w:r>
      <w:r>
        <w:t xml:space="preserve"> </w:t>
      </w:r>
      <w:r w:rsidR="005522C0">
        <w:t>L.</w:t>
      </w:r>
      <w:r>
        <w:t xml:space="preserve"> </w:t>
      </w:r>
      <w:r w:rsidRPr="00C66BFF">
        <w:t xml:space="preserve">Ingvarson and K. </w:t>
      </w:r>
      <w:r w:rsidR="00C66BFF" w:rsidRPr="00C66BFF">
        <w:t>Rowe (2007) “</w:t>
      </w:r>
      <w:hyperlink r:id="rId109" w:history="1">
        <w:r w:rsidR="00C66BFF" w:rsidRPr="00B47F89">
          <w:rPr>
            <w:rStyle w:val="Hyperlink"/>
          </w:rPr>
          <w:t>Conceptualising and evaluating teacher quality: substantive and methodological issues”,</w:t>
        </w:r>
      </w:hyperlink>
      <w:r w:rsidR="00C66BFF" w:rsidRPr="00C66BFF">
        <w:t xml:space="preserve"> </w:t>
      </w:r>
      <w:r w:rsidR="00C66BFF" w:rsidRPr="00B9228F">
        <w:rPr>
          <w:i/>
          <w:iCs/>
        </w:rPr>
        <w:t>Australian Journal of Education</w:t>
      </w:r>
      <w:r w:rsidR="00C66BFF" w:rsidRPr="00C66BFF">
        <w:t xml:space="preserve">, Vol. </w:t>
      </w:r>
      <w:r w:rsidRPr="00C66BFF">
        <w:t>52, No. 1, pp. 5-35</w:t>
      </w:r>
      <w:r>
        <w:t xml:space="preserve">; OECD (2005), </w:t>
      </w:r>
      <w:hyperlink r:id="rId110" w:history="1">
        <w:r w:rsidRPr="00432743">
          <w:rPr>
            <w:rStyle w:val="Hyperlink"/>
          </w:rPr>
          <w:t>Teachers Matter: Attracting, Developing and Retaining Effective Teachers</w:t>
        </w:r>
      </w:hyperlink>
      <w:r w:rsidRPr="005574BD">
        <w:t>, OECD</w:t>
      </w:r>
      <w:r>
        <w:t xml:space="preserve"> Publishing.</w:t>
      </w:r>
    </w:p>
  </w:footnote>
  <w:footnote w:id="129">
    <w:p w14:paraId="5F922483" w14:textId="571C1D3C" w:rsidR="00327149" w:rsidRDefault="00327149">
      <w:pPr>
        <w:pStyle w:val="FootnoteText"/>
      </w:pPr>
      <w:r>
        <w:rPr>
          <w:rStyle w:val="FootnoteReference"/>
        </w:rPr>
        <w:footnoteRef/>
      </w:r>
      <w:r>
        <w:t xml:space="preserve"> </w:t>
      </w:r>
      <w:r w:rsidR="00B338CE">
        <w:t>L.</w:t>
      </w:r>
      <w:r>
        <w:t xml:space="preserve"> </w:t>
      </w:r>
      <w:r w:rsidR="008A5374" w:rsidRPr="008A5374">
        <w:t xml:space="preserve">Darling-Hammond, (2010) </w:t>
      </w:r>
      <w:r w:rsidR="00B338CE">
        <w:t>‘</w:t>
      </w:r>
      <w:hyperlink r:id="rId111" w:history="1">
        <w:r w:rsidR="008A5374" w:rsidRPr="00FA0BFC">
          <w:rPr>
            <w:rStyle w:val="Hyperlink"/>
          </w:rPr>
          <w:t>Organizing for Success: From Inequality to Quality. The flat world and education: How America’s commitment to equity will determine our future</w:t>
        </w:r>
      </w:hyperlink>
      <w:r w:rsidR="00B338CE">
        <w:t>‘</w:t>
      </w:r>
      <w:r w:rsidR="00B338CE" w:rsidRPr="008A5374">
        <w:t xml:space="preserve"> </w:t>
      </w:r>
      <w:r w:rsidR="008A5374" w:rsidRPr="00463F10">
        <w:rPr>
          <w:i/>
          <w:iCs/>
        </w:rPr>
        <w:t>Teachers College Press</w:t>
      </w:r>
      <w:r w:rsidR="008A5374" w:rsidRPr="008A5374">
        <w:t>, New York, pp. 234-277</w:t>
      </w:r>
      <w:r w:rsidR="00D12A32">
        <w:t xml:space="preserve">; OECD (2005), </w:t>
      </w:r>
      <w:hyperlink r:id="rId112" w:history="1">
        <w:r w:rsidR="00D12A32" w:rsidRPr="00432743">
          <w:rPr>
            <w:rStyle w:val="Hyperlink"/>
          </w:rPr>
          <w:t>Teachers Matter: Attracting, Developing and Retaining Effective Teachers</w:t>
        </w:r>
      </w:hyperlink>
      <w:r w:rsidR="00D12A32" w:rsidRPr="005574BD">
        <w:t>, OECD</w:t>
      </w:r>
      <w:r w:rsidR="00D12A32">
        <w:t xml:space="preserve"> Publishing.</w:t>
      </w:r>
    </w:p>
  </w:footnote>
  <w:footnote w:id="130">
    <w:p w14:paraId="148F4CB6" w14:textId="4ED73B7E" w:rsidR="00962D6F" w:rsidRDefault="00962D6F">
      <w:pPr>
        <w:pStyle w:val="FootnoteText"/>
      </w:pPr>
      <w:r>
        <w:rPr>
          <w:rStyle w:val="FootnoteReference"/>
        </w:rPr>
        <w:footnoteRef/>
      </w:r>
      <w:r>
        <w:t xml:space="preserve"> </w:t>
      </w:r>
      <w:r w:rsidR="00A81184" w:rsidRPr="00A81184">
        <w:t xml:space="preserve">OECD (2012) </w:t>
      </w:r>
      <w:r w:rsidR="00F918C8">
        <w:t>‘</w:t>
      </w:r>
      <w:hyperlink r:id="rId113" w:history="1">
        <w:r w:rsidR="00A81184" w:rsidRPr="00043697">
          <w:rPr>
            <w:rStyle w:val="Hyperlink"/>
          </w:rPr>
          <w:t>Equity and Quality in Education: Supporting Disadvantaged Students and Schools</w:t>
        </w:r>
      </w:hyperlink>
      <w:r w:rsidR="00F918C8">
        <w:rPr>
          <w:rStyle w:val="Hyperlink"/>
        </w:rPr>
        <w:t>’</w:t>
      </w:r>
      <w:r w:rsidR="00A81184" w:rsidRPr="00A81184">
        <w:t>, OECD Publishing.</w:t>
      </w:r>
    </w:p>
  </w:footnote>
  <w:footnote w:id="131">
    <w:p w14:paraId="1D2B80ED" w14:textId="6C9A5C96" w:rsidR="00D7673F" w:rsidRPr="00BB020E" w:rsidRDefault="00D7673F" w:rsidP="00D7673F">
      <w:pPr>
        <w:pStyle w:val="Footer"/>
        <w:rPr>
          <w:rFonts w:asciiTheme="minorHAnsi" w:hAnsiTheme="minorHAnsi" w:cstheme="minorHAnsi"/>
          <w:sz w:val="16"/>
          <w:szCs w:val="16"/>
        </w:rPr>
      </w:pPr>
      <w:r>
        <w:rPr>
          <w:rStyle w:val="FootnoteReference"/>
        </w:rPr>
        <w:footnoteRef/>
      </w:r>
      <w:r>
        <w:t xml:space="preserve"> Department of Education, UK (2019) </w:t>
      </w:r>
      <w:r w:rsidR="00F918C8">
        <w:t>‘</w:t>
      </w:r>
      <w:hyperlink r:id="rId114" w:history="1">
        <w:r w:rsidRPr="006E2411">
          <w:rPr>
            <w:rStyle w:val="Hyperlink"/>
          </w:rPr>
          <w:t>Guidance: early-career payments for teachers</w:t>
        </w:r>
      </w:hyperlink>
      <w:r w:rsidR="00F918C8">
        <w:t>’</w:t>
      </w:r>
      <w:r w:rsidR="006508FC">
        <w:t>.</w:t>
      </w:r>
    </w:p>
  </w:footnote>
  <w:footnote w:id="132">
    <w:p w14:paraId="7B679D64" w14:textId="26C28456" w:rsidR="00E43E2F" w:rsidRPr="00F81BDB" w:rsidRDefault="00E43E2F">
      <w:pPr>
        <w:pStyle w:val="FootnoteText"/>
        <w:rPr>
          <w:i/>
          <w:iCs/>
        </w:rPr>
      </w:pPr>
      <w:r>
        <w:rPr>
          <w:rStyle w:val="FootnoteReference"/>
        </w:rPr>
        <w:footnoteRef/>
      </w:r>
      <w:r>
        <w:t xml:space="preserve"> D. Gereluk &amp; A. Burns (2018) ‘</w:t>
      </w:r>
      <w:hyperlink r:id="rId115" w:history="1">
        <w:r w:rsidRPr="00E43E2F">
          <w:rPr>
            <w:rStyle w:val="Hyperlink"/>
          </w:rPr>
          <w:t>Community-based teacher education</w:t>
        </w:r>
      </w:hyperlink>
      <w:r>
        <w:t xml:space="preserve">’, </w:t>
      </w:r>
      <w:r>
        <w:rPr>
          <w:i/>
          <w:iCs/>
        </w:rPr>
        <w:t>EdCan Network</w:t>
      </w:r>
      <w:r w:rsidR="00F918C8" w:rsidRPr="00C20CCB">
        <w:t>.</w:t>
      </w:r>
    </w:p>
  </w:footnote>
  <w:footnote w:id="133">
    <w:p w14:paraId="4A86B599" w14:textId="78DEE5DE" w:rsidR="00380C63" w:rsidRDefault="00380C63">
      <w:pPr>
        <w:pStyle w:val="FootnoteText"/>
      </w:pPr>
      <w:r>
        <w:rPr>
          <w:rStyle w:val="FootnoteReference"/>
        </w:rPr>
        <w:footnoteRef/>
      </w:r>
      <w:r>
        <w:t xml:space="preserve"> </w:t>
      </w:r>
      <w:r w:rsidR="00106401">
        <w:t>Yukon</w:t>
      </w:r>
      <w:r w:rsidR="003D35B5">
        <w:t xml:space="preserve"> (2023) </w:t>
      </w:r>
      <w:r w:rsidR="00F918C8">
        <w:t>‘</w:t>
      </w:r>
      <w:hyperlink r:id="rId116" w:history="1">
        <w:r w:rsidR="003D35B5" w:rsidRPr="003D35B5">
          <w:rPr>
            <w:rStyle w:val="Hyperlink"/>
          </w:rPr>
          <w:t>Pay, benefits and pension</w:t>
        </w:r>
      </w:hyperlink>
      <w:r w:rsidR="00F918C8">
        <w:t>’</w:t>
      </w:r>
      <w:r w:rsidR="006508FC">
        <w:t>.</w:t>
      </w:r>
    </w:p>
  </w:footnote>
  <w:footnote w:id="134">
    <w:p w14:paraId="15FDF7D2" w14:textId="45915E47" w:rsidR="004B2DB3" w:rsidRDefault="004B2DB3" w:rsidP="004B2DB3">
      <w:pPr>
        <w:pStyle w:val="FootnoteText"/>
      </w:pPr>
      <w:r>
        <w:rPr>
          <w:rStyle w:val="FootnoteReference"/>
        </w:rPr>
        <w:footnoteRef/>
      </w:r>
      <w:r>
        <w:t xml:space="preserve"> A. Joannou (2023) ‘</w:t>
      </w:r>
      <w:hyperlink r:id="rId117" w:history="1">
        <w:r w:rsidRPr="00CE2753">
          <w:rPr>
            <w:rStyle w:val="Hyperlink"/>
          </w:rPr>
          <w:t>Private donation helps attract teachers to rural B.C. with $10,000 cash welcome gifts</w:t>
        </w:r>
      </w:hyperlink>
      <w:r>
        <w:t xml:space="preserve">’, </w:t>
      </w:r>
      <w:r>
        <w:rPr>
          <w:i/>
          <w:iCs/>
        </w:rPr>
        <w:t>The Global Mail</w:t>
      </w:r>
      <w:r w:rsidR="00F918C8" w:rsidRPr="00C20CCB">
        <w:t>.</w:t>
      </w:r>
    </w:p>
  </w:footnote>
  <w:footnote w:id="135">
    <w:p w14:paraId="516CF6D9" w14:textId="1A256DC3" w:rsidR="004E5FA0" w:rsidRDefault="004E5FA0">
      <w:pPr>
        <w:pStyle w:val="FootnoteText"/>
      </w:pPr>
      <w:r>
        <w:rPr>
          <w:rStyle w:val="FootnoteReference"/>
        </w:rPr>
        <w:footnoteRef/>
      </w:r>
      <w:r>
        <w:t xml:space="preserve"> </w:t>
      </w:r>
      <w:r w:rsidR="009353CE">
        <w:t>New Zealand</w:t>
      </w:r>
      <w:r>
        <w:t xml:space="preserve"> Ministry of Education (20</w:t>
      </w:r>
      <w:r w:rsidR="009C3C2E">
        <w:t xml:space="preserve">23) </w:t>
      </w:r>
      <w:r w:rsidR="00F918C8">
        <w:t>‘</w:t>
      </w:r>
      <w:hyperlink r:id="rId118" w:history="1">
        <w:r w:rsidR="009C3C2E" w:rsidRPr="009C3C2E">
          <w:rPr>
            <w:rStyle w:val="Hyperlink"/>
          </w:rPr>
          <w:t>Voluntary Bonding Scheme Guide</w:t>
        </w:r>
      </w:hyperlink>
      <w:r w:rsidR="00F918C8">
        <w:t>’</w:t>
      </w:r>
      <w:r w:rsidR="006508FC">
        <w:t>.</w:t>
      </w:r>
    </w:p>
  </w:footnote>
  <w:footnote w:id="136">
    <w:p w14:paraId="38A14DC8" w14:textId="28F08BE9" w:rsidR="00B461BA" w:rsidRDefault="00B461BA" w:rsidP="00B461BA">
      <w:pPr>
        <w:pStyle w:val="FootnoteText"/>
      </w:pPr>
      <w:r>
        <w:rPr>
          <w:rStyle w:val="FootnoteReference"/>
        </w:rPr>
        <w:footnoteRef/>
      </w:r>
      <w:r>
        <w:t xml:space="preserve"> </w:t>
      </w:r>
      <w:r w:rsidR="009353CE">
        <w:t>New Zealand</w:t>
      </w:r>
      <w:r>
        <w:t xml:space="preserve"> Ministry of Education (2023) </w:t>
      </w:r>
      <w:r w:rsidR="00F918C8">
        <w:t>‘</w:t>
      </w:r>
      <w:hyperlink r:id="rId119" w:history="1">
        <w:r w:rsidRPr="00876C3D">
          <w:rPr>
            <w:rStyle w:val="Hyperlink"/>
          </w:rPr>
          <w:t>Voluntary Bonding Scheme</w:t>
        </w:r>
      </w:hyperlink>
      <w:r w:rsidR="00F918C8">
        <w:rPr>
          <w:rStyle w:val="Hyperlink"/>
        </w:rPr>
        <w:t>’</w:t>
      </w:r>
      <w:r w:rsidR="006508FC">
        <w:rPr>
          <w:rStyle w:val="Hyperlink"/>
          <w:u w:val="none"/>
        </w:rPr>
        <w:t>.</w:t>
      </w:r>
      <w:r>
        <w:t xml:space="preserve"> </w:t>
      </w:r>
    </w:p>
  </w:footnote>
  <w:footnote w:id="137">
    <w:p w14:paraId="4190B3B2" w14:textId="00ED98B3" w:rsidR="001B41D3" w:rsidRDefault="001B41D3">
      <w:pPr>
        <w:pStyle w:val="FootnoteText"/>
      </w:pPr>
      <w:r>
        <w:rPr>
          <w:rStyle w:val="FootnoteReference"/>
        </w:rPr>
        <w:footnoteRef/>
      </w:r>
      <w:r>
        <w:t xml:space="preserve"> M.</w:t>
      </w:r>
      <w:r w:rsidRPr="00162D4E">
        <w:t xml:space="preserve"> Zhang, </w:t>
      </w:r>
      <w:r>
        <w:t xml:space="preserve">X. </w:t>
      </w:r>
      <w:r w:rsidRPr="00162D4E">
        <w:t xml:space="preserve">Ding </w:t>
      </w:r>
      <w:r w:rsidR="00F918C8">
        <w:t>&amp;</w:t>
      </w:r>
      <w:r w:rsidRPr="00162D4E">
        <w:t xml:space="preserve"> </w:t>
      </w:r>
      <w:r>
        <w:t xml:space="preserve">J. </w:t>
      </w:r>
      <w:r w:rsidRPr="00162D4E">
        <w:t>Xu</w:t>
      </w:r>
      <w:r>
        <w:t xml:space="preserve"> (2016) ‘</w:t>
      </w:r>
      <w:hyperlink r:id="rId120" w:history="1">
        <w:r w:rsidRPr="009E5C4E">
          <w:rPr>
            <w:rStyle w:val="Hyperlink"/>
          </w:rPr>
          <w:t>Developing Shanghai’s Teachers</w:t>
        </w:r>
      </w:hyperlink>
      <w:r>
        <w:t>’</w:t>
      </w:r>
      <w:r w:rsidRPr="00162D4E">
        <w:t xml:space="preserve"> </w:t>
      </w:r>
      <w:r w:rsidRPr="0050009A">
        <w:rPr>
          <w:i/>
          <w:iCs/>
        </w:rPr>
        <w:t>National Center on Education and the Economy</w:t>
      </w:r>
      <w:r w:rsidRPr="00C20CCB">
        <w:t>.</w:t>
      </w:r>
    </w:p>
  </w:footnote>
  <w:footnote w:id="138">
    <w:p w14:paraId="553385BF" w14:textId="01BD6CDB" w:rsidR="00D7673F" w:rsidRDefault="00D7673F" w:rsidP="00D7673F">
      <w:pPr>
        <w:pStyle w:val="Footer"/>
      </w:pPr>
      <w:r>
        <w:rPr>
          <w:rStyle w:val="FootnoteReference"/>
        </w:rPr>
        <w:footnoteRef/>
      </w:r>
      <w:r>
        <w:t xml:space="preserve"> Department of Education, UK (2023) </w:t>
      </w:r>
      <w:r w:rsidR="00F918C8">
        <w:t>‘</w:t>
      </w:r>
      <w:r w:rsidRPr="00E64C07">
        <w:rPr>
          <w:rStyle w:val="Hyperlink"/>
        </w:rPr>
        <w:t>Teaching and Leadership Innovation Fund evaluation and project reports</w:t>
      </w:r>
      <w:r w:rsidR="00F918C8">
        <w:rPr>
          <w:rStyle w:val="Hyperlink"/>
        </w:rPr>
        <w:t>’</w:t>
      </w:r>
      <w:r w:rsidR="00E64C07">
        <w:t>.</w:t>
      </w:r>
    </w:p>
  </w:footnote>
  <w:footnote w:id="139">
    <w:p w14:paraId="04383592" w14:textId="5B05B006" w:rsidR="00B461BA" w:rsidRDefault="00B461BA" w:rsidP="00B461BA">
      <w:pPr>
        <w:pStyle w:val="FootnoteText"/>
      </w:pPr>
      <w:r>
        <w:rPr>
          <w:rStyle w:val="FootnoteReference"/>
        </w:rPr>
        <w:footnoteRef/>
      </w:r>
      <w:r>
        <w:t xml:space="preserve"> Ministry of Education, China (2023) </w:t>
      </w:r>
      <w:r w:rsidR="00F918C8">
        <w:t>‘</w:t>
      </w:r>
      <w:hyperlink r:id="rId121" w:history="1">
        <w:r w:rsidRPr="007061A1">
          <w:rPr>
            <w:rStyle w:val="Hyperlink"/>
          </w:rPr>
          <w:t>China releases plan for reemployment of retired teachers</w:t>
        </w:r>
      </w:hyperlink>
      <w:r w:rsidR="00F918C8">
        <w:rPr>
          <w:rStyle w:val="Hyperlink"/>
        </w:rPr>
        <w:t>’</w:t>
      </w:r>
      <w:r w:rsidR="00E64C07">
        <w:rPr>
          <w:rStyle w:val="Hyperlink"/>
          <w:u w:val="none"/>
        </w:rPr>
        <w:t>.</w:t>
      </w:r>
      <w:r>
        <w:t xml:space="preserve"> </w:t>
      </w:r>
    </w:p>
  </w:footnote>
  <w:footnote w:id="140">
    <w:p w14:paraId="5E7B2666" w14:textId="3607B464" w:rsidR="00021BE0" w:rsidRPr="00FB2A11" w:rsidRDefault="00021BE0">
      <w:pPr>
        <w:pStyle w:val="FootnoteText"/>
      </w:pPr>
      <w:r>
        <w:rPr>
          <w:rStyle w:val="FootnoteReference"/>
        </w:rPr>
        <w:footnoteRef/>
      </w:r>
      <w:r>
        <w:t xml:space="preserve"> </w:t>
      </w:r>
      <w:r w:rsidR="00F26DFF">
        <w:t>M.</w:t>
      </w:r>
      <w:r w:rsidR="00162D4E" w:rsidRPr="00162D4E">
        <w:t xml:space="preserve"> Zhang, </w:t>
      </w:r>
      <w:r w:rsidR="00F26DFF">
        <w:t xml:space="preserve">X. </w:t>
      </w:r>
      <w:r w:rsidR="00162D4E" w:rsidRPr="00162D4E">
        <w:t xml:space="preserve">Ding </w:t>
      </w:r>
      <w:r w:rsidR="007973D8">
        <w:t>&amp;</w:t>
      </w:r>
      <w:r w:rsidR="00162D4E" w:rsidRPr="00162D4E">
        <w:t xml:space="preserve"> </w:t>
      </w:r>
      <w:r w:rsidR="00F26DFF">
        <w:t xml:space="preserve">J. </w:t>
      </w:r>
      <w:r w:rsidR="00162D4E" w:rsidRPr="00162D4E">
        <w:t>Xu</w:t>
      </w:r>
      <w:r w:rsidR="00F26DFF">
        <w:t xml:space="preserve"> (2016) </w:t>
      </w:r>
      <w:r w:rsidR="009E5C4E">
        <w:t>‘</w:t>
      </w:r>
      <w:hyperlink r:id="rId122" w:history="1">
        <w:r w:rsidR="00162D4E" w:rsidRPr="009E5C4E">
          <w:rPr>
            <w:rStyle w:val="Hyperlink"/>
          </w:rPr>
          <w:t>Developing Shanghai’s Teachers</w:t>
        </w:r>
      </w:hyperlink>
      <w:r w:rsidR="009E5C4E">
        <w:t>’</w:t>
      </w:r>
      <w:r w:rsidR="00162D4E" w:rsidRPr="00162D4E">
        <w:t xml:space="preserve"> </w:t>
      </w:r>
      <w:r w:rsidR="00162D4E" w:rsidRPr="001B33F2">
        <w:rPr>
          <w:i/>
        </w:rPr>
        <w:t>National Center on Education and the Economy</w:t>
      </w:r>
      <w:r w:rsidR="00FB2A11">
        <w:rPr>
          <w:i/>
          <w:iCs/>
        </w:rPr>
        <w:t xml:space="preserve">; </w:t>
      </w:r>
      <w:r w:rsidR="00FB2A11">
        <w:t>Z. Shou (2022) ‘</w:t>
      </w:r>
      <w:hyperlink r:id="rId123" w:history="1">
        <w:r w:rsidR="00FB2A11" w:rsidRPr="00652AC6">
          <w:rPr>
            <w:rStyle w:val="Hyperlink"/>
          </w:rPr>
          <w:t>Ministry pushes to get more talented teachers in rural areas</w:t>
        </w:r>
      </w:hyperlink>
      <w:r w:rsidR="00FB2A11">
        <w:t xml:space="preserve">’, </w:t>
      </w:r>
      <w:r w:rsidR="00FB2A11">
        <w:rPr>
          <w:i/>
          <w:iCs/>
        </w:rPr>
        <w:t>China Daily</w:t>
      </w:r>
      <w:r w:rsidR="007973D8" w:rsidRPr="00E64C07">
        <w:t>.</w:t>
      </w:r>
    </w:p>
  </w:footnote>
  <w:footnote w:id="141">
    <w:p w14:paraId="320C1BBC" w14:textId="60A01DFE" w:rsidR="00EF5BE9" w:rsidRDefault="00EF5BE9" w:rsidP="00EF5BE9">
      <w:pPr>
        <w:pStyle w:val="FootnoteText"/>
      </w:pPr>
      <w:r>
        <w:rPr>
          <w:rStyle w:val="FootnoteReference"/>
        </w:rPr>
        <w:footnoteRef/>
      </w:r>
      <w:r>
        <w:t xml:space="preserve"> M.</w:t>
      </w:r>
      <w:r w:rsidRPr="00162D4E">
        <w:t xml:space="preserve"> Zhang, </w:t>
      </w:r>
      <w:r>
        <w:t xml:space="preserve">X. </w:t>
      </w:r>
      <w:r w:rsidRPr="00162D4E">
        <w:t xml:space="preserve">Ding </w:t>
      </w:r>
      <w:r w:rsidR="007973D8">
        <w:t>&amp;</w:t>
      </w:r>
      <w:r w:rsidRPr="00162D4E">
        <w:t xml:space="preserve"> </w:t>
      </w:r>
      <w:r>
        <w:t xml:space="preserve">J. </w:t>
      </w:r>
      <w:r w:rsidRPr="00162D4E">
        <w:t>Xu</w:t>
      </w:r>
      <w:r>
        <w:t xml:space="preserve"> (2016) ‘</w:t>
      </w:r>
      <w:hyperlink r:id="rId124" w:history="1">
        <w:r w:rsidRPr="009E5C4E">
          <w:rPr>
            <w:rStyle w:val="Hyperlink"/>
          </w:rPr>
          <w:t>Developing Shanghai’s Teachers</w:t>
        </w:r>
      </w:hyperlink>
      <w:r>
        <w:t>’</w:t>
      </w:r>
      <w:r w:rsidRPr="00162D4E">
        <w:t xml:space="preserve"> </w:t>
      </w:r>
      <w:r w:rsidRPr="0050009A">
        <w:rPr>
          <w:i/>
          <w:iCs/>
        </w:rPr>
        <w:t>National Center on Education and the Economy</w:t>
      </w:r>
      <w:r w:rsidR="007973D8" w:rsidRPr="00E64C07">
        <w:t>.</w:t>
      </w:r>
    </w:p>
  </w:footnote>
  <w:footnote w:id="142">
    <w:p w14:paraId="499731BE" w14:textId="043EC54E" w:rsidR="00D7028E" w:rsidRDefault="00D7028E" w:rsidP="00D7028E">
      <w:pPr>
        <w:pStyle w:val="FootnoteText"/>
      </w:pPr>
      <w:r>
        <w:rPr>
          <w:rStyle w:val="FootnoteReference"/>
        </w:rPr>
        <w:footnoteRef/>
      </w:r>
      <w:r>
        <w:t xml:space="preserve"> Department of Education, USA, Office of Elementary and Secondary Education (2018) </w:t>
      </w:r>
      <w:r w:rsidR="007973D8">
        <w:t>‘</w:t>
      </w:r>
      <w:hyperlink r:id="rId125" w:history="1">
        <w:r w:rsidRPr="001345EA">
          <w:rPr>
            <w:rStyle w:val="Hyperlink"/>
          </w:rPr>
          <w:t>Teacher Incentive Fund</w:t>
        </w:r>
      </w:hyperlink>
      <w:r w:rsidR="007973D8">
        <w:t>’</w:t>
      </w:r>
      <w:r w:rsidR="006F5A55">
        <w:t>.</w:t>
      </w:r>
    </w:p>
  </w:footnote>
  <w:footnote w:id="143">
    <w:p w14:paraId="6C44C536" w14:textId="7723F3C2" w:rsidR="00F84C28" w:rsidRDefault="00F84C28">
      <w:pPr>
        <w:pStyle w:val="FootnoteText"/>
      </w:pPr>
      <w:r>
        <w:rPr>
          <w:rStyle w:val="FootnoteReference"/>
        </w:rPr>
        <w:footnoteRef/>
      </w:r>
      <w:r>
        <w:t xml:space="preserve"> </w:t>
      </w:r>
      <w:r w:rsidR="00000516">
        <w:t xml:space="preserve">Office of Elementary and Secondary Education (2023), </w:t>
      </w:r>
      <w:r w:rsidR="007973D8">
        <w:t>‘</w:t>
      </w:r>
      <w:hyperlink r:id="rId126" w:history="1">
        <w:r w:rsidR="00000516" w:rsidRPr="00000516">
          <w:rPr>
            <w:rStyle w:val="Hyperlink"/>
          </w:rPr>
          <w:t>Teacher and School Leader Incentive Program</w:t>
        </w:r>
      </w:hyperlink>
      <w:r w:rsidR="007973D8">
        <w:t>’</w:t>
      </w:r>
      <w:r w:rsidR="006F5A55">
        <w:t>.</w:t>
      </w:r>
    </w:p>
  </w:footnote>
  <w:footnote w:id="144">
    <w:p w14:paraId="485C1A3E" w14:textId="394B630C" w:rsidR="00D7028E" w:rsidRDefault="00D7028E" w:rsidP="00D7028E">
      <w:pPr>
        <w:pStyle w:val="FootnoteText"/>
      </w:pPr>
      <w:r>
        <w:rPr>
          <w:rStyle w:val="FootnoteReference"/>
        </w:rPr>
        <w:footnoteRef/>
      </w:r>
      <w:r>
        <w:t xml:space="preserve"> Department of Education, </w:t>
      </w:r>
      <w:r w:rsidR="007973D8">
        <w:t>‘</w:t>
      </w:r>
      <w:hyperlink r:id="rId127" w:history="1">
        <w:r w:rsidRPr="006A35B5">
          <w:rPr>
            <w:rStyle w:val="Hyperlink"/>
          </w:rPr>
          <w:t>Federal Student Aid, Teacher Loan Forgiveness</w:t>
        </w:r>
      </w:hyperlink>
      <w:r w:rsidR="007973D8">
        <w:t>’</w:t>
      </w:r>
      <w:r w:rsidR="006F5A55">
        <w:t>.</w:t>
      </w:r>
    </w:p>
  </w:footnote>
  <w:footnote w:id="145">
    <w:p w14:paraId="534F1065" w14:textId="79AB9161" w:rsidR="001F2BCC" w:rsidRDefault="001F2BCC">
      <w:pPr>
        <w:pStyle w:val="FootnoteText"/>
      </w:pPr>
      <w:r>
        <w:rPr>
          <w:rStyle w:val="FootnoteReference"/>
        </w:rPr>
        <w:footnoteRef/>
      </w:r>
      <w:r>
        <w:t xml:space="preserve"> </w:t>
      </w:r>
      <w:r w:rsidR="007973D8">
        <w:t>A.</w:t>
      </w:r>
      <w:r>
        <w:t xml:space="preserve"> </w:t>
      </w:r>
      <w:r w:rsidRPr="001F2BCC">
        <w:t xml:space="preserve">Wellington, </w:t>
      </w:r>
      <w:r w:rsidR="00493B8A">
        <w:t>et al</w:t>
      </w:r>
      <w:r w:rsidRPr="001F2BCC">
        <w:t xml:space="preserve">. (2023). </w:t>
      </w:r>
      <w:r w:rsidR="007973D8">
        <w:t>‘</w:t>
      </w:r>
      <w:hyperlink r:id="rId128" w:history="1">
        <w:r w:rsidRPr="001F2BCC">
          <w:rPr>
            <w:rStyle w:val="Hyperlink"/>
          </w:rPr>
          <w:t>Federal Support for Attracting, Training, and Retaining Educators: How Districts Receiving Teacher and School Leader Grants Use Their Funds</w:t>
        </w:r>
      </w:hyperlink>
      <w:r w:rsidR="007973D8">
        <w:rPr>
          <w:rStyle w:val="Hyperlink"/>
        </w:rPr>
        <w:t>’</w:t>
      </w:r>
      <w:r w:rsidRPr="001F2BCC">
        <w:t xml:space="preserve"> (NCEE 2023–002). Washington, DC: U.S. </w:t>
      </w:r>
      <w:r w:rsidRPr="001F2BCC">
        <w:rPr>
          <w:i/>
          <w:iCs/>
        </w:rPr>
        <w:t>Department of Education, Institute of Education Sciences, National Center for Education Evaluation and Regional Assistance</w:t>
      </w:r>
      <w:r w:rsidRPr="001F2BCC">
        <w:t>.</w:t>
      </w:r>
    </w:p>
  </w:footnote>
  <w:footnote w:id="146">
    <w:p w14:paraId="449F32D3" w14:textId="4C54C933" w:rsidR="00B23DCF" w:rsidRDefault="00B23DCF" w:rsidP="00B23DCF">
      <w:pPr>
        <w:pStyle w:val="FootnoteText"/>
      </w:pPr>
      <w:r>
        <w:rPr>
          <w:rStyle w:val="FootnoteReference"/>
        </w:rPr>
        <w:footnoteRef/>
      </w:r>
      <w:r>
        <w:t xml:space="preserve"> </w:t>
      </w:r>
      <w:r w:rsidR="007973D8">
        <w:t>H.</w:t>
      </w:r>
      <w:r>
        <w:t xml:space="preserve"> </w:t>
      </w:r>
      <w:r w:rsidRPr="0098229F">
        <w:t xml:space="preserve">Chiang, (2017) </w:t>
      </w:r>
      <w:r w:rsidR="007973D8">
        <w:t>‘</w:t>
      </w:r>
      <w:hyperlink r:id="rId129" w:history="1">
        <w:r w:rsidRPr="00493B8A">
          <w:rPr>
            <w:rStyle w:val="Hyperlink"/>
          </w:rPr>
          <w:t>Evaluation of the Teacher Incentive Fund: Final Report on Implementation and Impacts of Payfor-Performance Across Four Years</w:t>
        </w:r>
      </w:hyperlink>
      <w:r w:rsidRPr="0098229F">
        <w:t xml:space="preserve"> (NCEE 2017-4004). Washington, DC: </w:t>
      </w:r>
      <w:r w:rsidRPr="00493B8A">
        <w:rPr>
          <w:i/>
        </w:rPr>
        <w:t>National Center for Education Evaluation and Regional Assistance, Institute of Education Sciences, U.S. Department of Education</w:t>
      </w:r>
      <w:r w:rsidRPr="0098229F">
        <w:t xml:space="preserve">.  </w:t>
      </w:r>
    </w:p>
  </w:footnote>
  <w:footnote w:id="147">
    <w:p w14:paraId="2A6DAFE8" w14:textId="16CC4102" w:rsidR="00B23DCF" w:rsidRDefault="00B23DCF" w:rsidP="00B23DCF">
      <w:pPr>
        <w:pStyle w:val="FootnoteText"/>
      </w:pPr>
      <w:r>
        <w:rPr>
          <w:rStyle w:val="FootnoteReference"/>
        </w:rPr>
        <w:footnoteRef/>
      </w:r>
      <w:r>
        <w:t xml:space="preserve"> </w:t>
      </w:r>
      <w:r w:rsidR="003E2672">
        <w:t>Ibid</w:t>
      </w:r>
      <w:r w:rsidR="00DE3FCF">
        <w:t>.</w:t>
      </w:r>
      <w:r w:rsidRPr="0098229F">
        <w:t xml:space="preserve">  </w:t>
      </w:r>
    </w:p>
  </w:footnote>
  <w:footnote w:id="148">
    <w:p w14:paraId="4D02164C" w14:textId="1C2389B8" w:rsidR="00B23DCF" w:rsidRPr="005B27B8" w:rsidRDefault="00B23DCF" w:rsidP="00B23DCF">
      <w:pPr>
        <w:pStyle w:val="FootnoteText"/>
        <w:rPr>
          <w:i/>
          <w:iCs/>
        </w:rPr>
      </w:pPr>
      <w:r>
        <w:rPr>
          <w:rStyle w:val="FootnoteReference"/>
        </w:rPr>
        <w:footnoteRef/>
      </w:r>
      <w:r>
        <w:t xml:space="preserve"> W. Fu, et al. (2013) </w:t>
      </w:r>
      <w:r w:rsidR="003E2672">
        <w:t>‘</w:t>
      </w:r>
      <w:r w:rsidRPr="00F81BDB">
        <w:t>Reform of teachers</w:t>
      </w:r>
      <w:r w:rsidR="00C07DFB">
        <w:t>’</w:t>
      </w:r>
      <w:r w:rsidRPr="00F81BDB">
        <w:t xml:space="preserve"> pay for performance system and balanced development of compulsory education: a survey based on forty counties (cities) in eight provinces</w:t>
      </w:r>
      <w:r>
        <w:rPr>
          <w:i/>
          <w:iCs/>
        </w:rPr>
        <w:t>.</w:t>
      </w:r>
      <w:r w:rsidR="003E2672">
        <w:rPr>
          <w:i/>
          <w:iCs/>
        </w:rPr>
        <w:t>’</w:t>
      </w:r>
      <w:r>
        <w:rPr>
          <w:i/>
          <w:iCs/>
        </w:rPr>
        <w:t xml:space="preserve"> </w:t>
      </w:r>
      <w:r w:rsidRPr="00F81BDB">
        <w:rPr>
          <w:i/>
        </w:rPr>
        <w:t>Contemporary Educational Science</w:t>
      </w:r>
      <w:r w:rsidR="00041A4E">
        <w:rPr>
          <w:i/>
          <w:iCs/>
        </w:rPr>
        <w:t>.</w:t>
      </w:r>
    </w:p>
  </w:footnote>
  <w:footnote w:id="149">
    <w:p w14:paraId="641E323B" w14:textId="508BE78B" w:rsidR="00B23DCF" w:rsidRDefault="00B23DCF" w:rsidP="00B23DCF">
      <w:pPr>
        <w:pStyle w:val="FootnoteText"/>
      </w:pPr>
      <w:r>
        <w:rPr>
          <w:rStyle w:val="FootnoteReference"/>
        </w:rPr>
        <w:footnoteRef/>
      </w:r>
      <w:r>
        <w:t xml:space="preserve"> </w:t>
      </w:r>
      <w:r w:rsidRPr="002F4FA5">
        <w:t xml:space="preserve">Mi and Dai (2011) </w:t>
      </w:r>
      <w:r w:rsidR="00156569">
        <w:t xml:space="preserve">; </w:t>
      </w:r>
      <w:r w:rsidRPr="002F4FA5">
        <w:t>Ren and Luo (2015), Loyalka, S. et al. (2019</w:t>
      </w:r>
      <w:r>
        <w:t>) as cited in Chang</w:t>
      </w:r>
      <w:r w:rsidRPr="009657F6">
        <w:t xml:space="preserve">, </w:t>
      </w:r>
      <w:r>
        <w:t>F</w:t>
      </w:r>
      <w:r w:rsidRPr="009657F6">
        <w:t xml:space="preserve">., et al. </w:t>
      </w:r>
      <w:r w:rsidRPr="002F4FA5">
        <w:t xml:space="preserve">(2020) </w:t>
      </w:r>
      <w:r w:rsidR="00156569">
        <w:t>‘</w:t>
      </w:r>
      <w:hyperlink r:id="rId130" w:history="1">
        <w:r w:rsidRPr="0011481C">
          <w:rPr>
            <w:rStyle w:val="Hyperlink"/>
          </w:rPr>
          <w:t>The impact of pay-for-percentile incentive on low-achieving students in rural China</w:t>
        </w:r>
      </w:hyperlink>
      <w:r w:rsidR="00156569">
        <w:rPr>
          <w:rStyle w:val="Hyperlink"/>
        </w:rPr>
        <w:t>’</w:t>
      </w:r>
      <w:r>
        <w:t xml:space="preserve">, </w:t>
      </w:r>
      <w:r>
        <w:rPr>
          <w:i/>
          <w:iCs/>
        </w:rPr>
        <w:t xml:space="preserve">Economics of Education Review, </w:t>
      </w:r>
      <w:r w:rsidRPr="00F81BDB">
        <w:t>Vol</w:t>
      </w:r>
      <w:r w:rsidR="00156569">
        <w:t xml:space="preserve">. </w:t>
      </w:r>
      <w:r w:rsidRPr="00F81BDB">
        <w:t>75</w:t>
      </w:r>
      <w:r w:rsidR="00156569">
        <w:t>.</w:t>
      </w:r>
    </w:p>
  </w:footnote>
  <w:footnote w:id="150">
    <w:p w14:paraId="7579EC5A" w14:textId="7F08B411" w:rsidR="00B23DCF" w:rsidRDefault="00B23DCF" w:rsidP="00B23DCF">
      <w:pPr>
        <w:pStyle w:val="FootnoteText"/>
      </w:pPr>
      <w:r>
        <w:rPr>
          <w:rStyle w:val="FootnoteReference"/>
        </w:rPr>
        <w:footnoteRef/>
      </w:r>
      <w:r>
        <w:t xml:space="preserve"> </w:t>
      </w:r>
      <w:r w:rsidRPr="002F4FA5">
        <w:t xml:space="preserve">Springer &amp; Taylor (2016) </w:t>
      </w:r>
      <w:r w:rsidR="00012E51">
        <w:t xml:space="preserve">; </w:t>
      </w:r>
      <w:r w:rsidRPr="002F4FA5">
        <w:t>Marsh, et al., (2011</w:t>
      </w:r>
      <w:r>
        <w:t xml:space="preserve">) as cited in </w:t>
      </w:r>
      <w:r w:rsidRPr="002F4FA5">
        <w:t>Chang, F., et al. (2020)</w:t>
      </w:r>
      <w:r>
        <w:t xml:space="preserve"> </w:t>
      </w:r>
      <w:r w:rsidR="00012E51">
        <w:t>‘</w:t>
      </w:r>
      <w:hyperlink r:id="rId131" w:history="1">
        <w:r w:rsidRPr="0011481C">
          <w:rPr>
            <w:rStyle w:val="Hyperlink"/>
          </w:rPr>
          <w:t>The impact of pay-for-percentile incentive on low-achieving students in rural China</w:t>
        </w:r>
      </w:hyperlink>
      <w:r w:rsidR="00012E51">
        <w:rPr>
          <w:rStyle w:val="Hyperlink"/>
        </w:rPr>
        <w:t>’</w:t>
      </w:r>
      <w:r>
        <w:t xml:space="preserve">, </w:t>
      </w:r>
      <w:r>
        <w:rPr>
          <w:i/>
          <w:iCs/>
        </w:rPr>
        <w:t xml:space="preserve">Economics of Education Review, </w:t>
      </w:r>
      <w:r w:rsidRPr="00F81BDB">
        <w:t>Vol</w:t>
      </w:r>
      <w:r w:rsidR="00012E51">
        <w:t xml:space="preserve">. </w:t>
      </w:r>
      <w:r w:rsidRPr="00F81BDB">
        <w:t>75</w:t>
      </w:r>
      <w:r w:rsidR="00012E51">
        <w:t>.</w:t>
      </w:r>
    </w:p>
  </w:footnote>
  <w:footnote w:id="151">
    <w:p w14:paraId="616D409D" w14:textId="184DCDAB" w:rsidR="00B23DCF" w:rsidRPr="00746CA4" w:rsidRDefault="00B23DCF" w:rsidP="00B23DCF">
      <w:pPr>
        <w:pStyle w:val="FootnoteText"/>
        <w:rPr>
          <w:i/>
        </w:rPr>
      </w:pPr>
      <w:r>
        <w:rPr>
          <w:rStyle w:val="FootnoteReference"/>
        </w:rPr>
        <w:footnoteRef/>
      </w:r>
      <w:r>
        <w:t xml:space="preserve"> </w:t>
      </w:r>
      <w:r w:rsidR="002F4C04">
        <w:t>F.</w:t>
      </w:r>
      <w:r>
        <w:t xml:space="preserve"> Chang, et al. (2020) </w:t>
      </w:r>
      <w:r w:rsidR="00012E51">
        <w:t>‘</w:t>
      </w:r>
      <w:hyperlink r:id="rId132" w:history="1">
        <w:r w:rsidRPr="0011481C">
          <w:rPr>
            <w:rStyle w:val="Hyperlink"/>
          </w:rPr>
          <w:t>The impact of pay-for-percentile incentive on low-achieving students in rural China</w:t>
        </w:r>
      </w:hyperlink>
      <w:r w:rsidR="00012E51">
        <w:rPr>
          <w:rStyle w:val="Hyperlink"/>
        </w:rPr>
        <w:t>’</w:t>
      </w:r>
      <w:r>
        <w:t xml:space="preserve">, </w:t>
      </w:r>
      <w:r>
        <w:rPr>
          <w:i/>
          <w:iCs/>
        </w:rPr>
        <w:t xml:space="preserve">Economics of Education Review, </w:t>
      </w:r>
      <w:r w:rsidRPr="00F81BDB">
        <w:t>Vol</w:t>
      </w:r>
      <w:r w:rsidR="00012E51">
        <w:t>.</w:t>
      </w:r>
      <w:r w:rsidRPr="00F81BDB">
        <w:t xml:space="preserve"> 75</w:t>
      </w:r>
      <w:r w:rsidR="00012E51">
        <w:t>.</w:t>
      </w:r>
    </w:p>
  </w:footnote>
  <w:footnote w:id="152">
    <w:p w14:paraId="62E99B34" w14:textId="211B97E5" w:rsidR="00264573" w:rsidRDefault="00264573" w:rsidP="00264573">
      <w:pPr>
        <w:pStyle w:val="FootnoteText"/>
      </w:pPr>
      <w:r>
        <w:rPr>
          <w:rStyle w:val="FootnoteReference"/>
        </w:rPr>
        <w:footnoteRef/>
      </w:r>
      <w:r>
        <w:t xml:space="preserve"> Department of Education (2022) </w:t>
      </w:r>
      <w:r w:rsidR="007660D5">
        <w:t>‘</w:t>
      </w:r>
      <w:hyperlink r:id="rId133" w:history="1">
        <w:r w:rsidRPr="007660D5">
          <w:rPr>
            <w:rStyle w:val="Hyperlink"/>
          </w:rPr>
          <w:t>Teaching and Leadership Innovation Fund (TLIF): Fund-level evaluation: Final Report</w:t>
        </w:r>
      </w:hyperlink>
      <w:r w:rsidR="007660D5">
        <w:t>’</w:t>
      </w:r>
      <w:r>
        <w:t xml:space="preserve">. Government Social Research. </w:t>
      </w:r>
    </w:p>
  </w:footnote>
  <w:footnote w:id="153">
    <w:p w14:paraId="25144586" w14:textId="1C2D94A3" w:rsidR="00476139" w:rsidRDefault="00476139" w:rsidP="00476139">
      <w:pPr>
        <w:pStyle w:val="FootnoteText"/>
      </w:pPr>
      <w:r>
        <w:rPr>
          <w:rStyle w:val="FootnoteReference"/>
        </w:rPr>
        <w:footnoteRef/>
      </w:r>
      <w:r>
        <w:t xml:space="preserve"> </w:t>
      </w:r>
      <w:r w:rsidR="002F4C04">
        <w:t>B.</w:t>
      </w:r>
      <w:r>
        <w:t xml:space="preserve"> Jacob, </w:t>
      </w:r>
      <w:r w:rsidR="002F4C04">
        <w:t>D.</w:t>
      </w:r>
      <w:r>
        <w:t xml:space="preserve"> Jones</w:t>
      </w:r>
      <w:r w:rsidR="002F4C04">
        <w:t xml:space="preserve"> </w:t>
      </w:r>
      <w:r>
        <w:t xml:space="preserve">&amp; </w:t>
      </w:r>
      <w:r w:rsidR="002F4C04">
        <w:t>B.J.</w:t>
      </w:r>
      <w:r>
        <w:t xml:space="preserve"> Keys, (2023), </w:t>
      </w:r>
      <w:r w:rsidR="002F4C04">
        <w:t>‘</w:t>
      </w:r>
      <w:hyperlink r:id="rId134" w:history="1">
        <w:r w:rsidRPr="008C49E9">
          <w:rPr>
            <w:rStyle w:val="Hyperlink"/>
          </w:rPr>
          <w:t>The Value of Student Debt Relief and the Role of Administrative Barriers: Evidence from the Teacher Loan Forgiveness Program</w:t>
        </w:r>
      </w:hyperlink>
      <w:r>
        <w:t>.</w:t>
      </w:r>
      <w:r w:rsidR="002F4C04">
        <w:t>’</w:t>
      </w:r>
      <w:r>
        <w:t xml:space="preserve"> </w:t>
      </w:r>
      <w:r>
        <w:rPr>
          <w:i/>
          <w:iCs/>
        </w:rPr>
        <w:t>National Bureau of Economic Research</w:t>
      </w:r>
      <w:r w:rsidR="002F4C04">
        <w:t>.</w:t>
      </w:r>
    </w:p>
  </w:footnote>
  <w:footnote w:id="154">
    <w:p w14:paraId="15BBF1BC" w14:textId="7394EC3B" w:rsidR="00476139" w:rsidRDefault="00476139" w:rsidP="00476139">
      <w:pPr>
        <w:pStyle w:val="FootnoteText"/>
      </w:pPr>
      <w:r>
        <w:rPr>
          <w:rStyle w:val="FootnoteReference"/>
        </w:rPr>
        <w:footnoteRef/>
      </w:r>
      <w:r w:rsidR="00496C35">
        <w:t xml:space="preserve"> </w:t>
      </w:r>
      <w:r w:rsidR="004D04BA">
        <w:t>B. Jacob, D. Jones &amp; B.J. Keys, (2023), ‘</w:t>
      </w:r>
      <w:hyperlink r:id="rId135" w:history="1">
        <w:r w:rsidR="004D04BA" w:rsidRPr="008C49E9">
          <w:rPr>
            <w:rStyle w:val="Hyperlink"/>
          </w:rPr>
          <w:t>The Value of Student Debt Relief and the Role of Administrative Barriers: Evidence from the Teacher Loan Forgiveness Program</w:t>
        </w:r>
      </w:hyperlink>
      <w:r w:rsidR="004D04BA">
        <w:t xml:space="preserve">.’ </w:t>
      </w:r>
      <w:r w:rsidR="004D04BA">
        <w:rPr>
          <w:i/>
          <w:iCs/>
        </w:rPr>
        <w:t>National Bureau of Economic Research</w:t>
      </w:r>
      <w:r w:rsidR="004D04BA">
        <w:t>.</w:t>
      </w:r>
    </w:p>
  </w:footnote>
  <w:footnote w:id="155">
    <w:p w14:paraId="0B9859C7" w14:textId="533C70DC" w:rsidR="004A72E1" w:rsidRDefault="004A72E1" w:rsidP="004A72E1">
      <w:pPr>
        <w:pStyle w:val="FootnoteText"/>
      </w:pPr>
      <w:r>
        <w:rPr>
          <w:rStyle w:val="FootnoteReference"/>
        </w:rPr>
        <w:footnoteRef/>
      </w:r>
      <w:r>
        <w:t xml:space="preserve"> </w:t>
      </w:r>
      <w:r w:rsidR="004D04BA">
        <w:t>Ibid</w:t>
      </w:r>
      <w:r w:rsidR="00C07DFB">
        <w:t>.</w:t>
      </w:r>
      <w:r w:rsidRPr="008E7243">
        <w:t xml:space="preserve"> </w:t>
      </w:r>
    </w:p>
  </w:footnote>
  <w:footnote w:id="156">
    <w:p w14:paraId="6EB8DF69" w14:textId="170BF228" w:rsidR="004A72E1" w:rsidRPr="009C6814" w:rsidRDefault="004A72E1" w:rsidP="004A72E1">
      <w:pPr>
        <w:pStyle w:val="FootnoteText"/>
      </w:pPr>
      <w:r>
        <w:rPr>
          <w:rStyle w:val="FootnoteReference"/>
        </w:rPr>
        <w:footnoteRef/>
      </w:r>
      <w:r>
        <w:t xml:space="preserve"> Ibid</w:t>
      </w:r>
      <w:r w:rsidR="00C07DFB">
        <w:t>.</w:t>
      </w:r>
    </w:p>
  </w:footnote>
  <w:footnote w:id="157">
    <w:p w14:paraId="1D52B40B" w14:textId="2907130E" w:rsidR="00806B3D" w:rsidRDefault="00806B3D" w:rsidP="00806B3D">
      <w:pPr>
        <w:pStyle w:val="FootnoteText"/>
      </w:pPr>
      <w:r>
        <w:rPr>
          <w:rStyle w:val="FootnoteReference"/>
        </w:rPr>
        <w:footnoteRef/>
      </w:r>
      <w:r>
        <w:t xml:space="preserve"> </w:t>
      </w:r>
      <w:r w:rsidR="00984A56" w:rsidRPr="00984A56">
        <w:t>B. H.</w:t>
      </w:r>
      <w:r w:rsidR="004D04BA">
        <w:t xml:space="preserve"> </w:t>
      </w:r>
      <w:r w:rsidR="00984A56" w:rsidRPr="00984A56">
        <w:t>Morris, R. Gorard, S</w:t>
      </w:r>
      <w:r w:rsidR="004D04BA">
        <w:t xml:space="preserve">. </w:t>
      </w:r>
      <w:r w:rsidR="00984A56" w:rsidRPr="00984A56">
        <w:t xml:space="preserve">Kokotsaki &amp; </w:t>
      </w:r>
      <w:r w:rsidR="00B03F9B">
        <w:t xml:space="preserve">S. </w:t>
      </w:r>
      <w:r w:rsidR="00984A56" w:rsidRPr="00984A56">
        <w:t xml:space="preserve">Abdi, (2020). </w:t>
      </w:r>
      <w:r w:rsidR="00B03F9B">
        <w:t>‘</w:t>
      </w:r>
      <w:hyperlink r:id="rId136" w:history="1">
        <w:r w:rsidR="00984A56" w:rsidRPr="00984A56">
          <w:rPr>
            <w:rStyle w:val="Hyperlink"/>
          </w:rPr>
          <w:t>Teacher Recruitment and Retention: A Critical Review of International Evidence of Most Promising Interventions</w:t>
        </w:r>
      </w:hyperlink>
      <w:r w:rsidR="00984A56" w:rsidRPr="00984A56">
        <w:t>.</w:t>
      </w:r>
      <w:r w:rsidR="00B03F9B">
        <w:t>’</w:t>
      </w:r>
      <w:r w:rsidR="00984A56" w:rsidRPr="00984A56">
        <w:t xml:space="preserve"> </w:t>
      </w:r>
      <w:r w:rsidR="00984A56" w:rsidRPr="00984A56">
        <w:rPr>
          <w:i/>
          <w:iCs/>
        </w:rPr>
        <w:t>Education Sciences</w:t>
      </w:r>
      <w:r w:rsidR="00984A56" w:rsidRPr="00984A56">
        <w:t xml:space="preserve">, </w:t>
      </w:r>
      <w:r w:rsidR="00B03F9B">
        <w:t>Vol.</w:t>
      </w:r>
      <w:r w:rsidR="00984A56" w:rsidRPr="00984A56">
        <w:t>10</w:t>
      </w:r>
      <w:r w:rsidR="00B03F9B">
        <w:t>, Iss.10</w:t>
      </w:r>
      <w:r w:rsidR="00984A56" w:rsidRPr="00984A56">
        <w:t xml:space="preserve">. </w:t>
      </w:r>
    </w:p>
  </w:footnote>
  <w:footnote w:id="158">
    <w:p w14:paraId="08D1C891" w14:textId="52EC0993" w:rsidR="00806B3D" w:rsidRDefault="00806B3D" w:rsidP="00806B3D">
      <w:pPr>
        <w:pStyle w:val="FootnoteText"/>
      </w:pPr>
      <w:r>
        <w:rPr>
          <w:rStyle w:val="FootnoteReference"/>
        </w:rPr>
        <w:footnoteRef/>
      </w:r>
      <w:r>
        <w:t xml:space="preserve"> Ibid</w:t>
      </w:r>
      <w:r w:rsidR="00C07DFB">
        <w:t>.</w:t>
      </w:r>
    </w:p>
  </w:footnote>
  <w:footnote w:id="159">
    <w:p w14:paraId="799257D9" w14:textId="75F34C0C" w:rsidR="00792C2B" w:rsidRDefault="00792C2B">
      <w:pPr>
        <w:pStyle w:val="FootnoteText"/>
      </w:pPr>
      <w:r>
        <w:rPr>
          <w:rStyle w:val="FootnoteReference"/>
        </w:rPr>
        <w:footnoteRef/>
      </w:r>
      <w:r>
        <w:t xml:space="preserve"> </w:t>
      </w:r>
      <w:r w:rsidR="003C1EFE">
        <w:t>F.</w:t>
      </w:r>
      <w:r>
        <w:t xml:space="preserve"> </w:t>
      </w:r>
      <w:r w:rsidR="00D50614">
        <w:t xml:space="preserve">Chang et al. (2020) </w:t>
      </w:r>
      <w:r w:rsidR="00B03F9B">
        <w:t>‘</w:t>
      </w:r>
      <w:hyperlink r:id="rId137" w:history="1">
        <w:r w:rsidR="00D50614" w:rsidRPr="0011481C">
          <w:rPr>
            <w:rStyle w:val="Hyperlink"/>
          </w:rPr>
          <w:t>The impact of pay-for-percentile incentive on low-achieving students in rural China</w:t>
        </w:r>
      </w:hyperlink>
      <w:r w:rsidR="00B03F9B">
        <w:t>’</w:t>
      </w:r>
      <w:r w:rsidR="00D50614">
        <w:t xml:space="preserve"> </w:t>
      </w:r>
      <w:r w:rsidR="00D50614">
        <w:rPr>
          <w:i/>
          <w:iCs/>
        </w:rPr>
        <w:t xml:space="preserve">Economics of Education Review, </w:t>
      </w:r>
      <w:r w:rsidR="00D50614" w:rsidRPr="00F81BDB">
        <w:t>Vol</w:t>
      </w:r>
      <w:r w:rsidR="00B03F9B">
        <w:t>.</w:t>
      </w:r>
      <w:r w:rsidR="00D50614" w:rsidRPr="00F81BDB">
        <w:t xml:space="preserve"> 75</w:t>
      </w:r>
      <w:r w:rsidR="00B03F9B">
        <w:t>.</w:t>
      </w:r>
    </w:p>
  </w:footnote>
  <w:footnote w:id="160">
    <w:p w14:paraId="5A7B524B" w14:textId="77777777" w:rsidR="00354C14" w:rsidRPr="005C127E" w:rsidRDefault="00354C14" w:rsidP="00354C14">
      <w:pPr>
        <w:pStyle w:val="Footer"/>
        <w:rPr>
          <w:rStyle w:val="Hyperlink"/>
          <w:rFonts w:asciiTheme="minorHAnsi" w:hAnsiTheme="minorHAnsi" w:cstheme="minorHAnsi"/>
          <w:szCs w:val="15"/>
        </w:rPr>
      </w:pPr>
      <w:r w:rsidRPr="005C127E">
        <w:rPr>
          <w:rStyle w:val="FootnoteReference"/>
          <w:rFonts w:asciiTheme="minorHAnsi" w:hAnsiTheme="minorHAnsi" w:cstheme="minorHAnsi"/>
          <w:szCs w:val="15"/>
        </w:rPr>
        <w:footnoteRef/>
      </w:r>
      <w:r w:rsidRPr="005C127E">
        <w:t xml:space="preserve"> M. Angus et al. (2010) </w:t>
      </w:r>
      <w:r w:rsidRPr="005C127E">
        <w:fldChar w:fldCharType="begin"/>
      </w:r>
      <w:r w:rsidRPr="005C127E">
        <w:rPr>
          <w:highlight w:val="cyan"/>
        </w:rPr>
        <w:instrText>HYPERLINK "https://core.ac.uk/download/pdf/81694583.pdf"</w:instrText>
      </w:r>
      <w:r w:rsidRPr="005C127E">
        <w:fldChar w:fldCharType="separate"/>
      </w:r>
      <w:r w:rsidRPr="005C127E">
        <w:rPr>
          <w:rStyle w:val="Hyperlink"/>
          <w:rFonts w:asciiTheme="minorHAnsi" w:hAnsiTheme="minorHAnsi" w:cstheme="minorHAnsi"/>
          <w:szCs w:val="15"/>
        </w:rPr>
        <w:t>‘Pipeline Project: Trajectories of classroom behaviour and academic progress: a study of student</w:t>
      </w:r>
    </w:p>
    <w:p w14:paraId="4810E8E1" w14:textId="77777777" w:rsidR="00354C14" w:rsidRPr="005C127E" w:rsidRDefault="00354C14" w:rsidP="00354C14">
      <w:pPr>
        <w:pStyle w:val="Footer"/>
        <w:rPr>
          <w:i/>
        </w:rPr>
      </w:pPr>
      <w:r w:rsidRPr="005C127E">
        <w:rPr>
          <w:rStyle w:val="Hyperlink"/>
          <w:rFonts w:asciiTheme="minorHAnsi" w:hAnsiTheme="minorHAnsi" w:cstheme="minorHAnsi"/>
          <w:szCs w:val="15"/>
        </w:rPr>
        <w:t>engagement with learning’</w:t>
      </w:r>
      <w:r w:rsidRPr="005C127E">
        <w:fldChar w:fldCharType="end"/>
      </w:r>
      <w:r w:rsidRPr="005C127E">
        <w:t xml:space="preserve"> </w:t>
      </w:r>
      <w:r w:rsidRPr="005C127E">
        <w:rPr>
          <w:i/>
        </w:rPr>
        <w:t>Edith Cowan University</w:t>
      </w:r>
      <w:r w:rsidRPr="00C07DFB">
        <w:rPr>
          <w:iCs/>
        </w:rPr>
        <w:t xml:space="preserve">. </w:t>
      </w:r>
    </w:p>
  </w:footnote>
  <w:footnote w:id="161">
    <w:p w14:paraId="4BC2CD37" w14:textId="77777777" w:rsidR="00354C14" w:rsidRPr="005C127E" w:rsidRDefault="00354C14" w:rsidP="00354C14">
      <w:pPr>
        <w:pStyle w:val="Footer"/>
      </w:pPr>
      <w:r w:rsidRPr="005C127E">
        <w:rPr>
          <w:rStyle w:val="FootnoteReference"/>
          <w:rFonts w:asciiTheme="minorHAnsi" w:hAnsiTheme="minorHAnsi" w:cstheme="minorHAnsi"/>
          <w:szCs w:val="15"/>
        </w:rPr>
        <w:footnoteRef/>
      </w:r>
      <w:r w:rsidRPr="005C127E">
        <w:t xml:space="preserve"> S. Lamb et al (2020) ‘</w:t>
      </w:r>
      <w:hyperlink r:id="rId138" w:history="1">
        <w:r w:rsidRPr="005C127E">
          <w:rPr>
            <w:rStyle w:val="Hyperlink"/>
            <w:rFonts w:asciiTheme="minorHAnsi" w:hAnsiTheme="minorHAnsi" w:cstheme="minorHAnsi"/>
            <w:szCs w:val="15"/>
          </w:rPr>
          <w:t>Educational Opportunity in Australia: Who succeeds and who misses out’</w:t>
        </w:r>
      </w:hyperlink>
      <w:r w:rsidRPr="005C127E">
        <w:t xml:space="preserve">, Melbourne, Mitchell Institute. </w:t>
      </w:r>
    </w:p>
  </w:footnote>
  <w:footnote w:id="162">
    <w:p w14:paraId="0B4789C8" w14:textId="0AE169D2" w:rsidR="00354C14" w:rsidRPr="005C127E" w:rsidRDefault="00354C14" w:rsidP="00354C14">
      <w:pPr>
        <w:pStyle w:val="Footer"/>
        <w:rPr>
          <w:i/>
        </w:rPr>
      </w:pPr>
      <w:r w:rsidRPr="005C127E">
        <w:rPr>
          <w:rStyle w:val="FootnoteReference"/>
          <w:rFonts w:asciiTheme="minorHAnsi" w:hAnsiTheme="minorHAnsi" w:cstheme="minorHAnsi"/>
          <w:szCs w:val="15"/>
        </w:rPr>
        <w:footnoteRef/>
      </w:r>
      <w:r w:rsidRPr="005C127E">
        <w:t xml:space="preserve"> P. Weldon (2016) ‘</w:t>
      </w:r>
      <w:hyperlink r:id="rId139" w:history="1">
        <w:r w:rsidRPr="005C127E">
          <w:rPr>
            <w:rStyle w:val="Hyperlink"/>
            <w:rFonts w:asciiTheme="minorHAnsi" w:hAnsiTheme="minorHAnsi" w:cstheme="minorHAnsi"/>
            <w:szCs w:val="15"/>
          </w:rPr>
          <w:t>Out-of-Field Teaching In Australian Secondary Schools’</w:t>
        </w:r>
      </w:hyperlink>
      <w:r w:rsidRPr="005C127E">
        <w:t xml:space="preserve"> </w:t>
      </w:r>
      <w:r w:rsidRPr="005C127E">
        <w:rPr>
          <w:i/>
          <w:iCs/>
        </w:rPr>
        <w:t>Australian Council for Education Research Policy Insights</w:t>
      </w:r>
      <w:r>
        <w:rPr>
          <w:i/>
        </w:rPr>
        <w:t xml:space="preserve">; </w:t>
      </w:r>
      <w:r>
        <w:t xml:space="preserve">M. Wienk (2020), </w:t>
      </w:r>
      <w:r w:rsidR="00B03F9B">
        <w:t>‘</w:t>
      </w:r>
      <w:hyperlink r:id="rId140" w:history="1">
        <w:r w:rsidRPr="00F81BDB">
          <w:rPr>
            <w:rStyle w:val="Hyperlink"/>
          </w:rPr>
          <w:t>The state of mathematical sciences and statistics in Australia</w:t>
        </w:r>
        <w:r w:rsidR="00B03F9B">
          <w:rPr>
            <w:rStyle w:val="Hyperlink"/>
          </w:rPr>
          <w:t>’</w:t>
        </w:r>
        <w:r w:rsidRPr="00F81BDB">
          <w:rPr>
            <w:rStyle w:val="Hyperlink"/>
          </w:rPr>
          <w:t>,</w:t>
        </w:r>
      </w:hyperlink>
      <w:r>
        <w:rPr>
          <w:i/>
          <w:iCs/>
        </w:rPr>
        <w:t xml:space="preserve"> </w:t>
      </w:r>
      <w:r>
        <w:t>AMSI</w:t>
      </w:r>
      <w:r w:rsidR="00B03F9B">
        <w:t>.</w:t>
      </w:r>
    </w:p>
  </w:footnote>
  <w:footnote w:id="163">
    <w:p w14:paraId="527D661E" w14:textId="11B95622" w:rsidR="00354C14" w:rsidRPr="005C127E" w:rsidRDefault="00354C14" w:rsidP="00354C14">
      <w:pPr>
        <w:pStyle w:val="Footer"/>
      </w:pPr>
      <w:r w:rsidRPr="005C127E">
        <w:rPr>
          <w:rStyle w:val="FootnoteReference"/>
          <w:rFonts w:asciiTheme="minorHAnsi" w:hAnsiTheme="minorHAnsi" w:cstheme="minorHAnsi"/>
          <w:szCs w:val="15"/>
        </w:rPr>
        <w:footnoteRef/>
      </w:r>
      <w:r w:rsidRPr="005C127E">
        <w:t xml:space="preserve"> G. Savage (2014) ‘</w:t>
      </w:r>
      <w:hyperlink r:id="rId141" w:history="1">
        <w:r w:rsidRPr="005C127E">
          <w:rPr>
            <w:rStyle w:val="Hyperlink"/>
            <w:rFonts w:asciiTheme="minorHAnsi" w:hAnsiTheme="minorHAnsi" w:cstheme="minorHAnsi"/>
            <w:szCs w:val="15"/>
          </w:rPr>
          <w:t>Why markets can’t deliver excellence and equity in schools’</w:t>
        </w:r>
      </w:hyperlink>
      <w:r w:rsidRPr="005C127E">
        <w:t xml:space="preserve">, </w:t>
      </w:r>
      <w:r w:rsidRPr="005C127E">
        <w:rPr>
          <w:i/>
          <w:iCs/>
        </w:rPr>
        <w:t>The Conversation</w:t>
      </w:r>
      <w:r w:rsidRPr="005C127E">
        <w:t xml:space="preserve">. </w:t>
      </w:r>
    </w:p>
  </w:footnote>
  <w:footnote w:id="164">
    <w:p w14:paraId="749C325E" w14:textId="7A5B150A" w:rsidR="005A7672" w:rsidRPr="005C127E" w:rsidRDefault="005A7672" w:rsidP="005A7672">
      <w:pPr>
        <w:pStyle w:val="Footer"/>
        <w:rPr>
          <w:i/>
          <w:iCs/>
        </w:rPr>
      </w:pPr>
      <w:r w:rsidRPr="005C127E">
        <w:rPr>
          <w:rStyle w:val="FootnoteReference"/>
          <w:rFonts w:asciiTheme="minorHAnsi" w:hAnsiTheme="minorHAnsi" w:cstheme="minorHAnsi"/>
          <w:szCs w:val="15"/>
        </w:rPr>
        <w:footnoteRef/>
      </w:r>
      <w:r w:rsidRPr="005C127E">
        <w:t xml:space="preserve"> Education Council (2020) </w:t>
      </w:r>
      <w:r w:rsidR="00B03F9B" w:rsidRPr="00B03F9B">
        <w:t>‘</w:t>
      </w:r>
      <w:hyperlink r:id="rId142" w:history="1">
        <w:r w:rsidRPr="00F81BDB">
          <w:rPr>
            <w:rStyle w:val="Hyperlink"/>
          </w:rPr>
          <w:t>Looking to the Future: Report of the Review of Senior Secondary Pathways into Work, Further Education and Training</w:t>
        </w:r>
      </w:hyperlink>
      <w:r w:rsidR="00B03F9B" w:rsidRPr="00F81BDB">
        <w:rPr>
          <w:rStyle w:val="Hyperlink"/>
        </w:rPr>
        <w:t>’</w:t>
      </w:r>
      <w:r w:rsidRPr="005C127E">
        <w:rPr>
          <w:i/>
          <w:iCs/>
        </w:rPr>
        <w:t xml:space="preserve">, </w:t>
      </w:r>
      <w:r w:rsidRPr="005C127E">
        <w:t xml:space="preserve">Education Services Australia. </w:t>
      </w:r>
    </w:p>
  </w:footnote>
  <w:footnote w:id="165">
    <w:p w14:paraId="1158FF03" w14:textId="1079D197" w:rsidR="00B74C07" w:rsidRPr="005C127E" w:rsidRDefault="00B74C07" w:rsidP="008073F7">
      <w:pPr>
        <w:pStyle w:val="Footer"/>
      </w:pPr>
      <w:r w:rsidRPr="005C127E">
        <w:rPr>
          <w:rStyle w:val="FootnoteReference"/>
          <w:rFonts w:asciiTheme="minorHAnsi" w:hAnsiTheme="minorHAnsi" w:cstheme="minorHAnsi"/>
          <w:szCs w:val="15"/>
        </w:rPr>
        <w:footnoteRef/>
      </w:r>
      <w:r w:rsidRPr="005C127E">
        <w:t xml:space="preserve"> S. </w:t>
      </w:r>
      <w:r w:rsidRPr="005C127E">
        <w:rPr>
          <w:rStyle w:val="FooterChar"/>
          <w:rFonts w:asciiTheme="minorHAnsi" w:hAnsiTheme="minorHAnsi" w:cstheme="minorHAnsi"/>
          <w:szCs w:val="15"/>
        </w:rPr>
        <w:t xml:space="preserve">Waslander et al. (2010) </w:t>
      </w:r>
      <w:r w:rsidR="00B03F9B">
        <w:rPr>
          <w:rStyle w:val="FooterChar"/>
          <w:rFonts w:asciiTheme="minorHAnsi" w:hAnsiTheme="minorHAnsi" w:cstheme="minorHAnsi"/>
          <w:szCs w:val="15"/>
        </w:rPr>
        <w:t>‘</w:t>
      </w:r>
      <w:hyperlink r:id="rId143" w:history="1">
        <w:r w:rsidRPr="00F81BDB">
          <w:rPr>
            <w:rStyle w:val="Hyperlink"/>
            <w:iCs/>
          </w:rPr>
          <w:t>Markets in Education: An Analytical Review of Empirical Research on Market Mechanisms in Education</w:t>
        </w:r>
      </w:hyperlink>
      <w:r w:rsidRPr="005E19E2">
        <w:rPr>
          <w:rStyle w:val="FooterChar"/>
          <w:rFonts w:asciiTheme="minorHAnsi" w:hAnsiTheme="minorHAnsi" w:cstheme="minorHAnsi"/>
          <w:i/>
          <w:szCs w:val="15"/>
        </w:rPr>
        <w:t>.</w:t>
      </w:r>
      <w:r w:rsidR="00B03F9B">
        <w:rPr>
          <w:rStyle w:val="FooterChar"/>
          <w:rFonts w:asciiTheme="minorHAnsi" w:hAnsiTheme="minorHAnsi" w:cstheme="minorHAnsi"/>
          <w:i/>
          <w:szCs w:val="15"/>
        </w:rPr>
        <w:t xml:space="preserve">’ </w:t>
      </w:r>
      <w:r w:rsidRPr="005E19E2">
        <w:rPr>
          <w:rStyle w:val="FooterChar"/>
          <w:rFonts w:asciiTheme="minorHAnsi" w:hAnsiTheme="minorHAnsi" w:cstheme="minorHAnsi"/>
          <w:i/>
          <w:szCs w:val="15"/>
        </w:rPr>
        <w:t>Working Paper 52</w:t>
      </w:r>
      <w:r w:rsidR="00B03F9B">
        <w:rPr>
          <w:rStyle w:val="FooterChar"/>
          <w:rFonts w:asciiTheme="minorHAnsi" w:hAnsiTheme="minorHAnsi" w:cstheme="minorHAnsi"/>
          <w:i/>
          <w:szCs w:val="15"/>
        </w:rPr>
        <w:t>.</w:t>
      </w:r>
      <w:r w:rsidRPr="005C127E">
        <w:rPr>
          <w:rStyle w:val="FooterChar"/>
          <w:rFonts w:asciiTheme="minorHAnsi" w:hAnsiTheme="minorHAnsi" w:cstheme="minorHAnsi"/>
          <w:szCs w:val="15"/>
        </w:rPr>
        <w:t xml:space="preserve"> </w:t>
      </w:r>
      <w:r w:rsidR="00047F02">
        <w:rPr>
          <w:rStyle w:val="FooterChar"/>
          <w:rFonts w:asciiTheme="minorHAnsi" w:hAnsiTheme="minorHAnsi" w:cstheme="minorHAnsi"/>
          <w:szCs w:val="15"/>
        </w:rPr>
        <w:t xml:space="preserve">Paris, </w:t>
      </w:r>
      <w:r w:rsidRPr="005C127E">
        <w:rPr>
          <w:rStyle w:val="FooterChar"/>
          <w:rFonts w:asciiTheme="minorHAnsi" w:hAnsiTheme="minorHAnsi" w:cstheme="minorHAnsi"/>
          <w:szCs w:val="15"/>
        </w:rPr>
        <w:t>OECD Publishing</w:t>
      </w:r>
      <w:r w:rsidR="00047F02">
        <w:rPr>
          <w:rStyle w:val="FooterChar"/>
          <w:rFonts w:asciiTheme="minorHAnsi" w:hAnsiTheme="minorHAnsi" w:cstheme="minorHAnsi"/>
          <w:szCs w:val="15"/>
        </w:rPr>
        <w:t>.</w:t>
      </w:r>
      <w:r w:rsidRPr="005C127E">
        <w:rPr>
          <w:rStyle w:val="FooterChar"/>
          <w:rFonts w:asciiTheme="minorHAnsi" w:hAnsiTheme="minorHAnsi" w:cstheme="minorHAnsi"/>
          <w:szCs w:val="15"/>
        </w:rPr>
        <w:t xml:space="preserve"> </w:t>
      </w:r>
    </w:p>
  </w:footnote>
  <w:footnote w:id="166">
    <w:p w14:paraId="46ABCF3F" w14:textId="1A6720D4" w:rsidR="6EC71C90" w:rsidRPr="006679D7" w:rsidRDefault="6EC71C90" w:rsidP="6EC71C90">
      <w:pPr>
        <w:pStyle w:val="FootnoteText"/>
      </w:pPr>
      <w:r w:rsidRPr="6EC71C90">
        <w:rPr>
          <w:rStyle w:val="FootnoteReference"/>
        </w:rPr>
        <w:footnoteRef/>
      </w:r>
      <w:r w:rsidR="4B408123">
        <w:t xml:space="preserve"> Big Picture </w:t>
      </w:r>
      <w:r w:rsidR="1E670A27">
        <w:t>Learning</w:t>
      </w:r>
      <w:r w:rsidR="4B408123">
        <w:t xml:space="preserve"> Australia (2023)</w:t>
      </w:r>
      <w:r w:rsidR="00B61F0B">
        <w:t xml:space="preserve"> </w:t>
      </w:r>
      <w:r w:rsidR="00863774">
        <w:t>‘</w:t>
      </w:r>
      <w:r w:rsidR="4B408123" w:rsidRPr="006679D7">
        <w:rPr>
          <w:rStyle w:val="Hyperlink"/>
        </w:rPr>
        <w:t>Big Picture Education Partnership Schools</w:t>
      </w:r>
      <w:r w:rsidR="00863774">
        <w:rPr>
          <w:rStyle w:val="Hyperlink"/>
        </w:rPr>
        <w:t>’</w:t>
      </w:r>
      <w:r w:rsidR="006679D7">
        <w:rPr>
          <w:rStyle w:val="Hyperlink"/>
          <w:u w:val="none"/>
        </w:rPr>
        <w:t>.</w:t>
      </w:r>
    </w:p>
  </w:footnote>
  <w:footnote w:id="167">
    <w:p w14:paraId="18885B57" w14:textId="4B22AC28" w:rsidR="00F410F6" w:rsidRPr="00F65631" w:rsidRDefault="00F410F6" w:rsidP="008073F7">
      <w:pPr>
        <w:pStyle w:val="Footer"/>
      </w:pPr>
      <w:r w:rsidRPr="00F65631">
        <w:rPr>
          <w:rStyle w:val="FootnoteReference"/>
          <w:rFonts w:asciiTheme="minorHAnsi" w:hAnsiTheme="minorHAnsi" w:cstheme="minorHAnsi"/>
          <w:szCs w:val="15"/>
        </w:rPr>
        <w:footnoteRef/>
      </w:r>
      <w:r w:rsidRPr="00F65631">
        <w:t xml:space="preserve"> </w:t>
      </w:r>
      <w:r w:rsidR="005C19BD" w:rsidRPr="00F65631">
        <w:t>T. Greenwell</w:t>
      </w:r>
      <w:r w:rsidR="00915ED2" w:rsidRPr="00F65631">
        <w:t xml:space="preserve"> (</w:t>
      </w:r>
      <w:r w:rsidR="001846CA" w:rsidRPr="00F65631">
        <w:t xml:space="preserve">2017) </w:t>
      </w:r>
      <w:hyperlink r:id="rId144" w:history="1">
        <w:r w:rsidR="001846CA" w:rsidRPr="00F65631">
          <w:rPr>
            <w:rStyle w:val="Hyperlink"/>
          </w:rPr>
          <w:t xml:space="preserve">‘Inside Australia’s </w:t>
        </w:r>
        <w:r w:rsidR="00530400" w:rsidRPr="00F65631">
          <w:rPr>
            <w:rStyle w:val="Hyperlink"/>
          </w:rPr>
          <w:t>first virtual school’</w:t>
        </w:r>
      </w:hyperlink>
      <w:r w:rsidR="00B61F0B">
        <w:rPr>
          <w:rStyle w:val="Hyperlink"/>
        </w:rPr>
        <w:t>,</w:t>
      </w:r>
      <w:r w:rsidR="00530400" w:rsidRPr="00F65631">
        <w:t xml:space="preserve"> </w:t>
      </w:r>
      <w:r w:rsidR="00A71D34" w:rsidRPr="00F65631">
        <w:rPr>
          <w:i/>
        </w:rPr>
        <w:t>Inside Story</w:t>
      </w:r>
      <w:r w:rsidR="00863774" w:rsidRPr="006679D7">
        <w:rPr>
          <w:iCs/>
        </w:rPr>
        <w:t>.</w:t>
      </w:r>
      <w:r w:rsidR="00A71D34" w:rsidRPr="00F65631">
        <w:rPr>
          <w:i/>
        </w:rPr>
        <w:t xml:space="preserve"> </w:t>
      </w:r>
    </w:p>
  </w:footnote>
  <w:footnote w:id="168">
    <w:p w14:paraId="7EA3C4B7" w14:textId="3820CE08" w:rsidR="005C19BD" w:rsidRPr="00F65631" w:rsidRDefault="005C19BD" w:rsidP="008073F7">
      <w:pPr>
        <w:pStyle w:val="Footer"/>
      </w:pPr>
      <w:r w:rsidRPr="00F65631">
        <w:rPr>
          <w:rStyle w:val="FootnoteReference"/>
          <w:rFonts w:asciiTheme="minorHAnsi" w:hAnsiTheme="minorHAnsi" w:cstheme="minorHAnsi"/>
          <w:szCs w:val="15"/>
        </w:rPr>
        <w:footnoteRef/>
      </w:r>
      <w:r w:rsidRPr="00F65631">
        <w:t xml:space="preserve"> </w:t>
      </w:r>
      <w:r w:rsidR="001D6E85" w:rsidRPr="00F65631">
        <w:t xml:space="preserve">T. Greenwell </w:t>
      </w:r>
      <w:r w:rsidR="00863774">
        <w:t xml:space="preserve">&amp; </w:t>
      </w:r>
      <w:r w:rsidR="001D6E85" w:rsidRPr="00F65631">
        <w:t xml:space="preserve">C. Bonnor (2022) </w:t>
      </w:r>
      <w:r w:rsidR="00863774">
        <w:t>‘</w:t>
      </w:r>
      <w:hyperlink r:id="rId145" w:history="1">
        <w:r w:rsidR="001D6E85" w:rsidRPr="00F81BDB">
          <w:rPr>
            <w:rStyle w:val="Hyperlink"/>
            <w:iCs/>
          </w:rPr>
          <w:t>Waiting for Gonski: How Australia Failed its Schools</w:t>
        </w:r>
        <w:r w:rsidR="00863774" w:rsidRPr="00F81BDB">
          <w:rPr>
            <w:rStyle w:val="Hyperlink"/>
            <w:iCs/>
          </w:rPr>
          <w:t>’</w:t>
        </w:r>
      </w:hyperlink>
      <w:r w:rsidR="001D6E85" w:rsidRPr="00F65631">
        <w:rPr>
          <w:i/>
        </w:rPr>
        <w:t>,</w:t>
      </w:r>
      <w:r w:rsidR="001D6E85" w:rsidRPr="00F65631">
        <w:t xml:space="preserve"> </w:t>
      </w:r>
      <w:r w:rsidR="009F1D02" w:rsidRPr="00F65631">
        <w:t>Sydney, UNSW Press, p</w:t>
      </w:r>
      <w:r w:rsidR="00863774">
        <w:t xml:space="preserve">p. </w:t>
      </w:r>
      <w:r w:rsidR="009F1D02" w:rsidRPr="00F65631">
        <w:t>301</w:t>
      </w:r>
      <w:r w:rsidR="00FD2F00">
        <w:t>,</w:t>
      </w:r>
    </w:p>
  </w:footnote>
  <w:footnote w:id="169">
    <w:p w14:paraId="169EE503" w14:textId="189EEB4A" w:rsidR="00BD7D74" w:rsidRPr="005C127E" w:rsidRDefault="00BD7D74" w:rsidP="008073F7">
      <w:pPr>
        <w:pStyle w:val="Footer"/>
      </w:pPr>
      <w:r w:rsidRPr="00F65631">
        <w:rPr>
          <w:rStyle w:val="FootnoteReference"/>
          <w:rFonts w:asciiTheme="minorHAnsi" w:hAnsiTheme="minorHAnsi" w:cstheme="minorHAnsi"/>
          <w:szCs w:val="15"/>
        </w:rPr>
        <w:footnoteRef/>
      </w:r>
      <w:r w:rsidRPr="00F65631">
        <w:t xml:space="preserve"> </w:t>
      </w:r>
      <w:r w:rsidR="003759EB" w:rsidRPr="00F65631">
        <w:t>D</w:t>
      </w:r>
      <w:r w:rsidR="00391444" w:rsidRPr="00F65631">
        <w:t>.</w:t>
      </w:r>
      <w:r w:rsidR="003759EB" w:rsidRPr="00F65631">
        <w:t xml:space="preserve"> Pearce </w:t>
      </w:r>
      <w:r w:rsidR="00391444" w:rsidRPr="00F65631">
        <w:t>(2023) I</w:t>
      </w:r>
      <w:r w:rsidR="003759EB" w:rsidRPr="00F65631">
        <w:t>nterview</w:t>
      </w:r>
      <w:r w:rsidR="00391444" w:rsidRPr="00F65631">
        <w:t xml:space="preserve"> with Chris Bonnor</w:t>
      </w:r>
      <w:r w:rsidR="003759EB" w:rsidRPr="00F65631">
        <w:t>,</w:t>
      </w:r>
      <w:r w:rsidR="00391444" w:rsidRPr="00F65631">
        <w:t xml:space="preserve"> 14</w:t>
      </w:r>
      <w:r w:rsidR="003759EB" w:rsidRPr="00F65631">
        <w:t xml:space="preserve"> September.</w:t>
      </w:r>
    </w:p>
  </w:footnote>
  <w:footnote w:id="170">
    <w:p w14:paraId="4FE406B1" w14:textId="01631559" w:rsidR="00DF5379" w:rsidRPr="00DF5379" w:rsidRDefault="00DF5379" w:rsidP="00DF5379">
      <w:pPr>
        <w:pStyle w:val="FootnoteText"/>
      </w:pPr>
      <w:r w:rsidRPr="00DF5379">
        <w:rPr>
          <w:rStyle w:val="FootnoteReference"/>
        </w:rPr>
        <w:footnoteRef/>
      </w:r>
      <w:r w:rsidRPr="00DF5379">
        <w:t xml:space="preserve"> L. Furze (2021) </w:t>
      </w:r>
      <w:r w:rsidR="002D321A">
        <w:t>‘</w:t>
      </w:r>
      <w:hyperlink r:id="rId146" w:history="1">
        <w:r w:rsidRPr="00DF5379">
          <w:rPr>
            <w:rStyle w:val="Hyperlink"/>
          </w:rPr>
          <w:t>New Metrics for Success. Rethinking Assessment</w:t>
        </w:r>
      </w:hyperlink>
      <w:r w:rsidR="002D321A">
        <w:rPr>
          <w:rStyle w:val="Hyperlink"/>
        </w:rPr>
        <w:t xml:space="preserve">’ </w:t>
      </w:r>
      <w:r w:rsidRPr="00DF5379">
        <w:t>; University of Melbourne (2023) “</w:t>
      </w:r>
      <w:hyperlink r:id="rId147" w:history="1">
        <w:r w:rsidRPr="00DF5379">
          <w:rPr>
            <w:rStyle w:val="Hyperlink"/>
          </w:rPr>
          <w:t>New assessments: Acknowledging Student Success</w:t>
        </w:r>
      </w:hyperlink>
      <w:r w:rsidRPr="00DF5379">
        <w:t>”</w:t>
      </w:r>
      <w:r w:rsidR="005E05F0">
        <w:t>.</w:t>
      </w:r>
    </w:p>
  </w:footnote>
  <w:footnote w:id="171">
    <w:p w14:paraId="06512996" w14:textId="25C96B34" w:rsidR="003C7476" w:rsidRDefault="003C7476">
      <w:pPr>
        <w:pStyle w:val="FootnoteText"/>
      </w:pPr>
      <w:r w:rsidRPr="00DF5379">
        <w:rPr>
          <w:rStyle w:val="FootnoteReference"/>
        </w:rPr>
        <w:footnoteRef/>
      </w:r>
      <w:r w:rsidRPr="00DF5379">
        <w:t xml:space="preserve"> </w:t>
      </w:r>
      <w:r w:rsidR="00F4138F" w:rsidRPr="00DF5379">
        <w:t>N. Crawford et al (2021) ‘</w:t>
      </w:r>
      <w:hyperlink r:id="rId148" w:history="1">
        <w:r w:rsidR="00F4138F" w:rsidRPr="00DF5379">
          <w:rPr>
            <w:rStyle w:val="Hyperlink"/>
          </w:rPr>
          <w:t>An Equity perspective on the development of student learne</w:t>
        </w:r>
        <w:r w:rsidR="00BD1159" w:rsidRPr="00DF5379">
          <w:rPr>
            <w:rStyle w:val="Hyperlink"/>
          </w:rPr>
          <w:t>r profiles</w:t>
        </w:r>
      </w:hyperlink>
      <w:r w:rsidR="00F4138F" w:rsidRPr="00DF5379">
        <w:t>’</w:t>
      </w:r>
      <w:r w:rsidR="00BD1159" w:rsidRPr="00DF5379">
        <w:t>, National Centre for the Study of Equity in Higher Education, Curtin University.</w:t>
      </w:r>
    </w:p>
  </w:footnote>
  <w:footnote w:id="172">
    <w:p w14:paraId="3C39348F" w14:textId="5136B0E0" w:rsidR="007E5356" w:rsidRPr="005E05F0" w:rsidRDefault="007E5356" w:rsidP="007E5356">
      <w:pPr>
        <w:pStyle w:val="Footer"/>
        <w:rPr>
          <w:highlight w:val="yellow"/>
        </w:rPr>
      </w:pPr>
      <w:r w:rsidRPr="005C127E">
        <w:rPr>
          <w:rStyle w:val="FootnoteReference"/>
          <w:rFonts w:asciiTheme="minorHAnsi" w:hAnsiTheme="minorHAnsi" w:cstheme="minorHAnsi"/>
          <w:szCs w:val="15"/>
        </w:rPr>
        <w:footnoteRef/>
      </w:r>
      <w:r w:rsidRPr="005C127E">
        <w:t xml:space="preserve"> Big Picture Learning Australia (2023)</w:t>
      </w:r>
      <w:r w:rsidR="0042121E">
        <w:t xml:space="preserve"> </w:t>
      </w:r>
      <w:r w:rsidRPr="005C127E">
        <w:t>‘</w:t>
      </w:r>
      <w:hyperlink r:id="rId149" w:history="1">
        <w:r w:rsidRPr="005C127E">
          <w:rPr>
            <w:rStyle w:val="Hyperlink"/>
            <w:rFonts w:asciiTheme="minorHAnsi" w:hAnsiTheme="minorHAnsi" w:cstheme="minorHAnsi"/>
            <w:szCs w:val="15"/>
          </w:rPr>
          <w:t>Big Picture School distinguishers</w:t>
        </w:r>
      </w:hyperlink>
      <w:r w:rsidR="005C28E7">
        <w:rPr>
          <w:rStyle w:val="Hyperlink"/>
          <w:rFonts w:asciiTheme="minorHAnsi" w:hAnsiTheme="minorHAnsi" w:cstheme="minorHAnsi"/>
          <w:szCs w:val="15"/>
        </w:rPr>
        <w:t>’</w:t>
      </w:r>
      <w:r w:rsidR="005E05F0">
        <w:rPr>
          <w:rStyle w:val="Hyperlink"/>
          <w:rFonts w:asciiTheme="minorHAnsi" w:hAnsiTheme="minorHAnsi" w:cstheme="minorHAnsi"/>
          <w:szCs w:val="15"/>
          <w:u w:val="none"/>
        </w:rPr>
        <w:t>.</w:t>
      </w:r>
    </w:p>
  </w:footnote>
  <w:footnote w:id="173">
    <w:p w14:paraId="028A7430" w14:textId="21294CBA" w:rsidR="00C941D5" w:rsidRDefault="00C941D5">
      <w:pPr>
        <w:pStyle w:val="FootnoteText"/>
      </w:pPr>
      <w:r>
        <w:rPr>
          <w:rStyle w:val="FootnoteReference"/>
        </w:rPr>
        <w:footnoteRef/>
      </w:r>
      <w:r>
        <w:t xml:space="preserve"> Data supplied by Big Picture Learning Australia</w:t>
      </w:r>
      <w:r w:rsidR="00632D02">
        <w:t>.</w:t>
      </w:r>
    </w:p>
  </w:footnote>
  <w:footnote w:id="174">
    <w:p w14:paraId="4B91B51F" w14:textId="67EAD4E2" w:rsidR="00C54B7F" w:rsidRDefault="00C54B7F">
      <w:pPr>
        <w:pStyle w:val="FootnoteText"/>
      </w:pPr>
      <w:r>
        <w:rPr>
          <w:rStyle w:val="FootnoteReference"/>
        </w:rPr>
        <w:footnoteRef/>
      </w:r>
      <w:r>
        <w:t xml:space="preserve"> </w:t>
      </w:r>
      <w:r w:rsidR="00163B0F">
        <w:t>Big Picture Learning Australia (2023) ‘</w:t>
      </w:r>
      <w:hyperlink r:id="rId150" w:history="1">
        <w:r w:rsidR="00163B0F" w:rsidRPr="00163B0F">
          <w:rPr>
            <w:rStyle w:val="Hyperlink"/>
          </w:rPr>
          <w:t>What is the International Big Picture Learning Credential?’</w:t>
        </w:r>
      </w:hyperlink>
      <w:r w:rsidR="005E05F0">
        <w:rPr>
          <w:rStyle w:val="Hyperlink"/>
          <w:u w:val="none"/>
        </w:rPr>
        <w:t>.</w:t>
      </w:r>
      <w:r w:rsidR="00163B0F">
        <w:t xml:space="preserve"> </w:t>
      </w:r>
    </w:p>
  </w:footnote>
  <w:footnote w:id="175">
    <w:p w14:paraId="218C1292" w14:textId="3911A251" w:rsidR="001D5177" w:rsidRPr="005C127E" w:rsidRDefault="00AF5E4F" w:rsidP="008073F7">
      <w:pPr>
        <w:pStyle w:val="Footer"/>
        <w:rPr>
          <w:lang w:eastAsia="en-AU"/>
        </w:rPr>
      </w:pPr>
      <w:r w:rsidRPr="005C127E">
        <w:rPr>
          <w:rStyle w:val="FootnoteReference"/>
          <w:rFonts w:asciiTheme="minorHAnsi" w:hAnsiTheme="minorHAnsi" w:cstheme="minorHAnsi"/>
          <w:szCs w:val="15"/>
        </w:rPr>
        <w:footnoteRef/>
      </w:r>
      <w:r w:rsidR="00052D84" w:rsidRPr="005C127E">
        <w:t xml:space="preserve"> E.g. </w:t>
      </w:r>
      <w:r w:rsidR="00052D84" w:rsidRPr="005C127E">
        <w:rPr>
          <w:lang w:eastAsia="en-AU"/>
        </w:rPr>
        <w:t>Yule Brook College</w:t>
      </w:r>
      <w:r w:rsidR="00106786" w:rsidRPr="005C127E">
        <w:rPr>
          <w:lang w:eastAsia="en-AU"/>
        </w:rPr>
        <w:t xml:space="preserve"> (public school)</w:t>
      </w:r>
      <w:r w:rsidR="00052D84" w:rsidRPr="005C127E">
        <w:rPr>
          <w:lang w:eastAsia="en-AU"/>
        </w:rPr>
        <w:t xml:space="preserve"> in Perth (ICSEA 870) has NAPLAN scores close to other schools enrolling students from similar backgrounds, and its Year 9 NAPLAN scores are often ahead of Australian averages. The Central Coast Sports College (an independent school) and Launceston Big Picture School</w:t>
      </w:r>
      <w:r w:rsidR="00106786" w:rsidRPr="005C127E">
        <w:rPr>
          <w:lang w:eastAsia="en-AU"/>
        </w:rPr>
        <w:t xml:space="preserve"> (a pub</w:t>
      </w:r>
      <w:r w:rsidR="004E07B3" w:rsidRPr="005C127E">
        <w:rPr>
          <w:lang w:eastAsia="en-AU"/>
        </w:rPr>
        <w:t>l</w:t>
      </w:r>
      <w:r w:rsidR="00106786" w:rsidRPr="005C127E">
        <w:rPr>
          <w:lang w:eastAsia="en-AU"/>
        </w:rPr>
        <w:t>ic school)</w:t>
      </w:r>
      <w:r w:rsidR="00052D84" w:rsidRPr="005C127E">
        <w:rPr>
          <w:lang w:eastAsia="en-AU"/>
        </w:rPr>
        <w:t xml:space="preserve"> perform similarly to schools with similar student population profiles.</w:t>
      </w:r>
      <w:r w:rsidR="001D5177" w:rsidRPr="005C127E">
        <w:rPr>
          <w:lang w:eastAsia="en-AU"/>
        </w:rPr>
        <w:t xml:space="preserve"> </w:t>
      </w:r>
    </w:p>
    <w:p w14:paraId="6B6C8D62" w14:textId="520F6D05" w:rsidR="00AF5E4F" w:rsidRPr="005C127E" w:rsidRDefault="007270E0" w:rsidP="008073F7">
      <w:pPr>
        <w:pStyle w:val="Footer"/>
      </w:pPr>
      <w:r w:rsidRPr="005C127E">
        <w:t xml:space="preserve">Big Picture Learning Australia, </w:t>
      </w:r>
      <w:hyperlink r:id="rId151" w:history="1">
        <w:r w:rsidR="00E22900" w:rsidRPr="005C127E">
          <w:rPr>
            <w:rStyle w:val="Hyperlink"/>
            <w:rFonts w:asciiTheme="minorHAnsi" w:hAnsiTheme="minorHAnsi" w:cstheme="minorHAnsi"/>
            <w:szCs w:val="15"/>
          </w:rPr>
          <w:t>‘BPLA in NSW: The Data Story’</w:t>
        </w:r>
      </w:hyperlink>
      <w:r w:rsidR="00555432">
        <w:rPr>
          <w:rStyle w:val="Hyperlink"/>
          <w:rFonts w:asciiTheme="minorHAnsi" w:hAnsiTheme="minorHAnsi" w:cstheme="minorHAnsi"/>
          <w:szCs w:val="15"/>
          <w:u w:val="none"/>
        </w:rPr>
        <w:t>.</w:t>
      </w:r>
      <w:r w:rsidR="00E22900" w:rsidRPr="005C127E">
        <w:t xml:space="preserve"> </w:t>
      </w:r>
    </w:p>
  </w:footnote>
  <w:footnote w:id="176">
    <w:p w14:paraId="496BC061" w14:textId="3A2C6E66" w:rsidR="00DC6AE2" w:rsidRDefault="00DC6AE2">
      <w:pPr>
        <w:pStyle w:val="FootnoteText"/>
      </w:pPr>
      <w:r>
        <w:rPr>
          <w:rStyle w:val="FootnoteReference"/>
        </w:rPr>
        <w:footnoteRef/>
      </w:r>
      <w:r>
        <w:t xml:space="preserve"> </w:t>
      </w:r>
      <w:r w:rsidRPr="00DC6AE2">
        <w:t>Family Occupation and Education Index. Higher FOEI scores indicate higher levels of need (i.e.</w:t>
      </w:r>
      <w:r w:rsidR="00894666">
        <w:t>,</w:t>
      </w:r>
      <w:r w:rsidRPr="00DC6AE2">
        <w:t xml:space="preserve"> lower SES)</w:t>
      </w:r>
      <w:r w:rsidR="00555432">
        <w:t>.</w:t>
      </w:r>
    </w:p>
  </w:footnote>
  <w:footnote w:id="177">
    <w:p w14:paraId="314BA490" w14:textId="793159F3" w:rsidR="00D67735" w:rsidRDefault="00D67735">
      <w:pPr>
        <w:pStyle w:val="FootnoteText"/>
      </w:pPr>
      <w:r>
        <w:rPr>
          <w:rStyle w:val="FootnoteReference"/>
        </w:rPr>
        <w:footnoteRef/>
      </w:r>
      <w:r>
        <w:t xml:space="preserve"> Email to Chris Bonnor </w:t>
      </w:r>
      <w:r w:rsidR="00BF352C">
        <w:t>received 12 September 2023</w:t>
      </w:r>
      <w:r w:rsidR="00632D02">
        <w:t>.</w:t>
      </w:r>
    </w:p>
  </w:footnote>
  <w:footnote w:id="178">
    <w:p w14:paraId="51F5C60A" w14:textId="5DB9A54B" w:rsidR="009C7D92" w:rsidRPr="005C127E" w:rsidRDefault="009C7D92" w:rsidP="008073F7">
      <w:pPr>
        <w:pStyle w:val="Footer"/>
      </w:pPr>
      <w:r w:rsidRPr="005C127E">
        <w:rPr>
          <w:rStyle w:val="FootnoteReference"/>
          <w:rFonts w:asciiTheme="minorHAnsi" w:hAnsiTheme="minorHAnsi" w:cstheme="minorHAnsi"/>
          <w:szCs w:val="15"/>
        </w:rPr>
        <w:footnoteRef/>
      </w:r>
      <w:r w:rsidRPr="005C127E">
        <w:t xml:space="preserve"> </w:t>
      </w:r>
      <w:r w:rsidR="007F6D70" w:rsidRPr="005C127E">
        <w:t xml:space="preserve">Education Review Office (2021) </w:t>
      </w:r>
      <w:hyperlink r:id="rId152" w:history="1">
        <w:r w:rsidR="007F6D70" w:rsidRPr="005C127E">
          <w:rPr>
            <w:rStyle w:val="Hyperlink"/>
            <w:rFonts w:asciiTheme="minorHAnsi" w:hAnsiTheme="minorHAnsi" w:cstheme="minorHAnsi"/>
            <w:szCs w:val="15"/>
          </w:rPr>
          <w:t>‘Te Aho o te Kura Poun</w:t>
        </w:r>
        <w:bookmarkStart w:id="30" w:name="_Hlt146814260"/>
        <w:bookmarkStart w:id="31" w:name="_Hlt146814261"/>
        <w:r w:rsidR="007F6D70" w:rsidRPr="005C127E">
          <w:rPr>
            <w:rStyle w:val="Hyperlink"/>
            <w:rFonts w:asciiTheme="minorHAnsi" w:hAnsiTheme="minorHAnsi" w:cstheme="minorHAnsi"/>
            <w:szCs w:val="15"/>
          </w:rPr>
          <w:t>a</w:t>
        </w:r>
        <w:bookmarkEnd w:id="30"/>
        <w:bookmarkEnd w:id="31"/>
        <w:r w:rsidR="007F6D70" w:rsidRPr="005C127E">
          <w:rPr>
            <w:rStyle w:val="Hyperlink"/>
            <w:rFonts w:asciiTheme="minorHAnsi" w:hAnsiTheme="minorHAnsi" w:cstheme="minorHAnsi"/>
            <w:szCs w:val="15"/>
          </w:rPr>
          <w:t>mu’</w:t>
        </w:r>
      </w:hyperlink>
      <w:r w:rsidR="00B80511" w:rsidRPr="005C127E">
        <w:t>,</w:t>
      </w:r>
      <w:r w:rsidR="007F6D70" w:rsidRPr="005C127E">
        <w:t xml:space="preserve"> </w:t>
      </w:r>
      <w:r w:rsidR="00B80511" w:rsidRPr="005C127E">
        <w:rPr>
          <w:i/>
          <w:iCs/>
        </w:rPr>
        <w:t>Education Review Report</w:t>
      </w:r>
      <w:r w:rsidR="00BA521A" w:rsidRPr="005C127E">
        <w:rPr>
          <w:i/>
          <w:iCs/>
        </w:rPr>
        <w:t>,</w:t>
      </w:r>
      <w:r w:rsidR="00B80511" w:rsidRPr="005C127E">
        <w:rPr>
          <w:i/>
          <w:iCs/>
        </w:rPr>
        <w:t xml:space="preserve"> </w:t>
      </w:r>
      <w:r w:rsidR="00BA521A" w:rsidRPr="005C127E">
        <w:t>pp. 22</w:t>
      </w:r>
      <w:r w:rsidR="00632D02">
        <w:t>.</w:t>
      </w:r>
    </w:p>
  </w:footnote>
  <w:footnote w:id="179">
    <w:p w14:paraId="10A07EB5" w14:textId="6ACA1B96" w:rsidR="000E4016" w:rsidRDefault="000E4016">
      <w:pPr>
        <w:pStyle w:val="FootnoteText"/>
      </w:pPr>
      <w:r>
        <w:rPr>
          <w:rStyle w:val="FootnoteReference"/>
        </w:rPr>
        <w:footnoteRef/>
      </w:r>
      <w:r>
        <w:t xml:space="preserve"> Nous is about to commence a three-year research study of this on behalf of Learning Creates Australia and funded by the Paul Ramsay Foundation</w:t>
      </w:r>
      <w:r w:rsidR="008D3ADB">
        <w:t>.</w:t>
      </w:r>
    </w:p>
  </w:footnote>
  <w:footnote w:id="180">
    <w:p w14:paraId="4CB5A989" w14:textId="77777777" w:rsidR="00A3112D" w:rsidRPr="005C127E" w:rsidRDefault="00A3112D" w:rsidP="00A3112D">
      <w:pPr>
        <w:pStyle w:val="Footer"/>
      </w:pPr>
      <w:r w:rsidRPr="005C127E">
        <w:rPr>
          <w:rStyle w:val="FootnoteReference"/>
          <w:rFonts w:asciiTheme="minorHAnsi" w:hAnsiTheme="minorHAnsi" w:cstheme="minorHAnsi"/>
          <w:szCs w:val="15"/>
        </w:rPr>
        <w:footnoteRef/>
      </w:r>
      <w:r w:rsidRPr="005C127E">
        <w:t xml:space="preserve"> The cost of establishing the VVLN was less than $2 million with an additional $10,000 to each of the local schools. There also seem to be cost benefits of Big Picture schools. This is despite low average student group size (18). Savings may accrue because less executive level support is needed. The extent of savings is being researched by Mike Saxon, Principal of Liverpool Boys High School in Sydney.</w:t>
      </w:r>
    </w:p>
  </w:footnote>
  <w:footnote w:id="181">
    <w:p w14:paraId="0D8867EF" w14:textId="55940902" w:rsidR="00B357A9" w:rsidRDefault="00B357A9" w:rsidP="00476900">
      <w:pPr>
        <w:pStyle w:val="FootnoteText"/>
      </w:pPr>
      <w:r>
        <w:rPr>
          <w:rStyle w:val="FootnoteReference"/>
        </w:rPr>
        <w:footnoteRef/>
      </w:r>
      <w:r>
        <w:t xml:space="preserve"> </w:t>
      </w:r>
      <w:r w:rsidRPr="00767336">
        <w:t>T</w:t>
      </w:r>
      <w:r w:rsidR="00825EBE">
        <w:t>.</w:t>
      </w:r>
      <w:r w:rsidRPr="00767336">
        <w:t xml:space="preserve"> Greany &amp; R</w:t>
      </w:r>
      <w:r w:rsidR="00825EBE">
        <w:t>.</w:t>
      </w:r>
      <w:r w:rsidRPr="00767336">
        <w:t xml:space="preserve"> McGinity (2021) </w:t>
      </w:r>
      <w:r w:rsidR="000414D4">
        <w:t>‘</w:t>
      </w:r>
      <w:hyperlink r:id="rId153" w:history="1">
        <w:r w:rsidRPr="000414D4">
          <w:rPr>
            <w:rStyle w:val="Hyperlink"/>
          </w:rPr>
          <w:t>Structural integration and knowledge exchange in multi-academy trusts: comparing approaches with evidence and theory from non-educational sectors</w:t>
        </w:r>
      </w:hyperlink>
      <w:r w:rsidR="00825EBE">
        <w:t>’</w:t>
      </w:r>
      <w:r w:rsidRPr="00767336">
        <w:t xml:space="preserve">, </w:t>
      </w:r>
      <w:r w:rsidRPr="00F81BDB">
        <w:rPr>
          <w:i/>
        </w:rPr>
        <w:t>School Leadership &amp; Management</w:t>
      </w:r>
      <w:r w:rsidRPr="00767336">
        <w:t xml:space="preserve">, </w:t>
      </w:r>
      <w:r w:rsidR="000414D4">
        <w:t xml:space="preserve">Vol. </w:t>
      </w:r>
      <w:r w:rsidRPr="00767336">
        <w:t>41</w:t>
      </w:r>
      <w:r w:rsidR="000414D4">
        <w:t xml:space="preserve">, Iss. </w:t>
      </w:r>
      <w:r w:rsidRPr="00767336">
        <w:t xml:space="preserve">4-5, </w:t>
      </w:r>
      <w:r w:rsidR="008829E2">
        <w:t>pp.</w:t>
      </w:r>
      <w:r w:rsidRPr="00767336">
        <w:t xml:space="preserve"> 311-333</w:t>
      </w:r>
      <w:r w:rsidR="00555432">
        <w:t>.</w:t>
      </w:r>
    </w:p>
  </w:footnote>
  <w:footnote w:id="182">
    <w:p w14:paraId="3BDDA4A7" w14:textId="1E2E6A6E" w:rsidR="00767336" w:rsidRDefault="00767336">
      <w:pPr>
        <w:pStyle w:val="FootnoteText"/>
      </w:pPr>
      <w:r>
        <w:rPr>
          <w:rStyle w:val="FootnoteReference"/>
        </w:rPr>
        <w:footnoteRef/>
      </w:r>
      <w:r>
        <w:t xml:space="preserve"> </w:t>
      </w:r>
      <w:r w:rsidRPr="00767336">
        <w:t xml:space="preserve">UK Government (2022), </w:t>
      </w:r>
      <w:hyperlink r:id="rId154" w:history="1">
        <w:r w:rsidRPr="00C152C6">
          <w:rPr>
            <w:rStyle w:val="Hyperlink"/>
          </w:rPr>
          <w:t>‘</w:t>
        </w:r>
        <w:r w:rsidRPr="0042610A">
          <w:rPr>
            <w:rStyle w:val="Hyperlink"/>
          </w:rPr>
          <w:t xml:space="preserve">Opportunity for all: strong schools with great teachers for your </w:t>
        </w:r>
        <w:r w:rsidR="008829E2" w:rsidRPr="0042610A">
          <w:rPr>
            <w:rStyle w:val="Hyperlink"/>
          </w:rPr>
          <w:t>child’</w:t>
        </w:r>
      </w:hyperlink>
      <w:r w:rsidR="00555432">
        <w:t>.</w:t>
      </w:r>
    </w:p>
  </w:footnote>
  <w:footnote w:id="183">
    <w:p w14:paraId="5F7C4BBA" w14:textId="75B5C4D7" w:rsidR="00767336" w:rsidRDefault="00767336">
      <w:pPr>
        <w:pStyle w:val="FootnoteText"/>
      </w:pPr>
      <w:r>
        <w:rPr>
          <w:rStyle w:val="FootnoteReference"/>
        </w:rPr>
        <w:footnoteRef/>
      </w:r>
      <w:r w:rsidRPr="00767336">
        <w:t xml:space="preserve"> T. Greany, </w:t>
      </w:r>
      <w:r w:rsidR="00100E2F">
        <w:t>‘</w:t>
      </w:r>
      <w:hyperlink r:id="rId155" w:history="1">
        <w:r w:rsidRPr="00F81BDB">
          <w:rPr>
            <w:rStyle w:val="Hyperlink"/>
          </w:rPr>
          <w:t>Sustainable improvement in multi-school groups</w:t>
        </w:r>
      </w:hyperlink>
      <w:r w:rsidR="00100E2F">
        <w:rPr>
          <w:rStyle w:val="Hyperlink"/>
        </w:rPr>
        <w:t>’</w:t>
      </w:r>
      <w:r w:rsidR="007777A4" w:rsidRPr="001B407E">
        <w:rPr>
          <w:i/>
          <w:iCs/>
        </w:rPr>
        <w:t>,</w:t>
      </w:r>
      <w:r w:rsidRPr="00767336">
        <w:t xml:space="preserve"> </w:t>
      </w:r>
      <w:r w:rsidR="001B407E">
        <w:t xml:space="preserve">Nottingham, UCL Institute of Education, University of Nottingham and </w:t>
      </w:r>
      <w:r w:rsidRPr="00767336">
        <w:t xml:space="preserve">Department for Education, </w:t>
      </w:r>
      <w:r w:rsidR="007777A4" w:rsidRPr="00767336">
        <w:t>p</w:t>
      </w:r>
      <w:r w:rsidR="00100E2F">
        <w:t>p</w:t>
      </w:r>
      <w:r w:rsidRPr="00767336">
        <w:t>.111</w:t>
      </w:r>
      <w:r w:rsidR="00555432">
        <w:t>.</w:t>
      </w:r>
    </w:p>
  </w:footnote>
  <w:footnote w:id="184">
    <w:p w14:paraId="3E71F7CF" w14:textId="594D65DD" w:rsidR="00AC3EE2" w:rsidRPr="00B53DC3" w:rsidRDefault="00AC3EE2">
      <w:pPr>
        <w:pStyle w:val="FootnoteText"/>
        <w:rPr>
          <w:rFonts w:asciiTheme="minorHAnsi" w:hAnsiTheme="minorHAnsi" w:cstheme="minorHAnsi"/>
          <w:szCs w:val="15"/>
        </w:rPr>
      </w:pPr>
      <w:r>
        <w:rPr>
          <w:rStyle w:val="FootnoteReference"/>
        </w:rPr>
        <w:footnoteRef/>
      </w:r>
      <w:r>
        <w:t xml:space="preserve"> </w:t>
      </w:r>
      <w:r w:rsidRPr="00AC3EE2">
        <w:t xml:space="preserve">J. </w:t>
      </w:r>
      <w:r w:rsidRPr="00B53DC3">
        <w:rPr>
          <w:rFonts w:asciiTheme="minorHAnsi" w:hAnsiTheme="minorHAnsi" w:cstheme="minorHAnsi"/>
          <w:szCs w:val="15"/>
        </w:rPr>
        <w:t xml:space="preserve">Coles (2023) </w:t>
      </w:r>
      <w:r w:rsidR="001E7070">
        <w:rPr>
          <w:rFonts w:asciiTheme="minorHAnsi" w:hAnsiTheme="minorHAnsi" w:cstheme="minorHAnsi"/>
          <w:szCs w:val="15"/>
        </w:rPr>
        <w:t>‘</w:t>
      </w:r>
      <w:hyperlink r:id="rId156" w:history="1">
        <w:r w:rsidRPr="00B53DC3">
          <w:rPr>
            <w:rStyle w:val="Hyperlink"/>
            <w:rFonts w:asciiTheme="minorHAnsi" w:hAnsiTheme="minorHAnsi" w:cstheme="minorHAnsi"/>
            <w:szCs w:val="15"/>
          </w:rPr>
          <w:t>Welcome to United Learning</w:t>
        </w:r>
      </w:hyperlink>
      <w:r w:rsidR="001E7070">
        <w:rPr>
          <w:rFonts w:asciiTheme="minorHAnsi" w:hAnsiTheme="minorHAnsi" w:cstheme="minorHAnsi"/>
          <w:szCs w:val="15"/>
        </w:rPr>
        <w:t>’</w:t>
      </w:r>
      <w:r w:rsidR="00555432">
        <w:rPr>
          <w:rFonts w:asciiTheme="minorHAnsi" w:hAnsiTheme="minorHAnsi" w:cstheme="minorHAnsi"/>
          <w:szCs w:val="15"/>
        </w:rPr>
        <w:t>.</w:t>
      </w:r>
      <w:r w:rsidRPr="00B53DC3">
        <w:rPr>
          <w:rFonts w:asciiTheme="minorHAnsi" w:hAnsiTheme="minorHAnsi" w:cstheme="minorHAnsi"/>
          <w:szCs w:val="15"/>
        </w:rPr>
        <w:t xml:space="preserve"> </w:t>
      </w:r>
    </w:p>
  </w:footnote>
  <w:footnote w:id="185">
    <w:p w14:paraId="353CA6DA" w14:textId="0949AF92" w:rsidR="00AC3EE2" w:rsidRPr="00B53DC3" w:rsidRDefault="00AC3EE2">
      <w:pPr>
        <w:pStyle w:val="FootnoteText"/>
        <w:rPr>
          <w:rFonts w:asciiTheme="minorHAnsi" w:hAnsiTheme="minorHAnsi" w:cstheme="minorHAnsi"/>
          <w:szCs w:val="15"/>
        </w:rPr>
      </w:pPr>
      <w:r w:rsidRPr="00B53DC3">
        <w:rPr>
          <w:rStyle w:val="FootnoteReference"/>
          <w:rFonts w:asciiTheme="minorHAnsi" w:hAnsiTheme="minorHAnsi" w:cstheme="minorHAnsi"/>
          <w:szCs w:val="15"/>
        </w:rPr>
        <w:footnoteRef/>
      </w:r>
      <w:r w:rsidRPr="00B53DC3">
        <w:rPr>
          <w:rFonts w:asciiTheme="minorHAnsi" w:hAnsiTheme="minorHAnsi" w:cstheme="minorHAnsi"/>
          <w:szCs w:val="15"/>
        </w:rPr>
        <w:t xml:space="preserve"> B. Jensen &amp; J. Farmer (2013) </w:t>
      </w:r>
      <w:r w:rsidR="001E7070">
        <w:rPr>
          <w:rFonts w:asciiTheme="minorHAnsi" w:hAnsiTheme="minorHAnsi" w:cstheme="minorHAnsi"/>
          <w:szCs w:val="15"/>
        </w:rPr>
        <w:t>‘</w:t>
      </w:r>
      <w:hyperlink r:id="rId157" w:history="1">
        <w:r w:rsidRPr="00F81BDB">
          <w:rPr>
            <w:rStyle w:val="Hyperlink"/>
            <w:rFonts w:asciiTheme="minorHAnsi" w:hAnsiTheme="minorHAnsi" w:cstheme="minorHAnsi"/>
            <w:szCs w:val="15"/>
          </w:rPr>
          <w:t>School Turnaround in Shanghai: The Empowered-Management Program Approach to Improving School Performance</w:t>
        </w:r>
      </w:hyperlink>
      <w:r w:rsidR="001E7070">
        <w:rPr>
          <w:rStyle w:val="Hyperlink"/>
          <w:rFonts w:asciiTheme="minorHAnsi" w:hAnsiTheme="minorHAnsi" w:cstheme="minorHAnsi"/>
          <w:szCs w:val="15"/>
        </w:rPr>
        <w:t>’</w:t>
      </w:r>
      <w:r w:rsidR="007777A4" w:rsidRPr="00B53DC3">
        <w:rPr>
          <w:rFonts w:asciiTheme="minorHAnsi" w:hAnsiTheme="minorHAnsi" w:cstheme="minorHAnsi"/>
          <w:szCs w:val="15"/>
        </w:rPr>
        <w:t>,</w:t>
      </w:r>
      <w:r w:rsidRPr="00B53DC3">
        <w:rPr>
          <w:rFonts w:asciiTheme="minorHAnsi" w:hAnsiTheme="minorHAnsi" w:cstheme="minorHAnsi"/>
          <w:szCs w:val="15"/>
        </w:rPr>
        <w:t xml:space="preserve"> Center for American Progress</w:t>
      </w:r>
      <w:r w:rsidR="00753A59" w:rsidRPr="00B53DC3">
        <w:rPr>
          <w:rFonts w:asciiTheme="minorHAnsi" w:hAnsiTheme="minorHAnsi" w:cstheme="minorHAnsi"/>
          <w:szCs w:val="15"/>
        </w:rPr>
        <w:t>,</w:t>
      </w:r>
      <w:r w:rsidRPr="00B53DC3">
        <w:rPr>
          <w:rFonts w:asciiTheme="minorHAnsi" w:hAnsiTheme="minorHAnsi" w:cstheme="minorHAnsi"/>
          <w:szCs w:val="15"/>
        </w:rPr>
        <w:t xml:space="preserve"> </w:t>
      </w:r>
      <w:r w:rsidR="007777A4" w:rsidRPr="00B53DC3">
        <w:rPr>
          <w:rFonts w:asciiTheme="minorHAnsi" w:hAnsiTheme="minorHAnsi" w:cstheme="minorHAnsi"/>
          <w:szCs w:val="15"/>
        </w:rPr>
        <w:t>p</w:t>
      </w:r>
      <w:r w:rsidR="001E7070">
        <w:rPr>
          <w:rFonts w:asciiTheme="minorHAnsi" w:hAnsiTheme="minorHAnsi" w:cstheme="minorHAnsi"/>
          <w:szCs w:val="15"/>
        </w:rPr>
        <w:t>p</w:t>
      </w:r>
      <w:r w:rsidRPr="00B53DC3">
        <w:rPr>
          <w:rFonts w:asciiTheme="minorHAnsi" w:hAnsiTheme="minorHAnsi" w:cstheme="minorHAnsi"/>
          <w:szCs w:val="15"/>
        </w:rPr>
        <w:t>.31</w:t>
      </w:r>
      <w:r w:rsidR="00555432">
        <w:rPr>
          <w:rFonts w:asciiTheme="minorHAnsi" w:hAnsiTheme="minorHAnsi" w:cstheme="minorHAnsi"/>
          <w:szCs w:val="15"/>
        </w:rPr>
        <w:t>.</w:t>
      </w:r>
    </w:p>
  </w:footnote>
  <w:footnote w:id="186">
    <w:p w14:paraId="72D9CD30" w14:textId="4A2893CB" w:rsidR="00AC3EE2" w:rsidRPr="00B53DC3" w:rsidRDefault="00AC3EE2">
      <w:pPr>
        <w:pStyle w:val="FootnoteText"/>
        <w:rPr>
          <w:rFonts w:asciiTheme="minorHAnsi" w:hAnsiTheme="minorHAnsi" w:cstheme="minorHAnsi"/>
          <w:szCs w:val="15"/>
        </w:rPr>
      </w:pPr>
      <w:r w:rsidRPr="00B53DC3">
        <w:rPr>
          <w:rStyle w:val="FootnoteReference"/>
          <w:rFonts w:asciiTheme="minorHAnsi" w:hAnsiTheme="minorHAnsi" w:cstheme="minorHAnsi"/>
          <w:szCs w:val="15"/>
        </w:rPr>
        <w:footnoteRef/>
      </w:r>
      <w:r w:rsidRPr="00B53DC3">
        <w:rPr>
          <w:rFonts w:asciiTheme="minorHAnsi" w:hAnsiTheme="minorHAnsi" w:cstheme="minorHAnsi"/>
          <w:szCs w:val="15"/>
        </w:rPr>
        <w:t xml:space="preserve"> M. Tucker (2014)</w:t>
      </w:r>
      <w:r w:rsidRPr="00B53DC3">
        <w:rPr>
          <w:rFonts w:asciiTheme="minorHAnsi" w:hAnsiTheme="minorHAnsi" w:cstheme="minorHAnsi"/>
          <w:i/>
          <w:szCs w:val="15"/>
        </w:rPr>
        <w:t xml:space="preserve"> </w:t>
      </w:r>
      <w:r w:rsidRPr="00F81BDB">
        <w:rPr>
          <w:rFonts w:asciiTheme="minorHAnsi" w:hAnsiTheme="minorHAnsi" w:cstheme="minorHAnsi"/>
          <w:szCs w:val="15"/>
        </w:rPr>
        <w:t>‘</w:t>
      </w:r>
      <w:hyperlink r:id="rId158" w:history="1">
        <w:r w:rsidRPr="00F81BDB">
          <w:rPr>
            <w:rStyle w:val="Hyperlink"/>
            <w:rFonts w:asciiTheme="minorHAnsi" w:hAnsiTheme="minorHAnsi" w:cstheme="minorHAnsi"/>
            <w:szCs w:val="15"/>
          </w:rPr>
          <w:t>Chinese Lessons: Shanghai's Rise to the Top of the PISA League Tables</w:t>
        </w:r>
      </w:hyperlink>
      <w:r w:rsidR="001E7070">
        <w:rPr>
          <w:rFonts w:asciiTheme="minorHAnsi" w:hAnsiTheme="minorHAnsi" w:cstheme="minorHAnsi"/>
          <w:i/>
          <w:szCs w:val="15"/>
        </w:rPr>
        <w:t>’</w:t>
      </w:r>
      <w:r w:rsidR="007777A4" w:rsidRPr="00B53DC3">
        <w:rPr>
          <w:rFonts w:asciiTheme="minorHAnsi" w:hAnsiTheme="minorHAnsi" w:cstheme="minorHAnsi"/>
          <w:i/>
          <w:szCs w:val="15"/>
        </w:rPr>
        <w:t>,</w:t>
      </w:r>
      <w:r w:rsidRPr="00B53DC3">
        <w:rPr>
          <w:rFonts w:asciiTheme="minorHAnsi" w:hAnsiTheme="minorHAnsi" w:cstheme="minorHAnsi"/>
          <w:szCs w:val="15"/>
        </w:rPr>
        <w:t xml:space="preserve"> National Center on Education and the Economy</w:t>
      </w:r>
      <w:r w:rsidR="00753A59" w:rsidRPr="00B53DC3">
        <w:rPr>
          <w:rFonts w:asciiTheme="minorHAnsi" w:hAnsiTheme="minorHAnsi" w:cstheme="minorHAnsi"/>
          <w:szCs w:val="15"/>
        </w:rPr>
        <w:t>,</w:t>
      </w:r>
      <w:r w:rsidRPr="00B53DC3">
        <w:rPr>
          <w:rFonts w:asciiTheme="minorHAnsi" w:hAnsiTheme="minorHAnsi" w:cstheme="minorHAnsi"/>
          <w:szCs w:val="15"/>
        </w:rPr>
        <w:t xml:space="preserve"> </w:t>
      </w:r>
      <w:r w:rsidR="001E7070">
        <w:rPr>
          <w:rFonts w:asciiTheme="minorHAnsi" w:hAnsiTheme="minorHAnsi" w:cstheme="minorHAnsi"/>
          <w:szCs w:val="15"/>
        </w:rPr>
        <w:t xml:space="preserve">pp. </w:t>
      </w:r>
      <w:r w:rsidRPr="00B53DC3">
        <w:rPr>
          <w:rFonts w:asciiTheme="minorHAnsi" w:hAnsiTheme="minorHAnsi" w:cstheme="minorHAnsi"/>
          <w:szCs w:val="15"/>
        </w:rPr>
        <w:t>10</w:t>
      </w:r>
      <w:r w:rsidR="001E7070">
        <w:rPr>
          <w:rFonts w:asciiTheme="minorHAnsi" w:hAnsiTheme="minorHAnsi" w:cstheme="minorHAnsi"/>
          <w:szCs w:val="15"/>
        </w:rPr>
        <w:t>.</w:t>
      </w:r>
    </w:p>
  </w:footnote>
  <w:footnote w:id="187">
    <w:p w14:paraId="1D08CF5C" w14:textId="6AE1372C" w:rsidR="00E5619D" w:rsidRPr="00B53DC3" w:rsidRDefault="00E5619D">
      <w:pPr>
        <w:pStyle w:val="FootnoteText"/>
        <w:rPr>
          <w:rFonts w:asciiTheme="minorHAnsi" w:hAnsiTheme="minorHAnsi" w:cstheme="minorHAnsi"/>
          <w:i/>
          <w:szCs w:val="15"/>
        </w:rPr>
      </w:pPr>
      <w:r w:rsidRPr="00B53DC3">
        <w:rPr>
          <w:rStyle w:val="FootnoteReference"/>
          <w:rFonts w:asciiTheme="minorHAnsi" w:hAnsiTheme="minorHAnsi" w:cstheme="minorHAnsi"/>
          <w:szCs w:val="15"/>
        </w:rPr>
        <w:footnoteRef/>
      </w:r>
      <w:r w:rsidRPr="00B53DC3">
        <w:rPr>
          <w:rFonts w:asciiTheme="minorHAnsi" w:hAnsiTheme="minorHAnsi" w:cstheme="minorHAnsi"/>
          <w:szCs w:val="15"/>
        </w:rPr>
        <w:t xml:space="preserve"> </w:t>
      </w:r>
      <w:r w:rsidR="00FC06C7" w:rsidRPr="00B53DC3">
        <w:rPr>
          <w:rFonts w:asciiTheme="minorHAnsi" w:hAnsiTheme="minorHAnsi" w:cstheme="minorHAnsi"/>
          <w:szCs w:val="15"/>
        </w:rPr>
        <w:t>Y. Lui et al. (2020) ‘</w:t>
      </w:r>
      <w:hyperlink r:id="rId159" w:history="1">
        <w:r w:rsidR="00FC06C7" w:rsidRPr="00B53DC3">
          <w:rPr>
            <w:rStyle w:val="Hyperlink"/>
            <w:rFonts w:asciiTheme="minorHAnsi" w:hAnsiTheme="minorHAnsi" w:cstheme="minorHAnsi"/>
            <w:szCs w:val="15"/>
          </w:rPr>
          <w:t>School autonomy and educational inclusion of children with special needs: Evidence from England</w:t>
        </w:r>
      </w:hyperlink>
      <w:r w:rsidR="00FC06C7" w:rsidRPr="00B53DC3">
        <w:rPr>
          <w:rFonts w:asciiTheme="minorHAnsi" w:hAnsiTheme="minorHAnsi" w:cstheme="minorHAnsi"/>
          <w:szCs w:val="15"/>
        </w:rPr>
        <w:t xml:space="preserve">,’ </w:t>
      </w:r>
      <w:r w:rsidR="001D341F" w:rsidRPr="00B53DC3">
        <w:rPr>
          <w:rFonts w:asciiTheme="minorHAnsi" w:hAnsiTheme="minorHAnsi" w:cstheme="minorHAnsi"/>
          <w:i/>
          <w:iCs/>
          <w:szCs w:val="15"/>
        </w:rPr>
        <w:t xml:space="preserve">British Educational Research Paper, </w:t>
      </w:r>
      <w:r w:rsidR="00AC6494" w:rsidRPr="00B53DC3">
        <w:rPr>
          <w:rFonts w:asciiTheme="minorHAnsi" w:hAnsiTheme="minorHAnsi" w:cstheme="minorHAnsi"/>
          <w:szCs w:val="15"/>
        </w:rPr>
        <w:t>Vol</w:t>
      </w:r>
      <w:r w:rsidR="00485C1B" w:rsidRPr="00B53DC3">
        <w:rPr>
          <w:rFonts w:asciiTheme="minorHAnsi" w:hAnsiTheme="minorHAnsi" w:cstheme="minorHAnsi"/>
          <w:szCs w:val="15"/>
        </w:rPr>
        <w:t>.</w:t>
      </w:r>
      <w:r w:rsidR="001E7070">
        <w:rPr>
          <w:rFonts w:asciiTheme="minorHAnsi" w:hAnsiTheme="minorHAnsi" w:cstheme="minorHAnsi"/>
          <w:szCs w:val="15"/>
        </w:rPr>
        <w:t xml:space="preserve"> </w:t>
      </w:r>
      <w:r w:rsidR="00AC6494" w:rsidRPr="00B53DC3">
        <w:rPr>
          <w:rFonts w:asciiTheme="minorHAnsi" w:hAnsiTheme="minorHAnsi" w:cstheme="minorHAnsi"/>
          <w:szCs w:val="15"/>
        </w:rPr>
        <w:t>46, Iss</w:t>
      </w:r>
      <w:r w:rsidR="00485C1B" w:rsidRPr="00B53DC3">
        <w:rPr>
          <w:rFonts w:asciiTheme="minorHAnsi" w:hAnsiTheme="minorHAnsi" w:cstheme="minorHAnsi"/>
          <w:szCs w:val="15"/>
        </w:rPr>
        <w:t>.</w:t>
      </w:r>
      <w:r w:rsidR="001E7070">
        <w:rPr>
          <w:rFonts w:asciiTheme="minorHAnsi" w:hAnsiTheme="minorHAnsi" w:cstheme="minorHAnsi"/>
          <w:szCs w:val="15"/>
        </w:rPr>
        <w:t xml:space="preserve"> </w:t>
      </w:r>
      <w:r w:rsidR="00AC6494" w:rsidRPr="00B53DC3">
        <w:rPr>
          <w:rFonts w:asciiTheme="minorHAnsi" w:hAnsiTheme="minorHAnsi" w:cstheme="minorHAnsi"/>
          <w:szCs w:val="15"/>
        </w:rPr>
        <w:t>3,</w:t>
      </w:r>
      <w:r w:rsidR="006F6F64" w:rsidRPr="00B53DC3">
        <w:rPr>
          <w:rFonts w:asciiTheme="minorHAnsi" w:hAnsiTheme="minorHAnsi" w:cstheme="minorHAnsi"/>
          <w:szCs w:val="15"/>
        </w:rPr>
        <w:t xml:space="preserve"> </w:t>
      </w:r>
      <w:r w:rsidR="00485C1B" w:rsidRPr="00B53DC3">
        <w:rPr>
          <w:rFonts w:asciiTheme="minorHAnsi" w:hAnsiTheme="minorHAnsi" w:cstheme="minorHAnsi"/>
          <w:szCs w:val="15"/>
        </w:rPr>
        <w:t>pp.</w:t>
      </w:r>
      <w:r w:rsidR="006F6F64" w:rsidRPr="00B53DC3">
        <w:rPr>
          <w:rFonts w:asciiTheme="minorHAnsi" w:hAnsiTheme="minorHAnsi" w:cstheme="minorHAnsi"/>
          <w:szCs w:val="15"/>
        </w:rPr>
        <w:t>532-552</w:t>
      </w:r>
      <w:r w:rsidR="00555432">
        <w:rPr>
          <w:rFonts w:asciiTheme="minorHAnsi" w:hAnsiTheme="minorHAnsi" w:cstheme="minorHAnsi"/>
          <w:szCs w:val="15"/>
        </w:rPr>
        <w:t>.</w:t>
      </w:r>
    </w:p>
  </w:footnote>
  <w:footnote w:id="188">
    <w:p w14:paraId="6D5F27F6" w14:textId="6682B7E4" w:rsidR="00502266" w:rsidRPr="00B53DC3" w:rsidRDefault="00502266">
      <w:pPr>
        <w:pStyle w:val="FootnoteText"/>
        <w:rPr>
          <w:rFonts w:asciiTheme="minorHAnsi" w:hAnsiTheme="minorHAnsi" w:cstheme="minorHAnsi"/>
          <w:szCs w:val="15"/>
        </w:rPr>
      </w:pPr>
      <w:r w:rsidRPr="00B53DC3">
        <w:rPr>
          <w:rStyle w:val="FootnoteReference"/>
          <w:rFonts w:asciiTheme="minorHAnsi" w:hAnsiTheme="minorHAnsi" w:cstheme="minorHAnsi"/>
          <w:szCs w:val="15"/>
        </w:rPr>
        <w:footnoteRef/>
      </w:r>
      <w:r w:rsidRPr="00B53DC3">
        <w:rPr>
          <w:rFonts w:asciiTheme="minorHAnsi" w:hAnsiTheme="minorHAnsi" w:cstheme="minorHAnsi"/>
          <w:szCs w:val="15"/>
        </w:rPr>
        <w:t xml:space="preserve"> </w:t>
      </w:r>
      <w:r w:rsidR="007B1C2C" w:rsidRPr="00B53DC3">
        <w:rPr>
          <w:rFonts w:asciiTheme="minorHAnsi" w:hAnsiTheme="minorHAnsi" w:cstheme="minorHAnsi"/>
          <w:szCs w:val="15"/>
        </w:rPr>
        <w:t>A. Black et al. (2019) ‘</w:t>
      </w:r>
      <w:hyperlink r:id="rId160" w:history="1">
        <w:r w:rsidR="007B1C2C" w:rsidRPr="00B53DC3">
          <w:rPr>
            <w:rStyle w:val="Hyperlink"/>
            <w:rFonts w:asciiTheme="minorHAnsi" w:hAnsiTheme="minorHAnsi" w:cstheme="minorHAnsi"/>
            <w:szCs w:val="15"/>
          </w:rPr>
          <w:t>Academisation of Schools in England and Placements of Pupils With Special Educational Needs: An Analysis of Trends, 2011–2017</w:t>
        </w:r>
      </w:hyperlink>
      <w:r w:rsidR="0041570B" w:rsidRPr="00B53DC3">
        <w:rPr>
          <w:rFonts w:asciiTheme="minorHAnsi" w:hAnsiTheme="minorHAnsi" w:cstheme="minorHAnsi"/>
          <w:szCs w:val="15"/>
        </w:rPr>
        <w:t>,</w:t>
      </w:r>
      <w:r w:rsidR="007B1C2C" w:rsidRPr="00B53DC3">
        <w:rPr>
          <w:rFonts w:asciiTheme="minorHAnsi" w:hAnsiTheme="minorHAnsi" w:cstheme="minorHAnsi"/>
          <w:szCs w:val="15"/>
        </w:rPr>
        <w:t>’</w:t>
      </w:r>
      <w:r w:rsidR="00660FA5" w:rsidRPr="00B53DC3">
        <w:rPr>
          <w:rFonts w:asciiTheme="minorHAnsi" w:hAnsiTheme="minorHAnsi" w:cstheme="minorHAnsi"/>
          <w:szCs w:val="15"/>
        </w:rPr>
        <w:t xml:space="preserve"> </w:t>
      </w:r>
      <w:r w:rsidR="00660FA5" w:rsidRPr="00B53DC3">
        <w:rPr>
          <w:rFonts w:asciiTheme="minorHAnsi" w:hAnsiTheme="minorHAnsi" w:cstheme="minorHAnsi"/>
          <w:i/>
          <w:szCs w:val="15"/>
        </w:rPr>
        <w:t xml:space="preserve">Sec. Special Educational Needs, </w:t>
      </w:r>
      <w:r w:rsidR="00660FA5" w:rsidRPr="00B53DC3">
        <w:rPr>
          <w:rFonts w:asciiTheme="minorHAnsi" w:hAnsiTheme="minorHAnsi" w:cstheme="minorHAnsi"/>
          <w:szCs w:val="15"/>
        </w:rPr>
        <w:t>Vol</w:t>
      </w:r>
      <w:r w:rsidR="009276A9" w:rsidRPr="00B53DC3">
        <w:rPr>
          <w:rFonts w:asciiTheme="minorHAnsi" w:hAnsiTheme="minorHAnsi" w:cstheme="minorHAnsi"/>
          <w:szCs w:val="15"/>
        </w:rPr>
        <w:t>.</w:t>
      </w:r>
      <w:r w:rsidR="00660FA5" w:rsidRPr="00B53DC3">
        <w:rPr>
          <w:rFonts w:asciiTheme="minorHAnsi" w:hAnsiTheme="minorHAnsi" w:cstheme="minorHAnsi"/>
          <w:szCs w:val="15"/>
        </w:rPr>
        <w:t xml:space="preserve"> </w:t>
      </w:r>
      <w:r w:rsidR="0032712F" w:rsidRPr="00B53DC3">
        <w:rPr>
          <w:rFonts w:asciiTheme="minorHAnsi" w:hAnsiTheme="minorHAnsi" w:cstheme="minorHAnsi"/>
          <w:szCs w:val="15"/>
        </w:rPr>
        <w:t>4</w:t>
      </w:r>
      <w:r w:rsidR="001E7070">
        <w:rPr>
          <w:rFonts w:asciiTheme="minorHAnsi" w:hAnsiTheme="minorHAnsi" w:cstheme="minorHAnsi"/>
          <w:szCs w:val="15"/>
        </w:rPr>
        <w:t>.</w:t>
      </w:r>
    </w:p>
  </w:footnote>
  <w:footnote w:id="189">
    <w:p w14:paraId="3C91F58F" w14:textId="5D0E8998" w:rsidR="001238A9" w:rsidRPr="00B53DC3" w:rsidRDefault="001238A9" w:rsidP="001238A9">
      <w:pPr>
        <w:pStyle w:val="FootnoteText"/>
        <w:rPr>
          <w:rFonts w:asciiTheme="minorHAnsi" w:hAnsiTheme="minorHAnsi" w:cstheme="minorHAnsi"/>
          <w:szCs w:val="15"/>
        </w:rPr>
      </w:pPr>
      <w:r w:rsidRPr="00B53DC3">
        <w:rPr>
          <w:rStyle w:val="FootnoteReference"/>
          <w:rFonts w:asciiTheme="minorHAnsi" w:hAnsiTheme="minorHAnsi" w:cstheme="minorHAnsi"/>
          <w:szCs w:val="15"/>
        </w:rPr>
        <w:footnoteRef/>
      </w:r>
      <w:r w:rsidRPr="00B53DC3">
        <w:rPr>
          <w:rFonts w:asciiTheme="minorHAnsi" w:hAnsiTheme="minorHAnsi" w:cstheme="minorHAnsi"/>
          <w:szCs w:val="15"/>
        </w:rPr>
        <w:t xml:space="preserve"> </w:t>
      </w:r>
      <w:r w:rsidR="00AB4602" w:rsidRPr="00B53DC3">
        <w:rPr>
          <w:rFonts w:asciiTheme="minorHAnsi" w:hAnsiTheme="minorHAnsi" w:cstheme="minorHAnsi"/>
          <w:szCs w:val="15"/>
        </w:rPr>
        <w:t>D. Lane et al. (2022) ‘</w:t>
      </w:r>
      <w:hyperlink r:id="rId161" w:history="1">
        <w:r w:rsidR="00AB4602" w:rsidRPr="00B53DC3">
          <w:rPr>
            <w:rStyle w:val="Hyperlink"/>
            <w:rFonts w:asciiTheme="minorHAnsi" w:hAnsiTheme="minorHAnsi" w:cstheme="minorHAnsi"/>
            <w:szCs w:val="15"/>
          </w:rPr>
          <w:t>Inclusion in a multi-academy trust: possibilities and perils,</w:t>
        </w:r>
      </w:hyperlink>
      <w:r w:rsidR="00AB4602" w:rsidRPr="00B53DC3">
        <w:rPr>
          <w:rFonts w:asciiTheme="minorHAnsi" w:hAnsiTheme="minorHAnsi" w:cstheme="minorHAnsi"/>
          <w:szCs w:val="15"/>
        </w:rPr>
        <w:t xml:space="preserve">’ </w:t>
      </w:r>
      <w:r w:rsidR="00AB4602" w:rsidRPr="00B53DC3">
        <w:rPr>
          <w:rFonts w:asciiTheme="minorHAnsi" w:hAnsiTheme="minorHAnsi" w:cstheme="minorHAnsi"/>
          <w:i/>
          <w:szCs w:val="15"/>
        </w:rPr>
        <w:t>British Journal of Special Education</w:t>
      </w:r>
      <w:r w:rsidR="00AB4602" w:rsidRPr="00B53DC3">
        <w:rPr>
          <w:rFonts w:asciiTheme="minorHAnsi" w:hAnsiTheme="minorHAnsi" w:cstheme="minorHAnsi"/>
          <w:szCs w:val="15"/>
        </w:rPr>
        <w:t>, Vol 49, Iss</w:t>
      </w:r>
      <w:r w:rsidR="00CB1DA0" w:rsidRPr="00B53DC3">
        <w:rPr>
          <w:rFonts w:asciiTheme="minorHAnsi" w:hAnsiTheme="minorHAnsi" w:cstheme="minorHAnsi"/>
          <w:szCs w:val="15"/>
        </w:rPr>
        <w:t>.</w:t>
      </w:r>
      <w:r w:rsidR="00AB4602" w:rsidRPr="00B53DC3">
        <w:rPr>
          <w:rFonts w:asciiTheme="minorHAnsi" w:hAnsiTheme="minorHAnsi" w:cstheme="minorHAnsi"/>
          <w:szCs w:val="15"/>
        </w:rPr>
        <w:t>1, p</w:t>
      </w:r>
      <w:r w:rsidR="00CB1DA0" w:rsidRPr="00B53DC3">
        <w:rPr>
          <w:rFonts w:asciiTheme="minorHAnsi" w:hAnsiTheme="minorHAnsi" w:cstheme="minorHAnsi"/>
          <w:szCs w:val="15"/>
        </w:rPr>
        <w:t>p.</w:t>
      </w:r>
      <w:r w:rsidR="00AB4602" w:rsidRPr="00B53DC3">
        <w:rPr>
          <w:rFonts w:asciiTheme="minorHAnsi" w:hAnsiTheme="minorHAnsi" w:cstheme="minorHAnsi"/>
          <w:szCs w:val="15"/>
        </w:rPr>
        <w:t xml:space="preserve"> 64-83</w:t>
      </w:r>
      <w:r w:rsidR="00555432">
        <w:rPr>
          <w:rFonts w:asciiTheme="minorHAnsi" w:hAnsiTheme="minorHAnsi" w:cstheme="minorHAnsi"/>
          <w:szCs w:val="15"/>
        </w:rPr>
        <w:t>.</w:t>
      </w:r>
    </w:p>
  </w:footnote>
  <w:footnote w:id="190">
    <w:p w14:paraId="2E3C24F4" w14:textId="11C17ABE" w:rsidR="00A21546" w:rsidRPr="00B53DC3" w:rsidRDefault="00A21546">
      <w:pPr>
        <w:pStyle w:val="FootnoteText"/>
        <w:rPr>
          <w:rFonts w:asciiTheme="minorHAnsi" w:hAnsiTheme="minorHAnsi" w:cstheme="minorHAnsi"/>
          <w:szCs w:val="15"/>
        </w:rPr>
      </w:pPr>
      <w:r w:rsidRPr="00B53DC3">
        <w:rPr>
          <w:rStyle w:val="FootnoteReference"/>
          <w:rFonts w:asciiTheme="minorHAnsi" w:hAnsiTheme="minorHAnsi" w:cstheme="minorHAnsi"/>
          <w:szCs w:val="15"/>
        </w:rPr>
        <w:footnoteRef/>
      </w:r>
      <w:r w:rsidRPr="00B53DC3">
        <w:rPr>
          <w:rFonts w:asciiTheme="minorHAnsi" w:hAnsiTheme="minorHAnsi" w:cstheme="minorHAnsi"/>
          <w:szCs w:val="15"/>
        </w:rPr>
        <w:t xml:space="preserve"> </w:t>
      </w:r>
      <w:r w:rsidR="00CB1DA0" w:rsidRPr="00B53DC3">
        <w:rPr>
          <w:rFonts w:asciiTheme="minorHAnsi" w:hAnsiTheme="minorHAnsi" w:cstheme="minorHAnsi"/>
          <w:szCs w:val="15"/>
        </w:rPr>
        <w:t xml:space="preserve">B. </w:t>
      </w:r>
      <w:r w:rsidRPr="00B53DC3">
        <w:rPr>
          <w:rFonts w:asciiTheme="minorHAnsi" w:hAnsiTheme="minorHAnsi" w:cstheme="minorHAnsi"/>
          <w:szCs w:val="15"/>
        </w:rPr>
        <w:t>Norwich</w:t>
      </w:r>
      <w:r w:rsidR="00BC0EF7" w:rsidRPr="00B53DC3">
        <w:rPr>
          <w:rFonts w:asciiTheme="minorHAnsi" w:hAnsiTheme="minorHAnsi" w:cstheme="minorHAnsi"/>
          <w:szCs w:val="15"/>
        </w:rPr>
        <w:t xml:space="preserve"> </w:t>
      </w:r>
      <w:r w:rsidR="00CB1DA0" w:rsidRPr="00B53DC3">
        <w:rPr>
          <w:rFonts w:asciiTheme="minorHAnsi" w:hAnsiTheme="minorHAnsi" w:cstheme="minorHAnsi"/>
          <w:szCs w:val="15"/>
        </w:rPr>
        <w:t>&amp; A.</w:t>
      </w:r>
      <w:r w:rsidRPr="00B53DC3">
        <w:rPr>
          <w:rFonts w:asciiTheme="minorHAnsi" w:hAnsiTheme="minorHAnsi" w:cstheme="minorHAnsi"/>
          <w:szCs w:val="15"/>
        </w:rPr>
        <w:t xml:space="preserve"> Black (2015</w:t>
      </w:r>
      <w:r w:rsidR="00CB1DA0" w:rsidRPr="00B53DC3">
        <w:rPr>
          <w:rFonts w:asciiTheme="minorHAnsi" w:hAnsiTheme="minorHAnsi" w:cstheme="minorHAnsi"/>
          <w:szCs w:val="15"/>
        </w:rPr>
        <w:t>)</w:t>
      </w:r>
      <w:r w:rsidRPr="00B53DC3">
        <w:rPr>
          <w:rFonts w:asciiTheme="minorHAnsi" w:hAnsiTheme="minorHAnsi" w:cstheme="minorHAnsi"/>
          <w:szCs w:val="15"/>
        </w:rPr>
        <w:t xml:space="preserve"> </w:t>
      </w:r>
      <w:r w:rsidR="00CB1DA0" w:rsidRPr="00B53DC3">
        <w:rPr>
          <w:rFonts w:asciiTheme="minorHAnsi" w:hAnsiTheme="minorHAnsi" w:cstheme="minorHAnsi"/>
          <w:szCs w:val="15"/>
        </w:rPr>
        <w:t>‘</w:t>
      </w:r>
      <w:hyperlink r:id="rId162" w:history="1">
        <w:r w:rsidRPr="00B53DC3">
          <w:rPr>
            <w:rStyle w:val="Hyperlink"/>
            <w:rFonts w:asciiTheme="minorHAnsi" w:hAnsiTheme="minorHAnsi" w:cstheme="minorHAnsi"/>
            <w:szCs w:val="15"/>
          </w:rPr>
          <w:t xml:space="preserve">The placement of secondary school students with statements of special educational needs in the more diversified system of </w:t>
        </w:r>
        <w:r w:rsidR="00CB1DA0" w:rsidRPr="00B53DC3">
          <w:rPr>
            <w:rStyle w:val="Hyperlink"/>
            <w:rFonts w:asciiTheme="minorHAnsi" w:hAnsiTheme="minorHAnsi" w:cstheme="minorHAnsi"/>
            <w:szCs w:val="15"/>
          </w:rPr>
          <w:t>E</w:t>
        </w:r>
        <w:r w:rsidRPr="00B53DC3">
          <w:rPr>
            <w:rStyle w:val="Hyperlink"/>
            <w:rFonts w:asciiTheme="minorHAnsi" w:hAnsiTheme="minorHAnsi" w:cstheme="minorHAnsi"/>
            <w:szCs w:val="15"/>
          </w:rPr>
          <w:t>nglish secondary schooling</w:t>
        </w:r>
      </w:hyperlink>
      <w:r w:rsidR="00CB1DA0" w:rsidRPr="00B53DC3">
        <w:rPr>
          <w:rFonts w:asciiTheme="minorHAnsi" w:hAnsiTheme="minorHAnsi" w:cstheme="minorHAnsi"/>
          <w:szCs w:val="15"/>
        </w:rPr>
        <w:t xml:space="preserve">’, </w:t>
      </w:r>
      <w:r w:rsidR="00CB1DA0" w:rsidRPr="00F81BDB">
        <w:rPr>
          <w:rFonts w:asciiTheme="minorHAnsi" w:hAnsiTheme="minorHAnsi" w:cstheme="minorHAnsi"/>
          <w:i/>
          <w:szCs w:val="15"/>
        </w:rPr>
        <w:t>B</w:t>
      </w:r>
      <w:r w:rsidRPr="00B53DC3">
        <w:rPr>
          <w:rFonts w:asciiTheme="minorHAnsi" w:hAnsiTheme="minorHAnsi" w:cstheme="minorHAnsi"/>
          <w:i/>
          <w:szCs w:val="15"/>
        </w:rPr>
        <w:t>r</w:t>
      </w:r>
      <w:r w:rsidR="00CB1DA0" w:rsidRPr="00B53DC3">
        <w:rPr>
          <w:rFonts w:asciiTheme="minorHAnsi" w:hAnsiTheme="minorHAnsi" w:cstheme="minorHAnsi"/>
          <w:i/>
          <w:szCs w:val="15"/>
        </w:rPr>
        <w:t xml:space="preserve">itish Journal of Special Education, </w:t>
      </w:r>
      <w:r w:rsidR="00CB1DA0" w:rsidRPr="00B53DC3">
        <w:rPr>
          <w:rFonts w:asciiTheme="minorHAnsi" w:hAnsiTheme="minorHAnsi" w:cstheme="minorHAnsi"/>
          <w:szCs w:val="15"/>
        </w:rPr>
        <w:t>Vol.</w:t>
      </w:r>
      <w:r w:rsidR="001E7070">
        <w:rPr>
          <w:rFonts w:asciiTheme="minorHAnsi" w:hAnsiTheme="minorHAnsi" w:cstheme="minorHAnsi"/>
          <w:szCs w:val="15"/>
        </w:rPr>
        <w:t xml:space="preserve"> </w:t>
      </w:r>
      <w:r w:rsidRPr="00B53DC3">
        <w:rPr>
          <w:rFonts w:asciiTheme="minorHAnsi" w:hAnsiTheme="minorHAnsi" w:cstheme="minorHAnsi"/>
          <w:szCs w:val="15"/>
        </w:rPr>
        <w:t xml:space="preserve">42, </w:t>
      </w:r>
      <w:r w:rsidR="00846C56" w:rsidRPr="00B53DC3">
        <w:rPr>
          <w:rFonts w:asciiTheme="minorHAnsi" w:hAnsiTheme="minorHAnsi" w:cstheme="minorHAnsi"/>
          <w:szCs w:val="15"/>
        </w:rPr>
        <w:t>Iss</w:t>
      </w:r>
      <w:r w:rsidR="00C764EE" w:rsidRPr="00B53DC3">
        <w:rPr>
          <w:rFonts w:asciiTheme="minorHAnsi" w:hAnsiTheme="minorHAnsi" w:cstheme="minorHAnsi"/>
          <w:szCs w:val="15"/>
        </w:rPr>
        <w:t>.</w:t>
      </w:r>
      <w:r w:rsidR="001E7070">
        <w:rPr>
          <w:rFonts w:asciiTheme="minorHAnsi" w:hAnsiTheme="minorHAnsi" w:cstheme="minorHAnsi"/>
          <w:szCs w:val="15"/>
        </w:rPr>
        <w:t xml:space="preserve"> </w:t>
      </w:r>
      <w:r w:rsidR="00C764EE" w:rsidRPr="00B53DC3">
        <w:rPr>
          <w:rFonts w:asciiTheme="minorHAnsi" w:hAnsiTheme="minorHAnsi" w:cstheme="minorHAnsi"/>
          <w:szCs w:val="15"/>
        </w:rPr>
        <w:t xml:space="preserve">2. </w:t>
      </w:r>
      <w:r w:rsidRPr="00B53DC3">
        <w:rPr>
          <w:rFonts w:asciiTheme="minorHAnsi" w:hAnsiTheme="minorHAnsi" w:cstheme="minorHAnsi"/>
          <w:szCs w:val="15"/>
        </w:rPr>
        <w:t>p</w:t>
      </w:r>
      <w:r w:rsidR="00C764EE" w:rsidRPr="00B53DC3">
        <w:rPr>
          <w:rFonts w:asciiTheme="minorHAnsi" w:hAnsiTheme="minorHAnsi" w:cstheme="minorHAnsi"/>
          <w:szCs w:val="15"/>
        </w:rPr>
        <w:t>p.</w:t>
      </w:r>
      <w:r w:rsidRPr="00B53DC3">
        <w:rPr>
          <w:rFonts w:asciiTheme="minorHAnsi" w:hAnsiTheme="minorHAnsi" w:cstheme="minorHAnsi"/>
          <w:szCs w:val="15"/>
        </w:rPr>
        <w:t>128–151</w:t>
      </w:r>
      <w:r w:rsidR="00555432">
        <w:rPr>
          <w:rFonts w:asciiTheme="minorHAnsi" w:hAnsiTheme="minorHAnsi" w:cstheme="minorHAnsi"/>
          <w:szCs w:val="15"/>
        </w:rPr>
        <w:t>.</w:t>
      </w:r>
    </w:p>
  </w:footnote>
  <w:footnote w:id="191">
    <w:p w14:paraId="4F6F63A8" w14:textId="4342F71F" w:rsidR="006A401A" w:rsidRPr="00C72560" w:rsidRDefault="006A401A" w:rsidP="006A401A">
      <w:pPr>
        <w:pStyle w:val="FootnoteText"/>
        <w:jc w:val="both"/>
      </w:pPr>
      <w:r>
        <w:rPr>
          <w:rStyle w:val="FootnoteReference"/>
        </w:rPr>
        <w:footnoteRef/>
      </w:r>
      <w:r>
        <w:t xml:space="preserve"> A. Schleicher (2018) ‘</w:t>
      </w:r>
      <w:hyperlink r:id="rId163" w:history="1">
        <w:r w:rsidRPr="00CC6A64">
          <w:rPr>
            <w:rStyle w:val="Hyperlink"/>
          </w:rPr>
          <w:t>PISA 2018, Insights and Interpretations</w:t>
        </w:r>
      </w:hyperlink>
      <w:r>
        <w:t xml:space="preserve">’, </w:t>
      </w:r>
      <w:r w:rsidRPr="00F81BDB">
        <w:t>OECD</w:t>
      </w:r>
      <w:r w:rsidR="001E7070" w:rsidRPr="00F81BDB">
        <w:t>.</w:t>
      </w:r>
    </w:p>
  </w:footnote>
  <w:footnote w:id="192">
    <w:p w14:paraId="6D105620" w14:textId="468E7B6D" w:rsidR="00251185" w:rsidRDefault="00251185">
      <w:pPr>
        <w:pStyle w:val="FootnoteText"/>
      </w:pPr>
      <w:r>
        <w:rPr>
          <w:rStyle w:val="FootnoteReference"/>
        </w:rPr>
        <w:footnoteRef/>
      </w:r>
      <w:r>
        <w:t xml:space="preserve"> </w:t>
      </w:r>
      <w:r w:rsidR="006A6080">
        <w:rPr>
          <w:lang w:eastAsia="en-AU"/>
        </w:rPr>
        <w:t xml:space="preserve">OECD (2019) </w:t>
      </w:r>
      <w:r w:rsidR="004527AA" w:rsidRPr="004527AA">
        <w:rPr>
          <w:lang w:eastAsia="en-AU"/>
        </w:rPr>
        <w:t>‘</w:t>
      </w:r>
      <w:hyperlink r:id="rId164" w:history="1">
        <w:r w:rsidRPr="00F81BDB">
          <w:rPr>
            <w:rStyle w:val="Hyperlink"/>
            <w:lang w:eastAsia="en-AU"/>
          </w:rPr>
          <w:t>PISA 2018, United Kingdom - Country Note</w:t>
        </w:r>
      </w:hyperlink>
      <w:r w:rsidR="004527AA">
        <w:rPr>
          <w:i/>
          <w:lang w:eastAsia="en-AU"/>
        </w:rPr>
        <w:t>’</w:t>
      </w:r>
      <w:r>
        <w:rPr>
          <w:lang w:eastAsia="en-AU"/>
        </w:rPr>
        <w:t>, p</w:t>
      </w:r>
      <w:r w:rsidR="00DB677B">
        <w:rPr>
          <w:lang w:eastAsia="en-AU"/>
        </w:rPr>
        <w:t>p</w:t>
      </w:r>
      <w:r>
        <w:rPr>
          <w:lang w:eastAsia="en-AU"/>
        </w:rPr>
        <w:t>.1</w:t>
      </w:r>
      <w:r w:rsidR="00555432">
        <w:rPr>
          <w:lang w:eastAsia="en-AU"/>
        </w:rPr>
        <w:t>.</w:t>
      </w:r>
    </w:p>
  </w:footnote>
  <w:footnote w:id="193">
    <w:p w14:paraId="4BE651FE" w14:textId="6321EB79" w:rsidR="00251185" w:rsidRPr="00753A59" w:rsidRDefault="00251185">
      <w:pPr>
        <w:pStyle w:val="FootnoteText"/>
      </w:pPr>
      <w:r w:rsidRPr="00753A59">
        <w:rPr>
          <w:rStyle w:val="FootnoteReference"/>
        </w:rPr>
        <w:footnoteRef/>
      </w:r>
      <w:r>
        <w:t xml:space="preserve"> </w:t>
      </w:r>
      <w:r>
        <w:rPr>
          <w:lang w:eastAsia="en-AU"/>
        </w:rPr>
        <w:t>T. Greany &amp; R. McGinity</w:t>
      </w:r>
      <w:r w:rsidRPr="00753A59">
        <w:rPr>
          <w:lang w:eastAsia="en-AU"/>
        </w:rPr>
        <w:t xml:space="preserve"> </w:t>
      </w:r>
      <w:r w:rsidR="00753A59">
        <w:rPr>
          <w:lang w:eastAsia="en-AU"/>
        </w:rPr>
        <w:t>(</w:t>
      </w:r>
      <w:r>
        <w:rPr>
          <w:lang w:eastAsia="en-AU"/>
        </w:rPr>
        <w:t>2021)</w:t>
      </w:r>
      <w:r w:rsidR="00277174">
        <w:rPr>
          <w:lang w:eastAsia="en-AU"/>
        </w:rPr>
        <w:t xml:space="preserve"> ‘</w:t>
      </w:r>
      <w:hyperlink r:id="rId165" w:history="1">
        <w:r w:rsidR="00277174" w:rsidRPr="00E47B0F">
          <w:rPr>
            <w:rStyle w:val="Hyperlink"/>
            <w:lang w:eastAsia="en-AU"/>
          </w:rPr>
          <w:t xml:space="preserve">Structural Integration and knowledge exchange </w:t>
        </w:r>
        <w:r w:rsidR="006A6080" w:rsidRPr="00E47B0F">
          <w:rPr>
            <w:rStyle w:val="Hyperlink"/>
            <w:lang w:eastAsia="en-AU"/>
          </w:rPr>
          <w:t>in multi-academy trusts: comparing approaches with evidence and theory from non-educational sectors</w:t>
        </w:r>
      </w:hyperlink>
      <w:r w:rsidR="006A6080">
        <w:rPr>
          <w:lang w:eastAsia="en-AU"/>
        </w:rPr>
        <w:t xml:space="preserve">’, </w:t>
      </w:r>
      <w:r w:rsidR="006A6080">
        <w:rPr>
          <w:i/>
          <w:iCs/>
          <w:lang w:eastAsia="en-AU"/>
        </w:rPr>
        <w:t xml:space="preserve">School Leadership and Management¸ </w:t>
      </w:r>
      <w:r w:rsidR="006A6080">
        <w:rPr>
          <w:lang w:eastAsia="en-AU"/>
        </w:rPr>
        <w:t xml:space="preserve">Vol. 4, Issue 4-5, </w:t>
      </w:r>
      <w:r w:rsidR="00D10C65">
        <w:rPr>
          <w:lang w:eastAsia="en-AU"/>
        </w:rPr>
        <w:t>pp.311-333</w:t>
      </w:r>
      <w:r w:rsidR="00555432">
        <w:rPr>
          <w:lang w:eastAsia="en-AU"/>
        </w:rPr>
        <w:t>.</w:t>
      </w:r>
    </w:p>
  </w:footnote>
  <w:footnote w:id="194">
    <w:p w14:paraId="5D3FC755" w14:textId="275369DC" w:rsidR="00251185" w:rsidRPr="00753A59" w:rsidRDefault="00251185">
      <w:pPr>
        <w:pStyle w:val="FootnoteText"/>
      </w:pPr>
      <w:r w:rsidRPr="00753A59">
        <w:rPr>
          <w:rStyle w:val="FootnoteReference"/>
        </w:rPr>
        <w:footnoteRef/>
      </w:r>
      <w:r>
        <w:rPr>
          <w:lang w:eastAsia="en-AU"/>
        </w:rPr>
        <w:t xml:space="preserve"> </w:t>
      </w:r>
      <w:r w:rsidR="00753A59" w:rsidRPr="00753A59">
        <w:rPr>
          <w:lang w:eastAsia="en-AU"/>
        </w:rPr>
        <w:t xml:space="preserve">Jensen &amp; Farmer, </w:t>
      </w:r>
      <w:r w:rsidR="00753A59" w:rsidRPr="00F81BDB">
        <w:rPr>
          <w:i/>
          <w:lang w:eastAsia="en-AU"/>
        </w:rPr>
        <w:t>op</w:t>
      </w:r>
      <w:r w:rsidR="001D6241">
        <w:rPr>
          <w:i/>
          <w:lang w:eastAsia="en-AU"/>
        </w:rPr>
        <w:t>.</w:t>
      </w:r>
      <w:r w:rsidR="00753A59" w:rsidRPr="00F81BDB">
        <w:rPr>
          <w:i/>
          <w:lang w:eastAsia="en-AU"/>
        </w:rPr>
        <w:t xml:space="preserve"> cit</w:t>
      </w:r>
      <w:r w:rsidR="001D6241">
        <w:rPr>
          <w:i/>
          <w:lang w:eastAsia="en-AU"/>
        </w:rPr>
        <w:t>.</w:t>
      </w:r>
      <w:r w:rsidR="00753A59" w:rsidRPr="00753A59">
        <w:rPr>
          <w:lang w:eastAsia="en-AU"/>
        </w:rPr>
        <w:t xml:space="preserve"> </w:t>
      </w:r>
      <w:r w:rsidRPr="00753A59">
        <w:rPr>
          <w:lang w:eastAsia="en-AU"/>
        </w:rPr>
        <w:t>p</w:t>
      </w:r>
      <w:r w:rsidR="004527AA">
        <w:rPr>
          <w:lang w:eastAsia="en-AU"/>
        </w:rPr>
        <w:t>p</w:t>
      </w:r>
      <w:r w:rsidRPr="00753A59">
        <w:rPr>
          <w:lang w:eastAsia="en-AU"/>
        </w:rPr>
        <w:t>.</w:t>
      </w:r>
      <w:r w:rsidR="004527AA">
        <w:rPr>
          <w:lang w:eastAsia="en-AU"/>
        </w:rPr>
        <w:t xml:space="preserve"> </w:t>
      </w:r>
      <w:r w:rsidRPr="00753A59">
        <w:rPr>
          <w:lang w:eastAsia="en-AU"/>
        </w:rPr>
        <w:t>2</w:t>
      </w:r>
      <w:r w:rsidR="00555432">
        <w:rPr>
          <w:lang w:eastAsia="en-AU"/>
        </w:rPr>
        <w:t>.</w:t>
      </w:r>
    </w:p>
  </w:footnote>
  <w:footnote w:id="195">
    <w:p w14:paraId="7C8EE39D" w14:textId="48C6CEFD" w:rsidR="00251185" w:rsidRDefault="00251185">
      <w:pPr>
        <w:pStyle w:val="FootnoteText"/>
      </w:pPr>
      <w:r w:rsidRPr="00753A59">
        <w:rPr>
          <w:rStyle w:val="FootnoteReference"/>
        </w:rPr>
        <w:footnoteRef/>
      </w:r>
      <w:r w:rsidRPr="00753A59">
        <w:t xml:space="preserve"> </w:t>
      </w:r>
      <w:r w:rsidRPr="00753A59">
        <w:rPr>
          <w:lang w:eastAsia="en-AU"/>
        </w:rPr>
        <w:t>H. Huang &amp; J. Sebastian (2015) ‘</w:t>
      </w:r>
      <w:hyperlink r:id="rId166" w:history="1">
        <w:r w:rsidRPr="00753A59">
          <w:rPr>
            <w:rStyle w:val="Hyperlink"/>
            <w:lang w:eastAsia="en-AU"/>
          </w:rPr>
          <w:t>The role of schools in bridging within-school achievement gaps based on socio</w:t>
        </w:r>
        <w:r w:rsidR="00017998">
          <w:rPr>
            <w:rStyle w:val="Hyperlink"/>
            <w:lang w:eastAsia="en-AU"/>
          </w:rPr>
          <w:t>-</w:t>
        </w:r>
        <w:r w:rsidRPr="00753A59">
          <w:rPr>
            <w:rStyle w:val="Hyperlink"/>
            <w:lang w:eastAsia="en-AU"/>
          </w:rPr>
          <w:t>economic status: a cross-national comparative study</w:t>
        </w:r>
      </w:hyperlink>
      <w:r w:rsidRPr="00753A59">
        <w:rPr>
          <w:lang w:eastAsia="en-AU"/>
        </w:rPr>
        <w:t xml:space="preserve">, </w:t>
      </w:r>
      <w:r w:rsidRPr="00753A59">
        <w:rPr>
          <w:i/>
          <w:iCs/>
          <w:lang w:eastAsia="en-AU"/>
        </w:rPr>
        <w:t>Compare: A Journal of Comparative and International Education</w:t>
      </w:r>
      <w:r w:rsidRPr="00753A59">
        <w:rPr>
          <w:lang w:eastAsia="en-AU"/>
        </w:rPr>
        <w:t xml:space="preserve">, </w:t>
      </w:r>
      <w:r w:rsidR="00753A59" w:rsidRPr="00753A59">
        <w:rPr>
          <w:lang w:eastAsia="en-AU"/>
        </w:rPr>
        <w:t xml:space="preserve">Vol. </w:t>
      </w:r>
      <w:r w:rsidRPr="00753A59">
        <w:rPr>
          <w:lang w:eastAsia="en-AU"/>
        </w:rPr>
        <w:t>45</w:t>
      </w:r>
      <w:r w:rsidR="00753A59" w:rsidRPr="00753A59">
        <w:rPr>
          <w:lang w:eastAsia="en-AU"/>
        </w:rPr>
        <w:t>, Iss</w:t>
      </w:r>
      <w:r w:rsidR="004527AA">
        <w:rPr>
          <w:lang w:eastAsia="en-AU"/>
        </w:rPr>
        <w:t>.</w:t>
      </w:r>
      <w:r w:rsidR="00753A59" w:rsidRPr="00753A59">
        <w:rPr>
          <w:lang w:eastAsia="en-AU"/>
        </w:rPr>
        <w:t xml:space="preserve"> </w:t>
      </w:r>
      <w:r w:rsidRPr="00753A59">
        <w:rPr>
          <w:lang w:eastAsia="en-AU"/>
        </w:rPr>
        <w:t xml:space="preserve">4, </w:t>
      </w:r>
      <w:r w:rsidR="004527AA">
        <w:rPr>
          <w:lang w:eastAsia="en-AU"/>
        </w:rPr>
        <w:t xml:space="preserve">pp. </w:t>
      </w:r>
      <w:r w:rsidRPr="00753A59">
        <w:rPr>
          <w:lang w:eastAsia="en-AU"/>
        </w:rPr>
        <w:t>501-525</w:t>
      </w:r>
      <w:r w:rsidR="004527AA">
        <w:rPr>
          <w:lang w:eastAsia="en-AU"/>
        </w:rPr>
        <w:t>.</w:t>
      </w:r>
      <w:r>
        <w:rPr>
          <w:lang w:eastAsia="en-AU"/>
        </w:rPr>
        <w:t xml:space="preserve">  </w:t>
      </w:r>
    </w:p>
  </w:footnote>
  <w:footnote w:id="196">
    <w:p w14:paraId="442C4871" w14:textId="4610DBC9" w:rsidR="00251185" w:rsidRDefault="00251185">
      <w:pPr>
        <w:pStyle w:val="FootnoteText"/>
      </w:pPr>
      <w:r>
        <w:rPr>
          <w:rStyle w:val="FootnoteReference"/>
        </w:rPr>
        <w:footnoteRef/>
      </w:r>
      <w:r>
        <w:t xml:space="preserve"> </w:t>
      </w:r>
      <w:r>
        <w:rPr>
          <w:lang w:eastAsia="en-AU"/>
        </w:rPr>
        <w:t>M. Tucker (2014),</w:t>
      </w:r>
      <w:r w:rsidR="00355E3A">
        <w:rPr>
          <w:lang w:eastAsia="en-AU"/>
        </w:rPr>
        <w:t xml:space="preserve"> </w:t>
      </w:r>
      <w:r w:rsidR="00355E3A">
        <w:rPr>
          <w:i/>
          <w:iCs/>
          <w:lang w:eastAsia="en-AU"/>
        </w:rPr>
        <w:t>op</w:t>
      </w:r>
      <w:r w:rsidR="001D6241">
        <w:rPr>
          <w:i/>
          <w:iCs/>
          <w:lang w:eastAsia="en-AU"/>
        </w:rPr>
        <w:t>.</w:t>
      </w:r>
      <w:r w:rsidR="00355E3A">
        <w:rPr>
          <w:i/>
          <w:iCs/>
          <w:lang w:eastAsia="en-AU"/>
        </w:rPr>
        <w:t xml:space="preserve"> cit</w:t>
      </w:r>
      <w:r w:rsidR="001D6241">
        <w:rPr>
          <w:i/>
          <w:iCs/>
          <w:lang w:eastAsia="en-AU"/>
        </w:rPr>
        <w:t>.</w:t>
      </w:r>
      <w:r w:rsidR="00355E3A">
        <w:rPr>
          <w:i/>
          <w:iCs/>
          <w:lang w:eastAsia="en-AU"/>
        </w:rPr>
        <w:t>,</w:t>
      </w:r>
      <w:r>
        <w:rPr>
          <w:lang w:eastAsia="en-AU"/>
        </w:rPr>
        <w:t xml:space="preserve"> pp.16-21</w:t>
      </w:r>
      <w:r w:rsidR="00555432">
        <w:rPr>
          <w:lang w:eastAsia="en-AU"/>
        </w:rPr>
        <w:t>.</w:t>
      </w:r>
    </w:p>
  </w:footnote>
  <w:footnote w:id="197">
    <w:p w14:paraId="3B379141" w14:textId="0FCC9712" w:rsidR="00251185" w:rsidRDefault="00251185">
      <w:pPr>
        <w:pStyle w:val="FootnoteText"/>
      </w:pPr>
      <w:r>
        <w:rPr>
          <w:rStyle w:val="FootnoteReference"/>
        </w:rPr>
        <w:footnoteRef/>
      </w:r>
      <w:r>
        <w:rPr>
          <w:lang w:eastAsia="en-AU"/>
        </w:rPr>
        <w:t xml:space="preserve"> Jensen &amp; </w:t>
      </w:r>
      <w:r w:rsidR="00746AF2">
        <w:rPr>
          <w:lang w:eastAsia="en-AU"/>
        </w:rPr>
        <w:t xml:space="preserve">Farmer, </w:t>
      </w:r>
      <w:r w:rsidR="00746AF2" w:rsidRPr="00F81BDB">
        <w:rPr>
          <w:i/>
          <w:lang w:eastAsia="en-AU"/>
        </w:rPr>
        <w:t>op</w:t>
      </w:r>
      <w:r w:rsidR="001D6241">
        <w:rPr>
          <w:i/>
          <w:lang w:eastAsia="en-AU"/>
        </w:rPr>
        <w:t>.</w:t>
      </w:r>
      <w:r w:rsidR="00746AF2" w:rsidRPr="00F81BDB">
        <w:rPr>
          <w:i/>
          <w:lang w:eastAsia="en-AU"/>
        </w:rPr>
        <w:t xml:space="preserve"> cit</w:t>
      </w:r>
      <w:r w:rsidR="001D6241">
        <w:rPr>
          <w:i/>
          <w:lang w:eastAsia="en-AU"/>
        </w:rPr>
        <w:t>.</w:t>
      </w:r>
      <w:r>
        <w:rPr>
          <w:lang w:eastAsia="en-AU"/>
        </w:rPr>
        <w:t>, p</w:t>
      </w:r>
      <w:r w:rsidR="00CF7CFE">
        <w:rPr>
          <w:lang w:eastAsia="en-AU"/>
        </w:rPr>
        <w:t>p</w:t>
      </w:r>
      <w:r>
        <w:rPr>
          <w:lang w:eastAsia="en-AU"/>
        </w:rPr>
        <w:t>.31</w:t>
      </w:r>
      <w:r w:rsidR="00555432">
        <w:rPr>
          <w:lang w:eastAsia="en-AU"/>
        </w:rPr>
        <w:t>.</w:t>
      </w:r>
    </w:p>
  </w:footnote>
  <w:footnote w:id="198">
    <w:p w14:paraId="325D8276" w14:textId="36CC5A57" w:rsidR="00251185" w:rsidRDefault="00251185">
      <w:pPr>
        <w:pStyle w:val="FootnoteText"/>
      </w:pPr>
      <w:r>
        <w:rPr>
          <w:rStyle w:val="FootnoteReference"/>
        </w:rPr>
        <w:footnoteRef/>
      </w:r>
      <w:r>
        <w:rPr>
          <w:lang w:eastAsia="en-AU"/>
        </w:rPr>
        <w:t xml:space="preserve"> </w:t>
      </w:r>
      <w:r w:rsidR="00284360">
        <w:rPr>
          <w:lang w:eastAsia="en-AU"/>
        </w:rPr>
        <w:t>Ibid</w:t>
      </w:r>
      <w:r w:rsidR="00753A59">
        <w:rPr>
          <w:lang w:eastAsia="en-AU"/>
        </w:rPr>
        <w:t>.</w:t>
      </w:r>
      <w:r>
        <w:rPr>
          <w:lang w:eastAsia="en-AU"/>
        </w:rPr>
        <w:t xml:space="preserve"> p</w:t>
      </w:r>
      <w:r w:rsidR="00CF7CFE">
        <w:rPr>
          <w:lang w:eastAsia="en-AU"/>
        </w:rPr>
        <w:t>p</w:t>
      </w:r>
      <w:r>
        <w:rPr>
          <w:lang w:eastAsia="en-AU"/>
        </w:rPr>
        <w:t>.40</w:t>
      </w:r>
      <w:r w:rsidR="00555432">
        <w:rPr>
          <w:lang w:eastAsia="en-AU"/>
        </w:rPr>
        <w:t>.</w:t>
      </w:r>
    </w:p>
  </w:footnote>
  <w:footnote w:id="199">
    <w:p w14:paraId="4559B31B" w14:textId="374CED44" w:rsidR="004D6E49" w:rsidRPr="005C127E" w:rsidRDefault="004D6E49" w:rsidP="004D6E49">
      <w:pPr>
        <w:pStyle w:val="Footer"/>
      </w:pPr>
      <w:r w:rsidRPr="005C127E">
        <w:rPr>
          <w:rStyle w:val="FootnoteReference"/>
          <w:rFonts w:asciiTheme="minorHAnsi" w:hAnsiTheme="minorHAnsi" w:cstheme="minorHAnsi"/>
          <w:szCs w:val="15"/>
        </w:rPr>
        <w:footnoteRef/>
      </w:r>
      <w:r w:rsidRPr="005C127E">
        <w:t xml:space="preserve"> R. </w:t>
      </w:r>
      <w:r w:rsidRPr="005C127E">
        <w:rPr>
          <w:rFonts w:eastAsiaTheme="minorEastAsia"/>
        </w:rPr>
        <w:t xml:space="preserve">Murnane et al (2017) </w:t>
      </w:r>
      <w:hyperlink r:id="rId167" w:history="1">
        <w:r w:rsidR="00724C90" w:rsidRPr="00724C90">
          <w:rPr>
            <w:rStyle w:val="Hyperlink"/>
            <w:rFonts w:eastAsiaTheme="minorEastAsia"/>
          </w:rPr>
          <w:t>'The Consequences of Educational Voucher Reform in Chile'</w:t>
        </w:r>
      </w:hyperlink>
      <w:r w:rsidR="00724C90">
        <w:rPr>
          <w:rFonts w:eastAsiaTheme="minorEastAsia"/>
        </w:rPr>
        <w:t xml:space="preserve"> </w:t>
      </w:r>
      <w:r w:rsidRPr="00F81BDB">
        <w:rPr>
          <w:rFonts w:eastAsiaTheme="minorEastAsia"/>
          <w:i/>
        </w:rPr>
        <w:t>National Bureau of Economic Research Working Paper 23350</w:t>
      </w:r>
      <w:r w:rsidRPr="005C127E">
        <w:rPr>
          <w:rFonts w:eastAsiaTheme="minorEastAsia"/>
        </w:rPr>
        <w:t xml:space="preserve">, Cambridge </w:t>
      </w:r>
      <w:r w:rsidR="0030426A" w:rsidRPr="005C127E">
        <w:rPr>
          <w:rFonts w:eastAsiaTheme="minorEastAsia"/>
        </w:rPr>
        <w:t>Massachusetts</w:t>
      </w:r>
      <w:r w:rsidRPr="005C127E">
        <w:rPr>
          <w:rFonts w:eastAsiaTheme="minorEastAsia"/>
        </w:rPr>
        <w:t>, NBER</w:t>
      </w:r>
      <w:r>
        <w:rPr>
          <w:rFonts w:eastAsiaTheme="minorEastAsia"/>
        </w:rPr>
        <w:t>.</w:t>
      </w:r>
      <w:r w:rsidRPr="005C127E">
        <w:rPr>
          <w:rFonts w:eastAsiaTheme="minorEastAsia"/>
        </w:rPr>
        <w:t xml:space="preserve">  </w:t>
      </w:r>
    </w:p>
  </w:footnote>
  <w:footnote w:id="200">
    <w:p w14:paraId="5AA142C1" w14:textId="3B29CE7D" w:rsidR="00392F5E" w:rsidRPr="005C127E" w:rsidRDefault="00392F5E" w:rsidP="00392F5E">
      <w:pPr>
        <w:pStyle w:val="Footer"/>
        <w:rPr>
          <w:rStyle w:val="FooterChar"/>
          <w:rFonts w:asciiTheme="minorHAnsi" w:hAnsiTheme="minorHAnsi" w:cstheme="minorHAnsi"/>
          <w:szCs w:val="15"/>
        </w:rPr>
      </w:pPr>
      <w:r w:rsidRPr="005C127E">
        <w:rPr>
          <w:rStyle w:val="FootnoteReference"/>
          <w:rFonts w:asciiTheme="minorHAnsi" w:hAnsiTheme="minorHAnsi" w:cstheme="minorHAnsi"/>
          <w:szCs w:val="15"/>
        </w:rPr>
        <w:footnoteRef/>
      </w:r>
      <w:r w:rsidRPr="005C127E">
        <w:t xml:space="preserve"> </w:t>
      </w:r>
      <w:r w:rsidR="00AC7543" w:rsidRPr="005C127E">
        <w:rPr>
          <w:rStyle w:val="FooterChar"/>
          <w:rFonts w:asciiTheme="minorHAnsi" w:hAnsiTheme="minorHAnsi" w:cstheme="minorHAnsi"/>
          <w:szCs w:val="15"/>
        </w:rPr>
        <w:t>Schiffer</w:t>
      </w:r>
      <w:r w:rsidRPr="005C127E">
        <w:rPr>
          <w:rStyle w:val="FooterChar"/>
          <w:rFonts w:asciiTheme="minorHAnsi" w:hAnsiTheme="minorHAnsi" w:cstheme="minorHAnsi"/>
          <w:szCs w:val="15"/>
        </w:rPr>
        <w:t xml:space="preserve"> et al., </w:t>
      </w:r>
      <w:r w:rsidR="0096567B">
        <w:rPr>
          <w:rStyle w:val="FooterChar"/>
          <w:rFonts w:asciiTheme="minorHAnsi" w:hAnsiTheme="minorHAnsi" w:cstheme="minorHAnsi"/>
          <w:szCs w:val="15"/>
        </w:rPr>
        <w:t>(</w:t>
      </w:r>
      <w:r w:rsidRPr="005C127E">
        <w:rPr>
          <w:rStyle w:val="FooterChar"/>
          <w:rFonts w:asciiTheme="minorHAnsi" w:hAnsiTheme="minorHAnsi" w:cstheme="minorHAnsi"/>
          <w:szCs w:val="15"/>
        </w:rPr>
        <w:t>2022a</w:t>
      </w:r>
      <w:r w:rsidR="0096567B">
        <w:rPr>
          <w:rStyle w:val="FooterChar"/>
          <w:rFonts w:asciiTheme="minorHAnsi" w:hAnsiTheme="minorHAnsi" w:cstheme="minorHAnsi"/>
          <w:szCs w:val="15"/>
        </w:rPr>
        <w:t xml:space="preserve">) </w:t>
      </w:r>
      <w:r w:rsidR="0096567B">
        <w:rPr>
          <w:rStyle w:val="FooterChar"/>
          <w:rFonts w:asciiTheme="minorHAnsi" w:hAnsiTheme="minorHAnsi" w:cstheme="minorHAnsi"/>
          <w:i/>
          <w:iCs/>
          <w:szCs w:val="15"/>
        </w:rPr>
        <w:t>Op. cit.</w:t>
      </w:r>
    </w:p>
  </w:footnote>
  <w:footnote w:id="201">
    <w:p w14:paraId="778AC0B3" w14:textId="151FCD77" w:rsidR="00392F5E" w:rsidRPr="008C2463" w:rsidRDefault="00392F5E" w:rsidP="00392F5E">
      <w:pPr>
        <w:pStyle w:val="Footer"/>
        <w:rPr>
          <w:i/>
          <w:iCs/>
        </w:rPr>
      </w:pPr>
      <w:r w:rsidRPr="005C127E">
        <w:rPr>
          <w:rStyle w:val="FootnoteReference"/>
          <w:rFonts w:asciiTheme="minorHAnsi" w:hAnsiTheme="minorHAnsi" w:cstheme="minorHAnsi"/>
          <w:szCs w:val="15"/>
        </w:rPr>
        <w:footnoteRef/>
      </w:r>
      <w:r w:rsidRPr="005C127E">
        <w:t xml:space="preserve"> </w:t>
      </w:r>
      <w:r w:rsidR="00AC7543">
        <w:t>Ibid.</w:t>
      </w:r>
      <w:r>
        <w:rPr>
          <w:i/>
          <w:iCs/>
        </w:rPr>
        <w:t xml:space="preserve"> </w:t>
      </w:r>
    </w:p>
  </w:footnote>
  <w:footnote w:id="202">
    <w:p w14:paraId="369FA3A9" w14:textId="50AF31D5" w:rsidR="009F724D" w:rsidRDefault="009F724D">
      <w:pPr>
        <w:pStyle w:val="FootnoteText"/>
      </w:pPr>
      <w:r>
        <w:rPr>
          <w:rStyle w:val="FootnoteReference"/>
        </w:rPr>
        <w:footnoteRef/>
      </w:r>
      <w:r>
        <w:t xml:space="preserve"> Lamb et </w:t>
      </w:r>
      <w:r w:rsidR="00A12BC4">
        <w:t>a</w:t>
      </w:r>
      <w:r>
        <w:t>l (202</w:t>
      </w:r>
      <w:r w:rsidR="00A12BC4">
        <w:t>0)</w:t>
      </w:r>
      <w:r w:rsidR="005F0F8D">
        <w:t xml:space="preserve">, </w:t>
      </w:r>
      <w:r w:rsidR="00410778">
        <w:t xml:space="preserve">drawing on </w:t>
      </w:r>
      <w:r w:rsidR="00485FC0">
        <w:t xml:space="preserve">data sets from the Australian Bureau of Statistics, Australian Curriculum and Assessment Authority, </w:t>
      </w:r>
      <w:r w:rsidR="0076635A">
        <w:t>Australian</w:t>
      </w:r>
      <w:r w:rsidR="00485FC0">
        <w:t xml:space="preserve"> Early </w:t>
      </w:r>
      <w:r w:rsidR="0076635A">
        <w:t>Development</w:t>
      </w:r>
      <w:r w:rsidR="00485FC0">
        <w:t xml:space="preserve"> Census </w:t>
      </w:r>
      <w:r w:rsidR="0076635A">
        <w:t xml:space="preserve">and </w:t>
      </w:r>
      <w:r w:rsidR="007B6D17">
        <w:t>jurisdictional data.</w:t>
      </w:r>
    </w:p>
  </w:footnote>
  <w:footnote w:id="203">
    <w:p w14:paraId="1B9D8968" w14:textId="58B29C69" w:rsidR="00FE66F8" w:rsidRPr="005C127E" w:rsidRDefault="00FE66F8" w:rsidP="00FE66F8">
      <w:pPr>
        <w:pStyle w:val="Footer"/>
      </w:pPr>
      <w:r w:rsidRPr="005C127E">
        <w:rPr>
          <w:rStyle w:val="FootnoteReference"/>
          <w:rFonts w:asciiTheme="minorHAnsi" w:hAnsiTheme="minorHAnsi" w:cstheme="minorHAnsi"/>
          <w:szCs w:val="15"/>
        </w:rPr>
        <w:footnoteRef/>
      </w:r>
      <w:r w:rsidRPr="005C127E">
        <w:t xml:space="preserve"> R. Williams (1999) ‘</w:t>
      </w:r>
      <w:hyperlink r:id="rId168" w:history="1">
        <w:r w:rsidRPr="006E5A61">
          <w:rPr>
            <w:rStyle w:val="Hyperlink"/>
          </w:rPr>
          <w:t>Cultural Safety – what does it mean for our work practice</w:t>
        </w:r>
      </w:hyperlink>
      <w:r w:rsidRPr="005C127E">
        <w:t xml:space="preserve">?’ </w:t>
      </w:r>
      <w:r w:rsidRPr="005C127E">
        <w:rPr>
          <w:i/>
          <w:iCs/>
        </w:rPr>
        <w:t xml:space="preserve">Australian and New Zealand Journal of Public Health, </w:t>
      </w:r>
      <w:r w:rsidRPr="00F81BDB">
        <w:t>Vol. 23, Iss. 2, p</w:t>
      </w:r>
      <w:r w:rsidR="00724C90">
        <w:t>p</w:t>
      </w:r>
      <w:r w:rsidRPr="00F81BDB">
        <w:t>.213</w:t>
      </w:r>
      <w:r w:rsidR="00555432">
        <w:t>.</w:t>
      </w:r>
    </w:p>
  </w:footnote>
  <w:footnote w:id="204">
    <w:p w14:paraId="005834D3" w14:textId="422DBB6D" w:rsidR="00F5364A" w:rsidRPr="005C127E" w:rsidRDefault="00F5364A" w:rsidP="008073F7">
      <w:pPr>
        <w:pStyle w:val="Footer"/>
      </w:pPr>
      <w:r w:rsidRPr="005C127E">
        <w:rPr>
          <w:rStyle w:val="FootnoteReference"/>
          <w:rFonts w:asciiTheme="minorHAnsi" w:hAnsiTheme="minorHAnsi" w:cstheme="minorHAnsi"/>
          <w:szCs w:val="15"/>
        </w:rPr>
        <w:footnoteRef/>
      </w:r>
      <w:r w:rsidR="000D4555" w:rsidRPr="005C127E">
        <w:t xml:space="preserve"> AITSL (2022) </w:t>
      </w:r>
      <w:r w:rsidR="00724C90">
        <w:t>‘</w:t>
      </w:r>
      <w:hyperlink r:id="rId169" w:history="1">
        <w:r w:rsidR="000D4555" w:rsidRPr="00F81BDB">
          <w:rPr>
            <w:rStyle w:val="Hyperlink"/>
            <w:rFonts w:asciiTheme="minorHAnsi" w:hAnsiTheme="minorHAnsi" w:cstheme="minorHAnsi"/>
            <w:szCs w:val="15"/>
          </w:rPr>
          <w:t>Building a culturally responsive Australian teaching workforce. Final report for Indigenous cultural competency project</w:t>
        </w:r>
      </w:hyperlink>
      <w:r w:rsidR="00724C90">
        <w:rPr>
          <w:rStyle w:val="Hyperlink"/>
          <w:rFonts w:asciiTheme="minorHAnsi" w:hAnsiTheme="minorHAnsi" w:cstheme="minorHAnsi"/>
          <w:szCs w:val="15"/>
        </w:rPr>
        <w:t>’</w:t>
      </w:r>
      <w:r w:rsidR="000D4555" w:rsidRPr="005C127E">
        <w:rPr>
          <w:i/>
          <w:iCs/>
        </w:rPr>
        <w:t xml:space="preserve">, </w:t>
      </w:r>
      <w:r w:rsidR="000D4555" w:rsidRPr="005C127E">
        <w:t>Melbourne</w:t>
      </w:r>
      <w:r w:rsidR="00C86A5C">
        <w:t>,</w:t>
      </w:r>
      <w:r w:rsidR="000D4555" w:rsidRPr="005C127E">
        <w:t xml:space="preserve"> AITSL.</w:t>
      </w:r>
      <w:r w:rsidR="000D4555" w:rsidRPr="005C127E">
        <w:rPr>
          <w:i/>
          <w:iCs/>
        </w:rPr>
        <w:t xml:space="preserve"> </w:t>
      </w:r>
      <w:r w:rsidR="00F21842" w:rsidRPr="005C127E">
        <w:t xml:space="preserve"> </w:t>
      </w:r>
    </w:p>
  </w:footnote>
  <w:footnote w:id="205">
    <w:p w14:paraId="58DD8489" w14:textId="57275C0F" w:rsidR="00FE66F8" w:rsidRPr="005C127E" w:rsidRDefault="00FE66F8" w:rsidP="00FE66F8">
      <w:pPr>
        <w:pStyle w:val="Footer"/>
      </w:pPr>
      <w:r w:rsidRPr="005C127E">
        <w:rPr>
          <w:rStyle w:val="FootnoteReference"/>
          <w:rFonts w:asciiTheme="minorHAnsi" w:hAnsiTheme="minorHAnsi" w:cstheme="minorHAnsi"/>
          <w:szCs w:val="15"/>
        </w:rPr>
        <w:footnoteRef/>
      </w:r>
      <w:r w:rsidRPr="005C127E">
        <w:t xml:space="preserve"> Williams (1999)</w:t>
      </w:r>
      <w:r w:rsidR="006E5A61">
        <w:t xml:space="preserve"> </w:t>
      </w:r>
      <w:r w:rsidR="001D6241">
        <w:rPr>
          <w:i/>
          <w:iCs/>
        </w:rPr>
        <w:t>o</w:t>
      </w:r>
      <w:r w:rsidR="00FD61B1">
        <w:rPr>
          <w:i/>
          <w:iCs/>
        </w:rPr>
        <w:t xml:space="preserve">p. cit. </w:t>
      </w:r>
    </w:p>
  </w:footnote>
  <w:footnote w:id="206">
    <w:p w14:paraId="273EE7F8" w14:textId="68564AA9" w:rsidR="00BA6D3E" w:rsidRDefault="00BA6D3E">
      <w:pPr>
        <w:pStyle w:val="FootnoteText"/>
      </w:pPr>
      <w:r>
        <w:rPr>
          <w:rStyle w:val="FootnoteReference"/>
        </w:rPr>
        <w:footnoteRef/>
      </w:r>
      <w:r>
        <w:t xml:space="preserve"> This commentary is based on unpublished work by Chris Bonnor</w:t>
      </w:r>
      <w:r w:rsidR="00555432">
        <w:t>.</w:t>
      </w:r>
    </w:p>
  </w:footnote>
  <w:footnote w:id="207">
    <w:p w14:paraId="63A7AC11" w14:textId="0D2B43F5" w:rsidR="003F37F1" w:rsidRPr="005C127E" w:rsidRDefault="003F37F1" w:rsidP="008073F7">
      <w:pPr>
        <w:pStyle w:val="Footer"/>
      </w:pPr>
      <w:r w:rsidRPr="005C127E">
        <w:rPr>
          <w:rStyle w:val="FootnoteReference"/>
          <w:rFonts w:asciiTheme="minorHAnsi" w:hAnsiTheme="minorHAnsi" w:cstheme="minorHAnsi"/>
          <w:szCs w:val="15"/>
        </w:rPr>
        <w:footnoteRef/>
      </w:r>
      <w:r w:rsidRPr="005C127E">
        <w:t xml:space="preserve"> </w:t>
      </w:r>
      <w:r w:rsidR="00BA4842" w:rsidRPr="005C127E">
        <w:t>Source:</w:t>
      </w:r>
      <w:r w:rsidRPr="005C127E">
        <w:t xml:space="preserve"> My School 5.0 and 2016 census</w:t>
      </w:r>
      <w:r w:rsidR="0055543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D448" w14:textId="77777777" w:rsidR="0004487F" w:rsidRDefault="0004487F">
    <w:pPr>
      <w:pStyle w:val="Header"/>
    </w:pPr>
    <w:r>
      <w:rPr>
        <w:noProof/>
        <w:sz w:val="20"/>
        <w:szCs w:val="20"/>
        <w:lang w:eastAsia="en-AU"/>
      </w:rPr>
      <w:drawing>
        <wp:anchor distT="0" distB="0" distL="114300" distR="114300" simplePos="0" relativeHeight="251658241" behindDoc="0" locked="0" layoutInCell="1" allowOverlap="1" wp14:anchorId="32BE3896" wp14:editId="3064C8E6">
          <wp:simplePos x="0" y="0"/>
          <wp:positionH relativeFrom="page">
            <wp:posOffset>3337</wp:posOffset>
          </wp:positionH>
          <wp:positionV relativeFrom="page">
            <wp:posOffset>-6985</wp:posOffset>
          </wp:positionV>
          <wp:extent cx="7559749" cy="116958"/>
          <wp:effectExtent l="0" t="0" r="0" b="0"/>
          <wp:wrapNone/>
          <wp:docPr id="308485908" name="Picture 308485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485908" name="Picture 308485908">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559749" cy="1169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0D4C" w14:textId="77777777" w:rsidR="0004487F" w:rsidRDefault="0004487F" w:rsidP="006203D9">
    <w:pPr>
      <w:pStyle w:val="Header"/>
      <w:tabs>
        <w:tab w:val="clear" w:pos="4513"/>
        <w:tab w:val="clear" w:pos="9026"/>
        <w:tab w:val="left" w:pos="175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F89B" w14:textId="77777777" w:rsidR="00FD1812" w:rsidRDefault="00FD1812">
    <w:r w:rsidRPr="0086054F">
      <w:rPr>
        <w:noProof/>
        <w:sz w:val="20"/>
        <w:szCs w:val="20"/>
        <w:lang w:eastAsia="en-AU"/>
      </w:rPr>
      <w:drawing>
        <wp:anchor distT="0" distB="0" distL="114300" distR="114300" simplePos="0" relativeHeight="251658240" behindDoc="0" locked="0" layoutInCell="1" allowOverlap="1" wp14:anchorId="65732B6D" wp14:editId="4CD20709">
          <wp:simplePos x="0" y="0"/>
          <wp:positionH relativeFrom="page">
            <wp:posOffset>0</wp:posOffset>
          </wp:positionH>
          <wp:positionV relativeFrom="page">
            <wp:posOffset>0</wp:posOffset>
          </wp:positionV>
          <wp:extent cx="7562850" cy="114300"/>
          <wp:effectExtent l="0" t="0" r="0" b="0"/>
          <wp:wrapNone/>
          <wp:docPr id="60771906" name="Picture 60771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71906" name="Picture 60771906">
                    <a:extLst>
                      <a:ext uri="{C183D7F6-B498-43B3-948B-1728B52AA6E4}">
                        <adec:decorative xmlns:adec="http://schemas.microsoft.com/office/drawing/2017/decorative" val="1"/>
                      </a:ext>
                    </a:extLst>
                  </pic:cNvPr>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738721" cy="1169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5F3"/>
    <w:multiLevelType w:val="multilevel"/>
    <w:tmpl w:val="9CD6342C"/>
    <w:lvl w:ilvl="0">
      <w:start w:val="1"/>
      <w:numFmt w:val="decimal"/>
      <w:lvlText w:val="%1."/>
      <w:lvlJc w:val="left"/>
      <w:pPr>
        <w:ind w:left="227" w:hanging="227"/>
      </w:pPr>
      <w:rPr>
        <w:rFonts w:ascii="Segoe UI" w:hAnsi="Segoe UI" w:hint="default"/>
        <w:b w:val="0"/>
        <w:i w:val="0"/>
        <w:sz w:val="16"/>
      </w:rPr>
    </w:lvl>
    <w:lvl w:ilvl="1">
      <w:start w:val="1"/>
      <w:numFmt w:val="lowerLetter"/>
      <w:lvlText w:val="%2."/>
      <w:lvlJc w:val="left"/>
      <w:pPr>
        <w:ind w:left="454" w:hanging="227"/>
      </w:pPr>
      <w:rPr>
        <w:rFonts w:ascii="Segoe UI" w:hAnsi="Segoe UI" w:hint="default"/>
        <w:sz w:val="16"/>
      </w:rPr>
    </w:lvl>
    <w:lvl w:ilvl="2">
      <w:start w:val="1"/>
      <w:numFmt w:val="lowerRoman"/>
      <w:lvlText w:val="%3."/>
      <w:lvlJc w:val="left"/>
      <w:pPr>
        <w:ind w:left="680" w:hanging="226"/>
      </w:pPr>
      <w:rPr>
        <w:rFonts w:ascii="Segoe UI" w:hAnsi="Segoe UI" w:hint="default"/>
        <w:sz w:val="16"/>
      </w:rPr>
    </w:lvl>
    <w:lvl w:ilvl="3">
      <w:start w:val="1"/>
      <w:numFmt w:val="decimal"/>
      <w:lvlText w:val="%4."/>
      <w:lvlJc w:val="left"/>
      <w:pPr>
        <w:ind w:left="5180" w:hanging="360"/>
      </w:pPr>
      <w:rPr>
        <w:rFonts w:hint="default"/>
      </w:rPr>
    </w:lvl>
    <w:lvl w:ilvl="4">
      <w:start w:val="1"/>
      <w:numFmt w:val="lowerLetter"/>
      <w:lvlText w:val="%5."/>
      <w:lvlJc w:val="left"/>
      <w:pPr>
        <w:ind w:left="5900" w:hanging="360"/>
      </w:pPr>
      <w:rPr>
        <w:rFonts w:hint="default"/>
      </w:rPr>
    </w:lvl>
    <w:lvl w:ilvl="5">
      <w:start w:val="1"/>
      <w:numFmt w:val="lowerRoman"/>
      <w:lvlText w:val="%6."/>
      <w:lvlJc w:val="right"/>
      <w:pPr>
        <w:ind w:left="6620" w:hanging="18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8060" w:hanging="360"/>
      </w:pPr>
      <w:rPr>
        <w:rFonts w:hint="default"/>
      </w:rPr>
    </w:lvl>
    <w:lvl w:ilvl="8">
      <w:start w:val="1"/>
      <w:numFmt w:val="lowerRoman"/>
      <w:lvlText w:val="%9."/>
      <w:lvlJc w:val="right"/>
      <w:pPr>
        <w:ind w:left="8780" w:hanging="180"/>
      </w:pPr>
      <w:rPr>
        <w:rFonts w:hint="default"/>
      </w:rPr>
    </w:lvl>
  </w:abstractNum>
  <w:abstractNum w:abstractNumId="1" w15:restartNumberingAfterBreak="0">
    <w:nsid w:val="016C28B1"/>
    <w:multiLevelType w:val="hybridMultilevel"/>
    <w:tmpl w:val="840C3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54274"/>
    <w:multiLevelType w:val="hybridMultilevel"/>
    <w:tmpl w:val="2B64E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BA37CD"/>
    <w:multiLevelType w:val="hybridMultilevel"/>
    <w:tmpl w:val="FA9CF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A31A2"/>
    <w:multiLevelType w:val="multilevel"/>
    <w:tmpl w:val="84F2CF0C"/>
    <w:lvl w:ilvl="0">
      <w:start w:val="1"/>
      <w:numFmt w:val="decimal"/>
      <w:pStyle w:val="Heading1"/>
      <w:lvlText w:val="%1"/>
      <w:lvlJc w:val="left"/>
      <w:pPr>
        <w:ind w:left="360" w:hanging="360"/>
      </w:pPr>
      <w:rPr>
        <w:rFonts w:ascii="Segoe UI" w:hAnsi="Segoe UI" w:hint="default"/>
        <w:b/>
        <w:i w:val="0"/>
        <w:color w:val="FFFFFF" w:themeColor="background1"/>
        <w:sz w:val="36"/>
        <w:szCs w:val="9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E923331"/>
    <w:multiLevelType w:val="hybridMultilevel"/>
    <w:tmpl w:val="5AACD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A7142"/>
    <w:multiLevelType w:val="hybridMultilevel"/>
    <w:tmpl w:val="7D9E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625D8B"/>
    <w:multiLevelType w:val="hybridMultilevel"/>
    <w:tmpl w:val="9BD842FE"/>
    <w:lvl w:ilvl="0" w:tplc="FFFFFFFF">
      <w:start w:val="1"/>
      <w:numFmt w:val="bullet"/>
      <w:lvlText w:val=""/>
      <w:lvlJc w:val="left"/>
      <w:pPr>
        <w:ind w:left="397" w:hanging="397"/>
      </w:pPr>
      <w:rPr>
        <w:rFonts w:ascii="Symbol" w:hAnsi="Symbol" w:hint="default"/>
        <w:sz w:val="16"/>
      </w:rPr>
    </w:lvl>
    <w:lvl w:ilvl="1" w:tplc="0C090019">
      <w:start w:val="1"/>
      <w:numFmt w:val="lowerLetter"/>
      <w:lvlText w:val="%2."/>
      <w:lvlJc w:val="left"/>
      <w:pPr>
        <w:ind w:left="794" w:hanging="397"/>
      </w:pPr>
      <w:rPr>
        <w:rFonts w:hint="default"/>
      </w:rPr>
    </w:lvl>
    <w:lvl w:ilvl="2" w:tplc="0C09001B">
      <w:start w:val="1"/>
      <w:numFmt w:val="lowerRoman"/>
      <w:lvlText w:val="%3."/>
      <w:lvlJc w:val="right"/>
      <w:pPr>
        <w:ind w:left="1247" w:hanging="34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905FFB"/>
    <w:multiLevelType w:val="multilevel"/>
    <w:tmpl w:val="9CD6342C"/>
    <w:styleLink w:val="TableNListnumberedmultilevel"/>
    <w:lvl w:ilvl="0">
      <w:start w:val="1"/>
      <w:numFmt w:val="decimal"/>
      <w:lvlText w:val="%1."/>
      <w:lvlJc w:val="left"/>
      <w:pPr>
        <w:ind w:left="227" w:hanging="227"/>
      </w:pPr>
      <w:rPr>
        <w:rFonts w:ascii="Segoe UI" w:hAnsi="Segoe UI" w:hint="default"/>
        <w:b w:val="0"/>
        <w:i w:val="0"/>
        <w:sz w:val="16"/>
      </w:rPr>
    </w:lvl>
    <w:lvl w:ilvl="1">
      <w:start w:val="1"/>
      <w:numFmt w:val="lowerLetter"/>
      <w:lvlText w:val="%2."/>
      <w:lvlJc w:val="left"/>
      <w:pPr>
        <w:ind w:left="454" w:hanging="227"/>
      </w:pPr>
      <w:rPr>
        <w:rFonts w:ascii="Segoe UI" w:hAnsi="Segoe UI" w:hint="default"/>
        <w:sz w:val="16"/>
      </w:rPr>
    </w:lvl>
    <w:lvl w:ilvl="2">
      <w:start w:val="1"/>
      <w:numFmt w:val="lowerRoman"/>
      <w:lvlText w:val="%3."/>
      <w:lvlJc w:val="left"/>
      <w:pPr>
        <w:ind w:left="680" w:hanging="226"/>
      </w:pPr>
      <w:rPr>
        <w:rFonts w:ascii="Segoe UI" w:hAnsi="Segoe UI" w:hint="default"/>
        <w:sz w:val="16"/>
      </w:rPr>
    </w:lvl>
    <w:lvl w:ilvl="3">
      <w:start w:val="1"/>
      <w:numFmt w:val="decimal"/>
      <w:lvlText w:val="%4."/>
      <w:lvlJc w:val="left"/>
      <w:pPr>
        <w:ind w:left="5180" w:hanging="360"/>
      </w:pPr>
      <w:rPr>
        <w:rFonts w:hint="default"/>
      </w:rPr>
    </w:lvl>
    <w:lvl w:ilvl="4">
      <w:start w:val="1"/>
      <w:numFmt w:val="lowerLetter"/>
      <w:lvlText w:val="%5."/>
      <w:lvlJc w:val="left"/>
      <w:pPr>
        <w:ind w:left="5900" w:hanging="360"/>
      </w:pPr>
      <w:rPr>
        <w:rFonts w:hint="default"/>
      </w:rPr>
    </w:lvl>
    <w:lvl w:ilvl="5">
      <w:start w:val="1"/>
      <w:numFmt w:val="lowerRoman"/>
      <w:lvlText w:val="%6."/>
      <w:lvlJc w:val="right"/>
      <w:pPr>
        <w:ind w:left="6620" w:hanging="18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8060" w:hanging="360"/>
      </w:pPr>
      <w:rPr>
        <w:rFonts w:hint="default"/>
      </w:rPr>
    </w:lvl>
    <w:lvl w:ilvl="8">
      <w:start w:val="1"/>
      <w:numFmt w:val="lowerRoman"/>
      <w:lvlText w:val="%9."/>
      <w:lvlJc w:val="right"/>
      <w:pPr>
        <w:ind w:left="8780" w:hanging="180"/>
      </w:pPr>
      <w:rPr>
        <w:rFonts w:hint="default"/>
      </w:rPr>
    </w:lvl>
  </w:abstractNum>
  <w:abstractNum w:abstractNumId="9" w15:restartNumberingAfterBreak="0">
    <w:nsid w:val="15C272EF"/>
    <w:multiLevelType w:val="multilevel"/>
    <w:tmpl w:val="179C05DC"/>
    <w:lvl w:ilvl="0">
      <w:start w:val="1"/>
      <w:numFmt w:val="bullet"/>
      <w:lvlText w:val=""/>
      <w:lvlJc w:val="left"/>
      <w:pPr>
        <w:ind w:left="227" w:hanging="227"/>
      </w:pPr>
      <w:rPr>
        <w:rFonts w:ascii="Symbol" w:hAnsi="Symbol" w:hint="default"/>
        <w:b w:val="0"/>
        <w:i w:val="0"/>
        <w:sz w:val="16"/>
      </w:rPr>
    </w:lvl>
    <w:lvl w:ilvl="1">
      <w:start w:val="1"/>
      <w:numFmt w:val="lowerLetter"/>
      <w:lvlText w:val="%2."/>
      <w:lvlJc w:val="left"/>
      <w:pPr>
        <w:ind w:left="454" w:hanging="227"/>
      </w:pPr>
      <w:rPr>
        <w:rFonts w:ascii="Segoe UI" w:hAnsi="Segoe UI" w:hint="default"/>
        <w:sz w:val="16"/>
      </w:rPr>
    </w:lvl>
    <w:lvl w:ilvl="2">
      <w:start w:val="1"/>
      <w:numFmt w:val="lowerRoman"/>
      <w:lvlText w:val="%3."/>
      <w:lvlJc w:val="left"/>
      <w:pPr>
        <w:ind w:left="680" w:hanging="226"/>
      </w:pPr>
      <w:rPr>
        <w:rFonts w:ascii="Segoe UI" w:hAnsi="Segoe UI" w:hint="default"/>
        <w:sz w:val="16"/>
      </w:rPr>
    </w:lvl>
    <w:lvl w:ilvl="3">
      <w:start w:val="1"/>
      <w:numFmt w:val="decimal"/>
      <w:lvlText w:val="%4."/>
      <w:lvlJc w:val="left"/>
      <w:pPr>
        <w:ind w:left="5180" w:hanging="360"/>
      </w:pPr>
      <w:rPr>
        <w:rFonts w:hint="default"/>
      </w:rPr>
    </w:lvl>
    <w:lvl w:ilvl="4">
      <w:start w:val="1"/>
      <w:numFmt w:val="lowerLetter"/>
      <w:lvlText w:val="%5."/>
      <w:lvlJc w:val="left"/>
      <w:pPr>
        <w:ind w:left="5900" w:hanging="360"/>
      </w:pPr>
      <w:rPr>
        <w:rFonts w:hint="default"/>
      </w:rPr>
    </w:lvl>
    <w:lvl w:ilvl="5">
      <w:start w:val="1"/>
      <w:numFmt w:val="lowerRoman"/>
      <w:lvlText w:val="%6."/>
      <w:lvlJc w:val="right"/>
      <w:pPr>
        <w:ind w:left="6620" w:hanging="18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8060" w:hanging="360"/>
      </w:pPr>
      <w:rPr>
        <w:rFonts w:hint="default"/>
      </w:rPr>
    </w:lvl>
    <w:lvl w:ilvl="8">
      <w:start w:val="1"/>
      <w:numFmt w:val="lowerRoman"/>
      <w:lvlText w:val="%9."/>
      <w:lvlJc w:val="right"/>
      <w:pPr>
        <w:ind w:left="8780" w:hanging="180"/>
      </w:pPr>
      <w:rPr>
        <w:rFonts w:hint="default"/>
      </w:rPr>
    </w:lvl>
  </w:abstractNum>
  <w:abstractNum w:abstractNumId="10" w15:restartNumberingAfterBreak="0">
    <w:nsid w:val="173B745E"/>
    <w:multiLevelType w:val="hybridMultilevel"/>
    <w:tmpl w:val="28D85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5C643F"/>
    <w:multiLevelType w:val="hybridMultilevel"/>
    <w:tmpl w:val="31B4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A13D2D"/>
    <w:multiLevelType w:val="multilevel"/>
    <w:tmpl w:val="A3DC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00645E"/>
    <w:multiLevelType w:val="hybridMultilevel"/>
    <w:tmpl w:val="02B64750"/>
    <w:lvl w:ilvl="0" w:tplc="57C81A1A">
      <w:start w:val="1"/>
      <w:numFmt w:val="bullet"/>
      <w:lvlText w:val="-"/>
      <w:lvlJc w:val="left"/>
      <w:pPr>
        <w:ind w:left="720" w:hanging="360"/>
      </w:pPr>
      <w:rPr>
        <w:rFonts w:ascii="Segoe UI" w:eastAsiaTheme="minorHAns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932509"/>
    <w:multiLevelType w:val="hybridMultilevel"/>
    <w:tmpl w:val="05CE1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F73195"/>
    <w:multiLevelType w:val="multilevel"/>
    <w:tmpl w:val="179C05DC"/>
    <w:lvl w:ilvl="0">
      <w:start w:val="1"/>
      <w:numFmt w:val="bullet"/>
      <w:lvlText w:val=""/>
      <w:lvlJc w:val="left"/>
      <w:pPr>
        <w:ind w:left="227" w:hanging="227"/>
      </w:pPr>
      <w:rPr>
        <w:rFonts w:ascii="Symbol" w:hAnsi="Symbol" w:hint="default"/>
        <w:b w:val="0"/>
        <w:i w:val="0"/>
        <w:sz w:val="16"/>
      </w:rPr>
    </w:lvl>
    <w:lvl w:ilvl="1">
      <w:start w:val="1"/>
      <w:numFmt w:val="lowerLetter"/>
      <w:lvlText w:val="%2."/>
      <w:lvlJc w:val="left"/>
      <w:pPr>
        <w:ind w:left="454" w:hanging="227"/>
      </w:pPr>
      <w:rPr>
        <w:rFonts w:ascii="Segoe UI" w:hAnsi="Segoe UI" w:hint="default"/>
        <w:sz w:val="16"/>
      </w:rPr>
    </w:lvl>
    <w:lvl w:ilvl="2">
      <w:start w:val="1"/>
      <w:numFmt w:val="lowerRoman"/>
      <w:lvlText w:val="%3."/>
      <w:lvlJc w:val="left"/>
      <w:pPr>
        <w:ind w:left="680" w:hanging="226"/>
      </w:pPr>
      <w:rPr>
        <w:rFonts w:ascii="Segoe UI" w:hAnsi="Segoe UI" w:hint="default"/>
        <w:sz w:val="16"/>
      </w:rPr>
    </w:lvl>
    <w:lvl w:ilvl="3">
      <w:start w:val="1"/>
      <w:numFmt w:val="decimal"/>
      <w:lvlText w:val="%4."/>
      <w:lvlJc w:val="left"/>
      <w:pPr>
        <w:ind w:left="5180" w:hanging="360"/>
      </w:pPr>
      <w:rPr>
        <w:rFonts w:hint="default"/>
      </w:rPr>
    </w:lvl>
    <w:lvl w:ilvl="4">
      <w:start w:val="1"/>
      <w:numFmt w:val="lowerLetter"/>
      <w:lvlText w:val="%5."/>
      <w:lvlJc w:val="left"/>
      <w:pPr>
        <w:ind w:left="5900" w:hanging="360"/>
      </w:pPr>
      <w:rPr>
        <w:rFonts w:hint="default"/>
      </w:rPr>
    </w:lvl>
    <w:lvl w:ilvl="5">
      <w:start w:val="1"/>
      <w:numFmt w:val="lowerRoman"/>
      <w:lvlText w:val="%6."/>
      <w:lvlJc w:val="right"/>
      <w:pPr>
        <w:ind w:left="6620" w:hanging="18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8060" w:hanging="360"/>
      </w:pPr>
      <w:rPr>
        <w:rFonts w:hint="default"/>
      </w:rPr>
    </w:lvl>
    <w:lvl w:ilvl="8">
      <w:start w:val="1"/>
      <w:numFmt w:val="lowerRoman"/>
      <w:lvlText w:val="%9."/>
      <w:lvlJc w:val="right"/>
      <w:pPr>
        <w:ind w:left="8780" w:hanging="180"/>
      </w:pPr>
      <w:rPr>
        <w:rFonts w:hint="default"/>
      </w:rPr>
    </w:lvl>
  </w:abstractNum>
  <w:abstractNum w:abstractNumId="16" w15:restartNumberingAfterBreak="0">
    <w:nsid w:val="30FC036D"/>
    <w:multiLevelType w:val="multilevel"/>
    <w:tmpl w:val="D5FE159E"/>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37265D2C"/>
    <w:multiLevelType w:val="multilevel"/>
    <w:tmpl w:val="9CD6342C"/>
    <w:lvl w:ilvl="0">
      <w:start w:val="1"/>
      <w:numFmt w:val="decimal"/>
      <w:lvlText w:val="%1."/>
      <w:lvlJc w:val="left"/>
      <w:pPr>
        <w:ind w:left="227" w:hanging="227"/>
      </w:pPr>
      <w:rPr>
        <w:rFonts w:ascii="Segoe UI" w:hAnsi="Segoe UI" w:hint="default"/>
        <w:b w:val="0"/>
        <w:i w:val="0"/>
        <w:sz w:val="16"/>
      </w:rPr>
    </w:lvl>
    <w:lvl w:ilvl="1">
      <w:start w:val="1"/>
      <w:numFmt w:val="lowerLetter"/>
      <w:lvlText w:val="%2."/>
      <w:lvlJc w:val="left"/>
      <w:pPr>
        <w:ind w:left="454" w:hanging="227"/>
      </w:pPr>
      <w:rPr>
        <w:rFonts w:ascii="Segoe UI" w:hAnsi="Segoe UI" w:hint="default"/>
        <w:sz w:val="16"/>
      </w:rPr>
    </w:lvl>
    <w:lvl w:ilvl="2">
      <w:start w:val="1"/>
      <w:numFmt w:val="lowerRoman"/>
      <w:lvlText w:val="%3."/>
      <w:lvlJc w:val="left"/>
      <w:pPr>
        <w:ind w:left="680" w:hanging="226"/>
      </w:pPr>
      <w:rPr>
        <w:rFonts w:ascii="Segoe UI" w:hAnsi="Segoe UI" w:hint="default"/>
        <w:sz w:val="16"/>
      </w:rPr>
    </w:lvl>
    <w:lvl w:ilvl="3">
      <w:start w:val="1"/>
      <w:numFmt w:val="decimal"/>
      <w:lvlText w:val="%4."/>
      <w:lvlJc w:val="left"/>
      <w:pPr>
        <w:ind w:left="5180" w:hanging="360"/>
      </w:pPr>
      <w:rPr>
        <w:rFonts w:hint="default"/>
      </w:rPr>
    </w:lvl>
    <w:lvl w:ilvl="4">
      <w:start w:val="1"/>
      <w:numFmt w:val="lowerLetter"/>
      <w:lvlText w:val="%5."/>
      <w:lvlJc w:val="left"/>
      <w:pPr>
        <w:ind w:left="5900" w:hanging="360"/>
      </w:pPr>
      <w:rPr>
        <w:rFonts w:hint="default"/>
      </w:rPr>
    </w:lvl>
    <w:lvl w:ilvl="5">
      <w:start w:val="1"/>
      <w:numFmt w:val="lowerRoman"/>
      <w:lvlText w:val="%6."/>
      <w:lvlJc w:val="right"/>
      <w:pPr>
        <w:ind w:left="6620" w:hanging="18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8060" w:hanging="360"/>
      </w:pPr>
      <w:rPr>
        <w:rFonts w:hint="default"/>
      </w:rPr>
    </w:lvl>
    <w:lvl w:ilvl="8">
      <w:start w:val="1"/>
      <w:numFmt w:val="lowerRoman"/>
      <w:lvlText w:val="%9."/>
      <w:lvlJc w:val="right"/>
      <w:pPr>
        <w:ind w:left="8780" w:hanging="180"/>
      </w:pPr>
      <w:rPr>
        <w:rFonts w:hint="default"/>
      </w:rPr>
    </w:lvl>
  </w:abstractNum>
  <w:abstractNum w:abstractNumId="18" w15:restartNumberingAfterBreak="0">
    <w:nsid w:val="39D1413D"/>
    <w:multiLevelType w:val="multilevel"/>
    <w:tmpl w:val="FA588A90"/>
    <w:lvl w:ilvl="0">
      <w:start w:val="1"/>
      <w:numFmt w:val="bullet"/>
      <w:pStyle w:val="TableNBullet"/>
      <w:lvlText w:val=""/>
      <w:lvlJc w:val="left"/>
      <w:pPr>
        <w:ind w:left="227" w:hanging="227"/>
      </w:pPr>
      <w:rPr>
        <w:rFonts w:ascii="Symbol" w:hAnsi="Symbol" w:hint="default"/>
        <w:color w:val="auto"/>
        <w:position w:val="4"/>
        <w:sz w:val="16"/>
      </w:rPr>
    </w:lvl>
    <w:lvl w:ilvl="1">
      <w:start w:val="1"/>
      <w:numFmt w:val="bullet"/>
      <w:lvlText w:val=""/>
      <w:lvlJc w:val="left"/>
      <w:pPr>
        <w:ind w:left="510" w:hanging="226"/>
      </w:pPr>
      <w:rPr>
        <w:rFonts w:ascii="Symbol" w:hAnsi="Symbol" w:hint="default"/>
        <w:color w:val="auto"/>
        <w:position w:val="4"/>
        <w:sz w:val="16"/>
      </w:r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9" w15:restartNumberingAfterBreak="0">
    <w:nsid w:val="3A157589"/>
    <w:multiLevelType w:val="hybridMultilevel"/>
    <w:tmpl w:val="91B68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8C2FDF"/>
    <w:multiLevelType w:val="hybridMultilevel"/>
    <w:tmpl w:val="F79E27E0"/>
    <w:lvl w:ilvl="0" w:tplc="370EA3D8">
      <w:start w:val="1"/>
      <w:numFmt w:val="bullet"/>
      <w:pStyle w:val="longformcalloutbullet"/>
      <w:lvlText w:val=""/>
      <w:lvlJc w:val="left"/>
      <w:pPr>
        <w:ind w:left="720" w:hanging="360"/>
      </w:pPr>
      <w:rPr>
        <w:rFonts w:ascii="Symbol" w:hAnsi="Symbol" w:hint="default"/>
        <w:color w:val="00264D" w:themeColor="background2"/>
        <w:sz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3D2157"/>
    <w:multiLevelType w:val="multilevel"/>
    <w:tmpl w:val="310876F2"/>
    <w:lvl w:ilvl="0">
      <w:start w:val="1"/>
      <w:numFmt w:val="decimal"/>
      <w:pStyle w:val="introductionlist"/>
      <w:lvlText w:val="%1."/>
      <w:lvlJc w:val="left"/>
      <w:pPr>
        <w:ind w:left="357" w:hanging="357"/>
      </w:pPr>
      <w:rPr>
        <w:rFonts w:hint="default"/>
        <w:b w:val="0"/>
      </w:rPr>
    </w:lvl>
    <w:lvl w:ilvl="1">
      <w:start w:val="1"/>
      <w:numFmt w:val="lowerLetter"/>
      <w:lvlText w:val="%2."/>
      <w:lvlJc w:val="left"/>
      <w:pPr>
        <w:ind w:left="720" w:hanging="363"/>
      </w:pPr>
      <w:rPr>
        <w:rFonts w:hint="default"/>
      </w:rPr>
    </w:lvl>
    <w:lvl w:ilvl="2">
      <w:start w:val="1"/>
      <w:numFmt w:val="lowerRoman"/>
      <w:lvlText w:val="%3."/>
      <w:lvlJc w:val="righ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1296A7B"/>
    <w:multiLevelType w:val="hybridMultilevel"/>
    <w:tmpl w:val="C4E4D2A0"/>
    <w:lvl w:ilvl="0" w:tplc="57C81A1A">
      <w:start w:val="1"/>
      <w:numFmt w:val="bullet"/>
      <w:lvlText w:val="-"/>
      <w:lvlJc w:val="left"/>
      <w:pPr>
        <w:ind w:left="720" w:hanging="360"/>
      </w:pPr>
      <w:rPr>
        <w:rFonts w:ascii="Segoe UI" w:eastAsiaTheme="minorHAns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F5572D"/>
    <w:multiLevelType w:val="hybridMultilevel"/>
    <w:tmpl w:val="7960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95AD4"/>
    <w:multiLevelType w:val="hybridMultilevel"/>
    <w:tmpl w:val="62DE6E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3B625FB"/>
    <w:multiLevelType w:val="hybridMultilevel"/>
    <w:tmpl w:val="7960D630"/>
    <w:styleLink w:val="Listnumberedmultilevel"/>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55940"/>
    <w:multiLevelType w:val="multilevel"/>
    <w:tmpl w:val="D3261AAA"/>
    <w:lvl w:ilvl="0">
      <w:start w:val="1"/>
      <w:numFmt w:val="bullet"/>
      <w:pStyle w:val="intoductionbullet"/>
      <w:lvlText w:val=""/>
      <w:lvlJc w:val="left"/>
      <w:pPr>
        <w:ind w:left="357" w:hanging="357"/>
      </w:pPr>
      <w:rPr>
        <w:rFonts w:ascii="Symbol" w:hAnsi="Symbol" w:hint="default"/>
        <w:color w:val="00264D" w:themeColor="background2"/>
      </w:rPr>
    </w:lvl>
    <w:lvl w:ilvl="1">
      <w:start w:val="1"/>
      <w:numFmt w:val="bullet"/>
      <w:lvlText w:val=""/>
      <w:lvlJc w:val="left"/>
      <w:pPr>
        <w:ind w:left="720" w:hanging="363"/>
      </w:pPr>
      <w:rPr>
        <w:rFonts w:ascii="Symbol" w:hAnsi="Symbol" w:hint="default"/>
        <w:color w:val="00264D" w:themeColor="background2"/>
      </w:rPr>
    </w:lvl>
    <w:lvl w:ilvl="2">
      <w:start w:val="1"/>
      <w:numFmt w:val="bullet"/>
      <w:lvlText w:val=""/>
      <w:lvlJc w:val="left"/>
      <w:pPr>
        <w:ind w:left="1077" w:hanging="357"/>
      </w:pPr>
      <w:rPr>
        <w:rFonts w:ascii="Symbol" w:hAnsi="Symbol" w:hint="default"/>
        <w:color w:val="00264D" w:themeColor="background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4E80CAA"/>
    <w:multiLevelType w:val="hybridMultilevel"/>
    <w:tmpl w:val="16F41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3A67A1"/>
    <w:multiLevelType w:val="hybridMultilevel"/>
    <w:tmpl w:val="CDBAD4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09501D0"/>
    <w:multiLevelType w:val="hybridMultilevel"/>
    <w:tmpl w:val="9000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400A02"/>
    <w:multiLevelType w:val="hybridMultilevel"/>
    <w:tmpl w:val="3530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F3935"/>
    <w:multiLevelType w:val="hybridMultilevel"/>
    <w:tmpl w:val="D71CF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C8140C"/>
    <w:multiLevelType w:val="hybridMultilevel"/>
    <w:tmpl w:val="8D06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F14DF6"/>
    <w:multiLevelType w:val="hybridMultilevel"/>
    <w:tmpl w:val="3200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3E46FE"/>
    <w:multiLevelType w:val="hybridMultilevel"/>
    <w:tmpl w:val="7D7EC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7D39F6"/>
    <w:multiLevelType w:val="hybridMultilevel"/>
    <w:tmpl w:val="553E84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A16EBA"/>
    <w:multiLevelType w:val="multilevel"/>
    <w:tmpl w:val="C49E73C4"/>
    <w:lvl w:ilvl="0">
      <w:start w:val="1"/>
      <w:numFmt w:val="upperLetter"/>
      <w:pStyle w:val="xAppendixLevel1"/>
      <w:lvlText w:val="Appendix %1"/>
      <w:lvlJc w:val="left"/>
      <w:pPr>
        <w:ind w:left="2268" w:hanging="2268"/>
      </w:pPr>
    </w:lvl>
    <w:lvl w:ilvl="1">
      <w:start w:val="1"/>
      <w:numFmt w:val="decimal"/>
      <w:pStyle w:val="xAppendixLevel2"/>
      <w:lvlText w:val="%1.%2"/>
      <w:lvlJc w:val="left"/>
      <w:pPr>
        <w:ind w:left="851" w:hanging="851"/>
      </w:pPr>
      <w:rPr>
        <w:rFonts w:hint="default"/>
        <w:color w:val="00264D"/>
        <w:sz w:val="34"/>
        <w:szCs w:val="34"/>
      </w:rPr>
    </w:lvl>
    <w:lvl w:ilvl="2">
      <w:start w:val="1"/>
      <w:numFmt w:val="decimal"/>
      <w:pStyle w:val="xAppendixLevel3"/>
      <w:lvlText w:val="%1.%2.%3"/>
      <w:lvlJc w:val="left"/>
      <w:pPr>
        <w:ind w:left="851" w:hanging="851"/>
      </w:pPr>
      <w:rPr>
        <w:rFonts w:hint="default"/>
        <w:color w:val="00264D"/>
        <w:sz w:val="28"/>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6990BFC"/>
    <w:multiLevelType w:val="hybridMultilevel"/>
    <w:tmpl w:val="FE94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B7218E"/>
    <w:multiLevelType w:val="multilevel"/>
    <w:tmpl w:val="9CD6342C"/>
    <w:styleLink w:val="TableexpListnumberedmultilevel"/>
    <w:lvl w:ilvl="0">
      <w:start w:val="1"/>
      <w:numFmt w:val="decimal"/>
      <w:lvlText w:val="%1."/>
      <w:lvlJc w:val="left"/>
      <w:pPr>
        <w:ind w:left="227" w:hanging="227"/>
      </w:pPr>
      <w:rPr>
        <w:rFonts w:ascii="Segoe UI" w:hAnsi="Segoe UI" w:hint="default"/>
        <w:b w:val="0"/>
        <w:i w:val="0"/>
        <w:sz w:val="16"/>
      </w:rPr>
    </w:lvl>
    <w:lvl w:ilvl="1">
      <w:start w:val="1"/>
      <w:numFmt w:val="lowerLetter"/>
      <w:lvlText w:val="%2."/>
      <w:lvlJc w:val="left"/>
      <w:pPr>
        <w:ind w:left="454" w:hanging="227"/>
      </w:pPr>
      <w:rPr>
        <w:rFonts w:ascii="Segoe UI" w:hAnsi="Segoe UI" w:hint="default"/>
        <w:sz w:val="16"/>
      </w:rPr>
    </w:lvl>
    <w:lvl w:ilvl="2">
      <w:start w:val="1"/>
      <w:numFmt w:val="lowerRoman"/>
      <w:lvlText w:val="%3."/>
      <w:lvlJc w:val="left"/>
      <w:pPr>
        <w:ind w:left="680" w:hanging="226"/>
      </w:pPr>
      <w:rPr>
        <w:rFonts w:ascii="Segoe UI" w:hAnsi="Segoe UI" w:hint="default"/>
        <w:sz w:val="16"/>
      </w:rPr>
    </w:lvl>
    <w:lvl w:ilvl="3">
      <w:start w:val="1"/>
      <w:numFmt w:val="decimal"/>
      <w:lvlText w:val="%4."/>
      <w:lvlJc w:val="left"/>
      <w:pPr>
        <w:ind w:left="5180" w:hanging="360"/>
      </w:pPr>
      <w:rPr>
        <w:rFonts w:hint="default"/>
      </w:rPr>
    </w:lvl>
    <w:lvl w:ilvl="4">
      <w:start w:val="1"/>
      <w:numFmt w:val="lowerLetter"/>
      <w:lvlText w:val="%5."/>
      <w:lvlJc w:val="left"/>
      <w:pPr>
        <w:ind w:left="5900" w:hanging="360"/>
      </w:pPr>
      <w:rPr>
        <w:rFonts w:hint="default"/>
      </w:rPr>
    </w:lvl>
    <w:lvl w:ilvl="5">
      <w:start w:val="1"/>
      <w:numFmt w:val="lowerRoman"/>
      <w:lvlText w:val="%6."/>
      <w:lvlJc w:val="right"/>
      <w:pPr>
        <w:ind w:left="6620" w:hanging="18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8060" w:hanging="360"/>
      </w:pPr>
      <w:rPr>
        <w:rFonts w:hint="default"/>
      </w:rPr>
    </w:lvl>
    <w:lvl w:ilvl="8">
      <w:start w:val="1"/>
      <w:numFmt w:val="lowerRoman"/>
      <w:lvlText w:val="%9."/>
      <w:lvlJc w:val="right"/>
      <w:pPr>
        <w:ind w:left="8780" w:hanging="180"/>
      </w:pPr>
      <w:rPr>
        <w:rFonts w:hint="default"/>
      </w:rPr>
    </w:lvl>
  </w:abstractNum>
  <w:num w:numId="1" w16cid:durableId="973949795">
    <w:abstractNumId w:val="36"/>
  </w:num>
  <w:num w:numId="2" w16cid:durableId="1904834601">
    <w:abstractNumId w:val="38"/>
  </w:num>
  <w:num w:numId="3" w16cid:durableId="1451437114">
    <w:abstractNumId w:val="7"/>
  </w:num>
  <w:num w:numId="4" w16cid:durableId="362483474">
    <w:abstractNumId w:val="4"/>
  </w:num>
  <w:num w:numId="5" w16cid:durableId="1092896547">
    <w:abstractNumId w:val="18"/>
  </w:num>
  <w:num w:numId="6" w16cid:durableId="1197548403">
    <w:abstractNumId w:val="20"/>
  </w:num>
  <w:num w:numId="7" w16cid:durableId="591396872">
    <w:abstractNumId w:val="24"/>
  </w:num>
  <w:num w:numId="8" w16cid:durableId="1618680033">
    <w:abstractNumId w:val="16"/>
  </w:num>
  <w:num w:numId="9" w16cid:durableId="57168027">
    <w:abstractNumId w:val="21"/>
  </w:num>
  <w:num w:numId="10" w16cid:durableId="402030122">
    <w:abstractNumId w:val="8"/>
  </w:num>
  <w:num w:numId="11" w16cid:durableId="1686787594">
    <w:abstractNumId w:val="26"/>
  </w:num>
  <w:num w:numId="12" w16cid:durableId="1553999941">
    <w:abstractNumId w:val="9"/>
  </w:num>
  <w:num w:numId="13" w16cid:durableId="308940386">
    <w:abstractNumId w:val="28"/>
  </w:num>
  <w:num w:numId="14" w16cid:durableId="1375076511">
    <w:abstractNumId w:val="15"/>
  </w:num>
  <w:num w:numId="15" w16cid:durableId="2079010838">
    <w:abstractNumId w:val="2"/>
  </w:num>
  <w:num w:numId="16" w16cid:durableId="1051613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2734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6169304">
    <w:abstractNumId w:val="3"/>
  </w:num>
  <w:num w:numId="19" w16cid:durableId="470555628">
    <w:abstractNumId w:val="23"/>
  </w:num>
  <w:num w:numId="20" w16cid:durableId="735276131">
    <w:abstractNumId w:val="17"/>
  </w:num>
  <w:num w:numId="21" w16cid:durableId="2088989705">
    <w:abstractNumId w:val="32"/>
  </w:num>
  <w:num w:numId="22" w16cid:durableId="413674895">
    <w:abstractNumId w:val="1"/>
  </w:num>
  <w:num w:numId="23" w16cid:durableId="245967100">
    <w:abstractNumId w:val="11"/>
  </w:num>
  <w:num w:numId="24" w16cid:durableId="1732654345">
    <w:abstractNumId w:val="31"/>
  </w:num>
  <w:num w:numId="25" w16cid:durableId="1481652973">
    <w:abstractNumId w:val="29"/>
  </w:num>
  <w:num w:numId="26" w16cid:durableId="258948243">
    <w:abstractNumId w:val="6"/>
  </w:num>
  <w:num w:numId="27" w16cid:durableId="454955245">
    <w:abstractNumId w:val="5"/>
  </w:num>
  <w:num w:numId="28" w16cid:durableId="1089425328">
    <w:abstractNumId w:val="30"/>
  </w:num>
  <w:num w:numId="29" w16cid:durableId="1504784958">
    <w:abstractNumId w:val="27"/>
  </w:num>
  <w:num w:numId="30" w16cid:durableId="571963509">
    <w:abstractNumId w:val="33"/>
  </w:num>
  <w:num w:numId="31" w16cid:durableId="844052097">
    <w:abstractNumId w:val="19"/>
  </w:num>
  <w:num w:numId="32" w16cid:durableId="2055032489">
    <w:abstractNumId w:val="37"/>
  </w:num>
  <w:num w:numId="33" w16cid:durableId="786772950">
    <w:abstractNumId w:val="34"/>
  </w:num>
  <w:num w:numId="34" w16cid:durableId="372581308">
    <w:abstractNumId w:val="10"/>
  </w:num>
  <w:num w:numId="35" w16cid:durableId="90005929">
    <w:abstractNumId w:val="22"/>
  </w:num>
  <w:num w:numId="36" w16cid:durableId="2132088880">
    <w:abstractNumId w:val="35"/>
  </w:num>
  <w:num w:numId="37" w16cid:durableId="535965865">
    <w:abstractNumId w:val="13"/>
  </w:num>
  <w:num w:numId="38" w16cid:durableId="1478304970">
    <w:abstractNumId w:val="14"/>
  </w:num>
  <w:num w:numId="39" w16cid:durableId="1638678989">
    <w:abstractNumId w:val="0"/>
  </w:num>
  <w:num w:numId="40" w16cid:durableId="1615405827">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47"/>
    <w:rsid w:val="00000024"/>
    <w:rsid w:val="00000065"/>
    <w:rsid w:val="000000A2"/>
    <w:rsid w:val="000001E7"/>
    <w:rsid w:val="00000221"/>
    <w:rsid w:val="0000026F"/>
    <w:rsid w:val="000002A7"/>
    <w:rsid w:val="00000368"/>
    <w:rsid w:val="00000447"/>
    <w:rsid w:val="000004F4"/>
    <w:rsid w:val="00000516"/>
    <w:rsid w:val="0000096C"/>
    <w:rsid w:val="00000CDC"/>
    <w:rsid w:val="00000DC7"/>
    <w:rsid w:val="00000E0A"/>
    <w:rsid w:val="00000E77"/>
    <w:rsid w:val="00000EC8"/>
    <w:rsid w:val="00000FA7"/>
    <w:rsid w:val="00001116"/>
    <w:rsid w:val="00001138"/>
    <w:rsid w:val="000011E6"/>
    <w:rsid w:val="00001292"/>
    <w:rsid w:val="000013E4"/>
    <w:rsid w:val="00001621"/>
    <w:rsid w:val="0000187A"/>
    <w:rsid w:val="00001923"/>
    <w:rsid w:val="00001947"/>
    <w:rsid w:val="0000198D"/>
    <w:rsid w:val="00001BFA"/>
    <w:rsid w:val="00001C57"/>
    <w:rsid w:val="00001C86"/>
    <w:rsid w:val="00001C9A"/>
    <w:rsid w:val="00001CAE"/>
    <w:rsid w:val="00001DA2"/>
    <w:rsid w:val="00001DAE"/>
    <w:rsid w:val="00001FDA"/>
    <w:rsid w:val="0000205B"/>
    <w:rsid w:val="0000224E"/>
    <w:rsid w:val="00002302"/>
    <w:rsid w:val="00002306"/>
    <w:rsid w:val="00002346"/>
    <w:rsid w:val="00002422"/>
    <w:rsid w:val="00002535"/>
    <w:rsid w:val="00002568"/>
    <w:rsid w:val="000025AE"/>
    <w:rsid w:val="0000288B"/>
    <w:rsid w:val="00002C0E"/>
    <w:rsid w:val="00002C94"/>
    <w:rsid w:val="00002E3D"/>
    <w:rsid w:val="00002E93"/>
    <w:rsid w:val="00003277"/>
    <w:rsid w:val="000032C5"/>
    <w:rsid w:val="000032E5"/>
    <w:rsid w:val="000032F4"/>
    <w:rsid w:val="00003546"/>
    <w:rsid w:val="000035FF"/>
    <w:rsid w:val="000036BC"/>
    <w:rsid w:val="00003995"/>
    <w:rsid w:val="000041AE"/>
    <w:rsid w:val="00004213"/>
    <w:rsid w:val="00004454"/>
    <w:rsid w:val="00004592"/>
    <w:rsid w:val="000045D9"/>
    <w:rsid w:val="000046F2"/>
    <w:rsid w:val="000047C1"/>
    <w:rsid w:val="000048E9"/>
    <w:rsid w:val="000049FD"/>
    <w:rsid w:val="00004A12"/>
    <w:rsid w:val="00004A15"/>
    <w:rsid w:val="00004AEF"/>
    <w:rsid w:val="00004B83"/>
    <w:rsid w:val="00004B9F"/>
    <w:rsid w:val="00004CB9"/>
    <w:rsid w:val="00004CF1"/>
    <w:rsid w:val="00004DB3"/>
    <w:rsid w:val="00004E2B"/>
    <w:rsid w:val="00004F40"/>
    <w:rsid w:val="00004F74"/>
    <w:rsid w:val="0000500D"/>
    <w:rsid w:val="00005123"/>
    <w:rsid w:val="00005568"/>
    <w:rsid w:val="00005687"/>
    <w:rsid w:val="000056A7"/>
    <w:rsid w:val="0000575A"/>
    <w:rsid w:val="0000587F"/>
    <w:rsid w:val="00005937"/>
    <w:rsid w:val="000059BD"/>
    <w:rsid w:val="00005B9F"/>
    <w:rsid w:val="00005C14"/>
    <w:rsid w:val="00005CB2"/>
    <w:rsid w:val="00005E69"/>
    <w:rsid w:val="00006017"/>
    <w:rsid w:val="000060FD"/>
    <w:rsid w:val="00006151"/>
    <w:rsid w:val="00006233"/>
    <w:rsid w:val="000063A5"/>
    <w:rsid w:val="0000651C"/>
    <w:rsid w:val="000065A0"/>
    <w:rsid w:val="000065C7"/>
    <w:rsid w:val="00006620"/>
    <w:rsid w:val="00006776"/>
    <w:rsid w:val="00006BA0"/>
    <w:rsid w:val="00006C12"/>
    <w:rsid w:val="00006D2A"/>
    <w:rsid w:val="00006D3A"/>
    <w:rsid w:val="00006D80"/>
    <w:rsid w:val="00006E63"/>
    <w:rsid w:val="00006F35"/>
    <w:rsid w:val="0000711C"/>
    <w:rsid w:val="0000714D"/>
    <w:rsid w:val="00007198"/>
    <w:rsid w:val="00007357"/>
    <w:rsid w:val="000073EC"/>
    <w:rsid w:val="000074F9"/>
    <w:rsid w:val="0000755C"/>
    <w:rsid w:val="0000760C"/>
    <w:rsid w:val="00007856"/>
    <w:rsid w:val="000079DF"/>
    <w:rsid w:val="00007A10"/>
    <w:rsid w:val="00007B8B"/>
    <w:rsid w:val="00007BCD"/>
    <w:rsid w:val="00007BD6"/>
    <w:rsid w:val="00007CB6"/>
    <w:rsid w:val="00007D76"/>
    <w:rsid w:val="00007FB5"/>
    <w:rsid w:val="0001017B"/>
    <w:rsid w:val="0001049E"/>
    <w:rsid w:val="0001098C"/>
    <w:rsid w:val="000109C1"/>
    <w:rsid w:val="00010C71"/>
    <w:rsid w:val="00010D57"/>
    <w:rsid w:val="00010D8C"/>
    <w:rsid w:val="0001132C"/>
    <w:rsid w:val="00011372"/>
    <w:rsid w:val="00011469"/>
    <w:rsid w:val="000114EE"/>
    <w:rsid w:val="0001174A"/>
    <w:rsid w:val="00011795"/>
    <w:rsid w:val="000117F9"/>
    <w:rsid w:val="00011855"/>
    <w:rsid w:val="000118B1"/>
    <w:rsid w:val="00011999"/>
    <w:rsid w:val="000119A4"/>
    <w:rsid w:val="000119EA"/>
    <w:rsid w:val="00011B5A"/>
    <w:rsid w:val="00011B96"/>
    <w:rsid w:val="00011BCB"/>
    <w:rsid w:val="00011C3B"/>
    <w:rsid w:val="00011C42"/>
    <w:rsid w:val="00011C6A"/>
    <w:rsid w:val="00011C9B"/>
    <w:rsid w:val="00011CE0"/>
    <w:rsid w:val="00011E11"/>
    <w:rsid w:val="00011E86"/>
    <w:rsid w:val="00011F2D"/>
    <w:rsid w:val="00011FCB"/>
    <w:rsid w:val="000120A0"/>
    <w:rsid w:val="000121F6"/>
    <w:rsid w:val="000122FA"/>
    <w:rsid w:val="000125F6"/>
    <w:rsid w:val="0001279B"/>
    <w:rsid w:val="000128EA"/>
    <w:rsid w:val="000128FD"/>
    <w:rsid w:val="00012BA5"/>
    <w:rsid w:val="00012C39"/>
    <w:rsid w:val="00012D75"/>
    <w:rsid w:val="00012E51"/>
    <w:rsid w:val="00012E7B"/>
    <w:rsid w:val="00012F74"/>
    <w:rsid w:val="0001312E"/>
    <w:rsid w:val="00013309"/>
    <w:rsid w:val="00013344"/>
    <w:rsid w:val="00013381"/>
    <w:rsid w:val="000133B9"/>
    <w:rsid w:val="000133BD"/>
    <w:rsid w:val="0001368D"/>
    <w:rsid w:val="000137EF"/>
    <w:rsid w:val="000137FA"/>
    <w:rsid w:val="00013BFE"/>
    <w:rsid w:val="00013C70"/>
    <w:rsid w:val="00013D55"/>
    <w:rsid w:val="00013E9C"/>
    <w:rsid w:val="00013F71"/>
    <w:rsid w:val="00014149"/>
    <w:rsid w:val="00014253"/>
    <w:rsid w:val="00014319"/>
    <w:rsid w:val="000143DD"/>
    <w:rsid w:val="00014536"/>
    <w:rsid w:val="00014639"/>
    <w:rsid w:val="00014768"/>
    <w:rsid w:val="000147A6"/>
    <w:rsid w:val="000147BC"/>
    <w:rsid w:val="00014A09"/>
    <w:rsid w:val="00014BFE"/>
    <w:rsid w:val="00014C35"/>
    <w:rsid w:val="00014C75"/>
    <w:rsid w:val="00014C99"/>
    <w:rsid w:val="00014D26"/>
    <w:rsid w:val="00014D3F"/>
    <w:rsid w:val="00014D7F"/>
    <w:rsid w:val="00014DDA"/>
    <w:rsid w:val="000150CF"/>
    <w:rsid w:val="000151A4"/>
    <w:rsid w:val="00015250"/>
    <w:rsid w:val="000152BC"/>
    <w:rsid w:val="00015402"/>
    <w:rsid w:val="0001574B"/>
    <w:rsid w:val="000158E3"/>
    <w:rsid w:val="000159F9"/>
    <w:rsid w:val="00015AA0"/>
    <w:rsid w:val="00015AF4"/>
    <w:rsid w:val="00015BAC"/>
    <w:rsid w:val="00015CCB"/>
    <w:rsid w:val="00015D55"/>
    <w:rsid w:val="00015DF6"/>
    <w:rsid w:val="00015F91"/>
    <w:rsid w:val="0001604F"/>
    <w:rsid w:val="00016055"/>
    <w:rsid w:val="000160EC"/>
    <w:rsid w:val="0001638D"/>
    <w:rsid w:val="0001640E"/>
    <w:rsid w:val="000164BF"/>
    <w:rsid w:val="0001656F"/>
    <w:rsid w:val="00016759"/>
    <w:rsid w:val="0001677F"/>
    <w:rsid w:val="00016A6B"/>
    <w:rsid w:val="00016BA0"/>
    <w:rsid w:val="00016D68"/>
    <w:rsid w:val="00017137"/>
    <w:rsid w:val="000172A9"/>
    <w:rsid w:val="0001732C"/>
    <w:rsid w:val="00017387"/>
    <w:rsid w:val="000173CB"/>
    <w:rsid w:val="0001743A"/>
    <w:rsid w:val="0001745B"/>
    <w:rsid w:val="000174ED"/>
    <w:rsid w:val="000178F2"/>
    <w:rsid w:val="00017946"/>
    <w:rsid w:val="00017998"/>
    <w:rsid w:val="00017B9E"/>
    <w:rsid w:val="00017C30"/>
    <w:rsid w:val="0002002F"/>
    <w:rsid w:val="00020083"/>
    <w:rsid w:val="000200D1"/>
    <w:rsid w:val="000202FB"/>
    <w:rsid w:val="000204D8"/>
    <w:rsid w:val="000205B2"/>
    <w:rsid w:val="00020758"/>
    <w:rsid w:val="000207A2"/>
    <w:rsid w:val="000207E8"/>
    <w:rsid w:val="0002087E"/>
    <w:rsid w:val="00020A32"/>
    <w:rsid w:val="00020D74"/>
    <w:rsid w:val="00020DD7"/>
    <w:rsid w:val="00020E5E"/>
    <w:rsid w:val="00020EA9"/>
    <w:rsid w:val="00020EEA"/>
    <w:rsid w:val="0002105C"/>
    <w:rsid w:val="000211F6"/>
    <w:rsid w:val="00021214"/>
    <w:rsid w:val="000215FF"/>
    <w:rsid w:val="0002165F"/>
    <w:rsid w:val="00021A08"/>
    <w:rsid w:val="00021A8B"/>
    <w:rsid w:val="00021ABE"/>
    <w:rsid w:val="00021AFF"/>
    <w:rsid w:val="00021B4E"/>
    <w:rsid w:val="00021BE0"/>
    <w:rsid w:val="00021DF7"/>
    <w:rsid w:val="00021F19"/>
    <w:rsid w:val="00021F35"/>
    <w:rsid w:val="0002205D"/>
    <w:rsid w:val="00022138"/>
    <w:rsid w:val="00022232"/>
    <w:rsid w:val="00022296"/>
    <w:rsid w:val="0002233E"/>
    <w:rsid w:val="00022389"/>
    <w:rsid w:val="00022630"/>
    <w:rsid w:val="0002263A"/>
    <w:rsid w:val="00022648"/>
    <w:rsid w:val="000226CC"/>
    <w:rsid w:val="000226F0"/>
    <w:rsid w:val="000228C6"/>
    <w:rsid w:val="00022B2A"/>
    <w:rsid w:val="00022C52"/>
    <w:rsid w:val="00022CAC"/>
    <w:rsid w:val="00022D6B"/>
    <w:rsid w:val="00022EB2"/>
    <w:rsid w:val="00023057"/>
    <w:rsid w:val="000230A7"/>
    <w:rsid w:val="00023126"/>
    <w:rsid w:val="0002314A"/>
    <w:rsid w:val="000231AF"/>
    <w:rsid w:val="0002324D"/>
    <w:rsid w:val="0002336D"/>
    <w:rsid w:val="000233A6"/>
    <w:rsid w:val="0002343B"/>
    <w:rsid w:val="0002355E"/>
    <w:rsid w:val="00023803"/>
    <w:rsid w:val="000239AC"/>
    <w:rsid w:val="000239F9"/>
    <w:rsid w:val="00023B49"/>
    <w:rsid w:val="00023B96"/>
    <w:rsid w:val="00023E3C"/>
    <w:rsid w:val="00023FB2"/>
    <w:rsid w:val="00023FE1"/>
    <w:rsid w:val="0002408C"/>
    <w:rsid w:val="00024141"/>
    <w:rsid w:val="000241E3"/>
    <w:rsid w:val="00024277"/>
    <w:rsid w:val="00024292"/>
    <w:rsid w:val="00024310"/>
    <w:rsid w:val="000243B0"/>
    <w:rsid w:val="0002440F"/>
    <w:rsid w:val="0002464C"/>
    <w:rsid w:val="00024689"/>
    <w:rsid w:val="000246EE"/>
    <w:rsid w:val="00024753"/>
    <w:rsid w:val="00024B2D"/>
    <w:rsid w:val="00024BD5"/>
    <w:rsid w:val="00024C5E"/>
    <w:rsid w:val="00024DBE"/>
    <w:rsid w:val="00024EB0"/>
    <w:rsid w:val="00024F17"/>
    <w:rsid w:val="00024F27"/>
    <w:rsid w:val="00025075"/>
    <w:rsid w:val="000250B7"/>
    <w:rsid w:val="0002524A"/>
    <w:rsid w:val="0002537C"/>
    <w:rsid w:val="000256EA"/>
    <w:rsid w:val="000257EA"/>
    <w:rsid w:val="00025A23"/>
    <w:rsid w:val="00025B80"/>
    <w:rsid w:val="00025B90"/>
    <w:rsid w:val="00025BA1"/>
    <w:rsid w:val="00025BFD"/>
    <w:rsid w:val="00025D24"/>
    <w:rsid w:val="00025EBC"/>
    <w:rsid w:val="00025EF9"/>
    <w:rsid w:val="000260C6"/>
    <w:rsid w:val="000260E9"/>
    <w:rsid w:val="000261B4"/>
    <w:rsid w:val="000261D4"/>
    <w:rsid w:val="000261F8"/>
    <w:rsid w:val="00026241"/>
    <w:rsid w:val="00026264"/>
    <w:rsid w:val="000263F7"/>
    <w:rsid w:val="00026694"/>
    <w:rsid w:val="000266A1"/>
    <w:rsid w:val="00026733"/>
    <w:rsid w:val="000268C3"/>
    <w:rsid w:val="000268F2"/>
    <w:rsid w:val="0002697B"/>
    <w:rsid w:val="000269BC"/>
    <w:rsid w:val="00026BD3"/>
    <w:rsid w:val="00026CCB"/>
    <w:rsid w:val="00026DB4"/>
    <w:rsid w:val="00026DC8"/>
    <w:rsid w:val="00026E43"/>
    <w:rsid w:val="00026EE3"/>
    <w:rsid w:val="00026F15"/>
    <w:rsid w:val="00026F65"/>
    <w:rsid w:val="00027150"/>
    <w:rsid w:val="000272B6"/>
    <w:rsid w:val="000273DE"/>
    <w:rsid w:val="00027695"/>
    <w:rsid w:val="0002770B"/>
    <w:rsid w:val="0002771A"/>
    <w:rsid w:val="00027729"/>
    <w:rsid w:val="0002786B"/>
    <w:rsid w:val="0002788E"/>
    <w:rsid w:val="000279EF"/>
    <w:rsid w:val="00027B7F"/>
    <w:rsid w:val="00027E1B"/>
    <w:rsid w:val="00027F57"/>
    <w:rsid w:val="00030107"/>
    <w:rsid w:val="000302AA"/>
    <w:rsid w:val="0003042E"/>
    <w:rsid w:val="00030581"/>
    <w:rsid w:val="0003058C"/>
    <w:rsid w:val="000305EA"/>
    <w:rsid w:val="000307D6"/>
    <w:rsid w:val="00030814"/>
    <w:rsid w:val="00030A33"/>
    <w:rsid w:val="00030CC4"/>
    <w:rsid w:val="00030DFD"/>
    <w:rsid w:val="000310B7"/>
    <w:rsid w:val="000313D0"/>
    <w:rsid w:val="00031533"/>
    <w:rsid w:val="000315DB"/>
    <w:rsid w:val="000316CF"/>
    <w:rsid w:val="000317FA"/>
    <w:rsid w:val="000318A0"/>
    <w:rsid w:val="000318AC"/>
    <w:rsid w:val="000319E4"/>
    <w:rsid w:val="00031B29"/>
    <w:rsid w:val="00031BC3"/>
    <w:rsid w:val="00031CE6"/>
    <w:rsid w:val="00031D4B"/>
    <w:rsid w:val="00031DA0"/>
    <w:rsid w:val="00031DA4"/>
    <w:rsid w:val="00031F01"/>
    <w:rsid w:val="00031FEB"/>
    <w:rsid w:val="0003216A"/>
    <w:rsid w:val="000322CD"/>
    <w:rsid w:val="00032410"/>
    <w:rsid w:val="00032417"/>
    <w:rsid w:val="000324B4"/>
    <w:rsid w:val="00032546"/>
    <w:rsid w:val="00032586"/>
    <w:rsid w:val="00032635"/>
    <w:rsid w:val="0003286A"/>
    <w:rsid w:val="0003297A"/>
    <w:rsid w:val="00032A07"/>
    <w:rsid w:val="00032B3A"/>
    <w:rsid w:val="00032DC6"/>
    <w:rsid w:val="00032DD5"/>
    <w:rsid w:val="00032E6E"/>
    <w:rsid w:val="00032ED5"/>
    <w:rsid w:val="00032EDD"/>
    <w:rsid w:val="00032F14"/>
    <w:rsid w:val="0003308E"/>
    <w:rsid w:val="0003313A"/>
    <w:rsid w:val="000331DB"/>
    <w:rsid w:val="0003357B"/>
    <w:rsid w:val="0003359C"/>
    <w:rsid w:val="0003362A"/>
    <w:rsid w:val="00033646"/>
    <w:rsid w:val="0003364D"/>
    <w:rsid w:val="000336F6"/>
    <w:rsid w:val="0003390A"/>
    <w:rsid w:val="00033924"/>
    <w:rsid w:val="00033A1E"/>
    <w:rsid w:val="00033A9C"/>
    <w:rsid w:val="00033B3F"/>
    <w:rsid w:val="00033CD4"/>
    <w:rsid w:val="00033CF4"/>
    <w:rsid w:val="00033E6D"/>
    <w:rsid w:val="000340A3"/>
    <w:rsid w:val="000340CA"/>
    <w:rsid w:val="0003412A"/>
    <w:rsid w:val="00034141"/>
    <w:rsid w:val="0003425D"/>
    <w:rsid w:val="00034660"/>
    <w:rsid w:val="00034728"/>
    <w:rsid w:val="0003477A"/>
    <w:rsid w:val="00034861"/>
    <w:rsid w:val="0003488E"/>
    <w:rsid w:val="00034B18"/>
    <w:rsid w:val="00034E7E"/>
    <w:rsid w:val="00034F3A"/>
    <w:rsid w:val="00034F9B"/>
    <w:rsid w:val="00035071"/>
    <w:rsid w:val="000350BB"/>
    <w:rsid w:val="000351F9"/>
    <w:rsid w:val="00035347"/>
    <w:rsid w:val="000353BC"/>
    <w:rsid w:val="000354F4"/>
    <w:rsid w:val="0003552F"/>
    <w:rsid w:val="00035627"/>
    <w:rsid w:val="000356F4"/>
    <w:rsid w:val="00035C12"/>
    <w:rsid w:val="00035E5E"/>
    <w:rsid w:val="00035F49"/>
    <w:rsid w:val="00036019"/>
    <w:rsid w:val="00036286"/>
    <w:rsid w:val="00036290"/>
    <w:rsid w:val="00036324"/>
    <w:rsid w:val="000365EB"/>
    <w:rsid w:val="0003669B"/>
    <w:rsid w:val="000366CC"/>
    <w:rsid w:val="000366D0"/>
    <w:rsid w:val="00036828"/>
    <w:rsid w:val="00036907"/>
    <w:rsid w:val="000369A2"/>
    <w:rsid w:val="00036A1E"/>
    <w:rsid w:val="00036A65"/>
    <w:rsid w:val="00036B32"/>
    <w:rsid w:val="00036C2A"/>
    <w:rsid w:val="000370A0"/>
    <w:rsid w:val="0003714B"/>
    <w:rsid w:val="0003716F"/>
    <w:rsid w:val="000371D4"/>
    <w:rsid w:val="00037406"/>
    <w:rsid w:val="000374C6"/>
    <w:rsid w:val="00037552"/>
    <w:rsid w:val="00037712"/>
    <w:rsid w:val="0003781D"/>
    <w:rsid w:val="000378D1"/>
    <w:rsid w:val="000379E8"/>
    <w:rsid w:val="00037C03"/>
    <w:rsid w:val="00037CE0"/>
    <w:rsid w:val="00037D8D"/>
    <w:rsid w:val="00037E23"/>
    <w:rsid w:val="00037E3E"/>
    <w:rsid w:val="00040036"/>
    <w:rsid w:val="000400D5"/>
    <w:rsid w:val="000400FD"/>
    <w:rsid w:val="0004015B"/>
    <w:rsid w:val="00040193"/>
    <w:rsid w:val="000401FC"/>
    <w:rsid w:val="00040261"/>
    <w:rsid w:val="000402F8"/>
    <w:rsid w:val="0004033A"/>
    <w:rsid w:val="00040358"/>
    <w:rsid w:val="00040405"/>
    <w:rsid w:val="0004059C"/>
    <w:rsid w:val="00040683"/>
    <w:rsid w:val="00040719"/>
    <w:rsid w:val="00040B3E"/>
    <w:rsid w:val="00040BD6"/>
    <w:rsid w:val="00040D37"/>
    <w:rsid w:val="00040D79"/>
    <w:rsid w:val="00040DBC"/>
    <w:rsid w:val="00040DEF"/>
    <w:rsid w:val="00040F0B"/>
    <w:rsid w:val="00041182"/>
    <w:rsid w:val="0004125A"/>
    <w:rsid w:val="00041376"/>
    <w:rsid w:val="000414D4"/>
    <w:rsid w:val="00041602"/>
    <w:rsid w:val="00041683"/>
    <w:rsid w:val="000417B7"/>
    <w:rsid w:val="00041851"/>
    <w:rsid w:val="00041A4E"/>
    <w:rsid w:val="00041A9E"/>
    <w:rsid w:val="00041ACE"/>
    <w:rsid w:val="00041BCD"/>
    <w:rsid w:val="00041C9D"/>
    <w:rsid w:val="00041D2A"/>
    <w:rsid w:val="00041D68"/>
    <w:rsid w:val="00041DD5"/>
    <w:rsid w:val="00041E53"/>
    <w:rsid w:val="00041ED6"/>
    <w:rsid w:val="00041EDC"/>
    <w:rsid w:val="00042021"/>
    <w:rsid w:val="0004221A"/>
    <w:rsid w:val="000422E6"/>
    <w:rsid w:val="000424CC"/>
    <w:rsid w:val="0004250F"/>
    <w:rsid w:val="000426D1"/>
    <w:rsid w:val="0004295B"/>
    <w:rsid w:val="00042A70"/>
    <w:rsid w:val="00042AAF"/>
    <w:rsid w:val="00042B33"/>
    <w:rsid w:val="00042B34"/>
    <w:rsid w:val="00042D9B"/>
    <w:rsid w:val="00042E17"/>
    <w:rsid w:val="00043124"/>
    <w:rsid w:val="000433B8"/>
    <w:rsid w:val="000434F5"/>
    <w:rsid w:val="00043614"/>
    <w:rsid w:val="00043697"/>
    <w:rsid w:val="000436B8"/>
    <w:rsid w:val="000436FF"/>
    <w:rsid w:val="000437D9"/>
    <w:rsid w:val="00043879"/>
    <w:rsid w:val="00043899"/>
    <w:rsid w:val="000439A1"/>
    <w:rsid w:val="000439EA"/>
    <w:rsid w:val="00043A78"/>
    <w:rsid w:val="00043AAE"/>
    <w:rsid w:val="00043B14"/>
    <w:rsid w:val="00043E1F"/>
    <w:rsid w:val="00043E85"/>
    <w:rsid w:val="00043EE1"/>
    <w:rsid w:val="00043FD7"/>
    <w:rsid w:val="00044009"/>
    <w:rsid w:val="00044180"/>
    <w:rsid w:val="000444B9"/>
    <w:rsid w:val="00044695"/>
    <w:rsid w:val="0004477D"/>
    <w:rsid w:val="00044856"/>
    <w:rsid w:val="0004487F"/>
    <w:rsid w:val="0004490D"/>
    <w:rsid w:val="000449AB"/>
    <w:rsid w:val="00044B13"/>
    <w:rsid w:val="00044B27"/>
    <w:rsid w:val="00044B71"/>
    <w:rsid w:val="00044B81"/>
    <w:rsid w:val="00044C04"/>
    <w:rsid w:val="00044C1F"/>
    <w:rsid w:val="00044CD4"/>
    <w:rsid w:val="00044D19"/>
    <w:rsid w:val="00044E35"/>
    <w:rsid w:val="00044E4C"/>
    <w:rsid w:val="0004511F"/>
    <w:rsid w:val="0004532E"/>
    <w:rsid w:val="00045592"/>
    <w:rsid w:val="0004560D"/>
    <w:rsid w:val="0004566C"/>
    <w:rsid w:val="0004571C"/>
    <w:rsid w:val="0004579D"/>
    <w:rsid w:val="0004588F"/>
    <w:rsid w:val="00045970"/>
    <w:rsid w:val="000459D0"/>
    <w:rsid w:val="00045A1C"/>
    <w:rsid w:val="00045C8E"/>
    <w:rsid w:val="00045D27"/>
    <w:rsid w:val="00046103"/>
    <w:rsid w:val="000461E2"/>
    <w:rsid w:val="00046217"/>
    <w:rsid w:val="00046335"/>
    <w:rsid w:val="000463DC"/>
    <w:rsid w:val="000464B0"/>
    <w:rsid w:val="0004652D"/>
    <w:rsid w:val="0004659C"/>
    <w:rsid w:val="000465C0"/>
    <w:rsid w:val="00046700"/>
    <w:rsid w:val="0004674B"/>
    <w:rsid w:val="00046827"/>
    <w:rsid w:val="00046882"/>
    <w:rsid w:val="000468C2"/>
    <w:rsid w:val="0004691C"/>
    <w:rsid w:val="0004695C"/>
    <w:rsid w:val="00046965"/>
    <w:rsid w:val="00046A40"/>
    <w:rsid w:val="00046A44"/>
    <w:rsid w:val="00046B89"/>
    <w:rsid w:val="00046C4B"/>
    <w:rsid w:val="00046D7E"/>
    <w:rsid w:val="00046F9B"/>
    <w:rsid w:val="00047507"/>
    <w:rsid w:val="0004754C"/>
    <w:rsid w:val="0004773E"/>
    <w:rsid w:val="000478E8"/>
    <w:rsid w:val="00047911"/>
    <w:rsid w:val="0004793F"/>
    <w:rsid w:val="000479C5"/>
    <w:rsid w:val="00047AFB"/>
    <w:rsid w:val="00047B93"/>
    <w:rsid w:val="00047B99"/>
    <w:rsid w:val="00047BCE"/>
    <w:rsid w:val="00047F02"/>
    <w:rsid w:val="00047F5F"/>
    <w:rsid w:val="00047F62"/>
    <w:rsid w:val="00047F7A"/>
    <w:rsid w:val="0005017D"/>
    <w:rsid w:val="00050297"/>
    <w:rsid w:val="000503C5"/>
    <w:rsid w:val="000503DE"/>
    <w:rsid w:val="00050419"/>
    <w:rsid w:val="00050605"/>
    <w:rsid w:val="0005077A"/>
    <w:rsid w:val="00050853"/>
    <w:rsid w:val="000509EB"/>
    <w:rsid w:val="00050A04"/>
    <w:rsid w:val="00050B15"/>
    <w:rsid w:val="00050E18"/>
    <w:rsid w:val="00051A03"/>
    <w:rsid w:val="00051AE4"/>
    <w:rsid w:val="00051C35"/>
    <w:rsid w:val="00051DCA"/>
    <w:rsid w:val="00051E84"/>
    <w:rsid w:val="00052284"/>
    <w:rsid w:val="000525A0"/>
    <w:rsid w:val="000529D4"/>
    <w:rsid w:val="00052A46"/>
    <w:rsid w:val="00052AAF"/>
    <w:rsid w:val="00052B5B"/>
    <w:rsid w:val="00052C03"/>
    <w:rsid w:val="00052C65"/>
    <w:rsid w:val="00052CF2"/>
    <w:rsid w:val="00052D84"/>
    <w:rsid w:val="00052EB9"/>
    <w:rsid w:val="00052ED4"/>
    <w:rsid w:val="0005300A"/>
    <w:rsid w:val="0005303F"/>
    <w:rsid w:val="0005316A"/>
    <w:rsid w:val="0005316F"/>
    <w:rsid w:val="00053173"/>
    <w:rsid w:val="00053370"/>
    <w:rsid w:val="000533D8"/>
    <w:rsid w:val="00053404"/>
    <w:rsid w:val="00053470"/>
    <w:rsid w:val="000535A1"/>
    <w:rsid w:val="000535ED"/>
    <w:rsid w:val="00053751"/>
    <w:rsid w:val="00053826"/>
    <w:rsid w:val="00053914"/>
    <w:rsid w:val="00053A16"/>
    <w:rsid w:val="00053B47"/>
    <w:rsid w:val="00053E61"/>
    <w:rsid w:val="00054256"/>
    <w:rsid w:val="000542BC"/>
    <w:rsid w:val="00054560"/>
    <w:rsid w:val="000546D9"/>
    <w:rsid w:val="00054756"/>
    <w:rsid w:val="0005475A"/>
    <w:rsid w:val="0005476F"/>
    <w:rsid w:val="000547E4"/>
    <w:rsid w:val="0005486B"/>
    <w:rsid w:val="00054C97"/>
    <w:rsid w:val="00054CBA"/>
    <w:rsid w:val="00054CDC"/>
    <w:rsid w:val="00054DF8"/>
    <w:rsid w:val="00054F7F"/>
    <w:rsid w:val="0005501C"/>
    <w:rsid w:val="00055090"/>
    <w:rsid w:val="000551E7"/>
    <w:rsid w:val="00055614"/>
    <w:rsid w:val="0005574D"/>
    <w:rsid w:val="00055807"/>
    <w:rsid w:val="00055BEC"/>
    <w:rsid w:val="00055DB9"/>
    <w:rsid w:val="00055E35"/>
    <w:rsid w:val="00055E44"/>
    <w:rsid w:val="00055EDF"/>
    <w:rsid w:val="00055F55"/>
    <w:rsid w:val="00055F9D"/>
    <w:rsid w:val="0005602F"/>
    <w:rsid w:val="00056280"/>
    <w:rsid w:val="0005634D"/>
    <w:rsid w:val="0005637D"/>
    <w:rsid w:val="00056401"/>
    <w:rsid w:val="00056576"/>
    <w:rsid w:val="000565A8"/>
    <w:rsid w:val="000567A0"/>
    <w:rsid w:val="000567F7"/>
    <w:rsid w:val="00056848"/>
    <w:rsid w:val="00056934"/>
    <w:rsid w:val="00056A40"/>
    <w:rsid w:val="00056B6C"/>
    <w:rsid w:val="00056BE0"/>
    <w:rsid w:val="00056DC5"/>
    <w:rsid w:val="00056E87"/>
    <w:rsid w:val="000573DA"/>
    <w:rsid w:val="00057419"/>
    <w:rsid w:val="000574A6"/>
    <w:rsid w:val="0005751C"/>
    <w:rsid w:val="0005756F"/>
    <w:rsid w:val="00057610"/>
    <w:rsid w:val="0005762F"/>
    <w:rsid w:val="000576BA"/>
    <w:rsid w:val="000577A1"/>
    <w:rsid w:val="000577F6"/>
    <w:rsid w:val="00057805"/>
    <w:rsid w:val="000578EE"/>
    <w:rsid w:val="000579F7"/>
    <w:rsid w:val="00057A8E"/>
    <w:rsid w:val="00057D7E"/>
    <w:rsid w:val="00057DEC"/>
    <w:rsid w:val="0006009A"/>
    <w:rsid w:val="000602C4"/>
    <w:rsid w:val="000602EE"/>
    <w:rsid w:val="000603BB"/>
    <w:rsid w:val="0006040C"/>
    <w:rsid w:val="00060625"/>
    <w:rsid w:val="0006063B"/>
    <w:rsid w:val="00060818"/>
    <w:rsid w:val="000608EA"/>
    <w:rsid w:val="000608F2"/>
    <w:rsid w:val="00060A04"/>
    <w:rsid w:val="00060A77"/>
    <w:rsid w:val="00060AD5"/>
    <w:rsid w:val="00060BDC"/>
    <w:rsid w:val="00060D59"/>
    <w:rsid w:val="00060DEB"/>
    <w:rsid w:val="00060E04"/>
    <w:rsid w:val="00060EC4"/>
    <w:rsid w:val="00060EF6"/>
    <w:rsid w:val="00060FF0"/>
    <w:rsid w:val="0006137B"/>
    <w:rsid w:val="00061394"/>
    <w:rsid w:val="000613AD"/>
    <w:rsid w:val="00061467"/>
    <w:rsid w:val="000614ED"/>
    <w:rsid w:val="00061536"/>
    <w:rsid w:val="00061645"/>
    <w:rsid w:val="000617AA"/>
    <w:rsid w:val="00061954"/>
    <w:rsid w:val="00061956"/>
    <w:rsid w:val="00061E24"/>
    <w:rsid w:val="00061FD4"/>
    <w:rsid w:val="000620F5"/>
    <w:rsid w:val="00062230"/>
    <w:rsid w:val="0006224B"/>
    <w:rsid w:val="000622D3"/>
    <w:rsid w:val="00062576"/>
    <w:rsid w:val="0006269C"/>
    <w:rsid w:val="000626CA"/>
    <w:rsid w:val="000626FE"/>
    <w:rsid w:val="00062737"/>
    <w:rsid w:val="00062865"/>
    <w:rsid w:val="000628FD"/>
    <w:rsid w:val="00062996"/>
    <w:rsid w:val="00062A68"/>
    <w:rsid w:val="00062CD7"/>
    <w:rsid w:val="00062CDC"/>
    <w:rsid w:val="00062CE1"/>
    <w:rsid w:val="00062CE8"/>
    <w:rsid w:val="00062E23"/>
    <w:rsid w:val="00062F01"/>
    <w:rsid w:val="00062F04"/>
    <w:rsid w:val="00063108"/>
    <w:rsid w:val="000631B4"/>
    <w:rsid w:val="000631EA"/>
    <w:rsid w:val="000632DB"/>
    <w:rsid w:val="000632F1"/>
    <w:rsid w:val="00063346"/>
    <w:rsid w:val="00063426"/>
    <w:rsid w:val="000634A2"/>
    <w:rsid w:val="00063670"/>
    <w:rsid w:val="0006368E"/>
    <w:rsid w:val="0006378B"/>
    <w:rsid w:val="0006387B"/>
    <w:rsid w:val="00063972"/>
    <w:rsid w:val="000639A1"/>
    <w:rsid w:val="00063CC6"/>
    <w:rsid w:val="00063CFC"/>
    <w:rsid w:val="00063F3A"/>
    <w:rsid w:val="00064053"/>
    <w:rsid w:val="0006419A"/>
    <w:rsid w:val="0006428E"/>
    <w:rsid w:val="00064499"/>
    <w:rsid w:val="0006449A"/>
    <w:rsid w:val="000644CC"/>
    <w:rsid w:val="000645A6"/>
    <w:rsid w:val="00064795"/>
    <w:rsid w:val="00064A30"/>
    <w:rsid w:val="00064B26"/>
    <w:rsid w:val="00064BAA"/>
    <w:rsid w:val="00064D7A"/>
    <w:rsid w:val="00064E02"/>
    <w:rsid w:val="00064F70"/>
    <w:rsid w:val="00064F83"/>
    <w:rsid w:val="00065088"/>
    <w:rsid w:val="0006532E"/>
    <w:rsid w:val="00065343"/>
    <w:rsid w:val="0006534B"/>
    <w:rsid w:val="000653CB"/>
    <w:rsid w:val="00065658"/>
    <w:rsid w:val="0006566C"/>
    <w:rsid w:val="000656E8"/>
    <w:rsid w:val="00065784"/>
    <w:rsid w:val="0006596B"/>
    <w:rsid w:val="000659F8"/>
    <w:rsid w:val="00065C75"/>
    <w:rsid w:val="00065D05"/>
    <w:rsid w:val="00065DF2"/>
    <w:rsid w:val="00065F48"/>
    <w:rsid w:val="000660A3"/>
    <w:rsid w:val="00066118"/>
    <w:rsid w:val="0006612E"/>
    <w:rsid w:val="0006616C"/>
    <w:rsid w:val="000661B7"/>
    <w:rsid w:val="000661C6"/>
    <w:rsid w:val="00066230"/>
    <w:rsid w:val="0006626F"/>
    <w:rsid w:val="0006637D"/>
    <w:rsid w:val="0006639B"/>
    <w:rsid w:val="000665C3"/>
    <w:rsid w:val="0006664C"/>
    <w:rsid w:val="000668FE"/>
    <w:rsid w:val="0006696C"/>
    <w:rsid w:val="00066B58"/>
    <w:rsid w:val="00066CE2"/>
    <w:rsid w:val="00066CFA"/>
    <w:rsid w:val="00066E5F"/>
    <w:rsid w:val="00066F1E"/>
    <w:rsid w:val="000670D0"/>
    <w:rsid w:val="000671DE"/>
    <w:rsid w:val="00067349"/>
    <w:rsid w:val="000673AA"/>
    <w:rsid w:val="00067776"/>
    <w:rsid w:val="0006780D"/>
    <w:rsid w:val="000678C1"/>
    <w:rsid w:val="00067958"/>
    <w:rsid w:val="00067BD1"/>
    <w:rsid w:val="00067CAE"/>
    <w:rsid w:val="00067CC5"/>
    <w:rsid w:val="00067D30"/>
    <w:rsid w:val="00067D6A"/>
    <w:rsid w:val="00067D7B"/>
    <w:rsid w:val="00067F61"/>
    <w:rsid w:val="0007012F"/>
    <w:rsid w:val="00070208"/>
    <w:rsid w:val="00070277"/>
    <w:rsid w:val="000703F4"/>
    <w:rsid w:val="000704CC"/>
    <w:rsid w:val="00070525"/>
    <w:rsid w:val="000705EB"/>
    <w:rsid w:val="000707A9"/>
    <w:rsid w:val="000707BB"/>
    <w:rsid w:val="00070867"/>
    <w:rsid w:val="00070946"/>
    <w:rsid w:val="00070947"/>
    <w:rsid w:val="00070CA6"/>
    <w:rsid w:val="00070DFF"/>
    <w:rsid w:val="00071051"/>
    <w:rsid w:val="00071191"/>
    <w:rsid w:val="000711B5"/>
    <w:rsid w:val="0007155F"/>
    <w:rsid w:val="00071642"/>
    <w:rsid w:val="000716B5"/>
    <w:rsid w:val="000717CE"/>
    <w:rsid w:val="00071AFD"/>
    <w:rsid w:val="00071B6E"/>
    <w:rsid w:val="00071CF6"/>
    <w:rsid w:val="00071CFC"/>
    <w:rsid w:val="00071D23"/>
    <w:rsid w:val="00071DFF"/>
    <w:rsid w:val="00071E30"/>
    <w:rsid w:val="000720D2"/>
    <w:rsid w:val="000721FF"/>
    <w:rsid w:val="00072466"/>
    <w:rsid w:val="0007256E"/>
    <w:rsid w:val="00072787"/>
    <w:rsid w:val="000728B9"/>
    <w:rsid w:val="000728CE"/>
    <w:rsid w:val="0007296D"/>
    <w:rsid w:val="0007297A"/>
    <w:rsid w:val="00072B28"/>
    <w:rsid w:val="00072B5E"/>
    <w:rsid w:val="00072F20"/>
    <w:rsid w:val="00073069"/>
    <w:rsid w:val="000731B2"/>
    <w:rsid w:val="000732B0"/>
    <w:rsid w:val="0007336E"/>
    <w:rsid w:val="000735CE"/>
    <w:rsid w:val="0007370A"/>
    <w:rsid w:val="00073768"/>
    <w:rsid w:val="00073968"/>
    <w:rsid w:val="00073A2D"/>
    <w:rsid w:val="00073CCC"/>
    <w:rsid w:val="00073D9D"/>
    <w:rsid w:val="00073DBB"/>
    <w:rsid w:val="00073E3B"/>
    <w:rsid w:val="00073E9C"/>
    <w:rsid w:val="00073F1B"/>
    <w:rsid w:val="00073F7C"/>
    <w:rsid w:val="00073FCB"/>
    <w:rsid w:val="00074004"/>
    <w:rsid w:val="0007401E"/>
    <w:rsid w:val="00074082"/>
    <w:rsid w:val="000740FA"/>
    <w:rsid w:val="0007411A"/>
    <w:rsid w:val="000741A9"/>
    <w:rsid w:val="000743AA"/>
    <w:rsid w:val="00074441"/>
    <w:rsid w:val="0007465B"/>
    <w:rsid w:val="000746D2"/>
    <w:rsid w:val="000747BB"/>
    <w:rsid w:val="000747EA"/>
    <w:rsid w:val="00074828"/>
    <w:rsid w:val="000749C2"/>
    <w:rsid w:val="00074EC3"/>
    <w:rsid w:val="00074EFD"/>
    <w:rsid w:val="00074FD0"/>
    <w:rsid w:val="0007515B"/>
    <w:rsid w:val="0007520B"/>
    <w:rsid w:val="00075225"/>
    <w:rsid w:val="000752B7"/>
    <w:rsid w:val="000753F6"/>
    <w:rsid w:val="00075448"/>
    <w:rsid w:val="00075709"/>
    <w:rsid w:val="00075782"/>
    <w:rsid w:val="000759C1"/>
    <w:rsid w:val="000759E9"/>
    <w:rsid w:val="00075BB9"/>
    <w:rsid w:val="00075CA0"/>
    <w:rsid w:val="00075CD5"/>
    <w:rsid w:val="00075EA8"/>
    <w:rsid w:val="00076046"/>
    <w:rsid w:val="000761AB"/>
    <w:rsid w:val="00076640"/>
    <w:rsid w:val="00076705"/>
    <w:rsid w:val="00076769"/>
    <w:rsid w:val="00076B50"/>
    <w:rsid w:val="00076B69"/>
    <w:rsid w:val="00076B6F"/>
    <w:rsid w:val="00076C60"/>
    <w:rsid w:val="00076CDD"/>
    <w:rsid w:val="00076D13"/>
    <w:rsid w:val="00076D23"/>
    <w:rsid w:val="00076D75"/>
    <w:rsid w:val="00076DB0"/>
    <w:rsid w:val="00076DE4"/>
    <w:rsid w:val="00076EF7"/>
    <w:rsid w:val="0007712C"/>
    <w:rsid w:val="0007715D"/>
    <w:rsid w:val="000774FB"/>
    <w:rsid w:val="000775A2"/>
    <w:rsid w:val="000775C5"/>
    <w:rsid w:val="0007770B"/>
    <w:rsid w:val="00077715"/>
    <w:rsid w:val="0007794E"/>
    <w:rsid w:val="00077A40"/>
    <w:rsid w:val="00077B30"/>
    <w:rsid w:val="00077B38"/>
    <w:rsid w:val="00077C19"/>
    <w:rsid w:val="00077C4F"/>
    <w:rsid w:val="00077C51"/>
    <w:rsid w:val="00077C8C"/>
    <w:rsid w:val="00077F58"/>
    <w:rsid w:val="00080276"/>
    <w:rsid w:val="000802F5"/>
    <w:rsid w:val="0008039B"/>
    <w:rsid w:val="000803F4"/>
    <w:rsid w:val="000803F8"/>
    <w:rsid w:val="00080668"/>
    <w:rsid w:val="00080727"/>
    <w:rsid w:val="0008077F"/>
    <w:rsid w:val="00080AC6"/>
    <w:rsid w:val="00080B59"/>
    <w:rsid w:val="00080B67"/>
    <w:rsid w:val="00080C17"/>
    <w:rsid w:val="00080C9F"/>
    <w:rsid w:val="00080D58"/>
    <w:rsid w:val="00080DBE"/>
    <w:rsid w:val="00080DC8"/>
    <w:rsid w:val="00080E08"/>
    <w:rsid w:val="00080EC3"/>
    <w:rsid w:val="00080F9E"/>
    <w:rsid w:val="00080FCF"/>
    <w:rsid w:val="000810A2"/>
    <w:rsid w:val="000811DF"/>
    <w:rsid w:val="000812CC"/>
    <w:rsid w:val="0008142E"/>
    <w:rsid w:val="000814FD"/>
    <w:rsid w:val="000816F0"/>
    <w:rsid w:val="0008177E"/>
    <w:rsid w:val="00081973"/>
    <w:rsid w:val="00081B63"/>
    <w:rsid w:val="00081BF6"/>
    <w:rsid w:val="00081FD2"/>
    <w:rsid w:val="00081FE8"/>
    <w:rsid w:val="00082092"/>
    <w:rsid w:val="00082190"/>
    <w:rsid w:val="000821A2"/>
    <w:rsid w:val="0008229A"/>
    <w:rsid w:val="000823A4"/>
    <w:rsid w:val="00082453"/>
    <w:rsid w:val="00082583"/>
    <w:rsid w:val="00082715"/>
    <w:rsid w:val="00082A68"/>
    <w:rsid w:val="00082BA8"/>
    <w:rsid w:val="00082D55"/>
    <w:rsid w:val="00082D89"/>
    <w:rsid w:val="00082DC0"/>
    <w:rsid w:val="00082DF9"/>
    <w:rsid w:val="00083093"/>
    <w:rsid w:val="00083127"/>
    <w:rsid w:val="00083301"/>
    <w:rsid w:val="0008332F"/>
    <w:rsid w:val="0008351F"/>
    <w:rsid w:val="00083704"/>
    <w:rsid w:val="00083718"/>
    <w:rsid w:val="00083766"/>
    <w:rsid w:val="0008383A"/>
    <w:rsid w:val="00083871"/>
    <w:rsid w:val="00083903"/>
    <w:rsid w:val="000839EA"/>
    <w:rsid w:val="00083A60"/>
    <w:rsid w:val="00083AF4"/>
    <w:rsid w:val="00083B64"/>
    <w:rsid w:val="00083C28"/>
    <w:rsid w:val="00083CB2"/>
    <w:rsid w:val="00083D1D"/>
    <w:rsid w:val="00083D4F"/>
    <w:rsid w:val="00083DEF"/>
    <w:rsid w:val="00083E4B"/>
    <w:rsid w:val="00083EAC"/>
    <w:rsid w:val="00083F7C"/>
    <w:rsid w:val="00083FF7"/>
    <w:rsid w:val="00084036"/>
    <w:rsid w:val="000845AE"/>
    <w:rsid w:val="0008469B"/>
    <w:rsid w:val="00084ACA"/>
    <w:rsid w:val="00084ADF"/>
    <w:rsid w:val="00084B38"/>
    <w:rsid w:val="00084C34"/>
    <w:rsid w:val="00084CDA"/>
    <w:rsid w:val="00084D40"/>
    <w:rsid w:val="00084DCE"/>
    <w:rsid w:val="00085025"/>
    <w:rsid w:val="0008521D"/>
    <w:rsid w:val="00085362"/>
    <w:rsid w:val="00085449"/>
    <w:rsid w:val="000854A0"/>
    <w:rsid w:val="00085551"/>
    <w:rsid w:val="000855BF"/>
    <w:rsid w:val="0008569F"/>
    <w:rsid w:val="00085822"/>
    <w:rsid w:val="0008587A"/>
    <w:rsid w:val="00085A9C"/>
    <w:rsid w:val="00085AB5"/>
    <w:rsid w:val="00085BFD"/>
    <w:rsid w:val="00085CF3"/>
    <w:rsid w:val="00085D61"/>
    <w:rsid w:val="00085E59"/>
    <w:rsid w:val="00085FE9"/>
    <w:rsid w:val="0008603A"/>
    <w:rsid w:val="00086367"/>
    <w:rsid w:val="00086557"/>
    <w:rsid w:val="000865B5"/>
    <w:rsid w:val="00086773"/>
    <w:rsid w:val="0008684C"/>
    <w:rsid w:val="00086851"/>
    <w:rsid w:val="00086AC2"/>
    <w:rsid w:val="00086AE4"/>
    <w:rsid w:val="00086CFC"/>
    <w:rsid w:val="00086DEB"/>
    <w:rsid w:val="00086E58"/>
    <w:rsid w:val="00086EFB"/>
    <w:rsid w:val="000871E4"/>
    <w:rsid w:val="00087278"/>
    <w:rsid w:val="000872D9"/>
    <w:rsid w:val="000872E5"/>
    <w:rsid w:val="000876CC"/>
    <w:rsid w:val="000876FC"/>
    <w:rsid w:val="00087940"/>
    <w:rsid w:val="00087994"/>
    <w:rsid w:val="00087A31"/>
    <w:rsid w:val="00087B50"/>
    <w:rsid w:val="00087C56"/>
    <w:rsid w:val="00087D7D"/>
    <w:rsid w:val="00087E95"/>
    <w:rsid w:val="000900A1"/>
    <w:rsid w:val="000900FB"/>
    <w:rsid w:val="000901C6"/>
    <w:rsid w:val="000902C6"/>
    <w:rsid w:val="000902F7"/>
    <w:rsid w:val="00090503"/>
    <w:rsid w:val="0009059E"/>
    <w:rsid w:val="000905E5"/>
    <w:rsid w:val="0009069B"/>
    <w:rsid w:val="00090702"/>
    <w:rsid w:val="00090866"/>
    <w:rsid w:val="000909B1"/>
    <w:rsid w:val="000909FF"/>
    <w:rsid w:val="00090E87"/>
    <w:rsid w:val="00090FF6"/>
    <w:rsid w:val="0009103B"/>
    <w:rsid w:val="000910C9"/>
    <w:rsid w:val="0009111F"/>
    <w:rsid w:val="00091157"/>
    <w:rsid w:val="000915EA"/>
    <w:rsid w:val="0009160E"/>
    <w:rsid w:val="0009168F"/>
    <w:rsid w:val="000916F6"/>
    <w:rsid w:val="00091822"/>
    <w:rsid w:val="0009182E"/>
    <w:rsid w:val="000918A6"/>
    <w:rsid w:val="00091A04"/>
    <w:rsid w:val="00091AEC"/>
    <w:rsid w:val="00091C84"/>
    <w:rsid w:val="00091E1D"/>
    <w:rsid w:val="00091E99"/>
    <w:rsid w:val="00091ED5"/>
    <w:rsid w:val="00091EE1"/>
    <w:rsid w:val="00091F23"/>
    <w:rsid w:val="00091F4A"/>
    <w:rsid w:val="00091FEF"/>
    <w:rsid w:val="000920AB"/>
    <w:rsid w:val="000921C8"/>
    <w:rsid w:val="000925CD"/>
    <w:rsid w:val="0009266D"/>
    <w:rsid w:val="00092698"/>
    <w:rsid w:val="000926AC"/>
    <w:rsid w:val="000926BB"/>
    <w:rsid w:val="000926E5"/>
    <w:rsid w:val="0009282C"/>
    <w:rsid w:val="00092A7A"/>
    <w:rsid w:val="00092CAC"/>
    <w:rsid w:val="00092D0E"/>
    <w:rsid w:val="00092D6B"/>
    <w:rsid w:val="00092DB9"/>
    <w:rsid w:val="00092E37"/>
    <w:rsid w:val="00092E68"/>
    <w:rsid w:val="00092EAF"/>
    <w:rsid w:val="00093040"/>
    <w:rsid w:val="000930CE"/>
    <w:rsid w:val="0009323C"/>
    <w:rsid w:val="000932FB"/>
    <w:rsid w:val="00093509"/>
    <w:rsid w:val="00093535"/>
    <w:rsid w:val="00093771"/>
    <w:rsid w:val="00093B31"/>
    <w:rsid w:val="00093DFD"/>
    <w:rsid w:val="00093E03"/>
    <w:rsid w:val="00093F91"/>
    <w:rsid w:val="00093F9E"/>
    <w:rsid w:val="00094251"/>
    <w:rsid w:val="000942E9"/>
    <w:rsid w:val="00094351"/>
    <w:rsid w:val="00094384"/>
    <w:rsid w:val="000944D8"/>
    <w:rsid w:val="000945F4"/>
    <w:rsid w:val="00094724"/>
    <w:rsid w:val="00094884"/>
    <w:rsid w:val="00094931"/>
    <w:rsid w:val="000949FB"/>
    <w:rsid w:val="00094B80"/>
    <w:rsid w:val="00094BC7"/>
    <w:rsid w:val="00094C6C"/>
    <w:rsid w:val="00094CC8"/>
    <w:rsid w:val="000951B0"/>
    <w:rsid w:val="00095238"/>
    <w:rsid w:val="000953CC"/>
    <w:rsid w:val="000955A8"/>
    <w:rsid w:val="0009560A"/>
    <w:rsid w:val="00095695"/>
    <w:rsid w:val="000956C3"/>
    <w:rsid w:val="00095932"/>
    <w:rsid w:val="00095D06"/>
    <w:rsid w:val="00095D2E"/>
    <w:rsid w:val="00095D39"/>
    <w:rsid w:val="00095E65"/>
    <w:rsid w:val="000960A4"/>
    <w:rsid w:val="000960E1"/>
    <w:rsid w:val="00096360"/>
    <w:rsid w:val="0009639C"/>
    <w:rsid w:val="0009691E"/>
    <w:rsid w:val="0009692C"/>
    <w:rsid w:val="00096A43"/>
    <w:rsid w:val="00096AB7"/>
    <w:rsid w:val="00096C0A"/>
    <w:rsid w:val="00096C19"/>
    <w:rsid w:val="00096CBC"/>
    <w:rsid w:val="00096D63"/>
    <w:rsid w:val="00096D79"/>
    <w:rsid w:val="00096EE3"/>
    <w:rsid w:val="00096EEE"/>
    <w:rsid w:val="0009703E"/>
    <w:rsid w:val="000970F6"/>
    <w:rsid w:val="00097190"/>
    <w:rsid w:val="000973AC"/>
    <w:rsid w:val="00097415"/>
    <w:rsid w:val="0009742A"/>
    <w:rsid w:val="000976FF"/>
    <w:rsid w:val="00097815"/>
    <w:rsid w:val="0009782C"/>
    <w:rsid w:val="000978F2"/>
    <w:rsid w:val="0009795D"/>
    <w:rsid w:val="00097A91"/>
    <w:rsid w:val="00097A9C"/>
    <w:rsid w:val="00097DA1"/>
    <w:rsid w:val="00097F0A"/>
    <w:rsid w:val="00097F3C"/>
    <w:rsid w:val="000A0005"/>
    <w:rsid w:val="000A0095"/>
    <w:rsid w:val="000A01FD"/>
    <w:rsid w:val="000A03A5"/>
    <w:rsid w:val="000A0532"/>
    <w:rsid w:val="000A05D4"/>
    <w:rsid w:val="000A05E3"/>
    <w:rsid w:val="000A063D"/>
    <w:rsid w:val="000A075A"/>
    <w:rsid w:val="000A07B3"/>
    <w:rsid w:val="000A0890"/>
    <w:rsid w:val="000A0C0A"/>
    <w:rsid w:val="000A1000"/>
    <w:rsid w:val="000A135A"/>
    <w:rsid w:val="000A1491"/>
    <w:rsid w:val="000A15F2"/>
    <w:rsid w:val="000A1723"/>
    <w:rsid w:val="000A1834"/>
    <w:rsid w:val="000A19AF"/>
    <w:rsid w:val="000A1A06"/>
    <w:rsid w:val="000A1AEE"/>
    <w:rsid w:val="000A1B6C"/>
    <w:rsid w:val="000A1CA6"/>
    <w:rsid w:val="000A1CD2"/>
    <w:rsid w:val="000A1DA7"/>
    <w:rsid w:val="000A1E1B"/>
    <w:rsid w:val="000A1F88"/>
    <w:rsid w:val="000A2013"/>
    <w:rsid w:val="000A2092"/>
    <w:rsid w:val="000A20A6"/>
    <w:rsid w:val="000A2100"/>
    <w:rsid w:val="000A211D"/>
    <w:rsid w:val="000A246B"/>
    <w:rsid w:val="000A2500"/>
    <w:rsid w:val="000A2529"/>
    <w:rsid w:val="000A25AE"/>
    <w:rsid w:val="000A25E6"/>
    <w:rsid w:val="000A266B"/>
    <w:rsid w:val="000A26A0"/>
    <w:rsid w:val="000A2767"/>
    <w:rsid w:val="000A28EB"/>
    <w:rsid w:val="000A294B"/>
    <w:rsid w:val="000A294C"/>
    <w:rsid w:val="000A2AF0"/>
    <w:rsid w:val="000A2C4F"/>
    <w:rsid w:val="000A2D73"/>
    <w:rsid w:val="000A2E71"/>
    <w:rsid w:val="000A2E7C"/>
    <w:rsid w:val="000A31ED"/>
    <w:rsid w:val="000A3394"/>
    <w:rsid w:val="000A3610"/>
    <w:rsid w:val="000A3900"/>
    <w:rsid w:val="000A3912"/>
    <w:rsid w:val="000A3914"/>
    <w:rsid w:val="000A3BDD"/>
    <w:rsid w:val="000A3D16"/>
    <w:rsid w:val="000A3D30"/>
    <w:rsid w:val="000A3D3D"/>
    <w:rsid w:val="000A4065"/>
    <w:rsid w:val="000A41C1"/>
    <w:rsid w:val="000A421D"/>
    <w:rsid w:val="000A45A5"/>
    <w:rsid w:val="000A46A9"/>
    <w:rsid w:val="000A477A"/>
    <w:rsid w:val="000A47AC"/>
    <w:rsid w:val="000A47E6"/>
    <w:rsid w:val="000A48E7"/>
    <w:rsid w:val="000A4911"/>
    <w:rsid w:val="000A4C82"/>
    <w:rsid w:val="000A4D24"/>
    <w:rsid w:val="000A4E98"/>
    <w:rsid w:val="000A4FF4"/>
    <w:rsid w:val="000A50CC"/>
    <w:rsid w:val="000A50E5"/>
    <w:rsid w:val="000A5151"/>
    <w:rsid w:val="000A527A"/>
    <w:rsid w:val="000A5354"/>
    <w:rsid w:val="000A5367"/>
    <w:rsid w:val="000A54BB"/>
    <w:rsid w:val="000A5610"/>
    <w:rsid w:val="000A57AF"/>
    <w:rsid w:val="000A58BC"/>
    <w:rsid w:val="000A5BB5"/>
    <w:rsid w:val="000A5CC3"/>
    <w:rsid w:val="000A5E81"/>
    <w:rsid w:val="000A5EE4"/>
    <w:rsid w:val="000A6023"/>
    <w:rsid w:val="000A60F3"/>
    <w:rsid w:val="000A62BA"/>
    <w:rsid w:val="000A62C5"/>
    <w:rsid w:val="000A6307"/>
    <w:rsid w:val="000A63E1"/>
    <w:rsid w:val="000A6429"/>
    <w:rsid w:val="000A65A9"/>
    <w:rsid w:val="000A65F9"/>
    <w:rsid w:val="000A6660"/>
    <w:rsid w:val="000A679A"/>
    <w:rsid w:val="000A68C3"/>
    <w:rsid w:val="000A690B"/>
    <w:rsid w:val="000A6988"/>
    <w:rsid w:val="000A69A4"/>
    <w:rsid w:val="000A69C9"/>
    <w:rsid w:val="000A6A77"/>
    <w:rsid w:val="000A6B38"/>
    <w:rsid w:val="000A6B7C"/>
    <w:rsid w:val="000A6DCB"/>
    <w:rsid w:val="000A6F3C"/>
    <w:rsid w:val="000A7016"/>
    <w:rsid w:val="000A71FF"/>
    <w:rsid w:val="000A7840"/>
    <w:rsid w:val="000A7874"/>
    <w:rsid w:val="000A78BF"/>
    <w:rsid w:val="000A78E6"/>
    <w:rsid w:val="000A7A32"/>
    <w:rsid w:val="000A7B44"/>
    <w:rsid w:val="000A7C32"/>
    <w:rsid w:val="000A7D6C"/>
    <w:rsid w:val="000A7D91"/>
    <w:rsid w:val="000A7E45"/>
    <w:rsid w:val="000A7EF1"/>
    <w:rsid w:val="000B0085"/>
    <w:rsid w:val="000B02F9"/>
    <w:rsid w:val="000B066A"/>
    <w:rsid w:val="000B0721"/>
    <w:rsid w:val="000B0752"/>
    <w:rsid w:val="000B0788"/>
    <w:rsid w:val="000B0B05"/>
    <w:rsid w:val="000B0BFC"/>
    <w:rsid w:val="000B0D6F"/>
    <w:rsid w:val="000B109A"/>
    <w:rsid w:val="000B116D"/>
    <w:rsid w:val="000B117A"/>
    <w:rsid w:val="000B1278"/>
    <w:rsid w:val="000B147D"/>
    <w:rsid w:val="000B14EF"/>
    <w:rsid w:val="000B15CC"/>
    <w:rsid w:val="000B15E3"/>
    <w:rsid w:val="000B15FB"/>
    <w:rsid w:val="000B1642"/>
    <w:rsid w:val="000B175A"/>
    <w:rsid w:val="000B176B"/>
    <w:rsid w:val="000B1909"/>
    <w:rsid w:val="000B1933"/>
    <w:rsid w:val="000B1A7D"/>
    <w:rsid w:val="000B1AC3"/>
    <w:rsid w:val="000B2079"/>
    <w:rsid w:val="000B20E8"/>
    <w:rsid w:val="000B25A9"/>
    <w:rsid w:val="000B25B7"/>
    <w:rsid w:val="000B25D9"/>
    <w:rsid w:val="000B27C2"/>
    <w:rsid w:val="000B2863"/>
    <w:rsid w:val="000B28BB"/>
    <w:rsid w:val="000B2909"/>
    <w:rsid w:val="000B2A65"/>
    <w:rsid w:val="000B2BDE"/>
    <w:rsid w:val="000B2CC3"/>
    <w:rsid w:val="000B2D1C"/>
    <w:rsid w:val="000B2D4B"/>
    <w:rsid w:val="000B2E4C"/>
    <w:rsid w:val="000B2F30"/>
    <w:rsid w:val="000B2FB6"/>
    <w:rsid w:val="000B2FB8"/>
    <w:rsid w:val="000B329E"/>
    <w:rsid w:val="000B32E1"/>
    <w:rsid w:val="000B330D"/>
    <w:rsid w:val="000B3503"/>
    <w:rsid w:val="000B381B"/>
    <w:rsid w:val="000B3839"/>
    <w:rsid w:val="000B3882"/>
    <w:rsid w:val="000B39C6"/>
    <w:rsid w:val="000B3A81"/>
    <w:rsid w:val="000B3CDF"/>
    <w:rsid w:val="000B3DAA"/>
    <w:rsid w:val="000B3FB5"/>
    <w:rsid w:val="000B4099"/>
    <w:rsid w:val="000B4126"/>
    <w:rsid w:val="000B4133"/>
    <w:rsid w:val="000B447C"/>
    <w:rsid w:val="000B4612"/>
    <w:rsid w:val="000B462A"/>
    <w:rsid w:val="000B4719"/>
    <w:rsid w:val="000B48E9"/>
    <w:rsid w:val="000B493E"/>
    <w:rsid w:val="000B4C1B"/>
    <w:rsid w:val="000B4D23"/>
    <w:rsid w:val="000B4D2C"/>
    <w:rsid w:val="000B4D5A"/>
    <w:rsid w:val="000B4E77"/>
    <w:rsid w:val="000B4EB7"/>
    <w:rsid w:val="000B4EF3"/>
    <w:rsid w:val="000B4F86"/>
    <w:rsid w:val="000B50FB"/>
    <w:rsid w:val="000B515A"/>
    <w:rsid w:val="000B52E9"/>
    <w:rsid w:val="000B5307"/>
    <w:rsid w:val="000B54BB"/>
    <w:rsid w:val="000B5748"/>
    <w:rsid w:val="000B57BB"/>
    <w:rsid w:val="000B57C3"/>
    <w:rsid w:val="000B580C"/>
    <w:rsid w:val="000B582A"/>
    <w:rsid w:val="000B59CD"/>
    <w:rsid w:val="000B5B14"/>
    <w:rsid w:val="000B5B57"/>
    <w:rsid w:val="000B5C3C"/>
    <w:rsid w:val="000B5C65"/>
    <w:rsid w:val="000B5D21"/>
    <w:rsid w:val="000B5D25"/>
    <w:rsid w:val="000B5E91"/>
    <w:rsid w:val="000B6172"/>
    <w:rsid w:val="000B63B2"/>
    <w:rsid w:val="000B63E2"/>
    <w:rsid w:val="000B6593"/>
    <w:rsid w:val="000B6602"/>
    <w:rsid w:val="000B660B"/>
    <w:rsid w:val="000B671F"/>
    <w:rsid w:val="000B6909"/>
    <w:rsid w:val="000B6A37"/>
    <w:rsid w:val="000B6A97"/>
    <w:rsid w:val="000B6BCA"/>
    <w:rsid w:val="000B6E0A"/>
    <w:rsid w:val="000B6E7E"/>
    <w:rsid w:val="000B7081"/>
    <w:rsid w:val="000B7112"/>
    <w:rsid w:val="000B711C"/>
    <w:rsid w:val="000B756C"/>
    <w:rsid w:val="000B765A"/>
    <w:rsid w:val="000B783A"/>
    <w:rsid w:val="000B7987"/>
    <w:rsid w:val="000B798A"/>
    <w:rsid w:val="000B7A08"/>
    <w:rsid w:val="000B7A4D"/>
    <w:rsid w:val="000B7BA5"/>
    <w:rsid w:val="000B7BD6"/>
    <w:rsid w:val="000B7C6B"/>
    <w:rsid w:val="000B7C77"/>
    <w:rsid w:val="000B7D43"/>
    <w:rsid w:val="000B7D91"/>
    <w:rsid w:val="000C010A"/>
    <w:rsid w:val="000C01D2"/>
    <w:rsid w:val="000C0686"/>
    <w:rsid w:val="000C0AF3"/>
    <w:rsid w:val="000C0C83"/>
    <w:rsid w:val="000C0D03"/>
    <w:rsid w:val="000C0D9F"/>
    <w:rsid w:val="000C0E25"/>
    <w:rsid w:val="000C0F12"/>
    <w:rsid w:val="000C0F35"/>
    <w:rsid w:val="000C12FC"/>
    <w:rsid w:val="000C139B"/>
    <w:rsid w:val="000C1684"/>
    <w:rsid w:val="000C179D"/>
    <w:rsid w:val="000C192E"/>
    <w:rsid w:val="000C19CE"/>
    <w:rsid w:val="000C1A0D"/>
    <w:rsid w:val="000C1B56"/>
    <w:rsid w:val="000C1B78"/>
    <w:rsid w:val="000C1C8A"/>
    <w:rsid w:val="000C1ED2"/>
    <w:rsid w:val="000C1F2C"/>
    <w:rsid w:val="000C1FAD"/>
    <w:rsid w:val="000C1FE8"/>
    <w:rsid w:val="000C22CF"/>
    <w:rsid w:val="000C23D9"/>
    <w:rsid w:val="000C24A9"/>
    <w:rsid w:val="000C2616"/>
    <w:rsid w:val="000C2657"/>
    <w:rsid w:val="000C2693"/>
    <w:rsid w:val="000C2859"/>
    <w:rsid w:val="000C2983"/>
    <w:rsid w:val="000C29CA"/>
    <w:rsid w:val="000C2A5C"/>
    <w:rsid w:val="000C2ACB"/>
    <w:rsid w:val="000C2BF6"/>
    <w:rsid w:val="000C2CCF"/>
    <w:rsid w:val="000C2CF7"/>
    <w:rsid w:val="000C3008"/>
    <w:rsid w:val="000C309D"/>
    <w:rsid w:val="000C31B6"/>
    <w:rsid w:val="000C335C"/>
    <w:rsid w:val="000C3573"/>
    <w:rsid w:val="000C35BE"/>
    <w:rsid w:val="000C35D2"/>
    <w:rsid w:val="000C35DC"/>
    <w:rsid w:val="000C36E4"/>
    <w:rsid w:val="000C3710"/>
    <w:rsid w:val="000C3797"/>
    <w:rsid w:val="000C37FC"/>
    <w:rsid w:val="000C3841"/>
    <w:rsid w:val="000C3BE9"/>
    <w:rsid w:val="000C3C98"/>
    <w:rsid w:val="000C3CE0"/>
    <w:rsid w:val="000C3DED"/>
    <w:rsid w:val="000C3DFF"/>
    <w:rsid w:val="000C3F9B"/>
    <w:rsid w:val="000C3FF8"/>
    <w:rsid w:val="000C406A"/>
    <w:rsid w:val="000C40AA"/>
    <w:rsid w:val="000C4190"/>
    <w:rsid w:val="000C41EB"/>
    <w:rsid w:val="000C420F"/>
    <w:rsid w:val="000C47B4"/>
    <w:rsid w:val="000C493A"/>
    <w:rsid w:val="000C4AC3"/>
    <w:rsid w:val="000C4AE0"/>
    <w:rsid w:val="000C4BCE"/>
    <w:rsid w:val="000C4C23"/>
    <w:rsid w:val="000C4E55"/>
    <w:rsid w:val="000C4EAC"/>
    <w:rsid w:val="000C5092"/>
    <w:rsid w:val="000C51F2"/>
    <w:rsid w:val="000C5214"/>
    <w:rsid w:val="000C530C"/>
    <w:rsid w:val="000C532E"/>
    <w:rsid w:val="000C5370"/>
    <w:rsid w:val="000C54D6"/>
    <w:rsid w:val="000C5869"/>
    <w:rsid w:val="000C5A30"/>
    <w:rsid w:val="000C5A71"/>
    <w:rsid w:val="000C5EAF"/>
    <w:rsid w:val="000C5EF1"/>
    <w:rsid w:val="000C5F2F"/>
    <w:rsid w:val="000C5F3F"/>
    <w:rsid w:val="000C6293"/>
    <w:rsid w:val="000C646C"/>
    <w:rsid w:val="000C6C9D"/>
    <w:rsid w:val="000C6CA2"/>
    <w:rsid w:val="000C6D6A"/>
    <w:rsid w:val="000C6EB9"/>
    <w:rsid w:val="000C6F38"/>
    <w:rsid w:val="000C6F5C"/>
    <w:rsid w:val="000C7180"/>
    <w:rsid w:val="000C7225"/>
    <w:rsid w:val="000C73B6"/>
    <w:rsid w:val="000C7516"/>
    <w:rsid w:val="000C751C"/>
    <w:rsid w:val="000C7626"/>
    <w:rsid w:val="000C76FB"/>
    <w:rsid w:val="000C76FD"/>
    <w:rsid w:val="000C7744"/>
    <w:rsid w:val="000C7948"/>
    <w:rsid w:val="000C7A3F"/>
    <w:rsid w:val="000C7B87"/>
    <w:rsid w:val="000C7C44"/>
    <w:rsid w:val="000C7CB2"/>
    <w:rsid w:val="000C7ED9"/>
    <w:rsid w:val="000D000C"/>
    <w:rsid w:val="000D009C"/>
    <w:rsid w:val="000D0221"/>
    <w:rsid w:val="000D023B"/>
    <w:rsid w:val="000D06CF"/>
    <w:rsid w:val="000D07E8"/>
    <w:rsid w:val="000D0851"/>
    <w:rsid w:val="000D0BC1"/>
    <w:rsid w:val="000D0D2E"/>
    <w:rsid w:val="000D1004"/>
    <w:rsid w:val="000D128B"/>
    <w:rsid w:val="000D1387"/>
    <w:rsid w:val="000D13EB"/>
    <w:rsid w:val="000D16B5"/>
    <w:rsid w:val="000D172B"/>
    <w:rsid w:val="000D177B"/>
    <w:rsid w:val="000D17A7"/>
    <w:rsid w:val="000D17ED"/>
    <w:rsid w:val="000D1844"/>
    <w:rsid w:val="000D1858"/>
    <w:rsid w:val="000D1913"/>
    <w:rsid w:val="000D19AA"/>
    <w:rsid w:val="000D1C47"/>
    <w:rsid w:val="000D1D56"/>
    <w:rsid w:val="000D1DC8"/>
    <w:rsid w:val="000D1E68"/>
    <w:rsid w:val="000D1F93"/>
    <w:rsid w:val="000D2023"/>
    <w:rsid w:val="000D2100"/>
    <w:rsid w:val="000D2156"/>
    <w:rsid w:val="000D21DD"/>
    <w:rsid w:val="000D22BC"/>
    <w:rsid w:val="000D2313"/>
    <w:rsid w:val="000D232A"/>
    <w:rsid w:val="000D261A"/>
    <w:rsid w:val="000D276A"/>
    <w:rsid w:val="000D2789"/>
    <w:rsid w:val="000D27D9"/>
    <w:rsid w:val="000D2937"/>
    <w:rsid w:val="000D2AA4"/>
    <w:rsid w:val="000D2BF1"/>
    <w:rsid w:val="000D2D48"/>
    <w:rsid w:val="000D2E81"/>
    <w:rsid w:val="000D2EC2"/>
    <w:rsid w:val="000D3037"/>
    <w:rsid w:val="000D316B"/>
    <w:rsid w:val="000D31AD"/>
    <w:rsid w:val="000D3245"/>
    <w:rsid w:val="000D3348"/>
    <w:rsid w:val="000D3442"/>
    <w:rsid w:val="000D346E"/>
    <w:rsid w:val="000D347A"/>
    <w:rsid w:val="000D3597"/>
    <w:rsid w:val="000D35A1"/>
    <w:rsid w:val="000D36BE"/>
    <w:rsid w:val="000D36F0"/>
    <w:rsid w:val="000D37AF"/>
    <w:rsid w:val="000D37F1"/>
    <w:rsid w:val="000D3893"/>
    <w:rsid w:val="000D3BE2"/>
    <w:rsid w:val="000D3CA8"/>
    <w:rsid w:val="000D3DFD"/>
    <w:rsid w:val="000D3E8B"/>
    <w:rsid w:val="000D3FF4"/>
    <w:rsid w:val="000D40DD"/>
    <w:rsid w:val="000D40DF"/>
    <w:rsid w:val="000D42AB"/>
    <w:rsid w:val="000D42B9"/>
    <w:rsid w:val="000D4343"/>
    <w:rsid w:val="000D4555"/>
    <w:rsid w:val="000D4663"/>
    <w:rsid w:val="000D46B4"/>
    <w:rsid w:val="000D4754"/>
    <w:rsid w:val="000D4770"/>
    <w:rsid w:val="000D485D"/>
    <w:rsid w:val="000D4931"/>
    <w:rsid w:val="000D49C8"/>
    <w:rsid w:val="000D4A2A"/>
    <w:rsid w:val="000D4B7A"/>
    <w:rsid w:val="000D4BA8"/>
    <w:rsid w:val="000D4BDE"/>
    <w:rsid w:val="000D4D6F"/>
    <w:rsid w:val="000D4DA9"/>
    <w:rsid w:val="000D50DB"/>
    <w:rsid w:val="000D5115"/>
    <w:rsid w:val="000D518A"/>
    <w:rsid w:val="000D527D"/>
    <w:rsid w:val="000D53A8"/>
    <w:rsid w:val="000D5667"/>
    <w:rsid w:val="000D5916"/>
    <w:rsid w:val="000D5AA3"/>
    <w:rsid w:val="000D5AC7"/>
    <w:rsid w:val="000D5AFC"/>
    <w:rsid w:val="000D5CE3"/>
    <w:rsid w:val="000D5CE7"/>
    <w:rsid w:val="000D5E6C"/>
    <w:rsid w:val="000D5EEE"/>
    <w:rsid w:val="000D5F00"/>
    <w:rsid w:val="000D6008"/>
    <w:rsid w:val="000D603B"/>
    <w:rsid w:val="000D60D0"/>
    <w:rsid w:val="000D6108"/>
    <w:rsid w:val="000D6408"/>
    <w:rsid w:val="000D6417"/>
    <w:rsid w:val="000D649C"/>
    <w:rsid w:val="000D6650"/>
    <w:rsid w:val="000D6802"/>
    <w:rsid w:val="000D6869"/>
    <w:rsid w:val="000D6AB4"/>
    <w:rsid w:val="000D6B13"/>
    <w:rsid w:val="000D6BAF"/>
    <w:rsid w:val="000D6CEA"/>
    <w:rsid w:val="000D6DE9"/>
    <w:rsid w:val="000D6EAF"/>
    <w:rsid w:val="000D6F5E"/>
    <w:rsid w:val="000D7087"/>
    <w:rsid w:val="000D71D9"/>
    <w:rsid w:val="000D7322"/>
    <w:rsid w:val="000D748E"/>
    <w:rsid w:val="000D76C3"/>
    <w:rsid w:val="000D76D5"/>
    <w:rsid w:val="000D77DC"/>
    <w:rsid w:val="000D7821"/>
    <w:rsid w:val="000D783F"/>
    <w:rsid w:val="000D79FC"/>
    <w:rsid w:val="000D7AB7"/>
    <w:rsid w:val="000D7AF0"/>
    <w:rsid w:val="000D7CF8"/>
    <w:rsid w:val="000D7DB9"/>
    <w:rsid w:val="000D7E01"/>
    <w:rsid w:val="000E02E0"/>
    <w:rsid w:val="000E02FC"/>
    <w:rsid w:val="000E03FD"/>
    <w:rsid w:val="000E03FF"/>
    <w:rsid w:val="000E0577"/>
    <w:rsid w:val="000E0600"/>
    <w:rsid w:val="000E060A"/>
    <w:rsid w:val="000E0918"/>
    <w:rsid w:val="000E0A6E"/>
    <w:rsid w:val="000E0A92"/>
    <w:rsid w:val="000E0BEA"/>
    <w:rsid w:val="000E0E26"/>
    <w:rsid w:val="000E10BA"/>
    <w:rsid w:val="000E1360"/>
    <w:rsid w:val="000E13C2"/>
    <w:rsid w:val="000E140D"/>
    <w:rsid w:val="000E1415"/>
    <w:rsid w:val="000E148A"/>
    <w:rsid w:val="000E14D4"/>
    <w:rsid w:val="000E1538"/>
    <w:rsid w:val="000E157F"/>
    <w:rsid w:val="000E1580"/>
    <w:rsid w:val="000E1591"/>
    <w:rsid w:val="000E165F"/>
    <w:rsid w:val="000E1687"/>
    <w:rsid w:val="000E16F2"/>
    <w:rsid w:val="000E17E2"/>
    <w:rsid w:val="000E18B0"/>
    <w:rsid w:val="000E1930"/>
    <w:rsid w:val="000E19DD"/>
    <w:rsid w:val="000E1AB5"/>
    <w:rsid w:val="000E1C39"/>
    <w:rsid w:val="000E1E8F"/>
    <w:rsid w:val="000E1F9A"/>
    <w:rsid w:val="000E204B"/>
    <w:rsid w:val="000E20CE"/>
    <w:rsid w:val="000E20F9"/>
    <w:rsid w:val="000E211F"/>
    <w:rsid w:val="000E2198"/>
    <w:rsid w:val="000E21A9"/>
    <w:rsid w:val="000E21CC"/>
    <w:rsid w:val="000E21F5"/>
    <w:rsid w:val="000E2298"/>
    <w:rsid w:val="000E2422"/>
    <w:rsid w:val="000E254C"/>
    <w:rsid w:val="000E2655"/>
    <w:rsid w:val="000E2672"/>
    <w:rsid w:val="000E26AC"/>
    <w:rsid w:val="000E26D6"/>
    <w:rsid w:val="000E2863"/>
    <w:rsid w:val="000E29B2"/>
    <w:rsid w:val="000E2AAD"/>
    <w:rsid w:val="000E2B90"/>
    <w:rsid w:val="000E2C33"/>
    <w:rsid w:val="000E2CBE"/>
    <w:rsid w:val="000E2D9B"/>
    <w:rsid w:val="000E2EB7"/>
    <w:rsid w:val="000E2F9E"/>
    <w:rsid w:val="000E2FBF"/>
    <w:rsid w:val="000E3139"/>
    <w:rsid w:val="000E3150"/>
    <w:rsid w:val="000E31B7"/>
    <w:rsid w:val="000E31D5"/>
    <w:rsid w:val="000E329B"/>
    <w:rsid w:val="000E32D3"/>
    <w:rsid w:val="000E32F9"/>
    <w:rsid w:val="000E3342"/>
    <w:rsid w:val="000E3516"/>
    <w:rsid w:val="000E3585"/>
    <w:rsid w:val="000E3764"/>
    <w:rsid w:val="000E376D"/>
    <w:rsid w:val="000E388E"/>
    <w:rsid w:val="000E3BC0"/>
    <w:rsid w:val="000E3C26"/>
    <w:rsid w:val="000E3C2A"/>
    <w:rsid w:val="000E3DFE"/>
    <w:rsid w:val="000E3F7A"/>
    <w:rsid w:val="000E4016"/>
    <w:rsid w:val="000E4047"/>
    <w:rsid w:val="000E4125"/>
    <w:rsid w:val="000E4192"/>
    <w:rsid w:val="000E41A1"/>
    <w:rsid w:val="000E42D6"/>
    <w:rsid w:val="000E44DA"/>
    <w:rsid w:val="000E4713"/>
    <w:rsid w:val="000E486B"/>
    <w:rsid w:val="000E4938"/>
    <w:rsid w:val="000E49C1"/>
    <w:rsid w:val="000E4B42"/>
    <w:rsid w:val="000E4B4F"/>
    <w:rsid w:val="000E4D50"/>
    <w:rsid w:val="000E4F0A"/>
    <w:rsid w:val="000E4FFA"/>
    <w:rsid w:val="000E5090"/>
    <w:rsid w:val="000E50AE"/>
    <w:rsid w:val="000E50F1"/>
    <w:rsid w:val="000E50FF"/>
    <w:rsid w:val="000E53BE"/>
    <w:rsid w:val="000E53C7"/>
    <w:rsid w:val="000E57DA"/>
    <w:rsid w:val="000E5A21"/>
    <w:rsid w:val="000E5A35"/>
    <w:rsid w:val="000E5A4A"/>
    <w:rsid w:val="000E5AB7"/>
    <w:rsid w:val="000E5AE4"/>
    <w:rsid w:val="000E5B01"/>
    <w:rsid w:val="000E5C0D"/>
    <w:rsid w:val="000E5CC0"/>
    <w:rsid w:val="000E5DFA"/>
    <w:rsid w:val="000E5E54"/>
    <w:rsid w:val="000E5E89"/>
    <w:rsid w:val="000E6072"/>
    <w:rsid w:val="000E612B"/>
    <w:rsid w:val="000E6148"/>
    <w:rsid w:val="000E62A3"/>
    <w:rsid w:val="000E6477"/>
    <w:rsid w:val="000E64D1"/>
    <w:rsid w:val="000E65E9"/>
    <w:rsid w:val="000E6674"/>
    <w:rsid w:val="000E6810"/>
    <w:rsid w:val="000E68E1"/>
    <w:rsid w:val="000E6A95"/>
    <w:rsid w:val="000E6AE5"/>
    <w:rsid w:val="000E6B3C"/>
    <w:rsid w:val="000E6B54"/>
    <w:rsid w:val="000E6B75"/>
    <w:rsid w:val="000E6BD7"/>
    <w:rsid w:val="000E6C3D"/>
    <w:rsid w:val="000E6DD5"/>
    <w:rsid w:val="000E6EC8"/>
    <w:rsid w:val="000E6F58"/>
    <w:rsid w:val="000E6FFE"/>
    <w:rsid w:val="000E7133"/>
    <w:rsid w:val="000E7357"/>
    <w:rsid w:val="000E73A6"/>
    <w:rsid w:val="000E73AA"/>
    <w:rsid w:val="000E749F"/>
    <w:rsid w:val="000E7916"/>
    <w:rsid w:val="000E7999"/>
    <w:rsid w:val="000E7B1F"/>
    <w:rsid w:val="000E7BD7"/>
    <w:rsid w:val="000E7C28"/>
    <w:rsid w:val="000E7DC1"/>
    <w:rsid w:val="000E7DC6"/>
    <w:rsid w:val="000E7E00"/>
    <w:rsid w:val="000E7E82"/>
    <w:rsid w:val="000F0135"/>
    <w:rsid w:val="000F01FE"/>
    <w:rsid w:val="000F0338"/>
    <w:rsid w:val="000F03D1"/>
    <w:rsid w:val="000F062A"/>
    <w:rsid w:val="000F0696"/>
    <w:rsid w:val="000F06DD"/>
    <w:rsid w:val="000F06EF"/>
    <w:rsid w:val="000F0791"/>
    <w:rsid w:val="000F0802"/>
    <w:rsid w:val="000F08A2"/>
    <w:rsid w:val="000F08DB"/>
    <w:rsid w:val="000F0910"/>
    <w:rsid w:val="000F0B46"/>
    <w:rsid w:val="000F0C3D"/>
    <w:rsid w:val="000F0C60"/>
    <w:rsid w:val="000F0D4B"/>
    <w:rsid w:val="000F1066"/>
    <w:rsid w:val="000F10BD"/>
    <w:rsid w:val="000F10C5"/>
    <w:rsid w:val="000F11CB"/>
    <w:rsid w:val="000F143D"/>
    <w:rsid w:val="000F14E3"/>
    <w:rsid w:val="000F1534"/>
    <w:rsid w:val="000F1564"/>
    <w:rsid w:val="000F15DB"/>
    <w:rsid w:val="000F15F9"/>
    <w:rsid w:val="000F170F"/>
    <w:rsid w:val="000F1745"/>
    <w:rsid w:val="000F1812"/>
    <w:rsid w:val="000F188C"/>
    <w:rsid w:val="000F189A"/>
    <w:rsid w:val="000F1950"/>
    <w:rsid w:val="000F1B08"/>
    <w:rsid w:val="000F1B0B"/>
    <w:rsid w:val="000F1B3C"/>
    <w:rsid w:val="000F1C95"/>
    <w:rsid w:val="000F1CDB"/>
    <w:rsid w:val="000F1CEB"/>
    <w:rsid w:val="000F1D9D"/>
    <w:rsid w:val="000F20EA"/>
    <w:rsid w:val="000F20ED"/>
    <w:rsid w:val="000F2130"/>
    <w:rsid w:val="000F2150"/>
    <w:rsid w:val="000F21C1"/>
    <w:rsid w:val="000F228E"/>
    <w:rsid w:val="000F22E0"/>
    <w:rsid w:val="000F237F"/>
    <w:rsid w:val="000F246A"/>
    <w:rsid w:val="000F24C9"/>
    <w:rsid w:val="000F2625"/>
    <w:rsid w:val="000F26B7"/>
    <w:rsid w:val="000F2733"/>
    <w:rsid w:val="000F2800"/>
    <w:rsid w:val="000F282D"/>
    <w:rsid w:val="000F2919"/>
    <w:rsid w:val="000F2934"/>
    <w:rsid w:val="000F2936"/>
    <w:rsid w:val="000F2A6C"/>
    <w:rsid w:val="000F2AB1"/>
    <w:rsid w:val="000F2C4F"/>
    <w:rsid w:val="000F2DB2"/>
    <w:rsid w:val="000F2DC5"/>
    <w:rsid w:val="000F303A"/>
    <w:rsid w:val="000F304F"/>
    <w:rsid w:val="000F327F"/>
    <w:rsid w:val="000F3475"/>
    <w:rsid w:val="000F34CA"/>
    <w:rsid w:val="000F357F"/>
    <w:rsid w:val="000F35E9"/>
    <w:rsid w:val="000F3724"/>
    <w:rsid w:val="000F376B"/>
    <w:rsid w:val="000F3A82"/>
    <w:rsid w:val="000F3B48"/>
    <w:rsid w:val="000F3B88"/>
    <w:rsid w:val="000F3CF1"/>
    <w:rsid w:val="000F3D01"/>
    <w:rsid w:val="000F3EBC"/>
    <w:rsid w:val="000F3FAA"/>
    <w:rsid w:val="000F412B"/>
    <w:rsid w:val="000F41FC"/>
    <w:rsid w:val="000F422C"/>
    <w:rsid w:val="000F43FD"/>
    <w:rsid w:val="000F4418"/>
    <w:rsid w:val="000F46D6"/>
    <w:rsid w:val="000F473B"/>
    <w:rsid w:val="000F4812"/>
    <w:rsid w:val="000F4ACD"/>
    <w:rsid w:val="000F4C76"/>
    <w:rsid w:val="000F4CAC"/>
    <w:rsid w:val="000F4CAF"/>
    <w:rsid w:val="000F4D06"/>
    <w:rsid w:val="000F4D22"/>
    <w:rsid w:val="000F4DB1"/>
    <w:rsid w:val="000F5091"/>
    <w:rsid w:val="000F521A"/>
    <w:rsid w:val="000F5307"/>
    <w:rsid w:val="000F548F"/>
    <w:rsid w:val="000F54F4"/>
    <w:rsid w:val="000F54FE"/>
    <w:rsid w:val="000F5579"/>
    <w:rsid w:val="000F55D3"/>
    <w:rsid w:val="000F56BF"/>
    <w:rsid w:val="000F584F"/>
    <w:rsid w:val="000F5A35"/>
    <w:rsid w:val="000F5A5A"/>
    <w:rsid w:val="000F5A76"/>
    <w:rsid w:val="000F5AC8"/>
    <w:rsid w:val="000F5C52"/>
    <w:rsid w:val="000F5D2B"/>
    <w:rsid w:val="000F5DB6"/>
    <w:rsid w:val="000F5DF2"/>
    <w:rsid w:val="000F5E5C"/>
    <w:rsid w:val="000F5FFC"/>
    <w:rsid w:val="000F61AA"/>
    <w:rsid w:val="000F6299"/>
    <w:rsid w:val="000F6301"/>
    <w:rsid w:val="000F6586"/>
    <w:rsid w:val="000F662B"/>
    <w:rsid w:val="000F66EF"/>
    <w:rsid w:val="000F6779"/>
    <w:rsid w:val="000F6A6A"/>
    <w:rsid w:val="000F6B53"/>
    <w:rsid w:val="000F6D7C"/>
    <w:rsid w:val="000F6E5C"/>
    <w:rsid w:val="000F6FC1"/>
    <w:rsid w:val="000F723B"/>
    <w:rsid w:val="000F72B0"/>
    <w:rsid w:val="000F7370"/>
    <w:rsid w:val="000F73A5"/>
    <w:rsid w:val="000F7436"/>
    <w:rsid w:val="000F74F3"/>
    <w:rsid w:val="000F76F4"/>
    <w:rsid w:val="000F76F5"/>
    <w:rsid w:val="000F779D"/>
    <w:rsid w:val="000F790D"/>
    <w:rsid w:val="000F7954"/>
    <w:rsid w:val="000F7A23"/>
    <w:rsid w:val="000F7A49"/>
    <w:rsid w:val="000F7A96"/>
    <w:rsid w:val="000F7B87"/>
    <w:rsid w:val="000F7CDE"/>
    <w:rsid w:val="000F7F19"/>
    <w:rsid w:val="000F7F49"/>
    <w:rsid w:val="001002B2"/>
    <w:rsid w:val="001002C3"/>
    <w:rsid w:val="00100300"/>
    <w:rsid w:val="001005D2"/>
    <w:rsid w:val="00100664"/>
    <w:rsid w:val="001006A8"/>
    <w:rsid w:val="001007C9"/>
    <w:rsid w:val="00100829"/>
    <w:rsid w:val="001008F4"/>
    <w:rsid w:val="00100906"/>
    <w:rsid w:val="00100964"/>
    <w:rsid w:val="00100969"/>
    <w:rsid w:val="00100A11"/>
    <w:rsid w:val="00100B05"/>
    <w:rsid w:val="00100B66"/>
    <w:rsid w:val="00100C69"/>
    <w:rsid w:val="00100DDF"/>
    <w:rsid w:val="00100E2F"/>
    <w:rsid w:val="00100F35"/>
    <w:rsid w:val="00100F60"/>
    <w:rsid w:val="00100F7D"/>
    <w:rsid w:val="00101015"/>
    <w:rsid w:val="001011E4"/>
    <w:rsid w:val="00101200"/>
    <w:rsid w:val="0010128C"/>
    <w:rsid w:val="0010129A"/>
    <w:rsid w:val="001014B8"/>
    <w:rsid w:val="00101573"/>
    <w:rsid w:val="00101785"/>
    <w:rsid w:val="00101935"/>
    <w:rsid w:val="00101BBB"/>
    <w:rsid w:val="00101CC0"/>
    <w:rsid w:val="001021FD"/>
    <w:rsid w:val="001023E4"/>
    <w:rsid w:val="0010243E"/>
    <w:rsid w:val="00102480"/>
    <w:rsid w:val="001025C2"/>
    <w:rsid w:val="0010260F"/>
    <w:rsid w:val="00102686"/>
    <w:rsid w:val="001026FC"/>
    <w:rsid w:val="00102733"/>
    <w:rsid w:val="00102891"/>
    <w:rsid w:val="001028B8"/>
    <w:rsid w:val="0010290B"/>
    <w:rsid w:val="001029F1"/>
    <w:rsid w:val="00102A20"/>
    <w:rsid w:val="00102A49"/>
    <w:rsid w:val="00102D97"/>
    <w:rsid w:val="00102DB7"/>
    <w:rsid w:val="001030D4"/>
    <w:rsid w:val="00103116"/>
    <w:rsid w:val="001031F4"/>
    <w:rsid w:val="001033D4"/>
    <w:rsid w:val="001034EC"/>
    <w:rsid w:val="0010372E"/>
    <w:rsid w:val="0010395E"/>
    <w:rsid w:val="001039C9"/>
    <w:rsid w:val="001039E8"/>
    <w:rsid w:val="00103AF7"/>
    <w:rsid w:val="00103C07"/>
    <w:rsid w:val="00103CC7"/>
    <w:rsid w:val="00103F5D"/>
    <w:rsid w:val="00103F60"/>
    <w:rsid w:val="00103F8B"/>
    <w:rsid w:val="00103FF8"/>
    <w:rsid w:val="0010401D"/>
    <w:rsid w:val="00104062"/>
    <w:rsid w:val="0010418B"/>
    <w:rsid w:val="001044C5"/>
    <w:rsid w:val="0010462B"/>
    <w:rsid w:val="001046BC"/>
    <w:rsid w:val="0010476A"/>
    <w:rsid w:val="00104818"/>
    <w:rsid w:val="001049F6"/>
    <w:rsid w:val="00104A5C"/>
    <w:rsid w:val="00104A7A"/>
    <w:rsid w:val="00104A91"/>
    <w:rsid w:val="00104AD8"/>
    <w:rsid w:val="00104E4F"/>
    <w:rsid w:val="00105111"/>
    <w:rsid w:val="0010517A"/>
    <w:rsid w:val="001051E0"/>
    <w:rsid w:val="001054AF"/>
    <w:rsid w:val="00105790"/>
    <w:rsid w:val="0010579F"/>
    <w:rsid w:val="001057C0"/>
    <w:rsid w:val="001058F3"/>
    <w:rsid w:val="001059DD"/>
    <w:rsid w:val="001059E1"/>
    <w:rsid w:val="00105AEB"/>
    <w:rsid w:val="00105CA0"/>
    <w:rsid w:val="00105E6F"/>
    <w:rsid w:val="0010600A"/>
    <w:rsid w:val="00106095"/>
    <w:rsid w:val="0010622F"/>
    <w:rsid w:val="00106401"/>
    <w:rsid w:val="00106786"/>
    <w:rsid w:val="001068E9"/>
    <w:rsid w:val="00106907"/>
    <w:rsid w:val="00106A46"/>
    <w:rsid w:val="00106B66"/>
    <w:rsid w:val="00106E25"/>
    <w:rsid w:val="00106E89"/>
    <w:rsid w:val="001071EC"/>
    <w:rsid w:val="001074A6"/>
    <w:rsid w:val="00107547"/>
    <w:rsid w:val="001075CB"/>
    <w:rsid w:val="001078FF"/>
    <w:rsid w:val="00107920"/>
    <w:rsid w:val="00107B12"/>
    <w:rsid w:val="00107B1B"/>
    <w:rsid w:val="00107BC2"/>
    <w:rsid w:val="00107BE1"/>
    <w:rsid w:val="00107C72"/>
    <w:rsid w:val="00110007"/>
    <w:rsid w:val="00110029"/>
    <w:rsid w:val="0011010E"/>
    <w:rsid w:val="001101E7"/>
    <w:rsid w:val="0011023E"/>
    <w:rsid w:val="0011046D"/>
    <w:rsid w:val="0011068F"/>
    <w:rsid w:val="00110929"/>
    <w:rsid w:val="00110AE4"/>
    <w:rsid w:val="00110C4F"/>
    <w:rsid w:val="00110D14"/>
    <w:rsid w:val="00110E7B"/>
    <w:rsid w:val="00111176"/>
    <w:rsid w:val="0011132B"/>
    <w:rsid w:val="00111441"/>
    <w:rsid w:val="00111496"/>
    <w:rsid w:val="00111697"/>
    <w:rsid w:val="001116CD"/>
    <w:rsid w:val="0011179B"/>
    <w:rsid w:val="00111844"/>
    <w:rsid w:val="00111880"/>
    <w:rsid w:val="00111921"/>
    <w:rsid w:val="001119BD"/>
    <w:rsid w:val="00111A19"/>
    <w:rsid w:val="00111A1C"/>
    <w:rsid w:val="00111A6E"/>
    <w:rsid w:val="00111B60"/>
    <w:rsid w:val="00111C50"/>
    <w:rsid w:val="00111E62"/>
    <w:rsid w:val="00111E6A"/>
    <w:rsid w:val="00111EB9"/>
    <w:rsid w:val="001120C4"/>
    <w:rsid w:val="001121F5"/>
    <w:rsid w:val="0011220B"/>
    <w:rsid w:val="0011253C"/>
    <w:rsid w:val="00112596"/>
    <w:rsid w:val="00112781"/>
    <w:rsid w:val="0011279E"/>
    <w:rsid w:val="00112872"/>
    <w:rsid w:val="0011287A"/>
    <w:rsid w:val="00112A23"/>
    <w:rsid w:val="00112A99"/>
    <w:rsid w:val="00112B4B"/>
    <w:rsid w:val="00112B6F"/>
    <w:rsid w:val="00112B88"/>
    <w:rsid w:val="00112CFE"/>
    <w:rsid w:val="00112F1D"/>
    <w:rsid w:val="00112F56"/>
    <w:rsid w:val="00112F9C"/>
    <w:rsid w:val="00113203"/>
    <w:rsid w:val="00113700"/>
    <w:rsid w:val="0011378C"/>
    <w:rsid w:val="00113863"/>
    <w:rsid w:val="0011395B"/>
    <w:rsid w:val="00113A09"/>
    <w:rsid w:val="00113A8E"/>
    <w:rsid w:val="00113ABB"/>
    <w:rsid w:val="00113B99"/>
    <w:rsid w:val="00113E7B"/>
    <w:rsid w:val="00113F38"/>
    <w:rsid w:val="00113FDD"/>
    <w:rsid w:val="00114031"/>
    <w:rsid w:val="00114149"/>
    <w:rsid w:val="00114777"/>
    <w:rsid w:val="0011481C"/>
    <w:rsid w:val="00114873"/>
    <w:rsid w:val="00114999"/>
    <w:rsid w:val="00114ACF"/>
    <w:rsid w:val="00114B27"/>
    <w:rsid w:val="00114BA3"/>
    <w:rsid w:val="00114BB4"/>
    <w:rsid w:val="00114BC1"/>
    <w:rsid w:val="00114D9B"/>
    <w:rsid w:val="00114DB2"/>
    <w:rsid w:val="00114E48"/>
    <w:rsid w:val="00114FE9"/>
    <w:rsid w:val="001150BF"/>
    <w:rsid w:val="00115155"/>
    <w:rsid w:val="001151DB"/>
    <w:rsid w:val="0011538A"/>
    <w:rsid w:val="001155C4"/>
    <w:rsid w:val="00115985"/>
    <w:rsid w:val="00115A86"/>
    <w:rsid w:val="00115C51"/>
    <w:rsid w:val="00116048"/>
    <w:rsid w:val="0011630B"/>
    <w:rsid w:val="001166D0"/>
    <w:rsid w:val="0011689B"/>
    <w:rsid w:val="001168B2"/>
    <w:rsid w:val="001170E2"/>
    <w:rsid w:val="00117111"/>
    <w:rsid w:val="0011717C"/>
    <w:rsid w:val="0011725D"/>
    <w:rsid w:val="00117343"/>
    <w:rsid w:val="00117575"/>
    <w:rsid w:val="001177B4"/>
    <w:rsid w:val="0011780A"/>
    <w:rsid w:val="001178D0"/>
    <w:rsid w:val="00117AF3"/>
    <w:rsid w:val="00117C2C"/>
    <w:rsid w:val="00117C31"/>
    <w:rsid w:val="00117C90"/>
    <w:rsid w:val="00117D13"/>
    <w:rsid w:val="00117FE9"/>
    <w:rsid w:val="00120041"/>
    <w:rsid w:val="00120049"/>
    <w:rsid w:val="00120058"/>
    <w:rsid w:val="00120170"/>
    <w:rsid w:val="00120183"/>
    <w:rsid w:val="00120193"/>
    <w:rsid w:val="00120202"/>
    <w:rsid w:val="00120358"/>
    <w:rsid w:val="00120387"/>
    <w:rsid w:val="001203AD"/>
    <w:rsid w:val="001205CD"/>
    <w:rsid w:val="001209F6"/>
    <w:rsid w:val="00120A81"/>
    <w:rsid w:val="00120B19"/>
    <w:rsid w:val="00120C33"/>
    <w:rsid w:val="00120E14"/>
    <w:rsid w:val="00120F3B"/>
    <w:rsid w:val="00120F64"/>
    <w:rsid w:val="00120FD7"/>
    <w:rsid w:val="00121117"/>
    <w:rsid w:val="001211E9"/>
    <w:rsid w:val="00121241"/>
    <w:rsid w:val="001213D6"/>
    <w:rsid w:val="00121483"/>
    <w:rsid w:val="001214A0"/>
    <w:rsid w:val="00121585"/>
    <w:rsid w:val="001215F7"/>
    <w:rsid w:val="0012171F"/>
    <w:rsid w:val="00121737"/>
    <w:rsid w:val="00121761"/>
    <w:rsid w:val="00121916"/>
    <w:rsid w:val="00121994"/>
    <w:rsid w:val="00121AB8"/>
    <w:rsid w:val="00121B68"/>
    <w:rsid w:val="00121BD6"/>
    <w:rsid w:val="00121C6E"/>
    <w:rsid w:val="00121D64"/>
    <w:rsid w:val="00121DCD"/>
    <w:rsid w:val="00121DEF"/>
    <w:rsid w:val="00121E02"/>
    <w:rsid w:val="00121E53"/>
    <w:rsid w:val="00121FE4"/>
    <w:rsid w:val="001223C4"/>
    <w:rsid w:val="00122432"/>
    <w:rsid w:val="0012249C"/>
    <w:rsid w:val="001224C2"/>
    <w:rsid w:val="00122738"/>
    <w:rsid w:val="0012277A"/>
    <w:rsid w:val="001227C6"/>
    <w:rsid w:val="001229EE"/>
    <w:rsid w:val="00122ADC"/>
    <w:rsid w:val="00122C36"/>
    <w:rsid w:val="00122C8D"/>
    <w:rsid w:val="00122CF9"/>
    <w:rsid w:val="00122EDE"/>
    <w:rsid w:val="00122EE9"/>
    <w:rsid w:val="00122FA4"/>
    <w:rsid w:val="00123062"/>
    <w:rsid w:val="001230FA"/>
    <w:rsid w:val="001231A8"/>
    <w:rsid w:val="001231B8"/>
    <w:rsid w:val="001231CB"/>
    <w:rsid w:val="00123421"/>
    <w:rsid w:val="0012357B"/>
    <w:rsid w:val="001235C6"/>
    <w:rsid w:val="00123822"/>
    <w:rsid w:val="001238A9"/>
    <w:rsid w:val="0012396A"/>
    <w:rsid w:val="00123A6C"/>
    <w:rsid w:val="00123A89"/>
    <w:rsid w:val="00123ABC"/>
    <w:rsid w:val="00123B22"/>
    <w:rsid w:val="00123D98"/>
    <w:rsid w:val="00123DD8"/>
    <w:rsid w:val="00123EB8"/>
    <w:rsid w:val="00123FAC"/>
    <w:rsid w:val="00123FC3"/>
    <w:rsid w:val="00124031"/>
    <w:rsid w:val="0012409E"/>
    <w:rsid w:val="0012416A"/>
    <w:rsid w:val="001241F4"/>
    <w:rsid w:val="001242FF"/>
    <w:rsid w:val="00124300"/>
    <w:rsid w:val="0012439E"/>
    <w:rsid w:val="0012443B"/>
    <w:rsid w:val="00124444"/>
    <w:rsid w:val="00124481"/>
    <w:rsid w:val="00124494"/>
    <w:rsid w:val="00124782"/>
    <w:rsid w:val="001247C1"/>
    <w:rsid w:val="001248D2"/>
    <w:rsid w:val="001248DD"/>
    <w:rsid w:val="001249F3"/>
    <w:rsid w:val="00124A50"/>
    <w:rsid w:val="00124B0C"/>
    <w:rsid w:val="00124BA4"/>
    <w:rsid w:val="00124D07"/>
    <w:rsid w:val="00124F18"/>
    <w:rsid w:val="00124F47"/>
    <w:rsid w:val="00124F5C"/>
    <w:rsid w:val="00124F6A"/>
    <w:rsid w:val="001250F6"/>
    <w:rsid w:val="0012515E"/>
    <w:rsid w:val="001251DF"/>
    <w:rsid w:val="001251FF"/>
    <w:rsid w:val="001253F6"/>
    <w:rsid w:val="0012541A"/>
    <w:rsid w:val="001256CF"/>
    <w:rsid w:val="001256EC"/>
    <w:rsid w:val="0012572C"/>
    <w:rsid w:val="00125934"/>
    <w:rsid w:val="0012597F"/>
    <w:rsid w:val="00125B3A"/>
    <w:rsid w:val="00125C6B"/>
    <w:rsid w:val="00125CB4"/>
    <w:rsid w:val="00125D60"/>
    <w:rsid w:val="00125D7D"/>
    <w:rsid w:val="00125E4F"/>
    <w:rsid w:val="00125E83"/>
    <w:rsid w:val="00125F47"/>
    <w:rsid w:val="00125FD4"/>
    <w:rsid w:val="001260CA"/>
    <w:rsid w:val="0012617D"/>
    <w:rsid w:val="00126343"/>
    <w:rsid w:val="0012636F"/>
    <w:rsid w:val="001263CE"/>
    <w:rsid w:val="00126404"/>
    <w:rsid w:val="00126461"/>
    <w:rsid w:val="0012653D"/>
    <w:rsid w:val="001266A7"/>
    <w:rsid w:val="00126854"/>
    <w:rsid w:val="001268C4"/>
    <w:rsid w:val="00126B6E"/>
    <w:rsid w:val="00126E15"/>
    <w:rsid w:val="001270C6"/>
    <w:rsid w:val="001272F7"/>
    <w:rsid w:val="00127336"/>
    <w:rsid w:val="001273B7"/>
    <w:rsid w:val="0012778B"/>
    <w:rsid w:val="001277A4"/>
    <w:rsid w:val="00127A0F"/>
    <w:rsid w:val="00127A3D"/>
    <w:rsid w:val="00127BE1"/>
    <w:rsid w:val="00127CED"/>
    <w:rsid w:val="00127D55"/>
    <w:rsid w:val="00127E84"/>
    <w:rsid w:val="0013012E"/>
    <w:rsid w:val="00130138"/>
    <w:rsid w:val="00130258"/>
    <w:rsid w:val="001307E2"/>
    <w:rsid w:val="00130948"/>
    <w:rsid w:val="001309C1"/>
    <w:rsid w:val="00130A10"/>
    <w:rsid w:val="00130ACC"/>
    <w:rsid w:val="00130CBD"/>
    <w:rsid w:val="00130D02"/>
    <w:rsid w:val="00130FFF"/>
    <w:rsid w:val="00131007"/>
    <w:rsid w:val="0013101C"/>
    <w:rsid w:val="0013103A"/>
    <w:rsid w:val="0013105F"/>
    <w:rsid w:val="00131076"/>
    <w:rsid w:val="001310FA"/>
    <w:rsid w:val="001311A8"/>
    <w:rsid w:val="001311FD"/>
    <w:rsid w:val="0013126D"/>
    <w:rsid w:val="001312AF"/>
    <w:rsid w:val="001313E7"/>
    <w:rsid w:val="00131518"/>
    <w:rsid w:val="00131565"/>
    <w:rsid w:val="00131569"/>
    <w:rsid w:val="001315EA"/>
    <w:rsid w:val="0013169B"/>
    <w:rsid w:val="00131719"/>
    <w:rsid w:val="001317AC"/>
    <w:rsid w:val="001317E2"/>
    <w:rsid w:val="0013186E"/>
    <w:rsid w:val="001318D7"/>
    <w:rsid w:val="00131BAD"/>
    <w:rsid w:val="00131BB9"/>
    <w:rsid w:val="00131BE8"/>
    <w:rsid w:val="00131C9A"/>
    <w:rsid w:val="00131CA5"/>
    <w:rsid w:val="00131D13"/>
    <w:rsid w:val="00131D21"/>
    <w:rsid w:val="00131D2B"/>
    <w:rsid w:val="00131D3A"/>
    <w:rsid w:val="00131DB4"/>
    <w:rsid w:val="00131E34"/>
    <w:rsid w:val="00131E78"/>
    <w:rsid w:val="00131E79"/>
    <w:rsid w:val="0013204C"/>
    <w:rsid w:val="001320F0"/>
    <w:rsid w:val="0013228E"/>
    <w:rsid w:val="001323BC"/>
    <w:rsid w:val="00132615"/>
    <w:rsid w:val="001326FB"/>
    <w:rsid w:val="001328AD"/>
    <w:rsid w:val="001328E4"/>
    <w:rsid w:val="00132A0E"/>
    <w:rsid w:val="00132A1E"/>
    <w:rsid w:val="00132AD1"/>
    <w:rsid w:val="00132BF2"/>
    <w:rsid w:val="00132C30"/>
    <w:rsid w:val="00132C66"/>
    <w:rsid w:val="00132D47"/>
    <w:rsid w:val="00132DFE"/>
    <w:rsid w:val="00132FF6"/>
    <w:rsid w:val="00133032"/>
    <w:rsid w:val="0013311E"/>
    <w:rsid w:val="00133192"/>
    <w:rsid w:val="001331EC"/>
    <w:rsid w:val="0013321A"/>
    <w:rsid w:val="001332FC"/>
    <w:rsid w:val="001333EC"/>
    <w:rsid w:val="00133479"/>
    <w:rsid w:val="0013356D"/>
    <w:rsid w:val="0013358A"/>
    <w:rsid w:val="0013368E"/>
    <w:rsid w:val="001338A2"/>
    <w:rsid w:val="0013399A"/>
    <w:rsid w:val="00133B4F"/>
    <w:rsid w:val="00133B5C"/>
    <w:rsid w:val="00133B63"/>
    <w:rsid w:val="00133C2B"/>
    <w:rsid w:val="00133CA9"/>
    <w:rsid w:val="00133D73"/>
    <w:rsid w:val="00133F0E"/>
    <w:rsid w:val="00133F38"/>
    <w:rsid w:val="00133FC5"/>
    <w:rsid w:val="00134035"/>
    <w:rsid w:val="001341A9"/>
    <w:rsid w:val="00134224"/>
    <w:rsid w:val="00134231"/>
    <w:rsid w:val="001342D3"/>
    <w:rsid w:val="00134374"/>
    <w:rsid w:val="001344BA"/>
    <w:rsid w:val="0013452C"/>
    <w:rsid w:val="001345C8"/>
    <w:rsid w:val="001345EA"/>
    <w:rsid w:val="00134867"/>
    <w:rsid w:val="0013491C"/>
    <w:rsid w:val="001349DE"/>
    <w:rsid w:val="00134C43"/>
    <w:rsid w:val="00134C68"/>
    <w:rsid w:val="00134DB0"/>
    <w:rsid w:val="00134E7D"/>
    <w:rsid w:val="0013509F"/>
    <w:rsid w:val="001350CF"/>
    <w:rsid w:val="0013544A"/>
    <w:rsid w:val="0013570D"/>
    <w:rsid w:val="00135838"/>
    <w:rsid w:val="001358A4"/>
    <w:rsid w:val="00135A20"/>
    <w:rsid w:val="00135B3B"/>
    <w:rsid w:val="00135C6F"/>
    <w:rsid w:val="00135D0A"/>
    <w:rsid w:val="00135E6F"/>
    <w:rsid w:val="00135E77"/>
    <w:rsid w:val="00135F01"/>
    <w:rsid w:val="00136001"/>
    <w:rsid w:val="00136044"/>
    <w:rsid w:val="00136077"/>
    <w:rsid w:val="0013637D"/>
    <w:rsid w:val="001363A5"/>
    <w:rsid w:val="00136409"/>
    <w:rsid w:val="00136456"/>
    <w:rsid w:val="0013645A"/>
    <w:rsid w:val="001364F2"/>
    <w:rsid w:val="001364F3"/>
    <w:rsid w:val="00136598"/>
    <w:rsid w:val="001369DE"/>
    <w:rsid w:val="00136B0E"/>
    <w:rsid w:val="00136B6F"/>
    <w:rsid w:val="00136C56"/>
    <w:rsid w:val="00136C60"/>
    <w:rsid w:val="00136C71"/>
    <w:rsid w:val="00136DB9"/>
    <w:rsid w:val="00136E54"/>
    <w:rsid w:val="00136E85"/>
    <w:rsid w:val="00136E89"/>
    <w:rsid w:val="00136F4A"/>
    <w:rsid w:val="00136F5C"/>
    <w:rsid w:val="00136FC6"/>
    <w:rsid w:val="00137052"/>
    <w:rsid w:val="001372DE"/>
    <w:rsid w:val="001373D4"/>
    <w:rsid w:val="00137723"/>
    <w:rsid w:val="0013789A"/>
    <w:rsid w:val="0013790F"/>
    <w:rsid w:val="001379C1"/>
    <w:rsid w:val="00137A47"/>
    <w:rsid w:val="00137BF9"/>
    <w:rsid w:val="00137C8B"/>
    <w:rsid w:val="00137D41"/>
    <w:rsid w:val="00137DCC"/>
    <w:rsid w:val="00137E79"/>
    <w:rsid w:val="00137F90"/>
    <w:rsid w:val="00137FF6"/>
    <w:rsid w:val="00140068"/>
    <w:rsid w:val="00140135"/>
    <w:rsid w:val="0014045D"/>
    <w:rsid w:val="001405B1"/>
    <w:rsid w:val="001407C1"/>
    <w:rsid w:val="001407F2"/>
    <w:rsid w:val="00140851"/>
    <w:rsid w:val="00140B46"/>
    <w:rsid w:val="00140B9B"/>
    <w:rsid w:val="00140CA0"/>
    <w:rsid w:val="00140DA0"/>
    <w:rsid w:val="00140ED7"/>
    <w:rsid w:val="00141009"/>
    <w:rsid w:val="0014119F"/>
    <w:rsid w:val="001413C7"/>
    <w:rsid w:val="001413CA"/>
    <w:rsid w:val="001414C7"/>
    <w:rsid w:val="00141533"/>
    <w:rsid w:val="001416EC"/>
    <w:rsid w:val="001416EF"/>
    <w:rsid w:val="00141895"/>
    <w:rsid w:val="00141907"/>
    <w:rsid w:val="00141925"/>
    <w:rsid w:val="00141A74"/>
    <w:rsid w:val="00141ADD"/>
    <w:rsid w:val="00141B63"/>
    <w:rsid w:val="00141E01"/>
    <w:rsid w:val="00141E85"/>
    <w:rsid w:val="001420F4"/>
    <w:rsid w:val="0014222C"/>
    <w:rsid w:val="00142318"/>
    <w:rsid w:val="0014236D"/>
    <w:rsid w:val="001423B2"/>
    <w:rsid w:val="00142430"/>
    <w:rsid w:val="0014256E"/>
    <w:rsid w:val="001425A4"/>
    <w:rsid w:val="00142693"/>
    <w:rsid w:val="00142800"/>
    <w:rsid w:val="00142899"/>
    <w:rsid w:val="00142977"/>
    <w:rsid w:val="00142B48"/>
    <w:rsid w:val="00142BB5"/>
    <w:rsid w:val="00142BB6"/>
    <w:rsid w:val="00142FB3"/>
    <w:rsid w:val="00143065"/>
    <w:rsid w:val="001431D6"/>
    <w:rsid w:val="00143230"/>
    <w:rsid w:val="001432AE"/>
    <w:rsid w:val="0014330E"/>
    <w:rsid w:val="001433F3"/>
    <w:rsid w:val="0014344E"/>
    <w:rsid w:val="00143472"/>
    <w:rsid w:val="001434F4"/>
    <w:rsid w:val="001435A1"/>
    <w:rsid w:val="00143742"/>
    <w:rsid w:val="00143797"/>
    <w:rsid w:val="0014379F"/>
    <w:rsid w:val="001437FA"/>
    <w:rsid w:val="00143902"/>
    <w:rsid w:val="00143A12"/>
    <w:rsid w:val="00143ADB"/>
    <w:rsid w:val="00143B49"/>
    <w:rsid w:val="00143B50"/>
    <w:rsid w:val="00143B55"/>
    <w:rsid w:val="00143B75"/>
    <w:rsid w:val="00143B76"/>
    <w:rsid w:val="00143CC3"/>
    <w:rsid w:val="00143D23"/>
    <w:rsid w:val="00144059"/>
    <w:rsid w:val="0014414C"/>
    <w:rsid w:val="00144271"/>
    <w:rsid w:val="0014431F"/>
    <w:rsid w:val="00144594"/>
    <w:rsid w:val="001446F4"/>
    <w:rsid w:val="0014489C"/>
    <w:rsid w:val="00144983"/>
    <w:rsid w:val="001449BA"/>
    <w:rsid w:val="00144A49"/>
    <w:rsid w:val="00144B63"/>
    <w:rsid w:val="00144BC0"/>
    <w:rsid w:val="00144E40"/>
    <w:rsid w:val="00144F39"/>
    <w:rsid w:val="00144F41"/>
    <w:rsid w:val="0014502C"/>
    <w:rsid w:val="00145224"/>
    <w:rsid w:val="00145244"/>
    <w:rsid w:val="001452E6"/>
    <w:rsid w:val="001452F2"/>
    <w:rsid w:val="001453D2"/>
    <w:rsid w:val="001453D8"/>
    <w:rsid w:val="001453F1"/>
    <w:rsid w:val="00145563"/>
    <w:rsid w:val="0014585F"/>
    <w:rsid w:val="001459C9"/>
    <w:rsid w:val="00145AA7"/>
    <w:rsid w:val="00145D57"/>
    <w:rsid w:val="00145E46"/>
    <w:rsid w:val="00146032"/>
    <w:rsid w:val="0014616E"/>
    <w:rsid w:val="001462BA"/>
    <w:rsid w:val="001463C0"/>
    <w:rsid w:val="001463F3"/>
    <w:rsid w:val="001463FD"/>
    <w:rsid w:val="00146698"/>
    <w:rsid w:val="001466F7"/>
    <w:rsid w:val="001467CF"/>
    <w:rsid w:val="0014680E"/>
    <w:rsid w:val="0014688D"/>
    <w:rsid w:val="00146B86"/>
    <w:rsid w:val="00146C0F"/>
    <w:rsid w:val="00146CDE"/>
    <w:rsid w:val="00146D34"/>
    <w:rsid w:val="00146ECC"/>
    <w:rsid w:val="001471A8"/>
    <w:rsid w:val="001472C2"/>
    <w:rsid w:val="0014730E"/>
    <w:rsid w:val="001473FC"/>
    <w:rsid w:val="001474AF"/>
    <w:rsid w:val="00147542"/>
    <w:rsid w:val="0014757F"/>
    <w:rsid w:val="001475AD"/>
    <w:rsid w:val="00147861"/>
    <w:rsid w:val="001478E8"/>
    <w:rsid w:val="0014791C"/>
    <w:rsid w:val="0014792E"/>
    <w:rsid w:val="001479D3"/>
    <w:rsid w:val="00147A40"/>
    <w:rsid w:val="00147A8E"/>
    <w:rsid w:val="00147B2E"/>
    <w:rsid w:val="00147C31"/>
    <w:rsid w:val="001500AA"/>
    <w:rsid w:val="00150201"/>
    <w:rsid w:val="00150241"/>
    <w:rsid w:val="001502E5"/>
    <w:rsid w:val="0015040C"/>
    <w:rsid w:val="00150416"/>
    <w:rsid w:val="00150A0F"/>
    <w:rsid w:val="00150A5F"/>
    <w:rsid w:val="00150B64"/>
    <w:rsid w:val="00150C64"/>
    <w:rsid w:val="0015101C"/>
    <w:rsid w:val="00151026"/>
    <w:rsid w:val="00151038"/>
    <w:rsid w:val="0015107D"/>
    <w:rsid w:val="001510B1"/>
    <w:rsid w:val="0015111C"/>
    <w:rsid w:val="00151158"/>
    <w:rsid w:val="00151362"/>
    <w:rsid w:val="001513E6"/>
    <w:rsid w:val="001515DD"/>
    <w:rsid w:val="00151622"/>
    <w:rsid w:val="0015167F"/>
    <w:rsid w:val="001516EC"/>
    <w:rsid w:val="00151708"/>
    <w:rsid w:val="0015181A"/>
    <w:rsid w:val="001519C6"/>
    <w:rsid w:val="00151F44"/>
    <w:rsid w:val="0015200D"/>
    <w:rsid w:val="0015206A"/>
    <w:rsid w:val="0015211D"/>
    <w:rsid w:val="00152162"/>
    <w:rsid w:val="00152326"/>
    <w:rsid w:val="0015236A"/>
    <w:rsid w:val="001525F4"/>
    <w:rsid w:val="0015272B"/>
    <w:rsid w:val="0015296F"/>
    <w:rsid w:val="001529E0"/>
    <w:rsid w:val="00152A77"/>
    <w:rsid w:val="00152B21"/>
    <w:rsid w:val="00152B7C"/>
    <w:rsid w:val="00152BC0"/>
    <w:rsid w:val="00152C0D"/>
    <w:rsid w:val="00152E5D"/>
    <w:rsid w:val="00152F7A"/>
    <w:rsid w:val="00152F7B"/>
    <w:rsid w:val="00152FB3"/>
    <w:rsid w:val="00153064"/>
    <w:rsid w:val="0015306F"/>
    <w:rsid w:val="00153134"/>
    <w:rsid w:val="00153259"/>
    <w:rsid w:val="00153286"/>
    <w:rsid w:val="00153359"/>
    <w:rsid w:val="001533E1"/>
    <w:rsid w:val="001534EB"/>
    <w:rsid w:val="00153572"/>
    <w:rsid w:val="0015358F"/>
    <w:rsid w:val="001535E0"/>
    <w:rsid w:val="0015391E"/>
    <w:rsid w:val="00153972"/>
    <w:rsid w:val="001539D0"/>
    <w:rsid w:val="00153A27"/>
    <w:rsid w:val="00153A4A"/>
    <w:rsid w:val="00153C71"/>
    <w:rsid w:val="00153D5D"/>
    <w:rsid w:val="00153DC3"/>
    <w:rsid w:val="00153E70"/>
    <w:rsid w:val="00153FEE"/>
    <w:rsid w:val="0015405A"/>
    <w:rsid w:val="00154211"/>
    <w:rsid w:val="0015430C"/>
    <w:rsid w:val="0015447F"/>
    <w:rsid w:val="00154520"/>
    <w:rsid w:val="00154611"/>
    <w:rsid w:val="0015461D"/>
    <w:rsid w:val="001546EA"/>
    <w:rsid w:val="00154A9C"/>
    <w:rsid w:val="00154C1A"/>
    <w:rsid w:val="00154C32"/>
    <w:rsid w:val="00154E28"/>
    <w:rsid w:val="00154E4F"/>
    <w:rsid w:val="00154E62"/>
    <w:rsid w:val="00154EE4"/>
    <w:rsid w:val="00154F17"/>
    <w:rsid w:val="00154FB9"/>
    <w:rsid w:val="0015511B"/>
    <w:rsid w:val="001551F3"/>
    <w:rsid w:val="00155271"/>
    <w:rsid w:val="001553C5"/>
    <w:rsid w:val="001556A6"/>
    <w:rsid w:val="001558B8"/>
    <w:rsid w:val="001558F1"/>
    <w:rsid w:val="00155980"/>
    <w:rsid w:val="00155A4D"/>
    <w:rsid w:val="00155A63"/>
    <w:rsid w:val="00155AD8"/>
    <w:rsid w:val="00155ADF"/>
    <w:rsid w:val="00155B0F"/>
    <w:rsid w:val="00155C91"/>
    <w:rsid w:val="00155D31"/>
    <w:rsid w:val="00155DBC"/>
    <w:rsid w:val="00155DD7"/>
    <w:rsid w:val="00155E9C"/>
    <w:rsid w:val="00155EE4"/>
    <w:rsid w:val="001560C9"/>
    <w:rsid w:val="0015634F"/>
    <w:rsid w:val="00156353"/>
    <w:rsid w:val="00156365"/>
    <w:rsid w:val="00156455"/>
    <w:rsid w:val="0015646E"/>
    <w:rsid w:val="00156492"/>
    <w:rsid w:val="001564CA"/>
    <w:rsid w:val="001564D1"/>
    <w:rsid w:val="0015650C"/>
    <w:rsid w:val="00156569"/>
    <w:rsid w:val="00156667"/>
    <w:rsid w:val="00156684"/>
    <w:rsid w:val="001568AB"/>
    <w:rsid w:val="00156A81"/>
    <w:rsid w:val="00156AA1"/>
    <w:rsid w:val="00156BDD"/>
    <w:rsid w:val="00156C6F"/>
    <w:rsid w:val="00156C8F"/>
    <w:rsid w:val="00156D64"/>
    <w:rsid w:val="00156E22"/>
    <w:rsid w:val="00156F23"/>
    <w:rsid w:val="00156F47"/>
    <w:rsid w:val="0015719D"/>
    <w:rsid w:val="001571EA"/>
    <w:rsid w:val="001573D2"/>
    <w:rsid w:val="001573DC"/>
    <w:rsid w:val="00157485"/>
    <w:rsid w:val="001574E4"/>
    <w:rsid w:val="0015766A"/>
    <w:rsid w:val="001578AC"/>
    <w:rsid w:val="001578CF"/>
    <w:rsid w:val="00157ADD"/>
    <w:rsid w:val="00157B7C"/>
    <w:rsid w:val="00157BC9"/>
    <w:rsid w:val="00157CC8"/>
    <w:rsid w:val="00157EB6"/>
    <w:rsid w:val="00157F54"/>
    <w:rsid w:val="00157FBF"/>
    <w:rsid w:val="00160000"/>
    <w:rsid w:val="00160009"/>
    <w:rsid w:val="0016005B"/>
    <w:rsid w:val="00160070"/>
    <w:rsid w:val="00160285"/>
    <w:rsid w:val="0016028B"/>
    <w:rsid w:val="0016029B"/>
    <w:rsid w:val="001603C7"/>
    <w:rsid w:val="00160480"/>
    <w:rsid w:val="00160566"/>
    <w:rsid w:val="00160582"/>
    <w:rsid w:val="00160611"/>
    <w:rsid w:val="001607DC"/>
    <w:rsid w:val="00160A20"/>
    <w:rsid w:val="00160ABD"/>
    <w:rsid w:val="00160BE8"/>
    <w:rsid w:val="00160ED1"/>
    <w:rsid w:val="00160F2C"/>
    <w:rsid w:val="00161091"/>
    <w:rsid w:val="0016137C"/>
    <w:rsid w:val="00161551"/>
    <w:rsid w:val="0016156F"/>
    <w:rsid w:val="001616FD"/>
    <w:rsid w:val="00161786"/>
    <w:rsid w:val="00161AB4"/>
    <w:rsid w:val="00161BD4"/>
    <w:rsid w:val="00161D2C"/>
    <w:rsid w:val="00161DE9"/>
    <w:rsid w:val="00161E68"/>
    <w:rsid w:val="00161EDF"/>
    <w:rsid w:val="00162034"/>
    <w:rsid w:val="001620FB"/>
    <w:rsid w:val="001624D0"/>
    <w:rsid w:val="00162508"/>
    <w:rsid w:val="0016258B"/>
    <w:rsid w:val="001625FF"/>
    <w:rsid w:val="00162717"/>
    <w:rsid w:val="001627AC"/>
    <w:rsid w:val="00162875"/>
    <w:rsid w:val="001628B2"/>
    <w:rsid w:val="001628E0"/>
    <w:rsid w:val="0016292A"/>
    <w:rsid w:val="00162BED"/>
    <w:rsid w:val="00162CA9"/>
    <w:rsid w:val="00162CFF"/>
    <w:rsid w:val="00162D3F"/>
    <w:rsid w:val="00162D4E"/>
    <w:rsid w:val="0016304A"/>
    <w:rsid w:val="00163110"/>
    <w:rsid w:val="001631A9"/>
    <w:rsid w:val="001632CC"/>
    <w:rsid w:val="001634FF"/>
    <w:rsid w:val="001635CE"/>
    <w:rsid w:val="001636C4"/>
    <w:rsid w:val="00163847"/>
    <w:rsid w:val="001639C2"/>
    <w:rsid w:val="001639D9"/>
    <w:rsid w:val="00163A7D"/>
    <w:rsid w:val="00163A85"/>
    <w:rsid w:val="00163B0F"/>
    <w:rsid w:val="00163C1E"/>
    <w:rsid w:val="00163C9B"/>
    <w:rsid w:val="00163DF8"/>
    <w:rsid w:val="00163E3D"/>
    <w:rsid w:val="00163F10"/>
    <w:rsid w:val="00163F5B"/>
    <w:rsid w:val="00163FA3"/>
    <w:rsid w:val="00164241"/>
    <w:rsid w:val="001642ED"/>
    <w:rsid w:val="00164506"/>
    <w:rsid w:val="00164510"/>
    <w:rsid w:val="0016451E"/>
    <w:rsid w:val="00164785"/>
    <w:rsid w:val="001647C3"/>
    <w:rsid w:val="00164884"/>
    <w:rsid w:val="001649D8"/>
    <w:rsid w:val="00164A07"/>
    <w:rsid w:val="00164B6A"/>
    <w:rsid w:val="00164C8A"/>
    <w:rsid w:val="00164CDE"/>
    <w:rsid w:val="00164CF0"/>
    <w:rsid w:val="00164D51"/>
    <w:rsid w:val="00164E22"/>
    <w:rsid w:val="00164F70"/>
    <w:rsid w:val="0016505A"/>
    <w:rsid w:val="0016538A"/>
    <w:rsid w:val="00165431"/>
    <w:rsid w:val="0016563D"/>
    <w:rsid w:val="001657FA"/>
    <w:rsid w:val="00165960"/>
    <w:rsid w:val="00165A24"/>
    <w:rsid w:val="00165B26"/>
    <w:rsid w:val="00165B43"/>
    <w:rsid w:val="00165C75"/>
    <w:rsid w:val="00165CCE"/>
    <w:rsid w:val="00165CF5"/>
    <w:rsid w:val="00165FAD"/>
    <w:rsid w:val="00166148"/>
    <w:rsid w:val="001663DD"/>
    <w:rsid w:val="00166536"/>
    <w:rsid w:val="00166697"/>
    <w:rsid w:val="001668C4"/>
    <w:rsid w:val="00166907"/>
    <w:rsid w:val="00166A83"/>
    <w:rsid w:val="00166ACE"/>
    <w:rsid w:val="00166B34"/>
    <w:rsid w:val="00166BC5"/>
    <w:rsid w:val="00166BC9"/>
    <w:rsid w:val="00166D99"/>
    <w:rsid w:val="00166E5B"/>
    <w:rsid w:val="00166EF1"/>
    <w:rsid w:val="001670F2"/>
    <w:rsid w:val="001670FD"/>
    <w:rsid w:val="00167118"/>
    <w:rsid w:val="001671E8"/>
    <w:rsid w:val="00167964"/>
    <w:rsid w:val="00167B33"/>
    <w:rsid w:val="00167B46"/>
    <w:rsid w:val="00167BDF"/>
    <w:rsid w:val="00167C06"/>
    <w:rsid w:val="00167DD3"/>
    <w:rsid w:val="00167FE7"/>
    <w:rsid w:val="00170051"/>
    <w:rsid w:val="00170064"/>
    <w:rsid w:val="0017018F"/>
    <w:rsid w:val="00170909"/>
    <w:rsid w:val="00170B6E"/>
    <w:rsid w:val="00170C88"/>
    <w:rsid w:val="00170CA0"/>
    <w:rsid w:val="00170E02"/>
    <w:rsid w:val="00170F05"/>
    <w:rsid w:val="00170F8E"/>
    <w:rsid w:val="00171224"/>
    <w:rsid w:val="001712AB"/>
    <w:rsid w:val="00171545"/>
    <w:rsid w:val="0017159B"/>
    <w:rsid w:val="00171A04"/>
    <w:rsid w:val="00171C0B"/>
    <w:rsid w:val="00171D74"/>
    <w:rsid w:val="00171D99"/>
    <w:rsid w:val="00171DC7"/>
    <w:rsid w:val="00171E69"/>
    <w:rsid w:val="00171F26"/>
    <w:rsid w:val="00171F44"/>
    <w:rsid w:val="00171FA6"/>
    <w:rsid w:val="00172002"/>
    <w:rsid w:val="0017217B"/>
    <w:rsid w:val="001721A6"/>
    <w:rsid w:val="001721EC"/>
    <w:rsid w:val="001723B1"/>
    <w:rsid w:val="0017253B"/>
    <w:rsid w:val="0017254D"/>
    <w:rsid w:val="0017282E"/>
    <w:rsid w:val="001728AF"/>
    <w:rsid w:val="001729A9"/>
    <w:rsid w:val="00172A7C"/>
    <w:rsid w:val="00172E26"/>
    <w:rsid w:val="00172FB5"/>
    <w:rsid w:val="0017301E"/>
    <w:rsid w:val="001730B7"/>
    <w:rsid w:val="001731A2"/>
    <w:rsid w:val="00173330"/>
    <w:rsid w:val="001735C1"/>
    <w:rsid w:val="001735C2"/>
    <w:rsid w:val="001737B4"/>
    <w:rsid w:val="001737FC"/>
    <w:rsid w:val="001738E0"/>
    <w:rsid w:val="00173A6B"/>
    <w:rsid w:val="00173ED7"/>
    <w:rsid w:val="00173EEF"/>
    <w:rsid w:val="00173F09"/>
    <w:rsid w:val="00174154"/>
    <w:rsid w:val="0017417F"/>
    <w:rsid w:val="001741FF"/>
    <w:rsid w:val="0017420B"/>
    <w:rsid w:val="00174643"/>
    <w:rsid w:val="0017464F"/>
    <w:rsid w:val="0017466A"/>
    <w:rsid w:val="00174762"/>
    <w:rsid w:val="001747EF"/>
    <w:rsid w:val="00174860"/>
    <w:rsid w:val="00174A03"/>
    <w:rsid w:val="00174A6F"/>
    <w:rsid w:val="00174A89"/>
    <w:rsid w:val="00174B3E"/>
    <w:rsid w:val="00174D30"/>
    <w:rsid w:val="00174DEA"/>
    <w:rsid w:val="00174EE3"/>
    <w:rsid w:val="00174F46"/>
    <w:rsid w:val="00175047"/>
    <w:rsid w:val="00175353"/>
    <w:rsid w:val="00175430"/>
    <w:rsid w:val="001755A4"/>
    <w:rsid w:val="001755DE"/>
    <w:rsid w:val="00175733"/>
    <w:rsid w:val="00175790"/>
    <w:rsid w:val="001757B2"/>
    <w:rsid w:val="001758D2"/>
    <w:rsid w:val="00175911"/>
    <w:rsid w:val="001759BA"/>
    <w:rsid w:val="00175A95"/>
    <w:rsid w:val="00175BE3"/>
    <w:rsid w:val="00175C0D"/>
    <w:rsid w:val="00175C7A"/>
    <w:rsid w:val="00175EAA"/>
    <w:rsid w:val="00175F48"/>
    <w:rsid w:val="00176015"/>
    <w:rsid w:val="00176154"/>
    <w:rsid w:val="0017660C"/>
    <w:rsid w:val="001767FD"/>
    <w:rsid w:val="00176809"/>
    <w:rsid w:val="00176A71"/>
    <w:rsid w:val="00176BB4"/>
    <w:rsid w:val="00176DB4"/>
    <w:rsid w:val="00176E31"/>
    <w:rsid w:val="00176F6C"/>
    <w:rsid w:val="00176FE6"/>
    <w:rsid w:val="001770AA"/>
    <w:rsid w:val="001772DC"/>
    <w:rsid w:val="00177407"/>
    <w:rsid w:val="00177463"/>
    <w:rsid w:val="00177663"/>
    <w:rsid w:val="0017768E"/>
    <w:rsid w:val="001776D0"/>
    <w:rsid w:val="0017786A"/>
    <w:rsid w:val="001778A8"/>
    <w:rsid w:val="001778C3"/>
    <w:rsid w:val="001778DE"/>
    <w:rsid w:val="00177904"/>
    <w:rsid w:val="00177AA4"/>
    <w:rsid w:val="00177B1A"/>
    <w:rsid w:val="00177B44"/>
    <w:rsid w:val="00177B53"/>
    <w:rsid w:val="00177BB7"/>
    <w:rsid w:val="00177C10"/>
    <w:rsid w:val="00177D81"/>
    <w:rsid w:val="00177D8A"/>
    <w:rsid w:val="00177D92"/>
    <w:rsid w:val="00177E0F"/>
    <w:rsid w:val="00180073"/>
    <w:rsid w:val="001801EB"/>
    <w:rsid w:val="001802EA"/>
    <w:rsid w:val="00180334"/>
    <w:rsid w:val="00180362"/>
    <w:rsid w:val="001804EF"/>
    <w:rsid w:val="0018056B"/>
    <w:rsid w:val="001805EA"/>
    <w:rsid w:val="001807FD"/>
    <w:rsid w:val="0018080B"/>
    <w:rsid w:val="00180909"/>
    <w:rsid w:val="00180A05"/>
    <w:rsid w:val="00180A4A"/>
    <w:rsid w:val="00180B51"/>
    <w:rsid w:val="00180C26"/>
    <w:rsid w:val="00180C2C"/>
    <w:rsid w:val="00180C54"/>
    <w:rsid w:val="00180E1F"/>
    <w:rsid w:val="001812D5"/>
    <w:rsid w:val="00181412"/>
    <w:rsid w:val="0018146F"/>
    <w:rsid w:val="00181528"/>
    <w:rsid w:val="001816E6"/>
    <w:rsid w:val="001818D5"/>
    <w:rsid w:val="00181917"/>
    <w:rsid w:val="00181993"/>
    <w:rsid w:val="00181A62"/>
    <w:rsid w:val="00181AA9"/>
    <w:rsid w:val="00181B10"/>
    <w:rsid w:val="00181B43"/>
    <w:rsid w:val="00181D6E"/>
    <w:rsid w:val="00181DBA"/>
    <w:rsid w:val="00181E9C"/>
    <w:rsid w:val="00181F3B"/>
    <w:rsid w:val="00181F41"/>
    <w:rsid w:val="0018208F"/>
    <w:rsid w:val="0018225C"/>
    <w:rsid w:val="00182465"/>
    <w:rsid w:val="00182552"/>
    <w:rsid w:val="001826C2"/>
    <w:rsid w:val="00182767"/>
    <w:rsid w:val="001828B9"/>
    <w:rsid w:val="00182B2F"/>
    <w:rsid w:val="00182B50"/>
    <w:rsid w:val="00182B63"/>
    <w:rsid w:val="00182D81"/>
    <w:rsid w:val="00182F6D"/>
    <w:rsid w:val="00182FDA"/>
    <w:rsid w:val="001830DE"/>
    <w:rsid w:val="001832AC"/>
    <w:rsid w:val="00183305"/>
    <w:rsid w:val="00183620"/>
    <w:rsid w:val="001836BB"/>
    <w:rsid w:val="00183879"/>
    <w:rsid w:val="001838C2"/>
    <w:rsid w:val="00183907"/>
    <w:rsid w:val="00183982"/>
    <w:rsid w:val="001839D3"/>
    <w:rsid w:val="001839E6"/>
    <w:rsid w:val="00183B01"/>
    <w:rsid w:val="00183E36"/>
    <w:rsid w:val="00183E76"/>
    <w:rsid w:val="00184045"/>
    <w:rsid w:val="001841B5"/>
    <w:rsid w:val="00184263"/>
    <w:rsid w:val="0018429D"/>
    <w:rsid w:val="001846CA"/>
    <w:rsid w:val="001847D3"/>
    <w:rsid w:val="001849B1"/>
    <w:rsid w:val="00184CB5"/>
    <w:rsid w:val="00184D12"/>
    <w:rsid w:val="00184D15"/>
    <w:rsid w:val="00184DBC"/>
    <w:rsid w:val="00184EE4"/>
    <w:rsid w:val="00184F92"/>
    <w:rsid w:val="00184F95"/>
    <w:rsid w:val="00184FBD"/>
    <w:rsid w:val="00185026"/>
    <w:rsid w:val="0018503B"/>
    <w:rsid w:val="00185049"/>
    <w:rsid w:val="0018504C"/>
    <w:rsid w:val="001850CD"/>
    <w:rsid w:val="001850E3"/>
    <w:rsid w:val="00185192"/>
    <w:rsid w:val="001851A0"/>
    <w:rsid w:val="001851F2"/>
    <w:rsid w:val="0018522B"/>
    <w:rsid w:val="0018532D"/>
    <w:rsid w:val="0018556B"/>
    <w:rsid w:val="00185710"/>
    <w:rsid w:val="00185774"/>
    <w:rsid w:val="00185824"/>
    <w:rsid w:val="00185880"/>
    <w:rsid w:val="00185897"/>
    <w:rsid w:val="001858E7"/>
    <w:rsid w:val="00185918"/>
    <w:rsid w:val="001859FB"/>
    <w:rsid w:val="00185A07"/>
    <w:rsid w:val="00185B0C"/>
    <w:rsid w:val="00185BBC"/>
    <w:rsid w:val="00185CF2"/>
    <w:rsid w:val="00185DDE"/>
    <w:rsid w:val="00185F21"/>
    <w:rsid w:val="0018601B"/>
    <w:rsid w:val="001860AF"/>
    <w:rsid w:val="00186188"/>
    <w:rsid w:val="001861DB"/>
    <w:rsid w:val="0018629E"/>
    <w:rsid w:val="001863C9"/>
    <w:rsid w:val="00186649"/>
    <w:rsid w:val="00186755"/>
    <w:rsid w:val="001867A6"/>
    <w:rsid w:val="00186A32"/>
    <w:rsid w:val="00186AA9"/>
    <w:rsid w:val="00186C0B"/>
    <w:rsid w:val="00186C3A"/>
    <w:rsid w:val="00186CCB"/>
    <w:rsid w:val="00186F7C"/>
    <w:rsid w:val="00186FC0"/>
    <w:rsid w:val="00187309"/>
    <w:rsid w:val="00187445"/>
    <w:rsid w:val="00187578"/>
    <w:rsid w:val="001877B7"/>
    <w:rsid w:val="00187A05"/>
    <w:rsid w:val="00187E16"/>
    <w:rsid w:val="00187F06"/>
    <w:rsid w:val="00190014"/>
    <w:rsid w:val="00190169"/>
    <w:rsid w:val="0019021D"/>
    <w:rsid w:val="001902AF"/>
    <w:rsid w:val="00190378"/>
    <w:rsid w:val="0019040B"/>
    <w:rsid w:val="00190430"/>
    <w:rsid w:val="00190682"/>
    <w:rsid w:val="00190B5E"/>
    <w:rsid w:val="00190C4B"/>
    <w:rsid w:val="00190E36"/>
    <w:rsid w:val="00190F05"/>
    <w:rsid w:val="0019114B"/>
    <w:rsid w:val="0019117B"/>
    <w:rsid w:val="001911CA"/>
    <w:rsid w:val="001911CD"/>
    <w:rsid w:val="0019144F"/>
    <w:rsid w:val="001914FD"/>
    <w:rsid w:val="00191832"/>
    <w:rsid w:val="001918E9"/>
    <w:rsid w:val="00191983"/>
    <w:rsid w:val="00191A4A"/>
    <w:rsid w:val="00191AA1"/>
    <w:rsid w:val="00191D04"/>
    <w:rsid w:val="00191E32"/>
    <w:rsid w:val="00191E4D"/>
    <w:rsid w:val="00191F3A"/>
    <w:rsid w:val="00191FAA"/>
    <w:rsid w:val="001920FB"/>
    <w:rsid w:val="0019238C"/>
    <w:rsid w:val="0019244B"/>
    <w:rsid w:val="00192629"/>
    <w:rsid w:val="0019272C"/>
    <w:rsid w:val="0019277A"/>
    <w:rsid w:val="00192852"/>
    <w:rsid w:val="00192A14"/>
    <w:rsid w:val="00192A36"/>
    <w:rsid w:val="00192ADE"/>
    <w:rsid w:val="00192C6F"/>
    <w:rsid w:val="00192CDB"/>
    <w:rsid w:val="00192E5E"/>
    <w:rsid w:val="00192E8D"/>
    <w:rsid w:val="00192FBC"/>
    <w:rsid w:val="00192FF1"/>
    <w:rsid w:val="0019301B"/>
    <w:rsid w:val="001930C4"/>
    <w:rsid w:val="001931E4"/>
    <w:rsid w:val="00193271"/>
    <w:rsid w:val="00193437"/>
    <w:rsid w:val="001935F0"/>
    <w:rsid w:val="0019386E"/>
    <w:rsid w:val="00193A39"/>
    <w:rsid w:val="00193B67"/>
    <w:rsid w:val="00193C30"/>
    <w:rsid w:val="00193C5F"/>
    <w:rsid w:val="00193CD6"/>
    <w:rsid w:val="00193E6F"/>
    <w:rsid w:val="0019414E"/>
    <w:rsid w:val="00194239"/>
    <w:rsid w:val="00194246"/>
    <w:rsid w:val="00194279"/>
    <w:rsid w:val="001943CE"/>
    <w:rsid w:val="001944FA"/>
    <w:rsid w:val="001945FF"/>
    <w:rsid w:val="00194635"/>
    <w:rsid w:val="0019472E"/>
    <w:rsid w:val="001948A1"/>
    <w:rsid w:val="00194931"/>
    <w:rsid w:val="00194C72"/>
    <w:rsid w:val="00194CAA"/>
    <w:rsid w:val="00194CBC"/>
    <w:rsid w:val="00194DAD"/>
    <w:rsid w:val="00194DB5"/>
    <w:rsid w:val="00194EA9"/>
    <w:rsid w:val="00194ECC"/>
    <w:rsid w:val="00194EFF"/>
    <w:rsid w:val="001951D4"/>
    <w:rsid w:val="0019524B"/>
    <w:rsid w:val="0019541C"/>
    <w:rsid w:val="001956C9"/>
    <w:rsid w:val="001957D5"/>
    <w:rsid w:val="001957D7"/>
    <w:rsid w:val="00195ADD"/>
    <w:rsid w:val="00195B23"/>
    <w:rsid w:val="00195BAC"/>
    <w:rsid w:val="00195BD2"/>
    <w:rsid w:val="00195D50"/>
    <w:rsid w:val="00195DE9"/>
    <w:rsid w:val="00195E11"/>
    <w:rsid w:val="00195E12"/>
    <w:rsid w:val="00195EEB"/>
    <w:rsid w:val="00195F52"/>
    <w:rsid w:val="00195FAB"/>
    <w:rsid w:val="00195FB6"/>
    <w:rsid w:val="00196097"/>
    <w:rsid w:val="001961F2"/>
    <w:rsid w:val="00196678"/>
    <w:rsid w:val="001966AA"/>
    <w:rsid w:val="0019688D"/>
    <w:rsid w:val="001968EF"/>
    <w:rsid w:val="00196974"/>
    <w:rsid w:val="001969C5"/>
    <w:rsid w:val="001969CE"/>
    <w:rsid w:val="00196A5E"/>
    <w:rsid w:val="00196ACF"/>
    <w:rsid w:val="00196AE1"/>
    <w:rsid w:val="00196B43"/>
    <w:rsid w:val="00196CF5"/>
    <w:rsid w:val="00196E1D"/>
    <w:rsid w:val="00196E9A"/>
    <w:rsid w:val="001970BB"/>
    <w:rsid w:val="0019712E"/>
    <w:rsid w:val="0019735E"/>
    <w:rsid w:val="00197369"/>
    <w:rsid w:val="0019744F"/>
    <w:rsid w:val="001974B3"/>
    <w:rsid w:val="00197586"/>
    <w:rsid w:val="001975B3"/>
    <w:rsid w:val="0019765B"/>
    <w:rsid w:val="00197942"/>
    <w:rsid w:val="00197C96"/>
    <w:rsid w:val="00197D50"/>
    <w:rsid w:val="00197D80"/>
    <w:rsid w:val="00197EC0"/>
    <w:rsid w:val="00197FAD"/>
    <w:rsid w:val="00197FD4"/>
    <w:rsid w:val="001A0048"/>
    <w:rsid w:val="001A00A7"/>
    <w:rsid w:val="001A00F3"/>
    <w:rsid w:val="001A026D"/>
    <w:rsid w:val="001A02F4"/>
    <w:rsid w:val="001A0330"/>
    <w:rsid w:val="001A0426"/>
    <w:rsid w:val="001A0690"/>
    <w:rsid w:val="001A093D"/>
    <w:rsid w:val="001A0BE2"/>
    <w:rsid w:val="001A0ED1"/>
    <w:rsid w:val="001A0F9E"/>
    <w:rsid w:val="001A1089"/>
    <w:rsid w:val="001A10EE"/>
    <w:rsid w:val="001A154A"/>
    <w:rsid w:val="001A1620"/>
    <w:rsid w:val="001A1718"/>
    <w:rsid w:val="001A1724"/>
    <w:rsid w:val="001A17E4"/>
    <w:rsid w:val="001A191D"/>
    <w:rsid w:val="001A1BAB"/>
    <w:rsid w:val="001A1C60"/>
    <w:rsid w:val="001A1D77"/>
    <w:rsid w:val="001A1E06"/>
    <w:rsid w:val="001A20BE"/>
    <w:rsid w:val="001A20F8"/>
    <w:rsid w:val="001A21C4"/>
    <w:rsid w:val="001A2225"/>
    <w:rsid w:val="001A2263"/>
    <w:rsid w:val="001A2365"/>
    <w:rsid w:val="001A2422"/>
    <w:rsid w:val="001A2423"/>
    <w:rsid w:val="001A242E"/>
    <w:rsid w:val="001A2494"/>
    <w:rsid w:val="001A251D"/>
    <w:rsid w:val="001A25A9"/>
    <w:rsid w:val="001A2666"/>
    <w:rsid w:val="001A274F"/>
    <w:rsid w:val="001A283A"/>
    <w:rsid w:val="001A2844"/>
    <w:rsid w:val="001A2878"/>
    <w:rsid w:val="001A292D"/>
    <w:rsid w:val="001A297E"/>
    <w:rsid w:val="001A2A5F"/>
    <w:rsid w:val="001A2AD1"/>
    <w:rsid w:val="001A2B07"/>
    <w:rsid w:val="001A2B38"/>
    <w:rsid w:val="001A2C58"/>
    <w:rsid w:val="001A307E"/>
    <w:rsid w:val="001A30AE"/>
    <w:rsid w:val="001A3107"/>
    <w:rsid w:val="001A311B"/>
    <w:rsid w:val="001A3128"/>
    <w:rsid w:val="001A31F4"/>
    <w:rsid w:val="001A3291"/>
    <w:rsid w:val="001A32A1"/>
    <w:rsid w:val="001A33CC"/>
    <w:rsid w:val="001A33E9"/>
    <w:rsid w:val="001A3424"/>
    <w:rsid w:val="001A347A"/>
    <w:rsid w:val="001A349D"/>
    <w:rsid w:val="001A355E"/>
    <w:rsid w:val="001A3620"/>
    <w:rsid w:val="001A383C"/>
    <w:rsid w:val="001A38F8"/>
    <w:rsid w:val="001A3A3F"/>
    <w:rsid w:val="001A3B45"/>
    <w:rsid w:val="001A3B88"/>
    <w:rsid w:val="001A3D56"/>
    <w:rsid w:val="001A3D8D"/>
    <w:rsid w:val="001A3DA5"/>
    <w:rsid w:val="001A3F2D"/>
    <w:rsid w:val="001A3F7E"/>
    <w:rsid w:val="001A4026"/>
    <w:rsid w:val="001A4168"/>
    <w:rsid w:val="001A41E2"/>
    <w:rsid w:val="001A43CB"/>
    <w:rsid w:val="001A4468"/>
    <w:rsid w:val="001A44AA"/>
    <w:rsid w:val="001A44C3"/>
    <w:rsid w:val="001A4646"/>
    <w:rsid w:val="001A46B3"/>
    <w:rsid w:val="001A48FA"/>
    <w:rsid w:val="001A4918"/>
    <w:rsid w:val="001A49CB"/>
    <w:rsid w:val="001A4AA2"/>
    <w:rsid w:val="001A4BB8"/>
    <w:rsid w:val="001A4BF3"/>
    <w:rsid w:val="001A5129"/>
    <w:rsid w:val="001A5139"/>
    <w:rsid w:val="001A5141"/>
    <w:rsid w:val="001A519D"/>
    <w:rsid w:val="001A5218"/>
    <w:rsid w:val="001A52D4"/>
    <w:rsid w:val="001A5313"/>
    <w:rsid w:val="001A53AA"/>
    <w:rsid w:val="001A53CE"/>
    <w:rsid w:val="001A55E7"/>
    <w:rsid w:val="001A5660"/>
    <w:rsid w:val="001A5706"/>
    <w:rsid w:val="001A570E"/>
    <w:rsid w:val="001A57E9"/>
    <w:rsid w:val="001A5841"/>
    <w:rsid w:val="001A5879"/>
    <w:rsid w:val="001A58D1"/>
    <w:rsid w:val="001A59AE"/>
    <w:rsid w:val="001A5A5A"/>
    <w:rsid w:val="001A5BF9"/>
    <w:rsid w:val="001A5D4B"/>
    <w:rsid w:val="001A5E6E"/>
    <w:rsid w:val="001A5F70"/>
    <w:rsid w:val="001A61AF"/>
    <w:rsid w:val="001A6378"/>
    <w:rsid w:val="001A64E0"/>
    <w:rsid w:val="001A651A"/>
    <w:rsid w:val="001A6563"/>
    <w:rsid w:val="001A65D3"/>
    <w:rsid w:val="001A66BC"/>
    <w:rsid w:val="001A6742"/>
    <w:rsid w:val="001A687C"/>
    <w:rsid w:val="001A6982"/>
    <w:rsid w:val="001A6AF5"/>
    <w:rsid w:val="001A6BB7"/>
    <w:rsid w:val="001A6CDA"/>
    <w:rsid w:val="001A6D0A"/>
    <w:rsid w:val="001A6F28"/>
    <w:rsid w:val="001A6FE6"/>
    <w:rsid w:val="001A704B"/>
    <w:rsid w:val="001A7144"/>
    <w:rsid w:val="001A71E7"/>
    <w:rsid w:val="001A7372"/>
    <w:rsid w:val="001A7374"/>
    <w:rsid w:val="001A7452"/>
    <w:rsid w:val="001A746A"/>
    <w:rsid w:val="001A7532"/>
    <w:rsid w:val="001A7696"/>
    <w:rsid w:val="001A7699"/>
    <w:rsid w:val="001A772F"/>
    <w:rsid w:val="001A773F"/>
    <w:rsid w:val="001A778A"/>
    <w:rsid w:val="001A7904"/>
    <w:rsid w:val="001A7A65"/>
    <w:rsid w:val="001A7C28"/>
    <w:rsid w:val="001A7DEC"/>
    <w:rsid w:val="001A7E41"/>
    <w:rsid w:val="001A7F3B"/>
    <w:rsid w:val="001B00E4"/>
    <w:rsid w:val="001B0204"/>
    <w:rsid w:val="001B028A"/>
    <w:rsid w:val="001B02D2"/>
    <w:rsid w:val="001B0304"/>
    <w:rsid w:val="001B0396"/>
    <w:rsid w:val="001B03C2"/>
    <w:rsid w:val="001B04DB"/>
    <w:rsid w:val="001B057B"/>
    <w:rsid w:val="001B06D3"/>
    <w:rsid w:val="001B0BF5"/>
    <w:rsid w:val="001B0C44"/>
    <w:rsid w:val="001B0CB7"/>
    <w:rsid w:val="001B0D3D"/>
    <w:rsid w:val="001B0F35"/>
    <w:rsid w:val="001B117C"/>
    <w:rsid w:val="001B1269"/>
    <w:rsid w:val="001B1359"/>
    <w:rsid w:val="001B138E"/>
    <w:rsid w:val="001B15CE"/>
    <w:rsid w:val="001B16A8"/>
    <w:rsid w:val="001B16CD"/>
    <w:rsid w:val="001B186B"/>
    <w:rsid w:val="001B1946"/>
    <w:rsid w:val="001B19FE"/>
    <w:rsid w:val="001B1C3E"/>
    <w:rsid w:val="001B1D01"/>
    <w:rsid w:val="001B1D24"/>
    <w:rsid w:val="001B1E8C"/>
    <w:rsid w:val="001B1FE8"/>
    <w:rsid w:val="001B209E"/>
    <w:rsid w:val="001B20DF"/>
    <w:rsid w:val="001B20E9"/>
    <w:rsid w:val="001B2335"/>
    <w:rsid w:val="001B2415"/>
    <w:rsid w:val="001B2622"/>
    <w:rsid w:val="001B26B0"/>
    <w:rsid w:val="001B297C"/>
    <w:rsid w:val="001B2A43"/>
    <w:rsid w:val="001B2A7A"/>
    <w:rsid w:val="001B2C87"/>
    <w:rsid w:val="001B2D09"/>
    <w:rsid w:val="001B2EFD"/>
    <w:rsid w:val="001B2F58"/>
    <w:rsid w:val="001B3042"/>
    <w:rsid w:val="001B31B3"/>
    <w:rsid w:val="001B3245"/>
    <w:rsid w:val="001B3278"/>
    <w:rsid w:val="001B3325"/>
    <w:rsid w:val="001B3380"/>
    <w:rsid w:val="001B33CD"/>
    <w:rsid w:val="001B33F2"/>
    <w:rsid w:val="001B34AB"/>
    <w:rsid w:val="001B35A5"/>
    <w:rsid w:val="001B37EA"/>
    <w:rsid w:val="001B3852"/>
    <w:rsid w:val="001B393C"/>
    <w:rsid w:val="001B3996"/>
    <w:rsid w:val="001B3BF9"/>
    <w:rsid w:val="001B3C3B"/>
    <w:rsid w:val="001B3C40"/>
    <w:rsid w:val="001B3DB4"/>
    <w:rsid w:val="001B3F9B"/>
    <w:rsid w:val="001B3FD2"/>
    <w:rsid w:val="001B4035"/>
    <w:rsid w:val="001B407E"/>
    <w:rsid w:val="001B4166"/>
    <w:rsid w:val="001B417F"/>
    <w:rsid w:val="001B41BB"/>
    <w:rsid w:val="001B41D3"/>
    <w:rsid w:val="001B41FF"/>
    <w:rsid w:val="001B4239"/>
    <w:rsid w:val="001B429A"/>
    <w:rsid w:val="001B43C4"/>
    <w:rsid w:val="001B44BC"/>
    <w:rsid w:val="001B44CD"/>
    <w:rsid w:val="001B44F1"/>
    <w:rsid w:val="001B45E5"/>
    <w:rsid w:val="001B45FF"/>
    <w:rsid w:val="001B4760"/>
    <w:rsid w:val="001B4770"/>
    <w:rsid w:val="001B4817"/>
    <w:rsid w:val="001B483D"/>
    <w:rsid w:val="001B487D"/>
    <w:rsid w:val="001B4885"/>
    <w:rsid w:val="001B4907"/>
    <w:rsid w:val="001B49B8"/>
    <w:rsid w:val="001B49D2"/>
    <w:rsid w:val="001B4AAF"/>
    <w:rsid w:val="001B4DB7"/>
    <w:rsid w:val="001B4E2A"/>
    <w:rsid w:val="001B4EF1"/>
    <w:rsid w:val="001B50A3"/>
    <w:rsid w:val="001B53A6"/>
    <w:rsid w:val="001B53EF"/>
    <w:rsid w:val="001B57B8"/>
    <w:rsid w:val="001B57BB"/>
    <w:rsid w:val="001B58CC"/>
    <w:rsid w:val="001B5B62"/>
    <w:rsid w:val="001B5BF3"/>
    <w:rsid w:val="001B5C05"/>
    <w:rsid w:val="001B5CE2"/>
    <w:rsid w:val="001B5D0D"/>
    <w:rsid w:val="001B5D19"/>
    <w:rsid w:val="001B5F2F"/>
    <w:rsid w:val="001B5F3F"/>
    <w:rsid w:val="001B5FCB"/>
    <w:rsid w:val="001B6079"/>
    <w:rsid w:val="001B607E"/>
    <w:rsid w:val="001B610E"/>
    <w:rsid w:val="001B6113"/>
    <w:rsid w:val="001B61DC"/>
    <w:rsid w:val="001B6388"/>
    <w:rsid w:val="001B63D2"/>
    <w:rsid w:val="001B644A"/>
    <w:rsid w:val="001B6480"/>
    <w:rsid w:val="001B64D1"/>
    <w:rsid w:val="001B68A6"/>
    <w:rsid w:val="001B68BF"/>
    <w:rsid w:val="001B6B6F"/>
    <w:rsid w:val="001B6C08"/>
    <w:rsid w:val="001B6CCA"/>
    <w:rsid w:val="001B6D4B"/>
    <w:rsid w:val="001B704E"/>
    <w:rsid w:val="001B7198"/>
    <w:rsid w:val="001B730A"/>
    <w:rsid w:val="001B7345"/>
    <w:rsid w:val="001B7464"/>
    <w:rsid w:val="001B74C1"/>
    <w:rsid w:val="001B75F8"/>
    <w:rsid w:val="001B7747"/>
    <w:rsid w:val="001B78D8"/>
    <w:rsid w:val="001B7B34"/>
    <w:rsid w:val="001B7B8C"/>
    <w:rsid w:val="001B7C7A"/>
    <w:rsid w:val="001B7D4E"/>
    <w:rsid w:val="001C00CA"/>
    <w:rsid w:val="001C015C"/>
    <w:rsid w:val="001C016E"/>
    <w:rsid w:val="001C019E"/>
    <w:rsid w:val="001C0395"/>
    <w:rsid w:val="001C0471"/>
    <w:rsid w:val="001C049F"/>
    <w:rsid w:val="001C04F4"/>
    <w:rsid w:val="001C0508"/>
    <w:rsid w:val="001C070D"/>
    <w:rsid w:val="001C0792"/>
    <w:rsid w:val="001C0863"/>
    <w:rsid w:val="001C091B"/>
    <w:rsid w:val="001C0BCF"/>
    <w:rsid w:val="001C0C23"/>
    <w:rsid w:val="001C0CB0"/>
    <w:rsid w:val="001C0EA7"/>
    <w:rsid w:val="001C0F99"/>
    <w:rsid w:val="001C0FAF"/>
    <w:rsid w:val="001C1006"/>
    <w:rsid w:val="001C10F2"/>
    <w:rsid w:val="001C1242"/>
    <w:rsid w:val="001C1254"/>
    <w:rsid w:val="001C13E3"/>
    <w:rsid w:val="001C13F4"/>
    <w:rsid w:val="001C1524"/>
    <w:rsid w:val="001C1687"/>
    <w:rsid w:val="001C18FC"/>
    <w:rsid w:val="001C1EC1"/>
    <w:rsid w:val="001C2125"/>
    <w:rsid w:val="001C216E"/>
    <w:rsid w:val="001C240A"/>
    <w:rsid w:val="001C24CB"/>
    <w:rsid w:val="001C2559"/>
    <w:rsid w:val="001C271E"/>
    <w:rsid w:val="001C277C"/>
    <w:rsid w:val="001C2799"/>
    <w:rsid w:val="001C28FD"/>
    <w:rsid w:val="001C2A14"/>
    <w:rsid w:val="001C2D95"/>
    <w:rsid w:val="001C2DF3"/>
    <w:rsid w:val="001C2FBD"/>
    <w:rsid w:val="001C316F"/>
    <w:rsid w:val="001C3326"/>
    <w:rsid w:val="001C3539"/>
    <w:rsid w:val="001C35ED"/>
    <w:rsid w:val="001C371B"/>
    <w:rsid w:val="001C383D"/>
    <w:rsid w:val="001C3D1F"/>
    <w:rsid w:val="001C3DB1"/>
    <w:rsid w:val="001C3E78"/>
    <w:rsid w:val="001C410B"/>
    <w:rsid w:val="001C41DF"/>
    <w:rsid w:val="001C4222"/>
    <w:rsid w:val="001C441D"/>
    <w:rsid w:val="001C452C"/>
    <w:rsid w:val="001C459F"/>
    <w:rsid w:val="001C45E7"/>
    <w:rsid w:val="001C475A"/>
    <w:rsid w:val="001C476D"/>
    <w:rsid w:val="001C4859"/>
    <w:rsid w:val="001C48E7"/>
    <w:rsid w:val="001C4A73"/>
    <w:rsid w:val="001C4AB0"/>
    <w:rsid w:val="001C4BA6"/>
    <w:rsid w:val="001C4C59"/>
    <w:rsid w:val="001C4EA6"/>
    <w:rsid w:val="001C4F3E"/>
    <w:rsid w:val="001C4FEF"/>
    <w:rsid w:val="001C4FFD"/>
    <w:rsid w:val="001C510B"/>
    <w:rsid w:val="001C5150"/>
    <w:rsid w:val="001C537B"/>
    <w:rsid w:val="001C53D2"/>
    <w:rsid w:val="001C5437"/>
    <w:rsid w:val="001C56F5"/>
    <w:rsid w:val="001C5715"/>
    <w:rsid w:val="001C57A8"/>
    <w:rsid w:val="001C581D"/>
    <w:rsid w:val="001C59FE"/>
    <w:rsid w:val="001C5C5C"/>
    <w:rsid w:val="001C5FA5"/>
    <w:rsid w:val="001C600C"/>
    <w:rsid w:val="001C61BC"/>
    <w:rsid w:val="001C61D6"/>
    <w:rsid w:val="001C633E"/>
    <w:rsid w:val="001C63BB"/>
    <w:rsid w:val="001C64DF"/>
    <w:rsid w:val="001C658E"/>
    <w:rsid w:val="001C6623"/>
    <w:rsid w:val="001C6625"/>
    <w:rsid w:val="001C6748"/>
    <w:rsid w:val="001C67B2"/>
    <w:rsid w:val="001C67FE"/>
    <w:rsid w:val="001C6857"/>
    <w:rsid w:val="001C6867"/>
    <w:rsid w:val="001C6A1B"/>
    <w:rsid w:val="001C6A63"/>
    <w:rsid w:val="001C6C95"/>
    <w:rsid w:val="001C6C9F"/>
    <w:rsid w:val="001C6F25"/>
    <w:rsid w:val="001C6F35"/>
    <w:rsid w:val="001C6FDA"/>
    <w:rsid w:val="001C70B1"/>
    <w:rsid w:val="001C71C2"/>
    <w:rsid w:val="001C7221"/>
    <w:rsid w:val="001C725F"/>
    <w:rsid w:val="001C72DB"/>
    <w:rsid w:val="001C7412"/>
    <w:rsid w:val="001C74A7"/>
    <w:rsid w:val="001C74DB"/>
    <w:rsid w:val="001C7714"/>
    <w:rsid w:val="001C78B1"/>
    <w:rsid w:val="001C79EB"/>
    <w:rsid w:val="001C7A6F"/>
    <w:rsid w:val="001C7B11"/>
    <w:rsid w:val="001C7C08"/>
    <w:rsid w:val="001C7C10"/>
    <w:rsid w:val="001C7CA4"/>
    <w:rsid w:val="001C7CAD"/>
    <w:rsid w:val="001C7E01"/>
    <w:rsid w:val="001C7F49"/>
    <w:rsid w:val="001C7FBA"/>
    <w:rsid w:val="001D0241"/>
    <w:rsid w:val="001D025B"/>
    <w:rsid w:val="001D0262"/>
    <w:rsid w:val="001D0278"/>
    <w:rsid w:val="001D074B"/>
    <w:rsid w:val="001D08D4"/>
    <w:rsid w:val="001D09B5"/>
    <w:rsid w:val="001D09C9"/>
    <w:rsid w:val="001D0B29"/>
    <w:rsid w:val="001D0B67"/>
    <w:rsid w:val="001D0C04"/>
    <w:rsid w:val="001D0C73"/>
    <w:rsid w:val="001D0CFB"/>
    <w:rsid w:val="001D0D5F"/>
    <w:rsid w:val="001D0E55"/>
    <w:rsid w:val="001D0FEA"/>
    <w:rsid w:val="001D108F"/>
    <w:rsid w:val="001D1295"/>
    <w:rsid w:val="001D12B3"/>
    <w:rsid w:val="001D1320"/>
    <w:rsid w:val="001D13E7"/>
    <w:rsid w:val="001D14AC"/>
    <w:rsid w:val="001D15B5"/>
    <w:rsid w:val="001D15E9"/>
    <w:rsid w:val="001D172B"/>
    <w:rsid w:val="001D175A"/>
    <w:rsid w:val="001D18AF"/>
    <w:rsid w:val="001D19FD"/>
    <w:rsid w:val="001D1AE8"/>
    <w:rsid w:val="001D1B3F"/>
    <w:rsid w:val="001D1CA2"/>
    <w:rsid w:val="001D1DAC"/>
    <w:rsid w:val="001D1E8B"/>
    <w:rsid w:val="001D1FA8"/>
    <w:rsid w:val="001D20B6"/>
    <w:rsid w:val="001D2407"/>
    <w:rsid w:val="001D26FC"/>
    <w:rsid w:val="001D27EA"/>
    <w:rsid w:val="001D2806"/>
    <w:rsid w:val="001D293B"/>
    <w:rsid w:val="001D2971"/>
    <w:rsid w:val="001D2B58"/>
    <w:rsid w:val="001D2F0D"/>
    <w:rsid w:val="001D30EE"/>
    <w:rsid w:val="001D32B3"/>
    <w:rsid w:val="001D3301"/>
    <w:rsid w:val="001D331B"/>
    <w:rsid w:val="001D3332"/>
    <w:rsid w:val="001D340E"/>
    <w:rsid w:val="001D341F"/>
    <w:rsid w:val="001D3552"/>
    <w:rsid w:val="001D3574"/>
    <w:rsid w:val="001D37AF"/>
    <w:rsid w:val="001D3873"/>
    <w:rsid w:val="001D38F8"/>
    <w:rsid w:val="001D38FE"/>
    <w:rsid w:val="001D3923"/>
    <w:rsid w:val="001D3E12"/>
    <w:rsid w:val="001D3EA3"/>
    <w:rsid w:val="001D3EF3"/>
    <w:rsid w:val="001D3F94"/>
    <w:rsid w:val="001D42FB"/>
    <w:rsid w:val="001D43EC"/>
    <w:rsid w:val="001D44D1"/>
    <w:rsid w:val="001D44D9"/>
    <w:rsid w:val="001D45F6"/>
    <w:rsid w:val="001D473F"/>
    <w:rsid w:val="001D485F"/>
    <w:rsid w:val="001D498C"/>
    <w:rsid w:val="001D4BD8"/>
    <w:rsid w:val="001D4CFF"/>
    <w:rsid w:val="001D4D5A"/>
    <w:rsid w:val="001D4ED5"/>
    <w:rsid w:val="001D4F02"/>
    <w:rsid w:val="001D4F0E"/>
    <w:rsid w:val="001D4F34"/>
    <w:rsid w:val="001D5029"/>
    <w:rsid w:val="001D5177"/>
    <w:rsid w:val="001D53CA"/>
    <w:rsid w:val="001D5422"/>
    <w:rsid w:val="001D5425"/>
    <w:rsid w:val="001D5545"/>
    <w:rsid w:val="001D5690"/>
    <w:rsid w:val="001D56F7"/>
    <w:rsid w:val="001D57BE"/>
    <w:rsid w:val="001D5976"/>
    <w:rsid w:val="001D59C8"/>
    <w:rsid w:val="001D5A42"/>
    <w:rsid w:val="001D5BD8"/>
    <w:rsid w:val="001D5C75"/>
    <w:rsid w:val="001D5CD7"/>
    <w:rsid w:val="001D5D84"/>
    <w:rsid w:val="001D5DFA"/>
    <w:rsid w:val="001D5E45"/>
    <w:rsid w:val="001D5F97"/>
    <w:rsid w:val="001D6051"/>
    <w:rsid w:val="001D60AA"/>
    <w:rsid w:val="001D6241"/>
    <w:rsid w:val="001D62E6"/>
    <w:rsid w:val="001D630A"/>
    <w:rsid w:val="001D6416"/>
    <w:rsid w:val="001D647F"/>
    <w:rsid w:val="001D6695"/>
    <w:rsid w:val="001D66FF"/>
    <w:rsid w:val="001D6933"/>
    <w:rsid w:val="001D6C81"/>
    <w:rsid w:val="001D6D43"/>
    <w:rsid w:val="001D6E85"/>
    <w:rsid w:val="001D70FC"/>
    <w:rsid w:val="001D735A"/>
    <w:rsid w:val="001D736F"/>
    <w:rsid w:val="001D75B8"/>
    <w:rsid w:val="001D764D"/>
    <w:rsid w:val="001D7838"/>
    <w:rsid w:val="001D7986"/>
    <w:rsid w:val="001D7B1A"/>
    <w:rsid w:val="001D7B76"/>
    <w:rsid w:val="001D7C85"/>
    <w:rsid w:val="001D7D36"/>
    <w:rsid w:val="001D7DF0"/>
    <w:rsid w:val="001D7FAA"/>
    <w:rsid w:val="001E0038"/>
    <w:rsid w:val="001E0191"/>
    <w:rsid w:val="001E01EF"/>
    <w:rsid w:val="001E0207"/>
    <w:rsid w:val="001E0210"/>
    <w:rsid w:val="001E0313"/>
    <w:rsid w:val="001E035C"/>
    <w:rsid w:val="001E03B5"/>
    <w:rsid w:val="001E056A"/>
    <w:rsid w:val="001E0685"/>
    <w:rsid w:val="001E06E0"/>
    <w:rsid w:val="001E0789"/>
    <w:rsid w:val="001E082B"/>
    <w:rsid w:val="001E0C97"/>
    <w:rsid w:val="001E0CED"/>
    <w:rsid w:val="001E0DAA"/>
    <w:rsid w:val="001E1152"/>
    <w:rsid w:val="001E11F6"/>
    <w:rsid w:val="001E1302"/>
    <w:rsid w:val="001E13DE"/>
    <w:rsid w:val="001E1429"/>
    <w:rsid w:val="001E19C3"/>
    <w:rsid w:val="001E1A33"/>
    <w:rsid w:val="001E1A54"/>
    <w:rsid w:val="001E1BCB"/>
    <w:rsid w:val="001E1C07"/>
    <w:rsid w:val="001E1C18"/>
    <w:rsid w:val="001E1C1D"/>
    <w:rsid w:val="001E1D91"/>
    <w:rsid w:val="001E1E79"/>
    <w:rsid w:val="001E1E84"/>
    <w:rsid w:val="001E1FBF"/>
    <w:rsid w:val="001E2275"/>
    <w:rsid w:val="001E24F9"/>
    <w:rsid w:val="001E27C2"/>
    <w:rsid w:val="001E2828"/>
    <w:rsid w:val="001E2A12"/>
    <w:rsid w:val="001E2CE8"/>
    <w:rsid w:val="001E2D26"/>
    <w:rsid w:val="001E2D9A"/>
    <w:rsid w:val="001E2ED0"/>
    <w:rsid w:val="001E3053"/>
    <w:rsid w:val="001E307F"/>
    <w:rsid w:val="001E3123"/>
    <w:rsid w:val="001E33C8"/>
    <w:rsid w:val="001E3425"/>
    <w:rsid w:val="001E344A"/>
    <w:rsid w:val="001E356F"/>
    <w:rsid w:val="001E362A"/>
    <w:rsid w:val="001E36A8"/>
    <w:rsid w:val="001E383F"/>
    <w:rsid w:val="001E3847"/>
    <w:rsid w:val="001E386C"/>
    <w:rsid w:val="001E3AF1"/>
    <w:rsid w:val="001E3B39"/>
    <w:rsid w:val="001E3BE2"/>
    <w:rsid w:val="001E3DBB"/>
    <w:rsid w:val="001E3DCD"/>
    <w:rsid w:val="001E3EAE"/>
    <w:rsid w:val="001E3FE0"/>
    <w:rsid w:val="001E45A2"/>
    <w:rsid w:val="001E466F"/>
    <w:rsid w:val="001E4747"/>
    <w:rsid w:val="001E4820"/>
    <w:rsid w:val="001E482B"/>
    <w:rsid w:val="001E49AC"/>
    <w:rsid w:val="001E4BBC"/>
    <w:rsid w:val="001E4CAC"/>
    <w:rsid w:val="001E4D8C"/>
    <w:rsid w:val="001E4DE4"/>
    <w:rsid w:val="001E4E08"/>
    <w:rsid w:val="001E539D"/>
    <w:rsid w:val="001E53A1"/>
    <w:rsid w:val="001E53D7"/>
    <w:rsid w:val="001E55F4"/>
    <w:rsid w:val="001E5601"/>
    <w:rsid w:val="001E56DF"/>
    <w:rsid w:val="001E5812"/>
    <w:rsid w:val="001E5844"/>
    <w:rsid w:val="001E5A01"/>
    <w:rsid w:val="001E5A31"/>
    <w:rsid w:val="001E5AA0"/>
    <w:rsid w:val="001E5C10"/>
    <w:rsid w:val="001E5ED4"/>
    <w:rsid w:val="001E5FFA"/>
    <w:rsid w:val="001E605A"/>
    <w:rsid w:val="001E6082"/>
    <w:rsid w:val="001E635B"/>
    <w:rsid w:val="001E6421"/>
    <w:rsid w:val="001E6626"/>
    <w:rsid w:val="001E66D2"/>
    <w:rsid w:val="001E66DB"/>
    <w:rsid w:val="001E675C"/>
    <w:rsid w:val="001E677C"/>
    <w:rsid w:val="001E688A"/>
    <w:rsid w:val="001E6912"/>
    <w:rsid w:val="001E69BC"/>
    <w:rsid w:val="001E69F4"/>
    <w:rsid w:val="001E6A55"/>
    <w:rsid w:val="001E6AB9"/>
    <w:rsid w:val="001E6AC5"/>
    <w:rsid w:val="001E6B7F"/>
    <w:rsid w:val="001E6BBD"/>
    <w:rsid w:val="001E6C1A"/>
    <w:rsid w:val="001E6D3A"/>
    <w:rsid w:val="001E6EBA"/>
    <w:rsid w:val="001E6ED1"/>
    <w:rsid w:val="001E6F92"/>
    <w:rsid w:val="001E7070"/>
    <w:rsid w:val="001E7075"/>
    <w:rsid w:val="001E7110"/>
    <w:rsid w:val="001E7187"/>
    <w:rsid w:val="001E722E"/>
    <w:rsid w:val="001E72FC"/>
    <w:rsid w:val="001E732A"/>
    <w:rsid w:val="001E7341"/>
    <w:rsid w:val="001E75F0"/>
    <w:rsid w:val="001E7711"/>
    <w:rsid w:val="001E7A4D"/>
    <w:rsid w:val="001E7A76"/>
    <w:rsid w:val="001E7CA8"/>
    <w:rsid w:val="001E7CAD"/>
    <w:rsid w:val="001E7D00"/>
    <w:rsid w:val="001E7D40"/>
    <w:rsid w:val="001E7EB3"/>
    <w:rsid w:val="001E7F80"/>
    <w:rsid w:val="001E7FD3"/>
    <w:rsid w:val="001E7FE1"/>
    <w:rsid w:val="001F0043"/>
    <w:rsid w:val="001F006D"/>
    <w:rsid w:val="001F0091"/>
    <w:rsid w:val="001F0104"/>
    <w:rsid w:val="001F02D0"/>
    <w:rsid w:val="001F0386"/>
    <w:rsid w:val="001F038B"/>
    <w:rsid w:val="001F041C"/>
    <w:rsid w:val="001F0463"/>
    <w:rsid w:val="001F070D"/>
    <w:rsid w:val="001F0920"/>
    <w:rsid w:val="001F09C8"/>
    <w:rsid w:val="001F0A70"/>
    <w:rsid w:val="001F0AD8"/>
    <w:rsid w:val="001F0B21"/>
    <w:rsid w:val="001F0DAF"/>
    <w:rsid w:val="001F0DE6"/>
    <w:rsid w:val="001F0FF5"/>
    <w:rsid w:val="001F120F"/>
    <w:rsid w:val="001F12ED"/>
    <w:rsid w:val="001F1477"/>
    <w:rsid w:val="001F1483"/>
    <w:rsid w:val="001F14D1"/>
    <w:rsid w:val="001F152C"/>
    <w:rsid w:val="001F155A"/>
    <w:rsid w:val="001F155C"/>
    <w:rsid w:val="001F16F6"/>
    <w:rsid w:val="001F1700"/>
    <w:rsid w:val="001F1759"/>
    <w:rsid w:val="001F1812"/>
    <w:rsid w:val="001F184B"/>
    <w:rsid w:val="001F18B9"/>
    <w:rsid w:val="001F18E9"/>
    <w:rsid w:val="001F1965"/>
    <w:rsid w:val="001F19CC"/>
    <w:rsid w:val="001F1B1A"/>
    <w:rsid w:val="001F1B94"/>
    <w:rsid w:val="001F1DEA"/>
    <w:rsid w:val="001F1E06"/>
    <w:rsid w:val="001F1F12"/>
    <w:rsid w:val="001F21E1"/>
    <w:rsid w:val="001F2250"/>
    <w:rsid w:val="001F228F"/>
    <w:rsid w:val="001F22B3"/>
    <w:rsid w:val="001F24E8"/>
    <w:rsid w:val="001F25D3"/>
    <w:rsid w:val="001F263C"/>
    <w:rsid w:val="001F2882"/>
    <w:rsid w:val="001F2A09"/>
    <w:rsid w:val="001F2A68"/>
    <w:rsid w:val="001F2A6C"/>
    <w:rsid w:val="001F2A73"/>
    <w:rsid w:val="001F2B41"/>
    <w:rsid w:val="001F2BCC"/>
    <w:rsid w:val="001F2DCE"/>
    <w:rsid w:val="001F2E89"/>
    <w:rsid w:val="001F2F52"/>
    <w:rsid w:val="001F3055"/>
    <w:rsid w:val="001F30F2"/>
    <w:rsid w:val="001F3303"/>
    <w:rsid w:val="001F34B7"/>
    <w:rsid w:val="001F34B8"/>
    <w:rsid w:val="001F35EF"/>
    <w:rsid w:val="001F3848"/>
    <w:rsid w:val="001F389D"/>
    <w:rsid w:val="001F3BA7"/>
    <w:rsid w:val="001F3C48"/>
    <w:rsid w:val="001F3C72"/>
    <w:rsid w:val="001F3D68"/>
    <w:rsid w:val="001F3EF7"/>
    <w:rsid w:val="001F3F41"/>
    <w:rsid w:val="001F3FC2"/>
    <w:rsid w:val="001F3FDC"/>
    <w:rsid w:val="001F4084"/>
    <w:rsid w:val="001F416B"/>
    <w:rsid w:val="001F42C4"/>
    <w:rsid w:val="001F467B"/>
    <w:rsid w:val="001F46DF"/>
    <w:rsid w:val="001F4739"/>
    <w:rsid w:val="001F4BAB"/>
    <w:rsid w:val="001F4BD9"/>
    <w:rsid w:val="001F4C13"/>
    <w:rsid w:val="001F4CF8"/>
    <w:rsid w:val="001F4D23"/>
    <w:rsid w:val="001F4DA4"/>
    <w:rsid w:val="001F4F57"/>
    <w:rsid w:val="001F505E"/>
    <w:rsid w:val="001F5150"/>
    <w:rsid w:val="001F515D"/>
    <w:rsid w:val="001F51CA"/>
    <w:rsid w:val="001F53FD"/>
    <w:rsid w:val="001F56D8"/>
    <w:rsid w:val="001F5938"/>
    <w:rsid w:val="001F595C"/>
    <w:rsid w:val="001F5A09"/>
    <w:rsid w:val="001F5B6B"/>
    <w:rsid w:val="001F5BC4"/>
    <w:rsid w:val="001F5ED0"/>
    <w:rsid w:val="001F5F78"/>
    <w:rsid w:val="001F600D"/>
    <w:rsid w:val="001F60E3"/>
    <w:rsid w:val="001F623F"/>
    <w:rsid w:val="001F65A7"/>
    <w:rsid w:val="001F66FE"/>
    <w:rsid w:val="001F67B3"/>
    <w:rsid w:val="001F6967"/>
    <w:rsid w:val="001F6B52"/>
    <w:rsid w:val="001F6C1E"/>
    <w:rsid w:val="001F6C43"/>
    <w:rsid w:val="001F6D75"/>
    <w:rsid w:val="001F6D7E"/>
    <w:rsid w:val="001F6EF0"/>
    <w:rsid w:val="001F705E"/>
    <w:rsid w:val="001F70F9"/>
    <w:rsid w:val="001F7139"/>
    <w:rsid w:val="001F713B"/>
    <w:rsid w:val="001F7146"/>
    <w:rsid w:val="001F71C6"/>
    <w:rsid w:val="001F725B"/>
    <w:rsid w:val="001F7617"/>
    <w:rsid w:val="001F7902"/>
    <w:rsid w:val="001F7A36"/>
    <w:rsid w:val="001F7A60"/>
    <w:rsid w:val="001F7B4F"/>
    <w:rsid w:val="001F7C24"/>
    <w:rsid w:val="001F7C53"/>
    <w:rsid w:val="001F7D86"/>
    <w:rsid w:val="001F7F16"/>
    <w:rsid w:val="00200007"/>
    <w:rsid w:val="0020000D"/>
    <w:rsid w:val="00200021"/>
    <w:rsid w:val="0020018B"/>
    <w:rsid w:val="002001BF"/>
    <w:rsid w:val="00200278"/>
    <w:rsid w:val="00200459"/>
    <w:rsid w:val="0020045C"/>
    <w:rsid w:val="002005FC"/>
    <w:rsid w:val="00200602"/>
    <w:rsid w:val="00200645"/>
    <w:rsid w:val="0020065C"/>
    <w:rsid w:val="00200680"/>
    <w:rsid w:val="00200802"/>
    <w:rsid w:val="00200842"/>
    <w:rsid w:val="00200889"/>
    <w:rsid w:val="00200911"/>
    <w:rsid w:val="00200A7E"/>
    <w:rsid w:val="00200AF1"/>
    <w:rsid w:val="00200BAE"/>
    <w:rsid w:val="00200F1E"/>
    <w:rsid w:val="00200F53"/>
    <w:rsid w:val="00200F9D"/>
    <w:rsid w:val="00200FF4"/>
    <w:rsid w:val="00201050"/>
    <w:rsid w:val="0020107F"/>
    <w:rsid w:val="002010CA"/>
    <w:rsid w:val="0020122A"/>
    <w:rsid w:val="002012FC"/>
    <w:rsid w:val="00201372"/>
    <w:rsid w:val="002014EC"/>
    <w:rsid w:val="0020154C"/>
    <w:rsid w:val="00201638"/>
    <w:rsid w:val="00201644"/>
    <w:rsid w:val="0020169D"/>
    <w:rsid w:val="00201857"/>
    <w:rsid w:val="00201AA4"/>
    <w:rsid w:val="00201BE8"/>
    <w:rsid w:val="00201C57"/>
    <w:rsid w:val="00201E76"/>
    <w:rsid w:val="00201F74"/>
    <w:rsid w:val="00202036"/>
    <w:rsid w:val="00202078"/>
    <w:rsid w:val="00202095"/>
    <w:rsid w:val="002020E2"/>
    <w:rsid w:val="002021CA"/>
    <w:rsid w:val="0020227E"/>
    <w:rsid w:val="002022C2"/>
    <w:rsid w:val="002022C7"/>
    <w:rsid w:val="002023CC"/>
    <w:rsid w:val="002023D3"/>
    <w:rsid w:val="00202503"/>
    <w:rsid w:val="00202578"/>
    <w:rsid w:val="002025DD"/>
    <w:rsid w:val="002029CF"/>
    <w:rsid w:val="002029EE"/>
    <w:rsid w:val="002029F1"/>
    <w:rsid w:val="00202AC4"/>
    <w:rsid w:val="00202B42"/>
    <w:rsid w:val="00202C84"/>
    <w:rsid w:val="00202E23"/>
    <w:rsid w:val="00202FAC"/>
    <w:rsid w:val="0020319B"/>
    <w:rsid w:val="0020319D"/>
    <w:rsid w:val="00203381"/>
    <w:rsid w:val="002033A2"/>
    <w:rsid w:val="0020364B"/>
    <w:rsid w:val="0020366F"/>
    <w:rsid w:val="0020369B"/>
    <w:rsid w:val="002037B9"/>
    <w:rsid w:val="00203848"/>
    <w:rsid w:val="002038B7"/>
    <w:rsid w:val="00203AE7"/>
    <w:rsid w:val="00203CEA"/>
    <w:rsid w:val="00203D42"/>
    <w:rsid w:val="00203FDC"/>
    <w:rsid w:val="00204345"/>
    <w:rsid w:val="0020452E"/>
    <w:rsid w:val="00204562"/>
    <w:rsid w:val="002045DD"/>
    <w:rsid w:val="0020479F"/>
    <w:rsid w:val="00204800"/>
    <w:rsid w:val="00204967"/>
    <w:rsid w:val="00204A24"/>
    <w:rsid w:val="00204A47"/>
    <w:rsid w:val="00204ADF"/>
    <w:rsid w:val="00204B0A"/>
    <w:rsid w:val="00204B9D"/>
    <w:rsid w:val="00204CAF"/>
    <w:rsid w:val="00204CD7"/>
    <w:rsid w:val="00204EF1"/>
    <w:rsid w:val="00204F40"/>
    <w:rsid w:val="002051FF"/>
    <w:rsid w:val="00205236"/>
    <w:rsid w:val="002052DE"/>
    <w:rsid w:val="0020552D"/>
    <w:rsid w:val="00205581"/>
    <w:rsid w:val="0020572A"/>
    <w:rsid w:val="002057E1"/>
    <w:rsid w:val="00205873"/>
    <w:rsid w:val="00205973"/>
    <w:rsid w:val="00205A2D"/>
    <w:rsid w:val="00205A4D"/>
    <w:rsid w:val="00205E4C"/>
    <w:rsid w:val="00205E9D"/>
    <w:rsid w:val="00205F04"/>
    <w:rsid w:val="00205F45"/>
    <w:rsid w:val="00205F62"/>
    <w:rsid w:val="00205F93"/>
    <w:rsid w:val="00206128"/>
    <w:rsid w:val="00206283"/>
    <w:rsid w:val="00206352"/>
    <w:rsid w:val="0020659D"/>
    <w:rsid w:val="00206628"/>
    <w:rsid w:val="00206665"/>
    <w:rsid w:val="002066BF"/>
    <w:rsid w:val="00206796"/>
    <w:rsid w:val="002067A8"/>
    <w:rsid w:val="0020686B"/>
    <w:rsid w:val="002068B6"/>
    <w:rsid w:val="002068DA"/>
    <w:rsid w:val="00206904"/>
    <w:rsid w:val="00206934"/>
    <w:rsid w:val="0020694B"/>
    <w:rsid w:val="00206AB1"/>
    <w:rsid w:val="00206B0F"/>
    <w:rsid w:val="00206D31"/>
    <w:rsid w:val="00206E14"/>
    <w:rsid w:val="00206E1B"/>
    <w:rsid w:val="00206E99"/>
    <w:rsid w:val="00206FB2"/>
    <w:rsid w:val="00206FF0"/>
    <w:rsid w:val="00207567"/>
    <w:rsid w:val="0020764C"/>
    <w:rsid w:val="00207655"/>
    <w:rsid w:val="00207657"/>
    <w:rsid w:val="002076AB"/>
    <w:rsid w:val="002076C3"/>
    <w:rsid w:val="002076CE"/>
    <w:rsid w:val="002076CF"/>
    <w:rsid w:val="0020774B"/>
    <w:rsid w:val="002077CA"/>
    <w:rsid w:val="00207804"/>
    <w:rsid w:val="002079E8"/>
    <w:rsid w:val="00207A06"/>
    <w:rsid w:val="00207E14"/>
    <w:rsid w:val="00207E8A"/>
    <w:rsid w:val="00207F3F"/>
    <w:rsid w:val="00207FF2"/>
    <w:rsid w:val="002101EF"/>
    <w:rsid w:val="0021033D"/>
    <w:rsid w:val="00210381"/>
    <w:rsid w:val="002104EA"/>
    <w:rsid w:val="00210516"/>
    <w:rsid w:val="00210699"/>
    <w:rsid w:val="002106FB"/>
    <w:rsid w:val="00210845"/>
    <w:rsid w:val="00210905"/>
    <w:rsid w:val="00210A07"/>
    <w:rsid w:val="00210BA1"/>
    <w:rsid w:val="00210CBE"/>
    <w:rsid w:val="00210CE3"/>
    <w:rsid w:val="00210F24"/>
    <w:rsid w:val="00210FCF"/>
    <w:rsid w:val="00210FE4"/>
    <w:rsid w:val="00211110"/>
    <w:rsid w:val="00211115"/>
    <w:rsid w:val="00211258"/>
    <w:rsid w:val="002114D9"/>
    <w:rsid w:val="002115CA"/>
    <w:rsid w:val="002115EF"/>
    <w:rsid w:val="00211796"/>
    <w:rsid w:val="002118F0"/>
    <w:rsid w:val="00211AAE"/>
    <w:rsid w:val="00211BEC"/>
    <w:rsid w:val="00211DF4"/>
    <w:rsid w:val="00211EB1"/>
    <w:rsid w:val="00211F98"/>
    <w:rsid w:val="00211FD0"/>
    <w:rsid w:val="00211FE7"/>
    <w:rsid w:val="0021204D"/>
    <w:rsid w:val="0021208D"/>
    <w:rsid w:val="00212244"/>
    <w:rsid w:val="00212339"/>
    <w:rsid w:val="00212393"/>
    <w:rsid w:val="002123E1"/>
    <w:rsid w:val="002123E4"/>
    <w:rsid w:val="00212421"/>
    <w:rsid w:val="00212490"/>
    <w:rsid w:val="00212644"/>
    <w:rsid w:val="00212679"/>
    <w:rsid w:val="00212AE9"/>
    <w:rsid w:val="00212B7A"/>
    <w:rsid w:val="00212C0F"/>
    <w:rsid w:val="00212E59"/>
    <w:rsid w:val="00212FA8"/>
    <w:rsid w:val="00212FA9"/>
    <w:rsid w:val="0021314F"/>
    <w:rsid w:val="00213154"/>
    <w:rsid w:val="00213372"/>
    <w:rsid w:val="0021349D"/>
    <w:rsid w:val="002134B9"/>
    <w:rsid w:val="00213518"/>
    <w:rsid w:val="002135B0"/>
    <w:rsid w:val="00213607"/>
    <w:rsid w:val="00213767"/>
    <w:rsid w:val="00213768"/>
    <w:rsid w:val="00213891"/>
    <w:rsid w:val="002138F7"/>
    <w:rsid w:val="00213B22"/>
    <w:rsid w:val="00213BAB"/>
    <w:rsid w:val="00213BC9"/>
    <w:rsid w:val="00213CE0"/>
    <w:rsid w:val="00213FB0"/>
    <w:rsid w:val="002141E0"/>
    <w:rsid w:val="00214312"/>
    <w:rsid w:val="00214454"/>
    <w:rsid w:val="0021448F"/>
    <w:rsid w:val="0021457C"/>
    <w:rsid w:val="00214677"/>
    <w:rsid w:val="00214711"/>
    <w:rsid w:val="00214715"/>
    <w:rsid w:val="0021486E"/>
    <w:rsid w:val="002148A6"/>
    <w:rsid w:val="0021491D"/>
    <w:rsid w:val="002149A4"/>
    <w:rsid w:val="002149BB"/>
    <w:rsid w:val="00214A5B"/>
    <w:rsid w:val="00214B29"/>
    <w:rsid w:val="00214BD2"/>
    <w:rsid w:val="00214BE8"/>
    <w:rsid w:val="00214C96"/>
    <w:rsid w:val="00214D8D"/>
    <w:rsid w:val="00214FC2"/>
    <w:rsid w:val="0021549B"/>
    <w:rsid w:val="002154AA"/>
    <w:rsid w:val="00215589"/>
    <w:rsid w:val="002156C1"/>
    <w:rsid w:val="002156C7"/>
    <w:rsid w:val="002156F9"/>
    <w:rsid w:val="00215704"/>
    <w:rsid w:val="0021572A"/>
    <w:rsid w:val="00215743"/>
    <w:rsid w:val="002157C3"/>
    <w:rsid w:val="002157D8"/>
    <w:rsid w:val="00215857"/>
    <w:rsid w:val="00215D65"/>
    <w:rsid w:val="00215F2E"/>
    <w:rsid w:val="002161D8"/>
    <w:rsid w:val="002161FF"/>
    <w:rsid w:val="00216419"/>
    <w:rsid w:val="00216433"/>
    <w:rsid w:val="00216454"/>
    <w:rsid w:val="0021659D"/>
    <w:rsid w:val="002165B8"/>
    <w:rsid w:val="002166B6"/>
    <w:rsid w:val="0021671A"/>
    <w:rsid w:val="00216751"/>
    <w:rsid w:val="00216805"/>
    <w:rsid w:val="002168FC"/>
    <w:rsid w:val="00216AA1"/>
    <w:rsid w:val="00216ACC"/>
    <w:rsid w:val="00216B9E"/>
    <w:rsid w:val="00216BC8"/>
    <w:rsid w:val="00216C41"/>
    <w:rsid w:val="00216EB3"/>
    <w:rsid w:val="00217142"/>
    <w:rsid w:val="00217244"/>
    <w:rsid w:val="00217258"/>
    <w:rsid w:val="002173B9"/>
    <w:rsid w:val="00217506"/>
    <w:rsid w:val="0021770C"/>
    <w:rsid w:val="002177B5"/>
    <w:rsid w:val="00217807"/>
    <w:rsid w:val="0021786C"/>
    <w:rsid w:val="002178AD"/>
    <w:rsid w:val="00217A65"/>
    <w:rsid w:val="00217B2C"/>
    <w:rsid w:val="00217BA0"/>
    <w:rsid w:val="00217BA4"/>
    <w:rsid w:val="00217D1E"/>
    <w:rsid w:val="00217DB9"/>
    <w:rsid w:val="00217EB0"/>
    <w:rsid w:val="00217EF8"/>
    <w:rsid w:val="002201DC"/>
    <w:rsid w:val="0022028E"/>
    <w:rsid w:val="00220391"/>
    <w:rsid w:val="002203A2"/>
    <w:rsid w:val="002203C5"/>
    <w:rsid w:val="0022044C"/>
    <w:rsid w:val="002204DE"/>
    <w:rsid w:val="00220563"/>
    <w:rsid w:val="00220883"/>
    <w:rsid w:val="00220B09"/>
    <w:rsid w:val="00220B49"/>
    <w:rsid w:val="00220B66"/>
    <w:rsid w:val="00220C66"/>
    <w:rsid w:val="00220D27"/>
    <w:rsid w:val="00220D90"/>
    <w:rsid w:val="0022103D"/>
    <w:rsid w:val="00221111"/>
    <w:rsid w:val="0022115C"/>
    <w:rsid w:val="00221207"/>
    <w:rsid w:val="00221276"/>
    <w:rsid w:val="002212F1"/>
    <w:rsid w:val="002213A4"/>
    <w:rsid w:val="002213F5"/>
    <w:rsid w:val="00221488"/>
    <w:rsid w:val="0022151D"/>
    <w:rsid w:val="002216D2"/>
    <w:rsid w:val="0022197C"/>
    <w:rsid w:val="002219C2"/>
    <w:rsid w:val="00221A53"/>
    <w:rsid w:val="00221BBD"/>
    <w:rsid w:val="00221D0F"/>
    <w:rsid w:val="00221D7A"/>
    <w:rsid w:val="00221E61"/>
    <w:rsid w:val="00221EB8"/>
    <w:rsid w:val="00221F05"/>
    <w:rsid w:val="00221F71"/>
    <w:rsid w:val="0022200E"/>
    <w:rsid w:val="00222072"/>
    <w:rsid w:val="0022207A"/>
    <w:rsid w:val="002222CD"/>
    <w:rsid w:val="0022236D"/>
    <w:rsid w:val="0022237C"/>
    <w:rsid w:val="0022244C"/>
    <w:rsid w:val="0022249D"/>
    <w:rsid w:val="002225EB"/>
    <w:rsid w:val="002226B5"/>
    <w:rsid w:val="00222910"/>
    <w:rsid w:val="00222934"/>
    <w:rsid w:val="0022296E"/>
    <w:rsid w:val="00222ABD"/>
    <w:rsid w:val="00222EF2"/>
    <w:rsid w:val="00222F78"/>
    <w:rsid w:val="0022309B"/>
    <w:rsid w:val="0022315B"/>
    <w:rsid w:val="00223180"/>
    <w:rsid w:val="00223347"/>
    <w:rsid w:val="002233F3"/>
    <w:rsid w:val="0022374E"/>
    <w:rsid w:val="0022376F"/>
    <w:rsid w:val="002237E2"/>
    <w:rsid w:val="00223819"/>
    <w:rsid w:val="0022387D"/>
    <w:rsid w:val="002238CF"/>
    <w:rsid w:val="00223993"/>
    <w:rsid w:val="00223B8F"/>
    <w:rsid w:val="00223C28"/>
    <w:rsid w:val="00223CFB"/>
    <w:rsid w:val="00223D1A"/>
    <w:rsid w:val="00223D82"/>
    <w:rsid w:val="00223EE3"/>
    <w:rsid w:val="00224035"/>
    <w:rsid w:val="002240AF"/>
    <w:rsid w:val="00224217"/>
    <w:rsid w:val="002242F4"/>
    <w:rsid w:val="002243C7"/>
    <w:rsid w:val="002243D0"/>
    <w:rsid w:val="00224446"/>
    <w:rsid w:val="002244A7"/>
    <w:rsid w:val="002244B8"/>
    <w:rsid w:val="002244FF"/>
    <w:rsid w:val="0022453C"/>
    <w:rsid w:val="002246F9"/>
    <w:rsid w:val="00224956"/>
    <w:rsid w:val="00224A58"/>
    <w:rsid w:val="00224AEC"/>
    <w:rsid w:val="00224B56"/>
    <w:rsid w:val="00224B7A"/>
    <w:rsid w:val="00224BB5"/>
    <w:rsid w:val="00224CF7"/>
    <w:rsid w:val="00224D9B"/>
    <w:rsid w:val="00224E1B"/>
    <w:rsid w:val="00224ED4"/>
    <w:rsid w:val="00224F6D"/>
    <w:rsid w:val="00225146"/>
    <w:rsid w:val="002251CB"/>
    <w:rsid w:val="00225341"/>
    <w:rsid w:val="00225398"/>
    <w:rsid w:val="0022549C"/>
    <w:rsid w:val="00225569"/>
    <w:rsid w:val="0022562C"/>
    <w:rsid w:val="0022588F"/>
    <w:rsid w:val="00225B1D"/>
    <w:rsid w:val="00225BA0"/>
    <w:rsid w:val="00225C57"/>
    <w:rsid w:val="00225CD2"/>
    <w:rsid w:val="00225CFC"/>
    <w:rsid w:val="00225D22"/>
    <w:rsid w:val="00225E33"/>
    <w:rsid w:val="00225EA6"/>
    <w:rsid w:val="00225EEF"/>
    <w:rsid w:val="00225FCC"/>
    <w:rsid w:val="0022609B"/>
    <w:rsid w:val="002265C9"/>
    <w:rsid w:val="00226A0D"/>
    <w:rsid w:val="00226AD1"/>
    <w:rsid w:val="00226AD9"/>
    <w:rsid w:val="00226B61"/>
    <w:rsid w:val="00226C2B"/>
    <w:rsid w:val="00226C78"/>
    <w:rsid w:val="00226FB6"/>
    <w:rsid w:val="0022704A"/>
    <w:rsid w:val="00227174"/>
    <w:rsid w:val="002272E1"/>
    <w:rsid w:val="00227637"/>
    <w:rsid w:val="002276BD"/>
    <w:rsid w:val="002276E2"/>
    <w:rsid w:val="00227797"/>
    <w:rsid w:val="0022779F"/>
    <w:rsid w:val="002278D9"/>
    <w:rsid w:val="002279C5"/>
    <w:rsid w:val="002279D4"/>
    <w:rsid w:val="00227A0A"/>
    <w:rsid w:val="00227A27"/>
    <w:rsid w:val="00227BAF"/>
    <w:rsid w:val="00227C40"/>
    <w:rsid w:val="00227C86"/>
    <w:rsid w:val="00227CD7"/>
    <w:rsid w:val="00227DDA"/>
    <w:rsid w:val="00227DF4"/>
    <w:rsid w:val="00227F22"/>
    <w:rsid w:val="00227FFC"/>
    <w:rsid w:val="00230016"/>
    <w:rsid w:val="002300E2"/>
    <w:rsid w:val="002301A8"/>
    <w:rsid w:val="00230236"/>
    <w:rsid w:val="00230372"/>
    <w:rsid w:val="002303FE"/>
    <w:rsid w:val="00230520"/>
    <w:rsid w:val="00230574"/>
    <w:rsid w:val="00230576"/>
    <w:rsid w:val="002305A1"/>
    <w:rsid w:val="002305FB"/>
    <w:rsid w:val="002306BF"/>
    <w:rsid w:val="0023078E"/>
    <w:rsid w:val="002307E6"/>
    <w:rsid w:val="00230841"/>
    <w:rsid w:val="00230AAC"/>
    <w:rsid w:val="00230AB7"/>
    <w:rsid w:val="00230CE7"/>
    <w:rsid w:val="00230FCE"/>
    <w:rsid w:val="00231039"/>
    <w:rsid w:val="002310A0"/>
    <w:rsid w:val="002310F8"/>
    <w:rsid w:val="002311F2"/>
    <w:rsid w:val="002313AC"/>
    <w:rsid w:val="002314C7"/>
    <w:rsid w:val="0023159A"/>
    <w:rsid w:val="0023161C"/>
    <w:rsid w:val="002316A3"/>
    <w:rsid w:val="00231883"/>
    <w:rsid w:val="002318CC"/>
    <w:rsid w:val="00231A09"/>
    <w:rsid w:val="00231A0B"/>
    <w:rsid w:val="00231BFC"/>
    <w:rsid w:val="00231C23"/>
    <w:rsid w:val="00231DA8"/>
    <w:rsid w:val="00231EB6"/>
    <w:rsid w:val="00231FB5"/>
    <w:rsid w:val="0023203E"/>
    <w:rsid w:val="00232130"/>
    <w:rsid w:val="00232330"/>
    <w:rsid w:val="002325A3"/>
    <w:rsid w:val="0023286C"/>
    <w:rsid w:val="00232922"/>
    <w:rsid w:val="00232AA3"/>
    <w:rsid w:val="00232C59"/>
    <w:rsid w:val="00232CE4"/>
    <w:rsid w:val="00232D5C"/>
    <w:rsid w:val="00232D95"/>
    <w:rsid w:val="00232E1D"/>
    <w:rsid w:val="00233055"/>
    <w:rsid w:val="002332CB"/>
    <w:rsid w:val="00233418"/>
    <w:rsid w:val="002335A1"/>
    <w:rsid w:val="002335DD"/>
    <w:rsid w:val="0023361B"/>
    <w:rsid w:val="002336F8"/>
    <w:rsid w:val="00233894"/>
    <w:rsid w:val="00233921"/>
    <w:rsid w:val="00233C15"/>
    <w:rsid w:val="00233C2A"/>
    <w:rsid w:val="00233C93"/>
    <w:rsid w:val="00233C9C"/>
    <w:rsid w:val="00233DE2"/>
    <w:rsid w:val="00233E2C"/>
    <w:rsid w:val="0023405F"/>
    <w:rsid w:val="00234167"/>
    <w:rsid w:val="00234219"/>
    <w:rsid w:val="00234228"/>
    <w:rsid w:val="0023423D"/>
    <w:rsid w:val="00234240"/>
    <w:rsid w:val="0023431A"/>
    <w:rsid w:val="002343FB"/>
    <w:rsid w:val="00234452"/>
    <w:rsid w:val="00234469"/>
    <w:rsid w:val="002344FF"/>
    <w:rsid w:val="0023453D"/>
    <w:rsid w:val="00234584"/>
    <w:rsid w:val="002347CE"/>
    <w:rsid w:val="00234824"/>
    <w:rsid w:val="00234928"/>
    <w:rsid w:val="0023498C"/>
    <w:rsid w:val="00234BED"/>
    <w:rsid w:val="00234C13"/>
    <w:rsid w:val="00234C66"/>
    <w:rsid w:val="00234DC3"/>
    <w:rsid w:val="00234E3B"/>
    <w:rsid w:val="00235158"/>
    <w:rsid w:val="00235276"/>
    <w:rsid w:val="0023529A"/>
    <w:rsid w:val="002352EB"/>
    <w:rsid w:val="0023536C"/>
    <w:rsid w:val="002353E1"/>
    <w:rsid w:val="002354D7"/>
    <w:rsid w:val="00235724"/>
    <w:rsid w:val="002357FE"/>
    <w:rsid w:val="002359CF"/>
    <w:rsid w:val="00235A7B"/>
    <w:rsid w:val="00235AD3"/>
    <w:rsid w:val="00235D96"/>
    <w:rsid w:val="00235EC9"/>
    <w:rsid w:val="00235F62"/>
    <w:rsid w:val="00235FAA"/>
    <w:rsid w:val="00236062"/>
    <w:rsid w:val="002360CC"/>
    <w:rsid w:val="00236256"/>
    <w:rsid w:val="002362B1"/>
    <w:rsid w:val="00236402"/>
    <w:rsid w:val="002364FA"/>
    <w:rsid w:val="00236514"/>
    <w:rsid w:val="002365F3"/>
    <w:rsid w:val="002367A9"/>
    <w:rsid w:val="0023693B"/>
    <w:rsid w:val="00236A21"/>
    <w:rsid w:val="00236A2F"/>
    <w:rsid w:val="00236A94"/>
    <w:rsid w:val="00236BF2"/>
    <w:rsid w:val="00236E29"/>
    <w:rsid w:val="00236EA1"/>
    <w:rsid w:val="00237001"/>
    <w:rsid w:val="002370BF"/>
    <w:rsid w:val="00237101"/>
    <w:rsid w:val="00237206"/>
    <w:rsid w:val="00237288"/>
    <w:rsid w:val="002372B5"/>
    <w:rsid w:val="0023734C"/>
    <w:rsid w:val="0023756B"/>
    <w:rsid w:val="00237726"/>
    <w:rsid w:val="00237743"/>
    <w:rsid w:val="00237785"/>
    <w:rsid w:val="00237971"/>
    <w:rsid w:val="00237BDB"/>
    <w:rsid w:val="00237BF1"/>
    <w:rsid w:val="00237C41"/>
    <w:rsid w:val="00237F08"/>
    <w:rsid w:val="00237F3D"/>
    <w:rsid w:val="00240056"/>
    <w:rsid w:val="0024010F"/>
    <w:rsid w:val="002402A0"/>
    <w:rsid w:val="00240360"/>
    <w:rsid w:val="002403E6"/>
    <w:rsid w:val="0024048A"/>
    <w:rsid w:val="00240575"/>
    <w:rsid w:val="0024057B"/>
    <w:rsid w:val="0024062E"/>
    <w:rsid w:val="00240A9B"/>
    <w:rsid w:val="00240AEF"/>
    <w:rsid w:val="00240B47"/>
    <w:rsid w:val="00240E6B"/>
    <w:rsid w:val="002411AE"/>
    <w:rsid w:val="002414C6"/>
    <w:rsid w:val="002414E7"/>
    <w:rsid w:val="00241568"/>
    <w:rsid w:val="002416AB"/>
    <w:rsid w:val="00241838"/>
    <w:rsid w:val="002418BC"/>
    <w:rsid w:val="0024193E"/>
    <w:rsid w:val="00241BB2"/>
    <w:rsid w:val="00241CDA"/>
    <w:rsid w:val="00241EB3"/>
    <w:rsid w:val="00241EF2"/>
    <w:rsid w:val="00241F99"/>
    <w:rsid w:val="00241FD0"/>
    <w:rsid w:val="00242349"/>
    <w:rsid w:val="002423D0"/>
    <w:rsid w:val="002424E4"/>
    <w:rsid w:val="002425B6"/>
    <w:rsid w:val="002425D5"/>
    <w:rsid w:val="0024267B"/>
    <w:rsid w:val="0024270F"/>
    <w:rsid w:val="002427F2"/>
    <w:rsid w:val="00242912"/>
    <w:rsid w:val="002429A9"/>
    <w:rsid w:val="00242ACD"/>
    <w:rsid w:val="00242B36"/>
    <w:rsid w:val="00242B3F"/>
    <w:rsid w:val="00242BDC"/>
    <w:rsid w:val="00242C1D"/>
    <w:rsid w:val="00242C1E"/>
    <w:rsid w:val="00242C63"/>
    <w:rsid w:val="00242C9D"/>
    <w:rsid w:val="00242CDB"/>
    <w:rsid w:val="00242E40"/>
    <w:rsid w:val="00242E62"/>
    <w:rsid w:val="00242FF2"/>
    <w:rsid w:val="002431D4"/>
    <w:rsid w:val="00243217"/>
    <w:rsid w:val="00243227"/>
    <w:rsid w:val="002433FB"/>
    <w:rsid w:val="00243424"/>
    <w:rsid w:val="0024344A"/>
    <w:rsid w:val="0024348D"/>
    <w:rsid w:val="00243517"/>
    <w:rsid w:val="002435BD"/>
    <w:rsid w:val="002437AF"/>
    <w:rsid w:val="0024386C"/>
    <w:rsid w:val="0024388D"/>
    <w:rsid w:val="002438B2"/>
    <w:rsid w:val="00243A3F"/>
    <w:rsid w:val="00243AAE"/>
    <w:rsid w:val="00243B30"/>
    <w:rsid w:val="00243D62"/>
    <w:rsid w:val="00243F24"/>
    <w:rsid w:val="00243FCA"/>
    <w:rsid w:val="00243FD5"/>
    <w:rsid w:val="00244175"/>
    <w:rsid w:val="002441A3"/>
    <w:rsid w:val="002444CB"/>
    <w:rsid w:val="00244533"/>
    <w:rsid w:val="00244586"/>
    <w:rsid w:val="00244724"/>
    <w:rsid w:val="00244845"/>
    <w:rsid w:val="002448A6"/>
    <w:rsid w:val="00244936"/>
    <w:rsid w:val="0024496E"/>
    <w:rsid w:val="00244A3B"/>
    <w:rsid w:val="00244AEF"/>
    <w:rsid w:val="00244EF7"/>
    <w:rsid w:val="00244EF8"/>
    <w:rsid w:val="0024501F"/>
    <w:rsid w:val="00245025"/>
    <w:rsid w:val="0024515E"/>
    <w:rsid w:val="00245177"/>
    <w:rsid w:val="00245233"/>
    <w:rsid w:val="002452C6"/>
    <w:rsid w:val="00245564"/>
    <w:rsid w:val="0024563B"/>
    <w:rsid w:val="0024575F"/>
    <w:rsid w:val="00245812"/>
    <w:rsid w:val="00245944"/>
    <w:rsid w:val="00245983"/>
    <w:rsid w:val="00245AB0"/>
    <w:rsid w:val="00245EC6"/>
    <w:rsid w:val="0024622B"/>
    <w:rsid w:val="0024623E"/>
    <w:rsid w:val="002462C1"/>
    <w:rsid w:val="002463FB"/>
    <w:rsid w:val="002464DE"/>
    <w:rsid w:val="002464E7"/>
    <w:rsid w:val="002467B6"/>
    <w:rsid w:val="00246916"/>
    <w:rsid w:val="0024699A"/>
    <w:rsid w:val="00246ADF"/>
    <w:rsid w:val="00246B72"/>
    <w:rsid w:val="00246C92"/>
    <w:rsid w:val="00246F8F"/>
    <w:rsid w:val="00247002"/>
    <w:rsid w:val="0024713D"/>
    <w:rsid w:val="00247368"/>
    <w:rsid w:val="002474F9"/>
    <w:rsid w:val="002475FD"/>
    <w:rsid w:val="002477AD"/>
    <w:rsid w:val="002478F5"/>
    <w:rsid w:val="00247919"/>
    <w:rsid w:val="00247A23"/>
    <w:rsid w:val="00247A56"/>
    <w:rsid w:val="00247B28"/>
    <w:rsid w:val="00247B38"/>
    <w:rsid w:val="00247B8C"/>
    <w:rsid w:val="00247D49"/>
    <w:rsid w:val="00247FAC"/>
    <w:rsid w:val="00250001"/>
    <w:rsid w:val="0025003F"/>
    <w:rsid w:val="002500A7"/>
    <w:rsid w:val="002500B5"/>
    <w:rsid w:val="002500CF"/>
    <w:rsid w:val="0025013D"/>
    <w:rsid w:val="0025022E"/>
    <w:rsid w:val="002502A9"/>
    <w:rsid w:val="0025049D"/>
    <w:rsid w:val="0025050C"/>
    <w:rsid w:val="0025053D"/>
    <w:rsid w:val="00250553"/>
    <w:rsid w:val="0025055F"/>
    <w:rsid w:val="002505A5"/>
    <w:rsid w:val="0025065C"/>
    <w:rsid w:val="002506A3"/>
    <w:rsid w:val="002506AD"/>
    <w:rsid w:val="002506C2"/>
    <w:rsid w:val="00250800"/>
    <w:rsid w:val="00250B9E"/>
    <w:rsid w:val="00250CD2"/>
    <w:rsid w:val="00250DC5"/>
    <w:rsid w:val="00250ECB"/>
    <w:rsid w:val="00250FD7"/>
    <w:rsid w:val="00251082"/>
    <w:rsid w:val="00251185"/>
    <w:rsid w:val="002511D5"/>
    <w:rsid w:val="00251269"/>
    <w:rsid w:val="00251473"/>
    <w:rsid w:val="00251575"/>
    <w:rsid w:val="002516C6"/>
    <w:rsid w:val="002517CB"/>
    <w:rsid w:val="002517FF"/>
    <w:rsid w:val="00251CF5"/>
    <w:rsid w:val="00251D8B"/>
    <w:rsid w:val="00251DAB"/>
    <w:rsid w:val="00251E3A"/>
    <w:rsid w:val="00251E7A"/>
    <w:rsid w:val="00251F7F"/>
    <w:rsid w:val="00251FCB"/>
    <w:rsid w:val="00252025"/>
    <w:rsid w:val="0025218C"/>
    <w:rsid w:val="002521AF"/>
    <w:rsid w:val="00252248"/>
    <w:rsid w:val="00252406"/>
    <w:rsid w:val="0025244A"/>
    <w:rsid w:val="00252529"/>
    <w:rsid w:val="002526D7"/>
    <w:rsid w:val="00252712"/>
    <w:rsid w:val="0025271F"/>
    <w:rsid w:val="002527F7"/>
    <w:rsid w:val="0025284B"/>
    <w:rsid w:val="0025286E"/>
    <w:rsid w:val="0025292D"/>
    <w:rsid w:val="00252A10"/>
    <w:rsid w:val="00252A14"/>
    <w:rsid w:val="00252A6A"/>
    <w:rsid w:val="00252B1F"/>
    <w:rsid w:val="00252C16"/>
    <w:rsid w:val="00252C5F"/>
    <w:rsid w:val="00252E17"/>
    <w:rsid w:val="00252E43"/>
    <w:rsid w:val="00253057"/>
    <w:rsid w:val="002533E2"/>
    <w:rsid w:val="0025341F"/>
    <w:rsid w:val="0025353A"/>
    <w:rsid w:val="002536C0"/>
    <w:rsid w:val="00253739"/>
    <w:rsid w:val="0025379B"/>
    <w:rsid w:val="00253801"/>
    <w:rsid w:val="00253B58"/>
    <w:rsid w:val="00253BAC"/>
    <w:rsid w:val="00253C3F"/>
    <w:rsid w:val="00253CDF"/>
    <w:rsid w:val="00253D2F"/>
    <w:rsid w:val="00253E54"/>
    <w:rsid w:val="00253F46"/>
    <w:rsid w:val="0025410C"/>
    <w:rsid w:val="002541C1"/>
    <w:rsid w:val="0025433D"/>
    <w:rsid w:val="002543FD"/>
    <w:rsid w:val="00254756"/>
    <w:rsid w:val="00254892"/>
    <w:rsid w:val="00254893"/>
    <w:rsid w:val="00254A2C"/>
    <w:rsid w:val="00254A5B"/>
    <w:rsid w:val="00254BBE"/>
    <w:rsid w:val="00254C06"/>
    <w:rsid w:val="00254CF9"/>
    <w:rsid w:val="00254D11"/>
    <w:rsid w:val="00254DD5"/>
    <w:rsid w:val="00254E52"/>
    <w:rsid w:val="00254F0C"/>
    <w:rsid w:val="00254F7B"/>
    <w:rsid w:val="00255070"/>
    <w:rsid w:val="002550DD"/>
    <w:rsid w:val="0025516C"/>
    <w:rsid w:val="0025533E"/>
    <w:rsid w:val="00255688"/>
    <w:rsid w:val="00255700"/>
    <w:rsid w:val="002558D2"/>
    <w:rsid w:val="0025595F"/>
    <w:rsid w:val="0025596A"/>
    <w:rsid w:val="002559DD"/>
    <w:rsid w:val="00255BBF"/>
    <w:rsid w:val="00255BCC"/>
    <w:rsid w:val="00255CBD"/>
    <w:rsid w:val="00255E40"/>
    <w:rsid w:val="00255F03"/>
    <w:rsid w:val="00256170"/>
    <w:rsid w:val="002562C0"/>
    <w:rsid w:val="00256314"/>
    <w:rsid w:val="002563C0"/>
    <w:rsid w:val="002563D6"/>
    <w:rsid w:val="0025665C"/>
    <w:rsid w:val="002566D2"/>
    <w:rsid w:val="00256879"/>
    <w:rsid w:val="0025687E"/>
    <w:rsid w:val="0025698A"/>
    <w:rsid w:val="00256A55"/>
    <w:rsid w:val="00256ABA"/>
    <w:rsid w:val="00256B3B"/>
    <w:rsid w:val="00256D2E"/>
    <w:rsid w:val="00256DDD"/>
    <w:rsid w:val="00256DEC"/>
    <w:rsid w:val="00256FB2"/>
    <w:rsid w:val="00257019"/>
    <w:rsid w:val="00257073"/>
    <w:rsid w:val="0025708C"/>
    <w:rsid w:val="00257140"/>
    <w:rsid w:val="0025737B"/>
    <w:rsid w:val="00257667"/>
    <w:rsid w:val="0025779D"/>
    <w:rsid w:val="002578A3"/>
    <w:rsid w:val="0025793B"/>
    <w:rsid w:val="002579AB"/>
    <w:rsid w:val="00257A7B"/>
    <w:rsid w:val="00257A9B"/>
    <w:rsid w:val="00257BDD"/>
    <w:rsid w:val="00257C8A"/>
    <w:rsid w:val="00257D20"/>
    <w:rsid w:val="00257D8F"/>
    <w:rsid w:val="00257DF1"/>
    <w:rsid w:val="00257E0D"/>
    <w:rsid w:val="00260008"/>
    <w:rsid w:val="0026024E"/>
    <w:rsid w:val="002602EE"/>
    <w:rsid w:val="00260309"/>
    <w:rsid w:val="0026032B"/>
    <w:rsid w:val="00260408"/>
    <w:rsid w:val="00260468"/>
    <w:rsid w:val="0026073F"/>
    <w:rsid w:val="00260847"/>
    <w:rsid w:val="002608AB"/>
    <w:rsid w:val="002609F0"/>
    <w:rsid w:val="00260B34"/>
    <w:rsid w:val="00260BEF"/>
    <w:rsid w:val="00260C34"/>
    <w:rsid w:val="00260CB9"/>
    <w:rsid w:val="00260D07"/>
    <w:rsid w:val="00260DA4"/>
    <w:rsid w:val="00260E17"/>
    <w:rsid w:val="00260EFE"/>
    <w:rsid w:val="00261054"/>
    <w:rsid w:val="002610DF"/>
    <w:rsid w:val="002611C6"/>
    <w:rsid w:val="002616F3"/>
    <w:rsid w:val="002617C4"/>
    <w:rsid w:val="002617D4"/>
    <w:rsid w:val="0026198B"/>
    <w:rsid w:val="0026199C"/>
    <w:rsid w:val="002619B6"/>
    <w:rsid w:val="002619E7"/>
    <w:rsid w:val="00261A25"/>
    <w:rsid w:val="00261A26"/>
    <w:rsid w:val="00261A34"/>
    <w:rsid w:val="00261B49"/>
    <w:rsid w:val="00261B4F"/>
    <w:rsid w:val="00261E4D"/>
    <w:rsid w:val="00261EF1"/>
    <w:rsid w:val="0026207A"/>
    <w:rsid w:val="002620AD"/>
    <w:rsid w:val="002620EF"/>
    <w:rsid w:val="0026221D"/>
    <w:rsid w:val="0026227C"/>
    <w:rsid w:val="00262285"/>
    <w:rsid w:val="00262323"/>
    <w:rsid w:val="0026238E"/>
    <w:rsid w:val="0026277B"/>
    <w:rsid w:val="0026278D"/>
    <w:rsid w:val="00262878"/>
    <w:rsid w:val="00262977"/>
    <w:rsid w:val="00262A19"/>
    <w:rsid w:val="00262CCA"/>
    <w:rsid w:val="00262E28"/>
    <w:rsid w:val="002630CD"/>
    <w:rsid w:val="002630F5"/>
    <w:rsid w:val="002631CC"/>
    <w:rsid w:val="00263247"/>
    <w:rsid w:val="00263389"/>
    <w:rsid w:val="0026339D"/>
    <w:rsid w:val="002633D7"/>
    <w:rsid w:val="002635F9"/>
    <w:rsid w:val="0026367F"/>
    <w:rsid w:val="002636D5"/>
    <w:rsid w:val="002636D6"/>
    <w:rsid w:val="002638A1"/>
    <w:rsid w:val="002638EB"/>
    <w:rsid w:val="00263A80"/>
    <w:rsid w:val="00263CDE"/>
    <w:rsid w:val="00263D09"/>
    <w:rsid w:val="00263E2A"/>
    <w:rsid w:val="0026406D"/>
    <w:rsid w:val="0026410E"/>
    <w:rsid w:val="0026417D"/>
    <w:rsid w:val="002643AC"/>
    <w:rsid w:val="00264573"/>
    <w:rsid w:val="00264A21"/>
    <w:rsid w:val="00264A47"/>
    <w:rsid w:val="00264A98"/>
    <w:rsid w:val="00264C3A"/>
    <w:rsid w:val="00264C46"/>
    <w:rsid w:val="00264D55"/>
    <w:rsid w:val="00264E6A"/>
    <w:rsid w:val="00264E71"/>
    <w:rsid w:val="0026507E"/>
    <w:rsid w:val="00265358"/>
    <w:rsid w:val="0026536B"/>
    <w:rsid w:val="002653C0"/>
    <w:rsid w:val="00265509"/>
    <w:rsid w:val="0026550E"/>
    <w:rsid w:val="002655ED"/>
    <w:rsid w:val="0026560C"/>
    <w:rsid w:val="0026572B"/>
    <w:rsid w:val="00265780"/>
    <w:rsid w:val="00265791"/>
    <w:rsid w:val="002657DC"/>
    <w:rsid w:val="002658F5"/>
    <w:rsid w:val="00265A6B"/>
    <w:rsid w:val="00265AAB"/>
    <w:rsid w:val="00265B04"/>
    <w:rsid w:val="00265B66"/>
    <w:rsid w:val="00265BA5"/>
    <w:rsid w:val="00265CE1"/>
    <w:rsid w:val="00265CFB"/>
    <w:rsid w:val="00265D5F"/>
    <w:rsid w:val="00265E42"/>
    <w:rsid w:val="00265FCF"/>
    <w:rsid w:val="00265FE7"/>
    <w:rsid w:val="00266226"/>
    <w:rsid w:val="00266250"/>
    <w:rsid w:val="0026635A"/>
    <w:rsid w:val="00266584"/>
    <w:rsid w:val="002666AB"/>
    <w:rsid w:val="002667CF"/>
    <w:rsid w:val="002667F4"/>
    <w:rsid w:val="0026680D"/>
    <w:rsid w:val="00266843"/>
    <w:rsid w:val="0026693C"/>
    <w:rsid w:val="00266951"/>
    <w:rsid w:val="002669E5"/>
    <w:rsid w:val="00266A2F"/>
    <w:rsid w:val="00266A32"/>
    <w:rsid w:val="00266AA9"/>
    <w:rsid w:val="00266AAB"/>
    <w:rsid w:val="00266ACC"/>
    <w:rsid w:val="00266B8A"/>
    <w:rsid w:val="00266BC2"/>
    <w:rsid w:val="00266E73"/>
    <w:rsid w:val="002671D4"/>
    <w:rsid w:val="00267220"/>
    <w:rsid w:val="002672B1"/>
    <w:rsid w:val="002672CB"/>
    <w:rsid w:val="002673B2"/>
    <w:rsid w:val="00267406"/>
    <w:rsid w:val="00267450"/>
    <w:rsid w:val="002674E0"/>
    <w:rsid w:val="00267744"/>
    <w:rsid w:val="00267846"/>
    <w:rsid w:val="0026790A"/>
    <w:rsid w:val="00267949"/>
    <w:rsid w:val="00267A45"/>
    <w:rsid w:val="00267C47"/>
    <w:rsid w:val="00267CCB"/>
    <w:rsid w:val="00267DB6"/>
    <w:rsid w:val="00267DFD"/>
    <w:rsid w:val="00267E73"/>
    <w:rsid w:val="00267E8A"/>
    <w:rsid w:val="00267EB9"/>
    <w:rsid w:val="00267EFF"/>
    <w:rsid w:val="00267F5D"/>
    <w:rsid w:val="0027002F"/>
    <w:rsid w:val="002700DD"/>
    <w:rsid w:val="002701B2"/>
    <w:rsid w:val="0027029B"/>
    <w:rsid w:val="002703BD"/>
    <w:rsid w:val="00270576"/>
    <w:rsid w:val="002705B3"/>
    <w:rsid w:val="002705FB"/>
    <w:rsid w:val="002707BB"/>
    <w:rsid w:val="002707F8"/>
    <w:rsid w:val="0027089A"/>
    <w:rsid w:val="002708F3"/>
    <w:rsid w:val="00270A8D"/>
    <w:rsid w:val="00270AA3"/>
    <w:rsid w:val="00270BA6"/>
    <w:rsid w:val="00270C10"/>
    <w:rsid w:val="00270C73"/>
    <w:rsid w:val="00270EBE"/>
    <w:rsid w:val="00270EE1"/>
    <w:rsid w:val="002711A1"/>
    <w:rsid w:val="00271243"/>
    <w:rsid w:val="0027134D"/>
    <w:rsid w:val="002713CB"/>
    <w:rsid w:val="002713DD"/>
    <w:rsid w:val="002714F9"/>
    <w:rsid w:val="0027163F"/>
    <w:rsid w:val="002718B4"/>
    <w:rsid w:val="0027195A"/>
    <w:rsid w:val="002719AA"/>
    <w:rsid w:val="00271BD2"/>
    <w:rsid w:val="00271DD3"/>
    <w:rsid w:val="00271E5C"/>
    <w:rsid w:val="00271E99"/>
    <w:rsid w:val="00271F95"/>
    <w:rsid w:val="0027212E"/>
    <w:rsid w:val="002721F2"/>
    <w:rsid w:val="0027228D"/>
    <w:rsid w:val="0027250F"/>
    <w:rsid w:val="00272663"/>
    <w:rsid w:val="00272830"/>
    <w:rsid w:val="0027283B"/>
    <w:rsid w:val="00272CE5"/>
    <w:rsid w:val="00272DFC"/>
    <w:rsid w:val="00272ED1"/>
    <w:rsid w:val="0027308A"/>
    <w:rsid w:val="002730E0"/>
    <w:rsid w:val="00273157"/>
    <w:rsid w:val="0027315D"/>
    <w:rsid w:val="00273197"/>
    <w:rsid w:val="002731AF"/>
    <w:rsid w:val="002731F6"/>
    <w:rsid w:val="0027333A"/>
    <w:rsid w:val="0027348E"/>
    <w:rsid w:val="00273595"/>
    <w:rsid w:val="0027370A"/>
    <w:rsid w:val="00273A61"/>
    <w:rsid w:val="00273AB5"/>
    <w:rsid w:val="00273BD8"/>
    <w:rsid w:val="00273C29"/>
    <w:rsid w:val="00273D54"/>
    <w:rsid w:val="00273D57"/>
    <w:rsid w:val="00273D63"/>
    <w:rsid w:val="00273E17"/>
    <w:rsid w:val="00273E84"/>
    <w:rsid w:val="00273F02"/>
    <w:rsid w:val="00273F0C"/>
    <w:rsid w:val="002740E1"/>
    <w:rsid w:val="002740F7"/>
    <w:rsid w:val="0027419D"/>
    <w:rsid w:val="0027426B"/>
    <w:rsid w:val="002743EE"/>
    <w:rsid w:val="0027444B"/>
    <w:rsid w:val="00274490"/>
    <w:rsid w:val="00274497"/>
    <w:rsid w:val="002744A9"/>
    <w:rsid w:val="0027456E"/>
    <w:rsid w:val="00274675"/>
    <w:rsid w:val="00274748"/>
    <w:rsid w:val="002747A5"/>
    <w:rsid w:val="00274843"/>
    <w:rsid w:val="00274851"/>
    <w:rsid w:val="00274BC5"/>
    <w:rsid w:val="00274D77"/>
    <w:rsid w:val="00274EC2"/>
    <w:rsid w:val="0027518E"/>
    <w:rsid w:val="002751AB"/>
    <w:rsid w:val="00275224"/>
    <w:rsid w:val="00275371"/>
    <w:rsid w:val="002753F7"/>
    <w:rsid w:val="00275448"/>
    <w:rsid w:val="0027577E"/>
    <w:rsid w:val="002757DA"/>
    <w:rsid w:val="0027583F"/>
    <w:rsid w:val="00275841"/>
    <w:rsid w:val="002758EB"/>
    <w:rsid w:val="00275A5F"/>
    <w:rsid w:val="00275ABE"/>
    <w:rsid w:val="00275BB2"/>
    <w:rsid w:val="00275C74"/>
    <w:rsid w:val="00275D42"/>
    <w:rsid w:val="00275D6A"/>
    <w:rsid w:val="00275DED"/>
    <w:rsid w:val="00275F5D"/>
    <w:rsid w:val="00276182"/>
    <w:rsid w:val="002761A8"/>
    <w:rsid w:val="002761E9"/>
    <w:rsid w:val="0027634C"/>
    <w:rsid w:val="0027650A"/>
    <w:rsid w:val="0027664C"/>
    <w:rsid w:val="002766A8"/>
    <w:rsid w:val="002766AF"/>
    <w:rsid w:val="00276998"/>
    <w:rsid w:val="0027699D"/>
    <w:rsid w:val="002769CE"/>
    <w:rsid w:val="00276A8B"/>
    <w:rsid w:val="00276D0F"/>
    <w:rsid w:val="00276FC3"/>
    <w:rsid w:val="0027710C"/>
    <w:rsid w:val="00277157"/>
    <w:rsid w:val="00277174"/>
    <w:rsid w:val="002771E7"/>
    <w:rsid w:val="0027723C"/>
    <w:rsid w:val="002772C7"/>
    <w:rsid w:val="0027746E"/>
    <w:rsid w:val="002774C7"/>
    <w:rsid w:val="00277510"/>
    <w:rsid w:val="00277512"/>
    <w:rsid w:val="002775C1"/>
    <w:rsid w:val="0027774E"/>
    <w:rsid w:val="0027776C"/>
    <w:rsid w:val="00277AEF"/>
    <w:rsid w:val="00277B0D"/>
    <w:rsid w:val="00277B73"/>
    <w:rsid w:val="00277C37"/>
    <w:rsid w:val="00277D52"/>
    <w:rsid w:val="00277DBB"/>
    <w:rsid w:val="00277EAE"/>
    <w:rsid w:val="002802F8"/>
    <w:rsid w:val="0028035D"/>
    <w:rsid w:val="00280433"/>
    <w:rsid w:val="00280631"/>
    <w:rsid w:val="0028076A"/>
    <w:rsid w:val="00280814"/>
    <w:rsid w:val="002808A1"/>
    <w:rsid w:val="002808B9"/>
    <w:rsid w:val="00280C2D"/>
    <w:rsid w:val="00280E3D"/>
    <w:rsid w:val="00280FB1"/>
    <w:rsid w:val="00281072"/>
    <w:rsid w:val="00281276"/>
    <w:rsid w:val="0028129D"/>
    <w:rsid w:val="00281499"/>
    <w:rsid w:val="002815D6"/>
    <w:rsid w:val="002818FD"/>
    <w:rsid w:val="00281979"/>
    <w:rsid w:val="002819E5"/>
    <w:rsid w:val="00281B23"/>
    <w:rsid w:val="0028221A"/>
    <w:rsid w:val="00282227"/>
    <w:rsid w:val="00282340"/>
    <w:rsid w:val="00282360"/>
    <w:rsid w:val="002824C1"/>
    <w:rsid w:val="002825D2"/>
    <w:rsid w:val="002826BB"/>
    <w:rsid w:val="00282731"/>
    <w:rsid w:val="002828A9"/>
    <w:rsid w:val="00282A8D"/>
    <w:rsid w:val="00282AD9"/>
    <w:rsid w:val="00282ADB"/>
    <w:rsid w:val="00282B10"/>
    <w:rsid w:val="00282B38"/>
    <w:rsid w:val="00282B84"/>
    <w:rsid w:val="00282B9C"/>
    <w:rsid w:val="00282BE4"/>
    <w:rsid w:val="00282CD8"/>
    <w:rsid w:val="00282D88"/>
    <w:rsid w:val="00282E83"/>
    <w:rsid w:val="00282EE3"/>
    <w:rsid w:val="00282F49"/>
    <w:rsid w:val="00282FFD"/>
    <w:rsid w:val="0028305E"/>
    <w:rsid w:val="0028318C"/>
    <w:rsid w:val="002831B4"/>
    <w:rsid w:val="002832C6"/>
    <w:rsid w:val="0028351F"/>
    <w:rsid w:val="0028366C"/>
    <w:rsid w:val="002837FD"/>
    <w:rsid w:val="00283969"/>
    <w:rsid w:val="002839A7"/>
    <w:rsid w:val="00283AA8"/>
    <w:rsid w:val="00283B30"/>
    <w:rsid w:val="00283C61"/>
    <w:rsid w:val="00283D59"/>
    <w:rsid w:val="00283D9E"/>
    <w:rsid w:val="00283F06"/>
    <w:rsid w:val="00283F84"/>
    <w:rsid w:val="00283FCD"/>
    <w:rsid w:val="00284144"/>
    <w:rsid w:val="002841A2"/>
    <w:rsid w:val="00284360"/>
    <w:rsid w:val="00284456"/>
    <w:rsid w:val="00284506"/>
    <w:rsid w:val="00284546"/>
    <w:rsid w:val="002845AA"/>
    <w:rsid w:val="00284633"/>
    <w:rsid w:val="0028471B"/>
    <w:rsid w:val="00284749"/>
    <w:rsid w:val="0028479B"/>
    <w:rsid w:val="002847B5"/>
    <w:rsid w:val="002847CE"/>
    <w:rsid w:val="002849A4"/>
    <w:rsid w:val="00284C51"/>
    <w:rsid w:val="00284CA4"/>
    <w:rsid w:val="00284D09"/>
    <w:rsid w:val="00284DB8"/>
    <w:rsid w:val="00284E25"/>
    <w:rsid w:val="00284E5A"/>
    <w:rsid w:val="00284E6A"/>
    <w:rsid w:val="00285023"/>
    <w:rsid w:val="00285088"/>
    <w:rsid w:val="002850AD"/>
    <w:rsid w:val="0028513F"/>
    <w:rsid w:val="00285366"/>
    <w:rsid w:val="002854DF"/>
    <w:rsid w:val="002855A7"/>
    <w:rsid w:val="00285686"/>
    <w:rsid w:val="00285873"/>
    <w:rsid w:val="002858DD"/>
    <w:rsid w:val="00285914"/>
    <w:rsid w:val="00285A94"/>
    <w:rsid w:val="00285BF7"/>
    <w:rsid w:val="00285C20"/>
    <w:rsid w:val="00285C2F"/>
    <w:rsid w:val="00285C72"/>
    <w:rsid w:val="00285D01"/>
    <w:rsid w:val="00285FE8"/>
    <w:rsid w:val="002860E6"/>
    <w:rsid w:val="0028614F"/>
    <w:rsid w:val="002861D1"/>
    <w:rsid w:val="0028621C"/>
    <w:rsid w:val="00286305"/>
    <w:rsid w:val="002864AB"/>
    <w:rsid w:val="002864C9"/>
    <w:rsid w:val="00286513"/>
    <w:rsid w:val="00286603"/>
    <w:rsid w:val="00286620"/>
    <w:rsid w:val="00286753"/>
    <w:rsid w:val="002867C4"/>
    <w:rsid w:val="00286945"/>
    <w:rsid w:val="0028699C"/>
    <w:rsid w:val="002869BD"/>
    <w:rsid w:val="00286B4E"/>
    <w:rsid w:val="00286EE3"/>
    <w:rsid w:val="00286F5C"/>
    <w:rsid w:val="00286F8E"/>
    <w:rsid w:val="002870F0"/>
    <w:rsid w:val="002872D6"/>
    <w:rsid w:val="0028738D"/>
    <w:rsid w:val="002874E3"/>
    <w:rsid w:val="0028766C"/>
    <w:rsid w:val="00287853"/>
    <w:rsid w:val="002878E2"/>
    <w:rsid w:val="002879C1"/>
    <w:rsid w:val="00287B90"/>
    <w:rsid w:val="00287C4A"/>
    <w:rsid w:val="00287F92"/>
    <w:rsid w:val="00290020"/>
    <w:rsid w:val="0029009E"/>
    <w:rsid w:val="002901A8"/>
    <w:rsid w:val="00290399"/>
    <w:rsid w:val="002905BE"/>
    <w:rsid w:val="00290715"/>
    <w:rsid w:val="00290A04"/>
    <w:rsid w:val="00290C97"/>
    <w:rsid w:val="00290DF5"/>
    <w:rsid w:val="00290E18"/>
    <w:rsid w:val="00290F08"/>
    <w:rsid w:val="002911FD"/>
    <w:rsid w:val="00291369"/>
    <w:rsid w:val="002915C4"/>
    <w:rsid w:val="00291636"/>
    <w:rsid w:val="002916FA"/>
    <w:rsid w:val="00291843"/>
    <w:rsid w:val="00291845"/>
    <w:rsid w:val="0029186C"/>
    <w:rsid w:val="002918C5"/>
    <w:rsid w:val="002919E8"/>
    <w:rsid w:val="00291ADD"/>
    <w:rsid w:val="00291D6A"/>
    <w:rsid w:val="00291E18"/>
    <w:rsid w:val="00291E4B"/>
    <w:rsid w:val="00291EEE"/>
    <w:rsid w:val="00291FE4"/>
    <w:rsid w:val="002920A3"/>
    <w:rsid w:val="002920B0"/>
    <w:rsid w:val="00292223"/>
    <w:rsid w:val="0029228A"/>
    <w:rsid w:val="0029273A"/>
    <w:rsid w:val="002927A2"/>
    <w:rsid w:val="00292812"/>
    <w:rsid w:val="0029281A"/>
    <w:rsid w:val="002929E0"/>
    <w:rsid w:val="00292ABD"/>
    <w:rsid w:val="00292BDA"/>
    <w:rsid w:val="00292BDB"/>
    <w:rsid w:val="00292C01"/>
    <w:rsid w:val="00292C9C"/>
    <w:rsid w:val="00292D66"/>
    <w:rsid w:val="00292DF0"/>
    <w:rsid w:val="00292DFB"/>
    <w:rsid w:val="00292FEE"/>
    <w:rsid w:val="00293071"/>
    <w:rsid w:val="002930BC"/>
    <w:rsid w:val="0029315A"/>
    <w:rsid w:val="0029315C"/>
    <w:rsid w:val="0029320C"/>
    <w:rsid w:val="002934D5"/>
    <w:rsid w:val="0029353F"/>
    <w:rsid w:val="00293598"/>
    <w:rsid w:val="002936F9"/>
    <w:rsid w:val="00293731"/>
    <w:rsid w:val="002938B3"/>
    <w:rsid w:val="002938FA"/>
    <w:rsid w:val="00293950"/>
    <w:rsid w:val="00293A13"/>
    <w:rsid w:val="00293B9F"/>
    <w:rsid w:val="00293C99"/>
    <w:rsid w:val="00293CAA"/>
    <w:rsid w:val="00293E25"/>
    <w:rsid w:val="00293E4B"/>
    <w:rsid w:val="00293E9E"/>
    <w:rsid w:val="00293EFB"/>
    <w:rsid w:val="00293F71"/>
    <w:rsid w:val="002940C4"/>
    <w:rsid w:val="00294109"/>
    <w:rsid w:val="00294114"/>
    <w:rsid w:val="002941EF"/>
    <w:rsid w:val="0029424E"/>
    <w:rsid w:val="002942E7"/>
    <w:rsid w:val="00294306"/>
    <w:rsid w:val="00294407"/>
    <w:rsid w:val="0029443A"/>
    <w:rsid w:val="002944A2"/>
    <w:rsid w:val="002945E7"/>
    <w:rsid w:val="00294621"/>
    <w:rsid w:val="0029482F"/>
    <w:rsid w:val="002948F9"/>
    <w:rsid w:val="00294961"/>
    <w:rsid w:val="00294A15"/>
    <w:rsid w:val="00294A19"/>
    <w:rsid w:val="00294A30"/>
    <w:rsid w:val="00294A66"/>
    <w:rsid w:val="00294ABF"/>
    <w:rsid w:val="00294B5C"/>
    <w:rsid w:val="00294BD9"/>
    <w:rsid w:val="00294C7F"/>
    <w:rsid w:val="00294D14"/>
    <w:rsid w:val="00294D32"/>
    <w:rsid w:val="00294E3B"/>
    <w:rsid w:val="00294ED5"/>
    <w:rsid w:val="00294FCC"/>
    <w:rsid w:val="002951A9"/>
    <w:rsid w:val="002951BE"/>
    <w:rsid w:val="0029521D"/>
    <w:rsid w:val="002953AE"/>
    <w:rsid w:val="00295559"/>
    <w:rsid w:val="00295603"/>
    <w:rsid w:val="0029562D"/>
    <w:rsid w:val="002956A0"/>
    <w:rsid w:val="00295789"/>
    <w:rsid w:val="00295795"/>
    <w:rsid w:val="00295869"/>
    <w:rsid w:val="00295CAF"/>
    <w:rsid w:val="00295D97"/>
    <w:rsid w:val="00295EB3"/>
    <w:rsid w:val="00295FBC"/>
    <w:rsid w:val="00295FC6"/>
    <w:rsid w:val="0029611C"/>
    <w:rsid w:val="00296222"/>
    <w:rsid w:val="0029622A"/>
    <w:rsid w:val="00296377"/>
    <w:rsid w:val="002963C0"/>
    <w:rsid w:val="0029647B"/>
    <w:rsid w:val="002964BC"/>
    <w:rsid w:val="002964D0"/>
    <w:rsid w:val="002964D4"/>
    <w:rsid w:val="00296907"/>
    <w:rsid w:val="002969F3"/>
    <w:rsid w:val="00296B6A"/>
    <w:rsid w:val="00296BFA"/>
    <w:rsid w:val="00296DE2"/>
    <w:rsid w:val="00297105"/>
    <w:rsid w:val="00297146"/>
    <w:rsid w:val="00297324"/>
    <w:rsid w:val="00297637"/>
    <w:rsid w:val="00297677"/>
    <w:rsid w:val="002976A7"/>
    <w:rsid w:val="002976CB"/>
    <w:rsid w:val="00297811"/>
    <w:rsid w:val="00297A52"/>
    <w:rsid w:val="00297A6A"/>
    <w:rsid w:val="00297B00"/>
    <w:rsid w:val="00297C82"/>
    <w:rsid w:val="002A00B2"/>
    <w:rsid w:val="002A02A8"/>
    <w:rsid w:val="002A0444"/>
    <w:rsid w:val="002A0481"/>
    <w:rsid w:val="002A0506"/>
    <w:rsid w:val="002A05D6"/>
    <w:rsid w:val="002A0604"/>
    <w:rsid w:val="002A06B8"/>
    <w:rsid w:val="002A0723"/>
    <w:rsid w:val="002A079C"/>
    <w:rsid w:val="002A0834"/>
    <w:rsid w:val="002A0887"/>
    <w:rsid w:val="002A08D3"/>
    <w:rsid w:val="002A0937"/>
    <w:rsid w:val="002A09BF"/>
    <w:rsid w:val="002A09CE"/>
    <w:rsid w:val="002A0A20"/>
    <w:rsid w:val="002A0A58"/>
    <w:rsid w:val="002A0ACE"/>
    <w:rsid w:val="002A0F05"/>
    <w:rsid w:val="002A10B6"/>
    <w:rsid w:val="002A112C"/>
    <w:rsid w:val="002A113A"/>
    <w:rsid w:val="002A1347"/>
    <w:rsid w:val="002A152B"/>
    <w:rsid w:val="002A1576"/>
    <w:rsid w:val="002A15A0"/>
    <w:rsid w:val="002A1649"/>
    <w:rsid w:val="002A1678"/>
    <w:rsid w:val="002A1737"/>
    <w:rsid w:val="002A18AB"/>
    <w:rsid w:val="002A1915"/>
    <w:rsid w:val="002A1979"/>
    <w:rsid w:val="002A197A"/>
    <w:rsid w:val="002A1B46"/>
    <w:rsid w:val="002A1BDC"/>
    <w:rsid w:val="002A1C6C"/>
    <w:rsid w:val="002A1DA5"/>
    <w:rsid w:val="002A1DCF"/>
    <w:rsid w:val="002A2015"/>
    <w:rsid w:val="002A20D6"/>
    <w:rsid w:val="002A2157"/>
    <w:rsid w:val="002A217F"/>
    <w:rsid w:val="002A22B2"/>
    <w:rsid w:val="002A2327"/>
    <w:rsid w:val="002A23C8"/>
    <w:rsid w:val="002A2402"/>
    <w:rsid w:val="002A2408"/>
    <w:rsid w:val="002A249C"/>
    <w:rsid w:val="002A24E9"/>
    <w:rsid w:val="002A255F"/>
    <w:rsid w:val="002A2606"/>
    <w:rsid w:val="002A2737"/>
    <w:rsid w:val="002A275A"/>
    <w:rsid w:val="002A27EE"/>
    <w:rsid w:val="002A2A44"/>
    <w:rsid w:val="002A2C00"/>
    <w:rsid w:val="002A2C62"/>
    <w:rsid w:val="002A2D03"/>
    <w:rsid w:val="002A2D06"/>
    <w:rsid w:val="002A2F06"/>
    <w:rsid w:val="002A2F62"/>
    <w:rsid w:val="002A2F9B"/>
    <w:rsid w:val="002A30E0"/>
    <w:rsid w:val="002A3109"/>
    <w:rsid w:val="002A3304"/>
    <w:rsid w:val="002A3336"/>
    <w:rsid w:val="002A336C"/>
    <w:rsid w:val="002A33AC"/>
    <w:rsid w:val="002A3490"/>
    <w:rsid w:val="002A35B1"/>
    <w:rsid w:val="002A36A1"/>
    <w:rsid w:val="002A36E3"/>
    <w:rsid w:val="002A3869"/>
    <w:rsid w:val="002A386D"/>
    <w:rsid w:val="002A38E5"/>
    <w:rsid w:val="002A38E9"/>
    <w:rsid w:val="002A392B"/>
    <w:rsid w:val="002A3A58"/>
    <w:rsid w:val="002A3ADF"/>
    <w:rsid w:val="002A3B00"/>
    <w:rsid w:val="002A3B18"/>
    <w:rsid w:val="002A3C17"/>
    <w:rsid w:val="002A3C1D"/>
    <w:rsid w:val="002A3C33"/>
    <w:rsid w:val="002A3C97"/>
    <w:rsid w:val="002A3CEE"/>
    <w:rsid w:val="002A3DA6"/>
    <w:rsid w:val="002A3DBD"/>
    <w:rsid w:val="002A3EDB"/>
    <w:rsid w:val="002A3F35"/>
    <w:rsid w:val="002A40EF"/>
    <w:rsid w:val="002A41EA"/>
    <w:rsid w:val="002A41F3"/>
    <w:rsid w:val="002A41FF"/>
    <w:rsid w:val="002A4237"/>
    <w:rsid w:val="002A42DB"/>
    <w:rsid w:val="002A43A0"/>
    <w:rsid w:val="002A43CC"/>
    <w:rsid w:val="002A44B4"/>
    <w:rsid w:val="002A45BE"/>
    <w:rsid w:val="002A4697"/>
    <w:rsid w:val="002A4895"/>
    <w:rsid w:val="002A4903"/>
    <w:rsid w:val="002A4991"/>
    <w:rsid w:val="002A4A4D"/>
    <w:rsid w:val="002A4A7F"/>
    <w:rsid w:val="002A4AA6"/>
    <w:rsid w:val="002A4B2F"/>
    <w:rsid w:val="002A4DF2"/>
    <w:rsid w:val="002A4E74"/>
    <w:rsid w:val="002A4EDD"/>
    <w:rsid w:val="002A4EE4"/>
    <w:rsid w:val="002A4EFB"/>
    <w:rsid w:val="002A5158"/>
    <w:rsid w:val="002A51AD"/>
    <w:rsid w:val="002A5259"/>
    <w:rsid w:val="002A52AE"/>
    <w:rsid w:val="002A53F3"/>
    <w:rsid w:val="002A5659"/>
    <w:rsid w:val="002A5791"/>
    <w:rsid w:val="002A5816"/>
    <w:rsid w:val="002A586C"/>
    <w:rsid w:val="002A5A0D"/>
    <w:rsid w:val="002A5A82"/>
    <w:rsid w:val="002A5B14"/>
    <w:rsid w:val="002A5B1E"/>
    <w:rsid w:val="002A5C9B"/>
    <w:rsid w:val="002A5D82"/>
    <w:rsid w:val="002A5EEA"/>
    <w:rsid w:val="002A5EF1"/>
    <w:rsid w:val="002A63A9"/>
    <w:rsid w:val="002A63EF"/>
    <w:rsid w:val="002A63FC"/>
    <w:rsid w:val="002A6537"/>
    <w:rsid w:val="002A654E"/>
    <w:rsid w:val="002A6651"/>
    <w:rsid w:val="002A66C3"/>
    <w:rsid w:val="002A6BE1"/>
    <w:rsid w:val="002A6C37"/>
    <w:rsid w:val="002A6EB5"/>
    <w:rsid w:val="002A6F0D"/>
    <w:rsid w:val="002A6F44"/>
    <w:rsid w:val="002A71C3"/>
    <w:rsid w:val="002A73F0"/>
    <w:rsid w:val="002A74EE"/>
    <w:rsid w:val="002A7535"/>
    <w:rsid w:val="002A75DA"/>
    <w:rsid w:val="002A7716"/>
    <w:rsid w:val="002A77A2"/>
    <w:rsid w:val="002A7889"/>
    <w:rsid w:val="002A79E7"/>
    <w:rsid w:val="002A7A91"/>
    <w:rsid w:val="002A7B90"/>
    <w:rsid w:val="002A7D23"/>
    <w:rsid w:val="002A7D2D"/>
    <w:rsid w:val="002A7D74"/>
    <w:rsid w:val="002A7E08"/>
    <w:rsid w:val="002A7ED2"/>
    <w:rsid w:val="002A7F20"/>
    <w:rsid w:val="002A7F2D"/>
    <w:rsid w:val="002B0032"/>
    <w:rsid w:val="002B0099"/>
    <w:rsid w:val="002B01DC"/>
    <w:rsid w:val="002B01FA"/>
    <w:rsid w:val="002B028C"/>
    <w:rsid w:val="002B02BE"/>
    <w:rsid w:val="002B0547"/>
    <w:rsid w:val="002B069A"/>
    <w:rsid w:val="002B0717"/>
    <w:rsid w:val="002B0741"/>
    <w:rsid w:val="002B07F4"/>
    <w:rsid w:val="002B098B"/>
    <w:rsid w:val="002B0A3F"/>
    <w:rsid w:val="002B0ADB"/>
    <w:rsid w:val="002B0D3E"/>
    <w:rsid w:val="002B0D79"/>
    <w:rsid w:val="002B0DB8"/>
    <w:rsid w:val="002B1065"/>
    <w:rsid w:val="002B125E"/>
    <w:rsid w:val="002B1298"/>
    <w:rsid w:val="002B12EB"/>
    <w:rsid w:val="002B1309"/>
    <w:rsid w:val="002B164C"/>
    <w:rsid w:val="002B16B2"/>
    <w:rsid w:val="002B1799"/>
    <w:rsid w:val="002B17FE"/>
    <w:rsid w:val="002B1801"/>
    <w:rsid w:val="002B19D2"/>
    <w:rsid w:val="002B19E0"/>
    <w:rsid w:val="002B19E9"/>
    <w:rsid w:val="002B1AA9"/>
    <w:rsid w:val="002B1B9E"/>
    <w:rsid w:val="002B1CC1"/>
    <w:rsid w:val="002B1D59"/>
    <w:rsid w:val="002B1E86"/>
    <w:rsid w:val="002B1F65"/>
    <w:rsid w:val="002B1FBB"/>
    <w:rsid w:val="002B20F4"/>
    <w:rsid w:val="002B2308"/>
    <w:rsid w:val="002B23B0"/>
    <w:rsid w:val="002B24D6"/>
    <w:rsid w:val="002B2562"/>
    <w:rsid w:val="002B25A9"/>
    <w:rsid w:val="002B2925"/>
    <w:rsid w:val="002B2963"/>
    <w:rsid w:val="002B29B5"/>
    <w:rsid w:val="002B29CC"/>
    <w:rsid w:val="002B2AE4"/>
    <w:rsid w:val="002B2D36"/>
    <w:rsid w:val="002B2D59"/>
    <w:rsid w:val="002B2DAE"/>
    <w:rsid w:val="002B2DF9"/>
    <w:rsid w:val="002B2F72"/>
    <w:rsid w:val="002B3121"/>
    <w:rsid w:val="002B312C"/>
    <w:rsid w:val="002B3192"/>
    <w:rsid w:val="002B31B8"/>
    <w:rsid w:val="002B328E"/>
    <w:rsid w:val="002B32DA"/>
    <w:rsid w:val="002B3736"/>
    <w:rsid w:val="002B3737"/>
    <w:rsid w:val="002B37C4"/>
    <w:rsid w:val="002B3C6C"/>
    <w:rsid w:val="002B400D"/>
    <w:rsid w:val="002B40BF"/>
    <w:rsid w:val="002B4125"/>
    <w:rsid w:val="002B415D"/>
    <w:rsid w:val="002B42C5"/>
    <w:rsid w:val="002B4336"/>
    <w:rsid w:val="002B43DA"/>
    <w:rsid w:val="002B461E"/>
    <w:rsid w:val="002B4623"/>
    <w:rsid w:val="002B4625"/>
    <w:rsid w:val="002B4892"/>
    <w:rsid w:val="002B490E"/>
    <w:rsid w:val="002B4A05"/>
    <w:rsid w:val="002B4A93"/>
    <w:rsid w:val="002B4B6A"/>
    <w:rsid w:val="002B4B8D"/>
    <w:rsid w:val="002B4BC6"/>
    <w:rsid w:val="002B4BFD"/>
    <w:rsid w:val="002B4C78"/>
    <w:rsid w:val="002B4D2F"/>
    <w:rsid w:val="002B4EAB"/>
    <w:rsid w:val="002B5030"/>
    <w:rsid w:val="002B50AA"/>
    <w:rsid w:val="002B50FC"/>
    <w:rsid w:val="002B52A2"/>
    <w:rsid w:val="002B5338"/>
    <w:rsid w:val="002B54A5"/>
    <w:rsid w:val="002B54E0"/>
    <w:rsid w:val="002B56EF"/>
    <w:rsid w:val="002B578B"/>
    <w:rsid w:val="002B5822"/>
    <w:rsid w:val="002B58D3"/>
    <w:rsid w:val="002B5B47"/>
    <w:rsid w:val="002B5B6E"/>
    <w:rsid w:val="002B5BA6"/>
    <w:rsid w:val="002B5D33"/>
    <w:rsid w:val="002B5DF4"/>
    <w:rsid w:val="002B6077"/>
    <w:rsid w:val="002B6125"/>
    <w:rsid w:val="002B6204"/>
    <w:rsid w:val="002B62D0"/>
    <w:rsid w:val="002B637C"/>
    <w:rsid w:val="002B64C2"/>
    <w:rsid w:val="002B68F6"/>
    <w:rsid w:val="002B695D"/>
    <w:rsid w:val="002B696E"/>
    <w:rsid w:val="002B6DA2"/>
    <w:rsid w:val="002B6EAE"/>
    <w:rsid w:val="002B7000"/>
    <w:rsid w:val="002B7015"/>
    <w:rsid w:val="002B7225"/>
    <w:rsid w:val="002B72DF"/>
    <w:rsid w:val="002B7327"/>
    <w:rsid w:val="002B73D7"/>
    <w:rsid w:val="002B74C1"/>
    <w:rsid w:val="002B7689"/>
    <w:rsid w:val="002B76E9"/>
    <w:rsid w:val="002B7739"/>
    <w:rsid w:val="002B7894"/>
    <w:rsid w:val="002B7958"/>
    <w:rsid w:val="002B796C"/>
    <w:rsid w:val="002B7A45"/>
    <w:rsid w:val="002B7A9E"/>
    <w:rsid w:val="002B7B19"/>
    <w:rsid w:val="002B7BCC"/>
    <w:rsid w:val="002B7C55"/>
    <w:rsid w:val="002B7E3E"/>
    <w:rsid w:val="002B7E73"/>
    <w:rsid w:val="002B7F0C"/>
    <w:rsid w:val="002B7F90"/>
    <w:rsid w:val="002C026E"/>
    <w:rsid w:val="002C03E4"/>
    <w:rsid w:val="002C0445"/>
    <w:rsid w:val="002C065E"/>
    <w:rsid w:val="002C090F"/>
    <w:rsid w:val="002C09F1"/>
    <w:rsid w:val="002C0AC3"/>
    <w:rsid w:val="002C0ADD"/>
    <w:rsid w:val="002C0B7E"/>
    <w:rsid w:val="002C0BD4"/>
    <w:rsid w:val="002C0DE7"/>
    <w:rsid w:val="002C0F9D"/>
    <w:rsid w:val="002C0FCE"/>
    <w:rsid w:val="002C10E8"/>
    <w:rsid w:val="002C10EA"/>
    <w:rsid w:val="002C11F8"/>
    <w:rsid w:val="002C12DD"/>
    <w:rsid w:val="002C1345"/>
    <w:rsid w:val="002C1381"/>
    <w:rsid w:val="002C1390"/>
    <w:rsid w:val="002C154D"/>
    <w:rsid w:val="002C183C"/>
    <w:rsid w:val="002C19F1"/>
    <w:rsid w:val="002C1AE4"/>
    <w:rsid w:val="002C1C66"/>
    <w:rsid w:val="002C1F3A"/>
    <w:rsid w:val="002C1FE2"/>
    <w:rsid w:val="002C2084"/>
    <w:rsid w:val="002C212B"/>
    <w:rsid w:val="002C212D"/>
    <w:rsid w:val="002C219F"/>
    <w:rsid w:val="002C2333"/>
    <w:rsid w:val="002C2342"/>
    <w:rsid w:val="002C2471"/>
    <w:rsid w:val="002C248D"/>
    <w:rsid w:val="002C24CA"/>
    <w:rsid w:val="002C251C"/>
    <w:rsid w:val="002C253C"/>
    <w:rsid w:val="002C2632"/>
    <w:rsid w:val="002C264C"/>
    <w:rsid w:val="002C274C"/>
    <w:rsid w:val="002C28D6"/>
    <w:rsid w:val="002C2962"/>
    <w:rsid w:val="002C2AFF"/>
    <w:rsid w:val="002C2DE7"/>
    <w:rsid w:val="002C2FB1"/>
    <w:rsid w:val="002C2FB3"/>
    <w:rsid w:val="002C3067"/>
    <w:rsid w:val="002C30E9"/>
    <w:rsid w:val="002C3104"/>
    <w:rsid w:val="002C33D0"/>
    <w:rsid w:val="002C3573"/>
    <w:rsid w:val="002C3667"/>
    <w:rsid w:val="002C36FE"/>
    <w:rsid w:val="002C3765"/>
    <w:rsid w:val="002C3925"/>
    <w:rsid w:val="002C39AC"/>
    <w:rsid w:val="002C39B2"/>
    <w:rsid w:val="002C3AD8"/>
    <w:rsid w:val="002C3B49"/>
    <w:rsid w:val="002C3C12"/>
    <w:rsid w:val="002C3C65"/>
    <w:rsid w:val="002C3E50"/>
    <w:rsid w:val="002C3EA0"/>
    <w:rsid w:val="002C417F"/>
    <w:rsid w:val="002C41AD"/>
    <w:rsid w:val="002C4216"/>
    <w:rsid w:val="002C4432"/>
    <w:rsid w:val="002C4457"/>
    <w:rsid w:val="002C45B5"/>
    <w:rsid w:val="002C462E"/>
    <w:rsid w:val="002C4950"/>
    <w:rsid w:val="002C4B1D"/>
    <w:rsid w:val="002C4C1B"/>
    <w:rsid w:val="002C4EDA"/>
    <w:rsid w:val="002C4F20"/>
    <w:rsid w:val="002C4FED"/>
    <w:rsid w:val="002C4FEE"/>
    <w:rsid w:val="002C504D"/>
    <w:rsid w:val="002C507E"/>
    <w:rsid w:val="002C50D8"/>
    <w:rsid w:val="002C5285"/>
    <w:rsid w:val="002C52BF"/>
    <w:rsid w:val="002C54CD"/>
    <w:rsid w:val="002C54EE"/>
    <w:rsid w:val="002C5559"/>
    <w:rsid w:val="002C56CA"/>
    <w:rsid w:val="002C5769"/>
    <w:rsid w:val="002C57B9"/>
    <w:rsid w:val="002C586D"/>
    <w:rsid w:val="002C58A0"/>
    <w:rsid w:val="002C58AB"/>
    <w:rsid w:val="002C5A74"/>
    <w:rsid w:val="002C5A99"/>
    <w:rsid w:val="002C5BBB"/>
    <w:rsid w:val="002C5BC7"/>
    <w:rsid w:val="002C5EB7"/>
    <w:rsid w:val="002C60AF"/>
    <w:rsid w:val="002C6171"/>
    <w:rsid w:val="002C61D0"/>
    <w:rsid w:val="002C6299"/>
    <w:rsid w:val="002C6583"/>
    <w:rsid w:val="002C65E7"/>
    <w:rsid w:val="002C661C"/>
    <w:rsid w:val="002C66CE"/>
    <w:rsid w:val="002C66DA"/>
    <w:rsid w:val="002C6712"/>
    <w:rsid w:val="002C67D8"/>
    <w:rsid w:val="002C67E4"/>
    <w:rsid w:val="002C6978"/>
    <w:rsid w:val="002C6A9D"/>
    <w:rsid w:val="002C6AB4"/>
    <w:rsid w:val="002C6B09"/>
    <w:rsid w:val="002C6D16"/>
    <w:rsid w:val="002C6D7B"/>
    <w:rsid w:val="002C6E79"/>
    <w:rsid w:val="002C6EC5"/>
    <w:rsid w:val="002C6F19"/>
    <w:rsid w:val="002C6FBC"/>
    <w:rsid w:val="002C701F"/>
    <w:rsid w:val="002C7094"/>
    <w:rsid w:val="002C70F4"/>
    <w:rsid w:val="002C71BD"/>
    <w:rsid w:val="002C721B"/>
    <w:rsid w:val="002C72A4"/>
    <w:rsid w:val="002C7335"/>
    <w:rsid w:val="002C73FA"/>
    <w:rsid w:val="002C754B"/>
    <w:rsid w:val="002C761C"/>
    <w:rsid w:val="002C7732"/>
    <w:rsid w:val="002C77FA"/>
    <w:rsid w:val="002C79A8"/>
    <w:rsid w:val="002C7AFA"/>
    <w:rsid w:val="002C7E8E"/>
    <w:rsid w:val="002C7EB1"/>
    <w:rsid w:val="002C7EC2"/>
    <w:rsid w:val="002C7FFC"/>
    <w:rsid w:val="002D00D1"/>
    <w:rsid w:val="002D0101"/>
    <w:rsid w:val="002D0278"/>
    <w:rsid w:val="002D034A"/>
    <w:rsid w:val="002D043F"/>
    <w:rsid w:val="002D0632"/>
    <w:rsid w:val="002D0677"/>
    <w:rsid w:val="002D07A1"/>
    <w:rsid w:val="002D0926"/>
    <w:rsid w:val="002D0A02"/>
    <w:rsid w:val="002D0B26"/>
    <w:rsid w:val="002D0C68"/>
    <w:rsid w:val="002D0D8E"/>
    <w:rsid w:val="002D0DDD"/>
    <w:rsid w:val="002D0DF7"/>
    <w:rsid w:val="002D0E5D"/>
    <w:rsid w:val="002D0E5F"/>
    <w:rsid w:val="002D0F84"/>
    <w:rsid w:val="002D106D"/>
    <w:rsid w:val="002D10BB"/>
    <w:rsid w:val="002D11A4"/>
    <w:rsid w:val="002D1266"/>
    <w:rsid w:val="002D132F"/>
    <w:rsid w:val="002D137D"/>
    <w:rsid w:val="002D1416"/>
    <w:rsid w:val="002D1496"/>
    <w:rsid w:val="002D14C3"/>
    <w:rsid w:val="002D151D"/>
    <w:rsid w:val="002D16B9"/>
    <w:rsid w:val="002D16F5"/>
    <w:rsid w:val="002D17E6"/>
    <w:rsid w:val="002D1B92"/>
    <w:rsid w:val="002D1C5E"/>
    <w:rsid w:val="002D1C9F"/>
    <w:rsid w:val="002D1CCE"/>
    <w:rsid w:val="002D1E42"/>
    <w:rsid w:val="002D1EE3"/>
    <w:rsid w:val="002D1F75"/>
    <w:rsid w:val="002D1FA1"/>
    <w:rsid w:val="002D1FDE"/>
    <w:rsid w:val="002D2028"/>
    <w:rsid w:val="002D210A"/>
    <w:rsid w:val="002D2150"/>
    <w:rsid w:val="002D24E6"/>
    <w:rsid w:val="002D2635"/>
    <w:rsid w:val="002D2729"/>
    <w:rsid w:val="002D2759"/>
    <w:rsid w:val="002D27BF"/>
    <w:rsid w:val="002D2845"/>
    <w:rsid w:val="002D28A4"/>
    <w:rsid w:val="002D28C1"/>
    <w:rsid w:val="002D28F4"/>
    <w:rsid w:val="002D2E1C"/>
    <w:rsid w:val="002D2F0A"/>
    <w:rsid w:val="002D2F89"/>
    <w:rsid w:val="002D321A"/>
    <w:rsid w:val="002D330F"/>
    <w:rsid w:val="002D3439"/>
    <w:rsid w:val="002D34C7"/>
    <w:rsid w:val="002D34F4"/>
    <w:rsid w:val="002D361E"/>
    <w:rsid w:val="002D3661"/>
    <w:rsid w:val="002D37BE"/>
    <w:rsid w:val="002D3802"/>
    <w:rsid w:val="002D38AC"/>
    <w:rsid w:val="002D3AFC"/>
    <w:rsid w:val="002D3B4D"/>
    <w:rsid w:val="002D3B97"/>
    <w:rsid w:val="002D3BBB"/>
    <w:rsid w:val="002D3CCA"/>
    <w:rsid w:val="002D3E1F"/>
    <w:rsid w:val="002D3ED0"/>
    <w:rsid w:val="002D3F9D"/>
    <w:rsid w:val="002D4124"/>
    <w:rsid w:val="002D4173"/>
    <w:rsid w:val="002D41DB"/>
    <w:rsid w:val="002D4261"/>
    <w:rsid w:val="002D4360"/>
    <w:rsid w:val="002D4572"/>
    <w:rsid w:val="002D4644"/>
    <w:rsid w:val="002D47B2"/>
    <w:rsid w:val="002D4855"/>
    <w:rsid w:val="002D4940"/>
    <w:rsid w:val="002D4A4E"/>
    <w:rsid w:val="002D4DC0"/>
    <w:rsid w:val="002D4DDB"/>
    <w:rsid w:val="002D4F80"/>
    <w:rsid w:val="002D5109"/>
    <w:rsid w:val="002D5189"/>
    <w:rsid w:val="002D51BB"/>
    <w:rsid w:val="002D51F0"/>
    <w:rsid w:val="002D5364"/>
    <w:rsid w:val="002D5473"/>
    <w:rsid w:val="002D5474"/>
    <w:rsid w:val="002D5569"/>
    <w:rsid w:val="002D56F7"/>
    <w:rsid w:val="002D5828"/>
    <w:rsid w:val="002D58E5"/>
    <w:rsid w:val="002D5919"/>
    <w:rsid w:val="002D5984"/>
    <w:rsid w:val="002D5AE6"/>
    <w:rsid w:val="002D5BFB"/>
    <w:rsid w:val="002D5DC1"/>
    <w:rsid w:val="002D5DD3"/>
    <w:rsid w:val="002D5EB8"/>
    <w:rsid w:val="002D5F2E"/>
    <w:rsid w:val="002D6022"/>
    <w:rsid w:val="002D617C"/>
    <w:rsid w:val="002D65EA"/>
    <w:rsid w:val="002D66AE"/>
    <w:rsid w:val="002D66E8"/>
    <w:rsid w:val="002D673A"/>
    <w:rsid w:val="002D6763"/>
    <w:rsid w:val="002D67F2"/>
    <w:rsid w:val="002D6956"/>
    <w:rsid w:val="002D6975"/>
    <w:rsid w:val="002D697B"/>
    <w:rsid w:val="002D6999"/>
    <w:rsid w:val="002D69A4"/>
    <w:rsid w:val="002D6A05"/>
    <w:rsid w:val="002D6AF7"/>
    <w:rsid w:val="002D6AFA"/>
    <w:rsid w:val="002D6CB9"/>
    <w:rsid w:val="002D6FB9"/>
    <w:rsid w:val="002D7025"/>
    <w:rsid w:val="002D70CA"/>
    <w:rsid w:val="002D717D"/>
    <w:rsid w:val="002D7221"/>
    <w:rsid w:val="002D72FF"/>
    <w:rsid w:val="002D76E7"/>
    <w:rsid w:val="002D777F"/>
    <w:rsid w:val="002D7864"/>
    <w:rsid w:val="002D78C6"/>
    <w:rsid w:val="002D794D"/>
    <w:rsid w:val="002D7A29"/>
    <w:rsid w:val="002D7A6D"/>
    <w:rsid w:val="002D7AB9"/>
    <w:rsid w:val="002D7C7A"/>
    <w:rsid w:val="002D7D12"/>
    <w:rsid w:val="002E01D0"/>
    <w:rsid w:val="002E02BF"/>
    <w:rsid w:val="002E03AA"/>
    <w:rsid w:val="002E048E"/>
    <w:rsid w:val="002E04C2"/>
    <w:rsid w:val="002E062C"/>
    <w:rsid w:val="002E0820"/>
    <w:rsid w:val="002E0904"/>
    <w:rsid w:val="002E097C"/>
    <w:rsid w:val="002E0982"/>
    <w:rsid w:val="002E0B5D"/>
    <w:rsid w:val="002E0D69"/>
    <w:rsid w:val="002E0E09"/>
    <w:rsid w:val="002E0EDD"/>
    <w:rsid w:val="002E104B"/>
    <w:rsid w:val="002E1147"/>
    <w:rsid w:val="002E1155"/>
    <w:rsid w:val="002E132F"/>
    <w:rsid w:val="002E13F7"/>
    <w:rsid w:val="002E1439"/>
    <w:rsid w:val="002E15BA"/>
    <w:rsid w:val="002E177A"/>
    <w:rsid w:val="002E17DC"/>
    <w:rsid w:val="002E1B1C"/>
    <w:rsid w:val="002E1B1F"/>
    <w:rsid w:val="002E1BF9"/>
    <w:rsid w:val="002E1C3C"/>
    <w:rsid w:val="002E1CD7"/>
    <w:rsid w:val="002E1E67"/>
    <w:rsid w:val="002E1E8C"/>
    <w:rsid w:val="002E1EE3"/>
    <w:rsid w:val="002E1F7A"/>
    <w:rsid w:val="002E1F9E"/>
    <w:rsid w:val="002E1FAB"/>
    <w:rsid w:val="002E202C"/>
    <w:rsid w:val="002E2140"/>
    <w:rsid w:val="002E21E6"/>
    <w:rsid w:val="002E2212"/>
    <w:rsid w:val="002E2247"/>
    <w:rsid w:val="002E22D9"/>
    <w:rsid w:val="002E234C"/>
    <w:rsid w:val="002E257C"/>
    <w:rsid w:val="002E27D1"/>
    <w:rsid w:val="002E2839"/>
    <w:rsid w:val="002E28BF"/>
    <w:rsid w:val="002E298B"/>
    <w:rsid w:val="002E2EEE"/>
    <w:rsid w:val="002E2FE5"/>
    <w:rsid w:val="002E30DB"/>
    <w:rsid w:val="002E30F7"/>
    <w:rsid w:val="002E3288"/>
    <w:rsid w:val="002E32C0"/>
    <w:rsid w:val="002E32D9"/>
    <w:rsid w:val="002E3447"/>
    <w:rsid w:val="002E3620"/>
    <w:rsid w:val="002E3623"/>
    <w:rsid w:val="002E369A"/>
    <w:rsid w:val="002E3729"/>
    <w:rsid w:val="002E3828"/>
    <w:rsid w:val="002E38CF"/>
    <w:rsid w:val="002E38E8"/>
    <w:rsid w:val="002E3A64"/>
    <w:rsid w:val="002E3A8D"/>
    <w:rsid w:val="002E3CF7"/>
    <w:rsid w:val="002E3D7A"/>
    <w:rsid w:val="002E4077"/>
    <w:rsid w:val="002E4121"/>
    <w:rsid w:val="002E41CD"/>
    <w:rsid w:val="002E4461"/>
    <w:rsid w:val="002E476F"/>
    <w:rsid w:val="002E47E1"/>
    <w:rsid w:val="002E4A4B"/>
    <w:rsid w:val="002E4BAB"/>
    <w:rsid w:val="002E4BFB"/>
    <w:rsid w:val="002E4C2C"/>
    <w:rsid w:val="002E4C42"/>
    <w:rsid w:val="002E4CAE"/>
    <w:rsid w:val="002E4DE8"/>
    <w:rsid w:val="002E4E1D"/>
    <w:rsid w:val="002E4E8F"/>
    <w:rsid w:val="002E50A5"/>
    <w:rsid w:val="002E51A6"/>
    <w:rsid w:val="002E52AD"/>
    <w:rsid w:val="002E538B"/>
    <w:rsid w:val="002E53B2"/>
    <w:rsid w:val="002E541F"/>
    <w:rsid w:val="002E544E"/>
    <w:rsid w:val="002E549E"/>
    <w:rsid w:val="002E55C3"/>
    <w:rsid w:val="002E562C"/>
    <w:rsid w:val="002E5926"/>
    <w:rsid w:val="002E5A88"/>
    <w:rsid w:val="002E5AA3"/>
    <w:rsid w:val="002E5AED"/>
    <w:rsid w:val="002E5C48"/>
    <w:rsid w:val="002E5C6B"/>
    <w:rsid w:val="002E5C8E"/>
    <w:rsid w:val="002E5E1A"/>
    <w:rsid w:val="002E5E8A"/>
    <w:rsid w:val="002E5FC7"/>
    <w:rsid w:val="002E5FEA"/>
    <w:rsid w:val="002E600C"/>
    <w:rsid w:val="002E6234"/>
    <w:rsid w:val="002E6272"/>
    <w:rsid w:val="002E6296"/>
    <w:rsid w:val="002E6339"/>
    <w:rsid w:val="002E6439"/>
    <w:rsid w:val="002E649D"/>
    <w:rsid w:val="002E675B"/>
    <w:rsid w:val="002E6907"/>
    <w:rsid w:val="002E6942"/>
    <w:rsid w:val="002E6A12"/>
    <w:rsid w:val="002E6A32"/>
    <w:rsid w:val="002E6A4D"/>
    <w:rsid w:val="002E6AA8"/>
    <w:rsid w:val="002E6B1F"/>
    <w:rsid w:val="002E6B3E"/>
    <w:rsid w:val="002E6BBE"/>
    <w:rsid w:val="002E6BE8"/>
    <w:rsid w:val="002E6E0C"/>
    <w:rsid w:val="002E6F5B"/>
    <w:rsid w:val="002E6F82"/>
    <w:rsid w:val="002E700A"/>
    <w:rsid w:val="002E704C"/>
    <w:rsid w:val="002E70C4"/>
    <w:rsid w:val="002E7380"/>
    <w:rsid w:val="002E73CD"/>
    <w:rsid w:val="002E7726"/>
    <w:rsid w:val="002E7846"/>
    <w:rsid w:val="002E7862"/>
    <w:rsid w:val="002E78F4"/>
    <w:rsid w:val="002E79A5"/>
    <w:rsid w:val="002E7A4B"/>
    <w:rsid w:val="002E7A70"/>
    <w:rsid w:val="002E7AF3"/>
    <w:rsid w:val="002E7B9F"/>
    <w:rsid w:val="002E7D0A"/>
    <w:rsid w:val="002E7D51"/>
    <w:rsid w:val="002E7DBA"/>
    <w:rsid w:val="002E7E26"/>
    <w:rsid w:val="002E7E79"/>
    <w:rsid w:val="002F00A8"/>
    <w:rsid w:val="002F00AF"/>
    <w:rsid w:val="002F02BA"/>
    <w:rsid w:val="002F032A"/>
    <w:rsid w:val="002F0539"/>
    <w:rsid w:val="002F0580"/>
    <w:rsid w:val="002F05E0"/>
    <w:rsid w:val="002F086A"/>
    <w:rsid w:val="002F0947"/>
    <w:rsid w:val="002F0A6A"/>
    <w:rsid w:val="002F0A8A"/>
    <w:rsid w:val="002F0EDA"/>
    <w:rsid w:val="002F0F6A"/>
    <w:rsid w:val="002F1183"/>
    <w:rsid w:val="002F13C1"/>
    <w:rsid w:val="002F16C3"/>
    <w:rsid w:val="002F177A"/>
    <w:rsid w:val="002F17C9"/>
    <w:rsid w:val="002F182F"/>
    <w:rsid w:val="002F189F"/>
    <w:rsid w:val="002F18AC"/>
    <w:rsid w:val="002F19B7"/>
    <w:rsid w:val="002F1A0F"/>
    <w:rsid w:val="002F1C2C"/>
    <w:rsid w:val="002F1D24"/>
    <w:rsid w:val="002F1E1F"/>
    <w:rsid w:val="002F2028"/>
    <w:rsid w:val="002F208C"/>
    <w:rsid w:val="002F20F7"/>
    <w:rsid w:val="002F21B9"/>
    <w:rsid w:val="002F2336"/>
    <w:rsid w:val="002F2347"/>
    <w:rsid w:val="002F236F"/>
    <w:rsid w:val="002F245B"/>
    <w:rsid w:val="002F247B"/>
    <w:rsid w:val="002F2487"/>
    <w:rsid w:val="002F24F1"/>
    <w:rsid w:val="002F2620"/>
    <w:rsid w:val="002F265A"/>
    <w:rsid w:val="002F266C"/>
    <w:rsid w:val="002F26CE"/>
    <w:rsid w:val="002F2796"/>
    <w:rsid w:val="002F295E"/>
    <w:rsid w:val="002F2A0A"/>
    <w:rsid w:val="002F2A42"/>
    <w:rsid w:val="002F2B0F"/>
    <w:rsid w:val="002F2C54"/>
    <w:rsid w:val="002F2C5F"/>
    <w:rsid w:val="002F2D1E"/>
    <w:rsid w:val="002F2D4D"/>
    <w:rsid w:val="002F2D8D"/>
    <w:rsid w:val="002F2E63"/>
    <w:rsid w:val="002F2ED3"/>
    <w:rsid w:val="002F3019"/>
    <w:rsid w:val="002F32D4"/>
    <w:rsid w:val="002F34F5"/>
    <w:rsid w:val="002F371F"/>
    <w:rsid w:val="002F3B13"/>
    <w:rsid w:val="002F3D77"/>
    <w:rsid w:val="002F3DE8"/>
    <w:rsid w:val="002F3E28"/>
    <w:rsid w:val="002F3E5E"/>
    <w:rsid w:val="002F4187"/>
    <w:rsid w:val="002F41C9"/>
    <w:rsid w:val="002F42A1"/>
    <w:rsid w:val="002F4654"/>
    <w:rsid w:val="002F47DA"/>
    <w:rsid w:val="002F4A17"/>
    <w:rsid w:val="002F4C04"/>
    <w:rsid w:val="002F4CE8"/>
    <w:rsid w:val="002F4D84"/>
    <w:rsid w:val="002F4DE0"/>
    <w:rsid w:val="002F4E16"/>
    <w:rsid w:val="002F4E21"/>
    <w:rsid w:val="002F4E78"/>
    <w:rsid w:val="002F4FA5"/>
    <w:rsid w:val="002F505B"/>
    <w:rsid w:val="002F509D"/>
    <w:rsid w:val="002F514B"/>
    <w:rsid w:val="002F5458"/>
    <w:rsid w:val="002F56A8"/>
    <w:rsid w:val="002F56DB"/>
    <w:rsid w:val="002F584C"/>
    <w:rsid w:val="002F598F"/>
    <w:rsid w:val="002F5BFF"/>
    <w:rsid w:val="002F5E1E"/>
    <w:rsid w:val="002F5E5F"/>
    <w:rsid w:val="002F6012"/>
    <w:rsid w:val="002F60C7"/>
    <w:rsid w:val="002F632E"/>
    <w:rsid w:val="002F656A"/>
    <w:rsid w:val="002F65A6"/>
    <w:rsid w:val="002F65C4"/>
    <w:rsid w:val="002F65FC"/>
    <w:rsid w:val="002F66C3"/>
    <w:rsid w:val="002F68AB"/>
    <w:rsid w:val="002F6A5B"/>
    <w:rsid w:val="002F6B33"/>
    <w:rsid w:val="002F6C65"/>
    <w:rsid w:val="002F6CAB"/>
    <w:rsid w:val="002F6CD0"/>
    <w:rsid w:val="002F6D7F"/>
    <w:rsid w:val="002F6F0C"/>
    <w:rsid w:val="002F6F5B"/>
    <w:rsid w:val="002F716B"/>
    <w:rsid w:val="002F7271"/>
    <w:rsid w:val="002F73D9"/>
    <w:rsid w:val="002F7637"/>
    <w:rsid w:val="002F76EB"/>
    <w:rsid w:val="002F7748"/>
    <w:rsid w:val="002F7797"/>
    <w:rsid w:val="002F78A7"/>
    <w:rsid w:val="002F79F2"/>
    <w:rsid w:val="002F7A11"/>
    <w:rsid w:val="002F7A1A"/>
    <w:rsid w:val="002F7A1F"/>
    <w:rsid w:val="002F7A85"/>
    <w:rsid w:val="002F7BB4"/>
    <w:rsid w:val="002F7C3B"/>
    <w:rsid w:val="002F7D8B"/>
    <w:rsid w:val="002F7D98"/>
    <w:rsid w:val="002F7ECB"/>
    <w:rsid w:val="002F7ED8"/>
    <w:rsid w:val="002F7FFC"/>
    <w:rsid w:val="003001B7"/>
    <w:rsid w:val="00300423"/>
    <w:rsid w:val="0030055C"/>
    <w:rsid w:val="0030068A"/>
    <w:rsid w:val="00300861"/>
    <w:rsid w:val="00300918"/>
    <w:rsid w:val="003009BB"/>
    <w:rsid w:val="00300A19"/>
    <w:rsid w:val="00300ABF"/>
    <w:rsid w:val="00300C55"/>
    <w:rsid w:val="00300C85"/>
    <w:rsid w:val="00300E17"/>
    <w:rsid w:val="00301168"/>
    <w:rsid w:val="0030117B"/>
    <w:rsid w:val="0030139B"/>
    <w:rsid w:val="00301594"/>
    <w:rsid w:val="00301649"/>
    <w:rsid w:val="0030167B"/>
    <w:rsid w:val="00301889"/>
    <w:rsid w:val="0030196B"/>
    <w:rsid w:val="003019EF"/>
    <w:rsid w:val="00301A6F"/>
    <w:rsid w:val="00301A99"/>
    <w:rsid w:val="00301BA6"/>
    <w:rsid w:val="00301CDC"/>
    <w:rsid w:val="00301D13"/>
    <w:rsid w:val="00301D1D"/>
    <w:rsid w:val="00301D2E"/>
    <w:rsid w:val="00301EB2"/>
    <w:rsid w:val="00301ED1"/>
    <w:rsid w:val="00301F2A"/>
    <w:rsid w:val="0030206C"/>
    <w:rsid w:val="00302076"/>
    <w:rsid w:val="00302176"/>
    <w:rsid w:val="003022E1"/>
    <w:rsid w:val="003023DD"/>
    <w:rsid w:val="0030244D"/>
    <w:rsid w:val="0030245B"/>
    <w:rsid w:val="00302510"/>
    <w:rsid w:val="00302529"/>
    <w:rsid w:val="00302531"/>
    <w:rsid w:val="003025BE"/>
    <w:rsid w:val="00302746"/>
    <w:rsid w:val="0030276D"/>
    <w:rsid w:val="00302ADB"/>
    <w:rsid w:val="00302BED"/>
    <w:rsid w:val="00302EF2"/>
    <w:rsid w:val="00302F04"/>
    <w:rsid w:val="00302F14"/>
    <w:rsid w:val="00302FA0"/>
    <w:rsid w:val="00303066"/>
    <w:rsid w:val="00303379"/>
    <w:rsid w:val="003033FC"/>
    <w:rsid w:val="003035F5"/>
    <w:rsid w:val="003038E6"/>
    <w:rsid w:val="00303AFF"/>
    <w:rsid w:val="00303B1B"/>
    <w:rsid w:val="00303B1F"/>
    <w:rsid w:val="00303B28"/>
    <w:rsid w:val="00303C23"/>
    <w:rsid w:val="00303DBE"/>
    <w:rsid w:val="00303E64"/>
    <w:rsid w:val="00303ED6"/>
    <w:rsid w:val="00303F5B"/>
    <w:rsid w:val="00304079"/>
    <w:rsid w:val="003040F7"/>
    <w:rsid w:val="0030426A"/>
    <w:rsid w:val="003042A9"/>
    <w:rsid w:val="0030433F"/>
    <w:rsid w:val="00304433"/>
    <w:rsid w:val="00304479"/>
    <w:rsid w:val="00304571"/>
    <w:rsid w:val="00304634"/>
    <w:rsid w:val="0030470C"/>
    <w:rsid w:val="0030471B"/>
    <w:rsid w:val="00304742"/>
    <w:rsid w:val="00304759"/>
    <w:rsid w:val="003047A8"/>
    <w:rsid w:val="003047CC"/>
    <w:rsid w:val="00304907"/>
    <w:rsid w:val="003049E5"/>
    <w:rsid w:val="00304A6E"/>
    <w:rsid w:val="00304AE6"/>
    <w:rsid w:val="00304C6D"/>
    <w:rsid w:val="00304CD1"/>
    <w:rsid w:val="00304F02"/>
    <w:rsid w:val="00304F27"/>
    <w:rsid w:val="00305247"/>
    <w:rsid w:val="0030529B"/>
    <w:rsid w:val="0030557F"/>
    <w:rsid w:val="00305644"/>
    <w:rsid w:val="00305743"/>
    <w:rsid w:val="00305B7F"/>
    <w:rsid w:val="00305D12"/>
    <w:rsid w:val="00305D8F"/>
    <w:rsid w:val="00305DF9"/>
    <w:rsid w:val="00305E87"/>
    <w:rsid w:val="00306034"/>
    <w:rsid w:val="00306261"/>
    <w:rsid w:val="00306354"/>
    <w:rsid w:val="0030641B"/>
    <w:rsid w:val="003064B5"/>
    <w:rsid w:val="00306534"/>
    <w:rsid w:val="0030653C"/>
    <w:rsid w:val="0030667F"/>
    <w:rsid w:val="003067DB"/>
    <w:rsid w:val="00306869"/>
    <w:rsid w:val="003068D5"/>
    <w:rsid w:val="00306BBA"/>
    <w:rsid w:val="00306C11"/>
    <w:rsid w:val="00306CF7"/>
    <w:rsid w:val="00306D78"/>
    <w:rsid w:val="00306DA2"/>
    <w:rsid w:val="00306DD9"/>
    <w:rsid w:val="00306DDB"/>
    <w:rsid w:val="00306E8E"/>
    <w:rsid w:val="00306F1E"/>
    <w:rsid w:val="00306FA3"/>
    <w:rsid w:val="0030717E"/>
    <w:rsid w:val="00307214"/>
    <w:rsid w:val="003072F2"/>
    <w:rsid w:val="003074EA"/>
    <w:rsid w:val="003077E6"/>
    <w:rsid w:val="003077EF"/>
    <w:rsid w:val="003079AC"/>
    <w:rsid w:val="00307A40"/>
    <w:rsid w:val="00307A52"/>
    <w:rsid w:val="00307C18"/>
    <w:rsid w:val="00307E33"/>
    <w:rsid w:val="00307E41"/>
    <w:rsid w:val="00307F1C"/>
    <w:rsid w:val="00307FA3"/>
    <w:rsid w:val="00307FA6"/>
    <w:rsid w:val="003100F9"/>
    <w:rsid w:val="003101D5"/>
    <w:rsid w:val="003102DD"/>
    <w:rsid w:val="003102E4"/>
    <w:rsid w:val="00310472"/>
    <w:rsid w:val="0031052E"/>
    <w:rsid w:val="0031055C"/>
    <w:rsid w:val="003105D1"/>
    <w:rsid w:val="0031074B"/>
    <w:rsid w:val="00310927"/>
    <w:rsid w:val="003109D1"/>
    <w:rsid w:val="00310A56"/>
    <w:rsid w:val="00310AF8"/>
    <w:rsid w:val="00310CD6"/>
    <w:rsid w:val="00310DCC"/>
    <w:rsid w:val="00310E07"/>
    <w:rsid w:val="00310E93"/>
    <w:rsid w:val="00310EFF"/>
    <w:rsid w:val="00310F61"/>
    <w:rsid w:val="00311045"/>
    <w:rsid w:val="00311113"/>
    <w:rsid w:val="003111CA"/>
    <w:rsid w:val="003111D1"/>
    <w:rsid w:val="00311235"/>
    <w:rsid w:val="003113AE"/>
    <w:rsid w:val="003113C7"/>
    <w:rsid w:val="003113E1"/>
    <w:rsid w:val="00311487"/>
    <w:rsid w:val="003117CB"/>
    <w:rsid w:val="003117E7"/>
    <w:rsid w:val="0031184F"/>
    <w:rsid w:val="003118A2"/>
    <w:rsid w:val="00311A0F"/>
    <w:rsid w:val="00311B77"/>
    <w:rsid w:val="00311BCC"/>
    <w:rsid w:val="00311C97"/>
    <w:rsid w:val="00311CC7"/>
    <w:rsid w:val="00311FA0"/>
    <w:rsid w:val="00311FB7"/>
    <w:rsid w:val="00312039"/>
    <w:rsid w:val="00312094"/>
    <w:rsid w:val="00312457"/>
    <w:rsid w:val="0031267F"/>
    <w:rsid w:val="003126B9"/>
    <w:rsid w:val="00312935"/>
    <w:rsid w:val="00312995"/>
    <w:rsid w:val="00312B34"/>
    <w:rsid w:val="00312B40"/>
    <w:rsid w:val="00312E6A"/>
    <w:rsid w:val="00312EF1"/>
    <w:rsid w:val="00313229"/>
    <w:rsid w:val="00313302"/>
    <w:rsid w:val="00313507"/>
    <w:rsid w:val="0031358E"/>
    <w:rsid w:val="003136CD"/>
    <w:rsid w:val="003137EF"/>
    <w:rsid w:val="00313812"/>
    <w:rsid w:val="0031393B"/>
    <w:rsid w:val="00313AA8"/>
    <w:rsid w:val="00313AD1"/>
    <w:rsid w:val="00313AD2"/>
    <w:rsid w:val="00313AF2"/>
    <w:rsid w:val="00313B52"/>
    <w:rsid w:val="00313B59"/>
    <w:rsid w:val="00313BF2"/>
    <w:rsid w:val="00313E79"/>
    <w:rsid w:val="003140C7"/>
    <w:rsid w:val="0031426A"/>
    <w:rsid w:val="003142D2"/>
    <w:rsid w:val="003143D8"/>
    <w:rsid w:val="00314406"/>
    <w:rsid w:val="00314492"/>
    <w:rsid w:val="00314629"/>
    <w:rsid w:val="003146FF"/>
    <w:rsid w:val="003147AA"/>
    <w:rsid w:val="00314832"/>
    <w:rsid w:val="003148E8"/>
    <w:rsid w:val="00314976"/>
    <w:rsid w:val="00314A17"/>
    <w:rsid w:val="00314C01"/>
    <w:rsid w:val="00314C3F"/>
    <w:rsid w:val="00314CB9"/>
    <w:rsid w:val="00314CBA"/>
    <w:rsid w:val="00314D18"/>
    <w:rsid w:val="00314D84"/>
    <w:rsid w:val="00315020"/>
    <w:rsid w:val="0031503D"/>
    <w:rsid w:val="00315127"/>
    <w:rsid w:val="00315176"/>
    <w:rsid w:val="0031517A"/>
    <w:rsid w:val="003151EE"/>
    <w:rsid w:val="00315286"/>
    <w:rsid w:val="003153C4"/>
    <w:rsid w:val="00315494"/>
    <w:rsid w:val="003154C8"/>
    <w:rsid w:val="0031577B"/>
    <w:rsid w:val="003157DB"/>
    <w:rsid w:val="0031586C"/>
    <w:rsid w:val="003158EF"/>
    <w:rsid w:val="003159CA"/>
    <w:rsid w:val="00315A40"/>
    <w:rsid w:val="00315CE1"/>
    <w:rsid w:val="00315D92"/>
    <w:rsid w:val="00315DC4"/>
    <w:rsid w:val="00315F40"/>
    <w:rsid w:val="00315F55"/>
    <w:rsid w:val="003164B1"/>
    <w:rsid w:val="003164FE"/>
    <w:rsid w:val="00316562"/>
    <w:rsid w:val="00316564"/>
    <w:rsid w:val="00316696"/>
    <w:rsid w:val="003166EF"/>
    <w:rsid w:val="00316739"/>
    <w:rsid w:val="0031677E"/>
    <w:rsid w:val="0031685E"/>
    <w:rsid w:val="003169AC"/>
    <w:rsid w:val="00316A9D"/>
    <w:rsid w:val="00316BB9"/>
    <w:rsid w:val="00316E1D"/>
    <w:rsid w:val="00316EEE"/>
    <w:rsid w:val="0031710E"/>
    <w:rsid w:val="0031723F"/>
    <w:rsid w:val="0031740B"/>
    <w:rsid w:val="00317551"/>
    <w:rsid w:val="00317733"/>
    <w:rsid w:val="00317837"/>
    <w:rsid w:val="003178FD"/>
    <w:rsid w:val="00317902"/>
    <w:rsid w:val="00317A1C"/>
    <w:rsid w:val="00317A84"/>
    <w:rsid w:val="00317AFF"/>
    <w:rsid w:val="00317B4E"/>
    <w:rsid w:val="00317C20"/>
    <w:rsid w:val="00317C5F"/>
    <w:rsid w:val="00317E69"/>
    <w:rsid w:val="00317EBD"/>
    <w:rsid w:val="00317F19"/>
    <w:rsid w:val="00317FDF"/>
    <w:rsid w:val="00320020"/>
    <w:rsid w:val="00320118"/>
    <w:rsid w:val="00320175"/>
    <w:rsid w:val="00320236"/>
    <w:rsid w:val="003203BB"/>
    <w:rsid w:val="00320828"/>
    <w:rsid w:val="003208BC"/>
    <w:rsid w:val="0032099F"/>
    <w:rsid w:val="003209A8"/>
    <w:rsid w:val="003209C0"/>
    <w:rsid w:val="00320A60"/>
    <w:rsid w:val="00320A6A"/>
    <w:rsid w:val="00320CDF"/>
    <w:rsid w:val="00320D14"/>
    <w:rsid w:val="00320D74"/>
    <w:rsid w:val="00320DB1"/>
    <w:rsid w:val="00320EC6"/>
    <w:rsid w:val="00320EC8"/>
    <w:rsid w:val="00321110"/>
    <w:rsid w:val="00321118"/>
    <w:rsid w:val="00321127"/>
    <w:rsid w:val="0032116F"/>
    <w:rsid w:val="00321170"/>
    <w:rsid w:val="003211B6"/>
    <w:rsid w:val="003212EF"/>
    <w:rsid w:val="00321339"/>
    <w:rsid w:val="0032133B"/>
    <w:rsid w:val="00321537"/>
    <w:rsid w:val="0032160F"/>
    <w:rsid w:val="003216C2"/>
    <w:rsid w:val="003216E5"/>
    <w:rsid w:val="0032173A"/>
    <w:rsid w:val="0032176F"/>
    <w:rsid w:val="00321848"/>
    <w:rsid w:val="0032191C"/>
    <w:rsid w:val="003219D0"/>
    <w:rsid w:val="00321B8A"/>
    <w:rsid w:val="00321B96"/>
    <w:rsid w:val="00321C3A"/>
    <w:rsid w:val="00321DD3"/>
    <w:rsid w:val="00321EB2"/>
    <w:rsid w:val="00321F13"/>
    <w:rsid w:val="00321FF0"/>
    <w:rsid w:val="00321FF7"/>
    <w:rsid w:val="00322034"/>
    <w:rsid w:val="0032205C"/>
    <w:rsid w:val="00322289"/>
    <w:rsid w:val="00322433"/>
    <w:rsid w:val="003224B9"/>
    <w:rsid w:val="003224EE"/>
    <w:rsid w:val="00322622"/>
    <w:rsid w:val="0032279A"/>
    <w:rsid w:val="00322823"/>
    <w:rsid w:val="00322846"/>
    <w:rsid w:val="0032287E"/>
    <w:rsid w:val="003228FD"/>
    <w:rsid w:val="00322AAF"/>
    <w:rsid w:val="00322AB1"/>
    <w:rsid w:val="00322DAC"/>
    <w:rsid w:val="00322EAC"/>
    <w:rsid w:val="00322FA4"/>
    <w:rsid w:val="00323028"/>
    <w:rsid w:val="00323072"/>
    <w:rsid w:val="0032359F"/>
    <w:rsid w:val="00323664"/>
    <w:rsid w:val="0032377F"/>
    <w:rsid w:val="00323858"/>
    <w:rsid w:val="003238F7"/>
    <w:rsid w:val="00323B24"/>
    <w:rsid w:val="00323B45"/>
    <w:rsid w:val="00323C6F"/>
    <w:rsid w:val="00323D40"/>
    <w:rsid w:val="00323D7D"/>
    <w:rsid w:val="00323DF6"/>
    <w:rsid w:val="00323E61"/>
    <w:rsid w:val="003240BC"/>
    <w:rsid w:val="00324162"/>
    <w:rsid w:val="003242D0"/>
    <w:rsid w:val="003243B9"/>
    <w:rsid w:val="00324487"/>
    <w:rsid w:val="0032469D"/>
    <w:rsid w:val="003246AA"/>
    <w:rsid w:val="003246E1"/>
    <w:rsid w:val="00324A41"/>
    <w:rsid w:val="00324B41"/>
    <w:rsid w:val="00324E9A"/>
    <w:rsid w:val="00324EDC"/>
    <w:rsid w:val="00324F89"/>
    <w:rsid w:val="00324FE5"/>
    <w:rsid w:val="00325042"/>
    <w:rsid w:val="00325064"/>
    <w:rsid w:val="003250E4"/>
    <w:rsid w:val="0032512A"/>
    <w:rsid w:val="00325180"/>
    <w:rsid w:val="00325250"/>
    <w:rsid w:val="003252A9"/>
    <w:rsid w:val="00325393"/>
    <w:rsid w:val="003253CD"/>
    <w:rsid w:val="00325526"/>
    <w:rsid w:val="0032561E"/>
    <w:rsid w:val="00325692"/>
    <w:rsid w:val="00325787"/>
    <w:rsid w:val="003257E2"/>
    <w:rsid w:val="00325846"/>
    <w:rsid w:val="00325953"/>
    <w:rsid w:val="00325959"/>
    <w:rsid w:val="00325B01"/>
    <w:rsid w:val="00325B72"/>
    <w:rsid w:val="00325DDA"/>
    <w:rsid w:val="00325FB8"/>
    <w:rsid w:val="00326174"/>
    <w:rsid w:val="003261B8"/>
    <w:rsid w:val="003261E2"/>
    <w:rsid w:val="00326222"/>
    <w:rsid w:val="0032625C"/>
    <w:rsid w:val="00326375"/>
    <w:rsid w:val="0032642A"/>
    <w:rsid w:val="00326573"/>
    <w:rsid w:val="003265C0"/>
    <w:rsid w:val="0032664C"/>
    <w:rsid w:val="00326775"/>
    <w:rsid w:val="00326787"/>
    <w:rsid w:val="00326927"/>
    <w:rsid w:val="003269EC"/>
    <w:rsid w:val="00326B32"/>
    <w:rsid w:val="00326C78"/>
    <w:rsid w:val="00326D35"/>
    <w:rsid w:val="00326D3A"/>
    <w:rsid w:val="00326D8B"/>
    <w:rsid w:val="00326E3E"/>
    <w:rsid w:val="00326EAD"/>
    <w:rsid w:val="00326F46"/>
    <w:rsid w:val="00327066"/>
    <w:rsid w:val="00327073"/>
    <w:rsid w:val="0032712F"/>
    <w:rsid w:val="00327149"/>
    <w:rsid w:val="00327199"/>
    <w:rsid w:val="003271FB"/>
    <w:rsid w:val="00327217"/>
    <w:rsid w:val="00327308"/>
    <w:rsid w:val="0032767C"/>
    <w:rsid w:val="003277A4"/>
    <w:rsid w:val="003278AA"/>
    <w:rsid w:val="00327A1C"/>
    <w:rsid w:val="00327A9D"/>
    <w:rsid w:val="00327C65"/>
    <w:rsid w:val="00327C6B"/>
    <w:rsid w:val="003300F6"/>
    <w:rsid w:val="003300F9"/>
    <w:rsid w:val="00330120"/>
    <w:rsid w:val="003301B5"/>
    <w:rsid w:val="00330369"/>
    <w:rsid w:val="0033050E"/>
    <w:rsid w:val="0033053F"/>
    <w:rsid w:val="00330AB3"/>
    <w:rsid w:val="00330AB9"/>
    <w:rsid w:val="00330B24"/>
    <w:rsid w:val="00330B85"/>
    <w:rsid w:val="00330BDC"/>
    <w:rsid w:val="00330C1E"/>
    <w:rsid w:val="00330CA7"/>
    <w:rsid w:val="00330CAC"/>
    <w:rsid w:val="00330ED0"/>
    <w:rsid w:val="00331061"/>
    <w:rsid w:val="0033117C"/>
    <w:rsid w:val="00331231"/>
    <w:rsid w:val="0033162C"/>
    <w:rsid w:val="00331988"/>
    <w:rsid w:val="00331A6A"/>
    <w:rsid w:val="00331AE0"/>
    <w:rsid w:val="00331B98"/>
    <w:rsid w:val="00331BAA"/>
    <w:rsid w:val="00331BFA"/>
    <w:rsid w:val="00331D5D"/>
    <w:rsid w:val="00331F13"/>
    <w:rsid w:val="00331FB2"/>
    <w:rsid w:val="0033214B"/>
    <w:rsid w:val="0033224C"/>
    <w:rsid w:val="0033235D"/>
    <w:rsid w:val="003324C5"/>
    <w:rsid w:val="003324DB"/>
    <w:rsid w:val="003324E7"/>
    <w:rsid w:val="00332937"/>
    <w:rsid w:val="00332A6F"/>
    <w:rsid w:val="00332B64"/>
    <w:rsid w:val="00332CDE"/>
    <w:rsid w:val="00332D24"/>
    <w:rsid w:val="00332DF0"/>
    <w:rsid w:val="00332E0B"/>
    <w:rsid w:val="00332EDD"/>
    <w:rsid w:val="00332F1A"/>
    <w:rsid w:val="00333001"/>
    <w:rsid w:val="00333052"/>
    <w:rsid w:val="003331BB"/>
    <w:rsid w:val="003333FE"/>
    <w:rsid w:val="0033357B"/>
    <w:rsid w:val="0033366F"/>
    <w:rsid w:val="003337FA"/>
    <w:rsid w:val="003338CC"/>
    <w:rsid w:val="0033391A"/>
    <w:rsid w:val="00333961"/>
    <w:rsid w:val="003339BC"/>
    <w:rsid w:val="003339E2"/>
    <w:rsid w:val="00333A49"/>
    <w:rsid w:val="00333B29"/>
    <w:rsid w:val="00333C93"/>
    <w:rsid w:val="00333E02"/>
    <w:rsid w:val="00333F90"/>
    <w:rsid w:val="00334052"/>
    <w:rsid w:val="00334113"/>
    <w:rsid w:val="003341B8"/>
    <w:rsid w:val="00334402"/>
    <w:rsid w:val="0033451D"/>
    <w:rsid w:val="00334592"/>
    <w:rsid w:val="003346BD"/>
    <w:rsid w:val="0033473D"/>
    <w:rsid w:val="003348A3"/>
    <w:rsid w:val="00334A7F"/>
    <w:rsid w:val="00334AF7"/>
    <w:rsid w:val="00334C9B"/>
    <w:rsid w:val="00334DE7"/>
    <w:rsid w:val="00334E66"/>
    <w:rsid w:val="00334F6F"/>
    <w:rsid w:val="00335023"/>
    <w:rsid w:val="003350D3"/>
    <w:rsid w:val="00335200"/>
    <w:rsid w:val="00335265"/>
    <w:rsid w:val="00335355"/>
    <w:rsid w:val="00335379"/>
    <w:rsid w:val="00335437"/>
    <w:rsid w:val="00335657"/>
    <w:rsid w:val="00335726"/>
    <w:rsid w:val="00335782"/>
    <w:rsid w:val="00335867"/>
    <w:rsid w:val="0033588C"/>
    <w:rsid w:val="00335945"/>
    <w:rsid w:val="003359C2"/>
    <w:rsid w:val="00335A6E"/>
    <w:rsid w:val="00335C52"/>
    <w:rsid w:val="00335DE5"/>
    <w:rsid w:val="00335E19"/>
    <w:rsid w:val="00335E39"/>
    <w:rsid w:val="00335EEE"/>
    <w:rsid w:val="00335F2B"/>
    <w:rsid w:val="00335FD5"/>
    <w:rsid w:val="00336204"/>
    <w:rsid w:val="003362C3"/>
    <w:rsid w:val="003365FF"/>
    <w:rsid w:val="00336605"/>
    <w:rsid w:val="0033662E"/>
    <w:rsid w:val="003366C6"/>
    <w:rsid w:val="003369EA"/>
    <w:rsid w:val="00336B37"/>
    <w:rsid w:val="00336D1C"/>
    <w:rsid w:val="00336D9E"/>
    <w:rsid w:val="00336EA6"/>
    <w:rsid w:val="00336F55"/>
    <w:rsid w:val="0033702D"/>
    <w:rsid w:val="00337134"/>
    <w:rsid w:val="00337403"/>
    <w:rsid w:val="003374FB"/>
    <w:rsid w:val="0033754B"/>
    <w:rsid w:val="0033754E"/>
    <w:rsid w:val="0033761B"/>
    <w:rsid w:val="003377CF"/>
    <w:rsid w:val="003378B8"/>
    <w:rsid w:val="00337AA0"/>
    <w:rsid w:val="00337AC6"/>
    <w:rsid w:val="00337FB4"/>
    <w:rsid w:val="003400BC"/>
    <w:rsid w:val="00340218"/>
    <w:rsid w:val="0034030F"/>
    <w:rsid w:val="00340436"/>
    <w:rsid w:val="00340772"/>
    <w:rsid w:val="00340778"/>
    <w:rsid w:val="003407D8"/>
    <w:rsid w:val="0034081A"/>
    <w:rsid w:val="003408AB"/>
    <w:rsid w:val="0034097B"/>
    <w:rsid w:val="003409FB"/>
    <w:rsid w:val="00340C46"/>
    <w:rsid w:val="00340CFB"/>
    <w:rsid w:val="00340D0D"/>
    <w:rsid w:val="00340D14"/>
    <w:rsid w:val="00340D29"/>
    <w:rsid w:val="00340EFE"/>
    <w:rsid w:val="00340FD4"/>
    <w:rsid w:val="0034118E"/>
    <w:rsid w:val="003411B2"/>
    <w:rsid w:val="003414EB"/>
    <w:rsid w:val="00341785"/>
    <w:rsid w:val="003417DD"/>
    <w:rsid w:val="003418F4"/>
    <w:rsid w:val="00341935"/>
    <w:rsid w:val="00341B88"/>
    <w:rsid w:val="00341E3F"/>
    <w:rsid w:val="00341FEB"/>
    <w:rsid w:val="00341FFA"/>
    <w:rsid w:val="003420FE"/>
    <w:rsid w:val="003421F7"/>
    <w:rsid w:val="00342495"/>
    <w:rsid w:val="0034249B"/>
    <w:rsid w:val="003425FD"/>
    <w:rsid w:val="003426BE"/>
    <w:rsid w:val="003426E9"/>
    <w:rsid w:val="003427ED"/>
    <w:rsid w:val="00342A17"/>
    <w:rsid w:val="00342B0B"/>
    <w:rsid w:val="00342BC7"/>
    <w:rsid w:val="00342BDA"/>
    <w:rsid w:val="00342DC0"/>
    <w:rsid w:val="00342FA1"/>
    <w:rsid w:val="00343069"/>
    <w:rsid w:val="00343080"/>
    <w:rsid w:val="003431E8"/>
    <w:rsid w:val="00343339"/>
    <w:rsid w:val="00343462"/>
    <w:rsid w:val="003434CF"/>
    <w:rsid w:val="00343556"/>
    <w:rsid w:val="00343628"/>
    <w:rsid w:val="0034385F"/>
    <w:rsid w:val="00343AC8"/>
    <w:rsid w:val="00343ADB"/>
    <w:rsid w:val="00343B48"/>
    <w:rsid w:val="00343CD7"/>
    <w:rsid w:val="00343DEF"/>
    <w:rsid w:val="00343ED3"/>
    <w:rsid w:val="00344067"/>
    <w:rsid w:val="003442FC"/>
    <w:rsid w:val="00344442"/>
    <w:rsid w:val="003445AE"/>
    <w:rsid w:val="00344692"/>
    <w:rsid w:val="003446EF"/>
    <w:rsid w:val="003446F3"/>
    <w:rsid w:val="003447AC"/>
    <w:rsid w:val="003447F0"/>
    <w:rsid w:val="00344949"/>
    <w:rsid w:val="00344A74"/>
    <w:rsid w:val="00344B18"/>
    <w:rsid w:val="00344C14"/>
    <w:rsid w:val="00344C33"/>
    <w:rsid w:val="003450A7"/>
    <w:rsid w:val="003450BA"/>
    <w:rsid w:val="0034514D"/>
    <w:rsid w:val="0034517B"/>
    <w:rsid w:val="003451C5"/>
    <w:rsid w:val="00345218"/>
    <w:rsid w:val="00345345"/>
    <w:rsid w:val="0034537F"/>
    <w:rsid w:val="0034543F"/>
    <w:rsid w:val="003454A3"/>
    <w:rsid w:val="003454D7"/>
    <w:rsid w:val="003455FA"/>
    <w:rsid w:val="00345628"/>
    <w:rsid w:val="00345815"/>
    <w:rsid w:val="00345CB4"/>
    <w:rsid w:val="00345D10"/>
    <w:rsid w:val="00345F8E"/>
    <w:rsid w:val="003462D1"/>
    <w:rsid w:val="003462F8"/>
    <w:rsid w:val="0034640A"/>
    <w:rsid w:val="003465DF"/>
    <w:rsid w:val="00346659"/>
    <w:rsid w:val="00346801"/>
    <w:rsid w:val="00346887"/>
    <w:rsid w:val="00346979"/>
    <w:rsid w:val="00346A94"/>
    <w:rsid w:val="00346B6A"/>
    <w:rsid w:val="00346F87"/>
    <w:rsid w:val="00346FD1"/>
    <w:rsid w:val="00346FD8"/>
    <w:rsid w:val="0034700C"/>
    <w:rsid w:val="00347061"/>
    <w:rsid w:val="0034727A"/>
    <w:rsid w:val="00347407"/>
    <w:rsid w:val="0034741B"/>
    <w:rsid w:val="0034746A"/>
    <w:rsid w:val="00347671"/>
    <w:rsid w:val="003476A6"/>
    <w:rsid w:val="003476E6"/>
    <w:rsid w:val="0034770C"/>
    <w:rsid w:val="003477C6"/>
    <w:rsid w:val="00347874"/>
    <w:rsid w:val="003478FC"/>
    <w:rsid w:val="00347A3D"/>
    <w:rsid w:val="00347AE7"/>
    <w:rsid w:val="00347B3F"/>
    <w:rsid w:val="00347B5D"/>
    <w:rsid w:val="00347CD2"/>
    <w:rsid w:val="00347DBF"/>
    <w:rsid w:val="00347DF2"/>
    <w:rsid w:val="00347EEE"/>
    <w:rsid w:val="00347F06"/>
    <w:rsid w:val="00347F1F"/>
    <w:rsid w:val="00347F2D"/>
    <w:rsid w:val="00347F9B"/>
    <w:rsid w:val="00347FD1"/>
    <w:rsid w:val="0035015C"/>
    <w:rsid w:val="00350184"/>
    <w:rsid w:val="0035025D"/>
    <w:rsid w:val="003505C8"/>
    <w:rsid w:val="00350681"/>
    <w:rsid w:val="0035075E"/>
    <w:rsid w:val="0035081C"/>
    <w:rsid w:val="00350A0C"/>
    <w:rsid w:val="00350A55"/>
    <w:rsid w:val="00350D08"/>
    <w:rsid w:val="00350D46"/>
    <w:rsid w:val="00350DFD"/>
    <w:rsid w:val="00350ECB"/>
    <w:rsid w:val="00350FBA"/>
    <w:rsid w:val="003510A3"/>
    <w:rsid w:val="00351373"/>
    <w:rsid w:val="003513AB"/>
    <w:rsid w:val="00351408"/>
    <w:rsid w:val="003514CF"/>
    <w:rsid w:val="0035151B"/>
    <w:rsid w:val="0035165A"/>
    <w:rsid w:val="0035168D"/>
    <w:rsid w:val="003518DB"/>
    <w:rsid w:val="00351B27"/>
    <w:rsid w:val="00351C30"/>
    <w:rsid w:val="00351D4D"/>
    <w:rsid w:val="00351D96"/>
    <w:rsid w:val="00351E3D"/>
    <w:rsid w:val="00351F26"/>
    <w:rsid w:val="00351F71"/>
    <w:rsid w:val="00351FE8"/>
    <w:rsid w:val="00352086"/>
    <w:rsid w:val="0035225A"/>
    <w:rsid w:val="00352328"/>
    <w:rsid w:val="0035232D"/>
    <w:rsid w:val="003524A3"/>
    <w:rsid w:val="00352526"/>
    <w:rsid w:val="00352569"/>
    <w:rsid w:val="003526CF"/>
    <w:rsid w:val="003527C8"/>
    <w:rsid w:val="003527EC"/>
    <w:rsid w:val="00352ACD"/>
    <w:rsid w:val="00352B30"/>
    <w:rsid w:val="00352D84"/>
    <w:rsid w:val="00352DAE"/>
    <w:rsid w:val="00352DDC"/>
    <w:rsid w:val="00352EA8"/>
    <w:rsid w:val="0035308A"/>
    <w:rsid w:val="003530CC"/>
    <w:rsid w:val="003531C9"/>
    <w:rsid w:val="00353403"/>
    <w:rsid w:val="0035352A"/>
    <w:rsid w:val="003535B6"/>
    <w:rsid w:val="00353708"/>
    <w:rsid w:val="0035381B"/>
    <w:rsid w:val="00353921"/>
    <w:rsid w:val="0035397C"/>
    <w:rsid w:val="00353B6C"/>
    <w:rsid w:val="00353D61"/>
    <w:rsid w:val="00353F23"/>
    <w:rsid w:val="00353FD6"/>
    <w:rsid w:val="003540AD"/>
    <w:rsid w:val="00354238"/>
    <w:rsid w:val="0035425F"/>
    <w:rsid w:val="00354283"/>
    <w:rsid w:val="00354521"/>
    <w:rsid w:val="00354575"/>
    <w:rsid w:val="003545F9"/>
    <w:rsid w:val="0035465B"/>
    <w:rsid w:val="0035468A"/>
    <w:rsid w:val="003546D8"/>
    <w:rsid w:val="00354803"/>
    <w:rsid w:val="00354889"/>
    <w:rsid w:val="0035499F"/>
    <w:rsid w:val="00354B33"/>
    <w:rsid w:val="00354C14"/>
    <w:rsid w:val="00354C9B"/>
    <w:rsid w:val="00354D71"/>
    <w:rsid w:val="0035503B"/>
    <w:rsid w:val="003550EF"/>
    <w:rsid w:val="00355100"/>
    <w:rsid w:val="00355280"/>
    <w:rsid w:val="0035567C"/>
    <w:rsid w:val="003556D6"/>
    <w:rsid w:val="00355785"/>
    <w:rsid w:val="0035581F"/>
    <w:rsid w:val="00355844"/>
    <w:rsid w:val="00355892"/>
    <w:rsid w:val="0035589D"/>
    <w:rsid w:val="003559AC"/>
    <w:rsid w:val="00355A33"/>
    <w:rsid w:val="00355A5E"/>
    <w:rsid w:val="00355A79"/>
    <w:rsid w:val="00355B00"/>
    <w:rsid w:val="00355C52"/>
    <w:rsid w:val="00355C65"/>
    <w:rsid w:val="00355C74"/>
    <w:rsid w:val="00355CA4"/>
    <w:rsid w:val="00355D54"/>
    <w:rsid w:val="00355DDC"/>
    <w:rsid w:val="00355E3A"/>
    <w:rsid w:val="00355EBE"/>
    <w:rsid w:val="00355F44"/>
    <w:rsid w:val="00355F4D"/>
    <w:rsid w:val="00355FA1"/>
    <w:rsid w:val="00356019"/>
    <w:rsid w:val="003560F2"/>
    <w:rsid w:val="003560FD"/>
    <w:rsid w:val="003561B1"/>
    <w:rsid w:val="003561BE"/>
    <w:rsid w:val="00356220"/>
    <w:rsid w:val="003563A9"/>
    <w:rsid w:val="003563C1"/>
    <w:rsid w:val="0035644A"/>
    <w:rsid w:val="00356535"/>
    <w:rsid w:val="003565D3"/>
    <w:rsid w:val="003565D8"/>
    <w:rsid w:val="003565E8"/>
    <w:rsid w:val="00356619"/>
    <w:rsid w:val="003566E9"/>
    <w:rsid w:val="00356701"/>
    <w:rsid w:val="00356789"/>
    <w:rsid w:val="00356904"/>
    <w:rsid w:val="003569DF"/>
    <w:rsid w:val="00356B16"/>
    <w:rsid w:val="00356B41"/>
    <w:rsid w:val="00356CA0"/>
    <w:rsid w:val="00356CE6"/>
    <w:rsid w:val="00356CF0"/>
    <w:rsid w:val="00356D18"/>
    <w:rsid w:val="00356D4C"/>
    <w:rsid w:val="00356D7B"/>
    <w:rsid w:val="00356F2C"/>
    <w:rsid w:val="00357015"/>
    <w:rsid w:val="00357269"/>
    <w:rsid w:val="00357471"/>
    <w:rsid w:val="003574FB"/>
    <w:rsid w:val="0035770F"/>
    <w:rsid w:val="00357787"/>
    <w:rsid w:val="00357B77"/>
    <w:rsid w:val="00360090"/>
    <w:rsid w:val="003602CF"/>
    <w:rsid w:val="0036040D"/>
    <w:rsid w:val="003604FD"/>
    <w:rsid w:val="0036050F"/>
    <w:rsid w:val="00360528"/>
    <w:rsid w:val="003606B8"/>
    <w:rsid w:val="0036077A"/>
    <w:rsid w:val="00360786"/>
    <w:rsid w:val="0036079C"/>
    <w:rsid w:val="003609FE"/>
    <w:rsid w:val="00360A00"/>
    <w:rsid w:val="00360D3D"/>
    <w:rsid w:val="00360DC3"/>
    <w:rsid w:val="00360F6D"/>
    <w:rsid w:val="0036107B"/>
    <w:rsid w:val="003610B2"/>
    <w:rsid w:val="003610E2"/>
    <w:rsid w:val="00361189"/>
    <w:rsid w:val="0036145E"/>
    <w:rsid w:val="003614A4"/>
    <w:rsid w:val="003614FB"/>
    <w:rsid w:val="00361536"/>
    <w:rsid w:val="00361621"/>
    <w:rsid w:val="003616CA"/>
    <w:rsid w:val="003617A4"/>
    <w:rsid w:val="003618B3"/>
    <w:rsid w:val="003618C3"/>
    <w:rsid w:val="003619AF"/>
    <w:rsid w:val="00361A29"/>
    <w:rsid w:val="00361B6B"/>
    <w:rsid w:val="00361C1F"/>
    <w:rsid w:val="00361C2D"/>
    <w:rsid w:val="00361C62"/>
    <w:rsid w:val="00361C8C"/>
    <w:rsid w:val="00361CB6"/>
    <w:rsid w:val="00361CE0"/>
    <w:rsid w:val="00361EEC"/>
    <w:rsid w:val="00361F84"/>
    <w:rsid w:val="00361FC6"/>
    <w:rsid w:val="00362028"/>
    <w:rsid w:val="0036203C"/>
    <w:rsid w:val="00362343"/>
    <w:rsid w:val="003623B5"/>
    <w:rsid w:val="00362497"/>
    <w:rsid w:val="0036250B"/>
    <w:rsid w:val="00362640"/>
    <w:rsid w:val="0036267B"/>
    <w:rsid w:val="003626F6"/>
    <w:rsid w:val="0036280C"/>
    <w:rsid w:val="00362944"/>
    <w:rsid w:val="003629FC"/>
    <w:rsid w:val="00362BFF"/>
    <w:rsid w:val="00362C9D"/>
    <w:rsid w:val="00362EFB"/>
    <w:rsid w:val="00362FB6"/>
    <w:rsid w:val="00362FEC"/>
    <w:rsid w:val="00363049"/>
    <w:rsid w:val="0036308B"/>
    <w:rsid w:val="003630BA"/>
    <w:rsid w:val="00363223"/>
    <w:rsid w:val="00363241"/>
    <w:rsid w:val="0036368D"/>
    <w:rsid w:val="00363700"/>
    <w:rsid w:val="00363A0E"/>
    <w:rsid w:val="00363C99"/>
    <w:rsid w:val="00363DC5"/>
    <w:rsid w:val="00363DFC"/>
    <w:rsid w:val="00363F93"/>
    <w:rsid w:val="00364056"/>
    <w:rsid w:val="00364077"/>
    <w:rsid w:val="0036408C"/>
    <w:rsid w:val="003641BF"/>
    <w:rsid w:val="00364246"/>
    <w:rsid w:val="0036441B"/>
    <w:rsid w:val="003644C5"/>
    <w:rsid w:val="003644DD"/>
    <w:rsid w:val="0036463E"/>
    <w:rsid w:val="003649D6"/>
    <w:rsid w:val="003649EF"/>
    <w:rsid w:val="00364BF8"/>
    <w:rsid w:val="00364CD4"/>
    <w:rsid w:val="00364DD3"/>
    <w:rsid w:val="00365025"/>
    <w:rsid w:val="0036502F"/>
    <w:rsid w:val="00365200"/>
    <w:rsid w:val="0036531D"/>
    <w:rsid w:val="0036536B"/>
    <w:rsid w:val="0036544C"/>
    <w:rsid w:val="00365464"/>
    <w:rsid w:val="00365513"/>
    <w:rsid w:val="003656C1"/>
    <w:rsid w:val="003656ED"/>
    <w:rsid w:val="003656FE"/>
    <w:rsid w:val="00365799"/>
    <w:rsid w:val="00365A32"/>
    <w:rsid w:val="00365A7B"/>
    <w:rsid w:val="00365B90"/>
    <w:rsid w:val="00365CC0"/>
    <w:rsid w:val="00365CDC"/>
    <w:rsid w:val="00365D3F"/>
    <w:rsid w:val="00365E9E"/>
    <w:rsid w:val="00365ECC"/>
    <w:rsid w:val="003660ED"/>
    <w:rsid w:val="00366138"/>
    <w:rsid w:val="0036624B"/>
    <w:rsid w:val="003664B4"/>
    <w:rsid w:val="0036656A"/>
    <w:rsid w:val="00366593"/>
    <w:rsid w:val="003665B3"/>
    <w:rsid w:val="00366623"/>
    <w:rsid w:val="00366735"/>
    <w:rsid w:val="00366859"/>
    <w:rsid w:val="0036687C"/>
    <w:rsid w:val="00366925"/>
    <w:rsid w:val="0036697E"/>
    <w:rsid w:val="00366985"/>
    <w:rsid w:val="00366A4B"/>
    <w:rsid w:val="00366D8E"/>
    <w:rsid w:val="00366DD4"/>
    <w:rsid w:val="00366EF8"/>
    <w:rsid w:val="0036716C"/>
    <w:rsid w:val="003672A5"/>
    <w:rsid w:val="00367587"/>
    <w:rsid w:val="00367640"/>
    <w:rsid w:val="00367755"/>
    <w:rsid w:val="003678EF"/>
    <w:rsid w:val="0036791C"/>
    <w:rsid w:val="00367953"/>
    <w:rsid w:val="003679EF"/>
    <w:rsid w:val="00367A42"/>
    <w:rsid w:val="00367BFB"/>
    <w:rsid w:val="00367EA3"/>
    <w:rsid w:val="00370089"/>
    <w:rsid w:val="003700BB"/>
    <w:rsid w:val="003700F9"/>
    <w:rsid w:val="0037016F"/>
    <w:rsid w:val="0037019B"/>
    <w:rsid w:val="0037023D"/>
    <w:rsid w:val="003702BD"/>
    <w:rsid w:val="0037036B"/>
    <w:rsid w:val="00370497"/>
    <w:rsid w:val="0037061A"/>
    <w:rsid w:val="0037065D"/>
    <w:rsid w:val="003707F3"/>
    <w:rsid w:val="00370800"/>
    <w:rsid w:val="0037080E"/>
    <w:rsid w:val="003709D1"/>
    <w:rsid w:val="00370A0C"/>
    <w:rsid w:val="00370C12"/>
    <w:rsid w:val="00370C69"/>
    <w:rsid w:val="00370DBA"/>
    <w:rsid w:val="00370E59"/>
    <w:rsid w:val="00370F43"/>
    <w:rsid w:val="0037138C"/>
    <w:rsid w:val="003714DA"/>
    <w:rsid w:val="0037154C"/>
    <w:rsid w:val="003717CF"/>
    <w:rsid w:val="003719F4"/>
    <w:rsid w:val="003719FA"/>
    <w:rsid w:val="00371A50"/>
    <w:rsid w:val="00371A7D"/>
    <w:rsid w:val="00371AB5"/>
    <w:rsid w:val="00371D04"/>
    <w:rsid w:val="00372128"/>
    <w:rsid w:val="00372153"/>
    <w:rsid w:val="00372217"/>
    <w:rsid w:val="00372493"/>
    <w:rsid w:val="003724CC"/>
    <w:rsid w:val="0037256F"/>
    <w:rsid w:val="00372684"/>
    <w:rsid w:val="00372766"/>
    <w:rsid w:val="00372AB1"/>
    <w:rsid w:val="00372B52"/>
    <w:rsid w:val="00372BCF"/>
    <w:rsid w:val="00372E3C"/>
    <w:rsid w:val="00372F70"/>
    <w:rsid w:val="00373237"/>
    <w:rsid w:val="0037340C"/>
    <w:rsid w:val="00373497"/>
    <w:rsid w:val="003737F8"/>
    <w:rsid w:val="0037381B"/>
    <w:rsid w:val="00373854"/>
    <w:rsid w:val="00373878"/>
    <w:rsid w:val="00373AE7"/>
    <w:rsid w:val="00373B0F"/>
    <w:rsid w:val="00373DA3"/>
    <w:rsid w:val="00373E0D"/>
    <w:rsid w:val="00373E24"/>
    <w:rsid w:val="00373E95"/>
    <w:rsid w:val="00374018"/>
    <w:rsid w:val="00374142"/>
    <w:rsid w:val="003741A0"/>
    <w:rsid w:val="003741C3"/>
    <w:rsid w:val="00374210"/>
    <w:rsid w:val="00374229"/>
    <w:rsid w:val="0037424D"/>
    <w:rsid w:val="003745E1"/>
    <w:rsid w:val="00374919"/>
    <w:rsid w:val="003749B9"/>
    <w:rsid w:val="00374A5A"/>
    <w:rsid w:val="00374B39"/>
    <w:rsid w:val="00374D07"/>
    <w:rsid w:val="00374D71"/>
    <w:rsid w:val="00374D9A"/>
    <w:rsid w:val="00374DA1"/>
    <w:rsid w:val="0037510C"/>
    <w:rsid w:val="00375124"/>
    <w:rsid w:val="003751C5"/>
    <w:rsid w:val="0037523C"/>
    <w:rsid w:val="003753D2"/>
    <w:rsid w:val="00375466"/>
    <w:rsid w:val="00375526"/>
    <w:rsid w:val="00375582"/>
    <w:rsid w:val="003755F1"/>
    <w:rsid w:val="0037591A"/>
    <w:rsid w:val="00375924"/>
    <w:rsid w:val="003759D3"/>
    <w:rsid w:val="003759EB"/>
    <w:rsid w:val="00375A39"/>
    <w:rsid w:val="00375ABA"/>
    <w:rsid w:val="00375C8A"/>
    <w:rsid w:val="00375D86"/>
    <w:rsid w:val="00375E2F"/>
    <w:rsid w:val="00375F23"/>
    <w:rsid w:val="00375FAB"/>
    <w:rsid w:val="0037604C"/>
    <w:rsid w:val="00376059"/>
    <w:rsid w:val="00376151"/>
    <w:rsid w:val="00376171"/>
    <w:rsid w:val="003761B2"/>
    <w:rsid w:val="0037626F"/>
    <w:rsid w:val="00376323"/>
    <w:rsid w:val="0037632D"/>
    <w:rsid w:val="00376507"/>
    <w:rsid w:val="00376762"/>
    <w:rsid w:val="00376864"/>
    <w:rsid w:val="0037689F"/>
    <w:rsid w:val="0037690F"/>
    <w:rsid w:val="00376A71"/>
    <w:rsid w:val="00376AC9"/>
    <w:rsid w:val="00376B09"/>
    <w:rsid w:val="00376BCB"/>
    <w:rsid w:val="00376C4F"/>
    <w:rsid w:val="00376D51"/>
    <w:rsid w:val="00376F09"/>
    <w:rsid w:val="00377179"/>
    <w:rsid w:val="0037720F"/>
    <w:rsid w:val="00377233"/>
    <w:rsid w:val="00377253"/>
    <w:rsid w:val="003772CE"/>
    <w:rsid w:val="0037740A"/>
    <w:rsid w:val="003774DC"/>
    <w:rsid w:val="00377559"/>
    <w:rsid w:val="00377571"/>
    <w:rsid w:val="003776B6"/>
    <w:rsid w:val="003777BA"/>
    <w:rsid w:val="003777C9"/>
    <w:rsid w:val="00377E64"/>
    <w:rsid w:val="00377E67"/>
    <w:rsid w:val="00377F16"/>
    <w:rsid w:val="00377F28"/>
    <w:rsid w:val="00377F9E"/>
    <w:rsid w:val="00377FAC"/>
    <w:rsid w:val="00380064"/>
    <w:rsid w:val="003800B1"/>
    <w:rsid w:val="00380171"/>
    <w:rsid w:val="00380306"/>
    <w:rsid w:val="0038031E"/>
    <w:rsid w:val="003804FB"/>
    <w:rsid w:val="00380527"/>
    <w:rsid w:val="00380576"/>
    <w:rsid w:val="003805FD"/>
    <w:rsid w:val="003807C0"/>
    <w:rsid w:val="003808DE"/>
    <w:rsid w:val="0038096D"/>
    <w:rsid w:val="0038098E"/>
    <w:rsid w:val="003809A2"/>
    <w:rsid w:val="00380BBC"/>
    <w:rsid w:val="00380BC7"/>
    <w:rsid w:val="00380C1D"/>
    <w:rsid w:val="00380C63"/>
    <w:rsid w:val="00380DFD"/>
    <w:rsid w:val="00380F64"/>
    <w:rsid w:val="0038108C"/>
    <w:rsid w:val="0038128C"/>
    <w:rsid w:val="003812EF"/>
    <w:rsid w:val="003813CC"/>
    <w:rsid w:val="003813D8"/>
    <w:rsid w:val="003814DF"/>
    <w:rsid w:val="00381572"/>
    <w:rsid w:val="00381621"/>
    <w:rsid w:val="0038171A"/>
    <w:rsid w:val="00381882"/>
    <w:rsid w:val="0038198A"/>
    <w:rsid w:val="003819D1"/>
    <w:rsid w:val="003819D5"/>
    <w:rsid w:val="00381AE8"/>
    <w:rsid w:val="00381AFD"/>
    <w:rsid w:val="00381BAE"/>
    <w:rsid w:val="00381BCF"/>
    <w:rsid w:val="00381CCD"/>
    <w:rsid w:val="00381D07"/>
    <w:rsid w:val="00381D70"/>
    <w:rsid w:val="00381DF5"/>
    <w:rsid w:val="00381DF8"/>
    <w:rsid w:val="00381FBF"/>
    <w:rsid w:val="0038202C"/>
    <w:rsid w:val="0038204A"/>
    <w:rsid w:val="00382066"/>
    <w:rsid w:val="003820A4"/>
    <w:rsid w:val="00382142"/>
    <w:rsid w:val="003821FF"/>
    <w:rsid w:val="003824F4"/>
    <w:rsid w:val="003824FB"/>
    <w:rsid w:val="0038255D"/>
    <w:rsid w:val="00382561"/>
    <w:rsid w:val="00382575"/>
    <w:rsid w:val="0038258A"/>
    <w:rsid w:val="003825AE"/>
    <w:rsid w:val="00382818"/>
    <w:rsid w:val="0038289A"/>
    <w:rsid w:val="0038296A"/>
    <w:rsid w:val="00382BF2"/>
    <w:rsid w:val="00382C6A"/>
    <w:rsid w:val="00382CA2"/>
    <w:rsid w:val="00382D8B"/>
    <w:rsid w:val="00383018"/>
    <w:rsid w:val="0038303D"/>
    <w:rsid w:val="00383249"/>
    <w:rsid w:val="00383250"/>
    <w:rsid w:val="00383274"/>
    <w:rsid w:val="003833AB"/>
    <w:rsid w:val="003834AE"/>
    <w:rsid w:val="003835AD"/>
    <w:rsid w:val="00383772"/>
    <w:rsid w:val="0038385A"/>
    <w:rsid w:val="00383896"/>
    <w:rsid w:val="00383996"/>
    <w:rsid w:val="00383A64"/>
    <w:rsid w:val="00383C30"/>
    <w:rsid w:val="00383EE1"/>
    <w:rsid w:val="003840BC"/>
    <w:rsid w:val="003841C6"/>
    <w:rsid w:val="003843DF"/>
    <w:rsid w:val="00384733"/>
    <w:rsid w:val="003849AC"/>
    <w:rsid w:val="00384A40"/>
    <w:rsid w:val="00384A86"/>
    <w:rsid w:val="00384ADD"/>
    <w:rsid w:val="00384B50"/>
    <w:rsid w:val="00384CE2"/>
    <w:rsid w:val="00384CF6"/>
    <w:rsid w:val="00384E65"/>
    <w:rsid w:val="00384ED0"/>
    <w:rsid w:val="00384FBA"/>
    <w:rsid w:val="00385024"/>
    <w:rsid w:val="00385102"/>
    <w:rsid w:val="00385193"/>
    <w:rsid w:val="003851C6"/>
    <w:rsid w:val="0038524E"/>
    <w:rsid w:val="0038534E"/>
    <w:rsid w:val="00385382"/>
    <w:rsid w:val="0038541E"/>
    <w:rsid w:val="003855FC"/>
    <w:rsid w:val="00385782"/>
    <w:rsid w:val="00385996"/>
    <w:rsid w:val="003859DA"/>
    <w:rsid w:val="00385A11"/>
    <w:rsid w:val="00385A7C"/>
    <w:rsid w:val="00385AC8"/>
    <w:rsid w:val="00385F23"/>
    <w:rsid w:val="00385F5E"/>
    <w:rsid w:val="0038608F"/>
    <w:rsid w:val="003861D5"/>
    <w:rsid w:val="003862D8"/>
    <w:rsid w:val="00386538"/>
    <w:rsid w:val="0038654B"/>
    <w:rsid w:val="003865FC"/>
    <w:rsid w:val="003868D4"/>
    <w:rsid w:val="00386AB5"/>
    <w:rsid w:val="00386B2C"/>
    <w:rsid w:val="00386BDE"/>
    <w:rsid w:val="00386E1B"/>
    <w:rsid w:val="00386FCD"/>
    <w:rsid w:val="0038700B"/>
    <w:rsid w:val="0038702D"/>
    <w:rsid w:val="0038728B"/>
    <w:rsid w:val="003872C3"/>
    <w:rsid w:val="00387423"/>
    <w:rsid w:val="003875E6"/>
    <w:rsid w:val="00387739"/>
    <w:rsid w:val="0038779B"/>
    <w:rsid w:val="003878BB"/>
    <w:rsid w:val="00387938"/>
    <w:rsid w:val="00387B56"/>
    <w:rsid w:val="00387CFE"/>
    <w:rsid w:val="00387D3C"/>
    <w:rsid w:val="0039003B"/>
    <w:rsid w:val="00390141"/>
    <w:rsid w:val="0039038C"/>
    <w:rsid w:val="0039039F"/>
    <w:rsid w:val="003903B8"/>
    <w:rsid w:val="003903DF"/>
    <w:rsid w:val="003904C7"/>
    <w:rsid w:val="0039056C"/>
    <w:rsid w:val="00390646"/>
    <w:rsid w:val="00390831"/>
    <w:rsid w:val="00390872"/>
    <w:rsid w:val="0039091A"/>
    <w:rsid w:val="00390EBB"/>
    <w:rsid w:val="00391079"/>
    <w:rsid w:val="00391171"/>
    <w:rsid w:val="0039118C"/>
    <w:rsid w:val="003911DD"/>
    <w:rsid w:val="00391253"/>
    <w:rsid w:val="003912F1"/>
    <w:rsid w:val="00391444"/>
    <w:rsid w:val="00391467"/>
    <w:rsid w:val="00391511"/>
    <w:rsid w:val="0039168F"/>
    <w:rsid w:val="00391712"/>
    <w:rsid w:val="0039184E"/>
    <w:rsid w:val="00391888"/>
    <w:rsid w:val="00391936"/>
    <w:rsid w:val="00391994"/>
    <w:rsid w:val="00391C11"/>
    <w:rsid w:val="00391DE8"/>
    <w:rsid w:val="00391EC0"/>
    <w:rsid w:val="00391EDF"/>
    <w:rsid w:val="00391FB6"/>
    <w:rsid w:val="00391FC7"/>
    <w:rsid w:val="003920A9"/>
    <w:rsid w:val="003921C5"/>
    <w:rsid w:val="00392207"/>
    <w:rsid w:val="0039228C"/>
    <w:rsid w:val="00392502"/>
    <w:rsid w:val="00392550"/>
    <w:rsid w:val="0039265E"/>
    <w:rsid w:val="00392669"/>
    <w:rsid w:val="003926EF"/>
    <w:rsid w:val="0039276B"/>
    <w:rsid w:val="003927C5"/>
    <w:rsid w:val="00392880"/>
    <w:rsid w:val="00392A23"/>
    <w:rsid w:val="00392AC0"/>
    <w:rsid w:val="00392D51"/>
    <w:rsid w:val="00392D72"/>
    <w:rsid w:val="00392F1B"/>
    <w:rsid w:val="00392F5E"/>
    <w:rsid w:val="00392F73"/>
    <w:rsid w:val="00393006"/>
    <w:rsid w:val="00393027"/>
    <w:rsid w:val="003932E3"/>
    <w:rsid w:val="00393343"/>
    <w:rsid w:val="00393347"/>
    <w:rsid w:val="003934A8"/>
    <w:rsid w:val="003935D1"/>
    <w:rsid w:val="003935E3"/>
    <w:rsid w:val="00393773"/>
    <w:rsid w:val="00393839"/>
    <w:rsid w:val="00393C9E"/>
    <w:rsid w:val="00393F03"/>
    <w:rsid w:val="00393F3C"/>
    <w:rsid w:val="00394062"/>
    <w:rsid w:val="003940F2"/>
    <w:rsid w:val="0039410F"/>
    <w:rsid w:val="00394198"/>
    <w:rsid w:val="00394489"/>
    <w:rsid w:val="003944F1"/>
    <w:rsid w:val="003945CB"/>
    <w:rsid w:val="0039465E"/>
    <w:rsid w:val="0039494C"/>
    <w:rsid w:val="00394A2C"/>
    <w:rsid w:val="00394B68"/>
    <w:rsid w:val="00394BBE"/>
    <w:rsid w:val="00394C83"/>
    <w:rsid w:val="00394CC1"/>
    <w:rsid w:val="00394D4E"/>
    <w:rsid w:val="00394E82"/>
    <w:rsid w:val="00394EFB"/>
    <w:rsid w:val="00394FC5"/>
    <w:rsid w:val="00394FDF"/>
    <w:rsid w:val="0039502A"/>
    <w:rsid w:val="00395455"/>
    <w:rsid w:val="00395478"/>
    <w:rsid w:val="003955E1"/>
    <w:rsid w:val="00395701"/>
    <w:rsid w:val="00395766"/>
    <w:rsid w:val="0039599F"/>
    <w:rsid w:val="00395D7D"/>
    <w:rsid w:val="00395DBA"/>
    <w:rsid w:val="00395E32"/>
    <w:rsid w:val="00395F66"/>
    <w:rsid w:val="00395FAB"/>
    <w:rsid w:val="00395FEA"/>
    <w:rsid w:val="00396046"/>
    <w:rsid w:val="00396082"/>
    <w:rsid w:val="0039612C"/>
    <w:rsid w:val="003961A3"/>
    <w:rsid w:val="003961D4"/>
    <w:rsid w:val="00396311"/>
    <w:rsid w:val="00396318"/>
    <w:rsid w:val="00396357"/>
    <w:rsid w:val="003963A0"/>
    <w:rsid w:val="003963B7"/>
    <w:rsid w:val="003963F4"/>
    <w:rsid w:val="00396446"/>
    <w:rsid w:val="0039648C"/>
    <w:rsid w:val="0039648E"/>
    <w:rsid w:val="0039649B"/>
    <w:rsid w:val="003965C0"/>
    <w:rsid w:val="0039684B"/>
    <w:rsid w:val="00396B77"/>
    <w:rsid w:val="00396D11"/>
    <w:rsid w:val="00396DA2"/>
    <w:rsid w:val="00396F8E"/>
    <w:rsid w:val="0039701C"/>
    <w:rsid w:val="0039714B"/>
    <w:rsid w:val="003972C7"/>
    <w:rsid w:val="0039744F"/>
    <w:rsid w:val="00397473"/>
    <w:rsid w:val="00397549"/>
    <w:rsid w:val="0039766E"/>
    <w:rsid w:val="00397825"/>
    <w:rsid w:val="003978D7"/>
    <w:rsid w:val="0039794C"/>
    <w:rsid w:val="00397A5E"/>
    <w:rsid w:val="00397AE4"/>
    <w:rsid w:val="00397AF8"/>
    <w:rsid w:val="00397E1E"/>
    <w:rsid w:val="00397E77"/>
    <w:rsid w:val="00397EB8"/>
    <w:rsid w:val="00397F64"/>
    <w:rsid w:val="00397FE6"/>
    <w:rsid w:val="003A00BD"/>
    <w:rsid w:val="003A0115"/>
    <w:rsid w:val="003A0128"/>
    <w:rsid w:val="003A0178"/>
    <w:rsid w:val="003A0299"/>
    <w:rsid w:val="003A02AD"/>
    <w:rsid w:val="003A040F"/>
    <w:rsid w:val="003A0547"/>
    <w:rsid w:val="003A064A"/>
    <w:rsid w:val="003A08E3"/>
    <w:rsid w:val="003A0A13"/>
    <w:rsid w:val="003A0A6A"/>
    <w:rsid w:val="003A0A75"/>
    <w:rsid w:val="003A0B9C"/>
    <w:rsid w:val="003A0BA8"/>
    <w:rsid w:val="003A0D35"/>
    <w:rsid w:val="003A0FBD"/>
    <w:rsid w:val="003A10A0"/>
    <w:rsid w:val="003A10AD"/>
    <w:rsid w:val="003A111E"/>
    <w:rsid w:val="003A1200"/>
    <w:rsid w:val="003A122E"/>
    <w:rsid w:val="003A1277"/>
    <w:rsid w:val="003A13C3"/>
    <w:rsid w:val="003A149B"/>
    <w:rsid w:val="003A14CD"/>
    <w:rsid w:val="003A1626"/>
    <w:rsid w:val="003A1639"/>
    <w:rsid w:val="003A1662"/>
    <w:rsid w:val="003A1668"/>
    <w:rsid w:val="003A1756"/>
    <w:rsid w:val="003A1958"/>
    <w:rsid w:val="003A19F2"/>
    <w:rsid w:val="003A1A3E"/>
    <w:rsid w:val="003A1AA8"/>
    <w:rsid w:val="003A1B38"/>
    <w:rsid w:val="003A1D94"/>
    <w:rsid w:val="003A1DA7"/>
    <w:rsid w:val="003A1DB3"/>
    <w:rsid w:val="003A1DDC"/>
    <w:rsid w:val="003A1EFD"/>
    <w:rsid w:val="003A1F5D"/>
    <w:rsid w:val="003A23D2"/>
    <w:rsid w:val="003A266F"/>
    <w:rsid w:val="003A2684"/>
    <w:rsid w:val="003A2760"/>
    <w:rsid w:val="003A2940"/>
    <w:rsid w:val="003A29DA"/>
    <w:rsid w:val="003A2ED4"/>
    <w:rsid w:val="003A2FBF"/>
    <w:rsid w:val="003A300D"/>
    <w:rsid w:val="003A30F0"/>
    <w:rsid w:val="003A3151"/>
    <w:rsid w:val="003A320A"/>
    <w:rsid w:val="003A3271"/>
    <w:rsid w:val="003A3476"/>
    <w:rsid w:val="003A3539"/>
    <w:rsid w:val="003A360A"/>
    <w:rsid w:val="003A3616"/>
    <w:rsid w:val="003A361D"/>
    <w:rsid w:val="003A3674"/>
    <w:rsid w:val="003A370B"/>
    <w:rsid w:val="003A388E"/>
    <w:rsid w:val="003A389B"/>
    <w:rsid w:val="003A3952"/>
    <w:rsid w:val="003A3A06"/>
    <w:rsid w:val="003A3A54"/>
    <w:rsid w:val="003A3AB4"/>
    <w:rsid w:val="003A3CAD"/>
    <w:rsid w:val="003A3D72"/>
    <w:rsid w:val="003A3DBB"/>
    <w:rsid w:val="003A3E31"/>
    <w:rsid w:val="003A3E49"/>
    <w:rsid w:val="003A3F04"/>
    <w:rsid w:val="003A3F88"/>
    <w:rsid w:val="003A4028"/>
    <w:rsid w:val="003A424A"/>
    <w:rsid w:val="003A4268"/>
    <w:rsid w:val="003A427C"/>
    <w:rsid w:val="003A429C"/>
    <w:rsid w:val="003A44CB"/>
    <w:rsid w:val="003A4688"/>
    <w:rsid w:val="003A46AB"/>
    <w:rsid w:val="003A4880"/>
    <w:rsid w:val="003A4913"/>
    <w:rsid w:val="003A49C2"/>
    <w:rsid w:val="003A4AF2"/>
    <w:rsid w:val="003A4B7E"/>
    <w:rsid w:val="003A4CB2"/>
    <w:rsid w:val="003A4CF5"/>
    <w:rsid w:val="003A4F32"/>
    <w:rsid w:val="003A5278"/>
    <w:rsid w:val="003A55B2"/>
    <w:rsid w:val="003A560A"/>
    <w:rsid w:val="003A566B"/>
    <w:rsid w:val="003A57C1"/>
    <w:rsid w:val="003A5AB4"/>
    <w:rsid w:val="003A5EB3"/>
    <w:rsid w:val="003A5FE9"/>
    <w:rsid w:val="003A6194"/>
    <w:rsid w:val="003A62A6"/>
    <w:rsid w:val="003A6316"/>
    <w:rsid w:val="003A633E"/>
    <w:rsid w:val="003A6355"/>
    <w:rsid w:val="003A6377"/>
    <w:rsid w:val="003A6383"/>
    <w:rsid w:val="003A6512"/>
    <w:rsid w:val="003A6541"/>
    <w:rsid w:val="003A65AD"/>
    <w:rsid w:val="003A6612"/>
    <w:rsid w:val="003A6745"/>
    <w:rsid w:val="003A6813"/>
    <w:rsid w:val="003A6978"/>
    <w:rsid w:val="003A6B4E"/>
    <w:rsid w:val="003A6C7A"/>
    <w:rsid w:val="003A7286"/>
    <w:rsid w:val="003A7804"/>
    <w:rsid w:val="003A782E"/>
    <w:rsid w:val="003A788D"/>
    <w:rsid w:val="003A79DF"/>
    <w:rsid w:val="003A7A0A"/>
    <w:rsid w:val="003A7BB9"/>
    <w:rsid w:val="003A7D87"/>
    <w:rsid w:val="003A7E3A"/>
    <w:rsid w:val="003B01D5"/>
    <w:rsid w:val="003B0367"/>
    <w:rsid w:val="003B03D6"/>
    <w:rsid w:val="003B0600"/>
    <w:rsid w:val="003B0718"/>
    <w:rsid w:val="003B09DC"/>
    <w:rsid w:val="003B0B84"/>
    <w:rsid w:val="003B0EA2"/>
    <w:rsid w:val="003B0EBA"/>
    <w:rsid w:val="003B0F2E"/>
    <w:rsid w:val="003B1250"/>
    <w:rsid w:val="003B12BF"/>
    <w:rsid w:val="003B14B8"/>
    <w:rsid w:val="003B1628"/>
    <w:rsid w:val="003B16DE"/>
    <w:rsid w:val="003B172A"/>
    <w:rsid w:val="003B172C"/>
    <w:rsid w:val="003B1788"/>
    <w:rsid w:val="003B17BF"/>
    <w:rsid w:val="003B18E7"/>
    <w:rsid w:val="003B196F"/>
    <w:rsid w:val="003B1B0D"/>
    <w:rsid w:val="003B1B48"/>
    <w:rsid w:val="003B1B85"/>
    <w:rsid w:val="003B1B87"/>
    <w:rsid w:val="003B1BF7"/>
    <w:rsid w:val="003B1C1B"/>
    <w:rsid w:val="003B1C75"/>
    <w:rsid w:val="003B1DA4"/>
    <w:rsid w:val="003B1DD7"/>
    <w:rsid w:val="003B20C4"/>
    <w:rsid w:val="003B21BA"/>
    <w:rsid w:val="003B21FB"/>
    <w:rsid w:val="003B2412"/>
    <w:rsid w:val="003B25BD"/>
    <w:rsid w:val="003B2747"/>
    <w:rsid w:val="003B274E"/>
    <w:rsid w:val="003B27A7"/>
    <w:rsid w:val="003B28D7"/>
    <w:rsid w:val="003B2A4D"/>
    <w:rsid w:val="003B2B9A"/>
    <w:rsid w:val="003B2BB2"/>
    <w:rsid w:val="003B2BD8"/>
    <w:rsid w:val="003B2C0B"/>
    <w:rsid w:val="003B2C5A"/>
    <w:rsid w:val="003B30AE"/>
    <w:rsid w:val="003B322B"/>
    <w:rsid w:val="003B3399"/>
    <w:rsid w:val="003B3428"/>
    <w:rsid w:val="003B356B"/>
    <w:rsid w:val="003B367D"/>
    <w:rsid w:val="003B37DE"/>
    <w:rsid w:val="003B3819"/>
    <w:rsid w:val="003B3893"/>
    <w:rsid w:val="003B3985"/>
    <w:rsid w:val="003B3A49"/>
    <w:rsid w:val="003B3B64"/>
    <w:rsid w:val="003B3C0A"/>
    <w:rsid w:val="003B3C81"/>
    <w:rsid w:val="003B3D4A"/>
    <w:rsid w:val="003B3E28"/>
    <w:rsid w:val="003B3EE1"/>
    <w:rsid w:val="003B4119"/>
    <w:rsid w:val="003B4187"/>
    <w:rsid w:val="003B41A8"/>
    <w:rsid w:val="003B41BD"/>
    <w:rsid w:val="003B4302"/>
    <w:rsid w:val="003B437A"/>
    <w:rsid w:val="003B43C1"/>
    <w:rsid w:val="003B43FA"/>
    <w:rsid w:val="003B4471"/>
    <w:rsid w:val="003B453E"/>
    <w:rsid w:val="003B4583"/>
    <w:rsid w:val="003B45AD"/>
    <w:rsid w:val="003B45B4"/>
    <w:rsid w:val="003B464C"/>
    <w:rsid w:val="003B4696"/>
    <w:rsid w:val="003B46E3"/>
    <w:rsid w:val="003B46F0"/>
    <w:rsid w:val="003B4813"/>
    <w:rsid w:val="003B4898"/>
    <w:rsid w:val="003B49E6"/>
    <w:rsid w:val="003B4C06"/>
    <w:rsid w:val="003B4C30"/>
    <w:rsid w:val="003B4CE4"/>
    <w:rsid w:val="003B4CF5"/>
    <w:rsid w:val="003B4E42"/>
    <w:rsid w:val="003B4FA3"/>
    <w:rsid w:val="003B53E8"/>
    <w:rsid w:val="003B54A5"/>
    <w:rsid w:val="003B54BA"/>
    <w:rsid w:val="003B557F"/>
    <w:rsid w:val="003B566D"/>
    <w:rsid w:val="003B5697"/>
    <w:rsid w:val="003B58B9"/>
    <w:rsid w:val="003B5904"/>
    <w:rsid w:val="003B5A3F"/>
    <w:rsid w:val="003B5A4F"/>
    <w:rsid w:val="003B5A51"/>
    <w:rsid w:val="003B5C3D"/>
    <w:rsid w:val="003B5CE1"/>
    <w:rsid w:val="003B5D40"/>
    <w:rsid w:val="003B5E1D"/>
    <w:rsid w:val="003B5E26"/>
    <w:rsid w:val="003B5ED6"/>
    <w:rsid w:val="003B5FD9"/>
    <w:rsid w:val="003B6023"/>
    <w:rsid w:val="003B6049"/>
    <w:rsid w:val="003B60E1"/>
    <w:rsid w:val="003B6154"/>
    <w:rsid w:val="003B62B0"/>
    <w:rsid w:val="003B62E0"/>
    <w:rsid w:val="003B635F"/>
    <w:rsid w:val="003B6386"/>
    <w:rsid w:val="003B642B"/>
    <w:rsid w:val="003B666A"/>
    <w:rsid w:val="003B68C0"/>
    <w:rsid w:val="003B68C8"/>
    <w:rsid w:val="003B692E"/>
    <w:rsid w:val="003B69D5"/>
    <w:rsid w:val="003B6BC3"/>
    <w:rsid w:val="003B6C6D"/>
    <w:rsid w:val="003B6CD9"/>
    <w:rsid w:val="003B6CE2"/>
    <w:rsid w:val="003B6D4D"/>
    <w:rsid w:val="003B6D94"/>
    <w:rsid w:val="003B6EB2"/>
    <w:rsid w:val="003B6F64"/>
    <w:rsid w:val="003B6F80"/>
    <w:rsid w:val="003B6F8C"/>
    <w:rsid w:val="003B722C"/>
    <w:rsid w:val="003B7331"/>
    <w:rsid w:val="003B758D"/>
    <w:rsid w:val="003B799E"/>
    <w:rsid w:val="003B79A1"/>
    <w:rsid w:val="003B79AF"/>
    <w:rsid w:val="003B79C9"/>
    <w:rsid w:val="003B7E7D"/>
    <w:rsid w:val="003B7EB0"/>
    <w:rsid w:val="003C0071"/>
    <w:rsid w:val="003C019F"/>
    <w:rsid w:val="003C01C9"/>
    <w:rsid w:val="003C01D7"/>
    <w:rsid w:val="003C0225"/>
    <w:rsid w:val="003C03EF"/>
    <w:rsid w:val="003C041B"/>
    <w:rsid w:val="003C0441"/>
    <w:rsid w:val="003C0516"/>
    <w:rsid w:val="003C05C4"/>
    <w:rsid w:val="003C05F9"/>
    <w:rsid w:val="003C06CE"/>
    <w:rsid w:val="003C0843"/>
    <w:rsid w:val="003C08DA"/>
    <w:rsid w:val="003C0955"/>
    <w:rsid w:val="003C0970"/>
    <w:rsid w:val="003C0A96"/>
    <w:rsid w:val="003C0C5A"/>
    <w:rsid w:val="003C0CD1"/>
    <w:rsid w:val="003C0E45"/>
    <w:rsid w:val="003C0F10"/>
    <w:rsid w:val="003C0F65"/>
    <w:rsid w:val="003C105E"/>
    <w:rsid w:val="003C1159"/>
    <w:rsid w:val="003C155F"/>
    <w:rsid w:val="003C15F5"/>
    <w:rsid w:val="003C16AD"/>
    <w:rsid w:val="003C1700"/>
    <w:rsid w:val="003C1772"/>
    <w:rsid w:val="003C17AA"/>
    <w:rsid w:val="003C188A"/>
    <w:rsid w:val="003C1920"/>
    <w:rsid w:val="003C1BF3"/>
    <w:rsid w:val="003C1D07"/>
    <w:rsid w:val="003C1D2C"/>
    <w:rsid w:val="003C1E3F"/>
    <w:rsid w:val="003C1EFE"/>
    <w:rsid w:val="003C224C"/>
    <w:rsid w:val="003C2324"/>
    <w:rsid w:val="003C2535"/>
    <w:rsid w:val="003C262B"/>
    <w:rsid w:val="003C26B0"/>
    <w:rsid w:val="003C271C"/>
    <w:rsid w:val="003C27D2"/>
    <w:rsid w:val="003C27F8"/>
    <w:rsid w:val="003C2842"/>
    <w:rsid w:val="003C2A9C"/>
    <w:rsid w:val="003C2D0F"/>
    <w:rsid w:val="003C2E51"/>
    <w:rsid w:val="003C2EBF"/>
    <w:rsid w:val="003C305C"/>
    <w:rsid w:val="003C31F6"/>
    <w:rsid w:val="003C3324"/>
    <w:rsid w:val="003C3369"/>
    <w:rsid w:val="003C336F"/>
    <w:rsid w:val="003C33AF"/>
    <w:rsid w:val="003C33B2"/>
    <w:rsid w:val="003C33F9"/>
    <w:rsid w:val="003C3400"/>
    <w:rsid w:val="003C35AE"/>
    <w:rsid w:val="003C3644"/>
    <w:rsid w:val="003C3774"/>
    <w:rsid w:val="003C39AB"/>
    <w:rsid w:val="003C3A35"/>
    <w:rsid w:val="003C3C92"/>
    <w:rsid w:val="003C3D10"/>
    <w:rsid w:val="003C3D66"/>
    <w:rsid w:val="003C3D81"/>
    <w:rsid w:val="003C3DF6"/>
    <w:rsid w:val="003C3E93"/>
    <w:rsid w:val="003C4128"/>
    <w:rsid w:val="003C41ED"/>
    <w:rsid w:val="003C4466"/>
    <w:rsid w:val="003C46F6"/>
    <w:rsid w:val="003C4737"/>
    <w:rsid w:val="003C4967"/>
    <w:rsid w:val="003C4A6E"/>
    <w:rsid w:val="003C4BE3"/>
    <w:rsid w:val="003C4CCF"/>
    <w:rsid w:val="003C4CD3"/>
    <w:rsid w:val="003C4D23"/>
    <w:rsid w:val="003C4D43"/>
    <w:rsid w:val="003C4D78"/>
    <w:rsid w:val="003C4DD6"/>
    <w:rsid w:val="003C4EEF"/>
    <w:rsid w:val="003C4F0A"/>
    <w:rsid w:val="003C4F5B"/>
    <w:rsid w:val="003C5070"/>
    <w:rsid w:val="003C5072"/>
    <w:rsid w:val="003C50D6"/>
    <w:rsid w:val="003C5111"/>
    <w:rsid w:val="003C514A"/>
    <w:rsid w:val="003C5166"/>
    <w:rsid w:val="003C519F"/>
    <w:rsid w:val="003C5244"/>
    <w:rsid w:val="003C544F"/>
    <w:rsid w:val="003C5488"/>
    <w:rsid w:val="003C548A"/>
    <w:rsid w:val="003C54BC"/>
    <w:rsid w:val="003C5534"/>
    <w:rsid w:val="003C5550"/>
    <w:rsid w:val="003C55A0"/>
    <w:rsid w:val="003C5710"/>
    <w:rsid w:val="003C5826"/>
    <w:rsid w:val="003C584C"/>
    <w:rsid w:val="003C58B0"/>
    <w:rsid w:val="003C590B"/>
    <w:rsid w:val="003C5A45"/>
    <w:rsid w:val="003C5BAE"/>
    <w:rsid w:val="003C5C70"/>
    <w:rsid w:val="003C5DA5"/>
    <w:rsid w:val="003C5E3A"/>
    <w:rsid w:val="003C5F7A"/>
    <w:rsid w:val="003C605E"/>
    <w:rsid w:val="003C6127"/>
    <w:rsid w:val="003C62E7"/>
    <w:rsid w:val="003C63D0"/>
    <w:rsid w:val="003C6465"/>
    <w:rsid w:val="003C649F"/>
    <w:rsid w:val="003C672C"/>
    <w:rsid w:val="003C672D"/>
    <w:rsid w:val="003C6757"/>
    <w:rsid w:val="003C691D"/>
    <w:rsid w:val="003C6965"/>
    <w:rsid w:val="003C69A3"/>
    <w:rsid w:val="003C6A6E"/>
    <w:rsid w:val="003C6AE8"/>
    <w:rsid w:val="003C6B43"/>
    <w:rsid w:val="003C6BA3"/>
    <w:rsid w:val="003C6C65"/>
    <w:rsid w:val="003C6E39"/>
    <w:rsid w:val="003C6F00"/>
    <w:rsid w:val="003C6F9E"/>
    <w:rsid w:val="003C73B4"/>
    <w:rsid w:val="003C7476"/>
    <w:rsid w:val="003C749E"/>
    <w:rsid w:val="003C7504"/>
    <w:rsid w:val="003C79CF"/>
    <w:rsid w:val="003C7CA2"/>
    <w:rsid w:val="003C7DF8"/>
    <w:rsid w:val="003C7E75"/>
    <w:rsid w:val="003C7F92"/>
    <w:rsid w:val="003C7F9B"/>
    <w:rsid w:val="003D0142"/>
    <w:rsid w:val="003D017C"/>
    <w:rsid w:val="003D0313"/>
    <w:rsid w:val="003D03E0"/>
    <w:rsid w:val="003D04B7"/>
    <w:rsid w:val="003D05A6"/>
    <w:rsid w:val="003D06CF"/>
    <w:rsid w:val="003D07FF"/>
    <w:rsid w:val="003D0857"/>
    <w:rsid w:val="003D0B8A"/>
    <w:rsid w:val="003D0B93"/>
    <w:rsid w:val="003D1068"/>
    <w:rsid w:val="003D112F"/>
    <w:rsid w:val="003D1158"/>
    <w:rsid w:val="003D1296"/>
    <w:rsid w:val="003D130F"/>
    <w:rsid w:val="003D136B"/>
    <w:rsid w:val="003D13BE"/>
    <w:rsid w:val="003D13D6"/>
    <w:rsid w:val="003D1442"/>
    <w:rsid w:val="003D14B6"/>
    <w:rsid w:val="003D1607"/>
    <w:rsid w:val="003D1632"/>
    <w:rsid w:val="003D1768"/>
    <w:rsid w:val="003D17EC"/>
    <w:rsid w:val="003D17FD"/>
    <w:rsid w:val="003D1890"/>
    <w:rsid w:val="003D190D"/>
    <w:rsid w:val="003D1AAD"/>
    <w:rsid w:val="003D1AD2"/>
    <w:rsid w:val="003D1B22"/>
    <w:rsid w:val="003D1C2D"/>
    <w:rsid w:val="003D1CBF"/>
    <w:rsid w:val="003D1D69"/>
    <w:rsid w:val="003D1E16"/>
    <w:rsid w:val="003D1EEA"/>
    <w:rsid w:val="003D1F71"/>
    <w:rsid w:val="003D23F0"/>
    <w:rsid w:val="003D241D"/>
    <w:rsid w:val="003D246A"/>
    <w:rsid w:val="003D24F5"/>
    <w:rsid w:val="003D25D1"/>
    <w:rsid w:val="003D27DC"/>
    <w:rsid w:val="003D2B9A"/>
    <w:rsid w:val="003D2C4D"/>
    <w:rsid w:val="003D2C85"/>
    <w:rsid w:val="003D2CDA"/>
    <w:rsid w:val="003D2D09"/>
    <w:rsid w:val="003D2D92"/>
    <w:rsid w:val="003D2DBF"/>
    <w:rsid w:val="003D305B"/>
    <w:rsid w:val="003D3083"/>
    <w:rsid w:val="003D3203"/>
    <w:rsid w:val="003D343D"/>
    <w:rsid w:val="003D348A"/>
    <w:rsid w:val="003D34DD"/>
    <w:rsid w:val="003D35B5"/>
    <w:rsid w:val="003D36A1"/>
    <w:rsid w:val="003D3DD4"/>
    <w:rsid w:val="003D3DDF"/>
    <w:rsid w:val="003D417F"/>
    <w:rsid w:val="003D41F2"/>
    <w:rsid w:val="003D42B4"/>
    <w:rsid w:val="003D4309"/>
    <w:rsid w:val="003D4450"/>
    <w:rsid w:val="003D4711"/>
    <w:rsid w:val="003D4793"/>
    <w:rsid w:val="003D47C4"/>
    <w:rsid w:val="003D4A24"/>
    <w:rsid w:val="003D4B10"/>
    <w:rsid w:val="003D4BC6"/>
    <w:rsid w:val="003D4DD4"/>
    <w:rsid w:val="003D4EBC"/>
    <w:rsid w:val="003D4F6B"/>
    <w:rsid w:val="003D4FB0"/>
    <w:rsid w:val="003D502F"/>
    <w:rsid w:val="003D50D8"/>
    <w:rsid w:val="003D5146"/>
    <w:rsid w:val="003D5160"/>
    <w:rsid w:val="003D553E"/>
    <w:rsid w:val="003D56FE"/>
    <w:rsid w:val="003D57C6"/>
    <w:rsid w:val="003D5897"/>
    <w:rsid w:val="003D5A2D"/>
    <w:rsid w:val="003D5A64"/>
    <w:rsid w:val="003D5AAE"/>
    <w:rsid w:val="003D5ADC"/>
    <w:rsid w:val="003D5BFE"/>
    <w:rsid w:val="003D5D3E"/>
    <w:rsid w:val="003D5D47"/>
    <w:rsid w:val="003D5D81"/>
    <w:rsid w:val="003D5E16"/>
    <w:rsid w:val="003D5F01"/>
    <w:rsid w:val="003D633E"/>
    <w:rsid w:val="003D6401"/>
    <w:rsid w:val="003D6439"/>
    <w:rsid w:val="003D65A4"/>
    <w:rsid w:val="003D661F"/>
    <w:rsid w:val="003D667B"/>
    <w:rsid w:val="003D6720"/>
    <w:rsid w:val="003D681A"/>
    <w:rsid w:val="003D6980"/>
    <w:rsid w:val="003D6A44"/>
    <w:rsid w:val="003D6A52"/>
    <w:rsid w:val="003D6AA1"/>
    <w:rsid w:val="003D6E5F"/>
    <w:rsid w:val="003D6E66"/>
    <w:rsid w:val="003D6ED7"/>
    <w:rsid w:val="003D6F8A"/>
    <w:rsid w:val="003D707A"/>
    <w:rsid w:val="003D7147"/>
    <w:rsid w:val="003D742A"/>
    <w:rsid w:val="003D7447"/>
    <w:rsid w:val="003D759B"/>
    <w:rsid w:val="003D7660"/>
    <w:rsid w:val="003D770F"/>
    <w:rsid w:val="003D7779"/>
    <w:rsid w:val="003D7943"/>
    <w:rsid w:val="003D794A"/>
    <w:rsid w:val="003D7AA8"/>
    <w:rsid w:val="003D7C3C"/>
    <w:rsid w:val="003D7C41"/>
    <w:rsid w:val="003D7CB6"/>
    <w:rsid w:val="003D7F51"/>
    <w:rsid w:val="003D7FBB"/>
    <w:rsid w:val="003E0057"/>
    <w:rsid w:val="003E00D5"/>
    <w:rsid w:val="003E01CF"/>
    <w:rsid w:val="003E02F6"/>
    <w:rsid w:val="003E03DD"/>
    <w:rsid w:val="003E04E7"/>
    <w:rsid w:val="003E0528"/>
    <w:rsid w:val="003E052A"/>
    <w:rsid w:val="003E055F"/>
    <w:rsid w:val="003E059C"/>
    <w:rsid w:val="003E05EF"/>
    <w:rsid w:val="003E05F4"/>
    <w:rsid w:val="003E0677"/>
    <w:rsid w:val="003E067F"/>
    <w:rsid w:val="003E0935"/>
    <w:rsid w:val="003E0A0D"/>
    <w:rsid w:val="003E0A12"/>
    <w:rsid w:val="003E0B27"/>
    <w:rsid w:val="003E0BC0"/>
    <w:rsid w:val="003E0E4D"/>
    <w:rsid w:val="003E0F67"/>
    <w:rsid w:val="003E0FA6"/>
    <w:rsid w:val="003E113D"/>
    <w:rsid w:val="003E129B"/>
    <w:rsid w:val="003E12BF"/>
    <w:rsid w:val="003E12F9"/>
    <w:rsid w:val="003E1424"/>
    <w:rsid w:val="003E18AC"/>
    <w:rsid w:val="003E18C4"/>
    <w:rsid w:val="003E19CD"/>
    <w:rsid w:val="003E19F0"/>
    <w:rsid w:val="003E1A6C"/>
    <w:rsid w:val="003E1AED"/>
    <w:rsid w:val="003E1B8D"/>
    <w:rsid w:val="003E1BE1"/>
    <w:rsid w:val="003E1E3C"/>
    <w:rsid w:val="003E1FD1"/>
    <w:rsid w:val="003E2446"/>
    <w:rsid w:val="003E2614"/>
    <w:rsid w:val="003E2672"/>
    <w:rsid w:val="003E2697"/>
    <w:rsid w:val="003E2785"/>
    <w:rsid w:val="003E287C"/>
    <w:rsid w:val="003E28E3"/>
    <w:rsid w:val="003E2938"/>
    <w:rsid w:val="003E29D2"/>
    <w:rsid w:val="003E2AA0"/>
    <w:rsid w:val="003E2C08"/>
    <w:rsid w:val="003E2F86"/>
    <w:rsid w:val="003E31A2"/>
    <w:rsid w:val="003E3422"/>
    <w:rsid w:val="003E345C"/>
    <w:rsid w:val="003E359D"/>
    <w:rsid w:val="003E3714"/>
    <w:rsid w:val="003E37FB"/>
    <w:rsid w:val="003E37FD"/>
    <w:rsid w:val="003E38B6"/>
    <w:rsid w:val="003E39A6"/>
    <w:rsid w:val="003E3A8E"/>
    <w:rsid w:val="003E3B05"/>
    <w:rsid w:val="003E3B94"/>
    <w:rsid w:val="003E3EC5"/>
    <w:rsid w:val="003E3F72"/>
    <w:rsid w:val="003E3FC0"/>
    <w:rsid w:val="003E4051"/>
    <w:rsid w:val="003E411C"/>
    <w:rsid w:val="003E4201"/>
    <w:rsid w:val="003E420C"/>
    <w:rsid w:val="003E4212"/>
    <w:rsid w:val="003E4229"/>
    <w:rsid w:val="003E42F1"/>
    <w:rsid w:val="003E44EC"/>
    <w:rsid w:val="003E455F"/>
    <w:rsid w:val="003E45D7"/>
    <w:rsid w:val="003E4823"/>
    <w:rsid w:val="003E48A1"/>
    <w:rsid w:val="003E48F1"/>
    <w:rsid w:val="003E4C00"/>
    <w:rsid w:val="003E4D05"/>
    <w:rsid w:val="003E4D70"/>
    <w:rsid w:val="003E4E05"/>
    <w:rsid w:val="003E4E0A"/>
    <w:rsid w:val="003E50B9"/>
    <w:rsid w:val="003E5496"/>
    <w:rsid w:val="003E562A"/>
    <w:rsid w:val="003E580F"/>
    <w:rsid w:val="003E5844"/>
    <w:rsid w:val="003E5845"/>
    <w:rsid w:val="003E5897"/>
    <w:rsid w:val="003E58EC"/>
    <w:rsid w:val="003E5A49"/>
    <w:rsid w:val="003E5A5A"/>
    <w:rsid w:val="003E5B0F"/>
    <w:rsid w:val="003E5C0C"/>
    <w:rsid w:val="003E5E2A"/>
    <w:rsid w:val="003E5EBD"/>
    <w:rsid w:val="003E60E7"/>
    <w:rsid w:val="003E6127"/>
    <w:rsid w:val="003E6203"/>
    <w:rsid w:val="003E621E"/>
    <w:rsid w:val="003E6282"/>
    <w:rsid w:val="003E66A9"/>
    <w:rsid w:val="003E695B"/>
    <w:rsid w:val="003E6983"/>
    <w:rsid w:val="003E6994"/>
    <w:rsid w:val="003E6A47"/>
    <w:rsid w:val="003E6AD6"/>
    <w:rsid w:val="003E6CB1"/>
    <w:rsid w:val="003E6DBE"/>
    <w:rsid w:val="003E6FC3"/>
    <w:rsid w:val="003E7188"/>
    <w:rsid w:val="003E7284"/>
    <w:rsid w:val="003E743D"/>
    <w:rsid w:val="003E7486"/>
    <w:rsid w:val="003E750B"/>
    <w:rsid w:val="003E7602"/>
    <w:rsid w:val="003E77BC"/>
    <w:rsid w:val="003E7877"/>
    <w:rsid w:val="003E78DF"/>
    <w:rsid w:val="003E78E6"/>
    <w:rsid w:val="003E7AA7"/>
    <w:rsid w:val="003E7ACE"/>
    <w:rsid w:val="003E7E2D"/>
    <w:rsid w:val="003E7EB4"/>
    <w:rsid w:val="003E7ECD"/>
    <w:rsid w:val="003E7F60"/>
    <w:rsid w:val="003E7FB7"/>
    <w:rsid w:val="003F00F0"/>
    <w:rsid w:val="003F00F6"/>
    <w:rsid w:val="003F01E9"/>
    <w:rsid w:val="003F0273"/>
    <w:rsid w:val="003F0336"/>
    <w:rsid w:val="003F0390"/>
    <w:rsid w:val="003F04A1"/>
    <w:rsid w:val="003F04C5"/>
    <w:rsid w:val="003F0631"/>
    <w:rsid w:val="003F07BD"/>
    <w:rsid w:val="003F0878"/>
    <w:rsid w:val="003F09A4"/>
    <w:rsid w:val="003F0A68"/>
    <w:rsid w:val="003F0B7D"/>
    <w:rsid w:val="003F0F22"/>
    <w:rsid w:val="003F1307"/>
    <w:rsid w:val="003F1399"/>
    <w:rsid w:val="003F154C"/>
    <w:rsid w:val="003F156D"/>
    <w:rsid w:val="003F187E"/>
    <w:rsid w:val="003F18DC"/>
    <w:rsid w:val="003F1970"/>
    <w:rsid w:val="003F1A41"/>
    <w:rsid w:val="003F1B00"/>
    <w:rsid w:val="003F1C96"/>
    <w:rsid w:val="003F1F79"/>
    <w:rsid w:val="003F1F9F"/>
    <w:rsid w:val="003F2009"/>
    <w:rsid w:val="003F2037"/>
    <w:rsid w:val="003F20EB"/>
    <w:rsid w:val="003F217C"/>
    <w:rsid w:val="003F219D"/>
    <w:rsid w:val="003F23D4"/>
    <w:rsid w:val="003F2435"/>
    <w:rsid w:val="003F24FA"/>
    <w:rsid w:val="003F277B"/>
    <w:rsid w:val="003F28F2"/>
    <w:rsid w:val="003F2C1A"/>
    <w:rsid w:val="003F2CAF"/>
    <w:rsid w:val="003F2F01"/>
    <w:rsid w:val="003F3104"/>
    <w:rsid w:val="003F310A"/>
    <w:rsid w:val="003F31F0"/>
    <w:rsid w:val="003F3289"/>
    <w:rsid w:val="003F3376"/>
    <w:rsid w:val="003F33F4"/>
    <w:rsid w:val="003F341A"/>
    <w:rsid w:val="003F3441"/>
    <w:rsid w:val="003F34CD"/>
    <w:rsid w:val="003F355E"/>
    <w:rsid w:val="003F35C9"/>
    <w:rsid w:val="003F3726"/>
    <w:rsid w:val="003F37F1"/>
    <w:rsid w:val="003F381C"/>
    <w:rsid w:val="003F382F"/>
    <w:rsid w:val="003F3959"/>
    <w:rsid w:val="003F39D2"/>
    <w:rsid w:val="003F3A00"/>
    <w:rsid w:val="003F3BFA"/>
    <w:rsid w:val="003F3D96"/>
    <w:rsid w:val="003F3DF4"/>
    <w:rsid w:val="003F4119"/>
    <w:rsid w:val="003F41C8"/>
    <w:rsid w:val="003F4242"/>
    <w:rsid w:val="003F4362"/>
    <w:rsid w:val="003F472A"/>
    <w:rsid w:val="003F4755"/>
    <w:rsid w:val="003F478F"/>
    <w:rsid w:val="003F486D"/>
    <w:rsid w:val="003F493F"/>
    <w:rsid w:val="003F4A11"/>
    <w:rsid w:val="003F4A4B"/>
    <w:rsid w:val="003F4AE4"/>
    <w:rsid w:val="003F4AE8"/>
    <w:rsid w:val="003F4E14"/>
    <w:rsid w:val="003F50CD"/>
    <w:rsid w:val="003F521C"/>
    <w:rsid w:val="003F5256"/>
    <w:rsid w:val="003F52E0"/>
    <w:rsid w:val="003F52EF"/>
    <w:rsid w:val="003F56F8"/>
    <w:rsid w:val="003F5A85"/>
    <w:rsid w:val="003F5ADC"/>
    <w:rsid w:val="003F5B1F"/>
    <w:rsid w:val="003F5B5A"/>
    <w:rsid w:val="003F5D13"/>
    <w:rsid w:val="003F5F35"/>
    <w:rsid w:val="003F5F7F"/>
    <w:rsid w:val="003F60D3"/>
    <w:rsid w:val="003F60D5"/>
    <w:rsid w:val="003F618A"/>
    <w:rsid w:val="003F6245"/>
    <w:rsid w:val="003F64E0"/>
    <w:rsid w:val="003F651D"/>
    <w:rsid w:val="003F6545"/>
    <w:rsid w:val="003F66DB"/>
    <w:rsid w:val="003F6889"/>
    <w:rsid w:val="003F696F"/>
    <w:rsid w:val="003F69E1"/>
    <w:rsid w:val="003F6A55"/>
    <w:rsid w:val="003F6B35"/>
    <w:rsid w:val="003F6B4C"/>
    <w:rsid w:val="003F6B83"/>
    <w:rsid w:val="003F6B8C"/>
    <w:rsid w:val="003F6D52"/>
    <w:rsid w:val="003F6D74"/>
    <w:rsid w:val="003F6EB5"/>
    <w:rsid w:val="003F6F38"/>
    <w:rsid w:val="003F70D7"/>
    <w:rsid w:val="003F725E"/>
    <w:rsid w:val="003F7477"/>
    <w:rsid w:val="003F758F"/>
    <w:rsid w:val="003F75B5"/>
    <w:rsid w:val="003F75CD"/>
    <w:rsid w:val="003F76B9"/>
    <w:rsid w:val="003F773F"/>
    <w:rsid w:val="003F78C0"/>
    <w:rsid w:val="003F7ABD"/>
    <w:rsid w:val="003F7AC3"/>
    <w:rsid w:val="003F7ACD"/>
    <w:rsid w:val="003F7B68"/>
    <w:rsid w:val="003F7BE0"/>
    <w:rsid w:val="003F7C9F"/>
    <w:rsid w:val="003F7CDD"/>
    <w:rsid w:val="003F7FFA"/>
    <w:rsid w:val="00400011"/>
    <w:rsid w:val="00400303"/>
    <w:rsid w:val="004008A6"/>
    <w:rsid w:val="004008E9"/>
    <w:rsid w:val="00400BF1"/>
    <w:rsid w:val="00400CCC"/>
    <w:rsid w:val="00400D1D"/>
    <w:rsid w:val="00400E07"/>
    <w:rsid w:val="00400EB7"/>
    <w:rsid w:val="00400F24"/>
    <w:rsid w:val="00400FD4"/>
    <w:rsid w:val="004010F5"/>
    <w:rsid w:val="0040111F"/>
    <w:rsid w:val="00401210"/>
    <w:rsid w:val="004014DB"/>
    <w:rsid w:val="004016C5"/>
    <w:rsid w:val="00401C3D"/>
    <w:rsid w:val="00401C8F"/>
    <w:rsid w:val="00401D09"/>
    <w:rsid w:val="00401E5F"/>
    <w:rsid w:val="00402048"/>
    <w:rsid w:val="00402084"/>
    <w:rsid w:val="00402085"/>
    <w:rsid w:val="004020F6"/>
    <w:rsid w:val="00402215"/>
    <w:rsid w:val="0040233E"/>
    <w:rsid w:val="00402395"/>
    <w:rsid w:val="004023E8"/>
    <w:rsid w:val="0040261E"/>
    <w:rsid w:val="00402701"/>
    <w:rsid w:val="0040286A"/>
    <w:rsid w:val="0040286B"/>
    <w:rsid w:val="004028D7"/>
    <w:rsid w:val="00402962"/>
    <w:rsid w:val="00402B1C"/>
    <w:rsid w:val="00402B1E"/>
    <w:rsid w:val="00402BD5"/>
    <w:rsid w:val="00402C8A"/>
    <w:rsid w:val="00402DF9"/>
    <w:rsid w:val="00402E47"/>
    <w:rsid w:val="00402F48"/>
    <w:rsid w:val="00402F9C"/>
    <w:rsid w:val="00403024"/>
    <w:rsid w:val="0040303F"/>
    <w:rsid w:val="00403136"/>
    <w:rsid w:val="004031CD"/>
    <w:rsid w:val="004033BE"/>
    <w:rsid w:val="0040346D"/>
    <w:rsid w:val="00403505"/>
    <w:rsid w:val="00403826"/>
    <w:rsid w:val="00403A46"/>
    <w:rsid w:val="00403A7D"/>
    <w:rsid w:val="00403C21"/>
    <w:rsid w:val="00404021"/>
    <w:rsid w:val="004040EE"/>
    <w:rsid w:val="00404137"/>
    <w:rsid w:val="004041DE"/>
    <w:rsid w:val="00404230"/>
    <w:rsid w:val="00404270"/>
    <w:rsid w:val="00404308"/>
    <w:rsid w:val="004044C9"/>
    <w:rsid w:val="0040457B"/>
    <w:rsid w:val="00404664"/>
    <w:rsid w:val="004047CA"/>
    <w:rsid w:val="00404816"/>
    <w:rsid w:val="0040481B"/>
    <w:rsid w:val="00404AAB"/>
    <w:rsid w:val="00404D37"/>
    <w:rsid w:val="00404FF9"/>
    <w:rsid w:val="004050F6"/>
    <w:rsid w:val="004051D3"/>
    <w:rsid w:val="0040524E"/>
    <w:rsid w:val="00405334"/>
    <w:rsid w:val="004054A3"/>
    <w:rsid w:val="0040558C"/>
    <w:rsid w:val="004055BF"/>
    <w:rsid w:val="004056F4"/>
    <w:rsid w:val="004058FD"/>
    <w:rsid w:val="004059E5"/>
    <w:rsid w:val="00405C1C"/>
    <w:rsid w:val="00405CA1"/>
    <w:rsid w:val="00405DBC"/>
    <w:rsid w:val="00405DDC"/>
    <w:rsid w:val="00406023"/>
    <w:rsid w:val="00406118"/>
    <w:rsid w:val="00406154"/>
    <w:rsid w:val="0040622A"/>
    <w:rsid w:val="004062FC"/>
    <w:rsid w:val="00406320"/>
    <w:rsid w:val="0040632A"/>
    <w:rsid w:val="00406333"/>
    <w:rsid w:val="004063E1"/>
    <w:rsid w:val="0040651D"/>
    <w:rsid w:val="004065E3"/>
    <w:rsid w:val="004067BE"/>
    <w:rsid w:val="00406827"/>
    <w:rsid w:val="00406976"/>
    <w:rsid w:val="00406A24"/>
    <w:rsid w:val="00406B3C"/>
    <w:rsid w:val="00406CE9"/>
    <w:rsid w:val="00406E70"/>
    <w:rsid w:val="00406F4B"/>
    <w:rsid w:val="00407010"/>
    <w:rsid w:val="00407293"/>
    <w:rsid w:val="004072AD"/>
    <w:rsid w:val="004072DA"/>
    <w:rsid w:val="004074E3"/>
    <w:rsid w:val="00407650"/>
    <w:rsid w:val="00407684"/>
    <w:rsid w:val="0040791E"/>
    <w:rsid w:val="00407946"/>
    <w:rsid w:val="00407A28"/>
    <w:rsid w:val="00407C0B"/>
    <w:rsid w:val="00407CB4"/>
    <w:rsid w:val="00407E18"/>
    <w:rsid w:val="00410068"/>
    <w:rsid w:val="00410244"/>
    <w:rsid w:val="004105E0"/>
    <w:rsid w:val="00410606"/>
    <w:rsid w:val="00410687"/>
    <w:rsid w:val="00410760"/>
    <w:rsid w:val="00410778"/>
    <w:rsid w:val="004107DE"/>
    <w:rsid w:val="00410870"/>
    <w:rsid w:val="00410992"/>
    <w:rsid w:val="00410B46"/>
    <w:rsid w:val="00410B96"/>
    <w:rsid w:val="00410F28"/>
    <w:rsid w:val="00410F62"/>
    <w:rsid w:val="00411020"/>
    <w:rsid w:val="00411242"/>
    <w:rsid w:val="0041131C"/>
    <w:rsid w:val="00411406"/>
    <w:rsid w:val="0041144B"/>
    <w:rsid w:val="004115DC"/>
    <w:rsid w:val="0041187F"/>
    <w:rsid w:val="004119C2"/>
    <w:rsid w:val="00411BDA"/>
    <w:rsid w:val="00411BE8"/>
    <w:rsid w:val="00411C27"/>
    <w:rsid w:val="00411E85"/>
    <w:rsid w:val="00411ECE"/>
    <w:rsid w:val="00411F33"/>
    <w:rsid w:val="00411F5E"/>
    <w:rsid w:val="004120C5"/>
    <w:rsid w:val="004120E2"/>
    <w:rsid w:val="0041211E"/>
    <w:rsid w:val="00412132"/>
    <w:rsid w:val="00412270"/>
    <w:rsid w:val="004122B9"/>
    <w:rsid w:val="0041236B"/>
    <w:rsid w:val="00412397"/>
    <w:rsid w:val="004123DE"/>
    <w:rsid w:val="004125B2"/>
    <w:rsid w:val="0041262C"/>
    <w:rsid w:val="00412674"/>
    <w:rsid w:val="004126EC"/>
    <w:rsid w:val="004127D3"/>
    <w:rsid w:val="00412996"/>
    <w:rsid w:val="00412B50"/>
    <w:rsid w:val="00412B77"/>
    <w:rsid w:val="00412C14"/>
    <w:rsid w:val="00412C86"/>
    <w:rsid w:val="00412E1C"/>
    <w:rsid w:val="00412F0C"/>
    <w:rsid w:val="00412F60"/>
    <w:rsid w:val="0041305A"/>
    <w:rsid w:val="004130AB"/>
    <w:rsid w:val="004130C4"/>
    <w:rsid w:val="004130FC"/>
    <w:rsid w:val="0041313D"/>
    <w:rsid w:val="00413187"/>
    <w:rsid w:val="004132B8"/>
    <w:rsid w:val="00413550"/>
    <w:rsid w:val="004135EE"/>
    <w:rsid w:val="004135FC"/>
    <w:rsid w:val="0041360C"/>
    <w:rsid w:val="00413715"/>
    <w:rsid w:val="00413894"/>
    <w:rsid w:val="004138A5"/>
    <w:rsid w:val="004139A1"/>
    <w:rsid w:val="004139C0"/>
    <w:rsid w:val="00413AB3"/>
    <w:rsid w:val="00413CFC"/>
    <w:rsid w:val="00413D12"/>
    <w:rsid w:val="00413D69"/>
    <w:rsid w:val="00413EFB"/>
    <w:rsid w:val="00413F0D"/>
    <w:rsid w:val="00413F5E"/>
    <w:rsid w:val="00413F5F"/>
    <w:rsid w:val="00413F7E"/>
    <w:rsid w:val="00413FBD"/>
    <w:rsid w:val="00414015"/>
    <w:rsid w:val="00414095"/>
    <w:rsid w:val="0041411A"/>
    <w:rsid w:val="0041427B"/>
    <w:rsid w:val="0041438C"/>
    <w:rsid w:val="00414513"/>
    <w:rsid w:val="004145CC"/>
    <w:rsid w:val="0041469C"/>
    <w:rsid w:val="00414712"/>
    <w:rsid w:val="00414797"/>
    <w:rsid w:val="004147AA"/>
    <w:rsid w:val="004148A0"/>
    <w:rsid w:val="004148A9"/>
    <w:rsid w:val="004148CA"/>
    <w:rsid w:val="00414A6C"/>
    <w:rsid w:val="00414A79"/>
    <w:rsid w:val="00414ADC"/>
    <w:rsid w:val="00414B4C"/>
    <w:rsid w:val="00414C35"/>
    <w:rsid w:val="00414D6A"/>
    <w:rsid w:val="00414E8E"/>
    <w:rsid w:val="00414EFD"/>
    <w:rsid w:val="004152E8"/>
    <w:rsid w:val="00415373"/>
    <w:rsid w:val="004153CF"/>
    <w:rsid w:val="00415410"/>
    <w:rsid w:val="004154ED"/>
    <w:rsid w:val="00415557"/>
    <w:rsid w:val="0041557E"/>
    <w:rsid w:val="0041570B"/>
    <w:rsid w:val="00415715"/>
    <w:rsid w:val="00415883"/>
    <w:rsid w:val="004159D1"/>
    <w:rsid w:val="00415A16"/>
    <w:rsid w:val="00415A82"/>
    <w:rsid w:val="00415AEB"/>
    <w:rsid w:val="00415B21"/>
    <w:rsid w:val="00415C2D"/>
    <w:rsid w:val="00415C3B"/>
    <w:rsid w:val="00415C7F"/>
    <w:rsid w:val="00415CF7"/>
    <w:rsid w:val="00415E88"/>
    <w:rsid w:val="004161C1"/>
    <w:rsid w:val="004162EC"/>
    <w:rsid w:val="00416549"/>
    <w:rsid w:val="004166F9"/>
    <w:rsid w:val="0041675E"/>
    <w:rsid w:val="0041679B"/>
    <w:rsid w:val="004167D0"/>
    <w:rsid w:val="004168A1"/>
    <w:rsid w:val="004169B2"/>
    <w:rsid w:val="00416AD9"/>
    <w:rsid w:val="00416B84"/>
    <w:rsid w:val="00416BAF"/>
    <w:rsid w:val="00416C45"/>
    <w:rsid w:val="00416CA5"/>
    <w:rsid w:val="00416D39"/>
    <w:rsid w:val="00416E35"/>
    <w:rsid w:val="00417101"/>
    <w:rsid w:val="00417199"/>
    <w:rsid w:val="004172C4"/>
    <w:rsid w:val="004172F6"/>
    <w:rsid w:val="00417344"/>
    <w:rsid w:val="004173BB"/>
    <w:rsid w:val="0041748A"/>
    <w:rsid w:val="004174CB"/>
    <w:rsid w:val="004174D5"/>
    <w:rsid w:val="00417567"/>
    <w:rsid w:val="00417678"/>
    <w:rsid w:val="00417752"/>
    <w:rsid w:val="00417B50"/>
    <w:rsid w:val="00417C81"/>
    <w:rsid w:val="00417D68"/>
    <w:rsid w:val="00417DC2"/>
    <w:rsid w:val="00417E55"/>
    <w:rsid w:val="00417ED6"/>
    <w:rsid w:val="00420075"/>
    <w:rsid w:val="0042007E"/>
    <w:rsid w:val="0042011E"/>
    <w:rsid w:val="004201AB"/>
    <w:rsid w:val="004201CE"/>
    <w:rsid w:val="00420214"/>
    <w:rsid w:val="0042024C"/>
    <w:rsid w:val="00420330"/>
    <w:rsid w:val="0042049F"/>
    <w:rsid w:val="004205A6"/>
    <w:rsid w:val="0042068D"/>
    <w:rsid w:val="00420811"/>
    <w:rsid w:val="00420959"/>
    <w:rsid w:val="00420963"/>
    <w:rsid w:val="00420D2C"/>
    <w:rsid w:val="00420DAF"/>
    <w:rsid w:val="00420F6D"/>
    <w:rsid w:val="00420F85"/>
    <w:rsid w:val="00420FA6"/>
    <w:rsid w:val="004211B7"/>
    <w:rsid w:val="00421213"/>
    <w:rsid w:val="0042121E"/>
    <w:rsid w:val="004212D3"/>
    <w:rsid w:val="004213A1"/>
    <w:rsid w:val="004213B0"/>
    <w:rsid w:val="004214B4"/>
    <w:rsid w:val="00421725"/>
    <w:rsid w:val="00421728"/>
    <w:rsid w:val="004217E5"/>
    <w:rsid w:val="00421809"/>
    <w:rsid w:val="00421887"/>
    <w:rsid w:val="004219A0"/>
    <w:rsid w:val="00421A9C"/>
    <w:rsid w:val="00421DAB"/>
    <w:rsid w:val="004220D6"/>
    <w:rsid w:val="004220ED"/>
    <w:rsid w:val="00422298"/>
    <w:rsid w:val="004222AF"/>
    <w:rsid w:val="004224A0"/>
    <w:rsid w:val="0042275A"/>
    <w:rsid w:val="0042278A"/>
    <w:rsid w:val="004227E0"/>
    <w:rsid w:val="004228DB"/>
    <w:rsid w:val="004228F5"/>
    <w:rsid w:val="0042296D"/>
    <w:rsid w:val="00422A3F"/>
    <w:rsid w:val="00422BD8"/>
    <w:rsid w:val="00422C0D"/>
    <w:rsid w:val="00422C6D"/>
    <w:rsid w:val="00422CF1"/>
    <w:rsid w:val="00422DDA"/>
    <w:rsid w:val="00422FEF"/>
    <w:rsid w:val="00422FF2"/>
    <w:rsid w:val="0042322C"/>
    <w:rsid w:val="00423303"/>
    <w:rsid w:val="0042331A"/>
    <w:rsid w:val="004233D4"/>
    <w:rsid w:val="0042340F"/>
    <w:rsid w:val="0042341D"/>
    <w:rsid w:val="00423438"/>
    <w:rsid w:val="00423538"/>
    <w:rsid w:val="004235CF"/>
    <w:rsid w:val="00423662"/>
    <w:rsid w:val="004237BB"/>
    <w:rsid w:val="004237E2"/>
    <w:rsid w:val="00423D1F"/>
    <w:rsid w:val="00423EC6"/>
    <w:rsid w:val="00423ECA"/>
    <w:rsid w:val="00423FF7"/>
    <w:rsid w:val="0042400A"/>
    <w:rsid w:val="00424149"/>
    <w:rsid w:val="0042420B"/>
    <w:rsid w:val="00424233"/>
    <w:rsid w:val="0042426E"/>
    <w:rsid w:val="004242C8"/>
    <w:rsid w:val="004242F7"/>
    <w:rsid w:val="004244BE"/>
    <w:rsid w:val="00424613"/>
    <w:rsid w:val="0042481E"/>
    <w:rsid w:val="004248A9"/>
    <w:rsid w:val="00424930"/>
    <w:rsid w:val="004249D8"/>
    <w:rsid w:val="00424B79"/>
    <w:rsid w:val="00424C45"/>
    <w:rsid w:val="00424D18"/>
    <w:rsid w:val="00424E76"/>
    <w:rsid w:val="00424FB3"/>
    <w:rsid w:val="00424FFB"/>
    <w:rsid w:val="0042519D"/>
    <w:rsid w:val="00425233"/>
    <w:rsid w:val="00425242"/>
    <w:rsid w:val="0042529C"/>
    <w:rsid w:val="004252C8"/>
    <w:rsid w:val="004253AE"/>
    <w:rsid w:val="004253E9"/>
    <w:rsid w:val="00425715"/>
    <w:rsid w:val="00425879"/>
    <w:rsid w:val="004259BD"/>
    <w:rsid w:val="00425AB2"/>
    <w:rsid w:val="00425AFB"/>
    <w:rsid w:val="00425B9B"/>
    <w:rsid w:val="00425D5F"/>
    <w:rsid w:val="00425DEA"/>
    <w:rsid w:val="00425F2F"/>
    <w:rsid w:val="00426070"/>
    <w:rsid w:val="0042614C"/>
    <w:rsid w:val="00426231"/>
    <w:rsid w:val="004262D7"/>
    <w:rsid w:val="004264B5"/>
    <w:rsid w:val="004264E2"/>
    <w:rsid w:val="0042661D"/>
    <w:rsid w:val="00426901"/>
    <w:rsid w:val="004269E4"/>
    <w:rsid w:val="00426D08"/>
    <w:rsid w:val="00426D83"/>
    <w:rsid w:val="00426F59"/>
    <w:rsid w:val="0042713A"/>
    <w:rsid w:val="00427295"/>
    <w:rsid w:val="0042732E"/>
    <w:rsid w:val="004273A0"/>
    <w:rsid w:val="004273BA"/>
    <w:rsid w:val="004276A3"/>
    <w:rsid w:val="00427775"/>
    <w:rsid w:val="00427892"/>
    <w:rsid w:val="00427B32"/>
    <w:rsid w:val="00427BB7"/>
    <w:rsid w:val="00427C37"/>
    <w:rsid w:val="00427C47"/>
    <w:rsid w:val="00427D73"/>
    <w:rsid w:val="00427DD0"/>
    <w:rsid w:val="00427DDD"/>
    <w:rsid w:val="00427DFA"/>
    <w:rsid w:val="00427F77"/>
    <w:rsid w:val="00427FD5"/>
    <w:rsid w:val="0043020C"/>
    <w:rsid w:val="0043026B"/>
    <w:rsid w:val="00430277"/>
    <w:rsid w:val="004302DA"/>
    <w:rsid w:val="0043039F"/>
    <w:rsid w:val="00430533"/>
    <w:rsid w:val="00430548"/>
    <w:rsid w:val="00430700"/>
    <w:rsid w:val="00430734"/>
    <w:rsid w:val="0043090B"/>
    <w:rsid w:val="00430BA0"/>
    <w:rsid w:val="004310B2"/>
    <w:rsid w:val="004310F6"/>
    <w:rsid w:val="00431150"/>
    <w:rsid w:val="004311D9"/>
    <w:rsid w:val="00431277"/>
    <w:rsid w:val="004313E5"/>
    <w:rsid w:val="0043178C"/>
    <w:rsid w:val="00431806"/>
    <w:rsid w:val="004318E8"/>
    <w:rsid w:val="00431B92"/>
    <w:rsid w:val="00431BC8"/>
    <w:rsid w:val="00431C25"/>
    <w:rsid w:val="00431DEC"/>
    <w:rsid w:val="00431E87"/>
    <w:rsid w:val="00431E8D"/>
    <w:rsid w:val="004320D9"/>
    <w:rsid w:val="00432274"/>
    <w:rsid w:val="004322B8"/>
    <w:rsid w:val="004323D9"/>
    <w:rsid w:val="00432507"/>
    <w:rsid w:val="004325B5"/>
    <w:rsid w:val="00432602"/>
    <w:rsid w:val="00432743"/>
    <w:rsid w:val="00432897"/>
    <w:rsid w:val="004328D3"/>
    <w:rsid w:val="0043290D"/>
    <w:rsid w:val="00432945"/>
    <w:rsid w:val="00432C63"/>
    <w:rsid w:val="00432D39"/>
    <w:rsid w:val="00432D6D"/>
    <w:rsid w:val="00432EAE"/>
    <w:rsid w:val="00432F43"/>
    <w:rsid w:val="00432F74"/>
    <w:rsid w:val="00432FE2"/>
    <w:rsid w:val="00433507"/>
    <w:rsid w:val="00433562"/>
    <w:rsid w:val="00433988"/>
    <w:rsid w:val="0043398A"/>
    <w:rsid w:val="004339D9"/>
    <w:rsid w:val="00433A77"/>
    <w:rsid w:val="00433ABB"/>
    <w:rsid w:val="00433B58"/>
    <w:rsid w:val="00433D05"/>
    <w:rsid w:val="00433D4F"/>
    <w:rsid w:val="00433EF2"/>
    <w:rsid w:val="00434081"/>
    <w:rsid w:val="0043422F"/>
    <w:rsid w:val="00434312"/>
    <w:rsid w:val="0043469F"/>
    <w:rsid w:val="00434736"/>
    <w:rsid w:val="00434809"/>
    <w:rsid w:val="0043481D"/>
    <w:rsid w:val="004348F0"/>
    <w:rsid w:val="004349A1"/>
    <w:rsid w:val="00434B3D"/>
    <w:rsid w:val="00434BC4"/>
    <w:rsid w:val="00434D39"/>
    <w:rsid w:val="00434DCC"/>
    <w:rsid w:val="00434E99"/>
    <w:rsid w:val="00434ED4"/>
    <w:rsid w:val="00434F12"/>
    <w:rsid w:val="004351A6"/>
    <w:rsid w:val="004351C5"/>
    <w:rsid w:val="0043541F"/>
    <w:rsid w:val="004354C7"/>
    <w:rsid w:val="00435594"/>
    <w:rsid w:val="00435822"/>
    <w:rsid w:val="004358BE"/>
    <w:rsid w:val="00435A03"/>
    <w:rsid w:val="00435B3C"/>
    <w:rsid w:val="00435BB4"/>
    <w:rsid w:val="00435C36"/>
    <w:rsid w:val="00435ECC"/>
    <w:rsid w:val="00435ED7"/>
    <w:rsid w:val="0043601B"/>
    <w:rsid w:val="0043643B"/>
    <w:rsid w:val="0043654A"/>
    <w:rsid w:val="004366B8"/>
    <w:rsid w:val="004366DB"/>
    <w:rsid w:val="004366F8"/>
    <w:rsid w:val="0043679E"/>
    <w:rsid w:val="004367DA"/>
    <w:rsid w:val="00436837"/>
    <w:rsid w:val="004369FE"/>
    <w:rsid w:val="00436A2F"/>
    <w:rsid w:val="00436CA6"/>
    <w:rsid w:val="00436E03"/>
    <w:rsid w:val="00436ED4"/>
    <w:rsid w:val="00436FD3"/>
    <w:rsid w:val="00436FD4"/>
    <w:rsid w:val="004372D9"/>
    <w:rsid w:val="00437420"/>
    <w:rsid w:val="00437480"/>
    <w:rsid w:val="004376A3"/>
    <w:rsid w:val="004376E4"/>
    <w:rsid w:val="0043792C"/>
    <w:rsid w:val="00437AFE"/>
    <w:rsid w:val="00437B19"/>
    <w:rsid w:val="00437B70"/>
    <w:rsid w:val="00437C40"/>
    <w:rsid w:val="00437C41"/>
    <w:rsid w:val="00437D19"/>
    <w:rsid w:val="00437DE8"/>
    <w:rsid w:val="00437E52"/>
    <w:rsid w:val="00437EB4"/>
    <w:rsid w:val="00437ECC"/>
    <w:rsid w:val="00437EEA"/>
    <w:rsid w:val="00437F02"/>
    <w:rsid w:val="004401CB"/>
    <w:rsid w:val="00440286"/>
    <w:rsid w:val="00440337"/>
    <w:rsid w:val="00440438"/>
    <w:rsid w:val="004404DB"/>
    <w:rsid w:val="0044074D"/>
    <w:rsid w:val="00440775"/>
    <w:rsid w:val="00440825"/>
    <w:rsid w:val="00440881"/>
    <w:rsid w:val="00440A2C"/>
    <w:rsid w:val="00440AB2"/>
    <w:rsid w:val="00440AE0"/>
    <w:rsid w:val="00440E83"/>
    <w:rsid w:val="00440F2D"/>
    <w:rsid w:val="00441032"/>
    <w:rsid w:val="0044106F"/>
    <w:rsid w:val="004413A5"/>
    <w:rsid w:val="00441482"/>
    <w:rsid w:val="00441545"/>
    <w:rsid w:val="004416E0"/>
    <w:rsid w:val="0044174B"/>
    <w:rsid w:val="00441835"/>
    <w:rsid w:val="004418B2"/>
    <w:rsid w:val="0044192A"/>
    <w:rsid w:val="00441991"/>
    <w:rsid w:val="004419BC"/>
    <w:rsid w:val="00441B8E"/>
    <w:rsid w:val="00441F64"/>
    <w:rsid w:val="00441F97"/>
    <w:rsid w:val="00441FBC"/>
    <w:rsid w:val="0044207B"/>
    <w:rsid w:val="004420AB"/>
    <w:rsid w:val="00442191"/>
    <w:rsid w:val="004424EF"/>
    <w:rsid w:val="004426AC"/>
    <w:rsid w:val="00442729"/>
    <w:rsid w:val="00442791"/>
    <w:rsid w:val="004427CD"/>
    <w:rsid w:val="0044288B"/>
    <w:rsid w:val="0044297D"/>
    <w:rsid w:val="00442A52"/>
    <w:rsid w:val="00442A7C"/>
    <w:rsid w:val="00442A90"/>
    <w:rsid w:val="00442B13"/>
    <w:rsid w:val="00442BE3"/>
    <w:rsid w:val="00443114"/>
    <w:rsid w:val="00443119"/>
    <w:rsid w:val="00443156"/>
    <w:rsid w:val="00443395"/>
    <w:rsid w:val="004434CD"/>
    <w:rsid w:val="00443510"/>
    <w:rsid w:val="00443537"/>
    <w:rsid w:val="0044361A"/>
    <w:rsid w:val="004436ED"/>
    <w:rsid w:val="0044381F"/>
    <w:rsid w:val="0044384F"/>
    <w:rsid w:val="00443905"/>
    <w:rsid w:val="00443B07"/>
    <w:rsid w:val="00443B6F"/>
    <w:rsid w:val="00443B7D"/>
    <w:rsid w:val="00443BD8"/>
    <w:rsid w:val="00443D1E"/>
    <w:rsid w:val="00443DAC"/>
    <w:rsid w:val="00443EEA"/>
    <w:rsid w:val="00443F4A"/>
    <w:rsid w:val="00444065"/>
    <w:rsid w:val="00444400"/>
    <w:rsid w:val="0044443F"/>
    <w:rsid w:val="00444589"/>
    <w:rsid w:val="004445B8"/>
    <w:rsid w:val="0044463B"/>
    <w:rsid w:val="004446FB"/>
    <w:rsid w:val="00444721"/>
    <w:rsid w:val="004448D5"/>
    <w:rsid w:val="00444B36"/>
    <w:rsid w:val="00444B93"/>
    <w:rsid w:val="00444C27"/>
    <w:rsid w:val="00444C9B"/>
    <w:rsid w:val="00444D0A"/>
    <w:rsid w:val="00444D2B"/>
    <w:rsid w:val="00444DBE"/>
    <w:rsid w:val="00444DC7"/>
    <w:rsid w:val="00444EE8"/>
    <w:rsid w:val="00444F3A"/>
    <w:rsid w:val="00445020"/>
    <w:rsid w:val="00445171"/>
    <w:rsid w:val="00445229"/>
    <w:rsid w:val="00445274"/>
    <w:rsid w:val="00445499"/>
    <w:rsid w:val="004455E8"/>
    <w:rsid w:val="00445801"/>
    <w:rsid w:val="00445820"/>
    <w:rsid w:val="00445831"/>
    <w:rsid w:val="00445968"/>
    <w:rsid w:val="0044597A"/>
    <w:rsid w:val="00445A08"/>
    <w:rsid w:val="00445A79"/>
    <w:rsid w:val="00445B7B"/>
    <w:rsid w:val="00445C0B"/>
    <w:rsid w:val="00445C8E"/>
    <w:rsid w:val="00445CC2"/>
    <w:rsid w:val="00445D6D"/>
    <w:rsid w:val="00445D6F"/>
    <w:rsid w:val="00445DE1"/>
    <w:rsid w:val="00445EB8"/>
    <w:rsid w:val="00445EDA"/>
    <w:rsid w:val="00445F14"/>
    <w:rsid w:val="00446015"/>
    <w:rsid w:val="00446035"/>
    <w:rsid w:val="0044604B"/>
    <w:rsid w:val="00446151"/>
    <w:rsid w:val="004461ED"/>
    <w:rsid w:val="004462C3"/>
    <w:rsid w:val="004462D8"/>
    <w:rsid w:val="0044639B"/>
    <w:rsid w:val="00446408"/>
    <w:rsid w:val="004464C2"/>
    <w:rsid w:val="004464D2"/>
    <w:rsid w:val="0044665D"/>
    <w:rsid w:val="004467B8"/>
    <w:rsid w:val="00446A07"/>
    <w:rsid w:val="00446AED"/>
    <w:rsid w:val="00446B88"/>
    <w:rsid w:val="00446B8A"/>
    <w:rsid w:val="00446D87"/>
    <w:rsid w:val="00446DEB"/>
    <w:rsid w:val="00446F3A"/>
    <w:rsid w:val="00446FE1"/>
    <w:rsid w:val="00447106"/>
    <w:rsid w:val="0044719F"/>
    <w:rsid w:val="0044724B"/>
    <w:rsid w:val="0044727C"/>
    <w:rsid w:val="004472EE"/>
    <w:rsid w:val="004473A9"/>
    <w:rsid w:val="00447417"/>
    <w:rsid w:val="00447739"/>
    <w:rsid w:val="004477CF"/>
    <w:rsid w:val="0044784F"/>
    <w:rsid w:val="004478C8"/>
    <w:rsid w:val="00447B72"/>
    <w:rsid w:val="00447D13"/>
    <w:rsid w:val="00447E9A"/>
    <w:rsid w:val="004500D5"/>
    <w:rsid w:val="0045016D"/>
    <w:rsid w:val="00450323"/>
    <w:rsid w:val="0045032D"/>
    <w:rsid w:val="00450357"/>
    <w:rsid w:val="004503DB"/>
    <w:rsid w:val="004507A4"/>
    <w:rsid w:val="004507EF"/>
    <w:rsid w:val="00450817"/>
    <w:rsid w:val="00450871"/>
    <w:rsid w:val="004508CB"/>
    <w:rsid w:val="00450958"/>
    <w:rsid w:val="004509D5"/>
    <w:rsid w:val="00450B49"/>
    <w:rsid w:val="00450D7A"/>
    <w:rsid w:val="00450FF6"/>
    <w:rsid w:val="00451054"/>
    <w:rsid w:val="00451666"/>
    <w:rsid w:val="00451848"/>
    <w:rsid w:val="00451859"/>
    <w:rsid w:val="0045186C"/>
    <w:rsid w:val="0045197B"/>
    <w:rsid w:val="00451A9D"/>
    <w:rsid w:val="00451CAC"/>
    <w:rsid w:val="00451DA6"/>
    <w:rsid w:val="00451E7C"/>
    <w:rsid w:val="00451F9D"/>
    <w:rsid w:val="00451FCE"/>
    <w:rsid w:val="004523CC"/>
    <w:rsid w:val="004525B5"/>
    <w:rsid w:val="00452638"/>
    <w:rsid w:val="0045263B"/>
    <w:rsid w:val="00452775"/>
    <w:rsid w:val="004527AA"/>
    <w:rsid w:val="004528A7"/>
    <w:rsid w:val="0045297F"/>
    <w:rsid w:val="00452A7C"/>
    <w:rsid w:val="00452C20"/>
    <w:rsid w:val="00452D5B"/>
    <w:rsid w:val="00452F1C"/>
    <w:rsid w:val="00452FE6"/>
    <w:rsid w:val="00453009"/>
    <w:rsid w:val="004531C5"/>
    <w:rsid w:val="00453201"/>
    <w:rsid w:val="0045329F"/>
    <w:rsid w:val="0045340C"/>
    <w:rsid w:val="0045344E"/>
    <w:rsid w:val="004534F6"/>
    <w:rsid w:val="00453710"/>
    <w:rsid w:val="00453908"/>
    <w:rsid w:val="00453B13"/>
    <w:rsid w:val="00453B1B"/>
    <w:rsid w:val="00453BBB"/>
    <w:rsid w:val="00453D93"/>
    <w:rsid w:val="00453D97"/>
    <w:rsid w:val="00453E15"/>
    <w:rsid w:val="00453F71"/>
    <w:rsid w:val="00454081"/>
    <w:rsid w:val="00454137"/>
    <w:rsid w:val="0045414E"/>
    <w:rsid w:val="004541FA"/>
    <w:rsid w:val="0045420E"/>
    <w:rsid w:val="004543DE"/>
    <w:rsid w:val="0045444A"/>
    <w:rsid w:val="00454501"/>
    <w:rsid w:val="004545D4"/>
    <w:rsid w:val="004546DC"/>
    <w:rsid w:val="00454727"/>
    <w:rsid w:val="0045472F"/>
    <w:rsid w:val="00454943"/>
    <w:rsid w:val="004549EF"/>
    <w:rsid w:val="00454A34"/>
    <w:rsid w:val="00454B01"/>
    <w:rsid w:val="00454FAF"/>
    <w:rsid w:val="00455004"/>
    <w:rsid w:val="004550D4"/>
    <w:rsid w:val="004552C9"/>
    <w:rsid w:val="004554A9"/>
    <w:rsid w:val="00455622"/>
    <w:rsid w:val="004559E9"/>
    <w:rsid w:val="00455A4B"/>
    <w:rsid w:val="00455B59"/>
    <w:rsid w:val="00455D0F"/>
    <w:rsid w:val="00455D25"/>
    <w:rsid w:val="00455E09"/>
    <w:rsid w:val="00455EF9"/>
    <w:rsid w:val="00455F77"/>
    <w:rsid w:val="00455FA6"/>
    <w:rsid w:val="00456179"/>
    <w:rsid w:val="0045634B"/>
    <w:rsid w:val="004563A3"/>
    <w:rsid w:val="00456483"/>
    <w:rsid w:val="00456491"/>
    <w:rsid w:val="00456561"/>
    <w:rsid w:val="0045668B"/>
    <w:rsid w:val="004566AB"/>
    <w:rsid w:val="004566BE"/>
    <w:rsid w:val="004567EB"/>
    <w:rsid w:val="00456A1B"/>
    <w:rsid w:val="00456B29"/>
    <w:rsid w:val="00456C73"/>
    <w:rsid w:val="00456D21"/>
    <w:rsid w:val="00456EB9"/>
    <w:rsid w:val="00457011"/>
    <w:rsid w:val="00457072"/>
    <w:rsid w:val="00457126"/>
    <w:rsid w:val="004571BE"/>
    <w:rsid w:val="004571F9"/>
    <w:rsid w:val="004572DF"/>
    <w:rsid w:val="00457312"/>
    <w:rsid w:val="0045745D"/>
    <w:rsid w:val="004576BF"/>
    <w:rsid w:val="00457709"/>
    <w:rsid w:val="00457758"/>
    <w:rsid w:val="004577A2"/>
    <w:rsid w:val="00457919"/>
    <w:rsid w:val="00457A03"/>
    <w:rsid w:val="00457A81"/>
    <w:rsid w:val="00457BB6"/>
    <w:rsid w:val="00457C48"/>
    <w:rsid w:val="00457C95"/>
    <w:rsid w:val="00457D32"/>
    <w:rsid w:val="00457E06"/>
    <w:rsid w:val="00457F45"/>
    <w:rsid w:val="0046006F"/>
    <w:rsid w:val="004601C7"/>
    <w:rsid w:val="00460275"/>
    <w:rsid w:val="00460352"/>
    <w:rsid w:val="0046047F"/>
    <w:rsid w:val="004604B5"/>
    <w:rsid w:val="0046084D"/>
    <w:rsid w:val="004608BC"/>
    <w:rsid w:val="004608C7"/>
    <w:rsid w:val="00460D0D"/>
    <w:rsid w:val="00460E12"/>
    <w:rsid w:val="00460F21"/>
    <w:rsid w:val="00460F86"/>
    <w:rsid w:val="00461048"/>
    <w:rsid w:val="0046123F"/>
    <w:rsid w:val="00461252"/>
    <w:rsid w:val="0046164C"/>
    <w:rsid w:val="004617E9"/>
    <w:rsid w:val="00461B06"/>
    <w:rsid w:val="00461B90"/>
    <w:rsid w:val="00461B95"/>
    <w:rsid w:val="00461BD0"/>
    <w:rsid w:val="00461DE1"/>
    <w:rsid w:val="00461E98"/>
    <w:rsid w:val="00461EB9"/>
    <w:rsid w:val="00462096"/>
    <w:rsid w:val="00462135"/>
    <w:rsid w:val="00462140"/>
    <w:rsid w:val="00462320"/>
    <w:rsid w:val="004623D8"/>
    <w:rsid w:val="0046241E"/>
    <w:rsid w:val="0046250E"/>
    <w:rsid w:val="00462572"/>
    <w:rsid w:val="0046261E"/>
    <w:rsid w:val="00462709"/>
    <w:rsid w:val="00462746"/>
    <w:rsid w:val="00462814"/>
    <w:rsid w:val="004629B7"/>
    <w:rsid w:val="00462B04"/>
    <w:rsid w:val="00462C9C"/>
    <w:rsid w:val="00462CBA"/>
    <w:rsid w:val="00462DB5"/>
    <w:rsid w:val="00462DCD"/>
    <w:rsid w:val="00462E37"/>
    <w:rsid w:val="00462E4A"/>
    <w:rsid w:val="00462F63"/>
    <w:rsid w:val="00463068"/>
    <w:rsid w:val="00463073"/>
    <w:rsid w:val="004630C5"/>
    <w:rsid w:val="00463104"/>
    <w:rsid w:val="004631A4"/>
    <w:rsid w:val="00463425"/>
    <w:rsid w:val="004635FB"/>
    <w:rsid w:val="00463686"/>
    <w:rsid w:val="00463738"/>
    <w:rsid w:val="00463B71"/>
    <w:rsid w:val="00463CA3"/>
    <w:rsid w:val="00463F10"/>
    <w:rsid w:val="00463F90"/>
    <w:rsid w:val="00464104"/>
    <w:rsid w:val="004642B8"/>
    <w:rsid w:val="00464339"/>
    <w:rsid w:val="00464383"/>
    <w:rsid w:val="00464487"/>
    <w:rsid w:val="00464523"/>
    <w:rsid w:val="004645AE"/>
    <w:rsid w:val="0046462E"/>
    <w:rsid w:val="004646C3"/>
    <w:rsid w:val="00464700"/>
    <w:rsid w:val="0046470D"/>
    <w:rsid w:val="0046471B"/>
    <w:rsid w:val="0046477F"/>
    <w:rsid w:val="004648B1"/>
    <w:rsid w:val="0046490A"/>
    <w:rsid w:val="004649ED"/>
    <w:rsid w:val="00464A87"/>
    <w:rsid w:val="00464ACF"/>
    <w:rsid w:val="00464B6E"/>
    <w:rsid w:val="00464BBE"/>
    <w:rsid w:val="00464CB0"/>
    <w:rsid w:val="00464D04"/>
    <w:rsid w:val="00464D4C"/>
    <w:rsid w:val="00464F40"/>
    <w:rsid w:val="0046500F"/>
    <w:rsid w:val="00465077"/>
    <w:rsid w:val="004650FC"/>
    <w:rsid w:val="0046514A"/>
    <w:rsid w:val="00465244"/>
    <w:rsid w:val="004652C4"/>
    <w:rsid w:val="004652E7"/>
    <w:rsid w:val="00465553"/>
    <w:rsid w:val="0046556D"/>
    <w:rsid w:val="00465724"/>
    <w:rsid w:val="004657D3"/>
    <w:rsid w:val="004659C2"/>
    <w:rsid w:val="00465AC5"/>
    <w:rsid w:val="00465B97"/>
    <w:rsid w:val="00465C46"/>
    <w:rsid w:val="00465F5A"/>
    <w:rsid w:val="0046604B"/>
    <w:rsid w:val="00466395"/>
    <w:rsid w:val="0046640D"/>
    <w:rsid w:val="004664BE"/>
    <w:rsid w:val="0046655F"/>
    <w:rsid w:val="00466638"/>
    <w:rsid w:val="004666FE"/>
    <w:rsid w:val="00466775"/>
    <w:rsid w:val="004667F3"/>
    <w:rsid w:val="00466954"/>
    <w:rsid w:val="00466995"/>
    <w:rsid w:val="004669B3"/>
    <w:rsid w:val="004669ED"/>
    <w:rsid w:val="004669FE"/>
    <w:rsid w:val="00466A87"/>
    <w:rsid w:val="00466D13"/>
    <w:rsid w:val="00466D33"/>
    <w:rsid w:val="00466D44"/>
    <w:rsid w:val="00466D77"/>
    <w:rsid w:val="00466F39"/>
    <w:rsid w:val="004670B8"/>
    <w:rsid w:val="0046718D"/>
    <w:rsid w:val="004671B3"/>
    <w:rsid w:val="00467328"/>
    <w:rsid w:val="0046741A"/>
    <w:rsid w:val="00467535"/>
    <w:rsid w:val="00467704"/>
    <w:rsid w:val="0046776E"/>
    <w:rsid w:val="004677C8"/>
    <w:rsid w:val="004678C1"/>
    <w:rsid w:val="00467A36"/>
    <w:rsid w:val="00467C13"/>
    <w:rsid w:val="00467C22"/>
    <w:rsid w:val="00467CEF"/>
    <w:rsid w:val="00467EB9"/>
    <w:rsid w:val="00470149"/>
    <w:rsid w:val="00470255"/>
    <w:rsid w:val="004702D0"/>
    <w:rsid w:val="004703D2"/>
    <w:rsid w:val="004703F0"/>
    <w:rsid w:val="0047056B"/>
    <w:rsid w:val="00470712"/>
    <w:rsid w:val="00470799"/>
    <w:rsid w:val="004707E0"/>
    <w:rsid w:val="004707E3"/>
    <w:rsid w:val="0047082B"/>
    <w:rsid w:val="004708A1"/>
    <w:rsid w:val="00470A41"/>
    <w:rsid w:val="00470A8D"/>
    <w:rsid w:val="00470A92"/>
    <w:rsid w:val="00470ADD"/>
    <w:rsid w:val="00470BFE"/>
    <w:rsid w:val="00470C43"/>
    <w:rsid w:val="00470CB5"/>
    <w:rsid w:val="00470CF8"/>
    <w:rsid w:val="00470DA1"/>
    <w:rsid w:val="00470EBC"/>
    <w:rsid w:val="0047106C"/>
    <w:rsid w:val="004710E8"/>
    <w:rsid w:val="004711CB"/>
    <w:rsid w:val="00471306"/>
    <w:rsid w:val="00471320"/>
    <w:rsid w:val="0047134E"/>
    <w:rsid w:val="00471355"/>
    <w:rsid w:val="0047143E"/>
    <w:rsid w:val="00471479"/>
    <w:rsid w:val="004716A9"/>
    <w:rsid w:val="004718CF"/>
    <w:rsid w:val="00471B27"/>
    <w:rsid w:val="00471D34"/>
    <w:rsid w:val="00471E92"/>
    <w:rsid w:val="00471EDF"/>
    <w:rsid w:val="00471F89"/>
    <w:rsid w:val="0047216E"/>
    <w:rsid w:val="00472174"/>
    <w:rsid w:val="00472383"/>
    <w:rsid w:val="004725D2"/>
    <w:rsid w:val="00472664"/>
    <w:rsid w:val="00472B95"/>
    <w:rsid w:val="00472D85"/>
    <w:rsid w:val="00472E2C"/>
    <w:rsid w:val="00473264"/>
    <w:rsid w:val="004732D4"/>
    <w:rsid w:val="00473308"/>
    <w:rsid w:val="00473431"/>
    <w:rsid w:val="004734F5"/>
    <w:rsid w:val="0047356F"/>
    <w:rsid w:val="004735C2"/>
    <w:rsid w:val="0047365E"/>
    <w:rsid w:val="004737CF"/>
    <w:rsid w:val="004737DE"/>
    <w:rsid w:val="004737F1"/>
    <w:rsid w:val="0047380B"/>
    <w:rsid w:val="00473A45"/>
    <w:rsid w:val="00473B68"/>
    <w:rsid w:val="00473CC5"/>
    <w:rsid w:val="00473CCE"/>
    <w:rsid w:val="00473E42"/>
    <w:rsid w:val="00473EA2"/>
    <w:rsid w:val="00473F27"/>
    <w:rsid w:val="00474021"/>
    <w:rsid w:val="0047402E"/>
    <w:rsid w:val="00474260"/>
    <w:rsid w:val="004743AF"/>
    <w:rsid w:val="004743E4"/>
    <w:rsid w:val="004744A4"/>
    <w:rsid w:val="0047451A"/>
    <w:rsid w:val="00474585"/>
    <w:rsid w:val="004745E4"/>
    <w:rsid w:val="00474657"/>
    <w:rsid w:val="00474767"/>
    <w:rsid w:val="004747BE"/>
    <w:rsid w:val="00474803"/>
    <w:rsid w:val="004748FB"/>
    <w:rsid w:val="00474900"/>
    <w:rsid w:val="00474958"/>
    <w:rsid w:val="00474B0E"/>
    <w:rsid w:val="00474C83"/>
    <w:rsid w:val="00474D7A"/>
    <w:rsid w:val="00474EF1"/>
    <w:rsid w:val="00475113"/>
    <w:rsid w:val="00475114"/>
    <w:rsid w:val="00475202"/>
    <w:rsid w:val="00475529"/>
    <w:rsid w:val="0047559C"/>
    <w:rsid w:val="004758F8"/>
    <w:rsid w:val="0047591D"/>
    <w:rsid w:val="00475A33"/>
    <w:rsid w:val="00475A34"/>
    <w:rsid w:val="00475A58"/>
    <w:rsid w:val="00475AEF"/>
    <w:rsid w:val="00475C95"/>
    <w:rsid w:val="00475DC8"/>
    <w:rsid w:val="00475EB4"/>
    <w:rsid w:val="00475EF8"/>
    <w:rsid w:val="00475FB2"/>
    <w:rsid w:val="004760DE"/>
    <w:rsid w:val="00476105"/>
    <w:rsid w:val="00476137"/>
    <w:rsid w:val="00476139"/>
    <w:rsid w:val="004763F4"/>
    <w:rsid w:val="004763FC"/>
    <w:rsid w:val="00476431"/>
    <w:rsid w:val="00476513"/>
    <w:rsid w:val="004765AD"/>
    <w:rsid w:val="0047668B"/>
    <w:rsid w:val="00476742"/>
    <w:rsid w:val="00476766"/>
    <w:rsid w:val="004768F4"/>
    <w:rsid w:val="00476900"/>
    <w:rsid w:val="00476918"/>
    <w:rsid w:val="004769B5"/>
    <w:rsid w:val="004769ED"/>
    <w:rsid w:val="00476A29"/>
    <w:rsid w:val="00476A7B"/>
    <w:rsid w:val="00476BD6"/>
    <w:rsid w:val="00476C2B"/>
    <w:rsid w:val="00476E8F"/>
    <w:rsid w:val="00476FC9"/>
    <w:rsid w:val="004771E0"/>
    <w:rsid w:val="00477223"/>
    <w:rsid w:val="004772AA"/>
    <w:rsid w:val="004772E2"/>
    <w:rsid w:val="00477423"/>
    <w:rsid w:val="004774B7"/>
    <w:rsid w:val="00477582"/>
    <w:rsid w:val="004779F1"/>
    <w:rsid w:val="00477C62"/>
    <w:rsid w:val="00477C7E"/>
    <w:rsid w:val="00477FC5"/>
    <w:rsid w:val="0048000F"/>
    <w:rsid w:val="00480223"/>
    <w:rsid w:val="0048032A"/>
    <w:rsid w:val="00480405"/>
    <w:rsid w:val="00480686"/>
    <w:rsid w:val="004806E2"/>
    <w:rsid w:val="0048077E"/>
    <w:rsid w:val="00480793"/>
    <w:rsid w:val="004807FC"/>
    <w:rsid w:val="00480895"/>
    <w:rsid w:val="00480922"/>
    <w:rsid w:val="004809CD"/>
    <w:rsid w:val="00480B2D"/>
    <w:rsid w:val="00480B84"/>
    <w:rsid w:val="00480CD4"/>
    <w:rsid w:val="00480D09"/>
    <w:rsid w:val="00480D7B"/>
    <w:rsid w:val="00480D9D"/>
    <w:rsid w:val="00480FF0"/>
    <w:rsid w:val="00481036"/>
    <w:rsid w:val="00481128"/>
    <w:rsid w:val="0048112C"/>
    <w:rsid w:val="00481405"/>
    <w:rsid w:val="0048143E"/>
    <w:rsid w:val="004814D2"/>
    <w:rsid w:val="0048150C"/>
    <w:rsid w:val="004815F0"/>
    <w:rsid w:val="00481614"/>
    <w:rsid w:val="00481670"/>
    <w:rsid w:val="004817B4"/>
    <w:rsid w:val="0048189C"/>
    <w:rsid w:val="004818EA"/>
    <w:rsid w:val="00481A12"/>
    <w:rsid w:val="00481C7E"/>
    <w:rsid w:val="00482439"/>
    <w:rsid w:val="004824AC"/>
    <w:rsid w:val="004824D7"/>
    <w:rsid w:val="004824EA"/>
    <w:rsid w:val="004825B1"/>
    <w:rsid w:val="00482601"/>
    <w:rsid w:val="0048265C"/>
    <w:rsid w:val="0048281A"/>
    <w:rsid w:val="00482913"/>
    <w:rsid w:val="00482976"/>
    <w:rsid w:val="004829A3"/>
    <w:rsid w:val="00482A08"/>
    <w:rsid w:val="00482A47"/>
    <w:rsid w:val="00482AED"/>
    <w:rsid w:val="00482BA3"/>
    <w:rsid w:val="00482DE3"/>
    <w:rsid w:val="00482DE5"/>
    <w:rsid w:val="00482FE7"/>
    <w:rsid w:val="004830CF"/>
    <w:rsid w:val="004832AB"/>
    <w:rsid w:val="00483483"/>
    <w:rsid w:val="004834C4"/>
    <w:rsid w:val="0048354B"/>
    <w:rsid w:val="004835E5"/>
    <w:rsid w:val="00483882"/>
    <w:rsid w:val="00483D09"/>
    <w:rsid w:val="00483DA5"/>
    <w:rsid w:val="00483E5A"/>
    <w:rsid w:val="00483FAC"/>
    <w:rsid w:val="004840C7"/>
    <w:rsid w:val="00484191"/>
    <w:rsid w:val="0048427B"/>
    <w:rsid w:val="004842DD"/>
    <w:rsid w:val="004842F1"/>
    <w:rsid w:val="00484484"/>
    <w:rsid w:val="004844EB"/>
    <w:rsid w:val="0048463B"/>
    <w:rsid w:val="004847BB"/>
    <w:rsid w:val="00484AF7"/>
    <w:rsid w:val="00484D31"/>
    <w:rsid w:val="00484E60"/>
    <w:rsid w:val="00484E93"/>
    <w:rsid w:val="00484F14"/>
    <w:rsid w:val="004850E1"/>
    <w:rsid w:val="00485177"/>
    <w:rsid w:val="00485218"/>
    <w:rsid w:val="00485238"/>
    <w:rsid w:val="004854C2"/>
    <w:rsid w:val="004856E3"/>
    <w:rsid w:val="004857CA"/>
    <w:rsid w:val="004857D2"/>
    <w:rsid w:val="004859B0"/>
    <w:rsid w:val="00485B79"/>
    <w:rsid w:val="00485B97"/>
    <w:rsid w:val="00485C1B"/>
    <w:rsid w:val="00485E50"/>
    <w:rsid w:val="00485EAE"/>
    <w:rsid w:val="00485FC0"/>
    <w:rsid w:val="004861D5"/>
    <w:rsid w:val="00486216"/>
    <w:rsid w:val="004862F4"/>
    <w:rsid w:val="004864DE"/>
    <w:rsid w:val="004865F1"/>
    <w:rsid w:val="0048660F"/>
    <w:rsid w:val="00486663"/>
    <w:rsid w:val="00486913"/>
    <w:rsid w:val="0048691D"/>
    <w:rsid w:val="0048694C"/>
    <w:rsid w:val="004869B1"/>
    <w:rsid w:val="00486BD6"/>
    <w:rsid w:val="00486C09"/>
    <w:rsid w:val="00486DB0"/>
    <w:rsid w:val="00486DCB"/>
    <w:rsid w:val="00486ED4"/>
    <w:rsid w:val="00486F2F"/>
    <w:rsid w:val="00486F9D"/>
    <w:rsid w:val="0048704D"/>
    <w:rsid w:val="004872D7"/>
    <w:rsid w:val="004873CB"/>
    <w:rsid w:val="004873E6"/>
    <w:rsid w:val="00487678"/>
    <w:rsid w:val="004878E0"/>
    <w:rsid w:val="00487948"/>
    <w:rsid w:val="00487B22"/>
    <w:rsid w:val="00487B46"/>
    <w:rsid w:val="00487BE7"/>
    <w:rsid w:val="00487C53"/>
    <w:rsid w:val="00487C96"/>
    <w:rsid w:val="00487D06"/>
    <w:rsid w:val="00487D35"/>
    <w:rsid w:val="00487EAC"/>
    <w:rsid w:val="00487FB1"/>
    <w:rsid w:val="00487FD9"/>
    <w:rsid w:val="0049011B"/>
    <w:rsid w:val="0049014D"/>
    <w:rsid w:val="00490209"/>
    <w:rsid w:val="004904BF"/>
    <w:rsid w:val="0049066A"/>
    <w:rsid w:val="00490674"/>
    <w:rsid w:val="00490699"/>
    <w:rsid w:val="004907DE"/>
    <w:rsid w:val="00490B61"/>
    <w:rsid w:val="00490CD7"/>
    <w:rsid w:val="00490DC0"/>
    <w:rsid w:val="00490F6F"/>
    <w:rsid w:val="00490F84"/>
    <w:rsid w:val="004913DD"/>
    <w:rsid w:val="0049148C"/>
    <w:rsid w:val="00491609"/>
    <w:rsid w:val="004916B0"/>
    <w:rsid w:val="004916C9"/>
    <w:rsid w:val="0049172E"/>
    <w:rsid w:val="0049195E"/>
    <w:rsid w:val="00491AA3"/>
    <w:rsid w:val="00491BD9"/>
    <w:rsid w:val="00491CA6"/>
    <w:rsid w:val="0049208D"/>
    <w:rsid w:val="004926F8"/>
    <w:rsid w:val="0049278C"/>
    <w:rsid w:val="0049290F"/>
    <w:rsid w:val="00492BB8"/>
    <w:rsid w:val="00492C61"/>
    <w:rsid w:val="00492CC7"/>
    <w:rsid w:val="0049312C"/>
    <w:rsid w:val="0049316C"/>
    <w:rsid w:val="00493194"/>
    <w:rsid w:val="004934E5"/>
    <w:rsid w:val="00493788"/>
    <w:rsid w:val="00493811"/>
    <w:rsid w:val="0049393F"/>
    <w:rsid w:val="00493962"/>
    <w:rsid w:val="004939E0"/>
    <w:rsid w:val="00493A14"/>
    <w:rsid w:val="00493A44"/>
    <w:rsid w:val="00493B4D"/>
    <w:rsid w:val="00493B8A"/>
    <w:rsid w:val="00493C05"/>
    <w:rsid w:val="00493D20"/>
    <w:rsid w:val="00493D94"/>
    <w:rsid w:val="00493F2F"/>
    <w:rsid w:val="00493FC1"/>
    <w:rsid w:val="00493FE2"/>
    <w:rsid w:val="00494052"/>
    <w:rsid w:val="0049421A"/>
    <w:rsid w:val="00494224"/>
    <w:rsid w:val="00494303"/>
    <w:rsid w:val="0049443A"/>
    <w:rsid w:val="00494525"/>
    <w:rsid w:val="004945DB"/>
    <w:rsid w:val="00494607"/>
    <w:rsid w:val="0049465B"/>
    <w:rsid w:val="0049477D"/>
    <w:rsid w:val="004947B7"/>
    <w:rsid w:val="004947BD"/>
    <w:rsid w:val="00494855"/>
    <w:rsid w:val="00494916"/>
    <w:rsid w:val="00494B76"/>
    <w:rsid w:val="00494B94"/>
    <w:rsid w:val="00494C23"/>
    <w:rsid w:val="00494E1D"/>
    <w:rsid w:val="00494E88"/>
    <w:rsid w:val="00494F09"/>
    <w:rsid w:val="00495213"/>
    <w:rsid w:val="00495226"/>
    <w:rsid w:val="0049522A"/>
    <w:rsid w:val="00495430"/>
    <w:rsid w:val="00495464"/>
    <w:rsid w:val="00495708"/>
    <w:rsid w:val="0049573B"/>
    <w:rsid w:val="0049579A"/>
    <w:rsid w:val="004957AF"/>
    <w:rsid w:val="004957DE"/>
    <w:rsid w:val="00495850"/>
    <w:rsid w:val="004958CA"/>
    <w:rsid w:val="00495A04"/>
    <w:rsid w:val="00495B1D"/>
    <w:rsid w:val="00495D3F"/>
    <w:rsid w:val="00495EFD"/>
    <w:rsid w:val="004962A3"/>
    <w:rsid w:val="00496777"/>
    <w:rsid w:val="0049677C"/>
    <w:rsid w:val="00496806"/>
    <w:rsid w:val="00496984"/>
    <w:rsid w:val="00496A5A"/>
    <w:rsid w:val="00496C35"/>
    <w:rsid w:val="0049707C"/>
    <w:rsid w:val="004970A0"/>
    <w:rsid w:val="004970D3"/>
    <w:rsid w:val="0049721D"/>
    <w:rsid w:val="0049722F"/>
    <w:rsid w:val="004972EC"/>
    <w:rsid w:val="0049731E"/>
    <w:rsid w:val="004973AB"/>
    <w:rsid w:val="0049744F"/>
    <w:rsid w:val="00497513"/>
    <w:rsid w:val="004975CF"/>
    <w:rsid w:val="00497637"/>
    <w:rsid w:val="0049794D"/>
    <w:rsid w:val="004979CD"/>
    <w:rsid w:val="004979E6"/>
    <w:rsid w:val="00497A34"/>
    <w:rsid w:val="00497ADD"/>
    <w:rsid w:val="00497AE9"/>
    <w:rsid w:val="00497CA5"/>
    <w:rsid w:val="00497E06"/>
    <w:rsid w:val="00497EBD"/>
    <w:rsid w:val="00497ECF"/>
    <w:rsid w:val="00497EF1"/>
    <w:rsid w:val="00497FC2"/>
    <w:rsid w:val="004A015B"/>
    <w:rsid w:val="004A017D"/>
    <w:rsid w:val="004A0232"/>
    <w:rsid w:val="004A02A6"/>
    <w:rsid w:val="004A030D"/>
    <w:rsid w:val="004A0328"/>
    <w:rsid w:val="004A045A"/>
    <w:rsid w:val="004A05CB"/>
    <w:rsid w:val="004A073F"/>
    <w:rsid w:val="004A0774"/>
    <w:rsid w:val="004A07AD"/>
    <w:rsid w:val="004A084A"/>
    <w:rsid w:val="004A0B9D"/>
    <w:rsid w:val="004A0D59"/>
    <w:rsid w:val="004A0DEB"/>
    <w:rsid w:val="004A0E47"/>
    <w:rsid w:val="004A0E9E"/>
    <w:rsid w:val="004A0FB7"/>
    <w:rsid w:val="004A10ED"/>
    <w:rsid w:val="004A10FC"/>
    <w:rsid w:val="004A112B"/>
    <w:rsid w:val="004A118A"/>
    <w:rsid w:val="004A11DA"/>
    <w:rsid w:val="004A1240"/>
    <w:rsid w:val="004A133B"/>
    <w:rsid w:val="004A13E3"/>
    <w:rsid w:val="004A143D"/>
    <w:rsid w:val="004A146A"/>
    <w:rsid w:val="004A14F1"/>
    <w:rsid w:val="004A1584"/>
    <w:rsid w:val="004A18C6"/>
    <w:rsid w:val="004A190D"/>
    <w:rsid w:val="004A1AA9"/>
    <w:rsid w:val="004A1AAE"/>
    <w:rsid w:val="004A1AED"/>
    <w:rsid w:val="004A1B49"/>
    <w:rsid w:val="004A1C03"/>
    <w:rsid w:val="004A1D62"/>
    <w:rsid w:val="004A1EC1"/>
    <w:rsid w:val="004A1EF7"/>
    <w:rsid w:val="004A1F02"/>
    <w:rsid w:val="004A2011"/>
    <w:rsid w:val="004A2016"/>
    <w:rsid w:val="004A202C"/>
    <w:rsid w:val="004A209A"/>
    <w:rsid w:val="004A20B0"/>
    <w:rsid w:val="004A2238"/>
    <w:rsid w:val="004A2403"/>
    <w:rsid w:val="004A260B"/>
    <w:rsid w:val="004A2737"/>
    <w:rsid w:val="004A2939"/>
    <w:rsid w:val="004A29CE"/>
    <w:rsid w:val="004A2A36"/>
    <w:rsid w:val="004A2ACD"/>
    <w:rsid w:val="004A2BB7"/>
    <w:rsid w:val="004A2CC4"/>
    <w:rsid w:val="004A2D4D"/>
    <w:rsid w:val="004A2DC1"/>
    <w:rsid w:val="004A2E7D"/>
    <w:rsid w:val="004A2E92"/>
    <w:rsid w:val="004A2E93"/>
    <w:rsid w:val="004A3028"/>
    <w:rsid w:val="004A3050"/>
    <w:rsid w:val="004A310C"/>
    <w:rsid w:val="004A3208"/>
    <w:rsid w:val="004A3243"/>
    <w:rsid w:val="004A3258"/>
    <w:rsid w:val="004A3259"/>
    <w:rsid w:val="004A32EC"/>
    <w:rsid w:val="004A35CC"/>
    <w:rsid w:val="004A363C"/>
    <w:rsid w:val="004A36D5"/>
    <w:rsid w:val="004A3A8D"/>
    <w:rsid w:val="004A3BA7"/>
    <w:rsid w:val="004A3CBD"/>
    <w:rsid w:val="004A40C5"/>
    <w:rsid w:val="004A41DB"/>
    <w:rsid w:val="004A4321"/>
    <w:rsid w:val="004A43D0"/>
    <w:rsid w:val="004A4580"/>
    <w:rsid w:val="004A459E"/>
    <w:rsid w:val="004A4684"/>
    <w:rsid w:val="004A48CF"/>
    <w:rsid w:val="004A4AA9"/>
    <w:rsid w:val="004A4AEE"/>
    <w:rsid w:val="004A4BF6"/>
    <w:rsid w:val="004A4CA4"/>
    <w:rsid w:val="004A4CA5"/>
    <w:rsid w:val="004A4EBF"/>
    <w:rsid w:val="004A501D"/>
    <w:rsid w:val="004A5055"/>
    <w:rsid w:val="004A50F5"/>
    <w:rsid w:val="004A5224"/>
    <w:rsid w:val="004A52E2"/>
    <w:rsid w:val="004A537F"/>
    <w:rsid w:val="004A53B3"/>
    <w:rsid w:val="004A53F2"/>
    <w:rsid w:val="004A561C"/>
    <w:rsid w:val="004A5684"/>
    <w:rsid w:val="004A57AB"/>
    <w:rsid w:val="004A57B6"/>
    <w:rsid w:val="004A585D"/>
    <w:rsid w:val="004A58F6"/>
    <w:rsid w:val="004A597E"/>
    <w:rsid w:val="004A5A7F"/>
    <w:rsid w:val="004A5C2E"/>
    <w:rsid w:val="004A5C34"/>
    <w:rsid w:val="004A5C3B"/>
    <w:rsid w:val="004A5CA3"/>
    <w:rsid w:val="004A5D6C"/>
    <w:rsid w:val="004A5E41"/>
    <w:rsid w:val="004A6087"/>
    <w:rsid w:val="004A60F4"/>
    <w:rsid w:val="004A6177"/>
    <w:rsid w:val="004A62F4"/>
    <w:rsid w:val="004A66AA"/>
    <w:rsid w:val="004A67A3"/>
    <w:rsid w:val="004A68BE"/>
    <w:rsid w:val="004A68D3"/>
    <w:rsid w:val="004A6954"/>
    <w:rsid w:val="004A69C4"/>
    <w:rsid w:val="004A6CC4"/>
    <w:rsid w:val="004A6D67"/>
    <w:rsid w:val="004A6FAB"/>
    <w:rsid w:val="004A6FC9"/>
    <w:rsid w:val="004A714E"/>
    <w:rsid w:val="004A7174"/>
    <w:rsid w:val="004A71F2"/>
    <w:rsid w:val="004A72E1"/>
    <w:rsid w:val="004A7338"/>
    <w:rsid w:val="004A74D9"/>
    <w:rsid w:val="004A750E"/>
    <w:rsid w:val="004A7605"/>
    <w:rsid w:val="004A76DA"/>
    <w:rsid w:val="004A77F3"/>
    <w:rsid w:val="004A7856"/>
    <w:rsid w:val="004A78DB"/>
    <w:rsid w:val="004A7B0A"/>
    <w:rsid w:val="004A7C5B"/>
    <w:rsid w:val="004A7D43"/>
    <w:rsid w:val="004A7DD2"/>
    <w:rsid w:val="004A7E1D"/>
    <w:rsid w:val="004A7F07"/>
    <w:rsid w:val="004B0221"/>
    <w:rsid w:val="004B0227"/>
    <w:rsid w:val="004B023A"/>
    <w:rsid w:val="004B024E"/>
    <w:rsid w:val="004B02C2"/>
    <w:rsid w:val="004B03E5"/>
    <w:rsid w:val="004B0456"/>
    <w:rsid w:val="004B04A4"/>
    <w:rsid w:val="004B0515"/>
    <w:rsid w:val="004B0577"/>
    <w:rsid w:val="004B0596"/>
    <w:rsid w:val="004B06CD"/>
    <w:rsid w:val="004B077B"/>
    <w:rsid w:val="004B0C6D"/>
    <w:rsid w:val="004B0CC0"/>
    <w:rsid w:val="004B0D7C"/>
    <w:rsid w:val="004B0DAD"/>
    <w:rsid w:val="004B0EB8"/>
    <w:rsid w:val="004B0FCF"/>
    <w:rsid w:val="004B0FEA"/>
    <w:rsid w:val="004B12D1"/>
    <w:rsid w:val="004B135F"/>
    <w:rsid w:val="004B13ED"/>
    <w:rsid w:val="004B1436"/>
    <w:rsid w:val="004B149C"/>
    <w:rsid w:val="004B1509"/>
    <w:rsid w:val="004B15D7"/>
    <w:rsid w:val="004B168F"/>
    <w:rsid w:val="004B19E0"/>
    <w:rsid w:val="004B1B0F"/>
    <w:rsid w:val="004B1C53"/>
    <w:rsid w:val="004B1E01"/>
    <w:rsid w:val="004B20C7"/>
    <w:rsid w:val="004B2237"/>
    <w:rsid w:val="004B24FC"/>
    <w:rsid w:val="004B25C4"/>
    <w:rsid w:val="004B2B02"/>
    <w:rsid w:val="004B2C70"/>
    <w:rsid w:val="004B2D64"/>
    <w:rsid w:val="004B2DB3"/>
    <w:rsid w:val="004B2E47"/>
    <w:rsid w:val="004B2E87"/>
    <w:rsid w:val="004B2EB5"/>
    <w:rsid w:val="004B32D3"/>
    <w:rsid w:val="004B36D6"/>
    <w:rsid w:val="004B37A4"/>
    <w:rsid w:val="004B3925"/>
    <w:rsid w:val="004B3B58"/>
    <w:rsid w:val="004B3B91"/>
    <w:rsid w:val="004B3C44"/>
    <w:rsid w:val="004B3E4F"/>
    <w:rsid w:val="004B3EAA"/>
    <w:rsid w:val="004B3FB1"/>
    <w:rsid w:val="004B3FCC"/>
    <w:rsid w:val="004B41C1"/>
    <w:rsid w:val="004B41E5"/>
    <w:rsid w:val="004B4296"/>
    <w:rsid w:val="004B4386"/>
    <w:rsid w:val="004B4499"/>
    <w:rsid w:val="004B4540"/>
    <w:rsid w:val="004B4A33"/>
    <w:rsid w:val="004B4A4D"/>
    <w:rsid w:val="004B4CBA"/>
    <w:rsid w:val="004B4D85"/>
    <w:rsid w:val="004B50AB"/>
    <w:rsid w:val="004B540D"/>
    <w:rsid w:val="004B55D0"/>
    <w:rsid w:val="004B56AC"/>
    <w:rsid w:val="004B56B9"/>
    <w:rsid w:val="004B56BE"/>
    <w:rsid w:val="004B570D"/>
    <w:rsid w:val="004B58BA"/>
    <w:rsid w:val="004B58DC"/>
    <w:rsid w:val="004B5A75"/>
    <w:rsid w:val="004B5ABE"/>
    <w:rsid w:val="004B5F3A"/>
    <w:rsid w:val="004B6003"/>
    <w:rsid w:val="004B6026"/>
    <w:rsid w:val="004B6232"/>
    <w:rsid w:val="004B6282"/>
    <w:rsid w:val="004B6517"/>
    <w:rsid w:val="004B6523"/>
    <w:rsid w:val="004B653A"/>
    <w:rsid w:val="004B6664"/>
    <w:rsid w:val="004B697B"/>
    <w:rsid w:val="004B6C0D"/>
    <w:rsid w:val="004B6C25"/>
    <w:rsid w:val="004B6D8C"/>
    <w:rsid w:val="004B6F07"/>
    <w:rsid w:val="004B6F36"/>
    <w:rsid w:val="004B6F3B"/>
    <w:rsid w:val="004B6FE3"/>
    <w:rsid w:val="004B707C"/>
    <w:rsid w:val="004B7101"/>
    <w:rsid w:val="004B7202"/>
    <w:rsid w:val="004B72DE"/>
    <w:rsid w:val="004B72ED"/>
    <w:rsid w:val="004B7413"/>
    <w:rsid w:val="004B75E9"/>
    <w:rsid w:val="004B774D"/>
    <w:rsid w:val="004B7BDE"/>
    <w:rsid w:val="004B7D16"/>
    <w:rsid w:val="004B7E37"/>
    <w:rsid w:val="004C00D6"/>
    <w:rsid w:val="004C0190"/>
    <w:rsid w:val="004C0584"/>
    <w:rsid w:val="004C0599"/>
    <w:rsid w:val="004C07A6"/>
    <w:rsid w:val="004C09A9"/>
    <w:rsid w:val="004C09B7"/>
    <w:rsid w:val="004C09D7"/>
    <w:rsid w:val="004C0B3A"/>
    <w:rsid w:val="004C0BF3"/>
    <w:rsid w:val="004C0C1F"/>
    <w:rsid w:val="004C0C79"/>
    <w:rsid w:val="004C0CC1"/>
    <w:rsid w:val="004C0F01"/>
    <w:rsid w:val="004C1077"/>
    <w:rsid w:val="004C10B1"/>
    <w:rsid w:val="004C1107"/>
    <w:rsid w:val="004C11EB"/>
    <w:rsid w:val="004C1261"/>
    <w:rsid w:val="004C136D"/>
    <w:rsid w:val="004C14AE"/>
    <w:rsid w:val="004C163F"/>
    <w:rsid w:val="004C165D"/>
    <w:rsid w:val="004C16B7"/>
    <w:rsid w:val="004C16DD"/>
    <w:rsid w:val="004C1799"/>
    <w:rsid w:val="004C1901"/>
    <w:rsid w:val="004C195E"/>
    <w:rsid w:val="004C1974"/>
    <w:rsid w:val="004C19E7"/>
    <w:rsid w:val="004C1A21"/>
    <w:rsid w:val="004C1A70"/>
    <w:rsid w:val="004C1AC1"/>
    <w:rsid w:val="004C1C21"/>
    <w:rsid w:val="004C1C6A"/>
    <w:rsid w:val="004C1C72"/>
    <w:rsid w:val="004C1E54"/>
    <w:rsid w:val="004C1F7F"/>
    <w:rsid w:val="004C1F82"/>
    <w:rsid w:val="004C20F2"/>
    <w:rsid w:val="004C23F4"/>
    <w:rsid w:val="004C24E6"/>
    <w:rsid w:val="004C2574"/>
    <w:rsid w:val="004C2787"/>
    <w:rsid w:val="004C286C"/>
    <w:rsid w:val="004C290F"/>
    <w:rsid w:val="004C2921"/>
    <w:rsid w:val="004C295F"/>
    <w:rsid w:val="004C2B19"/>
    <w:rsid w:val="004C2B4C"/>
    <w:rsid w:val="004C2C8C"/>
    <w:rsid w:val="004C2CC7"/>
    <w:rsid w:val="004C2D66"/>
    <w:rsid w:val="004C2EA4"/>
    <w:rsid w:val="004C2F56"/>
    <w:rsid w:val="004C2F82"/>
    <w:rsid w:val="004C2FB3"/>
    <w:rsid w:val="004C3090"/>
    <w:rsid w:val="004C317F"/>
    <w:rsid w:val="004C3198"/>
    <w:rsid w:val="004C32E3"/>
    <w:rsid w:val="004C3486"/>
    <w:rsid w:val="004C34F6"/>
    <w:rsid w:val="004C3506"/>
    <w:rsid w:val="004C35D9"/>
    <w:rsid w:val="004C3642"/>
    <w:rsid w:val="004C36B1"/>
    <w:rsid w:val="004C3913"/>
    <w:rsid w:val="004C3A3A"/>
    <w:rsid w:val="004C3A9A"/>
    <w:rsid w:val="004C3B78"/>
    <w:rsid w:val="004C3C63"/>
    <w:rsid w:val="004C3CE4"/>
    <w:rsid w:val="004C3D6B"/>
    <w:rsid w:val="004C4160"/>
    <w:rsid w:val="004C417E"/>
    <w:rsid w:val="004C4456"/>
    <w:rsid w:val="004C44D2"/>
    <w:rsid w:val="004C451D"/>
    <w:rsid w:val="004C45A2"/>
    <w:rsid w:val="004C46ED"/>
    <w:rsid w:val="004C482D"/>
    <w:rsid w:val="004C48E0"/>
    <w:rsid w:val="004C4A39"/>
    <w:rsid w:val="004C4AC7"/>
    <w:rsid w:val="004C4AED"/>
    <w:rsid w:val="004C4B93"/>
    <w:rsid w:val="004C4C8D"/>
    <w:rsid w:val="004C4D44"/>
    <w:rsid w:val="004C5014"/>
    <w:rsid w:val="004C506F"/>
    <w:rsid w:val="004C51C5"/>
    <w:rsid w:val="004C5311"/>
    <w:rsid w:val="004C5325"/>
    <w:rsid w:val="004C5543"/>
    <w:rsid w:val="004C569E"/>
    <w:rsid w:val="004C5734"/>
    <w:rsid w:val="004C5769"/>
    <w:rsid w:val="004C583A"/>
    <w:rsid w:val="004C5873"/>
    <w:rsid w:val="004C5A40"/>
    <w:rsid w:val="004C5AC2"/>
    <w:rsid w:val="004C5B44"/>
    <w:rsid w:val="004C5BCB"/>
    <w:rsid w:val="004C5C87"/>
    <w:rsid w:val="004C5E3A"/>
    <w:rsid w:val="004C5EC8"/>
    <w:rsid w:val="004C5F54"/>
    <w:rsid w:val="004C5FC0"/>
    <w:rsid w:val="004C6038"/>
    <w:rsid w:val="004C605E"/>
    <w:rsid w:val="004C609C"/>
    <w:rsid w:val="004C60A2"/>
    <w:rsid w:val="004C60EA"/>
    <w:rsid w:val="004C646C"/>
    <w:rsid w:val="004C65F8"/>
    <w:rsid w:val="004C65FE"/>
    <w:rsid w:val="004C6640"/>
    <w:rsid w:val="004C6793"/>
    <w:rsid w:val="004C67C0"/>
    <w:rsid w:val="004C6818"/>
    <w:rsid w:val="004C690D"/>
    <w:rsid w:val="004C6A93"/>
    <w:rsid w:val="004C6B66"/>
    <w:rsid w:val="004C6BB9"/>
    <w:rsid w:val="004C6C42"/>
    <w:rsid w:val="004C6C8E"/>
    <w:rsid w:val="004C6D81"/>
    <w:rsid w:val="004C6FD0"/>
    <w:rsid w:val="004C7085"/>
    <w:rsid w:val="004C70A7"/>
    <w:rsid w:val="004C7300"/>
    <w:rsid w:val="004C730A"/>
    <w:rsid w:val="004C7397"/>
    <w:rsid w:val="004C74EB"/>
    <w:rsid w:val="004C75E1"/>
    <w:rsid w:val="004C763F"/>
    <w:rsid w:val="004C7840"/>
    <w:rsid w:val="004C78E3"/>
    <w:rsid w:val="004C796C"/>
    <w:rsid w:val="004C7C81"/>
    <w:rsid w:val="004C7DE4"/>
    <w:rsid w:val="004C7EF2"/>
    <w:rsid w:val="004D033E"/>
    <w:rsid w:val="004D041A"/>
    <w:rsid w:val="004D04BA"/>
    <w:rsid w:val="004D0549"/>
    <w:rsid w:val="004D06AA"/>
    <w:rsid w:val="004D08BF"/>
    <w:rsid w:val="004D0987"/>
    <w:rsid w:val="004D09DE"/>
    <w:rsid w:val="004D0A6E"/>
    <w:rsid w:val="004D0C25"/>
    <w:rsid w:val="004D0C84"/>
    <w:rsid w:val="004D0DEB"/>
    <w:rsid w:val="004D0EB9"/>
    <w:rsid w:val="004D0EF4"/>
    <w:rsid w:val="004D0F98"/>
    <w:rsid w:val="004D1081"/>
    <w:rsid w:val="004D1142"/>
    <w:rsid w:val="004D11D0"/>
    <w:rsid w:val="004D13E7"/>
    <w:rsid w:val="004D140C"/>
    <w:rsid w:val="004D15AC"/>
    <w:rsid w:val="004D16A2"/>
    <w:rsid w:val="004D1764"/>
    <w:rsid w:val="004D181F"/>
    <w:rsid w:val="004D18FF"/>
    <w:rsid w:val="004D1A17"/>
    <w:rsid w:val="004D1B40"/>
    <w:rsid w:val="004D1BFA"/>
    <w:rsid w:val="004D1C02"/>
    <w:rsid w:val="004D1D24"/>
    <w:rsid w:val="004D1D95"/>
    <w:rsid w:val="004D1E32"/>
    <w:rsid w:val="004D1F38"/>
    <w:rsid w:val="004D21F0"/>
    <w:rsid w:val="004D2295"/>
    <w:rsid w:val="004D2764"/>
    <w:rsid w:val="004D279E"/>
    <w:rsid w:val="004D2850"/>
    <w:rsid w:val="004D295F"/>
    <w:rsid w:val="004D29EE"/>
    <w:rsid w:val="004D2A70"/>
    <w:rsid w:val="004D2B39"/>
    <w:rsid w:val="004D2C8D"/>
    <w:rsid w:val="004D2CE4"/>
    <w:rsid w:val="004D2D0C"/>
    <w:rsid w:val="004D2D3B"/>
    <w:rsid w:val="004D2EDE"/>
    <w:rsid w:val="004D2EE1"/>
    <w:rsid w:val="004D30EB"/>
    <w:rsid w:val="004D3171"/>
    <w:rsid w:val="004D31BC"/>
    <w:rsid w:val="004D3255"/>
    <w:rsid w:val="004D3696"/>
    <w:rsid w:val="004D385D"/>
    <w:rsid w:val="004D39D6"/>
    <w:rsid w:val="004D3F71"/>
    <w:rsid w:val="004D3FF8"/>
    <w:rsid w:val="004D41A0"/>
    <w:rsid w:val="004D41F3"/>
    <w:rsid w:val="004D42F8"/>
    <w:rsid w:val="004D4336"/>
    <w:rsid w:val="004D44A5"/>
    <w:rsid w:val="004D44BA"/>
    <w:rsid w:val="004D4558"/>
    <w:rsid w:val="004D455D"/>
    <w:rsid w:val="004D4772"/>
    <w:rsid w:val="004D47A7"/>
    <w:rsid w:val="004D48F3"/>
    <w:rsid w:val="004D4913"/>
    <w:rsid w:val="004D4949"/>
    <w:rsid w:val="004D49B6"/>
    <w:rsid w:val="004D4A27"/>
    <w:rsid w:val="004D4BBF"/>
    <w:rsid w:val="004D4E80"/>
    <w:rsid w:val="004D4FA8"/>
    <w:rsid w:val="004D5013"/>
    <w:rsid w:val="004D5025"/>
    <w:rsid w:val="004D5091"/>
    <w:rsid w:val="004D5296"/>
    <w:rsid w:val="004D52C8"/>
    <w:rsid w:val="004D5315"/>
    <w:rsid w:val="004D53B2"/>
    <w:rsid w:val="004D54B5"/>
    <w:rsid w:val="004D552C"/>
    <w:rsid w:val="004D5576"/>
    <w:rsid w:val="004D5685"/>
    <w:rsid w:val="004D57B7"/>
    <w:rsid w:val="004D585E"/>
    <w:rsid w:val="004D58A7"/>
    <w:rsid w:val="004D59A7"/>
    <w:rsid w:val="004D5B36"/>
    <w:rsid w:val="004D5C80"/>
    <w:rsid w:val="004D5E78"/>
    <w:rsid w:val="004D5F2D"/>
    <w:rsid w:val="004D5FC7"/>
    <w:rsid w:val="004D60D5"/>
    <w:rsid w:val="004D6269"/>
    <w:rsid w:val="004D62BB"/>
    <w:rsid w:val="004D62F3"/>
    <w:rsid w:val="004D647D"/>
    <w:rsid w:val="004D6591"/>
    <w:rsid w:val="004D6657"/>
    <w:rsid w:val="004D6666"/>
    <w:rsid w:val="004D68CD"/>
    <w:rsid w:val="004D6A68"/>
    <w:rsid w:val="004D6C7A"/>
    <w:rsid w:val="004D6DC2"/>
    <w:rsid w:val="004D6DE9"/>
    <w:rsid w:val="004D6E49"/>
    <w:rsid w:val="004D7034"/>
    <w:rsid w:val="004D7134"/>
    <w:rsid w:val="004D716F"/>
    <w:rsid w:val="004D7479"/>
    <w:rsid w:val="004D74FE"/>
    <w:rsid w:val="004D773D"/>
    <w:rsid w:val="004D7820"/>
    <w:rsid w:val="004D7852"/>
    <w:rsid w:val="004D7894"/>
    <w:rsid w:val="004D797C"/>
    <w:rsid w:val="004D7980"/>
    <w:rsid w:val="004D79F5"/>
    <w:rsid w:val="004D7A88"/>
    <w:rsid w:val="004D7ACC"/>
    <w:rsid w:val="004D7B1B"/>
    <w:rsid w:val="004D7B53"/>
    <w:rsid w:val="004D7C76"/>
    <w:rsid w:val="004D7C8F"/>
    <w:rsid w:val="004D7C93"/>
    <w:rsid w:val="004D7D1D"/>
    <w:rsid w:val="004D7EED"/>
    <w:rsid w:val="004D7F4F"/>
    <w:rsid w:val="004E0063"/>
    <w:rsid w:val="004E01E4"/>
    <w:rsid w:val="004E02D0"/>
    <w:rsid w:val="004E0385"/>
    <w:rsid w:val="004E046A"/>
    <w:rsid w:val="004E07B3"/>
    <w:rsid w:val="004E0850"/>
    <w:rsid w:val="004E0861"/>
    <w:rsid w:val="004E0A0A"/>
    <w:rsid w:val="004E0AE7"/>
    <w:rsid w:val="004E0CE0"/>
    <w:rsid w:val="004E0D53"/>
    <w:rsid w:val="004E0DC7"/>
    <w:rsid w:val="004E112A"/>
    <w:rsid w:val="004E151B"/>
    <w:rsid w:val="004E15FD"/>
    <w:rsid w:val="004E161E"/>
    <w:rsid w:val="004E1688"/>
    <w:rsid w:val="004E17B2"/>
    <w:rsid w:val="004E197A"/>
    <w:rsid w:val="004E199E"/>
    <w:rsid w:val="004E1B2A"/>
    <w:rsid w:val="004E1D93"/>
    <w:rsid w:val="004E1D97"/>
    <w:rsid w:val="004E1DA7"/>
    <w:rsid w:val="004E1DCD"/>
    <w:rsid w:val="004E1FFF"/>
    <w:rsid w:val="004E21F9"/>
    <w:rsid w:val="004E22EC"/>
    <w:rsid w:val="004E25B9"/>
    <w:rsid w:val="004E2656"/>
    <w:rsid w:val="004E26B3"/>
    <w:rsid w:val="004E26FA"/>
    <w:rsid w:val="004E2BD8"/>
    <w:rsid w:val="004E2C12"/>
    <w:rsid w:val="004E2C98"/>
    <w:rsid w:val="004E2CA2"/>
    <w:rsid w:val="004E2D5F"/>
    <w:rsid w:val="004E2E0C"/>
    <w:rsid w:val="004E2F68"/>
    <w:rsid w:val="004E2F94"/>
    <w:rsid w:val="004E308B"/>
    <w:rsid w:val="004E3678"/>
    <w:rsid w:val="004E372F"/>
    <w:rsid w:val="004E389D"/>
    <w:rsid w:val="004E38C2"/>
    <w:rsid w:val="004E3AE3"/>
    <w:rsid w:val="004E3AFB"/>
    <w:rsid w:val="004E3B5A"/>
    <w:rsid w:val="004E3BF3"/>
    <w:rsid w:val="004E3E35"/>
    <w:rsid w:val="004E3EE1"/>
    <w:rsid w:val="004E40F3"/>
    <w:rsid w:val="004E4287"/>
    <w:rsid w:val="004E438E"/>
    <w:rsid w:val="004E441C"/>
    <w:rsid w:val="004E44A3"/>
    <w:rsid w:val="004E44F8"/>
    <w:rsid w:val="004E4644"/>
    <w:rsid w:val="004E464B"/>
    <w:rsid w:val="004E48E5"/>
    <w:rsid w:val="004E4943"/>
    <w:rsid w:val="004E4983"/>
    <w:rsid w:val="004E4AE2"/>
    <w:rsid w:val="004E4C33"/>
    <w:rsid w:val="004E4C76"/>
    <w:rsid w:val="004E4D0B"/>
    <w:rsid w:val="004E4DF7"/>
    <w:rsid w:val="004E50A8"/>
    <w:rsid w:val="004E50D2"/>
    <w:rsid w:val="004E5125"/>
    <w:rsid w:val="004E522F"/>
    <w:rsid w:val="004E5261"/>
    <w:rsid w:val="004E52BE"/>
    <w:rsid w:val="004E52ED"/>
    <w:rsid w:val="004E54A4"/>
    <w:rsid w:val="004E54AF"/>
    <w:rsid w:val="004E54C2"/>
    <w:rsid w:val="004E555A"/>
    <w:rsid w:val="004E591F"/>
    <w:rsid w:val="004E5B71"/>
    <w:rsid w:val="004E5BA2"/>
    <w:rsid w:val="004E5CB2"/>
    <w:rsid w:val="004E5CEB"/>
    <w:rsid w:val="004E5FA0"/>
    <w:rsid w:val="004E5FA8"/>
    <w:rsid w:val="004E6015"/>
    <w:rsid w:val="004E602F"/>
    <w:rsid w:val="004E60B1"/>
    <w:rsid w:val="004E6177"/>
    <w:rsid w:val="004E61DE"/>
    <w:rsid w:val="004E6267"/>
    <w:rsid w:val="004E63A0"/>
    <w:rsid w:val="004E64A2"/>
    <w:rsid w:val="004E652B"/>
    <w:rsid w:val="004E65F1"/>
    <w:rsid w:val="004E677A"/>
    <w:rsid w:val="004E6791"/>
    <w:rsid w:val="004E6884"/>
    <w:rsid w:val="004E6991"/>
    <w:rsid w:val="004E6A01"/>
    <w:rsid w:val="004E6C01"/>
    <w:rsid w:val="004E6CA2"/>
    <w:rsid w:val="004E6F06"/>
    <w:rsid w:val="004E7021"/>
    <w:rsid w:val="004E70CC"/>
    <w:rsid w:val="004E71FF"/>
    <w:rsid w:val="004E7234"/>
    <w:rsid w:val="004E726D"/>
    <w:rsid w:val="004E73A0"/>
    <w:rsid w:val="004E754C"/>
    <w:rsid w:val="004E75ED"/>
    <w:rsid w:val="004E76D1"/>
    <w:rsid w:val="004E775C"/>
    <w:rsid w:val="004E79D2"/>
    <w:rsid w:val="004E7A72"/>
    <w:rsid w:val="004E7CEB"/>
    <w:rsid w:val="004E7D59"/>
    <w:rsid w:val="004E7E2B"/>
    <w:rsid w:val="004E7EDC"/>
    <w:rsid w:val="004E7EF5"/>
    <w:rsid w:val="004E7EF9"/>
    <w:rsid w:val="004E7FA4"/>
    <w:rsid w:val="004F0026"/>
    <w:rsid w:val="004F01E2"/>
    <w:rsid w:val="004F0396"/>
    <w:rsid w:val="004F0467"/>
    <w:rsid w:val="004F0557"/>
    <w:rsid w:val="004F068F"/>
    <w:rsid w:val="004F07FB"/>
    <w:rsid w:val="004F0826"/>
    <w:rsid w:val="004F09D0"/>
    <w:rsid w:val="004F0C1A"/>
    <w:rsid w:val="004F0D37"/>
    <w:rsid w:val="004F0D78"/>
    <w:rsid w:val="004F0DB3"/>
    <w:rsid w:val="004F0DB4"/>
    <w:rsid w:val="004F0E0C"/>
    <w:rsid w:val="004F0E1F"/>
    <w:rsid w:val="004F0EE9"/>
    <w:rsid w:val="004F1110"/>
    <w:rsid w:val="004F1220"/>
    <w:rsid w:val="004F13C3"/>
    <w:rsid w:val="004F13EC"/>
    <w:rsid w:val="004F1583"/>
    <w:rsid w:val="004F15E3"/>
    <w:rsid w:val="004F16FD"/>
    <w:rsid w:val="004F1754"/>
    <w:rsid w:val="004F17E6"/>
    <w:rsid w:val="004F1847"/>
    <w:rsid w:val="004F1A1B"/>
    <w:rsid w:val="004F1B1A"/>
    <w:rsid w:val="004F1BBB"/>
    <w:rsid w:val="004F1C42"/>
    <w:rsid w:val="004F1CF8"/>
    <w:rsid w:val="004F23C8"/>
    <w:rsid w:val="004F24FC"/>
    <w:rsid w:val="004F2782"/>
    <w:rsid w:val="004F27B1"/>
    <w:rsid w:val="004F27C4"/>
    <w:rsid w:val="004F27D7"/>
    <w:rsid w:val="004F2A40"/>
    <w:rsid w:val="004F2A84"/>
    <w:rsid w:val="004F2B5C"/>
    <w:rsid w:val="004F2CF1"/>
    <w:rsid w:val="004F2D77"/>
    <w:rsid w:val="004F2F44"/>
    <w:rsid w:val="004F2F48"/>
    <w:rsid w:val="004F312F"/>
    <w:rsid w:val="004F3291"/>
    <w:rsid w:val="004F32A3"/>
    <w:rsid w:val="004F34D8"/>
    <w:rsid w:val="004F34F6"/>
    <w:rsid w:val="004F35D9"/>
    <w:rsid w:val="004F35EC"/>
    <w:rsid w:val="004F3696"/>
    <w:rsid w:val="004F370D"/>
    <w:rsid w:val="004F372F"/>
    <w:rsid w:val="004F38A8"/>
    <w:rsid w:val="004F3A47"/>
    <w:rsid w:val="004F3B22"/>
    <w:rsid w:val="004F3C2B"/>
    <w:rsid w:val="004F3EC5"/>
    <w:rsid w:val="004F3FC4"/>
    <w:rsid w:val="004F41FA"/>
    <w:rsid w:val="004F4505"/>
    <w:rsid w:val="004F45A2"/>
    <w:rsid w:val="004F4689"/>
    <w:rsid w:val="004F479E"/>
    <w:rsid w:val="004F47C9"/>
    <w:rsid w:val="004F4830"/>
    <w:rsid w:val="004F4917"/>
    <w:rsid w:val="004F496D"/>
    <w:rsid w:val="004F4B79"/>
    <w:rsid w:val="004F4BFE"/>
    <w:rsid w:val="004F4D74"/>
    <w:rsid w:val="004F4F4D"/>
    <w:rsid w:val="004F50BC"/>
    <w:rsid w:val="004F50C5"/>
    <w:rsid w:val="004F50D3"/>
    <w:rsid w:val="004F52A9"/>
    <w:rsid w:val="004F52FC"/>
    <w:rsid w:val="004F5330"/>
    <w:rsid w:val="004F5387"/>
    <w:rsid w:val="004F55F0"/>
    <w:rsid w:val="004F56D0"/>
    <w:rsid w:val="004F58C2"/>
    <w:rsid w:val="004F58FB"/>
    <w:rsid w:val="004F5914"/>
    <w:rsid w:val="004F594F"/>
    <w:rsid w:val="004F5997"/>
    <w:rsid w:val="004F5A9C"/>
    <w:rsid w:val="004F5B64"/>
    <w:rsid w:val="004F5CB9"/>
    <w:rsid w:val="004F5DE8"/>
    <w:rsid w:val="004F604E"/>
    <w:rsid w:val="004F6054"/>
    <w:rsid w:val="004F614D"/>
    <w:rsid w:val="004F61DF"/>
    <w:rsid w:val="004F622B"/>
    <w:rsid w:val="004F631F"/>
    <w:rsid w:val="004F6341"/>
    <w:rsid w:val="004F650F"/>
    <w:rsid w:val="004F66C8"/>
    <w:rsid w:val="004F6702"/>
    <w:rsid w:val="004F6861"/>
    <w:rsid w:val="004F6949"/>
    <w:rsid w:val="004F6A3D"/>
    <w:rsid w:val="004F6ADF"/>
    <w:rsid w:val="004F6B0D"/>
    <w:rsid w:val="004F6C96"/>
    <w:rsid w:val="004F6D21"/>
    <w:rsid w:val="004F6D33"/>
    <w:rsid w:val="004F6D6F"/>
    <w:rsid w:val="004F6E63"/>
    <w:rsid w:val="004F737C"/>
    <w:rsid w:val="004F73C7"/>
    <w:rsid w:val="004F747F"/>
    <w:rsid w:val="004F75F7"/>
    <w:rsid w:val="004F7630"/>
    <w:rsid w:val="004F77BE"/>
    <w:rsid w:val="004F7825"/>
    <w:rsid w:val="004F78FB"/>
    <w:rsid w:val="004F79A8"/>
    <w:rsid w:val="004F7B4B"/>
    <w:rsid w:val="004F7CD9"/>
    <w:rsid w:val="004F7CE4"/>
    <w:rsid w:val="004F7DF6"/>
    <w:rsid w:val="004F7E24"/>
    <w:rsid w:val="004F7E65"/>
    <w:rsid w:val="004F7E8F"/>
    <w:rsid w:val="004F7F70"/>
    <w:rsid w:val="004F7FE0"/>
    <w:rsid w:val="00500066"/>
    <w:rsid w:val="00500130"/>
    <w:rsid w:val="0050030C"/>
    <w:rsid w:val="0050042A"/>
    <w:rsid w:val="005004F6"/>
    <w:rsid w:val="00500716"/>
    <w:rsid w:val="00500787"/>
    <w:rsid w:val="00500821"/>
    <w:rsid w:val="00500845"/>
    <w:rsid w:val="005008C5"/>
    <w:rsid w:val="0050090F"/>
    <w:rsid w:val="00500921"/>
    <w:rsid w:val="00500AE3"/>
    <w:rsid w:val="00500AE4"/>
    <w:rsid w:val="00500B11"/>
    <w:rsid w:val="00500BD3"/>
    <w:rsid w:val="00500D7E"/>
    <w:rsid w:val="00500DB8"/>
    <w:rsid w:val="00500DFF"/>
    <w:rsid w:val="00500ED9"/>
    <w:rsid w:val="00500FE3"/>
    <w:rsid w:val="00500FFB"/>
    <w:rsid w:val="00500FFC"/>
    <w:rsid w:val="00501138"/>
    <w:rsid w:val="005012CD"/>
    <w:rsid w:val="005014DE"/>
    <w:rsid w:val="005014E4"/>
    <w:rsid w:val="0050158A"/>
    <w:rsid w:val="005016DA"/>
    <w:rsid w:val="005016E7"/>
    <w:rsid w:val="0050176A"/>
    <w:rsid w:val="005017C7"/>
    <w:rsid w:val="005017E2"/>
    <w:rsid w:val="005017F2"/>
    <w:rsid w:val="005019A1"/>
    <w:rsid w:val="00501A26"/>
    <w:rsid w:val="00501A7A"/>
    <w:rsid w:val="00501ACD"/>
    <w:rsid w:val="00501AFD"/>
    <w:rsid w:val="00501B40"/>
    <w:rsid w:val="00501B84"/>
    <w:rsid w:val="00501B9C"/>
    <w:rsid w:val="00501C7E"/>
    <w:rsid w:val="00501CE1"/>
    <w:rsid w:val="00501CFA"/>
    <w:rsid w:val="00501E5F"/>
    <w:rsid w:val="00501EAB"/>
    <w:rsid w:val="0050201F"/>
    <w:rsid w:val="00502071"/>
    <w:rsid w:val="00502097"/>
    <w:rsid w:val="005020C7"/>
    <w:rsid w:val="00502163"/>
    <w:rsid w:val="00502266"/>
    <w:rsid w:val="00502359"/>
    <w:rsid w:val="00502556"/>
    <w:rsid w:val="0050258B"/>
    <w:rsid w:val="005025E4"/>
    <w:rsid w:val="00502613"/>
    <w:rsid w:val="00502661"/>
    <w:rsid w:val="005026A7"/>
    <w:rsid w:val="005026A8"/>
    <w:rsid w:val="0050283A"/>
    <w:rsid w:val="0050299C"/>
    <w:rsid w:val="00502A4F"/>
    <w:rsid w:val="00502AC6"/>
    <w:rsid w:val="00502B51"/>
    <w:rsid w:val="00502CB9"/>
    <w:rsid w:val="00502DD5"/>
    <w:rsid w:val="00502F42"/>
    <w:rsid w:val="0050313F"/>
    <w:rsid w:val="0050323F"/>
    <w:rsid w:val="00503586"/>
    <w:rsid w:val="00503645"/>
    <w:rsid w:val="00503808"/>
    <w:rsid w:val="0050387C"/>
    <w:rsid w:val="00503B53"/>
    <w:rsid w:val="00503BEF"/>
    <w:rsid w:val="00503C78"/>
    <w:rsid w:val="00503D3C"/>
    <w:rsid w:val="00503D52"/>
    <w:rsid w:val="00503DCD"/>
    <w:rsid w:val="00503E34"/>
    <w:rsid w:val="00503FCE"/>
    <w:rsid w:val="00504103"/>
    <w:rsid w:val="005041EB"/>
    <w:rsid w:val="0050434D"/>
    <w:rsid w:val="0050437B"/>
    <w:rsid w:val="005043AA"/>
    <w:rsid w:val="005043C1"/>
    <w:rsid w:val="00504725"/>
    <w:rsid w:val="005047CD"/>
    <w:rsid w:val="00504A09"/>
    <w:rsid w:val="00504A86"/>
    <w:rsid w:val="00504AC1"/>
    <w:rsid w:val="00504B4A"/>
    <w:rsid w:val="00504C08"/>
    <w:rsid w:val="00504C79"/>
    <w:rsid w:val="00504E3A"/>
    <w:rsid w:val="00504ED6"/>
    <w:rsid w:val="00504F30"/>
    <w:rsid w:val="005050E1"/>
    <w:rsid w:val="0050512E"/>
    <w:rsid w:val="00505182"/>
    <w:rsid w:val="00505215"/>
    <w:rsid w:val="00505652"/>
    <w:rsid w:val="00505701"/>
    <w:rsid w:val="0050578F"/>
    <w:rsid w:val="005059DF"/>
    <w:rsid w:val="00505BD4"/>
    <w:rsid w:val="00505CC5"/>
    <w:rsid w:val="00505DC6"/>
    <w:rsid w:val="00505EC6"/>
    <w:rsid w:val="00505EE4"/>
    <w:rsid w:val="00505F89"/>
    <w:rsid w:val="00505FAE"/>
    <w:rsid w:val="005060CF"/>
    <w:rsid w:val="005064F7"/>
    <w:rsid w:val="00506626"/>
    <w:rsid w:val="005067A0"/>
    <w:rsid w:val="00506A4E"/>
    <w:rsid w:val="00506D23"/>
    <w:rsid w:val="00506FD2"/>
    <w:rsid w:val="005070CA"/>
    <w:rsid w:val="005071A4"/>
    <w:rsid w:val="005071ED"/>
    <w:rsid w:val="005072E2"/>
    <w:rsid w:val="00507435"/>
    <w:rsid w:val="005075D3"/>
    <w:rsid w:val="00507675"/>
    <w:rsid w:val="005077AC"/>
    <w:rsid w:val="005077F4"/>
    <w:rsid w:val="005078D7"/>
    <w:rsid w:val="005078F6"/>
    <w:rsid w:val="00507B8F"/>
    <w:rsid w:val="00507CE6"/>
    <w:rsid w:val="00507E7B"/>
    <w:rsid w:val="0051005B"/>
    <w:rsid w:val="00510192"/>
    <w:rsid w:val="005101C3"/>
    <w:rsid w:val="00510389"/>
    <w:rsid w:val="0051045B"/>
    <w:rsid w:val="00510465"/>
    <w:rsid w:val="00510473"/>
    <w:rsid w:val="005106C5"/>
    <w:rsid w:val="005106F5"/>
    <w:rsid w:val="00510C0D"/>
    <w:rsid w:val="00510D6A"/>
    <w:rsid w:val="00510F76"/>
    <w:rsid w:val="0051110A"/>
    <w:rsid w:val="00511497"/>
    <w:rsid w:val="00511873"/>
    <w:rsid w:val="0051191D"/>
    <w:rsid w:val="00511A19"/>
    <w:rsid w:val="00511AEF"/>
    <w:rsid w:val="00511B3B"/>
    <w:rsid w:val="00511B6E"/>
    <w:rsid w:val="00511B7F"/>
    <w:rsid w:val="00511C1E"/>
    <w:rsid w:val="0051214B"/>
    <w:rsid w:val="005121DE"/>
    <w:rsid w:val="0051220C"/>
    <w:rsid w:val="005123F4"/>
    <w:rsid w:val="0051242A"/>
    <w:rsid w:val="00512587"/>
    <w:rsid w:val="005127DB"/>
    <w:rsid w:val="0051281F"/>
    <w:rsid w:val="0051288B"/>
    <w:rsid w:val="00512945"/>
    <w:rsid w:val="0051299E"/>
    <w:rsid w:val="00512B23"/>
    <w:rsid w:val="00512BB1"/>
    <w:rsid w:val="00512D0A"/>
    <w:rsid w:val="00512D56"/>
    <w:rsid w:val="00512D98"/>
    <w:rsid w:val="00512EE5"/>
    <w:rsid w:val="00512FCB"/>
    <w:rsid w:val="005130EB"/>
    <w:rsid w:val="00513117"/>
    <w:rsid w:val="0051314B"/>
    <w:rsid w:val="00513340"/>
    <w:rsid w:val="005133E3"/>
    <w:rsid w:val="005134C0"/>
    <w:rsid w:val="00513544"/>
    <w:rsid w:val="0051357D"/>
    <w:rsid w:val="00513674"/>
    <w:rsid w:val="005136DA"/>
    <w:rsid w:val="005137DC"/>
    <w:rsid w:val="005137DF"/>
    <w:rsid w:val="005139E4"/>
    <w:rsid w:val="00513A0C"/>
    <w:rsid w:val="00513A60"/>
    <w:rsid w:val="00513A67"/>
    <w:rsid w:val="00513A7C"/>
    <w:rsid w:val="00513B27"/>
    <w:rsid w:val="00513B5C"/>
    <w:rsid w:val="00513B9D"/>
    <w:rsid w:val="00513C2B"/>
    <w:rsid w:val="00513E1D"/>
    <w:rsid w:val="00513FDE"/>
    <w:rsid w:val="00513FE4"/>
    <w:rsid w:val="00514027"/>
    <w:rsid w:val="00514094"/>
    <w:rsid w:val="0051416C"/>
    <w:rsid w:val="00514372"/>
    <w:rsid w:val="00514623"/>
    <w:rsid w:val="00514723"/>
    <w:rsid w:val="005147E3"/>
    <w:rsid w:val="00514978"/>
    <w:rsid w:val="00514A44"/>
    <w:rsid w:val="00514C33"/>
    <w:rsid w:val="00514C39"/>
    <w:rsid w:val="00514D9F"/>
    <w:rsid w:val="00514E5B"/>
    <w:rsid w:val="00514EB6"/>
    <w:rsid w:val="00514FB9"/>
    <w:rsid w:val="005150FC"/>
    <w:rsid w:val="005151AE"/>
    <w:rsid w:val="005156A2"/>
    <w:rsid w:val="005157E4"/>
    <w:rsid w:val="005159AC"/>
    <w:rsid w:val="00515C28"/>
    <w:rsid w:val="00515D39"/>
    <w:rsid w:val="00515E35"/>
    <w:rsid w:val="00516013"/>
    <w:rsid w:val="00516241"/>
    <w:rsid w:val="005162EF"/>
    <w:rsid w:val="0051630C"/>
    <w:rsid w:val="00516347"/>
    <w:rsid w:val="005163AA"/>
    <w:rsid w:val="005163AC"/>
    <w:rsid w:val="0051651E"/>
    <w:rsid w:val="00516560"/>
    <w:rsid w:val="00516576"/>
    <w:rsid w:val="0051657B"/>
    <w:rsid w:val="00516645"/>
    <w:rsid w:val="005166E7"/>
    <w:rsid w:val="00516819"/>
    <w:rsid w:val="00516928"/>
    <w:rsid w:val="005169CD"/>
    <w:rsid w:val="00516A8B"/>
    <w:rsid w:val="00516A9F"/>
    <w:rsid w:val="00516AEC"/>
    <w:rsid w:val="00516B00"/>
    <w:rsid w:val="00516B88"/>
    <w:rsid w:val="00516C27"/>
    <w:rsid w:val="00516C92"/>
    <w:rsid w:val="00516CD7"/>
    <w:rsid w:val="00516F1A"/>
    <w:rsid w:val="0051729D"/>
    <w:rsid w:val="0051762B"/>
    <w:rsid w:val="005176E0"/>
    <w:rsid w:val="005177B9"/>
    <w:rsid w:val="005177DB"/>
    <w:rsid w:val="00517870"/>
    <w:rsid w:val="00517A44"/>
    <w:rsid w:val="00517B60"/>
    <w:rsid w:val="00517D17"/>
    <w:rsid w:val="00517E17"/>
    <w:rsid w:val="00517EDA"/>
    <w:rsid w:val="00517FD1"/>
    <w:rsid w:val="0052014E"/>
    <w:rsid w:val="0052020F"/>
    <w:rsid w:val="005205FF"/>
    <w:rsid w:val="0052060E"/>
    <w:rsid w:val="005206D1"/>
    <w:rsid w:val="005207D6"/>
    <w:rsid w:val="0052080F"/>
    <w:rsid w:val="00520B90"/>
    <w:rsid w:val="00520BD3"/>
    <w:rsid w:val="00520C60"/>
    <w:rsid w:val="00520CBA"/>
    <w:rsid w:val="00520D3E"/>
    <w:rsid w:val="00520D42"/>
    <w:rsid w:val="00520DFB"/>
    <w:rsid w:val="00520ED5"/>
    <w:rsid w:val="00520FF3"/>
    <w:rsid w:val="0052115F"/>
    <w:rsid w:val="00521395"/>
    <w:rsid w:val="00521443"/>
    <w:rsid w:val="0052150A"/>
    <w:rsid w:val="00521526"/>
    <w:rsid w:val="00521649"/>
    <w:rsid w:val="00521921"/>
    <w:rsid w:val="00521964"/>
    <w:rsid w:val="00521966"/>
    <w:rsid w:val="00521A4F"/>
    <w:rsid w:val="00521C6B"/>
    <w:rsid w:val="00521F31"/>
    <w:rsid w:val="00522044"/>
    <w:rsid w:val="0052210D"/>
    <w:rsid w:val="005221C2"/>
    <w:rsid w:val="00522508"/>
    <w:rsid w:val="00522561"/>
    <w:rsid w:val="0052261B"/>
    <w:rsid w:val="005226BE"/>
    <w:rsid w:val="00522717"/>
    <w:rsid w:val="005227FA"/>
    <w:rsid w:val="00522818"/>
    <w:rsid w:val="0052289A"/>
    <w:rsid w:val="00522906"/>
    <w:rsid w:val="0052294E"/>
    <w:rsid w:val="005229FB"/>
    <w:rsid w:val="00522AEE"/>
    <w:rsid w:val="00522B50"/>
    <w:rsid w:val="00522C47"/>
    <w:rsid w:val="00522CC6"/>
    <w:rsid w:val="00522CFB"/>
    <w:rsid w:val="00522D37"/>
    <w:rsid w:val="00522FA1"/>
    <w:rsid w:val="00522FB8"/>
    <w:rsid w:val="00522FD6"/>
    <w:rsid w:val="0052318B"/>
    <w:rsid w:val="0052323F"/>
    <w:rsid w:val="005232E5"/>
    <w:rsid w:val="005235BC"/>
    <w:rsid w:val="005235E4"/>
    <w:rsid w:val="005235FC"/>
    <w:rsid w:val="00523660"/>
    <w:rsid w:val="005236C8"/>
    <w:rsid w:val="0052381B"/>
    <w:rsid w:val="00523919"/>
    <w:rsid w:val="00523936"/>
    <w:rsid w:val="00523977"/>
    <w:rsid w:val="0052398B"/>
    <w:rsid w:val="0052398E"/>
    <w:rsid w:val="005239C8"/>
    <w:rsid w:val="00523B31"/>
    <w:rsid w:val="00523BB4"/>
    <w:rsid w:val="00523D00"/>
    <w:rsid w:val="00523EC5"/>
    <w:rsid w:val="00523F67"/>
    <w:rsid w:val="00524078"/>
    <w:rsid w:val="0052408A"/>
    <w:rsid w:val="0052415A"/>
    <w:rsid w:val="005241CB"/>
    <w:rsid w:val="005241F0"/>
    <w:rsid w:val="00524282"/>
    <w:rsid w:val="005242D7"/>
    <w:rsid w:val="005244EB"/>
    <w:rsid w:val="005246B1"/>
    <w:rsid w:val="005246E9"/>
    <w:rsid w:val="0052482E"/>
    <w:rsid w:val="005248DF"/>
    <w:rsid w:val="00524AA6"/>
    <w:rsid w:val="00524C30"/>
    <w:rsid w:val="00524DC3"/>
    <w:rsid w:val="00524EC8"/>
    <w:rsid w:val="00525055"/>
    <w:rsid w:val="0052505A"/>
    <w:rsid w:val="00525074"/>
    <w:rsid w:val="00525336"/>
    <w:rsid w:val="005253EA"/>
    <w:rsid w:val="005253F0"/>
    <w:rsid w:val="00525593"/>
    <w:rsid w:val="0052564C"/>
    <w:rsid w:val="005256C6"/>
    <w:rsid w:val="005257C8"/>
    <w:rsid w:val="00525950"/>
    <w:rsid w:val="00525966"/>
    <w:rsid w:val="00525A78"/>
    <w:rsid w:val="00525B8B"/>
    <w:rsid w:val="00525F72"/>
    <w:rsid w:val="00525F90"/>
    <w:rsid w:val="00526017"/>
    <w:rsid w:val="0052603E"/>
    <w:rsid w:val="0052606E"/>
    <w:rsid w:val="005260ED"/>
    <w:rsid w:val="005261B6"/>
    <w:rsid w:val="005268CB"/>
    <w:rsid w:val="005268D0"/>
    <w:rsid w:val="00526978"/>
    <w:rsid w:val="0052698D"/>
    <w:rsid w:val="0052698F"/>
    <w:rsid w:val="00526BB4"/>
    <w:rsid w:val="00526C49"/>
    <w:rsid w:val="00526D21"/>
    <w:rsid w:val="00526D84"/>
    <w:rsid w:val="00526DB5"/>
    <w:rsid w:val="00526E15"/>
    <w:rsid w:val="00526F1A"/>
    <w:rsid w:val="00526F36"/>
    <w:rsid w:val="00526F44"/>
    <w:rsid w:val="0052708C"/>
    <w:rsid w:val="005271A7"/>
    <w:rsid w:val="00527232"/>
    <w:rsid w:val="0052725B"/>
    <w:rsid w:val="005274BD"/>
    <w:rsid w:val="00527624"/>
    <w:rsid w:val="0052774A"/>
    <w:rsid w:val="005278ED"/>
    <w:rsid w:val="00527B7F"/>
    <w:rsid w:val="00527C7F"/>
    <w:rsid w:val="00527DED"/>
    <w:rsid w:val="00527E0E"/>
    <w:rsid w:val="00527E62"/>
    <w:rsid w:val="00527E6F"/>
    <w:rsid w:val="00527FEE"/>
    <w:rsid w:val="00530184"/>
    <w:rsid w:val="005301CD"/>
    <w:rsid w:val="00530400"/>
    <w:rsid w:val="00530538"/>
    <w:rsid w:val="0053085C"/>
    <w:rsid w:val="005308D6"/>
    <w:rsid w:val="00530B59"/>
    <w:rsid w:val="00530BCF"/>
    <w:rsid w:val="00530CB5"/>
    <w:rsid w:val="00530CF2"/>
    <w:rsid w:val="00530D72"/>
    <w:rsid w:val="00530EC8"/>
    <w:rsid w:val="00531081"/>
    <w:rsid w:val="005311E3"/>
    <w:rsid w:val="00531429"/>
    <w:rsid w:val="0053145F"/>
    <w:rsid w:val="005314B5"/>
    <w:rsid w:val="005314B8"/>
    <w:rsid w:val="00531601"/>
    <w:rsid w:val="005317D3"/>
    <w:rsid w:val="00531A37"/>
    <w:rsid w:val="00531B6E"/>
    <w:rsid w:val="00531D66"/>
    <w:rsid w:val="00531F20"/>
    <w:rsid w:val="00531F61"/>
    <w:rsid w:val="00531F69"/>
    <w:rsid w:val="00532168"/>
    <w:rsid w:val="005321FF"/>
    <w:rsid w:val="0053222F"/>
    <w:rsid w:val="00532366"/>
    <w:rsid w:val="00532482"/>
    <w:rsid w:val="0053260D"/>
    <w:rsid w:val="00532626"/>
    <w:rsid w:val="0053263A"/>
    <w:rsid w:val="0053265C"/>
    <w:rsid w:val="005326BE"/>
    <w:rsid w:val="005327A7"/>
    <w:rsid w:val="005327E2"/>
    <w:rsid w:val="0053285E"/>
    <w:rsid w:val="00532870"/>
    <w:rsid w:val="00532896"/>
    <w:rsid w:val="0053290E"/>
    <w:rsid w:val="005329CE"/>
    <w:rsid w:val="00532AEF"/>
    <w:rsid w:val="00532BA8"/>
    <w:rsid w:val="00532CF4"/>
    <w:rsid w:val="00532EC2"/>
    <w:rsid w:val="00532FB9"/>
    <w:rsid w:val="00533005"/>
    <w:rsid w:val="005330E3"/>
    <w:rsid w:val="0053316F"/>
    <w:rsid w:val="005331E4"/>
    <w:rsid w:val="00533284"/>
    <w:rsid w:val="005332B7"/>
    <w:rsid w:val="00533342"/>
    <w:rsid w:val="005333D9"/>
    <w:rsid w:val="00533473"/>
    <w:rsid w:val="00533638"/>
    <w:rsid w:val="0053367F"/>
    <w:rsid w:val="005336DD"/>
    <w:rsid w:val="0053370A"/>
    <w:rsid w:val="00533802"/>
    <w:rsid w:val="005338D4"/>
    <w:rsid w:val="00533973"/>
    <w:rsid w:val="00533A30"/>
    <w:rsid w:val="00533A59"/>
    <w:rsid w:val="00533C1F"/>
    <w:rsid w:val="00533C4C"/>
    <w:rsid w:val="00533DC9"/>
    <w:rsid w:val="00533E4D"/>
    <w:rsid w:val="00533E80"/>
    <w:rsid w:val="00533EA8"/>
    <w:rsid w:val="00534358"/>
    <w:rsid w:val="005343B6"/>
    <w:rsid w:val="0053443B"/>
    <w:rsid w:val="005347A3"/>
    <w:rsid w:val="00534901"/>
    <w:rsid w:val="00534987"/>
    <w:rsid w:val="00534A06"/>
    <w:rsid w:val="00534A7C"/>
    <w:rsid w:val="00534AA5"/>
    <w:rsid w:val="00534B63"/>
    <w:rsid w:val="00534E44"/>
    <w:rsid w:val="00534E5B"/>
    <w:rsid w:val="00534E69"/>
    <w:rsid w:val="0053516F"/>
    <w:rsid w:val="00535202"/>
    <w:rsid w:val="00535231"/>
    <w:rsid w:val="00535370"/>
    <w:rsid w:val="0053538C"/>
    <w:rsid w:val="005353BD"/>
    <w:rsid w:val="0053543B"/>
    <w:rsid w:val="00535677"/>
    <w:rsid w:val="005358F4"/>
    <w:rsid w:val="0053592D"/>
    <w:rsid w:val="00535A33"/>
    <w:rsid w:val="00535A46"/>
    <w:rsid w:val="00535A7B"/>
    <w:rsid w:val="00535A9E"/>
    <w:rsid w:val="00535BEE"/>
    <w:rsid w:val="00535D40"/>
    <w:rsid w:val="00535FB1"/>
    <w:rsid w:val="005361E8"/>
    <w:rsid w:val="0053622B"/>
    <w:rsid w:val="00536289"/>
    <w:rsid w:val="00536454"/>
    <w:rsid w:val="0053656E"/>
    <w:rsid w:val="00536725"/>
    <w:rsid w:val="005367BE"/>
    <w:rsid w:val="0053680F"/>
    <w:rsid w:val="00536A10"/>
    <w:rsid w:val="00536AAF"/>
    <w:rsid w:val="00536AE9"/>
    <w:rsid w:val="00536C4D"/>
    <w:rsid w:val="00536DE1"/>
    <w:rsid w:val="00536DF2"/>
    <w:rsid w:val="00536F83"/>
    <w:rsid w:val="005370F2"/>
    <w:rsid w:val="0053714F"/>
    <w:rsid w:val="00537162"/>
    <w:rsid w:val="005372AE"/>
    <w:rsid w:val="0053748A"/>
    <w:rsid w:val="0053752B"/>
    <w:rsid w:val="0053759F"/>
    <w:rsid w:val="0053763F"/>
    <w:rsid w:val="005377F6"/>
    <w:rsid w:val="00537987"/>
    <w:rsid w:val="00537A16"/>
    <w:rsid w:val="00537A62"/>
    <w:rsid w:val="00537AFC"/>
    <w:rsid w:val="00540000"/>
    <w:rsid w:val="00540071"/>
    <w:rsid w:val="00540147"/>
    <w:rsid w:val="0054016F"/>
    <w:rsid w:val="005401F4"/>
    <w:rsid w:val="0054023D"/>
    <w:rsid w:val="0054066F"/>
    <w:rsid w:val="005406D1"/>
    <w:rsid w:val="00540988"/>
    <w:rsid w:val="00540A57"/>
    <w:rsid w:val="00540AA7"/>
    <w:rsid w:val="00540C74"/>
    <w:rsid w:val="005410A7"/>
    <w:rsid w:val="005412A3"/>
    <w:rsid w:val="005412D4"/>
    <w:rsid w:val="005413F3"/>
    <w:rsid w:val="005414EE"/>
    <w:rsid w:val="005415DE"/>
    <w:rsid w:val="005419DC"/>
    <w:rsid w:val="00541A14"/>
    <w:rsid w:val="00541A7A"/>
    <w:rsid w:val="00541B3E"/>
    <w:rsid w:val="00541DCA"/>
    <w:rsid w:val="00541F50"/>
    <w:rsid w:val="00542260"/>
    <w:rsid w:val="005422DB"/>
    <w:rsid w:val="0054237D"/>
    <w:rsid w:val="00542415"/>
    <w:rsid w:val="005424BE"/>
    <w:rsid w:val="005426E6"/>
    <w:rsid w:val="0054292F"/>
    <w:rsid w:val="00542CE3"/>
    <w:rsid w:val="00542CEF"/>
    <w:rsid w:val="00542D86"/>
    <w:rsid w:val="00542E63"/>
    <w:rsid w:val="00542EA2"/>
    <w:rsid w:val="00542F14"/>
    <w:rsid w:val="00542FCE"/>
    <w:rsid w:val="005431D5"/>
    <w:rsid w:val="005432DB"/>
    <w:rsid w:val="0054338C"/>
    <w:rsid w:val="0054340B"/>
    <w:rsid w:val="0054342B"/>
    <w:rsid w:val="00543452"/>
    <w:rsid w:val="0054349F"/>
    <w:rsid w:val="0054351C"/>
    <w:rsid w:val="00543525"/>
    <w:rsid w:val="00543701"/>
    <w:rsid w:val="005437A1"/>
    <w:rsid w:val="005438A0"/>
    <w:rsid w:val="00543A57"/>
    <w:rsid w:val="00543A75"/>
    <w:rsid w:val="00543B05"/>
    <w:rsid w:val="00543B66"/>
    <w:rsid w:val="00543B70"/>
    <w:rsid w:val="00543BFF"/>
    <w:rsid w:val="00543CC7"/>
    <w:rsid w:val="00543D55"/>
    <w:rsid w:val="00543F1E"/>
    <w:rsid w:val="00543F6C"/>
    <w:rsid w:val="00543FAD"/>
    <w:rsid w:val="0054420E"/>
    <w:rsid w:val="00544317"/>
    <w:rsid w:val="00544333"/>
    <w:rsid w:val="0054437F"/>
    <w:rsid w:val="0054442B"/>
    <w:rsid w:val="00544479"/>
    <w:rsid w:val="005445E7"/>
    <w:rsid w:val="005448CF"/>
    <w:rsid w:val="00544996"/>
    <w:rsid w:val="00544B0A"/>
    <w:rsid w:val="00544BDD"/>
    <w:rsid w:val="00544BE9"/>
    <w:rsid w:val="00544C6D"/>
    <w:rsid w:val="00544CDD"/>
    <w:rsid w:val="00544DB6"/>
    <w:rsid w:val="00544EA5"/>
    <w:rsid w:val="00544EF0"/>
    <w:rsid w:val="0054505A"/>
    <w:rsid w:val="0054508B"/>
    <w:rsid w:val="0054509B"/>
    <w:rsid w:val="00545104"/>
    <w:rsid w:val="005452A2"/>
    <w:rsid w:val="005453C5"/>
    <w:rsid w:val="0054545F"/>
    <w:rsid w:val="005454A8"/>
    <w:rsid w:val="00545562"/>
    <w:rsid w:val="00545687"/>
    <w:rsid w:val="00545781"/>
    <w:rsid w:val="005457CA"/>
    <w:rsid w:val="00545855"/>
    <w:rsid w:val="00545C97"/>
    <w:rsid w:val="00545CEB"/>
    <w:rsid w:val="00545D65"/>
    <w:rsid w:val="00545E0E"/>
    <w:rsid w:val="00545F78"/>
    <w:rsid w:val="00546022"/>
    <w:rsid w:val="0054613C"/>
    <w:rsid w:val="00546314"/>
    <w:rsid w:val="00546406"/>
    <w:rsid w:val="0054652C"/>
    <w:rsid w:val="0054663C"/>
    <w:rsid w:val="00546691"/>
    <w:rsid w:val="00546875"/>
    <w:rsid w:val="00546969"/>
    <w:rsid w:val="00546A37"/>
    <w:rsid w:val="00546A56"/>
    <w:rsid w:val="00546B1E"/>
    <w:rsid w:val="00546BF2"/>
    <w:rsid w:val="00546C2A"/>
    <w:rsid w:val="00546C6C"/>
    <w:rsid w:val="00546D41"/>
    <w:rsid w:val="00546EC2"/>
    <w:rsid w:val="00546ED5"/>
    <w:rsid w:val="00546EFF"/>
    <w:rsid w:val="00547025"/>
    <w:rsid w:val="005470D3"/>
    <w:rsid w:val="00547126"/>
    <w:rsid w:val="00547129"/>
    <w:rsid w:val="0054715D"/>
    <w:rsid w:val="005471FD"/>
    <w:rsid w:val="0054750B"/>
    <w:rsid w:val="0054775D"/>
    <w:rsid w:val="005477B8"/>
    <w:rsid w:val="005477BD"/>
    <w:rsid w:val="005477BE"/>
    <w:rsid w:val="00547851"/>
    <w:rsid w:val="00547873"/>
    <w:rsid w:val="005479AF"/>
    <w:rsid w:val="00547A62"/>
    <w:rsid w:val="00547B03"/>
    <w:rsid w:val="00547B05"/>
    <w:rsid w:val="00547B48"/>
    <w:rsid w:val="00547B65"/>
    <w:rsid w:val="00547B93"/>
    <w:rsid w:val="00547BA9"/>
    <w:rsid w:val="00547D0E"/>
    <w:rsid w:val="00547DD7"/>
    <w:rsid w:val="00547FB0"/>
    <w:rsid w:val="00547FDD"/>
    <w:rsid w:val="00547FF9"/>
    <w:rsid w:val="00550444"/>
    <w:rsid w:val="005506E2"/>
    <w:rsid w:val="00550798"/>
    <w:rsid w:val="0055087D"/>
    <w:rsid w:val="0055093C"/>
    <w:rsid w:val="00550993"/>
    <w:rsid w:val="005509D9"/>
    <w:rsid w:val="00550B48"/>
    <w:rsid w:val="00550BD9"/>
    <w:rsid w:val="00550D38"/>
    <w:rsid w:val="00550F6D"/>
    <w:rsid w:val="005513AB"/>
    <w:rsid w:val="00551546"/>
    <w:rsid w:val="00551568"/>
    <w:rsid w:val="005515E4"/>
    <w:rsid w:val="00551883"/>
    <w:rsid w:val="005518E6"/>
    <w:rsid w:val="00551901"/>
    <w:rsid w:val="005519AB"/>
    <w:rsid w:val="005519F1"/>
    <w:rsid w:val="00551AB2"/>
    <w:rsid w:val="00551B00"/>
    <w:rsid w:val="00551C80"/>
    <w:rsid w:val="00551D40"/>
    <w:rsid w:val="00551FA2"/>
    <w:rsid w:val="00551FB2"/>
    <w:rsid w:val="005522C0"/>
    <w:rsid w:val="0055240E"/>
    <w:rsid w:val="00552775"/>
    <w:rsid w:val="005527E1"/>
    <w:rsid w:val="00552807"/>
    <w:rsid w:val="00552A60"/>
    <w:rsid w:val="00552A9F"/>
    <w:rsid w:val="00552AA6"/>
    <w:rsid w:val="00552ACD"/>
    <w:rsid w:val="00552BBE"/>
    <w:rsid w:val="00552C0E"/>
    <w:rsid w:val="00552CCD"/>
    <w:rsid w:val="00552D62"/>
    <w:rsid w:val="00552F66"/>
    <w:rsid w:val="00552FB9"/>
    <w:rsid w:val="0055312D"/>
    <w:rsid w:val="005531F7"/>
    <w:rsid w:val="005532AD"/>
    <w:rsid w:val="005532DA"/>
    <w:rsid w:val="005532F6"/>
    <w:rsid w:val="00553560"/>
    <w:rsid w:val="00553574"/>
    <w:rsid w:val="00553602"/>
    <w:rsid w:val="0055361B"/>
    <w:rsid w:val="00553627"/>
    <w:rsid w:val="005537BB"/>
    <w:rsid w:val="00553932"/>
    <w:rsid w:val="00553A80"/>
    <w:rsid w:val="00553B77"/>
    <w:rsid w:val="00553CA6"/>
    <w:rsid w:val="00553D93"/>
    <w:rsid w:val="00553E2A"/>
    <w:rsid w:val="0055405D"/>
    <w:rsid w:val="0055409C"/>
    <w:rsid w:val="00554327"/>
    <w:rsid w:val="00554432"/>
    <w:rsid w:val="00554482"/>
    <w:rsid w:val="00554523"/>
    <w:rsid w:val="0055461E"/>
    <w:rsid w:val="0055470D"/>
    <w:rsid w:val="005547EF"/>
    <w:rsid w:val="00554954"/>
    <w:rsid w:val="00554AEA"/>
    <w:rsid w:val="00554B44"/>
    <w:rsid w:val="00554C59"/>
    <w:rsid w:val="00554C72"/>
    <w:rsid w:val="00554C86"/>
    <w:rsid w:val="00554D56"/>
    <w:rsid w:val="00554E83"/>
    <w:rsid w:val="005553FE"/>
    <w:rsid w:val="00555432"/>
    <w:rsid w:val="00555491"/>
    <w:rsid w:val="00555735"/>
    <w:rsid w:val="0055576D"/>
    <w:rsid w:val="005558B6"/>
    <w:rsid w:val="0055594C"/>
    <w:rsid w:val="0055598E"/>
    <w:rsid w:val="005559B1"/>
    <w:rsid w:val="00555D2E"/>
    <w:rsid w:val="00555E52"/>
    <w:rsid w:val="00555FC7"/>
    <w:rsid w:val="0055607E"/>
    <w:rsid w:val="005560BA"/>
    <w:rsid w:val="00556245"/>
    <w:rsid w:val="005562BD"/>
    <w:rsid w:val="00556397"/>
    <w:rsid w:val="005563E8"/>
    <w:rsid w:val="00556764"/>
    <w:rsid w:val="0055686E"/>
    <w:rsid w:val="005569AB"/>
    <w:rsid w:val="00556C14"/>
    <w:rsid w:val="00556C43"/>
    <w:rsid w:val="00556D5A"/>
    <w:rsid w:val="00556EF9"/>
    <w:rsid w:val="00556FD8"/>
    <w:rsid w:val="00557496"/>
    <w:rsid w:val="005574BD"/>
    <w:rsid w:val="0055753D"/>
    <w:rsid w:val="00557639"/>
    <w:rsid w:val="005576EF"/>
    <w:rsid w:val="00557752"/>
    <w:rsid w:val="00557777"/>
    <w:rsid w:val="005578F6"/>
    <w:rsid w:val="005579B4"/>
    <w:rsid w:val="00557B5B"/>
    <w:rsid w:val="00557BD0"/>
    <w:rsid w:val="00557C0F"/>
    <w:rsid w:val="00557CFE"/>
    <w:rsid w:val="00557F46"/>
    <w:rsid w:val="00557FA7"/>
    <w:rsid w:val="005600B1"/>
    <w:rsid w:val="005601F8"/>
    <w:rsid w:val="0056029D"/>
    <w:rsid w:val="0056036B"/>
    <w:rsid w:val="0056037E"/>
    <w:rsid w:val="005603CF"/>
    <w:rsid w:val="005609CD"/>
    <w:rsid w:val="00560AE9"/>
    <w:rsid w:val="00560CBE"/>
    <w:rsid w:val="00560D33"/>
    <w:rsid w:val="00560E3E"/>
    <w:rsid w:val="00560FE3"/>
    <w:rsid w:val="0056108E"/>
    <w:rsid w:val="005610D8"/>
    <w:rsid w:val="00561128"/>
    <w:rsid w:val="005611FA"/>
    <w:rsid w:val="00561209"/>
    <w:rsid w:val="005614B5"/>
    <w:rsid w:val="00561508"/>
    <w:rsid w:val="005615A3"/>
    <w:rsid w:val="005615D5"/>
    <w:rsid w:val="005615F9"/>
    <w:rsid w:val="00561657"/>
    <w:rsid w:val="005616FD"/>
    <w:rsid w:val="0056176A"/>
    <w:rsid w:val="0056176E"/>
    <w:rsid w:val="00561A1E"/>
    <w:rsid w:val="00561ACF"/>
    <w:rsid w:val="00561B05"/>
    <w:rsid w:val="00561C9B"/>
    <w:rsid w:val="00561D7D"/>
    <w:rsid w:val="00561E49"/>
    <w:rsid w:val="00561EB8"/>
    <w:rsid w:val="00561F8C"/>
    <w:rsid w:val="0056208A"/>
    <w:rsid w:val="005620F3"/>
    <w:rsid w:val="005622F5"/>
    <w:rsid w:val="00562548"/>
    <w:rsid w:val="00562586"/>
    <w:rsid w:val="005625D6"/>
    <w:rsid w:val="00562607"/>
    <w:rsid w:val="00562934"/>
    <w:rsid w:val="00562A84"/>
    <w:rsid w:val="00562B9A"/>
    <w:rsid w:val="00562CE2"/>
    <w:rsid w:val="00562DD7"/>
    <w:rsid w:val="00562E65"/>
    <w:rsid w:val="00562ECF"/>
    <w:rsid w:val="00562F4A"/>
    <w:rsid w:val="00563011"/>
    <w:rsid w:val="00563053"/>
    <w:rsid w:val="00563088"/>
    <w:rsid w:val="0056318F"/>
    <w:rsid w:val="00563219"/>
    <w:rsid w:val="00563283"/>
    <w:rsid w:val="00563390"/>
    <w:rsid w:val="00563590"/>
    <w:rsid w:val="005635B2"/>
    <w:rsid w:val="00563A93"/>
    <w:rsid w:val="00563B0B"/>
    <w:rsid w:val="00563B6E"/>
    <w:rsid w:val="00563B7E"/>
    <w:rsid w:val="00563BD7"/>
    <w:rsid w:val="00563C1B"/>
    <w:rsid w:val="00563E21"/>
    <w:rsid w:val="00563EFE"/>
    <w:rsid w:val="00563F0E"/>
    <w:rsid w:val="00563F65"/>
    <w:rsid w:val="00563F81"/>
    <w:rsid w:val="00564056"/>
    <w:rsid w:val="005641AD"/>
    <w:rsid w:val="00564246"/>
    <w:rsid w:val="005643DF"/>
    <w:rsid w:val="00564873"/>
    <w:rsid w:val="005648F2"/>
    <w:rsid w:val="005649B3"/>
    <w:rsid w:val="005649EF"/>
    <w:rsid w:val="00564A7C"/>
    <w:rsid w:val="00564B4C"/>
    <w:rsid w:val="00564BEE"/>
    <w:rsid w:val="00564FE9"/>
    <w:rsid w:val="0056502A"/>
    <w:rsid w:val="0056507E"/>
    <w:rsid w:val="005651CB"/>
    <w:rsid w:val="00565447"/>
    <w:rsid w:val="005655FB"/>
    <w:rsid w:val="0056572B"/>
    <w:rsid w:val="0056582D"/>
    <w:rsid w:val="00565873"/>
    <w:rsid w:val="00565967"/>
    <w:rsid w:val="005659A7"/>
    <w:rsid w:val="00565AFA"/>
    <w:rsid w:val="00565DD0"/>
    <w:rsid w:val="00565F95"/>
    <w:rsid w:val="00566086"/>
    <w:rsid w:val="005660A7"/>
    <w:rsid w:val="00566236"/>
    <w:rsid w:val="00566542"/>
    <w:rsid w:val="00566550"/>
    <w:rsid w:val="0056678E"/>
    <w:rsid w:val="00566A43"/>
    <w:rsid w:val="00566C06"/>
    <w:rsid w:val="00566C95"/>
    <w:rsid w:val="00566E4A"/>
    <w:rsid w:val="00567012"/>
    <w:rsid w:val="0056708C"/>
    <w:rsid w:val="00567388"/>
    <w:rsid w:val="0056740A"/>
    <w:rsid w:val="0056752F"/>
    <w:rsid w:val="0056754B"/>
    <w:rsid w:val="0056761B"/>
    <w:rsid w:val="00567841"/>
    <w:rsid w:val="00567948"/>
    <w:rsid w:val="005679D3"/>
    <w:rsid w:val="00567AAF"/>
    <w:rsid w:val="00567B84"/>
    <w:rsid w:val="00567C06"/>
    <w:rsid w:val="00567D05"/>
    <w:rsid w:val="00567FEC"/>
    <w:rsid w:val="0057031F"/>
    <w:rsid w:val="00570410"/>
    <w:rsid w:val="005704B3"/>
    <w:rsid w:val="0057058D"/>
    <w:rsid w:val="005705C7"/>
    <w:rsid w:val="005707CA"/>
    <w:rsid w:val="00570843"/>
    <w:rsid w:val="00570B89"/>
    <w:rsid w:val="00570B9A"/>
    <w:rsid w:val="00570BB7"/>
    <w:rsid w:val="00570C88"/>
    <w:rsid w:val="00570C9D"/>
    <w:rsid w:val="00570DD2"/>
    <w:rsid w:val="00570E44"/>
    <w:rsid w:val="00570E57"/>
    <w:rsid w:val="00570E66"/>
    <w:rsid w:val="00570F1E"/>
    <w:rsid w:val="00571004"/>
    <w:rsid w:val="00571026"/>
    <w:rsid w:val="0057104F"/>
    <w:rsid w:val="005711C0"/>
    <w:rsid w:val="005712D6"/>
    <w:rsid w:val="0057141F"/>
    <w:rsid w:val="0057156C"/>
    <w:rsid w:val="0057158A"/>
    <w:rsid w:val="0057159F"/>
    <w:rsid w:val="0057163A"/>
    <w:rsid w:val="0057171E"/>
    <w:rsid w:val="005717F2"/>
    <w:rsid w:val="0057182F"/>
    <w:rsid w:val="00571962"/>
    <w:rsid w:val="00571A76"/>
    <w:rsid w:val="00571B8E"/>
    <w:rsid w:val="00571CDE"/>
    <w:rsid w:val="00571DC1"/>
    <w:rsid w:val="00571F31"/>
    <w:rsid w:val="00571F36"/>
    <w:rsid w:val="00572049"/>
    <w:rsid w:val="0057211D"/>
    <w:rsid w:val="0057241F"/>
    <w:rsid w:val="0057248E"/>
    <w:rsid w:val="00572526"/>
    <w:rsid w:val="00572577"/>
    <w:rsid w:val="005726B6"/>
    <w:rsid w:val="00572799"/>
    <w:rsid w:val="005727BA"/>
    <w:rsid w:val="005728A2"/>
    <w:rsid w:val="00572A98"/>
    <w:rsid w:val="00572AD6"/>
    <w:rsid w:val="00572BE9"/>
    <w:rsid w:val="00572C9B"/>
    <w:rsid w:val="00572D43"/>
    <w:rsid w:val="00572E1C"/>
    <w:rsid w:val="00572FBD"/>
    <w:rsid w:val="00572FEF"/>
    <w:rsid w:val="0057306D"/>
    <w:rsid w:val="005730F5"/>
    <w:rsid w:val="0057311E"/>
    <w:rsid w:val="0057316F"/>
    <w:rsid w:val="00573226"/>
    <w:rsid w:val="00573228"/>
    <w:rsid w:val="00573423"/>
    <w:rsid w:val="00573450"/>
    <w:rsid w:val="005734D2"/>
    <w:rsid w:val="005734D3"/>
    <w:rsid w:val="005734D7"/>
    <w:rsid w:val="005735F8"/>
    <w:rsid w:val="0057365D"/>
    <w:rsid w:val="005736A8"/>
    <w:rsid w:val="005737B6"/>
    <w:rsid w:val="00573888"/>
    <w:rsid w:val="00573AFE"/>
    <w:rsid w:val="00573B9F"/>
    <w:rsid w:val="00573C31"/>
    <w:rsid w:val="00573C35"/>
    <w:rsid w:val="00573CFA"/>
    <w:rsid w:val="00573DAE"/>
    <w:rsid w:val="00573DF6"/>
    <w:rsid w:val="0057400B"/>
    <w:rsid w:val="005740C1"/>
    <w:rsid w:val="005740CD"/>
    <w:rsid w:val="00574172"/>
    <w:rsid w:val="0057435D"/>
    <w:rsid w:val="0057439F"/>
    <w:rsid w:val="00574536"/>
    <w:rsid w:val="005745F9"/>
    <w:rsid w:val="00574744"/>
    <w:rsid w:val="005747D5"/>
    <w:rsid w:val="00574828"/>
    <w:rsid w:val="00574937"/>
    <w:rsid w:val="0057496F"/>
    <w:rsid w:val="00574AB8"/>
    <w:rsid w:val="00574BBA"/>
    <w:rsid w:val="00574C90"/>
    <w:rsid w:val="00574CDE"/>
    <w:rsid w:val="00574DFC"/>
    <w:rsid w:val="00575276"/>
    <w:rsid w:val="005754CF"/>
    <w:rsid w:val="00575517"/>
    <w:rsid w:val="00575591"/>
    <w:rsid w:val="005756AB"/>
    <w:rsid w:val="00575767"/>
    <w:rsid w:val="0057583C"/>
    <w:rsid w:val="0057584C"/>
    <w:rsid w:val="005758F3"/>
    <w:rsid w:val="00575973"/>
    <w:rsid w:val="00575C22"/>
    <w:rsid w:val="00575DA8"/>
    <w:rsid w:val="00575E34"/>
    <w:rsid w:val="00575F36"/>
    <w:rsid w:val="00575F4A"/>
    <w:rsid w:val="00576036"/>
    <w:rsid w:val="005760C8"/>
    <w:rsid w:val="00576123"/>
    <w:rsid w:val="005761E6"/>
    <w:rsid w:val="00576209"/>
    <w:rsid w:val="00576300"/>
    <w:rsid w:val="0057645A"/>
    <w:rsid w:val="00576464"/>
    <w:rsid w:val="005764D1"/>
    <w:rsid w:val="00576506"/>
    <w:rsid w:val="00576584"/>
    <w:rsid w:val="005766C8"/>
    <w:rsid w:val="005767A4"/>
    <w:rsid w:val="00576878"/>
    <w:rsid w:val="005768B4"/>
    <w:rsid w:val="005768F9"/>
    <w:rsid w:val="005769B1"/>
    <w:rsid w:val="00576A09"/>
    <w:rsid w:val="00576ADC"/>
    <w:rsid w:val="00576CAE"/>
    <w:rsid w:val="00577024"/>
    <w:rsid w:val="00577112"/>
    <w:rsid w:val="00577157"/>
    <w:rsid w:val="005771B2"/>
    <w:rsid w:val="00577245"/>
    <w:rsid w:val="005774A1"/>
    <w:rsid w:val="00577537"/>
    <w:rsid w:val="00577636"/>
    <w:rsid w:val="00577640"/>
    <w:rsid w:val="00577661"/>
    <w:rsid w:val="00577739"/>
    <w:rsid w:val="0057780D"/>
    <w:rsid w:val="0057787F"/>
    <w:rsid w:val="005778C0"/>
    <w:rsid w:val="00577926"/>
    <w:rsid w:val="00577AED"/>
    <w:rsid w:val="00577B9C"/>
    <w:rsid w:val="00577BE5"/>
    <w:rsid w:val="00577CEE"/>
    <w:rsid w:val="00577D0A"/>
    <w:rsid w:val="00577E90"/>
    <w:rsid w:val="00580173"/>
    <w:rsid w:val="005801B0"/>
    <w:rsid w:val="005801F7"/>
    <w:rsid w:val="0058024E"/>
    <w:rsid w:val="005802AE"/>
    <w:rsid w:val="005802C9"/>
    <w:rsid w:val="0058043B"/>
    <w:rsid w:val="00580491"/>
    <w:rsid w:val="00580644"/>
    <w:rsid w:val="00580672"/>
    <w:rsid w:val="00580760"/>
    <w:rsid w:val="005807C0"/>
    <w:rsid w:val="00580B2A"/>
    <w:rsid w:val="00580B70"/>
    <w:rsid w:val="00580BD0"/>
    <w:rsid w:val="00580C90"/>
    <w:rsid w:val="00580D27"/>
    <w:rsid w:val="00580DAF"/>
    <w:rsid w:val="00580F16"/>
    <w:rsid w:val="00580F4E"/>
    <w:rsid w:val="00580FFA"/>
    <w:rsid w:val="00581031"/>
    <w:rsid w:val="00581258"/>
    <w:rsid w:val="005815AC"/>
    <w:rsid w:val="005816FA"/>
    <w:rsid w:val="00581A1B"/>
    <w:rsid w:val="00581A36"/>
    <w:rsid w:val="00581C51"/>
    <w:rsid w:val="00581D79"/>
    <w:rsid w:val="00581E11"/>
    <w:rsid w:val="00581E35"/>
    <w:rsid w:val="00581EB3"/>
    <w:rsid w:val="005820DB"/>
    <w:rsid w:val="0058213C"/>
    <w:rsid w:val="005821B9"/>
    <w:rsid w:val="0058228C"/>
    <w:rsid w:val="005822AF"/>
    <w:rsid w:val="005823FC"/>
    <w:rsid w:val="00582425"/>
    <w:rsid w:val="00582662"/>
    <w:rsid w:val="005829E2"/>
    <w:rsid w:val="00582B4D"/>
    <w:rsid w:val="00582C44"/>
    <w:rsid w:val="00582D8A"/>
    <w:rsid w:val="00582E00"/>
    <w:rsid w:val="00582F52"/>
    <w:rsid w:val="00582FB4"/>
    <w:rsid w:val="00583043"/>
    <w:rsid w:val="00583044"/>
    <w:rsid w:val="005830A2"/>
    <w:rsid w:val="005830B4"/>
    <w:rsid w:val="00583230"/>
    <w:rsid w:val="00583349"/>
    <w:rsid w:val="0058343C"/>
    <w:rsid w:val="005834BF"/>
    <w:rsid w:val="00583541"/>
    <w:rsid w:val="005838EA"/>
    <w:rsid w:val="005839F2"/>
    <w:rsid w:val="00583A22"/>
    <w:rsid w:val="00583AA8"/>
    <w:rsid w:val="00583BDE"/>
    <w:rsid w:val="00583C41"/>
    <w:rsid w:val="00583DB1"/>
    <w:rsid w:val="00584030"/>
    <w:rsid w:val="0058407D"/>
    <w:rsid w:val="005840D9"/>
    <w:rsid w:val="00584171"/>
    <w:rsid w:val="005843DA"/>
    <w:rsid w:val="005844C5"/>
    <w:rsid w:val="0058452B"/>
    <w:rsid w:val="005845AB"/>
    <w:rsid w:val="00584651"/>
    <w:rsid w:val="0058466C"/>
    <w:rsid w:val="005846D5"/>
    <w:rsid w:val="005848CE"/>
    <w:rsid w:val="005848EC"/>
    <w:rsid w:val="00584913"/>
    <w:rsid w:val="00584C24"/>
    <w:rsid w:val="00584D41"/>
    <w:rsid w:val="00584DC5"/>
    <w:rsid w:val="00584E54"/>
    <w:rsid w:val="00584EB1"/>
    <w:rsid w:val="00584F01"/>
    <w:rsid w:val="00584FAD"/>
    <w:rsid w:val="005850F1"/>
    <w:rsid w:val="005851C1"/>
    <w:rsid w:val="005853A3"/>
    <w:rsid w:val="00585413"/>
    <w:rsid w:val="005855EA"/>
    <w:rsid w:val="00585641"/>
    <w:rsid w:val="00585684"/>
    <w:rsid w:val="0058596F"/>
    <w:rsid w:val="00585A63"/>
    <w:rsid w:val="00585AC6"/>
    <w:rsid w:val="00585B30"/>
    <w:rsid w:val="00585B61"/>
    <w:rsid w:val="00585BBF"/>
    <w:rsid w:val="00585C61"/>
    <w:rsid w:val="00585C65"/>
    <w:rsid w:val="00585CA1"/>
    <w:rsid w:val="00585CC5"/>
    <w:rsid w:val="00585D25"/>
    <w:rsid w:val="00585DAE"/>
    <w:rsid w:val="00585F79"/>
    <w:rsid w:val="00585FC1"/>
    <w:rsid w:val="005861ED"/>
    <w:rsid w:val="00586334"/>
    <w:rsid w:val="00586577"/>
    <w:rsid w:val="0058664B"/>
    <w:rsid w:val="005868B4"/>
    <w:rsid w:val="00586950"/>
    <w:rsid w:val="00586975"/>
    <w:rsid w:val="00586A1B"/>
    <w:rsid w:val="00586BF8"/>
    <w:rsid w:val="00586C53"/>
    <w:rsid w:val="00586C59"/>
    <w:rsid w:val="00586CA5"/>
    <w:rsid w:val="00586D89"/>
    <w:rsid w:val="00586EF4"/>
    <w:rsid w:val="00586FA8"/>
    <w:rsid w:val="00587032"/>
    <w:rsid w:val="00587073"/>
    <w:rsid w:val="005870F6"/>
    <w:rsid w:val="00587145"/>
    <w:rsid w:val="0058717B"/>
    <w:rsid w:val="005871D0"/>
    <w:rsid w:val="005873C3"/>
    <w:rsid w:val="0058745D"/>
    <w:rsid w:val="005876FD"/>
    <w:rsid w:val="0058771B"/>
    <w:rsid w:val="0058783F"/>
    <w:rsid w:val="0058791C"/>
    <w:rsid w:val="0058796B"/>
    <w:rsid w:val="00587A20"/>
    <w:rsid w:val="00587B49"/>
    <w:rsid w:val="00587D07"/>
    <w:rsid w:val="00587DAB"/>
    <w:rsid w:val="00587F81"/>
    <w:rsid w:val="0058A27F"/>
    <w:rsid w:val="0059035A"/>
    <w:rsid w:val="00590397"/>
    <w:rsid w:val="0059039C"/>
    <w:rsid w:val="005903E6"/>
    <w:rsid w:val="00590405"/>
    <w:rsid w:val="005904A6"/>
    <w:rsid w:val="005904B9"/>
    <w:rsid w:val="00590587"/>
    <w:rsid w:val="005906E8"/>
    <w:rsid w:val="0059077A"/>
    <w:rsid w:val="005907B0"/>
    <w:rsid w:val="005908AE"/>
    <w:rsid w:val="00590934"/>
    <w:rsid w:val="005909A6"/>
    <w:rsid w:val="005909B9"/>
    <w:rsid w:val="00590C84"/>
    <w:rsid w:val="00590CFF"/>
    <w:rsid w:val="00590DC5"/>
    <w:rsid w:val="00590DE4"/>
    <w:rsid w:val="00590E61"/>
    <w:rsid w:val="00590EF5"/>
    <w:rsid w:val="00590FF9"/>
    <w:rsid w:val="00591041"/>
    <w:rsid w:val="005911DD"/>
    <w:rsid w:val="0059127A"/>
    <w:rsid w:val="0059133D"/>
    <w:rsid w:val="005914A2"/>
    <w:rsid w:val="005914F9"/>
    <w:rsid w:val="00591513"/>
    <w:rsid w:val="00591652"/>
    <w:rsid w:val="00591827"/>
    <w:rsid w:val="00591894"/>
    <w:rsid w:val="005918BD"/>
    <w:rsid w:val="00591958"/>
    <w:rsid w:val="00591A37"/>
    <w:rsid w:val="00591D61"/>
    <w:rsid w:val="00591D89"/>
    <w:rsid w:val="00591E48"/>
    <w:rsid w:val="00591FF2"/>
    <w:rsid w:val="0059205D"/>
    <w:rsid w:val="00592077"/>
    <w:rsid w:val="005922B7"/>
    <w:rsid w:val="005922FF"/>
    <w:rsid w:val="00592349"/>
    <w:rsid w:val="005923A4"/>
    <w:rsid w:val="005923E1"/>
    <w:rsid w:val="005923FA"/>
    <w:rsid w:val="005924F7"/>
    <w:rsid w:val="0059267E"/>
    <w:rsid w:val="005926CF"/>
    <w:rsid w:val="005927FB"/>
    <w:rsid w:val="00592888"/>
    <w:rsid w:val="005928D6"/>
    <w:rsid w:val="005929BE"/>
    <w:rsid w:val="00592AA7"/>
    <w:rsid w:val="00592DAA"/>
    <w:rsid w:val="00592E4E"/>
    <w:rsid w:val="00592EC9"/>
    <w:rsid w:val="00592F04"/>
    <w:rsid w:val="00592F67"/>
    <w:rsid w:val="00593099"/>
    <w:rsid w:val="005931CA"/>
    <w:rsid w:val="00593220"/>
    <w:rsid w:val="0059339F"/>
    <w:rsid w:val="0059342D"/>
    <w:rsid w:val="00593528"/>
    <w:rsid w:val="005936EB"/>
    <w:rsid w:val="005937BE"/>
    <w:rsid w:val="005937EB"/>
    <w:rsid w:val="0059387E"/>
    <w:rsid w:val="005938C4"/>
    <w:rsid w:val="00593AAA"/>
    <w:rsid w:val="00593C0D"/>
    <w:rsid w:val="00593EE8"/>
    <w:rsid w:val="00593F89"/>
    <w:rsid w:val="00593FD0"/>
    <w:rsid w:val="00594173"/>
    <w:rsid w:val="005941E8"/>
    <w:rsid w:val="00594563"/>
    <w:rsid w:val="005945D0"/>
    <w:rsid w:val="00594B5F"/>
    <w:rsid w:val="00594D6C"/>
    <w:rsid w:val="00594DE2"/>
    <w:rsid w:val="00594E02"/>
    <w:rsid w:val="00594EB1"/>
    <w:rsid w:val="00594EC2"/>
    <w:rsid w:val="00594FC5"/>
    <w:rsid w:val="005951E6"/>
    <w:rsid w:val="0059522D"/>
    <w:rsid w:val="0059526B"/>
    <w:rsid w:val="005952C9"/>
    <w:rsid w:val="005952F6"/>
    <w:rsid w:val="0059555C"/>
    <w:rsid w:val="00595634"/>
    <w:rsid w:val="00595688"/>
    <w:rsid w:val="0059574D"/>
    <w:rsid w:val="005958DC"/>
    <w:rsid w:val="005958F4"/>
    <w:rsid w:val="0059593F"/>
    <w:rsid w:val="00595AB3"/>
    <w:rsid w:val="00595B41"/>
    <w:rsid w:val="00595BF0"/>
    <w:rsid w:val="00595D1D"/>
    <w:rsid w:val="00595D55"/>
    <w:rsid w:val="00595EBF"/>
    <w:rsid w:val="00596084"/>
    <w:rsid w:val="00596187"/>
    <w:rsid w:val="005961A3"/>
    <w:rsid w:val="005961F5"/>
    <w:rsid w:val="005963FF"/>
    <w:rsid w:val="00596405"/>
    <w:rsid w:val="0059647B"/>
    <w:rsid w:val="00596552"/>
    <w:rsid w:val="00596596"/>
    <w:rsid w:val="0059659B"/>
    <w:rsid w:val="0059659C"/>
    <w:rsid w:val="005966C6"/>
    <w:rsid w:val="005966DF"/>
    <w:rsid w:val="005967BB"/>
    <w:rsid w:val="0059684A"/>
    <w:rsid w:val="00596909"/>
    <w:rsid w:val="0059697F"/>
    <w:rsid w:val="00596AA6"/>
    <w:rsid w:val="00596B47"/>
    <w:rsid w:val="00596DD2"/>
    <w:rsid w:val="00596E16"/>
    <w:rsid w:val="00596EB5"/>
    <w:rsid w:val="00596F33"/>
    <w:rsid w:val="00597066"/>
    <w:rsid w:val="005970C6"/>
    <w:rsid w:val="005971CF"/>
    <w:rsid w:val="005972C8"/>
    <w:rsid w:val="00597401"/>
    <w:rsid w:val="00597403"/>
    <w:rsid w:val="0059753F"/>
    <w:rsid w:val="00597607"/>
    <w:rsid w:val="0059762F"/>
    <w:rsid w:val="00597655"/>
    <w:rsid w:val="00597675"/>
    <w:rsid w:val="0059795C"/>
    <w:rsid w:val="00597AEB"/>
    <w:rsid w:val="00597BF3"/>
    <w:rsid w:val="00597D7A"/>
    <w:rsid w:val="00597F35"/>
    <w:rsid w:val="005A009C"/>
    <w:rsid w:val="005A00BA"/>
    <w:rsid w:val="005A00C6"/>
    <w:rsid w:val="005A0104"/>
    <w:rsid w:val="005A017E"/>
    <w:rsid w:val="005A04A2"/>
    <w:rsid w:val="005A056A"/>
    <w:rsid w:val="005A058D"/>
    <w:rsid w:val="005A062F"/>
    <w:rsid w:val="005A0644"/>
    <w:rsid w:val="005A0775"/>
    <w:rsid w:val="005A0883"/>
    <w:rsid w:val="005A0886"/>
    <w:rsid w:val="005A08F4"/>
    <w:rsid w:val="005A0B9D"/>
    <w:rsid w:val="005A0D77"/>
    <w:rsid w:val="005A0D8B"/>
    <w:rsid w:val="005A0DAC"/>
    <w:rsid w:val="005A10C1"/>
    <w:rsid w:val="005A112C"/>
    <w:rsid w:val="005A11C4"/>
    <w:rsid w:val="005A1244"/>
    <w:rsid w:val="005A125A"/>
    <w:rsid w:val="005A12EE"/>
    <w:rsid w:val="005A1350"/>
    <w:rsid w:val="005A139F"/>
    <w:rsid w:val="005A15C1"/>
    <w:rsid w:val="005A15E3"/>
    <w:rsid w:val="005A16A0"/>
    <w:rsid w:val="005A17A8"/>
    <w:rsid w:val="005A1849"/>
    <w:rsid w:val="005A184E"/>
    <w:rsid w:val="005A1A77"/>
    <w:rsid w:val="005A1A97"/>
    <w:rsid w:val="005A1ADF"/>
    <w:rsid w:val="005A1AE6"/>
    <w:rsid w:val="005A1C01"/>
    <w:rsid w:val="005A1C3A"/>
    <w:rsid w:val="005A1C88"/>
    <w:rsid w:val="005A1CBD"/>
    <w:rsid w:val="005A1DE6"/>
    <w:rsid w:val="005A1E59"/>
    <w:rsid w:val="005A1E8D"/>
    <w:rsid w:val="005A1F0D"/>
    <w:rsid w:val="005A1F13"/>
    <w:rsid w:val="005A2196"/>
    <w:rsid w:val="005A21E1"/>
    <w:rsid w:val="005A24B4"/>
    <w:rsid w:val="005A2527"/>
    <w:rsid w:val="005A26B6"/>
    <w:rsid w:val="005A2743"/>
    <w:rsid w:val="005A27CC"/>
    <w:rsid w:val="005A2893"/>
    <w:rsid w:val="005A2931"/>
    <w:rsid w:val="005A294C"/>
    <w:rsid w:val="005A2A5B"/>
    <w:rsid w:val="005A2AC1"/>
    <w:rsid w:val="005A2B1D"/>
    <w:rsid w:val="005A2B41"/>
    <w:rsid w:val="005A2CC4"/>
    <w:rsid w:val="005A2DC4"/>
    <w:rsid w:val="005A2E45"/>
    <w:rsid w:val="005A3055"/>
    <w:rsid w:val="005A3089"/>
    <w:rsid w:val="005A311B"/>
    <w:rsid w:val="005A3140"/>
    <w:rsid w:val="005A3302"/>
    <w:rsid w:val="005A34D2"/>
    <w:rsid w:val="005A34F2"/>
    <w:rsid w:val="005A3558"/>
    <w:rsid w:val="005A37B2"/>
    <w:rsid w:val="005A3941"/>
    <w:rsid w:val="005A3A4F"/>
    <w:rsid w:val="005A3ADB"/>
    <w:rsid w:val="005A3D3C"/>
    <w:rsid w:val="005A430F"/>
    <w:rsid w:val="005A4314"/>
    <w:rsid w:val="005A4345"/>
    <w:rsid w:val="005A44A5"/>
    <w:rsid w:val="005A4580"/>
    <w:rsid w:val="005A46A8"/>
    <w:rsid w:val="005A475A"/>
    <w:rsid w:val="005A47B3"/>
    <w:rsid w:val="005A48E3"/>
    <w:rsid w:val="005A49C1"/>
    <w:rsid w:val="005A4A9A"/>
    <w:rsid w:val="005A4AC0"/>
    <w:rsid w:val="005A4AFE"/>
    <w:rsid w:val="005A4BA2"/>
    <w:rsid w:val="005A4D3A"/>
    <w:rsid w:val="005A4DE7"/>
    <w:rsid w:val="005A4E39"/>
    <w:rsid w:val="005A4E40"/>
    <w:rsid w:val="005A516A"/>
    <w:rsid w:val="005A51E7"/>
    <w:rsid w:val="005A5243"/>
    <w:rsid w:val="005A5605"/>
    <w:rsid w:val="005A56E4"/>
    <w:rsid w:val="005A585C"/>
    <w:rsid w:val="005A599C"/>
    <w:rsid w:val="005A5A08"/>
    <w:rsid w:val="005A5A35"/>
    <w:rsid w:val="005A5A36"/>
    <w:rsid w:val="005A5AD6"/>
    <w:rsid w:val="005A5D2C"/>
    <w:rsid w:val="005A5DB5"/>
    <w:rsid w:val="005A5EF4"/>
    <w:rsid w:val="005A5FCF"/>
    <w:rsid w:val="005A6002"/>
    <w:rsid w:val="005A60AE"/>
    <w:rsid w:val="005A613A"/>
    <w:rsid w:val="005A618D"/>
    <w:rsid w:val="005A6244"/>
    <w:rsid w:val="005A62D4"/>
    <w:rsid w:val="005A6611"/>
    <w:rsid w:val="005A6679"/>
    <w:rsid w:val="005A6797"/>
    <w:rsid w:val="005A68E8"/>
    <w:rsid w:val="005A6A9B"/>
    <w:rsid w:val="005A6B6E"/>
    <w:rsid w:val="005A6DBE"/>
    <w:rsid w:val="005A6E9B"/>
    <w:rsid w:val="005A704F"/>
    <w:rsid w:val="005A7051"/>
    <w:rsid w:val="005A756E"/>
    <w:rsid w:val="005A7672"/>
    <w:rsid w:val="005A76AC"/>
    <w:rsid w:val="005A78AC"/>
    <w:rsid w:val="005A795A"/>
    <w:rsid w:val="005A7B60"/>
    <w:rsid w:val="005A7B77"/>
    <w:rsid w:val="005A7DEF"/>
    <w:rsid w:val="005A7F5C"/>
    <w:rsid w:val="005A7F5E"/>
    <w:rsid w:val="005A7FBE"/>
    <w:rsid w:val="005A7FE9"/>
    <w:rsid w:val="005A921E"/>
    <w:rsid w:val="005B00D2"/>
    <w:rsid w:val="005B00E9"/>
    <w:rsid w:val="005B01BF"/>
    <w:rsid w:val="005B031F"/>
    <w:rsid w:val="005B039C"/>
    <w:rsid w:val="005B03DD"/>
    <w:rsid w:val="005B03E5"/>
    <w:rsid w:val="005B0470"/>
    <w:rsid w:val="005B05D7"/>
    <w:rsid w:val="005B07C3"/>
    <w:rsid w:val="005B0844"/>
    <w:rsid w:val="005B0C4C"/>
    <w:rsid w:val="005B0C8B"/>
    <w:rsid w:val="005B0CFF"/>
    <w:rsid w:val="005B0D3D"/>
    <w:rsid w:val="005B0D6F"/>
    <w:rsid w:val="005B0DAA"/>
    <w:rsid w:val="005B0DF0"/>
    <w:rsid w:val="005B0EFC"/>
    <w:rsid w:val="005B0F7C"/>
    <w:rsid w:val="005B0FB8"/>
    <w:rsid w:val="005B0FFE"/>
    <w:rsid w:val="005B103D"/>
    <w:rsid w:val="005B107D"/>
    <w:rsid w:val="005B10E5"/>
    <w:rsid w:val="005B11FD"/>
    <w:rsid w:val="005B13F2"/>
    <w:rsid w:val="005B13FB"/>
    <w:rsid w:val="005B1492"/>
    <w:rsid w:val="005B1525"/>
    <w:rsid w:val="005B1932"/>
    <w:rsid w:val="005B19B2"/>
    <w:rsid w:val="005B1A8F"/>
    <w:rsid w:val="005B1AED"/>
    <w:rsid w:val="005B1AF1"/>
    <w:rsid w:val="005B1BE6"/>
    <w:rsid w:val="005B1BF3"/>
    <w:rsid w:val="005B1C9D"/>
    <w:rsid w:val="005B1CED"/>
    <w:rsid w:val="005B1D04"/>
    <w:rsid w:val="005B203D"/>
    <w:rsid w:val="005B21AC"/>
    <w:rsid w:val="005B21BE"/>
    <w:rsid w:val="005B22D5"/>
    <w:rsid w:val="005B2356"/>
    <w:rsid w:val="005B248F"/>
    <w:rsid w:val="005B2785"/>
    <w:rsid w:val="005B27B8"/>
    <w:rsid w:val="005B27BD"/>
    <w:rsid w:val="005B28EA"/>
    <w:rsid w:val="005B29B7"/>
    <w:rsid w:val="005B2A26"/>
    <w:rsid w:val="005B2BD1"/>
    <w:rsid w:val="005B2BE1"/>
    <w:rsid w:val="005B2C50"/>
    <w:rsid w:val="005B2C99"/>
    <w:rsid w:val="005B2CF6"/>
    <w:rsid w:val="005B2E3C"/>
    <w:rsid w:val="005B2EAD"/>
    <w:rsid w:val="005B2EC8"/>
    <w:rsid w:val="005B2F2F"/>
    <w:rsid w:val="005B2F9A"/>
    <w:rsid w:val="005B33A3"/>
    <w:rsid w:val="005B3476"/>
    <w:rsid w:val="005B34F9"/>
    <w:rsid w:val="005B355F"/>
    <w:rsid w:val="005B3702"/>
    <w:rsid w:val="005B3729"/>
    <w:rsid w:val="005B372F"/>
    <w:rsid w:val="005B3790"/>
    <w:rsid w:val="005B381C"/>
    <w:rsid w:val="005B397B"/>
    <w:rsid w:val="005B3A5F"/>
    <w:rsid w:val="005B3AAE"/>
    <w:rsid w:val="005B3B76"/>
    <w:rsid w:val="005B3BE7"/>
    <w:rsid w:val="005B3D86"/>
    <w:rsid w:val="005B3D9C"/>
    <w:rsid w:val="005B3E22"/>
    <w:rsid w:val="005B3EF0"/>
    <w:rsid w:val="005B41A6"/>
    <w:rsid w:val="005B4342"/>
    <w:rsid w:val="005B43CD"/>
    <w:rsid w:val="005B462F"/>
    <w:rsid w:val="005B46EC"/>
    <w:rsid w:val="005B4A6A"/>
    <w:rsid w:val="005B4A6F"/>
    <w:rsid w:val="005B4ADC"/>
    <w:rsid w:val="005B4B26"/>
    <w:rsid w:val="005B4B2D"/>
    <w:rsid w:val="005B4D23"/>
    <w:rsid w:val="005B4EC4"/>
    <w:rsid w:val="005B4FD8"/>
    <w:rsid w:val="005B503E"/>
    <w:rsid w:val="005B50EA"/>
    <w:rsid w:val="005B5147"/>
    <w:rsid w:val="005B514C"/>
    <w:rsid w:val="005B519A"/>
    <w:rsid w:val="005B5326"/>
    <w:rsid w:val="005B53C9"/>
    <w:rsid w:val="005B5518"/>
    <w:rsid w:val="005B5613"/>
    <w:rsid w:val="005B588B"/>
    <w:rsid w:val="005B59A7"/>
    <w:rsid w:val="005B59B4"/>
    <w:rsid w:val="005B5A38"/>
    <w:rsid w:val="005B5B60"/>
    <w:rsid w:val="005B5BFA"/>
    <w:rsid w:val="005B5C04"/>
    <w:rsid w:val="005B5C15"/>
    <w:rsid w:val="005B5C16"/>
    <w:rsid w:val="005B5C9B"/>
    <w:rsid w:val="005B5CA3"/>
    <w:rsid w:val="005B5F56"/>
    <w:rsid w:val="005B6000"/>
    <w:rsid w:val="005B61AF"/>
    <w:rsid w:val="005B6234"/>
    <w:rsid w:val="005B63A3"/>
    <w:rsid w:val="005B63ED"/>
    <w:rsid w:val="005B662F"/>
    <w:rsid w:val="005B6683"/>
    <w:rsid w:val="005B66FA"/>
    <w:rsid w:val="005B6771"/>
    <w:rsid w:val="005B6778"/>
    <w:rsid w:val="005B6788"/>
    <w:rsid w:val="005B679B"/>
    <w:rsid w:val="005B67AF"/>
    <w:rsid w:val="005B6850"/>
    <w:rsid w:val="005B6AF8"/>
    <w:rsid w:val="005B6C2B"/>
    <w:rsid w:val="005B6C64"/>
    <w:rsid w:val="005B6DFD"/>
    <w:rsid w:val="005B6F34"/>
    <w:rsid w:val="005B6FC8"/>
    <w:rsid w:val="005B6FE0"/>
    <w:rsid w:val="005B700F"/>
    <w:rsid w:val="005B707D"/>
    <w:rsid w:val="005B7264"/>
    <w:rsid w:val="005B7338"/>
    <w:rsid w:val="005B7406"/>
    <w:rsid w:val="005B747D"/>
    <w:rsid w:val="005B74EB"/>
    <w:rsid w:val="005B759B"/>
    <w:rsid w:val="005B7623"/>
    <w:rsid w:val="005B7670"/>
    <w:rsid w:val="005B776F"/>
    <w:rsid w:val="005B7A5D"/>
    <w:rsid w:val="005B7ABF"/>
    <w:rsid w:val="005B7ACA"/>
    <w:rsid w:val="005B7B1B"/>
    <w:rsid w:val="005B7B6C"/>
    <w:rsid w:val="005B7CB2"/>
    <w:rsid w:val="005B7CF9"/>
    <w:rsid w:val="005B7E1D"/>
    <w:rsid w:val="005C00FA"/>
    <w:rsid w:val="005C0114"/>
    <w:rsid w:val="005C03F3"/>
    <w:rsid w:val="005C0467"/>
    <w:rsid w:val="005C04A9"/>
    <w:rsid w:val="005C05A4"/>
    <w:rsid w:val="005C06BD"/>
    <w:rsid w:val="005C072C"/>
    <w:rsid w:val="005C0A9F"/>
    <w:rsid w:val="005C0AF0"/>
    <w:rsid w:val="005C0BAF"/>
    <w:rsid w:val="005C0C6C"/>
    <w:rsid w:val="005C0D93"/>
    <w:rsid w:val="005C0EAA"/>
    <w:rsid w:val="005C0EDB"/>
    <w:rsid w:val="005C1097"/>
    <w:rsid w:val="005C11AA"/>
    <w:rsid w:val="005C127E"/>
    <w:rsid w:val="005C1612"/>
    <w:rsid w:val="005C1643"/>
    <w:rsid w:val="005C1865"/>
    <w:rsid w:val="005C1899"/>
    <w:rsid w:val="005C1943"/>
    <w:rsid w:val="005C19BD"/>
    <w:rsid w:val="005C1A5E"/>
    <w:rsid w:val="005C1B63"/>
    <w:rsid w:val="005C1B72"/>
    <w:rsid w:val="005C1BA8"/>
    <w:rsid w:val="005C200F"/>
    <w:rsid w:val="005C2019"/>
    <w:rsid w:val="005C213C"/>
    <w:rsid w:val="005C21FA"/>
    <w:rsid w:val="005C2236"/>
    <w:rsid w:val="005C2316"/>
    <w:rsid w:val="005C2451"/>
    <w:rsid w:val="005C247D"/>
    <w:rsid w:val="005C247E"/>
    <w:rsid w:val="005C25A3"/>
    <w:rsid w:val="005C262D"/>
    <w:rsid w:val="005C27ED"/>
    <w:rsid w:val="005C28E7"/>
    <w:rsid w:val="005C2974"/>
    <w:rsid w:val="005C2BA9"/>
    <w:rsid w:val="005C2BAB"/>
    <w:rsid w:val="005C2BDA"/>
    <w:rsid w:val="005C2C09"/>
    <w:rsid w:val="005C2CAC"/>
    <w:rsid w:val="005C2D04"/>
    <w:rsid w:val="005C2DDD"/>
    <w:rsid w:val="005C31FE"/>
    <w:rsid w:val="005C33BE"/>
    <w:rsid w:val="005C376F"/>
    <w:rsid w:val="005C39E4"/>
    <w:rsid w:val="005C3D43"/>
    <w:rsid w:val="005C3E0B"/>
    <w:rsid w:val="005C3E54"/>
    <w:rsid w:val="005C460F"/>
    <w:rsid w:val="005C4631"/>
    <w:rsid w:val="005C47A0"/>
    <w:rsid w:val="005C47F0"/>
    <w:rsid w:val="005C4A23"/>
    <w:rsid w:val="005C4A8C"/>
    <w:rsid w:val="005C4AB4"/>
    <w:rsid w:val="005C4B96"/>
    <w:rsid w:val="005C4BE5"/>
    <w:rsid w:val="005C4E58"/>
    <w:rsid w:val="005C4EA0"/>
    <w:rsid w:val="005C4F6F"/>
    <w:rsid w:val="005C51AB"/>
    <w:rsid w:val="005C5290"/>
    <w:rsid w:val="005C5405"/>
    <w:rsid w:val="005C5694"/>
    <w:rsid w:val="005C57C1"/>
    <w:rsid w:val="005C591C"/>
    <w:rsid w:val="005C5A7C"/>
    <w:rsid w:val="005C5ADD"/>
    <w:rsid w:val="005C5C89"/>
    <w:rsid w:val="005C5CBE"/>
    <w:rsid w:val="005C5E63"/>
    <w:rsid w:val="005C5ED4"/>
    <w:rsid w:val="005C5F54"/>
    <w:rsid w:val="005C5FC5"/>
    <w:rsid w:val="005C5FD7"/>
    <w:rsid w:val="005C6076"/>
    <w:rsid w:val="005C6139"/>
    <w:rsid w:val="005C63C7"/>
    <w:rsid w:val="005C649A"/>
    <w:rsid w:val="005C64E1"/>
    <w:rsid w:val="005C6625"/>
    <w:rsid w:val="005C6691"/>
    <w:rsid w:val="005C66F1"/>
    <w:rsid w:val="005C683C"/>
    <w:rsid w:val="005C68DC"/>
    <w:rsid w:val="005C6935"/>
    <w:rsid w:val="005C6981"/>
    <w:rsid w:val="005C698C"/>
    <w:rsid w:val="005C6A34"/>
    <w:rsid w:val="005C6BCE"/>
    <w:rsid w:val="005C6D25"/>
    <w:rsid w:val="005C6D55"/>
    <w:rsid w:val="005C6D58"/>
    <w:rsid w:val="005C6D83"/>
    <w:rsid w:val="005C6F5F"/>
    <w:rsid w:val="005C7048"/>
    <w:rsid w:val="005C7287"/>
    <w:rsid w:val="005C72C6"/>
    <w:rsid w:val="005C736D"/>
    <w:rsid w:val="005C743D"/>
    <w:rsid w:val="005C7800"/>
    <w:rsid w:val="005C780F"/>
    <w:rsid w:val="005C785F"/>
    <w:rsid w:val="005C7951"/>
    <w:rsid w:val="005C7B74"/>
    <w:rsid w:val="005C7FE3"/>
    <w:rsid w:val="005D008D"/>
    <w:rsid w:val="005D00B2"/>
    <w:rsid w:val="005D0142"/>
    <w:rsid w:val="005D01CB"/>
    <w:rsid w:val="005D0700"/>
    <w:rsid w:val="005D0771"/>
    <w:rsid w:val="005D0823"/>
    <w:rsid w:val="005D088F"/>
    <w:rsid w:val="005D092F"/>
    <w:rsid w:val="005D0957"/>
    <w:rsid w:val="005D095C"/>
    <w:rsid w:val="005D0A2F"/>
    <w:rsid w:val="005D0CB1"/>
    <w:rsid w:val="005D0CD4"/>
    <w:rsid w:val="005D0D67"/>
    <w:rsid w:val="005D0D9F"/>
    <w:rsid w:val="005D0E28"/>
    <w:rsid w:val="005D1007"/>
    <w:rsid w:val="005D1181"/>
    <w:rsid w:val="005D124C"/>
    <w:rsid w:val="005D12AA"/>
    <w:rsid w:val="005D1510"/>
    <w:rsid w:val="005D15AB"/>
    <w:rsid w:val="005D15FE"/>
    <w:rsid w:val="005D1869"/>
    <w:rsid w:val="005D1A20"/>
    <w:rsid w:val="005D1A42"/>
    <w:rsid w:val="005D1B21"/>
    <w:rsid w:val="005D1B7B"/>
    <w:rsid w:val="005D1BFD"/>
    <w:rsid w:val="005D1D73"/>
    <w:rsid w:val="005D1E3F"/>
    <w:rsid w:val="005D1E45"/>
    <w:rsid w:val="005D25D4"/>
    <w:rsid w:val="005D2932"/>
    <w:rsid w:val="005D2977"/>
    <w:rsid w:val="005D29E6"/>
    <w:rsid w:val="005D2ACA"/>
    <w:rsid w:val="005D2B78"/>
    <w:rsid w:val="005D2BCE"/>
    <w:rsid w:val="005D2E10"/>
    <w:rsid w:val="005D2F6C"/>
    <w:rsid w:val="005D31D6"/>
    <w:rsid w:val="005D3343"/>
    <w:rsid w:val="005D3538"/>
    <w:rsid w:val="005D35E8"/>
    <w:rsid w:val="005D3807"/>
    <w:rsid w:val="005D389F"/>
    <w:rsid w:val="005D3956"/>
    <w:rsid w:val="005D3C58"/>
    <w:rsid w:val="005D3E13"/>
    <w:rsid w:val="005D3F4A"/>
    <w:rsid w:val="005D4049"/>
    <w:rsid w:val="005D4064"/>
    <w:rsid w:val="005D40D2"/>
    <w:rsid w:val="005D413A"/>
    <w:rsid w:val="005D43C0"/>
    <w:rsid w:val="005D43DB"/>
    <w:rsid w:val="005D43E0"/>
    <w:rsid w:val="005D4418"/>
    <w:rsid w:val="005D445A"/>
    <w:rsid w:val="005D4584"/>
    <w:rsid w:val="005D45BF"/>
    <w:rsid w:val="005D47EE"/>
    <w:rsid w:val="005D4833"/>
    <w:rsid w:val="005D4B7B"/>
    <w:rsid w:val="005D4D32"/>
    <w:rsid w:val="005D4D56"/>
    <w:rsid w:val="005D4F43"/>
    <w:rsid w:val="005D4FFF"/>
    <w:rsid w:val="005D5060"/>
    <w:rsid w:val="005D513B"/>
    <w:rsid w:val="005D51D9"/>
    <w:rsid w:val="005D520E"/>
    <w:rsid w:val="005D53ED"/>
    <w:rsid w:val="005D5420"/>
    <w:rsid w:val="005D547C"/>
    <w:rsid w:val="005D5531"/>
    <w:rsid w:val="005D57F0"/>
    <w:rsid w:val="005D5868"/>
    <w:rsid w:val="005D587E"/>
    <w:rsid w:val="005D59A2"/>
    <w:rsid w:val="005D59E9"/>
    <w:rsid w:val="005D5A04"/>
    <w:rsid w:val="005D5B76"/>
    <w:rsid w:val="005D5C32"/>
    <w:rsid w:val="005D5F90"/>
    <w:rsid w:val="005D60AE"/>
    <w:rsid w:val="005D60E8"/>
    <w:rsid w:val="005D61AC"/>
    <w:rsid w:val="005D627E"/>
    <w:rsid w:val="005D63A3"/>
    <w:rsid w:val="005D642F"/>
    <w:rsid w:val="005D6777"/>
    <w:rsid w:val="005D67D8"/>
    <w:rsid w:val="005D6831"/>
    <w:rsid w:val="005D696D"/>
    <w:rsid w:val="005D6C0A"/>
    <w:rsid w:val="005D6CB7"/>
    <w:rsid w:val="005D6CD9"/>
    <w:rsid w:val="005D6D44"/>
    <w:rsid w:val="005D6D63"/>
    <w:rsid w:val="005D7033"/>
    <w:rsid w:val="005D705F"/>
    <w:rsid w:val="005D708A"/>
    <w:rsid w:val="005D70C0"/>
    <w:rsid w:val="005D72DA"/>
    <w:rsid w:val="005D73D3"/>
    <w:rsid w:val="005D7416"/>
    <w:rsid w:val="005D772D"/>
    <w:rsid w:val="005D7839"/>
    <w:rsid w:val="005D78D4"/>
    <w:rsid w:val="005D7CFB"/>
    <w:rsid w:val="005D7DF4"/>
    <w:rsid w:val="005D7E60"/>
    <w:rsid w:val="005D7EA2"/>
    <w:rsid w:val="005E00CB"/>
    <w:rsid w:val="005E00D5"/>
    <w:rsid w:val="005E0317"/>
    <w:rsid w:val="005E03CA"/>
    <w:rsid w:val="005E041B"/>
    <w:rsid w:val="005E0466"/>
    <w:rsid w:val="005E05F0"/>
    <w:rsid w:val="005E06F3"/>
    <w:rsid w:val="005E0723"/>
    <w:rsid w:val="005E0809"/>
    <w:rsid w:val="005E0888"/>
    <w:rsid w:val="005E094D"/>
    <w:rsid w:val="005E0ACB"/>
    <w:rsid w:val="005E0E1B"/>
    <w:rsid w:val="005E0ED3"/>
    <w:rsid w:val="005E0F94"/>
    <w:rsid w:val="005E0FD0"/>
    <w:rsid w:val="005E10E3"/>
    <w:rsid w:val="005E114C"/>
    <w:rsid w:val="005E119B"/>
    <w:rsid w:val="005E1230"/>
    <w:rsid w:val="005E132F"/>
    <w:rsid w:val="005E1580"/>
    <w:rsid w:val="005E15FE"/>
    <w:rsid w:val="005E169C"/>
    <w:rsid w:val="005E17AA"/>
    <w:rsid w:val="005E1841"/>
    <w:rsid w:val="005E184C"/>
    <w:rsid w:val="005E1882"/>
    <w:rsid w:val="005E19E2"/>
    <w:rsid w:val="005E1D5F"/>
    <w:rsid w:val="005E1F21"/>
    <w:rsid w:val="005E1FE2"/>
    <w:rsid w:val="005E1FE5"/>
    <w:rsid w:val="005E2240"/>
    <w:rsid w:val="005E2274"/>
    <w:rsid w:val="005E22E5"/>
    <w:rsid w:val="005E23D4"/>
    <w:rsid w:val="005E24B4"/>
    <w:rsid w:val="005E250E"/>
    <w:rsid w:val="005E2638"/>
    <w:rsid w:val="005E2816"/>
    <w:rsid w:val="005E285B"/>
    <w:rsid w:val="005E2889"/>
    <w:rsid w:val="005E2996"/>
    <w:rsid w:val="005E299A"/>
    <w:rsid w:val="005E2AA5"/>
    <w:rsid w:val="005E2ABD"/>
    <w:rsid w:val="005E2B70"/>
    <w:rsid w:val="005E2BDF"/>
    <w:rsid w:val="005E2C9A"/>
    <w:rsid w:val="005E2D80"/>
    <w:rsid w:val="005E2EE0"/>
    <w:rsid w:val="005E2F74"/>
    <w:rsid w:val="005E2F9B"/>
    <w:rsid w:val="005E3147"/>
    <w:rsid w:val="005E326E"/>
    <w:rsid w:val="005E342A"/>
    <w:rsid w:val="005E3560"/>
    <w:rsid w:val="005E35A3"/>
    <w:rsid w:val="005E3822"/>
    <w:rsid w:val="005E396C"/>
    <w:rsid w:val="005E39C9"/>
    <w:rsid w:val="005E3C9D"/>
    <w:rsid w:val="005E3CFB"/>
    <w:rsid w:val="005E3D24"/>
    <w:rsid w:val="005E3EB3"/>
    <w:rsid w:val="005E3EB5"/>
    <w:rsid w:val="005E3FB7"/>
    <w:rsid w:val="005E407D"/>
    <w:rsid w:val="005E40FD"/>
    <w:rsid w:val="005E419C"/>
    <w:rsid w:val="005E4245"/>
    <w:rsid w:val="005E4247"/>
    <w:rsid w:val="005E4380"/>
    <w:rsid w:val="005E4400"/>
    <w:rsid w:val="005E443B"/>
    <w:rsid w:val="005E49DB"/>
    <w:rsid w:val="005E4B01"/>
    <w:rsid w:val="005E4B72"/>
    <w:rsid w:val="005E4B86"/>
    <w:rsid w:val="005E4CAB"/>
    <w:rsid w:val="005E4CF5"/>
    <w:rsid w:val="005E4D0C"/>
    <w:rsid w:val="005E4D39"/>
    <w:rsid w:val="005E4F06"/>
    <w:rsid w:val="005E548F"/>
    <w:rsid w:val="005E54A7"/>
    <w:rsid w:val="005E553C"/>
    <w:rsid w:val="005E55B0"/>
    <w:rsid w:val="005E55F9"/>
    <w:rsid w:val="005E5702"/>
    <w:rsid w:val="005E59D8"/>
    <w:rsid w:val="005E59EA"/>
    <w:rsid w:val="005E5A5F"/>
    <w:rsid w:val="005E5B45"/>
    <w:rsid w:val="005E5C97"/>
    <w:rsid w:val="005E5C9E"/>
    <w:rsid w:val="005E5D14"/>
    <w:rsid w:val="005E5E78"/>
    <w:rsid w:val="005E605C"/>
    <w:rsid w:val="005E60C5"/>
    <w:rsid w:val="005E6172"/>
    <w:rsid w:val="005E61DA"/>
    <w:rsid w:val="005E62A0"/>
    <w:rsid w:val="005E6446"/>
    <w:rsid w:val="005E649D"/>
    <w:rsid w:val="005E64CF"/>
    <w:rsid w:val="005E677F"/>
    <w:rsid w:val="005E6AAF"/>
    <w:rsid w:val="005E6C92"/>
    <w:rsid w:val="005E6D59"/>
    <w:rsid w:val="005E6D88"/>
    <w:rsid w:val="005E6F35"/>
    <w:rsid w:val="005E6F57"/>
    <w:rsid w:val="005E6F7B"/>
    <w:rsid w:val="005E6FBE"/>
    <w:rsid w:val="005E76CA"/>
    <w:rsid w:val="005E7844"/>
    <w:rsid w:val="005E792C"/>
    <w:rsid w:val="005E7AAD"/>
    <w:rsid w:val="005E7B87"/>
    <w:rsid w:val="005E7C3C"/>
    <w:rsid w:val="005E7C81"/>
    <w:rsid w:val="005E7DB4"/>
    <w:rsid w:val="005E7DD8"/>
    <w:rsid w:val="005F0079"/>
    <w:rsid w:val="005F024E"/>
    <w:rsid w:val="005F03B7"/>
    <w:rsid w:val="005F047C"/>
    <w:rsid w:val="005F063A"/>
    <w:rsid w:val="005F0774"/>
    <w:rsid w:val="005F0921"/>
    <w:rsid w:val="005F0936"/>
    <w:rsid w:val="005F09A5"/>
    <w:rsid w:val="005F0AE3"/>
    <w:rsid w:val="005F0C07"/>
    <w:rsid w:val="005F0C3A"/>
    <w:rsid w:val="005F0E3A"/>
    <w:rsid w:val="005F0E62"/>
    <w:rsid w:val="005F0F8D"/>
    <w:rsid w:val="005F1150"/>
    <w:rsid w:val="005F13EE"/>
    <w:rsid w:val="005F14D1"/>
    <w:rsid w:val="005F14F3"/>
    <w:rsid w:val="005F15D9"/>
    <w:rsid w:val="005F16C7"/>
    <w:rsid w:val="005F174D"/>
    <w:rsid w:val="005F192A"/>
    <w:rsid w:val="005F1B9D"/>
    <w:rsid w:val="005F1C4A"/>
    <w:rsid w:val="005F1CC2"/>
    <w:rsid w:val="005F1D34"/>
    <w:rsid w:val="005F1D75"/>
    <w:rsid w:val="005F1D85"/>
    <w:rsid w:val="005F1DC0"/>
    <w:rsid w:val="005F1E61"/>
    <w:rsid w:val="005F1E8D"/>
    <w:rsid w:val="005F1F93"/>
    <w:rsid w:val="005F1FFB"/>
    <w:rsid w:val="005F230C"/>
    <w:rsid w:val="005F2350"/>
    <w:rsid w:val="005F24D8"/>
    <w:rsid w:val="005F2545"/>
    <w:rsid w:val="005F259B"/>
    <w:rsid w:val="005F2663"/>
    <w:rsid w:val="005F26DF"/>
    <w:rsid w:val="005F270E"/>
    <w:rsid w:val="005F274C"/>
    <w:rsid w:val="005F27E3"/>
    <w:rsid w:val="005F27EB"/>
    <w:rsid w:val="005F286E"/>
    <w:rsid w:val="005F2881"/>
    <w:rsid w:val="005F29C3"/>
    <w:rsid w:val="005F29EC"/>
    <w:rsid w:val="005F29F2"/>
    <w:rsid w:val="005F2B8E"/>
    <w:rsid w:val="005F2C23"/>
    <w:rsid w:val="005F2C96"/>
    <w:rsid w:val="005F2DC0"/>
    <w:rsid w:val="005F2E72"/>
    <w:rsid w:val="005F2FAF"/>
    <w:rsid w:val="005F309B"/>
    <w:rsid w:val="005F30E0"/>
    <w:rsid w:val="005F30FE"/>
    <w:rsid w:val="005F312B"/>
    <w:rsid w:val="005F323C"/>
    <w:rsid w:val="005F32A1"/>
    <w:rsid w:val="005F3391"/>
    <w:rsid w:val="005F340D"/>
    <w:rsid w:val="005F342B"/>
    <w:rsid w:val="005F3441"/>
    <w:rsid w:val="005F351D"/>
    <w:rsid w:val="005F3534"/>
    <w:rsid w:val="005F3593"/>
    <w:rsid w:val="005F3651"/>
    <w:rsid w:val="005F36F3"/>
    <w:rsid w:val="005F3705"/>
    <w:rsid w:val="005F37A7"/>
    <w:rsid w:val="005F37E2"/>
    <w:rsid w:val="005F37FD"/>
    <w:rsid w:val="005F3932"/>
    <w:rsid w:val="005F39DA"/>
    <w:rsid w:val="005F3AB6"/>
    <w:rsid w:val="005F3B7F"/>
    <w:rsid w:val="005F3B9D"/>
    <w:rsid w:val="005F3C4D"/>
    <w:rsid w:val="005F3EE9"/>
    <w:rsid w:val="005F4043"/>
    <w:rsid w:val="005F4056"/>
    <w:rsid w:val="005F40BB"/>
    <w:rsid w:val="005F40EF"/>
    <w:rsid w:val="005F42E4"/>
    <w:rsid w:val="005F4375"/>
    <w:rsid w:val="005F4606"/>
    <w:rsid w:val="005F4699"/>
    <w:rsid w:val="005F4789"/>
    <w:rsid w:val="005F47A2"/>
    <w:rsid w:val="005F4A4D"/>
    <w:rsid w:val="005F4ADF"/>
    <w:rsid w:val="005F4BB4"/>
    <w:rsid w:val="005F4BC1"/>
    <w:rsid w:val="005F4DB2"/>
    <w:rsid w:val="005F4DBE"/>
    <w:rsid w:val="005F51A2"/>
    <w:rsid w:val="005F5723"/>
    <w:rsid w:val="005F591C"/>
    <w:rsid w:val="005F5A24"/>
    <w:rsid w:val="005F5A71"/>
    <w:rsid w:val="005F5AE8"/>
    <w:rsid w:val="005F5B2C"/>
    <w:rsid w:val="005F5CC2"/>
    <w:rsid w:val="005F5CE4"/>
    <w:rsid w:val="005F5E9E"/>
    <w:rsid w:val="005F5FE2"/>
    <w:rsid w:val="005F617C"/>
    <w:rsid w:val="005F619F"/>
    <w:rsid w:val="005F6263"/>
    <w:rsid w:val="005F63D9"/>
    <w:rsid w:val="005F6748"/>
    <w:rsid w:val="005F6768"/>
    <w:rsid w:val="005F6784"/>
    <w:rsid w:val="005F679F"/>
    <w:rsid w:val="005F67FB"/>
    <w:rsid w:val="005F6972"/>
    <w:rsid w:val="005F6A93"/>
    <w:rsid w:val="005F6AED"/>
    <w:rsid w:val="005F7028"/>
    <w:rsid w:val="005F7190"/>
    <w:rsid w:val="005F72B1"/>
    <w:rsid w:val="005F72F0"/>
    <w:rsid w:val="005F73AC"/>
    <w:rsid w:val="005F7599"/>
    <w:rsid w:val="005F775E"/>
    <w:rsid w:val="005F780D"/>
    <w:rsid w:val="005F785E"/>
    <w:rsid w:val="005F796E"/>
    <w:rsid w:val="005F7CBF"/>
    <w:rsid w:val="005F7D1E"/>
    <w:rsid w:val="005F7DA5"/>
    <w:rsid w:val="005F7DC0"/>
    <w:rsid w:val="005F7EB8"/>
    <w:rsid w:val="005F7F08"/>
    <w:rsid w:val="005F7F60"/>
    <w:rsid w:val="005F7FD4"/>
    <w:rsid w:val="005F7FD9"/>
    <w:rsid w:val="00600494"/>
    <w:rsid w:val="0060067A"/>
    <w:rsid w:val="0060072B"/>
    <w:rsid w:val="006007A0"/>
    <w:rsid w:val="00600886"/>
    <w:rsid w:val="0060088D"/>
    <w:rsid w:val="006008EC"/>
    <w:rsid w:val="00600BBE"/>
    <w:rsid w:val="00600CD4"/>
    <w:rsid w:val="00600F9D"/>
    <w:rsid w:val="00601066"/>
    <w:rsid w:val="0060121E"/>
    <w:rsid w:val="006016AA"/>
    <w:rsid w:val="006016CF"/>
    <w:rsid w:val="0060178D"/>
    <w:rsid w:val="006017A3"/>
    <w:rsid w:val="00601A81"/>
    <w:rsid w:val="00601E98"/>
    <w:rsid w:val="00601E9C"/>
    <w:rsid w:val="00601EED"/>
    <w:rsid w:val="00601F46"/>
    <w:rsid w:val="00602020"/>
    <w:rsid w:val="0060211D"/>
    <w:rsid w:val="00602235"/>
    <w:rsid w:val="00602276"/>
    <w:rsid w:val="00602395"/>
    <w:rsid w:val="00602464"/>
    <w:rsid w:val="00602909"/>
    <w:rsid w:val="00602932"/>
    <w:rsid w:val="00602B2A"/>
    <w:rsid w:val="00602BC0"/>
    <w:rsid w:val="00602C74"/>
    <w:rsid w:val="00602C7A"/>
    <w:rsid w:val="00602CB8"/>
    <w:rsid w:val="00602CFE"/>
    <w:rsid w:val="00602D52"/>
    <w:rsid w:val="00602D79"/>
    <w:rsid w:val="00602E43"/>
    <w:rsid w:val="00602EDC"/>
    <w:rsid w:val="00602EF8"/>
    <w:rsid w:val="00602FC5"/>
    <w:rsid w:val="0060324F"/>
    <w:rsid w:val="00603253"/>
    <w:rsid w:val="0060327B"/>
    <w:rsid w:val="006033AA"/>
    <w:rsid w:val="00603400"/>
    <w:rsid w:val="006034AA"/>
    <w:rsid w:val="0060368A"/>
    <w:rsid w:val="00603828"/>
    <w:rsid w:val="00603A1A"/>
    <w:rsid w:val="00603BD7"/>
    <w:rsid w:val="00603CCD"/>
    <w:rsid w:val="00603D89"/>
    <w:rsid w:val="00603F7C"/>
    <w:rsid w:val="0060406F"/>
    <w:rsid w:val="006040B1"/>
    <w:rsid w:val="0060411F"/>
    <w:rsid w:val="00604192"/>
    <w:rsid w:val="0060419F"/>
    <w:rsid w:val="00604216"/>
    <w:rsid w:val="0060422C"/>
    <w:rsid w:val="0060428D"/>
    <w:rsid w:val="006042E8"/>
    <w:rsid w:val="00604500"/>
    <w:rsid w:val="006046C5"/>
    <w:rsid w:val="0060475D"/>
    <w:rsid w:val="00604825"/>
    <w:rsid w:val="00604880"/>
    <w:rsid w:val="00604A1F"/>
    <w:rsid w:val="00604A50"/>
    <w:rsid w:val="00604AAE"/>
    <w:rsid w:val="00604B38"/>
    <w:rsid w:val="00604B65"/>
    <w:rsid w:val="00604BC3"/>
    <w:rsid w:val="00604EDC"/>
    <w:rsid w:val="00604F0F"/>
    <w:rsid w:val="00605354"/>
    <w:rsid w:val="006054CF"/>
    <w:rsid w:val="0060569A"/>
    <w:rsid w:val="006057F2"/>
    <w:rsid w:val="0060583A"/>
    <w:rsid w:val="006058F6"/>
    <w:rsid w:val="00605B4E"/>
    <w:rsid w:val="00605C5B"/>
    <w:rsid w:val="00605CDC"/>
    <w:rsid w:val="00605EF1"/>
    <w:rsid w:val="00605F0B"/>
    <w:rsid w:val="00605FD8"/>
    <w:rsid w:val="00605FFE"/>
    <w:rsid w:val="00606150"/>
    <w:rsid w:val="0060637A"/>
    <w:rsid w:val="006064EB"/>
    <w:rsid w:val="006065CB"/>
    <w:rsid w:val="0060668C"/>
    <w:rsid w:val="006066D7"/>
    <w:rsid w:val="006066DA"/>
    <w:rsid w:val="006066E0"/>
    <w:rsid w:val="00606A2A"/>
    <w:rsid w:val="00606A2E"/>
    <w:rsid w:val="00606B52"/>
    <w:rsid w:val="00606CA0"/>
    <w:rsid w:val="00606DA0"/>
    <w:rsid w:val="00606EB9"/>
    <w:rsid w:val="00606F17"/>
    <w:rsid w:val="00606F60"/>
    <w:rsid w:val="00606F8B"/>
    <w:rsid w:val="006071B0"/>
    <w:rsid w:val="006072E4"/>
    <w:rsid w:val="0060730B"/>
    <w:rsid w:val="0060763F"/>
    <w:rsid w:val="006076A3"/>
    <w:rsid w:val="006076E2"/>
    <w:rsid w:val="006076F1"/>
    <w:rsid w:val="00607736"/>
    <w:rsid w:val="006077B5"/>
    <w:rsid w:val="006077DA"/>
    <w:rsid w:val="00607829"/>
    <w:rsid w:val="00607B67"/>
    <w:rsid w:val="00607B6C"/>
    <w:rsid w:val="00607C50"/>
    <w:rsid w:val="00607C95"/>
    <w:rsid w:val="00607DFD"/>
    <w:rsid w:val="00607E0F"/>
    <w:rsid w:val="00607F71"/>
    <w:rsid w:val="00610090"/>
    <w:rsid w:val="0061015F"/>
    <w:rsid w:val="0061017E"/>
    <w:rsid w:val="006101C3"/>
    <w:rsid w:val="006101FE"/>
    <w:rsid w:val="006103BA"/>
    <w:rsid w:val="006103E8"/>
    <w:rsid w:val="006105BA"/>
    <w:rsid w:val="006107A6"/>
    <w:rsid w:val="006107F5"/>
    <w:rsid w:val="006108D1"/>
    <w:rsid w:val="00610C27"/>
    <w:rsid w:val="00610D13"/>
    <w:rsid w:val="0061102F"/>
    <w:rsid w:val="006110D9"/>
    <w:rsid w:val="00611145"/>
    <w:rsid w:val="00611225"/>
    <w:rsid w:val="00611322"/>
    <w:rsid w:val="006113F9"/>
    <w:rsid w:val="0061165D"/>
    <w:rsid w:val="00611823"/>
    <w:rsid w:val="006119AA"/>
    <w:rsid w:val="00611AB5"/>
    <w:rsid w:val="00611ADF"/>
    <w:rsid w:val="00611D67"/>
    <w:rsid w:val="00611D8A"/>
    <w:rsid w:val="00611E9F"/>
    <w:rsid w:val="00611F1E"/>
    <w:rsid w:val="00611F91"/>
    <w:rsid w:val="00611FAD"/>
    <w:rsid w:val="00612040"/>
    <w:rsid w:val="006121EC"/>
    <w:rsid w:val="006123D1"/>
    <w:rsid w:val="006123ED"/>
    <w:rsid w:val="006124C5"/>
    <w:rsid w:val="00612635"/>
    <w:rsid w:val="00612696"/>
    <w:rsid w:val="006126CF"/>
    <w:rsid w:val="00612817"/>
    <w:rsid w:val="0061282B"/>
    <w:rsid w:val="00612AF1"/>
    <w:rsid w:val="00612B85"/>
    <w:rsid w:val="00612C2E"/>
    <w:rsid w:val="00612CCE"/>
    <w:rsid w:val="00612D34"/>
    <w:rsid w:val="00612F09"/>
    <w:rsid w:val="00613099"/>
    <w:rsid w:val="006130BA"/>
    <w:rsid w:val="006131DD"/>
    <w:rsid w:val="00613401"/>
    <w:rsid w:val="00613684"/>
    <w:rsid w:val="0061387F"/>
    <w:rsid w:val="006138BD"/>
    <w:rsid w:val="00613AF2"/>
    <w:rsid w:val="00613EE6"/>
    <w:rsid w:val="0061407C"/>
    <w:rsid w:val="006140E7"/>
    <w:rsid w:val="006141B3"/>
    <w:rsid w:val="006141C2"/>
    <w:rsid w:val="00614270"/>
    <w:rsid w:val="0061429F"/>
    <w:rsid w:val="006143A8"/>
    <w:rsid w:val="006143B0"/>
    <w:rsid w:val="006143C3"/>
    <w:rsid w:val="006144AD"/>
    <w:rsid w:val="00614519"/>
    <w:rsid w:val="00614808"/>
    <w:rsid w:val="00614864"/>
    <w:rsid w:val="006148B6"/>
    <w:rsid w:val="006149E6"/>
    <w:rsid w:val="00614EC9"/>
    <w:rsid w:val="00614EF0"/>
    <w:rsid w:val="00614F50"/>
    <w:rsid w:val="006151BE"/>
    <w:rsid w:val="00615496"/>
    <w:rsid w:val="00615547"/>
    <w:rsid w:val="0061563D"/>
    <w:rsid w:val="00615670"/>
    <w:rsid w:val="006156B5"/>
    <w:rsid w:val="00615706"/>
    <w:rsid w:val="0061589B"/>
    <w:rsid w:val="0061597E"/>
    <w:rsid w:val="00615A0C"/>
    <w:rsid w:val="00615F55"/>
    <w:rsid w:val="00616025"/>
    <w:rsid w:val="0061612D"/>
    <w:rsid w:val="00616153"/>
    <w:rsid w:val="006161E6"/>
    <w:rsid w:val="006161F5"/>
    <w:rsid w:val="0061655A"/>
    <w:rsid w:val="006165BB"/>
    <w:rsid w:val="00616805"/>
    <w:rsid w:val="00616B42"/>
    <w:rsid w:val="00616C8C"/>
    <w:rsid w:val="00616CBE"/>
    <w:rsid w:val="00616E1B"/>
    <w:rsid w:val="00616E5D"/>
    <w:rsid w:val="00616E6D"/>
    <w:rsid w:val="00616F4A"/>
    <w:rsid w:val="00617054"/>
    <w:rsid w:val="00617062"/>
    <w:rsid w:val="006170BC"/>
    <w:rsid w:val="006172B3"/>
    <w:rsid w:val="006172F1"/>
    <w:rsid w:val="006173D6"/>
    <w:rsid w:val="00617426"/>
    <w:rsid w:val="006174BA"/>
    <w:rsid w:val="006176C3"/>
    <w:rsid w:val="00617936"/>
    <w:rsid w:val="006179C4"/>
    <w:rsid w:val="00617C35"/>
    <w:rsid w:val="00617D88"/>
    <w:rsid w:val="00617DDC"/>
    <w:rsid w:val="00617E7C"/>
    <w:rsid w:val="00617EBC"/>
    <w:rsid w:val="00617ECD"/>
    <w:rsid w:val="00620057"/>
    <w:rsid w:val="006201E5"/>
    <w:rsid w:val="006203D9"/>
    <w:rsid w:val="00620407"/>
    <w:rsid w:val="006205F2"/>
    <w:rsid w:val="00620646"/>
    <w:rsid w:val="00620744"/>
    <w:rsid w:val="0062079C"/>
    <w:rsid w:val="00620804"/>
    <w:rsid w:val="006208D9"/>
    <w:rsid w:val="006208EB"/>
    <w:rsid w:val="006209EC"/>
    <w:rsid w:val="00620A79"/>
    <w:rsid w:val="00620AA0"/>
    <w:rsid w:val="00620B9E"/>
    <w:rsid w:val="00620BB8"/>
    <w:rsid w:val="00620D4A"/>
    <w:rsid w:val="00620D7A"/>
    <w:rsid w:val="00620DDC"/>
    <w:rsid w:val="00620E81"/>
    <w:rsid w:val="00620EDA"/>
    <w:rsid w:val="00620F8C"/>
    <w:rsid w:val="0062129B"/>
    <w:rsid w:val="00621383"/>
    <w:rsid w:val="00621513"/>
    <w:rsid w:val="006219D6"/>
    <w:rsid w:val="00621BCB"/>
    <w:rsid w:val="00621BDF"/>
    <w:rsid w:val="00621C13"/>
    <w:rsid w:val="00621C1C"/>
    <w:rsid w:val="00621CC6"/>
    <w:rsid w:val="00621CEB"/>
    <w:rsid w:val="00621D8D"/>
    <w:rsid w:val="00621E10"/>
    <w:rsid w:val="00621EC6"/>
    <w:rsid w:val="00621EDC"/>
    <w:rsid w:val="00622032"/>
    <w:rsid w:val="006222E3"/>
    <w:rsid w:val="00622428"/>
    <w:rsid w:val="00622699"/>
    <w:rsid w:val="00622848"/>
    <w:rsid w:val="006229F3"/>
    <w:rsid w:val="00622A3A"/>
    <w:rsid w:val="00622A71"/>
    <w:rsid w:val="00622C02"/>
    <w:rsid w:val="00622C9C"/>
    <w:rsid w:val="00622D47"/>
    <w:rsid w:val="00622D6E"/>
    <w:rsid w:val="00622E14"/>
    <w:rsid w:val="00622E88"/>
    <w:rsid w:val="00622F35"/>
    <w:rsid w:val="00622F78"/>
    <w:rsid w:val="0062311D"/>
    <w:rsid w:val="006233DF"/>
    <w:rsid w:val="006233E9"/>
    <w:rsid w:val="006235BE"/>
    <w:rsid w:val="006236A2"/>
    <w:rsid w:val="00623AB0"/>
    <w:rsid w:val="00623BF3"/>
    <w:rsid w:val="00623D28"/>
    <w:rsid w:val="00623E28"/>
    <w:rsid w:val="00624015"/>
    <w:rsid w:val="00624137"/>
    <w:rsid w:val="00624171"/>
    <w:rsid w:val="006241A2"/>
    <w:rsid w:val="006241F9"/>
    <w:rsid w:val="0062423A"/>
    <w:rsid w:val="0062423D"/>
    <w:rsid w:val="006243C9"/>
    <w:rsid w:val="006244BE"/>
    <w:rsid w:val="006244E7"/>
    <w:rsid w:val="006244E9"/>
    <w:rsid w:val="006245ED"/>
    <w:rsid w:val="00624694"/>
    <w:rsid w:val="006246AC"/>
    <w:rsid w:val="0062490A"/>
    <w:rsid w:val="00624A02"/>
    <w:rsid w:val="00624BCD"/>
    <w:rsid w:val="00624C38"/>
    <w:rsid w:val="00624CD8"/>
    <w:rsid w:val="00624D55"/>
    <w:rsid w:val="00624E30"/>
    <w:rsid w:val="00624F17"/>
    <w:rsid w:val="00624F55"/>
    <w:rsid w:val="00624F85"/>
    <w:rsid w:val="00624FA3"/>
    <w:rsid w:val="00625099"/>
    <w:rsid w:val="006251E5"/>
    <w:rsid w:val="0062521A"/>
    <w:rsid w:val="00625240"/>
    <w:rsid w:val="0062524A"/>
    <w:rsid w:val="0062549E"/>
    <w:rsid w:val="00625596"/>
    <w:rsid w:val="00625819"/>
    <w:rsid w:val="00625874"/>
    <w:rsid w:val="0062590C"/>
    <w:rsid w:val="00625A8A"/>
    <w:rsid w:val="00625BAF"/>
    <w:rsid w:val="00625D79"/>
    <w:rsid w:val="00625E86"/>
    <w:rsid w:val="00625EC2"/>
    <w:rsid w:val="00625FC5"/>
    <w:rsid w:val="00626161"/>
    <w:rsid w:val="00626180"/>
    <w:rsid w:val="0062637E"/>
    <w:rsid w:val="006263E8"/>
    <w:rsid w:val="0062645A"/>
    <w:rsid w:val="006265E6"/>
    <w:rsid w:val="00626605"/>
    <w:rsid w:val="006266B6"/>
    <w:rsid w:val="00626876"/>
    <w:rsid w:val="006269E1"/>
    <w:rsid w:val="00626A0E"/>
    <w:rsid w:val="00626A71"/>
    <w:rsid w:val="00626BEE"/>
    <w:rsid w:val="00626C58"/>
    <w:rsid w:val="00626CEB"/>
    <w:rsid w:val="00626DE9"/>
    <w:rsid w:val="00626E9E"/>
    <w:rsid w:val="0062703B"/>
    <w:rsid w:val="006272D7"/>
    <w:rsid w:val="006272DB"/>
    <w:rsid w:val="006273DD"/>
    <w:rsid w:val="00627452"/>
    <w:rsid w:val="0062762D"/>
    <w:rsid w:val="00627659"/>
    <w:rsid w:val="006276EA"/>
    <w:rsid w:val="006277CF"/>
    <w:rsid w:val="00627A83"/>
    <w:rsid w:val="00627B58"/>
    <w:rsid w:val="00627C9E"/>
    <w:rsid w:val="00627CAE"/>
    <w:rsid w:val="00627D83"/>
    <w:rsid w:val="00627F68"/>
    <w:rsid w:val="0062F27A"/>
    <w:rsid w:val="00630082"/>
    <w:rsid w:val="006300F0"/>
    <w:rsid w:val="006301AF"/>
    <w:rsid w:val="00630307"/>
    <w:rsid w:val="006303AA"/>
    <w:rsid w:val="00630538"/>
    <w:rsid w:val="0063059B"/>
    <w:rsid w:val="00630926"/>
    <w:rsid w:val="0063094E"/>
    <w:rsid w:val="006309E8"/>
    <w:rsid w:val="00630AF7"/>
    <w:rsid w:val="00630CA5"/>
    <w:rsid w:val="00630D87"/>
    <w:rsid w:val="00630F85"/>
    <w:rsid w:val="0063107D"/>
    <w:rsid w:val="006310A6"/>
    <w:rsid w:val="006310E6"/>
    <w:rsid w:val="0063118D"/>
    <w:rsid w:val="0063143B"/>
    <w:rsid w:val="00631524"/>
    <w:rsid w:val="00631538"/>
    <w:rsid w:val="0063165B"/>
    <w:rsid w:val="006317E8"/>
    <w:rsid w:val="00631837"/>
    <w:rsid w:val="00631B07"/>
    <w:rsid w:val="00631B08"/>
    <w:rsid w:val="00631B2B"/>
    <w:rsid w:val="00631CC7"/>
    <w:rsid w:val="00631EAB"/>
    <w:rsid w:val="0063214B"/>
    <w:rsid w:val="0063287B"/>
    <w:rsid w:val="00632954"/>
    <w:rsid w:val="00632BF2"/>
    <w:rsid w:val="00632CDC"/>
    <w:rsid w:val="00632CF0"/>
    <w:rsid w:val="00632D02"/>
    <w:rsid w:val="00632DA5"/>
    <w:rsid w:val="00632DE2"/>
    <w:rsid w:val="00632E09"/>
    <w:rsid w:val="00632E54"/>
    <w:rsid w:val="00632EEB"/>
    <w:rsid w:val="00632F50"/>
    <w:rsid w:val="00632F73"/>
    <w:rsid w:val="00633092"/>
    <w:rsid w:val="0063311A"/>
    <w:rsid w:val="00633188"/>
    <w:rsid w:val="0063328E"/>
    <w:rsid w:val="0063341A"/>
    <w:rsid w:val="006334BE"/>
    <w:rsid w:val="00633796"/>
    <w:rsid w:val="0063379F"/>
    <w:rsid w:val="006338D2"/>
    <w:rsid w:val="0063393B"/>
    <w:rsid w:val="0063399A"/>
    <w:rsid w:val="00633A7B"/>
    <w:rsid w:val="00633AB8"/>
    <w:rsid w:val="00633B69"/>
    <w:rsid w:val="00633C46"/>
    <w:rsid w:val="00633CD7"/>
    <w:rsid w:val="00633D51"/>
    <w:rsid w:val="00633EB5"/>
    <w:rsid w:val="00634045"/>
    <w:rsid w:val="006342C7"/>
    <w:rsid w:val="006343A3"/>
    <w:rsid w:val="006343BA"/>
    <w:rsid w:val="0063451C"/>
    <w:rsid w:val="0063453D"/>
    <w:rsid w:val="0063458A"/>
    <w:rsid w:val="006346D1"/>
    <w:rsid w:val="006349CE"/>
    <w:rsid w:val="00634A13"/>
    <w:rsid w:val="00634A5A"/>
    <w:rsid w:val="00634B59"/>
    <w:rsid w:val="00634BB5"/>
    <w:rsid w:val="00634BE5"/>
    <w:rsid w:val="00634CAE"/>
    <w:rsid w:val="00634D20"/>
    <w:rsid w:val="00634DBF"/>
    <w:rsid w:val="00634E70"/>
    <w:rsid w:val="00634F50"/>
    <w:rsid w:val="00635073"/>
    <w:rsid w:val="00635142"/>
    <w:rsid w:val="0063535C"/>
    <w:rsid w:val="0063539B"/>
    <w:rsid w:val="006353C1"/>
    <w:rsid w:val="006353F5"/>
    <w:rsid w:val="006354B6"/>
    <w:rsid w:val="006355B6"/>
    <w:rsid w:val="006355D2"/>
    <w:rsid w:val="00635AAD"/>
    <w:rsid w:val="00635C09"/>
    <w:rsid w:val="00635CF9"/>
    <w:rsid w:val="00635EC7"/>
    <w:rsid w:val="00635FAA"/>
    <w:rsid w:val="00636055"/>
    <w:rsid w:val="00636214"/>
    <w:rsid w:val="006362C7"/>
    <w:rsid w:val="0063631B"/>
    <w:rsid w:val="00636393"/>
    <w:rsid w:val="006364B6"/>
    <w:rsid w:val="00636871"/>
    <w:rsid w:val="00636914"/>
    <w:rsid w:val="006369A6"/>
    <w:rsid w:val="00636A51"/>
    <w:rsid w:val="00636A75"/>
    <w:rsid w:val="00636B35"/>
    <w:rsid w:val="00636BE1"/>
    <w:rsid w:val="00636DD4"/>
    <w:rsid w:val="00636EBD"/>
    <w:rsid w:val="00636F81"/>
    <w:rsid w:val="006370D5"/>
    <w:rsid w:val="006371A6"/>
    <w:rsid w:val="0063726A"/>
    <w:rsid w:val="00637387"/>
    <w:rsid w:val="00637422"/>
    <w:rsid w:val="00637441"/>
    <w:rsid w:val="0063747A"/>
    <w:rsid w:val="00637481"/>
    <w:rsid w:val="006376A3"/>
    <w:rsid w:val="006378E5"/>
    <w:rsid w:val="00637947"/>
    <w:rsid w:val="006379B7"/>
    <w:rsid w:val="00637BA8"/>
    <w:rsid w:val="00637BEC"/>
    <w:rsid w:val="00637CDE"/>
    <w:rsid w:val="00637DC3"/>
    <w:rsid w:val="00637DE7"/>
    <w:rsid w:val="00637DF9"/>
    <w:rsid w:val="0064006B"/>
    <w:rsid w:val="006400B3"/>
    <w:rsid w:val="00640205"/>
    <w:rsid w:val="00640226"/>
    <w:rsid w:val="00640310"/>
    <w:rsid w:val="006403C3"/>
    <w:rsid w:val="006404DC"/>
    <w:rsid w:val="006405DD"/>
    <w:rsid w:val="006405F5"/>
    <w:rsid w:val="0064064A"/>
    <w:rsid w:val="006406EB"/>
    <w:rsid w:val="006408D8"/>
    <w:rsid w:val="00640946"/>
    <w:rsid w:val="00640C32"/>
    <w:rsid w:val="00640D38"/>
    <w:rsid w:val="00640E68"/>
    <w:rsid w:val="006411F2"/>
    <w:rsid w:val="00641341"/>
    <w:rsid w:val="0064148F"/>
    <w:rsid w:val="006415A6"/>
    <w:rsid w:val="0064162A"/>
    <w:rsid w:val="006416FE"/>
    <w:rsid w:val="00641828"/>
    <w:rsid w:val="00641A19"/>
    <w:rsid w:val="00641C3B"/>
    <w:rsid w:val="00641CAD"/>
    <w:rsid w:val="00641DA3"/>
    <w:rsid w:val="00641F40"/>
    <w:rsid w:val="00642004"/>
    <w:rsid w:val="0064207C"/>
    <w:rsid w:val="0064209E"/>
    <w:rsid w:val="00642151"/>
    <w:rsid w:val="00642339"/>
    <w:rsid w:val="0064241D"/>
    <w:rsid w:val="00642691"/>
    <w:rsid w:val="00642730"/>
    <w:rsid w:val="0064298E"/>
    <w:rsid w:val="006429C1"/>
    <w:rsid w:val="00642AE0"/>
    <w:rsid w:val="00642CDA"/>
    <w:rsid w:val="00642E29"/>
    <w:rsid w:val="00642F58"/>
    <w:rsid w:val="00642FA0"/>
    <w:rsid w:val="0064307B"/>
    <w:rsid w:val="006430EA"/>
    <w:rsid w:val="0064315F"/>
    <w:rsid w:val="006432C4"/>
    <w:rsid w:val="00643405"/>
    <w:rsid w:val="0064344E"/>
    <w:rsid w:val="0064350A"/>
    <w:rsid w:val="00643514"/>
    <w:rsid w:val="0064356C"/>
    <w:rsid w:val="006436CC"/>
    <w:rsid w:val="00643710"/>
    <w:rsid w:val="0064379B"/>
    <w:rsid w:val="006437D1"/>
    <w:rsid w:val="006438D5"/>
    <w:rsid w:val="00643952"/>
    <w:rsid w:val="00643B09"/>
    <w:rsid w:val="00643F60"/>
    <w:rsid w:val="00643F87"/>
    <w:rsid w:val="00643FEC"/>
    <w:rsid w:val="00644242"/>
    <w:rsid w:val="006442B0"/>
    <w:rsid w:val="0064436E"/>
    <w:rsid w:val="0064438B"/>
    <w:rsid w:val="00644D78"/>
    <w:rsid w:val="00644EC4"/>
    <w:rsid w:val="00644EE8"/>
    <w:rsid w:val="00644F9B"/>
    <w:rsid w:val="0064504E"/>
    <w:rsid w:val="006450FF"/>
    <w:rsid w:val="00645104"/>
    <w:rsid w:val="0064542D"/>
    <w:rsid w:val="00645755"/>
    <w:rsid w:val="00645767"/>
    <w:rsid w:val="00645956"/>
    <w:rsid w:val="00645AFC"/>
    <w:rsid w:val="00645BD8"/>
    <w:rsid w:val="00645BEA"/>
    <w:rsid w:val="00645C08"/>
    <w:rsid w:val="00645D59"/>
    <w:rsid w:val="00645EEF"/>
    <w:rsid w:val="00645FF1"/>
    <w:rsid w:val="0064605F"/>
    <w:rsid w:val="00646076"/>
    <w:rsid w:val="006460F8"/>
    <w:rsid w:val="00646157"/>
    <w:rsid w:val="0064630C"/>
    <w:rsid w:val="006463B8"/>
    <w:rsid w:val="00646491"/>
    <w:rsid w:val="00646551"/>
    <w:rsid w:val="0064655C"/>
    <w:rsid w:val="0064658E"/>
    <w:rsid w:val="006467D9"/>
    <w:rsid w:val="00646A0B"/>
    <w:rsid w:val="00646B26"/>
    <w:rsid w:val="00646B68"/>
    <w:rsid w:val="00646BBC"/>
    <w:rsid w:val="00646C21"/>
    <w:rsid w:val="00646C48"/>
    <w:rsid w:val="00646CA0"/>
    <w:rsid w:val="00646CC4"/>
    <w:rsid w:val="00646D26"/>
    <w:rsid w:val="00646E0C"/>
    <w:rsid w:val="00646E75"/>
    <w:rsid w:val="00646EF8"/>
    <w:rsid w:val="00646F62"/>
    <w:rsid w:val="006470EC"/>
    <w:rsid w:val="0064711C"/>
    <w:rsid w:val="00647129"/>
    <w:rsid w:val="0064717C"/>
    <w:rsid w:val="00647210"/>
    <w:rsid w:val="00647272"/>
    <w:rsid w:val="00647371"/>
    <w:rsid w:val="0064753F"/>
    <w:rsid w:val="006475EC"/>
    <w:rsid w:val="0064778C"/>
    <w:rsid w:val="006477EC"/>
    <w:rsid w:val="006478B5"/>
    <w:rsid w:val="006479EA"/>
    <w:rsid w:val="00647A53"/>
    <w:rsid w:val="00647A61"/>
    <w:rsid w:val="00647AE3"/>
    <w:rsid w:val="00647B19"/>
    <w:rsid w:val="00647D11"/>
    <w:rsid w:val="00647DA6"/>
    <w:rsid w:val="00647DCD"/>
    <w:rsid w:val="00647EC0"/>
    <w:rsid w:val="00647F3A"/>
    <w:rsid w:val="00647FEF"/>
    <w:rsid w:val="00647FF3"/>
    <w:rsid w:val="0065006D"/>
    <w:rsid w:val="00650086"/>
    <w:rsid w:val="006500FF"/>
    <w:rsid w:val="00650142"/>
    <w:rsid w:val="006501BC"/>
    <w:rsid w:val="006502B7"/>
    <w:rsid w:val="00650361"/>
    <w:rsid w:val="0065056C"/>
    <w:rsid w:val="006505D8"/>
    <w:rsid w:val="006508A8"/>
    <w:rsid w:val="006508FC"/>
    <w:rsid w:val="0065099A"/>
    <w:rsid w:val="00650A68"/>
    <w:rsid w:val="00650BF9"/>
    <w:rsid w:val="00650D61"/>
    <w:rsid w:val="00650DBF"/>
    <w:rsid w:val="00650FF4"/>
    <w:rsid w:val="00651043"/>
    <w:rsid w:val="006511B2"/>
    <w:rsid w:val="00651268"/>
    <w:rsid w:val="00651473"/>
    <w:rsid w:val="00651767"/>
    <w:rsid w:val="00651775"/>
    <w:rsid w:val="0065183F"/>
    <w:rsid w:val="0065188B"/>
    <w:rsid w:val="00651994"/>
    <w:rsid w:val="006519B9"/>
    <w:rsid w:val="00651A8E"/>
    <w:rsid w:val="00651AC8"/>
    <w:rsid w:val="00651C6D"/>
    <w:rsid w:val="00651DA5"/>
    <w:rsid w:val="00651EF9"/>
    <w:rsid w:val="00651FC7"/>
    <w:rsid w:val="006520A2"/>
    <w:rsid w:val="00652277"/>
    <w:rsid w:val="006522ED"/>
    <w:rsid w:val="00652422"/>
    <w:rsid w:val="00652491"/>
    <w:rsid w:val="0065262A"/>
    <w:rsid w:val="0065267B"/>
    <w:rsid w:val="006528F5"/>
    <w:rsid w:val="00652981"/>
    <w:rsid w:val="00652A26"/>
    <w:rsid w:val="00652A46"/>
    <w:rsid w:val="00652AC6"/>
    <w:rsid w:val="00652DB4"/>
    <w:rsid w:val="00652ECB"/>
    <w:rsid w:val="0065323C"/>
    <w:rsid w:val="00653254"/>
    <w:rsid w:val="00653413"/>
    <w:rsid w:val="006535D9"/>
    <w:rsid w:val="00653661"/>
    <w:rsid w:val="0065372A"/>
    <w:rsid w:val="006538D5"/>
    <w:rsid w:val="006538F6"/>
    <w:rsid w:val="00653916"/>
    <w:rsid w:val="0065398A"/>
    <w:rsid w:val="00653B4E"/>
    <w:rsid w:val="00653BD6"/>
    <w:rsid w:val="00653FA7"/>
    <w:rsid w:val="00654034"/>
    <w:rsid w:val="006540B6"/>
    <w:rsid w:val="0065411C"/>
    <w:rsid w:val="006542B8"/>
    <w:rsid w:val="00654351"/>
    <w:rsid w:val="006543FB"/>
    <w:rsid w:val="006546C9"/>
    <w:rsid w:val="006549B6"/>
    <w:rsid w:val="00654A6A"/>
    <w:rsid w:val="00654A7F"/>
    <w:rsid w:val="00654EDC"/>
    <w:rsid w:val="00654F68"/>
    <w:rsid w:val="00654F9D"/>
    <w:rsid w:val="0065503C"/>
    <w:rsid w:val="0065510A"/>
    <w:rsid w:val="006552CB"/>
    <w:rsid w:val="0065531B"/>
    <w:rsid w:val="006553BA"/>
    <w:rsid w:val="0065558F"/>
    <w:rsid w:val="00655636"/>
    <w:rsid w:val="0065577C"/>
    <w:rsid w:val="006557AF"/>
    <w:rsid w:val="00655814"/>
    <w:rsid w:val="00655901"/>
    <w:rsid w:val="006559BE"/>
    <w:rsid w:val="00655B49"/>
    <w:rsid w:val="00655BE8"/>
    <w:rsid w:val="00655CE8"/>
    <w:rsid w:val="00655E4B"/>
    <w:rsid w:val="00655EEA"/>
    <w:rsid w:val="0065600D"/>
    <w:rsid w:val="00656200"/>
    <w:rsid w:val="00656256"/>
    <w:rsid w:val="006563F7"/>
    <w:rsid w:val="00656779"/>
    <w:rsid w:val="00656829"/>
    <w:rsid w:val="006568C7"/>
    <w:rsid w:val="00656AD3"/>
    <w:rsid w:val="00656CCC"/>
    <w:rsid w:val="0065703E"/>
    <w:rsid w:val="0065720F"/>
    <w:rsid w:val="00657412"/>
    <w:rsid w:val="0065748F"/>
    <w:rsid w:val="0065753A"/>
    <w:rsid w:val="006576F1"/>
    <w:rsid w:val="0065798F"/>
    <w:rsid w:val="00657A16"/>
    <w:rsid w:val="00657CA5"/>
    <w:rsid w:val="00657CE4"/>
    <w:rsid w:val="00657D7C"/>
    <w:rsid w:val="00657EBC"/>
    <w:rsid w:val="00657F67"/>
    <w:rsid w:val="00657F71"/>
    <w:rsid w:val="00660020"/>
    <w:rsid w:val="006600E3"/>
    <w:rsid w:val="00660290"/>
    <w:rsid w:val="0066032E"/>
    <w:rsid w:val="00660452"/>
    <w:rsid w:val="00660459"/>
    <w:rsid w:val="00660471"/>
    <w:rsid w:val="006604E1"/>
    <w:rsid w:val="00660525"/>
    <w:rsid w:val="0066057D"/>
    <w:rsid w:val="006605C8"/>
    <w:rsid w:val="006606B3"/>
    <w:rsid w:val="00660713"/>
    <w:rsid w:val="00660725"/>
    <w:rsid w:val="00660960"/>
    <w:rsid w:val="00660A41"/>
    <w:rsid w:val="00660C85"/>
    <w:rsid w:val="00660C99"/>
    <w:rsid w:val="00660D7B"/>
    <w:rsid w:val="00660F41"/>
    <w:rsid w:val="00660F47"/>
    <w:rsid w:val="00660FA5"/>
    <w:rsid w:val="006610F2"/>
    <w:rsid w:val="006611F4"/>
    <w:rsid w:val="00661273"/>
    <w:rsid w:val="006613B4"/>
    <w:rsid w:val="006614E3"/>
    <w:rsid w:val="006614E7"/>
    <w:rsid w:val="0066172D"/>
    <w:rsid w:val="00661812"/>
    <w:rsid w:val="006618A7"/>
    <w:rsid w:val="006619A8"/>
    <w:rsid w:val="006619C6"/>
    <w:rsid w:val="00661A25"/>
    <w:rsid w:val="00661AC8"/>
    <w:rsid w:val="00661B7D"/>
    <w:rsid w:val="00661BF7"/>
    <w:rsid w:val="00661C15"/>
    <w:rsid w:val="00661D51"/>
    <w:rsid w:val="00661DEA"/>
    <w:rsid w:val="00661E7A"/>
    <w:rsid w:val="00661E87"/>
    <w:rsid w:val="00661F41"/>
    <w:rsid w:val="00661F63"/>
    <w:rsid w:val="00662077"/>
    <w:rsid w:val="006620C4"/>
    <w:rsid w:val="00662122"/>
    <w:rsid w:val="00662415"/>
    <w:rsid w:val="00662417"/>
    <w:rsid w:val="00662504"/>
    <w:rsid w:val="00662536"/>
    <w:rsid w:val="00662590"/>
    <w:rsid w:val="006625D2"/>
    <w:rsid w:val="006625EC"/>
    <w:rsid w:val="00662619"/>
    <w:rsid w:val="0066271E"/>
    <w:rsid w:val="006627ED"/>
    <w:rsid w:val="00662B3F"/>
    <w:rsid w:val="00662B72"/>
    <w:rsid w:val="00662BAF"/>
    <w:rsid w:val="00662BC8"/>
    <w:rsid w:val="00662C33"/>
    <w:rsid w:val="00662CBF"/>
    <w:rsid w:val="00662D2B"/>
    <w:rsid w:val="00662D74"/>
    <w:rsid w:val="00662FD6"/>
    <w:rsid w:val="00663018"/>
    <w:rsid w:val="00663088"/>
    <w:rsid w:val="00663392"/>
    <w:rsid w:val="0066340F"/>
    <w:rsid w:val="006636B6"/>
    <w:rsid w:val="006636FB"/>
    <w:rsid w:val="00663756"/>
    <w:rsid w:val="006637F6"/>
    <w:rsid w:val="006637FF"/>
    <w:rsid w:val="0066393A"/>
    <w:rsid w:val="00663A31"/>
    <w:rsid w:val="00663C40"/>
    <w:rsid w:val="00663EE2"/>
    <w:rsid w:val="0066403F"/>
    <w:rsid w:val="0066414A"/>
    <w:rsid w:val="0066445D"/>
    <w:rsid w:val="00664561"/>
    <w:rsid w:val="0066463C"/>
    <w:rsid w:val="00664670"/>
    <w:rsid w:val="006646B3"/>
    <w:rsid w:val="0066472A"/>
    <w:rsid w:val="0066476A"/>
    <w:rsid w:val="006647B2"/>
    <w:rsid w:val="006647CE"/>
    <w:rsid w:val="0066494D"/>
    <w:rsid w:val="00664A01"/>
    <w:rsid w:val="00664B6E"/>
    <w:rsid w:val="00664BB3"/>
    <w:rsid w:val="00664E36"/>
    <w:rsid w:val="00664E6F"/>
    <w:rsid w:val="00664ED6"/>
    <w:rsid w:val="00664FC9"/>
    <w:rsid w:val="006653E6"/>
    <w:rsid w:val="0066562B"/>
    <w:rsid w:val="00665642"/>
    <w:rsid w:val="0066565D"/>
    <w:rsid w:val="00665686"/>
    <w:rsid w:val="006656F8"/>
    <w:rsid w:val="00665722"/>
    <w:rsid w:val="0066593E"/>
    <w:rsid w:val="0066594E"/>
    <w:rsid w:val="00665B13"/>
    <w:rsid w:val="00665BCE"/>
    <w:rsid w:val="00665CB4"/>
    <w:rsid w:val="00665F5C"/>
    <w:rsid w:val="006660AD"/>
    <w:rsid w:val="00666211"/>
    <w:rsid w:val="00666417"/>
    <w:rsid w:val="00666499"/>
    <w:rsid w:val="00666514"/>
    <w:rsid w:val="00666549"/>
    <w:rsid w:val="006665DA"/>
    <w:rsid w:val="006665FB"/>
    <w:rsid w:val="006666B1"/>
    <w:rsid w:val="006667B2"/>
    <w:rsid w:val="00666BE3"/>
    <w:rsid w:val="00666BEC"/>
    <w:rsid w:val="00666C02"/>
    <w:rsid w:val="00666C85"/>
    <w:rsid w:val="00666D52"/>
    <w:rsid w:val="006672BE"/>
    <w:rsid w:val="00667337"/>
    <w:rsid w:val="00667371"/>
    <w:rsid w:val="00667533"/>
    <w:rsid w:val="00667627"/>
    <w:rsid w:val="00667695"/>
    <w:rsid w:val="00667710"/>
    <w:rsid w:val="006679D7"/>
    <w:rsid w:val="00667A2F"/>
    <w:rsid w:val="00667B54"/>
    <w:rsid w:val="00667BA5"/>
    <w:rsid w:val="00667CBC"/>
    <w:rsid w:val="00667D54"/>
    <w:rsid w:val="00667D61"/>
    <w:rsid w:val="00667DA6"/>
    <w:rsid w:val="00667FC4"/>
    <w:rsid w:val="00667FF9"/>
    <w:rsid w:val="0067002B"/>
    <w:rsid w:val="00670040"/>
    <w:rsid w:val="00670097"/>
    <w:rsid w:val="00670302"/>
    <w:rsid w:val="00670328"/>
    <w:rsid w:val="0067040C"/>
    <w:rsid w:val="00670448"/>
    <w:rsid w:val="0067059F"/>
    <w:rsid w:val="006705CE"/>
    <w:rsid w:val="00670609"/>
    <w:rsid w:val="0067061E"/>
    <w:rsid w:val="00670666"/>
    <w:rsid w:val="006706E0"/>
    <w:rsid w:val="0067078F"/>
    <w:rsid w:val="006707A6"/>
    <w:rsid w:val="006707C0"/>
    <w:rsid w:val="00670870"/>
    <w:rsid w:val="006708ED"/>
    <w:rsid w:val="006709E6"/>
    <w:rsid w:val="00670A2F"/>
    <w:rsid w:val="00670A81"/>
    <w:rsid w:val="00670C11"/>
    <w:rsid w:val="00670C3B"/>
    <w:rsid w:val="00670C81"/>
    <w:rsid w:val="00670CE5"/>
    <w:rsid w:val="00670EAC"/>
    <w:rsid w:val="00670FD0"/>
    <w:rsid w:val="00671029"/>
    <w:rsid w:val="006710F8"/>
    <w:rsid w:val="0067110B"/>
    <w:rsid w:val="00671129"/>
    <w:rsid w:val="0067112B"/>
    <w:rsid w:val="006711C6"/>
    <w:rsid w:val="0067122B"/>
    <w:rsid w:val="00671405"/>
    <w:rsid w:val="006715F7"/>
    <w:rsid w:val="00671686"/>
    <w:rsid w:val="00671696"/>
    <w:rsid w:val="006717A3"/>
    <w:rsid w:val="00671A2B"/>
    <w:rsid w:val="00671A2E"/>
    <w:rsid w:val="00671A6B"/>
    <w:rsid w:val="00671B19"/>
    <w:rsid w:val="00671B63"/>
    <w:rsid w:val="00671BFD"/>
    <w:rsid w:val="00671C85"/>
    <w:rsid w:val="00671CC3"/>
    <w:rsid w:val="00671CFC"/>
    <w:rsid w:val="00671F32"/>
    <w:rsid w:val="00671FC3"/>
    <w:rsid w:val="00672127"/>
    <w:rsid w:val="00672129"/>
    <w:rsid w:val="006721E7"/>
    <w:rsid w:val="00672217"/>
    <w:rsid w:val="0067221D"/>
    <w:rsid w:val="006722B3"/>
    <w:rsid w:val="006722BE"/>
    <w:rsid w:val="006724C6"/>
    <w:rsid w:val="006724F5"/>
    <w:rsid w:val="00672508"/>
    <w:rsid w:val="0067259B"/>
    <w:rsid w:val="00672646"/>
    <w:rsid w:val="0067276B"/>
    <w:rsid w:val="0067292E"/>
    <w:rsid w:val="00672A6B"/>
    <w:rsid w:val="00672AE7"/>
    <w:rsid w:val="00672B3C"/>
    <w:rsid w:val="00672C5F"/>
    <w:rsid w:val="00672D03"/>
    <w:rsid w:val="00672DD9"/>
    <w:rsid w:val="00672FBE"/>
    <w:rsid w:val="00673146"/>
    <w:rsid w:val="00673251"/>
    <w:rsid w:val="00673312"/>
    <w:rsid w:val="006733FD"/>
    <w:rsid w:val="0067358E"/>
    <w:rsid w:val="006736D2"/>
    <w:rsid w:val="006736F9"/>
    <w:rsid w:val="006737B5"/>
    <w:rsid w:val="0067395A"/>
    <w:rsid w:val="00673A9B"/>
    <w:rsid w:val="00673B15"/>
    <w:rsid w:val="00673B29"/>
    <w:rsid w:val="00673C90"/>
    <w:rsid w:val="00673CCA"/>
    <w:rsid w:val="00673CF6"/>
    <w:rsid w:val="00673D03"/>
    <w:rsid w:val="00673E08"/>
    <w:rsid w:val="00673E1D"/>
    <w:rsid w:val="00673EBD"/>
    <w:rsid w:val="00674044"/>
    <w:rsid w:val="00674159"/>
    <w:rsid w:val="00674354"/>
    <w:rsid w:val="006744AF"/>
    <w:rsid w:val="006744E2"/>
    <w:rsid w:val="006747FA"/>
    <w:rsid w:val="00674872"/>
    <w:rsid w:val="006748C8"/>
    <w:rsid w:val="00674B4C"/>
    <w:rsid w:val="00674B6B"/>
    <w:rsid w:val="00674CF4"/>
    <w:rsid w:val="0067502E"/>
    <w:rsid w:val="00675090"/>
    <w:rsid w:val="006750EB"/>
    <w:rsid w:val="00675185"/>
    <w:rsid w:val="006752DA"/>
    <w:rsid w:val="006753FC"/>
    <w:rsid w:val="0067544B"/>
    <w:rsid w:val="006755D7"/>
    <w:rsid w:val="00675698"/>
    <w:rsid w:val="0067581C"/>
    <w:rsid w:val="00675992"/>
    <w:rsid w:val="00675A52"/>
    <w:rsid w:val="00675A91"/>
    <w:rsid w:val="00675B1F"/>
    <w:rsid w:val="00675B74"/>
    <w:rsid w:val="00675DA6"/>
    <w:rsid w:val="0067602D"/>
    <w:rsid w:val="006760C3"/>
    <w:rsid w:val="006760F8"/>
    <w:rsid w:val="00676194"/>
    <w:rsid w:val="00676271"/>
    <w:rsid w:val="0067627E"/>
    <w:rsid w:val="0067647D"/>
    <w:rsid w:val="006765B3"/>
    <w:rsid w:val="00676807"/>
    <w:rsid w:val="00676C9C"/>
    <w:rsid w:val="00676D5B"/>
    <w:rsid w:val="00676EB7"/>
    <w:rsid w:val="00676FD9"/>
    <w:rsid w:val="00676FEF"/>
    <w:rsid w:val="0067723E"/>
    <w:rsid w:val="006772D8"/>
    <w:rsid w:val="006772EA"/>
    <w:rsid w:val="006774D0"/>
    <w:rsid w:val="00677552"/>
    <w:rsid w:val="006777A5"/>
    <w:rsid w:val="0067789F"/>
    <w:rsid w:val="006778F3"/>
    <w:rsid w:val="00677913"/>
    <w:rsid w:val="006779AE"/>
    <w:rsid w:val="006779D4"/>
    <w:rsid w:val="00677D30"/>
    <w:rsid w:val="0067E0F2"/>
    <w:rsid w:val="006806BB"/>
    <w:rsid w:val="00680890"/>
    <w:rsid w:val="006809DE"/>
    <w:rsid w:val="00680B70"/>
    <w:rsid w:val="00680BCA"/>
    <w:rsid w:val="00680C91"/>
    <w:rsid w:val="00680D03"/>
    <w:rsid w:val="00680D1C"/>
    <w:rsid w:val="00680D6C"/>
    <w:rsid w:val="00680D9F"/>
    <w:rsid w:val="00680E67"/>
    <w:rsid w:val="0068108C"/>
    <w:rsid w:val="006810BE"/>
    <w:rsid w:val="006810F5"/>
    <w:rsid w:val="0068123B"/>
    <w:rsid w:val="00681262"/>
    <w:rsid w:val="00681334"/>
    <w:rsid w:val="00681390"/>
    <w:rsid w:val="006813DB"/>
    <w:rsid w:val="0068144B"/>
    <w:rsid w:val="0068150D"/>
    <w:rsid w:val="006815BC"/>
    <w:rsid w:val="00681729"/>
    <w:rsid w:val="0068172D"/>
    <w:rsid w:val="00681909"/>
    <w:rsid w:val="0068191F"/>
    <w:rsid w:val="00681980"/>
    <w:rsid w:val="006819A5"/>
    <w:rsid w:val="006819F3"/>
    <w:rsid w:val="00681B05"/>
    <w:rsid w:val="00681B63"/>
    <w:rsid w:val="00681D86"/>
    <w:rsid w:val="00681E31"/>
    <w:rsid w:val="00681F63"/>
    <w:rsid w:val="00681F93"/>
    <w:rsid w:val="0068217C"/>
    <w:rsid w:val="006821D2"/>
    <w:rsid w:val="006821DC"/>
    <w:rsid w:val="00682252"/>
    <w:rsid w:val="0068225C"/>
    <w:rsid w:val="006822CE"/>
    <w:rsid w:val="0068237F"/>
    <w:rsid w:val="006824EC"/>
    <w:rsid w:val="006825FA"/>
    <w:rsid w:val="0068270C"/>
    <w:rsid w:val="006827FB"/>
    <w:rsid w:val="006829D7"/>
    <w:rsid w:val="00682A91"/>
    <w:rsid w:val="00682E70"/>
    <w:rsid w:val="0068307D"/>
    <w:rsid w:val="006830B7"/>
    <w:rsid w:val="006831A3"/>
    <w:rsid w:val="006831B2"/>
    <w:rsid w:val="0068321D"/>
    <w:rsid w:val="006834B8"/>
    <w:rsid w:val="006834B9"/>
    <w:rsid w:val="006834E8"/>
    <w:rsid w:val="006835D7"/>
    <w:rsid w:val="006835FB"/>
    <w:rsid w:val="00683629"/>
    <w:rsid w:val="006836AD"/>
    <w:rsid w:val="00683832"/>
    <w:rsid w:val="00683912"/>
    <w:rsid w:val="00683DCF"/>
    <w:rsid w:val="00683EAF"/>
    <w:rsid w:val="00684032"/>
    <w:rsid w:val="00684043"/>
    <w:rsid w:val="006840EF"/>
    <w:rsid w:val="00684433"/>
    <w:rsid w:val="006844CB"/>
    <w:rsid w:val="0068450D"/>
    <w:rsid w:val="00684525"/>
    <w:rsid w:val="0068454F"/>
    <w:rsid w:val="006846A7"/>
    <w:rsid w:val="006846F8"/>
    <w:rsid w:val="00684773"/>
    <w:rsid w:val="006847A3"/>
    <w:rsid w:val="006849F0"/>
    <w:rsid w:val="00684A41"/>
    <w:rsid w:val="00684BFD"/>
    <w:rsid w:val="00684D4E"/>
    <w:rsid w:val="00684D8F"/>
    <w:rsid w:val="00684EB7"/>
    <w:rsid w:val="00684F42"/>
    <w:rsid w:val="00684FF4"/>
    <w:rsid w:val="0068500E"/>
    <w:rsid w:val="00685097"/>
    <w:rsid w:val="0068509D"/>
    <w:rsid w:val="0068514B"/>
    <w:rsid w:val="0068526C"/>
    <w:rsid w:val="00685336"/>
    <w:rsid w:val="00685430"/>
    <w:rsid w:val="0068564B"/>
    <w:rsid w:val="00685732"/>
    <w:rsid w:val="006857EA"/>
    <w:rsid w:val="006859A2"/>
    <w:rsid w:val="00685ACF"/>
    <w:rsid w:val="00685B3B"/>
    <w:rsid w:val="00685CCB"/>
    <w:rsid w:val="00685E7B"/>
    <w:rsid w:val="00685F7B"/>
    <w:rsid w:val="006864F9"/>
    <w:rsid w:val="00686898"/>
    <w:rsid w:val="00686944"/>
    <w:rsid w:val="00686A5B"/>
    <w:rsid w:val="00686BA9"/>
    <w:rsid w:val="00686C71"/>
    <w:rsid w:val="00686D04"/>
    <w:rsid w:val="00686D0D"/>
    <w:rsid w:val="00686E77"/>
    <w:rsid w:val="00686E94"/>
    <w:rsid w:val="0068707B"/>
    <w:rsid w:val="00687286"/>
    <w:rsid w:val="006872E8"/>
    <w:rsid w:val="00687396"/>
    <w:rsid w:val="00687607"/>
    <w:rsid w:val="00687788"/>
    <w:rsid w:val="00687A2E"/>
    <w:rsid w:val="00687AF5"/>
    <w:rsid w:val="00687B2A"/>
    <w:rsid w:val="00687B3C"/>
    <w:rsid w:val="00687C73"/>
    <w:rsid w:val="00687E03"/>
    <w:rsid w:val="00687E10"/>
    <w:rsid w:val="00687E73"/>
    <w:rsid w:val="00687F85"/>
    <w:rsid w:val="00687FFB"/>
    <w:rsid w:val="0069004A"/>
    <w:rsid w:val="00690101"/>
    <w:rsid w:val="00690435"/>
    <w:rsid w:val="00690521"/>
    <w:rsid w:val="006906CA"/>
    <w:rsid w:val="0069087E"/>
    <w:rsid w:val="006909FD"/>
    <w:rsid w:val="00690C36"/>
    <w:rsid w:val="00690C6D"/>
    <w:rsid w:val="00690D22"/>
    <w:rsid w:val="006910FD"/>
    <w:rsid w:val="0069110B"/>
    <w:rsid w:val="006911AB"/>
    <w:rsid w:val="00691257"/>
    <w:rsid w:val="00691427"/>
    <w:rsid w:val="006916AA"/>
    <w:rsid w:val="00691796"/>
    <w:rsid w:val="00691855"/>
    <w:rsid w:val="00691B68"/>
    <w:rsid w:val="00691DCE"/>
    <w:rsid w:val="00691E50"/>
    <w:rsid w:val="00691E9F"/>
    <w:rsid w:val="00691EF6"/>
    <w:rsid w:val="0069213C"/>
    <w:rsid w:val="00692144"/>
    <w:rsid w:val="00692380"/>
    <w:rsid w:val="006923A0"/>
    <w:rsid w:val="00692478"/>
    <w:rsid w:val="006924D6"/>
    <w:rsid w:val="00692575"/>
    <w:rsid w:val="00692621"/>
    <w:rsid w:val="00692645"/>
    <w:rsid w:val="0069266F"/>
    <w:rsid w:val="006927D2"/>
    <w:rsid w:val="006928FA"/>
    <w:rsid w:val="00692A7E"/>
    <w:rsid w:val="00692C6D"/>
    <w:rsid w:val="00692C78"/>
    <w:rsid w:val="00692CF3"/>
    <w:rsid w:val="00692D23"/>
    <w:rsid w:val="00692D6E"/>
    <w:rsid w:val="00692E35"/>
    <w:rsid w:val="00692EA9"/>
    <w:rsid w:val="006930E2"/>
    <w:rsid w:val="0069310F"/>
    <w:rsid w:val="0069313A"/>
    <w:rsid w:val="006931C1"/>
    <w:rsid w:val="00693273"/>
    <w:rsid w:val="00693291"/>
    <w:rsid w:val="006932F5"/>
    <w:rsid w:val="0069350C"/>
    <w:rsid w:val="00693582"/>
    <w:rsid w:val="006935DA"/>
    <w:rsid w:val="00693636"/>
    <w:rsid w:val="00693708"/>
    <w:rsid w:val="006937F2"/>
    <w:rsid w:val="00693BD0"/>
    <w:rsid w:val="00693D55"/>
    <w:rsid w:val="00693D79"/>
    <w:rsid w:val="00693DE1"/>
    <w:rsid w:val="00693F81"/>
    <w:rsid w:val="0069400A"/>
    <w:rsid w:val="0069402D"/>
    <w:rsid w:val="006941B4"/>
    <w:rsid w:val="006941F1"/>
    <w:rsid w:val="0069424E"/>
    <w:rsid w:val="00694412"/>
    <w:rsid w:val="0069449C"/>
    <w:rsid w:val="006945CB"/>
    <w:rsid w:val="006946BE"/>
    <w:rsid w:val="00694753"/>
    <w:rsid w:val="00694998"/>
    <w:rsid w:val="00694C33"/>
    <w:rsid w:val="00694C63"/>
    <w:rsid w:val="00694E88"/>
    <w:rsid w:val="00694EEA"/>
    <w:rsid w:val="006952C5"/>
    <w:rsid w:val="006955D4"/>
    <w:rsid w:val="00695664"/>
    <w:rsid w:val="00695681"/>
    <w:rsid w:val="006956BE"/>
    <w:rsid w:val="00695756"/>
    <w:rsid w:val="00695781"/>
    <w:rsid w:val="006957F9"/>
    <w:rsid w:val="006958A4"/>
    <w:rsid w:val="006958BB"/>
    <w:rsid w:val="006958EC"/>
    <w:rsid w:val="006958F5"/>
    <w:rsid w:val="00695971"/>
    <w:rsid w:val="0069597D"/>
    <w:rsid w:val="00695A26"/>
    <w:rsid w:val="00695C93"/>
    <w:rsid w:val="00695F21"/>
    <w:rsid w:val="00695FE7"/>
    <w:rsid w:val="0069601E"/>
    <w:rsid w:val="006961B2"/>
    <w:rsid w:val="006963ED"/>
    <w:rsid w:val="0069662C"/>
    <w:rsid w:val="0069667B"/>
    <w:rsid w:val="00696963"/>
    <w:rsid w:val="00696A51"/>
    <w:rsid w:val="00696E17"/>
    <w:rsid w:val="00696E3C"/>
    <w:rsid w:val="00696EAE"/>
    <w:rsid w:val="00697088"/>
    <w:rsid w:val="0069723B"/>
    <w:rsid w:val="00697242"/>
    <w:rsid w:val="00697259"/>
    <w:rsid w:val="0069735A"/>
    <w:rsid w:val="006974ED"/>
    <w:rsid w:val="00697544"/>
    <w:rsid w:val="006975E5"/>
    <w:rsid w:val="006975F0"/>
    <w:rsid w:val="00697883"/>
    <w:rsid w:val="006978B6"/>
    <w:rsid w:val="00697A63"/>
    <w:rsid w:val="00697A93"/>
    <w:rsid w:val="00697BDA"/>
    <w:rsid w:val="00697D09"/>
    <w:rsid w:val="00697D5F"/>
    <w:rsid w:val="006A0060"/>
    <w:rsid w:val="006A013B"/>
    <w:rsid w:val="006A01AA"/>
    <w:rsid w:val="006A029C"/>
    <w:rsid w:val="006A029F"/>
    <w:rsid w:val="006A0484"/>
    <w:rsid w:val="006A06DB"/>
    <w:rsid w:val="006A08FF"/>
    <w:rsid w:val="006A09B8"/>
    <w:rsid w:val="006A0B28"/>
    <w:rsid w:val="006A0DFC"/>
    <w:rsid w:val="006A0E34"/>
    <w:rsid w:val="006A0F8C"/>
    <w:rsid w:val="006A102A"/>
    <w:rsid w:val="006A1186"/>
    <w:rsid w:val="006A1343"/>
    <w:rsid w:val="006A13E9"/>
    <w:rsid w:val="006A1455"/>
    <w:rsid w:val="006A1768"/>
    <w:rsid w:val="006A1994"/>
    <w:rsid w:val="006A1B92"/>
    <w:rsid w:val="006A1CB9"/>
    <w:rsid w:val="006A1EBD"/>
    <w:rsid w:val="006A1FAD"/>
    <w:rsid w:val="006A2020"/>
    <w:rsid w:val="006A21B2"/>
    <w:rsid w:val="006A2241"/>
    <w:rsid w:val="006A22F8"/>
    <w:rsid w:val="006A23B4"/>
    <w:rsid w:val="006A23BE"/>
    <w:rsid w:val="006A2418"/>
    <w:rsid w:val="006A24E0"/>
    <w:rsid w:val="006A26EE"/>
    <w:rsid w:val="006A27D7"/>
    <w:rsid w:val="006A28BC"/>
    <w:rsid w:val="006A2923"/>
    <w:rsid w:val="006A29DD"/>
    <w:rsid w:val="006A2A7F"/>
    <w:rsid w:val="006A2A82"/>
    <w:rsid w:val="006A2EA1"/>
    <w:rsid w:val="006A3161"/>
    <w:rsid w:val="006A32DC"/>
    <w:rsid w:val="006A3322"/>
    <w:rsid w:val="006A33D7"/>
    <w:rsid w:val="006A35B5"/>
    <w:rsid w:val="006A36B7"/>
    <w:rsid w:val="006A398F"/>
    <w:rsid w:val="006A3A9B"/>
    <w:rsid w:val="006A3AFB"/>
    <w:rsid w:val="006A3BBC"/>
    <w:rsid w:val="006A3C1E"/>
    <w:rsid w:val="006A3CFB"/>
    <w:rsid w:val="006A3D0E"/>
    <w:rsid w:val="006A3DD7"/>
    <w:rsid w:val="006A3DF8"/>
    <w:rsid w:val="006A3E8B"/>
    <w:rsid w:val="006A3FC9"/>
    <w:rsid w:val="006A3FFE"/>
    <w:rsid w:val="006A401A"/>
    <w:rsid w:val="006A402B"/>
    <w:rsid w:val="006A4088"/>
    <w:rsid w:val="006A413E"/>
    <w:rsid w:val="006A41C9"/>
    <w:rsid w:val="006A424F"/>
    <w:rsid w:val="006A4289"/>
    <w:rsid w:val="006A42BB"/>
    <w:rsid w:val="006A464E"/>
    <w:rsid w:val="006A4751"/>
    <w:rsid w:val="006A49EC"/>
    <w:rsid w:val="006A4A1A"/>
    <w:rsid w:val="006A4A3C"/>
    <w:rsid w:val="006A4ACE"/>
    <w:rsid w:val="006A4C49"/>
    <w:rsid w:val="006A4CE9"/>
    <w:rsid w:val="006A4D2F"/>
    <w:rsid w:val="006A4E01"/>
    <w:rsid w:val="006A4E15"/>
    <w:rsid w:val="006A4F79"/>
    <w:rsid w:val="006A502F"/>
    <w:rsid w:val="006A5190"/>
    <w:rsid w:val="006A51C9"/>
    <w:rsid w:val="006A51D8"/>
    <w:rsid w:val="006A52EE"/>
    <w:rsid w:val="006A5314"/>
    <w:rsid w:val="006A5368"/>
    <w:rsid w:val="006A548B"/>
    <w:rsid w:val="006A5656"/>
    <w:rsid w:val="006A5667"/>
    <w:rsid w:val="006A5708"/>
    <w:rsid w:val="006A5912"/>
    <w:rsid w:val="006A5AA7"/>
    <w:rsid w:val="006A5AC1"/>
    <w:rsid w:val="006A5BD9"/>
    <w:rsid w:val="006A5DA3"/>
    <w:rsid w:val="006A5DB7"/>
    <w:rsid w:val="006A5DDA"/>
    <w:rsid w:val="006A5E2F"/>
    <w:rsid w:val="006A5ECB"/>
    <w:rsid w:val="006A6012"/>
    <w:rsid w:val="006A606C"/>
    <w:rsid w:val="006A6080"/>
    <w:rsid w:val="006A635A"/>
    <w:rsid w:val="006A64C8"/>
    <w:rsid w:val="006A6570"/>
    <w:rsid w:val="006A6656"/>
    <w:rsid w:val="006A6699"/>
    <w:rsid w:val="006A66C4"/>
    <w:rsid w:val="006A67E4"/>
    <w:rsid w:val="006A6848"/>
    <w:rsid w:val="006A689D"/>
    <w:rsid w:val="006A68C0"/>
    <w:rsid w:val="006A6A1E"/>
    <w:rsid w:val="006A6A69"/>
    <w:rsid w:val="006A6DD4"/>
    <w:rsid w:val="006A6F23"/>
    <w:rsid w:val="006A703A"/>
    <w:rsid w:val="006A7222"/>
    <w:rsid w:val="006A72ED"/>
    <w:rsid w:val="006A74C9"/>
    <w:rsid w:val="006A7564"/>
    <w:rsid w:val="006A764B"/>
    <w:rsid w:val="006A776D"/>
    <w:rsid w:val="006A78FB"/>
    <w:rsid w:val="006A79FF"/>
    <w:rsid w:val="006A7AF6"/>
    <w:rsid w:val="006A7B35"/>
    <w:rsid w:val="006A7B69"/>
    <w:rsid w:val="006A7E28"/>
    <w:rsid w:val="006A7EE4"/>
    <w:rsid w:val="006B00E0"/>
    <w:rsid w:val="006B0228"/>
    <w:rsid w:val="006B0381"/>
    <w:rsid w:val="006B056F"/>
    <w:rsid w:val="006B0668"/>
    <w:rsid w:val="006B06F2"/>
    <w:rsid w:val="006B0758"/>
    <w:rsid w:val="006B07FF"/>
    <w:rsid w:val="006B0948"/>
    <w:rsid w:val="006B0C16"/>
    <w:rsid w:val="006B0F3E"/>
    <w:rsid w:val="006B11A0"/>
    <w:rsid w:val="006B12C7"/>
    <w:rsid w:val="006B1519"/>
    <w:rsid w:val="006B1775"/>
    <w:rsid w:val="006B17FF"/>
    <w:rsid w:val="006B1862"/>
    <w:rsid w:val="006B1935"/>
    <w:rsid w:val="006B1A88"/>
    <w:rsid w:val="006B1BCA"/>
    <w:rsid w:val="006B1E1A"/>
    <w:rsid w:val="006B1F85"/>
    <w:rsid w:val="006B20BB"/>
    <w:rsid w:val="006B20D3"/>
    <w:rsid w:val="006B21B6"/>
    <w:rsid w:val="006B2339"/>
    <w:rsid w:val="006B249B"/>
    <w:rsid w:val="006B2623"/>
    <w:rsid w:val="006B2668"/>
    <w:rsid w:val="006B2805"/>
    <w:rsid w:val="006B2914"/>
    <w:rsid w:val="006B2ADB"/>
    <w:rsid w:val="006B2AF1"/>
    <w:rsid w:val="006B2D52"/>
    <w:rsid w:val="006B2F5A"/>
    <w:rsid w:val="006B3012"/>
    <w:rsid w:val="006B307B"/>
    <w:rsid w:val="006B3093"/>
    <w:rsid w:val="006B31D2"/>
    <w:rsid w:val="006B3271"/>
    <w:rsid w:val="006B33D7"/>
    <w:rsid w:val="006B33EB"/>
    <w:rsid w:val="006B3448"/>
    <w:rsid w:val="006B3539"/>
    <w:rsid w:val="006B3665"/>
    <w:rsid w:val="006B36C5"/>
    <w:rsid w:val="006B396C"/>
    <w:rsid w:val="006B3A1C"/>
    <w:rsid w:val="006B3DA9"/>
    <w:rsid w:val="006B3F7F"/>
    <w:rsid w:val="006B3F97"/>
    <w:rsid w:val="006B4038"/>
    <w:rsid w:val="006B40A2"/>
    <w:rsid w:val="006B4196"/>
    <w:rsid w:val="006B435B"/>
    <w:rsid w:val="006B43A4"/>
    <w:rsid w:val="006B4464"/>
    <w:rsid w:val="006B44F4"/>
    <w:rsid w:val="006B4523"/>
    <w:rsid w:val="006B460B"/>
    <w:rsid w:val="006B462F"/>
    <w:rsid w:val="006B463B"/>
    <w:rsid w:val="006B469B"/>
    <w:rsid w:val="006B46A6"/>
    <w:rsid w:val="006B47B6"/>
    <w:rsid w:val="006B485A"/>
    <w:rsid w:val="006B4898"/>
    <w:rsid w:val="006B48E0"/>
    <w:rsid w:val="006B4939"/>
    <w:rsid w:val="006B4A4B"/>
    <w:rsid w:val="006B4B4C"/>
    <w:rsid w:val="006B4D0A"/>
    <w:rsid w:val="006B4F59"/>
    <w:rsid w:val="006B50EC"/>
    <w:rsid w:val="006B5101"/>
    <w:rsid w:val="006B5471"/>
    <w:rsid w:val="006B548A"/>
    <w:rsid w:val="006B5716"/>
    <w:rsid w:val="006B57B2"/>
    <w:rsid w:val="006B5860"/>
    <w:rsid w:val="006B58AD"/>
    <w:rsid w:val="006B599A"/>
    <w:rsid w:val="006B5A2B"/>
    <w:rsid w:val="006B5A46"/>
    <w:rsid w:val="006B5BEC"/>
    <w:rsid w:val="006B5C81"/>
    <w:rsid w:val="006B5D6D"/>
    <w:rsid w:val="006B5EE0"/>
    <w:rsid w:val="006B5F90"/>
    <w:rsid w:val="006B5FE1"/>
    <w:rsid w:val="006B6114"/>
    <w:rsid w:val="006B61D0"/>
    <w:rsid w:val="006B61DC"/>
    <w:rsid w:val="006B6344"/>
    <w:rsid w:val="006B643F"/>
    <w:rsid w:val="006B64F8"/>
    <w:rsid w:val="006B658A"/>
    <w:rsid w:val="006B6602"/>
    <w:rsid w:val="006B66AB"/>
    <w:rsid w:val="006B66B8"/>
    <w:rsid w:val="006B66EF"/>
    <w:rsid w:val="006B6768"/>
    <w:rsid w:val="006B67A6"/>
    <w:rsid w:val="006B6ABD"/>
    <w:rsid w:val="006B6D2C"/>
    <w:rsid w:val="006B6DA7"/>
    <w:rsid w:val="006B6EC2"/>
    <w:rsid w:val="006B6F19"/>
    <w:rsid w:val="006B6F9E"/>
    <w:rsid w:val="006B6FC7"/>
    <w:rsid w:val="006B70A1"/>
    <w:rsid w:val="006B71DD"/>
    <w:rsid w:val="006B72E2"/>
    <w:rsid w:val="006B7359"/>
    <w:rsid w:val="006B73F5"/>
    <w:rsid w:val="006B7741"/>
    <w:rsid w:val="006B776C"/>
    <w:rsid w:val="006B77FA"/>
    <w:rsid w:val="006B7833"/>
    <w:rsid w:val="006B7841"/>
    <w:rsid w:val="006B7957"/>
    <w:rsid w:val="006B7A2A"/>
    <w:rsid w:val="006B7B55"/>
    <w:rsid w:val="006B7BD0"/>
    <w:rsid w:val="006B7BEF"/>
    <w:rsid w:val="006B7CAE"/>
    <w:rsid w:val="006B7E59"/>
    <w:rsid w:val="006B7EA0"/>
    <w:rsid w:val="006B7EE1"/>
    <w:rsid w:val="006B7F06"/>
    <w:rsid w:val="006C0096"/>
    <w:rsid w:val="006C01F4"/>
    <w:rsid w:val="006C02AD"/>
    <w:rsid w:val="006C03C9"/>
    <w:rsid w:val="006C040A"/>
    <w:rsid w:val="006C0432"/>
    <w:rsid w:val="006C0514"/>
    <w:rsid w:val="006C05E3"/>
    <w:rsid w:val="006C063A"/>
    <w:rsid w:val="006C074F"/>
    <w:rsid w:val="006C083B"/>
    <w:rsid w:val="006C0A37"/>
    <w:rsid w:val="006C0A72"/>
    <w:rsid w:val="006C0C30"/>
    <w:rsid w:val="006C0C68"/>
    <w:rsid w:val="006C0CEB"/>
    <w:rsid w:val="006C0DE5"/>
    <w:rsid w:val="006C0EDF"/>
    <w:rsid w:val="006C102F"/>
    <w:rsid w:val="006C1056"/>
    <w:rsid w:val="006C1086"/>
    <w:rsid w:val="006C111F"/>
    <w:rsid w:val="006C1143"/>
    <w:rsid w:val="006C152A"/>
    <w:rsid w:val="006C1790"/>
    <w:rsid w:val="006C17F3"/>
    <w:rsid w:val="006C1832"/>
    <w:rsid w:val="006C1980"/>
    <w:rsid w:val="006C19EB"/>
    <w:rsid w:val="006C1BA4"/>
    <w:rsid w:val="006C1C52"/>
    <w:rsid w:val="006C1C82"/>
    <w:rsid w:val="006C1DE8"/>
    <w:rsid w:val="006C1EC5"/>
    <w:rsid w:val="006C1EE9"/>
    <w:rsid w:val="006C1F7C"/>
    <w:rsid w:val="006C2010"/>
    <w:rsid w:val="006C227E"/>
    <w:rsid w:val="006C250F"/>
    <w:rsid w:val="006C265F"/>
    <w:rsid w:val="006C2947"/>
    <w:rsid w:val="006C2D46"/>
    <w:rsid w:val="006C2DD2"/>
    <w:rsid w:val="006C2DEA"/>
    <w:rsid w:val="006C2EA8"/>
    <w:rsid w:val="006C2ED7"/>
    <w:rsid w:val="006C2F12"/>
    <w:rsid w:val="006C2FCB"/>
    <w:rsid w:val="006C30B5"/>
    <w:rsid w:val="006C30C3"/>
    <w:rsid w:val="006C3183"/>
    <w:rsid w:val="006C3287"/>
    <w:rsid w:val="006C32A2"/>
    <w:rsid w:val="006C3311"/>
    <w:rsid w:val="006C338E"/>
    <w:rsid w:val="006C3587"/>
    <w:rsid w:val="006C3688"/>
    <w:rsid w:val="006C36CC"/>
    <w:rsid w:val="006C3737"/>
    <w:rsid w:val="006C373F"/>
    <w:rsid w:val="006C3778"/>
    <w:rsid w:val="006C3961"/>
    <w:rsid w:val="006C398A"/>
    <w:rsid w:val="006C39A5"/>
    <w:rsid w:val="006C39C4"/>
    <w:rsid w:val="006C3A30"/>
    <w:rsid w:val="006C3A53"/>
    <w:rsid w:val="006C3CD1"/>
    <w:rsid w:val="006C3E68"/>
    <w:rsid w:val="006C3EF8"/>
    <w:rsid w:val="006C4004"/>
    <w:rsid w:val="006C401B"/>
    <w:rsid w:val="006C4183"/>
    <w:rsid w:val="006C41D6"/>
    <w:rsid w:val="006C4263"/>
    <w:rsid w:val="006C43B9"/>
    <w:rsid w:val="006C43C2"/>
    <w:rsid w:val="006C4473"/>
    <w:rsid w:val="006C452E"/>
    <w:rsid w:val="006C47B7"/>
    <w:rsid w:val="006C4928"/>
    <w:rsid w:val="006C495A"/>
    <w:rsid w:val="006C4B20"/>
    <w:rsid w:val="006C4C9B"/>
    <w:rsid w:val="006C4D94"/>
    <w:rsid w:val="006C5014"/>
    <w:rsid w:val="006C501B"/>
    <w:rsid w:val="006C51C1"/>
    <w:rsid w:val="006C5245"/>
    <w:rsid w:val="006C5287"/>
    <w:rsid w:val="006C535F"/>
    <w:rsid w:val="006C5364"/>
    <w:rsid w:val="006C5671"/>
    <w:rsid w:val="006C574A"/>
    <w:rsid w:val="006C58EA"/>
    <w:rsid w:val="006C5989"/>
    <w:rsid w:val="006C5E81"/>
    <w:rsid w:val="006C5F66"/>
    <w:rsid w:val="006C60A2"/>
    <w:rsid w:val="006C60A9"/>
    <w:rsid w:val="006C618A"/>
    <w:rsid w:val="006C61DA"/>
    <w:rsid w:val="006C644D"/>
    <w:rsid w:val="006C6835"/>
    <w:rsid w:val="006C6932"/>
    <w:rsid w:val="006C6A6C"/>
    <w:rsid w:val="006C6B0E"/>
    <w:rsid w:val="006C6B9D"/>
    <w:rsid w:val="006C6D63"/>
    <w:rsid w:val="006C6E36"/>
    <w:rsid w:val="006C6E67"/>
    <w:rsid w:val="006C6EAA"/>
    <w:rsid w:val="006C6F64"/>
    <w:rsid w:val="006C7238"/>
    <w:rsid w:val="006C7748"/>
    <w:rsid w:val="006C7773"/>
    <w:rsid w:val="006C77A2"/>
    <w:rsid w:val="006C7882"/>
    <w:rsid w:val="006C793A"/>
    <w:rsid w:val="006C7948"/>
    <w:rsid w:val="006C79D0"/>
    <w:rsid w:val="006C79EF"/>
    <w:rsid w:val="006C7A1C"/>
    <w:rsid w:val="006C7CA4"/>
    <w:rsid w:val="006C7D03"/>
    <w:rsid w:val="006C7FD2"/>
    <w:rsid w:val="006D005C"/>
    <w:rsid w:val="006D0217"/>
    <w:rsid w:val="006D0806"/>
    <w:rsid w:val="006D08CA"/>
    <w:rsid w:val="006D09A2"/>
    <w:rsid w:val="006D0B3D"/>
    <w:rsid w:val="006D0C28"/>
    <w:rsid w:val="006D0D48"/>
    <w:rsid w:val="006D0D81"/>
    <w:rsid w:val="006D0E5E"/>
    <w:rsid w:val="006D0FB2"/>
    <w:rsid w:val="006D1044"/>
    <w:rsid w:val="006D119F"/>
    <w:rsid w:val="006D11A2"/>
    <w:rsid w:val="006D13CB"/>
    <w:rsid w:val="006D1509"/>
    <w:rsid w:val="006D15FA"/>
    <w:rsid w:val="006D163E"/>
    <w:rsid w:val="006D174E"/>
    <w:rsid w:val="006D1776"/>
    <w:rsid w:val="006D17C1"/>
    <w:rsid w:val="006D19A4"/>
    <w:rsid w:val="006D1A20"/>
    <w:rsid w:val="006D1A27"/>
    <w:rsid w:val="006D1AAE"/>
    <w:rsid w:val="006D1B14"/>
    <w:rsid w:val="006D1BC2"/>
    <w:rsid w:val="006D1D7F"/>
    <w:rsid w:val="006D1E0E"/>
    <w:rsid w:val="006D1E7A"/>
    <w:rsid w:val="006D1E93"/>
    <w:rsid w:val="006D1ECC"/>
    <w:rsid w:val="006D1FA8"/>
    <w:rsid w:val="006D205C"/>
    <w:rsid w:val="006D2066"/>
    <w:rsid w:val="006D2127"/>
    <w:rsid w:val="006D212B"/>
    <w:rsid w:val="006D213D"/>
    <w:rsid w:val="006D21D1"/>
    <w:rsid w:val="006D2225"/>
    <w:rsid w:val="006D2283"/>
    <w:rsid w:val="006D2443"/>
    <w:rsid w:val="006D2455"/>
    <w:rsid w:val="006D2728"/>
    <w:rsid w:val="006D27A8"/>
    <w:rsid w:val="006D283E"/>
    <w:rsid w:val="006D28B9"/>
    <w:rsid w:val="006D2948"/>
    <w:rsid w:val="006D2984"/>
    <w:rsid w:val="006D2B80"/>
    <w:rsid w:val="006D2C19"/>
    <w:rsid w:val="006D2CED"/>
    <w:rsid w:val="006D2E6E"/>
    <w:rsid w:val="006D2E78"/>
    <w:rsid w:val="006D2EAC"/>
    <w:rsid w:val="006D307A"/>
    <w:rsid w:val="006D3338"/>
    <w:rsid w:val="006D356C"/>
    <w:rsid w:val="006D3627"/>
    <w:rsid w:val="006D3795"/>
    <w:rsid w:val="006D3A74"/>
    <w:rsid w:val="006D3B62"/>
    <w:rsid w:val="006D3B71"/>
    <w:rsid w:val="006D3BB1"/>
    <w:rsid w:val="006D3BF6"/>
    <w:rsid w:val="006D3C29"/>
    <w:rsid w:val="006D3C4A"/>
    <w:rsid w:val="006D3E8D"/>
    <w:rsid w:val="006D417D"/>
    <w:rsid w:val="006D426B"/>
    <w:rsid w:val="006D4279"/>
    <w:rsid w:val="006D4309"/>
    <w:rsid w:val="006D43B5"/>
    <w:rsid w:val="006D44B9"/>
    <w:rsid w:val="006D45CD"/>
    <w:rsid w:val="006D4BBD"/>
    <w:rsid w:val="006D4C30"/>
    <w:rsid w:val="006D4C36"/>
    <w:rsid w:val="006D4DB0"/>
    <w:rsid w:val="006D4DB2"/>
    <w:rsid w:val="006D4E5A"/>
    <w:rsid w:val="006D4F7E"/>
    <w:rsid w:val="006D50A2"/>
    <w:rsid w:val="006D5235"/>
    <w:rsid w:val="006D54CB"/>
    <w:rsid w:val="006D551D"/>
    <w:rsid w:val="006D5778"/>
    <w:rsid w:val="006D5833"/>
    <w:rsid w:val="006D5956"/>
    <w:rsid w:val="006D59AC"/>
    <w:rsid w:val="006D5A58"/>
    <w:rsid w:val="006D5B5C"/>
    <w:rsid w:val="006D5C0A"/>
    <w:rsid w:val="006D5C84"/>
    <w:rsid w:val="006D5D72"/>
    <w:rsid w:val="006D5EC9"/>
    <w:rsid w:val="006D5F28"/>
    <w:rsid w:val="006D5F72"/>
    <w:rsid w:val="006D60DA"/>
    <w:rsid w:val="006D60DF"/>
    <w:rsid w:val="006D622E"/>
    <w:rsid w:val="006D62B1"/>
    <w:rsid w:val="006D6431"/>
    <w:rsid w:val="006D655E"/>
    <w:rsid w:val="006D65F4"/>
    <w:rsid w:val="006D65F5"/>
    <w:rsid w:val="006D666B"/>
    <w:rsid w:val="006D6845"/>
    <w:rsid w:val="006D68A4"/>
    <w:rsid w:val="006D6929"/>
    <w:rsid w:val="006D6967"/>
    <w:rsid w:val="006D6A98"/>
    <w:rsid w:val="006D6AAF"/>
    <w:rsid w:val="006D6CE6"/>
    <w:rsid w:val="006D6F8A"/>
    <w:rsid w:val="006D71ED"/>
    <w:rsid w:val="006D728C"/>
    <w:rsid w:val="006D72CC"/>
    <w:rsid w:val="006D7380"/>
    <w:rsid w:val="006D7503"/>
    <w:rsid w:val="006D7976"/>
    <w:rsid w:val="006D7CE7"/>
    <w:rsid w:val="006D7CEA"/>
    <w:rsid w:val="006D7CFF"/>
    <w:rsid w:val="006D7DB9"/>
    <w:rsid w:val="006D7E1C"/>
    <w:rsid w:val="006D7E55"/>
    <w:rsid w:val="006D7ECC"/>
    <w:rsid w:val="006E0146"/>
    <w:rsid w:val="006E0164"/>
    <w:rsid w:val="006E0275"/>
    <w:rsid w:val="006E04BD"/>
    <w:rsid w:val="006E07C2"/>
    <w:rsid w:val="006E0837"/>
    <w:rsid w:val="006E0904"/>
    <w:rsid w:val="006E0933"/>
    <w:rsid w:val="006E094B"/>
    <w:rsid w:val="006E0CDB"/>
    <w:rsid w:val="006E0E54"/>
    <w:rsid w:val="006E0F20"/>
    <w:rsid w:val="006E101A"/>
    <w:rsid w:val="006E1055"/>
    <w:rsid w:val="006E118D"/>
    <w:rsid w:val="006E11E4"/>
    <w:rsid w:val="006E142C"/>
    <w:rsid w:val="006E1458"/>
    <w:rsid w:val="006E14A7"/>
    <w:rsid w:val="006E14F6"/>
    <w:rsid w:val="006E1584"/>
    <w:rsid w:val="006E166C"/>
    <w:rsid w:val="006E1844"/>
    <w:rsid w:val="006E18DD"/>
    <w:rsid w:val="006E1A72"/>
    <w:rsid w:val="006E1BE7"/>
    <w:rsid w:val="006E1BFD"/>
    <w:rsid w:val="006E1C75"/>
    <w:rsid w:val="006E1FAF"/>
    <w:rsid w:val="006E1FB7"/>
    <w:rsid w:val="006E201D"/>
    <w:rsid w:val="006E218C"/>
    <w:rsid w:val="006E21D1"/>
    <w:rsid w:val="006E225F"/>
    <w:rsid w:val="006E22A8"/>
    <w:rsid w:val="006E2364"/>
    <w:rsid w:val="006E2411"/>
    <w:rsid w:val="006E2584"/>
    <w:rsid w:val="006E25A6"/>
    <w:rsid w:val="006E267A"/>
    <w:rsid w:val="006E26D4"/>
    <w:rsid w:val="006E26F0"/>
    <w:rsid w:val="006E2705"/>
    <w:rsid w:val="006E2771"/>
    <w:rsid w:val="006E2904"/>
    <w:rsid w:val="006E299F"/>
    <w:rsid w:val="006E2B6B"/>
    <w:rsid w:val="006E2B70"/>
    <w:rsid w:val="006E2C2F"/>
    <w:rsid w:val="006E2E00"/>
    <w:rsid w:val="006E2EBF"/>
    <w:rsid w:val="006E30B1"/>
    <w:rsid w:val="006E31C1"/>
    <w:rsid w:val="006E328F"/>
    <w:rsid w:val="006E35A9"/>
    <w:rsid w:val="006E36DE"/>
    <w:rsid w:val="006E375D"/>
    <w:rsid w:val="006E37E4"/>
    <w:rsid w:val="006E3823"/>
    <w:rsid w:val="006E3A01"/>
    <w:rsid w:val="006E3ABA"/>
    <w:rsid w:val="006E3AE8"/>
    <w:rsid w:val="006E3B26"/>
    <w:rsid w:val="006E3B42"/>
    <w:rsid w:val="006E3B8C"/>
    <w:rsid w:val="006E3CB1"/>
    <w:rsid w:val="006E3FE9"/>
    <w:rsid w:val="006E4228"/>
    <w:rsid w:val="006E43DF"/>
    <w:rsid w:val="006E45A5"/>
    <w:rsid w:val="006E467A"/>
    <w:rsid w:val="006E468F"/>
    <w:rsid w:val="006E4B67"/>
    <w:rsid w:val="006E4BBF"/>
    <w:rsid w:val="006E4DB3"/>
    <w:rsid w:val="006E4E0E"/>
    <w:rsid w:val="006E4E51"/>
    <w:rsid w:val="006E4E77"/>
    <w:rsid w:val="006E4EFA"/>
    <w:rsid w:val="006E4FCB"/>
    <w:rsid w:val="006E4FE0"/>
    <w:rsid w:val="006E5098"/>
    <w:rsid w:val="006E50D1"/>
    <w:rsid w:val="006E5178"/>
    <w:rsid w:val="006E51F4"/>
    <w:rsid w:val="006E52BA"/>
    <w:rsid w:val="006E52EA"/>
    <w:rsid w:val="006E53F1"/>
    <w:rsid w:val="006E5487"/>
    <w:rsid w:val="006E5566"/>
    <w:rsid w:val="006E5569"/>
    <w:rsid w:val="006E5581"/>
    <w:rsid w:val="006E5616"/>
    <w:rsid w:val="006E5624"/>
    <w:rsid w:val="006E5742"/>
    <w:rsid w:val="006E591E"/>
    <w:rsid w:val="006E5A61"/>
    <w:rsid w:val="006E5AA4"/>
    <w:rsid w:val="006E5AC9"/>
    <w:rsid w:val="006E5BFF"/>
    <w:rsid w:val="006E5C4C"/>
    <w:rsid w:val="006E5C6A"/>
    <w:rsid w:val="006E5CEC"/>
    <w:rsid w:val="006E5CF8"/>
    <w:rsid w:val="006E5DFC"/>
    <w:rsid w:val="006E5E8C"/>
    <w:rsid w:val="006E605E"/>
    <w:rsid w:val="006E610D"/>
    <w:rsid w:val="006E62BE"/>
    <w:rsid w:val="006E6330"/>
    <w:rsid w:val="006E6362"/>
    <w:rsid w:val="006E638D"/>
    <w:rsid w:val="006E63C2"/>
    <w:rsid w:val="006E6439"/>
    <w:rsid w:val="006E66F8"/>
    <w:rsid w:val="006E674D"/>
    <w:rsid w:val="006E679D"/>
    <w:rsid w:val="006E680A"/>
    <w:rsid w:val="006E6854"/>
    <w:rsid w:val="006E68EA"/>
    <w:rsid w:val="006E694F"/>
    <w:rsid w:val="006E6B82"/>
    <w:rsid w:val="006E6BAB"/>
    <w:rsid w:val="006E6CB0"/>
    <w:rsid w:val="006E6CB9"/>
    <w:rsid w:val="006E6D09"/>
    <w:rsid w:val="006E6D13"/>
    <w:rsid w:val="006E6FB6"/>
    <w:rsid w:val="006E7151"/>
    <w:rsid w:val="006E71D2"/>
    <w:rsid w:val="006E71E3"/>
    <w:rsid w:val="006E720C"/>
    <w:rsid w:val="006E72A7"/>
    <w:rsid w:val="006E74CB"/>
    <w:rsid w:val="006E78A2"/>
    <w:rsid w:val="006E7959"/>
    <w:rsid w:val="006E7AA5"/>
    <w:rsid w:val="006E7D8D"/>
    <w:rsid w:val="006E7E8F"/>
    <w:rsid w:val="006F0002"/>
    <w:rsid w:val="006F0037"/>
    <w:rsid w:val="006F0114"/>
    <w:rsid w:val="006F0161"/>
    <w:rsid w:val="006F01B0"/>
    <w:rsid w:val="006F0218"/>
    <w:rsid w:val="006F0289"/>
    <w:rsid w:val="006F0391"/>
    <w:rsid w:val="006F042E"/>
    <w:rsid w:val="006F047D"/>
    <w:rsid w:val="006F0663"/>
    <w:rsid w:val="006F0666"/>
    <w:rsid w:val="006F0705"/>
    <w:rsid w:val="006F077A"/>
    <w:rsid w:val="006F0973"/>
    <w:rsid w:val="006F0B1F"/>
    <w:rsid w:val="006F0C31"/>
    <w:rsid w:val="006F0D48"/>
    <w:rsid w:val="006F0D82"/>
    <w:rsid w:val="006F0D85"/>
    <w:rsid w:val="006F0DC3"/>
    <w:rsid w:val="006F0EFE"/>
    <w:rsid w:val="006F0F67"/>
    <w:rsid w:val="006F0FB4"/>
    <w:rsid w:val="006F14B5"/>
    <w:rsid w:val="006F159D"/>
    <w:rsid w:val="006F15A0"/>
    <w:rsid w:val="006F1614"/>
    <w:rsid w:val="006F1670"/>
    <w:rsid w:val="006F1931"/>
    <w:rsid w:val="006F19BC"/>
    <w:rsid w:val="006F1C0C"/>
    <w:rsid w:val="006F1CF4"/>
    <w:rsid w:val="006F1D3C"/>
    <w:rsid w:val="006F1D6B"/>
    <w:rsid w:val="006F1DA2"/>
    <w:rsid w:val="006F1E60"/>
    <w:rsid w:val="006F1F18"/>
    <w:rsid w:val="006F1F51"/>
    <w:rsid w:val="006F20FC"/>
    <w:rsid w:val="006F232B"/>
    <w:rsid w:val="006F2344"/>
    <w:rsid w:val="006F2395"/>
    <w:rsid w:val="006F2401"/>
    <w:rsid w:val="006F2524"/>
    <w:rsid w:val="006F25DF"/>
    <w:rsid w:val="006F2778"/>
    <w:rsid w:val="006F279D"/>
    <w:rsid w:val="006F29D3"/>
    <w:rsid w:val="006F2A89"/>
    <w:rsid w:val="006F2BB1"/>
    <w:rsid w:val="006F2BC3"/>
    <w:rsid w:val="006F2C7D"/>
    <w:rsid w:val="006F2CF8"/>
    <w:rsid w:val="006F2E88"/>
    <w:rsid w:val="006F3120"/>
    <w:rsid w:val="006F3166"/>
    <w:rsid w:val="006F321D"/>
    <w:rsid w:val="006F337C"/>
    <w:rsid w:val="006F3470"/>
    <w:rsid w:val="006F35F9"/>
    <w:rsid w:val="006F37A2"/>
    <w:rsid w:val="006F3929"/>
    <w:rsid w:val="006F3D4A"/>
    <w:rsid w:val="006F3F89"/>
    <w:rsid w:val="006F40DD"/>
    <w:rsid w:val="006F40ED"/>
    <w:rsid w:val="006F4132"/>
    <w:rsid w:val="006F4262"/>
    <w:rsid w:val="006F4332"/>
    <w:rsid w:val="006F44B6"/>
    <w:rsid w:val="006F46C2"/>
    <w:rsid w:val="006F472C"/>
    <w:rsid w:val="006F478E"/>
    <w:rsid w:val="006F4A64"/>
    <w:rsid w:val="006F4C85"/>
    <w:rsid w:val="006F4CA9"/>
    <w:rsid w:val="006F4E1A"/>
    <w:rsid w:val="006F4E76"/>
    <w:rsid w:val="006F4F80"/>
    <w:rsid w:val="006F5107"/>
    <w:rsid w:val="006F523E"/>
    <w:rsid w:val="006F5255"/>
    <w:rsid w:val="006F53A0"/>
    <w:rsid w:val="006F54DA"/>
    <w:rsid w:val="006F5657"/>
    <w:rsid w:val="006F56BB"/>
    <w:rsid w:val="006F56E0"/>
    <w:rsid w:val="006F56F9"/>
    <w:rsid w:val="006F597E"/>
    <w:rsid w:val="006F5A1C"/>
    <w:rsid w:val="006F5A55"/>
    <w:rsid w:val="006F5A67"/>
    <w:rsid w:val="006F5C84"/>
    <w:rsid w:val="006F5CB4"/>
    <w:rsid w:val="006F5D94"/>
    <w:rsid w:val="006F5DD9"/>
    <w:rsid w:val="006F5DDF"/>
    <w:rsid w:val="006F5DF0"/>
    <w:rsid w:val="006F5EA2"/>
    <w:rsid w:val="006F5FA9"/>
    <w:rsid w:val="006F6066"/>
    <w:rsid w:val="006F60D9"/>
    <w:rsid w:val="006F6167"/>
    <w:rsid w:val="006F61FD"/>
    <w:rsid w:val="006F633B"/>
    <w:rsid w:val="006F6646"/>
    <w:rsid w:val="006F66C7"/>
    <w:rsid w:val="006F67C6"/>
    <w:rsid w:val="006F686B"/>
    <w:rsid w:val="006F68B9"/>
    <w:rsid w:val="006F6A14"/>
    <w:rsid w:val="006F6A90"/>
    <w:rsid w:val="006F6D5E"/>
    <w:rsid w:val="006F6DF0"/>
    <w:rsid w:val="006F6E1D"/>
    <w:rsid w:val="006F6F4E"/>
    <w:rsid w:val="006F6F64"/>
    <w:rsid w:val="006F73DD"/>
    <w:rsid w:val="006F746C"/>
    <w:rsid w:val="006F76E3"/>
    <w:rsid w:val="006F774D"/>
    <w:rsid w:val="006F7786"/>
    <w:rsid w:val="006F78B0"/>
    <w:rsid w:val="006F7A2D"/>
    <w:rsid w:val="006F7B9B"/>
    <w:rsid w:val="006F7BB4"/>
    <w:rsid w:val="006F7C72"/>
    <w:rsid w:val="006F7F67"/>
    <w:rsid w:val="006F7F8F"/>
    <w:rsid w:val="0070013A"/>
    <w:rsid w:val="0070015C"/>
    <w:rsid w:val="00700296"/>
    <w:rsid w:val="007002D8"/>
    <w:rsid w:val="007005C5"/>
    <w:rsid w:val="00700893"/>
    <w:rsid w:val="00700990"/>
    <w:rsid w:val="00700A93"/>
    <w:rsid w:val="00700BE0"/>
    <w:rsid w:val="00700D43"/>
    <w:rsid w:val="00700D90"/>
    <w:rsid w:val="00700DB6"/>
    <w:rsid w:val="00700E28"/>
    <w:rsid w:val="00700F29"/>
    <w:rsid w:val="00700FD0"/>
    <w:rsid w:val="0070139F"/>
    <w:rsid w:val="007013FF"/>
    <w:rsid w:val="0070143B"/>
    <w:rsid w:val="0070153D"/>
    <w:rsid w:val="00701548"/>
    <w:rsid w:val="0070161C"/>
    <w:rsid w:val="00701798"/>
    <w:rsid w:val="007018EB"/>
    <w:rsid w:val="00701C02"/>
    <w:rsid w:val="00701DB8"/>
    <w:rsid w:val="00701DE0"/>
    <w:rsid w:val="00701E25"/>
    <w:rsid w:val="00701E6E"/>
    <w:rsid w:val="00701E7B"/>
    <w:rsid w:val="0070210E"/>
    <w:rsid w:val="00702194"/>
    <w:rsid w:val="00702210"/>
    <w:rsid w:val="0070224A"/>
    <w:rsid w:val="00702273"/>
    <w:rsid w:val="007023AB"/>
    <w:rsid w:val="007023F2"/>
    <w:rsid w:val="007024E3"/>
    <w:rsid w:val="007025A4"/>
    <w:rsid w:val="00702631"/>
    <w:rsid w:val="007026C5"/>
    <w:rsid w:val="0070290C"/>
    <w:rsid w:val="00702A1B"/>
    <w:rsid w:val="00702AF1"/>
    <w:rsid w:val="00702C09"/>
    <w:rsid w:val="00702C3C"/>
    <w:rsid w:val="00702DEC"/>
    <w:rsid w:val="00702E7B"/>
    <w:rsid w:val="00702F29"/>
    <w:rsid w:val="00703050"/>
    <w:rsid w:val="00703249"/>
    <w:rsid w:val="0070341C"/>
    <w:rsid w:val="00703496"/>
    <w:rsid w:val="00703523"/>
    <w:rsid w:val="00703539"/>
    <w:rsid w:val="00703659"/>
    <w:rsid w:val="007036B0"/>
    <w:rsid w:val="007037B2"/>
    <w:rsid w:val="00703843"/>
    <w:rsid w:val="0070387E"/>
    <w:rsid w:val="0070397A"/>
    <w:rsid w:val="00703B58"/>
    <w:rsid w:val="00703B71"/>
    <w:rsid w:val="00703C27"/>
    <w:rsid w:val="00703C47"/>
    <w:rsid w:val="00703C68"/>
    <w:rsid w:val="00704001"/>
    <w:rsid w:val="00704040"/>
    <w:rsid w:val="0070428B"/>
    <w:rsid w:val="0070432B"/>
    <w:rsid w:val="0070451F"/>
    <w:rsid w:val="00704587"/>
    <w:rsid w:val="00704803"/>
    <w:rsid w:val="00704ABA"/>
    <w:rsid w:val="00704B3A"/>
    <w:rsid w:val="00704B88"/>
    <w:rsid w:val="00704C38"/>
    <w:rsid w:val="00705058"/>
    <w:rsid w:val="00705170"/>
    <w:rsid w:val="0070549B"/>
    <w:rsid w:val="007057AA"/>
    <w:rsid w:val="0070598B"/>
    <w:rsid w:val="00705A29"/>
    <w:rsid w:val="00705A55"/>
    <w:rsid w:val="00705A75"/>
    <w:rsid w:val="00705AA2"/>
    <w:rsid w:val="00705B78"/>
    <w:rsid w:val="00705C5D"/>
    <w:rsid w:val="00705DF3"/>
    <w:rsid w:val="00705FC0"/>
    <w:rsid w:val="007061A1"/>
    <w:rsid w:val="00706277"/>
    <w:rsid w:val="00706381"/>
    <w:rsid w:val="007066E2"/>
    <w:rsid w:val="00706740"/>
    <w:rsid w:val="0070675B"/>
    <w:rsid w:val="007069E8"/>
    <w:rsid w:val="00706E2C"/>
    <w:rsid w:val="00706E86"/>
    <w:rsid w:val="007070A9"/>
    <w:rsid w:val="0070718E"/>
    <w:rsid w:val="007071FC"/>
    <w:rsid w:val="0070724D"/>
    <w:rsid w:val="00707289"/>
    <w:rsid w:val="007072EF"/>
    <w:rsid w:val="00707328"/>
    <w:rsid w:val="0070743C"/>
    <w:rsid w:val="0070750F"/>
    <w:rsid w:val="00707528"/>
    <w:rsid w:val="00707548"/>
    <w:rsid w:val="00707569"/>
    <w:rsid w:val="00707662"/>
    <w:rsid w:val="0070769F"/>
    <w:rsid w:val="007076DD"/>
    <w:rsid w:val="00707730"/>
    <w:rsid w:val="00707885"/>
    <w:rsid w:val="0070789E"/>
    <w:rsid w:val="00707A21"/>
    <w:rsid w:val="00707ABB"/>
    <w:rsid w:val="00707AF4"/>
    <w:rsid w:val="00707C1F"/>
    <w:rsid w:val="00707C53"/>
    <w:rsid w:val="00707D04"/>
    <w:rsid w:val="00707E2D"/>
    <w:rsid w:val="00707E85"/>
    <w:rsid w:val="007100CD"/>
    <w:rsid w:val="0071038C"/>
    <w:rsid w:val="00710527"/>
    <w:rsid w:val="00710637"/>
    <w:rsid w:val="0071087C"/>
    <w:rsid w:val="0071087D"/>
    <w:rsid w:val="00710991"/>
    <w:rsid w:val="00710BD6"/>
    <w:rsid w:val="00710C14"/>
    <w:rsid w:val="00710CC4"/>
    <w:rsid w:val="00710FDB"/>
    <w:rsid w:val="00711026"/>
    <w:rsid w:val="00711154"/>
    <w:rsid w:val="00711238"/>
    <w:rsid w:val="00711281"/>
    <w:rsid w:val="00711323"/>
    <w:rsid w:val="007113FC"/>
    <w:rsid w:val="00711435"/>
    <w:rsid w:val="007114B4"/>
    <w:rsid w:val="00711539"/>
    <w:rsid w:val="007116C1"/>
    <w:rsid w:val="0071170F"/>
    <w:rsid w:val="00711799"/>
    <w:rsid w:val="00711845"/>
    <w:rsid w:val="007118AB"/>
    <w:rsid w:val="00711AB8"/>
    <w:rsid w:val="00711B08"/>
    <w:rsid w:val="00711BB0"/>
    <w:rsid w:val="00711C8A"/>
    <w:rsid w:val="00711D5D"/>
    <w:rsid w:val="00711D7C"/>
    <w:rsid w:val="00711EB2"/>
    <w:rsid w:val="00711F63"/>
    <w:rsid w:val="00712387"/>
    <w:rsid w:val="0071238B"/>
    <w:rsid w:val="007124ED"/>
    <w:rsid w:val="00712503"/>
    <w:rsid w:val="00712505"/>
    <w:rsid w:val="0071255E"/>
    <w:rsid w:val="007127EF"/>
    <w:rsid w:val="00712816"/>
    <w:rsid w:val="00712863"/>
    <w:rsid w:val="00712ABB"/>
    <w:rsid w:val="00712CC4"/>
    <w:rsid w:val="00712D8C"/>
    <w:rsid w:val="00712DA6"/>
    <w:rsid w:val="00712E09"/>
    <w:rsid w:val="00712EFE"/>
    <w:rsid w:val="00712FF3"/>
    <w:rsid w:val="00713004"/>
    <w:rsid w:val="0071306B"/>
    <w:rsid w:val="007130BB"/>
    <w:rsid w:val="007130E5"/>
    <w:rsid w:val="00713197"/>
    <w:rsid w:val="00713620"/>
    <w:rsid w:val="007138F9"/>
    <w:rsid w:val="0071391E"/>
    <w:rsid w:val="0071395E"/>
    <w:rsid w:val="007139F6"/>
    <w:rsid w:val="00713A5E"/>
    <w:rsid w:val="00713B17"/>
    <w:rsid w:val="00713CFC"/>
    <w:rsid w:val="00713D25"/>
    <w:rsid w:val="00713F9D"/>
    <w:rsid w:val="007140DE"/>
    <w:rsid w:val="007142C0"/>
    <w:rsid w:val="0071434F"/>
    <w:rsid w:val="00714455"/>
    <w:rsid w:val="00714702"/>
    <w:rsid w:val="00714989"/>
    <w:rsid w:val="00714A08"/>
    <w:rsid w:val="00714AFA"/>
    <w:rsid w:val="00714BE6"/>
    <w:rsid w:val="00714C43"/>
    <w:rsid w:val="00714C70"/>
    <w:rsid w:val="00714CE4"/>
    <w:rsid w:val="00714E7D"/>
    <w:rsid w:val="00714EAD"/>
    <w:rsid w:val="00714FC1"/>
    <w:rsid w:val="00715056"/>
    <w:rsid w:val="007150EF"/>
    <w:rsid w:val="00715117"/>
    <w:rsid w:val="00715321"/>
    <w:rsid w:val="00715480"/>
    <w:rsid w:val="007154AC"/>
    <w:rsid w:val="007155B4"/>
    <w:rsid w:val="00715668"/>
    <w:rsid w:val="007156D5"/>
    <w:rsid w:val="007158A5"/>
    <w:rsid w:val="007158CA"/>
    <w:rsid w:val="00715910"/>
    <w:rsid w:val="00715A20"/>
    <w:rsid w:val="00715B40"/>
    <w:rsid w:val="00715C22"/>
    <w:rsid w:val="00715CC1"/>
    <w:rsid w:val="00715F6B"/>
    <w:rsid w:val="00716103"/>
    <w:rsid w:val="007162C4"/>
    <w:rsid w:val="007162D2"/>
    <w:rsid w:val="007164F9"/>
    <w:rsid w:val="007165A7"/>
    <w:rsid w:val="007165EA"/>
    <w:rsid w:val="00716702"/>
    <w:rsid w:val="007168ED"/>
    <w:rsid w:val="00716956"/>
    <w:rsid w:val="007169A4"/>
    <w:rsid w:val="007169E8"/>
    <w:rsid w:val="00716A10"/>
    <w:rsid w:val="00716A9A"/>
    <w:rsid w:val="00716B14"/>
    <w:rsid w:val="00716C06"/>
    <w:rsid w:val="00716D9A"/>
    <w:rsid w:val="00716D9C"/>
    <w:rsid w:val="00716EEF"/>
    <w:rsid w:val="00716F87"/>
    <w:rsid w:val="00717016"/>
    <w:rsid w:val="00717053"/>
    <w:rsid w:val="00717106"/>
    <w:rsid w:val="00717146"/>
    <w:rsid w:val="0071714D"/>
    <w:rsid w:val="00717208"/>
    <w:rsid w:val="0071739A"/>
    <w:rsid w:val="0071744E"/>
    <w:rsid w:val="007174C6"/>
    <w:rsid w:val="00717509"/>
    <w:rsid w:val="00717721"/>
    <w:rsid w:val="00717856"/>
    <w:rsid w:val="00717891"/>
    <w:rsid w:val="0071789E"/>
    <w:rsid w:val="0071793E"/>
    <w:rsid w:val="007179D0"/>
    <w:rsid w:val="00717E0B"/>
    <w:rsid w:val="00717E61"/>
    <w:rsid w:val="00717ED0"/>
    <w:rsid w:val="00720237"/>
    <w:rsid w:val="0072025C"/>
    <w:rsid w:val="007203B1"/>
    <w:rsid w:val="007203BE"/>
    <w:rsid w:val="00720517"/>
    <w:rsid w:val="0072051E"/>
    <w:rsid w:val="007205E8"/>
    <w:rsid w:val="007205EF"/>
    <w:rsid w:val="0072077C"/>
    <w:rsid w:val="007207EA"/>
    <w:rsid w:val="0072093D"/>
    <w:rsid w:val="00720944"/>
    <w:rsid w:val="00720A42"/>
    <w:rsid w:val="00720A85"/>
    <w:rsid w:val="00720AEF"/>
    <w:rsid w:val="00720B1E"/>
    <w:rsid w:val="00720C97"/>
    <w:rsid w:val="00720E2A"/>
    <w:rsid w:val="007210AA"/>
    <w:rsid w:val="0072114D"/>
    <w:rsid w:val="00721288"/>
    <w:rsid w:val="007214C1"/>
    <w:rsid w:val="007216EA"/>
    <w:rsid w:val="007216F9"/>
    <w:rsid w:val="007217F9"/>
    <w:rsid w:val="0072186B"/>
    <w:rsid w:val="00721A21"/>
    <w:rsid w:val="00721A95"/>
    <w:rsid w:val="00721ADE"/>
    <w:rsid w:val="00721B6D"/>
    <w:rsid w:val="00721B87"/>
    <w:rsid w:val="00721E4E"/>
    <w:rsid w:val="00721F97"/>
    <w:rsid w:val="00721FE8"/>
    <w:rsid w:val="007220E2"/>
    <w:rsid w:val="007220EB"/>
    <w:rsid w:val="00722181"/>
    <w:rsid w:val="007222F1"/>
    <w:rsid w:val="007223A5"/>
    <w:rsid w:val="007223E7"/>
    <w:rsid w:val="0072247F"/>
    <w:rsid w:val="00722492"/>
    <w:rsid w:val="00722563"/>
    <w:rsid w:val="007225D6"/>
    <w:rsid w:val="00722755"/>
    <w:rsid w:val="00722869"/>
    <w:rsid w:val="007228E1"/>
    <w:rsid w:val="00722AAA"/>
    <w:rsid w:val="00722AEE"/>
    <w:rsid w:val="00722AF0"/>
    <w:rsid w:val="00722B4C"/>
    <w:rsid w:val="00722D19"/>
    <w:rsid w:val="00722DDE"/>
    <w:rsid w:val="00722ED4"/>
    <w:rsid w:val="00722FED"/>
    <w:rsid w:val="007230EC"/>
    <w:rsid w:val="00723106"/>
    <w:rsid w:val="0072311D"/>
    <w:rsid w:val="00723243"/>
    <w:rsid w:val="007232FC"/>
    <w:rsid w:val="00723306"/>
    <w:rsid w:val="00723349"/>
    <w:rsid w:val="007234CE"/>
    <w:rsid w:val="00723562"/>
    <w:rsid w:val="0072361D"/>
    <w:rsid w:val="00723672"/>
    <w:rsid w:val="00723700"/>
    <w:rsid w:val="00723706"/>
    <w:rsid w:val="00723712"/>
    <w:rsid w:val="00723851"/>
    <w:rsid w:val="0072395E"/>
    <w:rsid w:val="00723B24"/>
    <w:rsid w:val="00723B2F"/>
    <w:rsid w:val="00723B56"/>
    <w:rsid w:val="00723BEE"/>
    <w:rsid w:val="00723C17"/>
    <w:rsid w:val="00723CBF"/>
    <w:rsid w:val="00723E45"/>
    <w:rsid w:val="00723EE8"/>
    <w:rsid w:val="00723F09"/>
    <w:rsid w:val="007240D7"/>
    <w:rsid w:val="00724162"/>
    <w:rsid w:val="007241EA"/>
    <w:rsid w:val="007242AC"/>
    <w:rsid w:val="007242FE"/>
    <w:rsid w:val="00724418"/>
    <w:rsid w:val="007247A0"/>
    <w:rsid w:val="007248F3"/>
    <w:rsid w:val="00724C06"/>
    <w:rsid w:val="00724C90"/>
    <w:rsid w:val="00724D72"/>
    <w:rsid w:val="00724E4C"/>
    <w:rsid w:val="00724E53"/>
    <w:rsid w:val="00724F36"/>
    <w:rsid w:val="00724F54"/>
    <w:rsid w:val="007250FF"/>
    <w:rsid w:val="007251B1"/>
    <w:rsid w:val="007254BA"/>
    <w:rsid w:val="007254BB"/>
    <w:rsid w:val="00725663"/>
    <w:rsid w:val="0072571D"/>
    <w:rsid w:val="007257F0"/>
    <w:rsid w:val="00725983"/>
    <w:rsid w:val="00725B4A"/>
    <w:rsid w:val="00725CBE"/>
    <w:rsid w:val="00725CE6"/>
    <w:rsid w:val="00725D88"/>
    <w:rsid w:val="00725F3D"/>
    <w:rsid w:val="00725F77"/>
    <w:rsid w:val="00725FB5"/>
    <w:rsid w:val="00726168"/>
    <w:rsid w:val="00726351"/>
    <w:rsid w:val="007265E7"/>
    <w:rsid w:val="00726652"/>
    <w:rsid w:val="00726794"/>
    <w:rsid w:val="0072680B"/>
    <w:rsid w:val="00726815"/>
    <w:rsid w:val="00726996"/>
    <w:rsid w:val="007269BF"/>
    <w:rsid w:val="00726EAB"/>
    <w:rsid w:val="00726F1D"/>
    <w:rsid w:val="00726FF5"/>
    <w:rsid w:val="00727004"/>
    <w:rsid w:val="00727014"/>
    <w:rsid w:val="00727053"/>
    <w:rsid w:val="007270E0"/>
    <w:rsid w:val="00727159"/>
    <w:rsid w:val="00727680"/>
    <w:rsid w:val="00727696"/>
    <w:rsid w:val="0072778B"/>
    <w:rsid w:val="007277E1"/>
    <w:rsid w:val="007278EB"/>
    <w:rsid w:val="00727920"/>
    <w:rsid w:val="00727B8B"/>
    <w:rsid w:val="00727BB2"/>
    <w:rsid w:val="00727BCD"/>
    <w:rsid w:val="00727BDE"/>
    <w:rsid w:val="00727BEC"/>
    <w:rsid w:val="00727FE8"/>
    <w:rsid w:val="007300BB"/>
    <w:rsid w:val="00730263"/>
    <w:rsid w:val="0073030E"/>
    <w:rsid w:val="00730352"/>
    <w:rsid w:val="0073037B"/>
    <w:rsid w:val="00730407"/>
    <w:rsid w:val="007304CF"/>
    <w:rsid w:val="0073055D"/>
    <w:rsid w:val="00730573"/>
    <w:rsid w:val="0073063F"/>
    <w:rsid w:val="007307A1"/>
    <w:rsid w:val="0073082A"/>
    <w:rsid w:val="0073088A"/>
    <w:rsid w:val="007309CF"/>
    <w:rsid w:val="00730A43"/>
    <w:rsid w:val="00730ABE"/>
    <w:rsid w:val="00730AD4"/>
    <w:rsid w:val="00730ADF"/>
    <w:rsid w:val="00730BF1"/>
    <w:rsid w:val="00730C71"/>
    <w:rsid w:val="00730CCB"/>
    <w:rsid w:val="00730D61"/>
    <w:rsid w:val="00731046"/>
    <w:rsid w:val="0073116D"/>
    <w:rsid w:val="007312C5"/>
    <w:rsid w:val="007312D2"/>
    <w:rsid w:val="0073133A"/>
    <w:rsid w:val="0073142B"/>
    <w:rsid w:val="00731626"/>
    <w:rsid w:val="00731906"/>
    <w:rsid w:val="00731964"/>
    <w:rsid w:val="00731A7E"/>
    <w:rsid w:val="00731B7F"/>
    <w:rsid w:val="00731C88"/>
    <w:rsid w:val="00731D71"/>
    <w:rsid w:val="00731DA0"/>
    <w:rsid w:val="00731E11"/>
    <w:rsid w:val="00731F1E"/>
    <w:rsid w:val="00731F67"/>
    <w:rsid w:val="00731F6E"/>
    <w:rsid w:val="00731F90"/>
    <w:rsid w:val="00732141"/>
    <w:rsid w:val="00732222"/>
    <w:rsid w:val="0073242D"/>
    <w:rsid w:val="007326ED"/>
    <w:rsid w:val="007327E6"/>
    <w:rsid w:val="0073283D"/>
    <w:rsid w:val="007329D7"/>
    <w:rsid w:val="00732A68"/>
    <w:rsid w:val="00732B04"/>
    <w:rsid w:val="00732B0C"/>
    <w:rsid w:val="00732DA7"/>
    <w:rsid w:val="007330D9"/>
    <w:rsid w:val="007330E4"/>
    <w:rsid w:val="0073315E"/>
    <w:rsid w:val="0073333D"/>
    <w:rsid w:val="0073359D"/>
    <w:rsid w:val="007336E3"/>
    <w:rsid w:val="0073371A"/>
    <w:rsid w:val="0073393A"/>
    <w:rsid w:val="00733999"/>
    <w:rsid w:val="007339D7"/>
    <w:rsid w:val="00733BE3"/>
    <w:rsid w:val="00733F44"/>
    <w:rsid w:val="007340D1"/>
    <w:rsid w:val="007340F5"/>
    <w:rsid w:val="007341BC"/>
    <w:rsid w:val="007341D8"/>
    <w:rsid w:val="00734215"/>
    <w:rsid w:val="0073421C"/>
    <w:rsid w:val="007342F5"/>
    <w:rsid w:val="0073434F"/>
    <w:rsid w:val="00734445"/>
    <w:rsid w:val="0073448C"/>
    <w:rsid w:val="007346A3"/>
    <w:rsid w:val="00734774"/>
    <w:rsid w:val="00734970"/>
    <w:rsid w:val="00734983"/>
    <w:rsid w:val="00734997"/>
    <w:rsid w:val="00734B8B"/>
    <w:rsid w:val="00734B93"/>
    <w:rsid w:val="00734BE3"/>
    <w:rsid w:val="00734BE9"/>
    <w:rsid w:val="00734BEA"/>
    <w:rsid w:val="00734E38"/>
    <w:rsid w:val="00734F08"/>
    <w:rsid w:val="00734F3E"/>
    <w:rsid w:val="00734FB3"/>
    <w:rsid w:val="00734FE8"/>
    <w:rsid w:val="00734FF4"/>
    <w:rsid w:val="00735296"/>
    <w:rsid w:val="00735467"/>
    <w:rsid w:val="0073558E"/>
    <w:rsid w:val="00735703"/>
    <w:rsid w:val="00735722"/>
    <w:rsid w:val="0073577F"/>
    <w:rsid w:val="007358DF"/>
    <w:rsid w:val="00735A8A"/>
    <w:rsid w:val="00735AAC"/>
    <w:rsid w:val="00735DFA"/>
    <w:rsid w:val="00735EC6"/>
    <w:rsid w:val="00735F20"/>
    <w:rsid w:val="007363AF"/>
    <w:rsid w:val="00736543"/>
    <w:rsid w:val="007365CA"/>
    <w:rsid w:val="0073674D"/>
    <w:rsid w:val="007368B3"/>
    <w:rsid w:val="00736A04"/>
    <w:rsid w:val="00736AFC"/>
    <w:rsid w:val="00736BCE"/>
    <w:rsid w:val="00736C56"/>
    <w:rsid w:val="00736CBE"/>
    <w:rsid w:val="00736D41"/>
    <w:rsid w:val="00736DB6"/>
    <w:rsid w:val="00736DF9"/>
    <w:rsid w:val="00737004"/>
    <w:rsid w:val="0073716A"/>
    <w:rsid w:val="00737252"/>
    <w:rsid w:val="007372A4"/>
    <w:rsid w:val="0073736F"/>
    <w:rsid w:val="007373B6"/>
    <w:rsid w:val="007375A5"/>
    <w:rsid w:val="00737624"/>
    <w:rsid w:val="00737B45"/>
    <w:rsid w:val="00737C40"/>
    <w:rsid w:val="00737D76"/>
    <w:rsid w:val="00737FAD"/>
    <w:rsid w:val="00737FB9"/>
    <w:rsid w:val="00740005"/>
    <w:rsid w:val="00740100"/>
    <w:rsid w:val="007401D3"/>
    <w:rsid w:val="007401E5"/>
    <w:rsid w:val="00740319"/>
    <w:rsid w:val="00740395"/>
    <w:rsid w:val="007403A8"/>
    <w:rsid w:val="007404E4"/>
    <w:rsid w:val="007405E4"/>
    <w:rsid w:val="00740696"/>
    <w:rsid w:val="00740728"/>
    <w:rsid w:val="00740ACF"/>
    <w:rsid w:val="00740BBD"/>
    <w:rsid w:val="00740D1D"/>
    <w:rsid w:val="00740D4D"/>
    <w:rsid w:val="00741012"/>
    <w:rsid w:val="00741194"/>
    <w:rsid w:val="007414A9"/>
    <w:rsid w:val="007414E9"/>
    <w:rsid w:val="00741524"/>
    <w:rsid w:val="007415EB"/>
    <w:rsid w:val="007416D4"/>
    <w:rsid w:val="007416E7"/>
    <w:rsid w:val="007417F2"/>
    <w:rsid w:val="0074186C"/>
    <w:rsid w:val="007418A0"/>
    <w:rsid w:val="00741907"/>
    <w:rsid w:val="00741A85"/>
    <w:rsid w:val="00741B25"/>
    <w:rsid w:val="00741B7E"/>
    <w:rsid w:val="00741B9C"/>
    <w:rsid w:val="00741C93"/>
    <w:rsid w:val="00741E5E"/>
    <w:rsid w:val="00741FD2"/>
    <w:rsid w:val="00742195"/>
    <w:rsid w:val="007421F2"/>
    <w:rsid w:val="00742234"/>
    <w:rsid w:val="007422C1"/>
    <w:rsid w:val="007423E3"/>
    <w:rsid w:val="00742449"/>
    <w:rsid w:val="00742685"/>
    <w:rsid w:val="007427E5"/>
    <w:rsid w:val="00742998"/>
    <w:rsid w:val="00742B9E"/>
    <w:rsid w:val="00742CDE"/>
    <w:rsid w:val="00742E21"/>
    <w:rsid w:val="00742E44"/>
    <w:rsid w:val="00742E95"/>
    <w:rsid w:val="00742FBC"/>
    <w:rsid w:val="00742FC3"/>
    <w:rsid w:val="00743000"/>
    <w:rsid w:val="007431C9"/>
    <w:rsid w:val="007432D4"/>
    <w:rsid w:val="00743489"/>
    <w:rsid w:val="00743791"/>
    <w:rsid w:val="007437C1"/>
    <w:rsid w:val="007437F7"/>
    <w:rsid w:val="0074386C"/>
    <w:rsid w:val="00743A0D"/>
    <w:rsid w:val="00743AD2"/>
    <w:rsid w:val="00743DF5"/>
    <w:rsid w:val="00743EAF"/>
    <w:rsid w:val="00743FFB"/>
    <w:rsid w:val="00744114"/>
    <w:rsid w:val="00744133"/>
    <w:rsid w:val="0074415A"/>
    <w:rsid w:val="007443D9"/>
    <w:rsid w:val="0074442C"/>
    <w:rsid w:val="00744660"/>
    <w:rsid w:val="00744694"/>
    <w:rsid w:val="00744697"/>
    <w:rsid w:val="00744699"/>
    <w:rsid w:val="007446BB"/>
    <w:rsid w:val="007449D1"/>
    <w:rsid w:val="007449FA"/>
    <w:rsid w:val="00744A4F"/>
    <w:rsid w:val="00744CF2"/>
    <w:rsid w:val="00744DAB"/>
    <w:rsid w:val="00744DED"/>
    <w:rsid w:val="00744FBE"/>
    <w:rsid w:val="00744FC4"/>
    <w:rsid w:val="00745014"/>
    <w:rsid w:val="00745065"/>
    <w:rsid w:val="00745096"/>
    <w:rsid w:val="007450AB"/>
    <w:rsid w:val="007450E3"/>
    <w:rsid w:val="00745235"/>
    <w:rsid w:val="00745302"/>
    <w:rsid w:val="00745324"/>
    <w:rsid w:val="00745336"/>
    <w:rsid w:val="007453B7"/>
    <w:rsid w:val="0074549F"/>
    <w:rsid w:val="007454DF"/>
    <w:rsid w:val="00745579"/>
    <w:rsid w:val="0074557A"/>
    <w:rsid w:val="007455D0"/>
    <w:rsid w:val="00745724"/>
    <w:rsid w:val="00745A39"/>
    <w:rsid w:val="00745B5F"/>
    <w:rsid w:val="00745C5B"/>
    <w:rsid w:val="00745CD9"/>
    <w:rsid w:val="00745D39"/>
    <w:rsid w:val="00745EF6"/>
    <w:rsid w:val="00745F10"/>
    <w:rsid w:val="00745F32"/>
    <w:rsid w:val="00745F5D"/>
    <w:rsid w:val="00746093"/>
    <w:rsid w:val="00746183"/>
    <w:rsid w:val="00746222"/>
    <w:rsid w:val="007463E7"/>
    <w:rsid w:val="00746545"/>
    <w:rsid w:val="00746736"/>
    <w:rsid w:val="007467F1"/>
    <w:rsid w:val="00746859"/>
    <w:rsid w:val="00746884"/>
    <w:rsid w:val="00746AF2"/>
    <w:rsid w:val="00746BF9"/>
    <w:rsid w:val="00746C58"/>
    <w:rsid w:val="00746CA4"/>
    <w:rsid w:val="00746D05"/>
    <w:rsid w:val="00746D0A"/>
    <w:rsid w:val="00746DC8"/>
    <w:rsid w:val="00746E2B"/>
    <w:rsid w:val="00746E71"/>
    <w:rsid w:val="007470C3"/>
    <w:rsid w:val="00747204"/>
    <w:rsid w:val="00747221"/>
    <w:rsid w:val="00747245"/>
    <w:rsid w:val="0074730A"/>
    <w:rsid w:val="00747364"/>
    <w:rsid w:val="007473D8"/>
    <w:rsid w:val="0074746E"/>
    <w:rsid w:val="00747573"/>
    <w:rsid w:val="00747652"/>
    <w:rsid w:val="007476B0"/>
    <w:rsid w:val="007477C2"/>
    <w:rsid w:val="00747810"/>
    <w:rsid w:val="00747969"/>
    <w:rsid w:val="007479E1"/>
    <w:rsid w:val="00747A31"/>
    <w:rsid w:val="00747A5B"/>
    <w:rsid w:val="00747A97"/>
    <w:rsid w:val="00747D98"/>
    <w:rsid w:val="00750206"/>
    <w:rsid w:val="00750365"/>
    <w:rsid w:val="00750465"/>
    <w:rsid w:val="0075064B"/>
    <w:rsid w:val="0075065D"/>
    <w:rsid w:val="007509CC"/>
    <w:rsid w:val="007509D9"/>
    <w:rsid w:val="007509FF"/>
    <w:rsid w:val="00750A3A"/>
    <w:rsid w:val="00750B7B"/>
    <w:rsid w:val="00750BD1"/>
    <w:rsid w:val="00750BE3"/>
    <w:rsid w:val="00750C00"/>
    <w:rsid w:val="00750C68"/>
    <w:rsid w:val="00750D84"/>
    <w:rsid w:val="00750E27"/>
    <w:rsid w:val="00750E2C"/>
    <w:rsid w:val="007511F8"/>
    <w:rsid w:val="00751202"/>
    <w:rsid w:val="00751286"/>
    <w:rsid w:val="00751374"/>
    <w:rsid w:val="0075150F"/>
    <w:rsid w:val="0075159A"/>
    <w:rsid w:val="007515FE"/>
    <w:rsid w:val="0075170E"/>
    <w:rsid w:val="0075196C"/>
    <w:rsid w:val="00751A15"/>
    <w:rsid w:val="00751F7E"/>
    <w:rsid w:val="007521B5"/>
    <w:rsid w:val="007521E9"/>
    <w:rsid w:val="0075225F"/>
    <w:rsid w:val="00752268"/>
    <w:rsid w:val="007525C9"/>
    <w:rsid w:val="00752649"/>
    <w:rsid w:val="007527D3"/>
    <w:rsid w:val="007529FD"/>
    <w:rsid w:val="00752A67"/>
    <w:rsid w:val="00752AE7"/>
    <w:rsid w:val="00752C6B"/>
    <w:rsid w:val="00752DDC"/>
    <w:rsid w:val="00752F5D"/>
    <w:rsid w:val="00752F6A"/>
    <w:rsid w:val="00752FB7"/>
    <w:rsid w:val="00752FBE"/>
    <w:rsid w:val="00752FEC"/>
    <w:rsid w:val="00753017"/>
    <w:rsid w:val="0075328D"/>
    <w:rsid w:val="00753333"/>
    <w:rsid w:val="00753519"/>
    <w:rsid w:val="00753571"/>
    <w:rsid w:val="007536FE"/>
    <w:rsid w:val="007537FF"/>
    <w:rsid w:val="0075388C"/>
    <w:rsid w:val="007538BE"/>
    <w:rsid w:val="00753923"/>
    <w:rsid w:val="0075395D"/>
    <w:rsid w:val="00753981"/>
    <w:rsid w:val="00753A2C"/>
    <w:rsid w:val="00753A59"/>
    <w:rsid w:val="00753BCE"/>
    <w:rsid w:val="00753BD0"/>
    <w:rsid w:val="00753C01"/>
    <w:rsid w:val="00753C8E"/>
    <w:rsid w:val="00753DA5"/>
    <w:rsid w:val="0075407E"/>
    <w:rsid w:val="0075410F"/>
    <w:rsid w:val="0075427B"/>
    <w:rsid w:val="00754451"/>
    <w:rsid w:val="007544CD"/>
    <w:rsid w:val="007545AF"/>
    <w:rsid w:val="007545D3"/>
    <w:rsid w:val="0075486B"/>
    <w:rsid w:val="00754909"/>
    <w:rsid w:val="00754977"/>
    <w:rsid w:val="00754BC7"/>
    <w:rsid w:val="00754C59"/>
    <w:rsid w:val="00754C9F"/>
    <w:rsid w:val="00754E00"/>
    <w:rsid w:val="00754ECC"/>
    <w:rsid w:val="00755345"/>
    <w:rsid w:val="00755478"/>
    <w:rsid w:val="007554E5"/>
    <w:rsid w:val="00755651"/>
    <w:rsid w:val="0075579B"/>
    <w:rsid w:val="00755B1F"/>
    <w:rsid w:val="00755CA4"/>
    <w:rsid w:val="00755E34"/>
    <w:rsid w:val="00755FCF"/>
    <w:rsid w:val="007560EC"/>
    <w:rsid w:val="00756142"/>
    <w:rsid w:val="00756282"/>
    <w:rsid w:val="0075629B"/>
    <w:rsid w:val="007562B7"/>
    <w:rsid w:val="0075639F"/>
    <w:rsid w:val="0075644A"/>
    <w:rsid w:val="007566B7"/>
    <w:rsid w:val="007567F6"/>
    <w:rsid w:val="00756809"/>
    <w:rsid w:val="00756916"/>
    <w:rsid w:val="00756939"/>
    <w:rsid w:val="00757017"/>
    <w:rsid w:val="007571F2"/>
    <w:rsid w:val="0075738B"/>
    <w:rsid w:val="0075739E"/>
    <w:rsid w:val="007573D6"/>
    <w:rsid w:val="00757459"/>
    <w:rsid w:val="0075760F"/>
    <w:rsid w:val="0075776D"/>
    <w:rsid w:val="007577BC"/>
    <w:rsid w:val="00757BBB"/>
    <w:rsid w:val="00757E7D"/>
    <w:rsid w:val="00760196"/>
    <w:rsid w:val="0076025B"/>
    <w:rsid w:val="007602DA"/>
    <w:rsid w:val="00760543"/>
    <w:rsid w:val="00760643"/>
    <w:rsid w:val="007606E3"/>
    <w:rsid w:val="00760895"/>
    <w:rsid w:val="00760ACA"/>
    <w:rsid w:val="00760B1C"/>
    <w:rsid w:val="00760B72"/>
    <w:rsid w:val="00760B8E"/>
    <w:rsid w:val="00760BB4"/>
    <w:rsid w:val="00760C1B"/>
    <w:rsid w:val="00760C8C"/>
    <w:rsid w:val="00760D1B"/>
    <w:rsid w:val="00760DDA"/>
    <w:rsid w:val="00760E1A"/>
    <w:rsid w:val="00761038"/>
    <w:rsid w:val="00761091"/>
    <w:rsid w:val="00761114"/>
    <w:rsid w:val="007611C5"/>
    <w:rsid w:val="0076121E"/>
    <w:rsid w:val="00761447"/>
    <w:rsid w:val="00761681"/>
    <w:rsid w:val="00761758"/>
    <w:rsid w:val="00761A6B"/>
    <w:rsid w:val="00761A76"/>
    <w:rsid w:val="00761A87"/>
    <w:rsid w:val="00761B61"/>
    <w:rsid w:val="00761CC3"/>
    <w:rsid w:val="00761D52"/>
    <w:rsid w:val="00761F5F"/>
    <w:rsid w:val="007620EF"/>
    <w:rsid w:val="007622A3"/>
    <w:rsid w:val="00762330"/>
    <w:rsid w:val="007623E7"/>
    <w:rsid w:val="00762427"/>
    <w:rsid w:val="007625CE"/>
    <w:rsid w:val="00762869"/>
    <w:rsid w:val="007628D5"/>
    <w:rsid w:val="00762963"/>
    <w:rsid w:val="00762AD7"/>
    <w:rsid w:val="00762B40"/>
    <w:rsid w:val="00762CCF"/>
    <w:rsid w:val="00762DF4"/>
    <w:rsid w:val="00762E8B"/>
    <w:rsid w:val="00762FF8"/>
    <w:rsid w:val="0076335F"/>
    <w:rsid w:val="0076357E"/>
    <w:rsid w:val="00763667"/>
    <w:rsid w:val="00763683"/>
    <w:rsid w:val="007636EF"/>
    <w:rsid w:val="0076380C"/>
    <w:rsid w:val="00763855"/>
    <w:rsid w:val="0076391B"/>
    <w:rsid w:val="00763A67"/>
    <w:rsid w:val="00763C99"/>
    <w:rsid w:val="00763D78"/>
    <w:rsid w:val="00763E48"/>
    <w:rsid w:val="00763EBA"/>
    <w:rsid w:val="00763F7F"/>
    <w:rsid w:val="007640BB"/>
    <w:rsid w:val="007643EB"/>
    <w:rsid w:val="007644A7"/>
    <w:rsid w:val="00764559"/>
    <w:rsid w:val="00764586"/>
    <w:rsid w:val="00764625"/>
    <w:rsid w:val="0076477D"/>
    <w:rsid w:val="00764831"/>
    <w:rsid w:val="0076491B"/>
    <w:rsid w:val="00764AD7"/>
    <w:rsid w:val="00764B15"/>
    <w:rsid w:val="00764BA3"/>
    <w:rsid w:val="00764CB1"/>
    <w:rsid w:val="00764DE9"/>
    <w:rsid w:val="00764E59"/>
    <w:rsid w:val="00764F33"/>
    <w:rsid w:val="00765111"/>
    <w:rsid w:val="007651BF"/>
    <w:rsid w:val="00765457"/>
    <w:rsid w:val="0076556C"/>
    <w:rsid w:val="00765696"/>
    <w:rsid w:val="00765966"/>
    <w:rsid w:val="0076598E"/>
    <w:rsid w:val="00765A18"/>
    <w:rsid w:val="00765A1F"/>
    <w:rsid w:val="00765A9E"/>
    <w:rsid w:val="00765AD6"/>
    <w:rsid w:val="00765C4B"/>
    <w:rsid w:val="00765DEA"/>
    <w:rsid w:val="00765E5E"/>
    <w:rsid w:val="00765FF0"/>
    <w:rsid w:val="0076607B"/>
    <w:rsid w:val="007660D5"/>
    <w:rsid w:val="00766183"/>
    <w:rsid w:val="00766232"/>
    <w:rsid w:val="0076628A"/>
    <w:rsid w:val="0076635A"/>
    <w:rsid w:val="007664C9"/>
    <w:rsid w:val="007664DE"/>
    <w:rsid w:val="007664FC"/>
    <w:rsid w:val="0076659C"/>
    <w:rsid w:val="00766729"/>
    <w:rsid w:val="0076676E"/>
    <w:rsid w:val="00766961"/>
    <w:rsid w:val="00766B6A"/>
    <w:rsid w:val="00766BA5"/>
    <w:rsid w:val="00766CC1"/>
    <w:rsid w:val="00766D13"/>
    <w:rsid w:val="00766D75"/>
    <w:rsid w:val="00766E9E"/>
    <w:rsid w:val="00766EA6"/>
    <w:rsid w:val="00766EE0"/>
    <w:rsid w:val="00766F78"/>
    <w:rsid w:val="00767294"/>
    <w:rsid w:val="0076729C"/>
    <w:rsid w:val="00767336"/>
    <w:rsid w:val="0076733B"/>
    <w:rsid w:val="00767371"/>
    <w:rsid w:val="00767401"/>
    <w:rsid w:val="007674E1"/>
    <w:rsid w:val="00767534"/>
    <w:rsid w:val="0076762B"/>
    <w:rsid w:val="007677A3"/>
    <w:rsid w:val="00767B0F"/>
    <w:rsid w:val="00767C83"/>
    <w:rsid w:val="00767D1C"/>
    <w:rsid w:val="00767D4E"/>
    <w:rsid w:val="00767EC1"/>
    <w:rsid w:val="00767EE9"/>
    <w:rsid w:val="00767EFA"/>
    <w:rsid w:val="00767F56"/>
    <w:rsid w:val="00767F79"/>
    <w:rsid w:val="00770088"/>
    <w:rsid w:val="0077013A"/>
    <w:rsid w:val="0077014E"/>
    <w:rsid w:val="0077025C"/>
    <w:rsid w:val="007702FD"/>
    <w:rsid w:val="007703C5"/>
    <w:rsid w:val="007703DD"/>
    <w:rsid w:val="00770440"/>
    <w:rsid w:val="007705FA"/>
    <w:rsid w:val="007707FB"/>
    <w:rsid w:val="00770888"/>
    <w:rsid w:val="007708B3"/>
    <w:rsid w:val="00770AC5"/>
    <w:rsid w:val="00770B39"/>
    <w:rsid w:val="00770B42"/>
    <w:rsid w:val="00770B8B"/>
    <w:rsid w:val="00770C7D"/>
    <w:rsid w:val="00770C8C"/>
    <w:rsid w:val="00770CF3"/>
    <w:rsid w:val="00770CFE"/>
    <w:rsid w:val="00770DD5"/>
    <w:rsid w:val="00770EB3"/>
    <w:rsid w:val="00770F9D"/>
    <w:rsid w:val="007710C2"/>
    <w:rsid w:val="0077118D"/>
    <w:rsid w:val="007711DE"/>
    <w:rsid w:val="007712D1"/>
    <w:rsid w:val="007712FC"/>
    <w:rsid w:val="0077134A"/>
    <w:rsid w:val="00771361"/>
    <w:rsid w:val="007713DD"/>
    <w:rsid w:val="007714B2"/>
    <w:rsid w:val="0077150E"/>
    <w:rsid w:val="00771547"/>
    <w:rsid w:val="007717B3"/>
    <w:rsid w:val="0077182A"/>
    <w:rsid w:val="007718A7"/>
    <w:rsid w:val="007718DF"/>
    <w:rsid w:val="00771948"/>
    <w:rsid w:val="007719AF"/>
    <w:rsid w:val="00771AA1"/>
    <w:rsid w:val="00771B05"/>
    <w:rsid w:val="00771BB6"/>
    <w:rsid w:val="00771C7A"/>
    <w:rsid w:val="00771CBD"/>
    <w:rsid w:val="00771E63"/>
    <w:rsid w:val="00771E9C"/>
    <w:rsid w:val="00771EC9"/>
    <w:rsid w:val="00771FDF"/>
    <w:rsid w:val="00772015"/>
    <w:rsid w:val="007721B6"/>
    <w:rsid w:val="007721DC"/>
    <w:rsid w:val="00772321"/>
    <w:rsid w:val="0077238F"/>
    <w:rsid w:val="0077240E"/>
    <w:rsid w:val="007725C3"/>
    <w:rsid w:val="0077268C"/>
    <w:rsid w:val="007726DC"/>
    <w:rsid w:val="0077275A"/>
    <w:rsid w:val="0077278E"/>
    <w:rsid w:val="0077279D"/>
    <w:rsid w:val="007727E9"/>
    <w:rsid w:val="00772848"/>
    <w:rsid w:val="007729B2"/>
    <w:rsid w:val="00772B50"/>
    <w:rsid w:val="00772BDA"/>
    <w:rsid w:val="00772BDC"/>
    <w:rsid w:val="00772C11"/>
    <w:rsid w:val="00772C3C"/>
    <w:rsid w:val="00772D51"/>
    <w:rsid w:val="00772D89"/>
    <w:rsid w:val="00772DAF"/>
    <w:rsid w:val="00772DBB"/>
    <w:rsid w:val="00772EDC"/>
    <w:rsid w:val="00772F6F"/>
    <w:rsid w:val="00772F70"/>
    <w:rsid w:val="0077305A"/>
    <w:rsid w:val="007731B7"/>
    <w:rsid w:val="00773484"/>
    <w:rsid w:val="00773518"/>
    <w:rsid w:val="007736F0"/>
    <w:rsid w:val="00773BC7"/>
    <w:rsid w:val="00773C05"/>
    <w:rsid w:val="00773C4D"/>
    <w:rsid w:val="00773CB2"/>
    <w:rsid w:val="00773E97"/>
    <w:rsid w:val="00773FDC"/>
    <w:rsid w:val="0077402C"/>
    <w:rsid w:val="007742D9"/>
    <w:rsid w:val="00774385"/>
    <w:rsid w:val="007744DF"/>
    <w:rsid w:val="007744EC"/>
    <w:rsid w:val="00774627"/>
    <w:rsid w:val="0077469D"/>
    <w:rsid w:val="00774788"/>
    <w:rsid w:val="00774887"/>
    <w:rsid w:val="00774A29"/>
    <w:rsid w:val="00774A7F"/>
    <w:rsid w:val="00774BEB"/>
    <w:rsid w:val="00774C47"/>
    <w:rsid w:val="00774EE9"/>
    <w:rsid w:val="00774F6D"/>
    <w:rsid w:val="00774F94"/>
    <w:rsid w:val="00774FC9"/>
    <w:rsid w:val="007750AA"/>
    <w:rsid w:val="007750BC"/>
    <w:rsid w:val="007750F4"/>
    <w:rsid w:val="00775105"/>
    <w:rsid w:val="0077514D"/>
    <w:rsid w:val="00775236"/>
    <w:rsid w:val="00775364"/>
    <w:rsid w:val="00775467"/>
    <w:rsid w:val="007754AB"/>
    <w:rsid w:val="00775505"/>
    <w:rsid w:val="0077559C"/>
    <w:rsid w:val="007755E5"/>
    <w:rsid w:val="00775799"/>
    <w:rsid w:val="0077588C"/>
    <w:rsid w:val="00775972"/>
    <w:rsid w:val="0077599C"/>
    <w:rsid w:val="007759B8"/>
    <w:rsid w:val="00775ACD"/>
    <w:rsid w:val="00775C75"/>
    <w:rsid w:val="00775D78"/>
    <w:rsid w:val="00775DDD"/>
    <w:rsid w:val="00775EFE"/>
    <w:rsid w:val="00775FB0"/>
    <w:rsid w:val="00776048"/>
    <w:rsid w:val="007760B1"/>
    <w:rsid w:val="0077615E"/>
    <w:rsid w:val="0077618A"/>
    <w:rsid w:val="007761C2"/>
    <w:rsid w:val="007762CB"/>
    <w:rsid w:val="007762FA"/>
    <w:rsid w:val="00776409"/>
    <w:rsid w:val="00776476"/>
    <w:rsid w:val="00776589"/>
    <w:rsid w:val="007765AD"/>
    <w:rsid w:val="007765D4"/>
    <w:rsid w:val="007765F8"/>
    <w:rsid w:val="00776628"/>
    <w:rsid w:val="00776857"/>
    <w:rsid w:val="00776899"/>
    <w:rsid w:val="007768ED"/>
    <w:rsid w:val="00776957"/>
    <w:rsid w:val="00776AA6"/>
    <w:rsid w:val="00776B04"/>
    <w:rsid w:val="00776B0A"/>
    <w:rsid w:val="00776D44"/>
    <w:rsid w:val="00776D88"/>
    <w:rsid w:val="00776E03"/>
    <w:rsid w:val="00776EC8"/>
    <w:rsid w:val="0077703F"/>
    <w:rsid w:val="00777061"/>
    <w:rsid w:val="0077716D"/>
    <w:rsid w:val="007772CB"/>
    <w:rsid w:val="007772EB"/>
    <w:rsid w:val="00777392"/>
    <w:rsid w:val="00777529"/>
    <w:rsid w:val="0077752E"/>
    <w:rsid w:val="007775C4"/>
    <w:rsid w:val="007775F9"/>
    <w:rsid w:val="007777A4"/>
    <w:rsid w:val="007777E8"/>
    <w:rsid w:val="00777831"/>
    <w:rsid w:val="0077788F"/>
    <w:rsid w:val="0077794F"/>
    <w:rsid w:val="00777992"/>
    <w:rsid w:val="007779F3"/>
    <w:rsid w:val="00777A34"/>
    <w:rsid w:val="00777A8E"/>
    <w:rsid w:val="00777BAF"/>
    <w:rsid w:val="00777C21"/>
    <w:rsid w:val="00777C25"/>
    <w:rsid w:val="00777DDA"/>
    <w:rsid w:val="00777E6D"/>
    <w:rsid w:val="00777F4A"/>
    <w:rsid w:val="00777FDB"/>
    <w:rsid w:val="00780142"/>
    <w:rsid w:val="00780162"/>
    <w:rsid w:val="007801BC"/>
    <w:rsid w:val="007802A0"/>
    <w:rsid w:val="0078033C"/>
    <w:rsid w:val="007804A0"/>
    <w:rsid w:val="0078051F"/>
    <w:rsid w:val="007807D0"/>
    <w:rsid w:val="0078081D"/>
    <w:rsid w:val="007808D4"/>
    <w:rsid w:val="00780CFA"/>
    <w:rsid w:val="00780E41"/>
    <w:rsid w:val="00780E45"/>
    <w:rsid w:val="00780E59"/>
    <w:rsid w:val="0078114F"/>
    <w:rsid w:val="00781154"/>
    <w:rsid w:val="0078127E"/>
    <w:rsid w:val="00781308"/>
    <w:rsid w:val="0078130D"/>
    <w:rsid w:val="00781330"/>
    <w:rsid w:val="007813F7"/>
    <w:rsid w:val="00781424"/>
    <w:rsid w:val="00781526"/>
    <w:rsid w:val="007815C5"/>
    <w:rsid w:val="007815F5"/>
    <w:rsid w:val="00781754"/>
    <w:rsid w:val="007817B2"/>
    <w:rsid w:val="00781A8A"/>
    <w:rsid w:val="00781CE4"/>
    <w:rsid w:val="00781CEF"/>
    <w:rsid w:val="00781CF5"/>
    <w:rsid w:val="00781F81"/>
    <w:rsid w:val="00782057"/>
    <w:rsid w:val="00782070"/>
    <w:rsid w:val="007820A1"/>
    <w:rsid w:val="00782146"/>
    <w:rsid w:val="00782480"/>
    <w:rsid w:val="00782537"/>
    <w:rsid w:val="007825DD"/>
    <w:rsid w:val="007826B1"/>
    <w:rsid w:val="007826D4"/>
    <w:rsid w:val="00782898"/>
    <w:rsid w:val="00782A71"/>
    <w:rsid w:val="00782AF7"/>
    <w:rsid w:val="00782BD5"/>
    <w:rsid w:val="00782C17"/>
    <w:rsid w:val="00782D4A"/>
    <w:rsid w:val="00782D59"/>
    <w:rsid w:val="007830A7"/>
    <w:rsid w:val="00783170"/>
    <w:rsid w:val="0078332F"/>
    <w:rsid w:val="007833F5"/>
    <w:rsid w:val="0078350F"/>
    <w:rsid w:val="0078351A"/>
    <w:rsid w:val="00783671"/>
    <w:rsid w:val="007836A5"/>
    <w:rsid w:val="0078370C"/>
    <w:rsid w:val="00783848"/>
    <w:rsid w:val="00783851"/>
    <w:rsid w:val="007838CA"/>
    <w:rsid w:val="00783C03"/>
    <w:rsid w:val="00783D10"/>
    <w:rsid w:val="00783ECA"/>
    <w:rsid w:val="00783FAE"/>
    <w:rsid w:val="007840DE"/>
    <w:rsid w:val="007842C4"/>
    <w:rsid w:val="007843F2"/>
    <w:rsid w:val="007843F8"/>
    <w:rsid w:val="00784777"/>
    <w:rsid w:val="00784B3F"/>
    <w:rsid w:val="00784D4C"/>
    <w:rsid w:val="00784FF6"/>
    <w:rsid w:val="007851D5"/>
    <w:rsid w:val="0078527A"/>
    <w:rsid w:val="0078535B"/>
    <w:rsid w:val="007855F1"/>
    <w:rsid w:val="00785A38"/>
    <w:rsid w:val="00785AA3"/>
    <w:rsid w:val="00785AB4"/>
    <w:rsid w:val="00785ABC"/>
    <w:rsid w:val="00785DFE"/>
    <w:rsid w:val="00785F36"/>
    <w:rsid w:val="00785F49"/>
    <w:rsid w:val="00785FCE"/>
    <w:rsid w:val="007861D4"/>
    <w:rsid w:val="007862C0"/>
    <w:rsid w:val="00786341"/>
    <w:rsid w:val="00786409"/>
    <w:rsid w:val="0078645B"/>
    <w:rsid w:val="007864DF"/>
    <w:rsid w:val="00786549"/>
    <w:rsid w:val="00786919"/>
    <w:rsid w:val="00786998"/>
    <w:rsid w:val="00786AE3"/>
    <w:rsid w:val="00786C31"/>
    <w:rsid w:val="00786C34"/>
    <w:rsid w:val="00786D98"/>
    <w:rsid w:val="00786DED"/>
    <w:rsid w:val="0078710B"/>
    <w:rsid w:val="007871F6"/>
    <w:rsid w:val="00787225"/>
    <w:rsid w:val="00787233"/>
    <w:rsid w:val="00787299"/>
    <w:rsid w:val="00787400"/>
    <w:rsid w:val="00787554"/>
    <w:rsid w:val="00787582"/>
    <w:rsid w:val="00787592"/>
    <w:rsid w:val="007875F0"/>
    <w:rsid w:val="007876A8"/>
    <w:rsid w:val="007876C9"/>
    <w:rsid w:val="00787861"/>
    <w:rsid w:val="00787947"/>
    <w:rsid w:val="0078799E"/>
    <w:rsid w:val="007879CF"/>
    <w:rsid w:val="00787A2E"/>
    <w:rsid w:val="00787B0B"/>
    <w:rsid w:val="00787B6B"/>
    <w:rsid w:val="00787CB3"/>
    <w:rsid w:val="00787CE5"/>
    <w:rsid w:val="00787EC8"/>
    <w:rsid w:val="00790180"/>
    <w:rsid w:val="00790329"/>
    <w:rsid w:val="00790334"/>
    <w:rsid w:val="00790416"/>
    <w:rsid w:val="00790454"/>
    <w:rsid w:val="00790690"/>
    <w:rsid w:val="00790709"/>
    <w:rsid w:val="0079081E"/>
    <w:rsid w:val="00790958"/>
    <w:rsid w:val="00790978"/>
    <w:rsid w:val="00790BD2"/>
    <w:rsid w:val="00790BEC"/>
    <w:rsid w:val="00790CBA"/>
    <w:rsid w:val="00790CE7"/>
    <w:rsid w:val="00790D50"/>
    <w:rsid w:val="00790F0A"/>
    <w:rsid w:val="00790F1F"/>
    <w:rsid w:val="007910B4"/>
    <w:rsid w:val="00791141"/>
    <w:rsid w:val="00791240"/>
    <w:rsid w:val="0079128A"/>
    <w:rsid w:val="00791301"/>
    <w:rsid w:val="0079133D"/>
    <w:rsid w:val="00791379"/>
    <w:rsid w:val="00791397"/>
    <w:rsid w:val="00791443"/>
    <w:rsid w:val="007914D5"/>
    <w:rsid w:val="00791532"/>
    <w:rsid w:val="0079159E"/>
    <w:rsid w:val="007915D5"/>
    <w:rsid w:val="007916F7"/>
    <w:rsid w:val="00791835"/>
    <w:rsid w:val="007918AD"/>
    <w:rsid w:val="007918E6"/>
    <w:rsid w:val="00791A5D"/>
    <w:rsid w:val="00791A80"/>
    <w:rsid w:val="00791BC4"/>
    <w:rsid w:val="00791C17"/>
    <w:rsid w:val="00791C49"/>
    <w:rsid w:val="00791D09"/>
    <w:rsid w:val="00791D38"/>
    <w:rsid w:val="00791DF3"/>
    <w:rsid w:val="00791EFD"/>
    <w:rsid w:val="00792128"/>
    <w:rsid w:val="0079238C"/>
    <w:rsid w:val="0079246E"/>
    <w:rsid w:val="00792520"/>
    <w:rsid w:val="00792A69"/>
    <w:rsid w:val="00792A6C"/>
    <w:rsid w:val="00792A6D"/>
    <w:rsid w:val="00792B3D"/>
    <w:rsid w:val="00792BC7"/>
    <w:rsid w:val="00792BDD"/>
    <w:rsid w:val="00792BF5"/>
    <w:rsid w:val="00792C2B"/>
    <w:rsid w:val="00792D0D"/>
    <w:rsid w:val="00793148"/>
    <w:rsid w:val="00793262"/>
    <w:rsid w:val="00793408"/>
    <w:rsid w:val="00793515"/>
    <w:rsid w:val="00793558"/>
    <w:rsid w:val="0079356D"/>
    <w:rsid w:val="007935B4"/>
    <w:rsid w:val="00793673"/>
    <w:rsid w:val="007937AC"/>
    <w:rsid w:val="00793810"/>
    <w:rsid w:val="00793835"/>
    <w:rsid w:val="0079397B"/>
    <w:rsid w:val="007939E1"/>
    <w:rsid w:val="00793A51"/>
    <w:rsid w:val="00793AD5"/>
    <w:rsid w:val="00793B48"/>
    <w:rsid w:val="00793CC5"/>
    <w:rsid w:val="00793D19"/>
    <w:rsid w:val="00793D7C"/>
    <w:rsid w:val="00793FD5"/>
    <w:rsid w:val="00794149"/>
    <w:rsid w:val="007941E9"/>
    <w:rsid w:val="00794208"/>
    <w:rsid w:val="0079423D"/>
    <w:rsid w:val="007943B1"/>
    <w:rsid w:val="007943B5"/>
    <w:rsid w:val="00794573"/>
    <w:rsid w:val="007945EE"/>
    <w:rsid w:val="007945F4"/>
    <w:rsid w:val="00794694"/>
    <w:rsid w:val="00794696"/>
    <w:rsid w:val="00794951"/>
    <w:rsid w:val="00794ABB"/>
    <w:rsid w:val="00794BC2"/>
    <w:rsid w:val="00794DB3"/>
    <w:rsid w:val="00794DF1"/>
    <w:rsid w:val="00794E73"/>
    <w:rsid w:val="00794EB6"/>
    <w:rsid w:val="00794F68"/>
    <w:rsid w:val="007950A4"/>
    <w:rsid w:val="00795134"/>
    <w:rsid w:val="00795187"/>
    <w:rsid w:val="007951E2"/>
    <w:rsid w:val="0079521F"/>
    <w:rsid w:val="007953CF"/>
    <w:rsid w:val="00795401"/>
    <w:rsid w:val="00795404"/>
    <w:rsid w:val="00795657"/>
    <w:rsid w:val="0079574C"/>
    <w:rsid w:val="007958B4"/>
    <w:rsid w:val="007959CD"/>
    <w:rsid w:val="00795A24"/>
    <w:rsid w:val="00795D1A"/>
    <w:rsid w:val="00795F3E"/>
    <w:rsid w:val="00796059"/>
    <w:rsid w:val="007960CB"/>
    <w:rsid w:val="007961A2"/>
    <w:rsid w:val="00796284"/>
    <w:rsid w:val="0079658D"/>
    <w:rsid w:val="007965CE"/>
    <w:rsid w:val="007966F5"/>
    <w:rsid w:val="00796798"/>
    <w:rsid w:val="007967B4"/>
    <w:rsid w:val="00796820"/>
    <w:rsid w:val="0079687E"/>
    <w:rsid w:val="00796AE8"/>
    <w:rsid w:val="00796B43"/>
    <w:rsid w:val="00796BED"/>
    <w:rsid w:val="00796C60"/>
    <w:rsid w:val="00796C61"/>
    <w:rsid w:val="00796D9A"/>
    <w:rsid w:val="00796E7B"/>
    <w:rsid w:val="00796F2F"/>
    <w:rsid w:val="00796FAB"/>
    <w:rsid w:val="00797121"/>
    <w:rsid w:val="007971C7"/>
    <w:rsid w:val="007972BC"/>
    <w:rsid w:val="007973CA"/>
    <w:rsid w:val="007973D8"/>
    <w:rsid w:val="007977C4"/>
    <w:rsid w:val="0079780B"/>
    <w:rsid w:val="007979C2"/>
    <w:rsid w:val="00797B69"/>
    <w:rsid w:val="00797E34"/>
    <w:rsid w:val="00797F66"/>
    <w:rsid w:val="00797FC6"/>
    <w:rsid w:val="007A00AF"/>
    <w:rsid w:val="007A01F6"/>
    <w:rsid w:val="007A0422"/>
    <w:rsid w:val="007A047A"/>
    <w:rsid w:val="007A04D6"/>
    <w:rsid w:val="007A056C"/>
    <w:rsid w:val="007A05C4"/>
    <w:rsid w:val="007A0633"/>
    <w:rsid w:val="007A06D2"/>
    <w:rsid w:val="007A0799"/>
    <w:rsid w:val="007A08B2"/>
    <w:rsid w:val="007A0AC8"/>
    <w:rsid w:val="007A0AE8"/>
    <w:rsid w:val="007A0B1A"/>
    <w:rsid w:val="007A0EE3"/>
    <w:rsid w:val="007A0F75"/>
    <w:rsid w:val="007A0FFC"/>
    <w:rsid w:val="007A1083"/>
    <w:rsid w:val="007A1114"/>
    <w:rsid w:val="007A1267"/>
    <w:rsid w:val="007A153D"/>
    <w:rsid w:val="007A15F1"/>
    <w:rsid w:val="007A1603"/>
    <w:rsid w:val="007A16C7"/>
    <w:rsid w:val="007A1834"/>
    <w:rsid w:val="007A196A"/>
    <w:rsid w:val="007A1A05"/>
    <w:rsid w:val="007A1AFD"/>
    <w:rsid w:val="007A1C20"/>
    <w:rsid w:val="007A1C95"/>
    <w:rsid w:val="007A1CE0"/>
    <w:rsid w:val="007A1D65"/>
    <w:rsid w:val="007A1E39"/>
    <w:rsid w:val="007A2184"/>
    <w:rsid w:val="007A2241"/>
    <w:rsid w:val="007A22F9"/>
    <w:rsid w:val="007A23D1"/>
    <w:rsid w:val="007A243C"/>
    <w:rsid w:val="007A2590"/>
    <w:rsid w:val="007A27A7"/>
    <w:rsid w:val="007A28E5"/>
    <w:rsid w:val="007A2A52"/>
    <w:rsid w:val="007A2A86"/>
    <w:rsid w:val="007A2B83"/>
    <w:rsid w:val="007A2E13"/>
    <w:rsid w:val="007A2EC4"/>
    <w:rsid w:val="007A2EDF"/>
    <w:rsid w:val="007A2F1B"/>
    <w:rsid w:val="007A2F28"/>
    <w:rsid w:val="007A30F3"/>
    <w:rsid w:val="007A3278"/>
    <w:rsid w:val="007A32EB"/>
    <w:rsid w:val="007A36B3"/>
    <w:rsid w:val="007A380D"/>
    <w:rsid w:val="007A384A"/>
    <w:rsid w:val="007A3A84"/>
    <w:rsid w:val="007A3B50"/>
    <w:rsid w:val="007A3C63"/>
    <w:rsid w:val="007A3DF6"/>
    <w:rsid w:val="007A3E02"/>
    <w:rsid w:val="007A42B5"/>
    <w:rsid w:val="007A44C5"/>
    <w:rsid w:val="007A459D"/>
    <w:rsid w:val="007A461D"/>
    <w:rsid w:val="007A461E"/>
    <w:rsid w:val="007A4642"/>
    <w:rsid w:val="007A46B0"/>
    <w:rsid w:val="007A4713"/>
    <w:rsid w:val="007A4743"/>
    <w:rsid w:val="007A4986"/>
    <w:rsid w:val="007A4D7B"/>
    <w:rsid w:val="007A4F8A"/>
    <w:rsid w:val="007A5026"/>
    <w:rsid w:val="007A5145"/>
    <w:rsid w:val="007A5151"/>
    <w:rsid w:val="007A5342"/>
    <w:rsid w:val="007A53DB"/>
    <w:rsid w:val="007A5440"/>
    <w:rsid w:val="007A574D"/>
    <w:rsid w:val="007A57E0"/>
    <w:rsid w:val="007A5980"/>
    <w:rsid w:val="007A5B8D"/>
    <w:rsid w:val="007A5CA3"/>
    <w:rsid w:val="007A5E4B"/>
    <w:rsid w:val="007A5E9E"/>
    <w:rsid w:val="007A61FB"/>
    <w:rsid w:val="007A6356"/>
    <w:rsid w:val="007A6550"/>
    <w:rsid w:val="007A65AD"/>
    <w:rsid w:val="007A664D"/>
    <w:rsid w:val="007A66A9"/>
    <w:rsid w:val="007A681A"/>
    <w:rsid w:val="007A6876"/>
    <w:rsid w:val="007A6984"/>
    <w:rsid w:val="007A6AFB"/>
    <w:rsid w:val="007A6B1A"/>
    <w:rsid w:val="007A6B3F"/>
    <w:rsid w:val="007A6C61"/>
    <w:rsid w:val="007A6EC3"/>
    <w:rsid w:val="007A6F93"/>
    <w:rsid w:val="007A6FEE"/>
    <w:rsid w:val="007A70E5"/>
    <w:rsid w:val="007A70ED"/>
    <w:rsid w:val="007A70F0"/>
    <w:rsid w:val="007A714B"/>
    <w:rsid w:val="007A7245"/>
    <w:rsid w:val="007A731E"/>
    <w:rsid w:val="007A7379"/>
    <w:rsid w:val="007A765A"/>
    <w:rsid w:val="007A7725"/>
    <w:rsid w:val="007A7750"/>
    <w:rsid w:val="007A7A49"/>
    <w:rsid w:val="007A7AA1"/>
    <w:rsid w:val="007A7BFB"/>
    <w:rsid w:val="007A7E1E"/>
    <w:rsid w:val="007A7E77"/>
    <w:rsid w:val="007A7F1E"/>
    <w:rsid w:val="007A7F9B"/>
    <w:rsid w:val="007ADDB8"/>
    <w:rsid w:val="007B03BF"/>
    <w:rsid w:val="007B0490"/>
    <w:rsid w:val="007B07CE"/>
    <w:rsid w:val="007B080F"/>
    <w:rsid w:val="007B0B0B"/>
    <w:rsid w:val="007B0C19"/>
    <w:rsid w:val="007B0DE0"/>
    <w:rsid w:val="007B0EB5"/>
    <w:rsid w:val="007B0EDF"/>
    <w:rsid w:val="007B0F74"/>
    <w:rsid w:val="007B1257"/>
    <w:rsid w:val="007B125B"/>
    <w:rsid w:val="007B12B0"/>
    <w:rsid w:val="007B12FE"/>
    <w:rsid w:val="007B14F3"/>
    <w:rsid w:val="007B1691"/>
    <w:rsid w:val="007B173E"/>
    <w:rsid w:val="007B1779"/>
    <w:rsid w:val="007B1906"/>
    <w:rsid w:val="007B1914"/>
    <w:rsid w:val="007B1934"/>
    <w:rsid w:val="007B1999"/>
    <w:rsid w:val="007B1C2C"/>
    <w:rsid w:val="007B1CEA"/>
    <w:rsid w:val="007B1D0E"/>
    <w:rsid w:val="007B1DBE"/>
    <w:rsid w:val="007B20E4"/>
    <w:rsid w:val="007B2524"/>
    <w:rsid w:val="007B25B7"/>
    <w:rsid w:val="007B2806"/>
    <w:rsid w:val="007B2962"/>
    <w:rsid w:val="007B2A6D"/>
    <w:rsid w:val="007B2C29"/>
    <w:rsid w:val="007B2CD5"/>
    <w:rsid w:val="007B2CDB"/>
    <w:rsid w:val="007B2D55"/>
    <w:rsid w:val="007B2D66"/>
    <w:rsid w:val="007B2EAB"/>
    <w:rsid w:val="007B2F4C"/>
    <w:rsid w:val="007B2FBC"/>
    <w:rsid w:val="007B308A"/>
    <w:rsid w:val="007B30AC"/>
    <w:rsid w:val="007B31CF"/>
    <w:rsid w:val="007B3329"/>
    <w:rsid w:val="007B3404"/>
    <w:rsid w:val="007B3422"/>
    <w:rsid w:val="007B3666"/>
    <w:rsid w:val="007B376A"/>
    <w:rsid w:val="007B393C"/>
    <w:rsid w:val="007B39B0"/>
    <w:rsid w:val="007B3A2D"/>
    <w:rsid w:val="007B3C5F"/>
    <w:rsid w:val="007B3E8B"/>
    <w:rsid w:val="007B40A2"/>
    <w:rsid w:val="007B4218"/>
    <w:rsid w:val="007B4223"/>
    <w:rsid w:val="007B4382"/>
    <w:rsid w:val="007B4385"/>
    <w:rsid w:val="007B4479"/>
    <w:rsid w:val="007B4716"/>
    <w:rsid w:val="007B4850"/>
    <w:rsid w:val="007B48F6"/>
    <w:rsid w:val="007B499B"/>
    <w:rsid w:val="007B49FA"/>
    <w:rsid w:val="007B4C2B"/>
    <w:rsid w:val="007B4D61"/>
    <w:rsid w:val="007B4EEA"/>
    <w:rsid w:val="007B5093"/>
    <w:rsid w:val="007B51A6"/>
    <w:rsid w:val="007B5499"/>
    <w:rsid w:val="007B556D"/>
    <w:rsid w:val="007B55E6"/>
    <w:rsid w:val="007B5633"/>
    <w:rsid w:val="007B5725"/>
    <w:rsid w:val="007B5941"/>
    <w:rsid w:val="007B5B19"/>
    <w:rsid w:val="007B5B1C"/>
    <w:rsid w:val="007B5B8F"/>
    <w:rsid w:val="007B5B99"/>
    <w:rsid w:val="007B5BD6"/>
    <w:rsid w:val="007B5C49"/>
    <w:rsid w:val="007B5C75"/>
    <w:rsid w:val="007B5D01"/>
    <w:rsid w:val="007B5D52"/>
    <w:rsid w:val="007B5F9D"/>
    <w:rsid w:val="007B5F9E"/>
    <w:rsid w:val="007B6014"/>
    <w:rsid w:val="007B62D3"/>
    <w:rsid w:val="007B64AF"/>
    <w:rsid w:val="007B64E3"/>
    <w:rsid w:val="007B6778"/>
    <w:rsid w:val="007B694E"/>
    <w:rsid w:val="007B6D17"/>
    <w:rsid w:val="007B6E12"/>
    <w:rsid w:val="007B6EDE"/>
    <w:rsid w:val="007B6FD2"/>
    <w:rsid w:val="007B701A"/>
    <w:rsid w:val="007B7178"/>
    <w:rsid w:val="007B71E1"/>
    <w:rsid w:val="007B71F7"/>
    <w:rsid w:val="007B7393"/>
    <w:rsid w:val="007B743C"/>
    <w:rsid w:val="007B7563"/>
    <w:rsid w:val="007B769C"/>
    <w:rsid w:val="007B779D"/>
    <w:rsid w:val="007B783D"/>
    <w:rsid w:val="007B7950"/>
    <w:rsid w:val="007B798D"/>
    <w:rsid w:val="007B7AD6"/>
    <w:rsid w:val="007B7B3A"/>
    <w:rsid w:val="007B7CC4"/>
    <w:rsid w:val="007B7E63"/>
    <w:rsid w:val="007B7F78"/>
    <w:rsid w:val="007C01E5"/>
    <w:rsid w:val="007C07B1"/>
    <w:rsid w:val="007C093A"/>
    <w:rsid w:val="007C0A15"/>
    <w:rsid w:val="007C0B3B"/>
    <w:rsid w:val="007C0B8C"/>
    <w:rsid w:val="007C0D51"/>
    <w:rsid w:val="007C0D68"/>
    <w:rsid w:val="007C0F9D"/>
    <w:rsid w:val="007C157D"/>
    <w:rsid w:val="007C15F5"/>
    <w:rsid w:val="007C160A"/>
    <w:rsid w:val="007C17FD"/>
    <w:rsid w:val="007C1810"/>
    <w:rsid w:val="007C1AE8"/>
    <w:rsid w:val="007C1B71"/>
    <w:rsid w:val="007C1C25"/>
    <w:rsid w:val="007C1DC8"/>
    <w:rsid w:val="007C1EAF"/>
    <w:rsid w:val="007C1F9B"/>
    <w:rsid w:val="007C1FD9"/>
    <w:rsid w:val="007C202B"/>
    <w:rsid w:val="007C2384"/>
    <w:rsid w:val="007C2448"/>
    <w:rsid w:val="007C259B"/>
    <w:rsid w:val="007C2B71"/>
    <w:rsid w:val="007C2B77"/>
    <w:rsid w:val="007C2BEB"/>
    <w:rsid w:val="007C2CE9"/>
    <w:rsid w:val="007C2E6E"/>
    <w:rsid w:val="007C2EB1"/>
    <w:rsid w:val="007C2FC3"/>
    <w:rsid w:val="007C32A1"/>
    <w:rsid w:val="007C33F1"/>
    <w:rsid w:val="007C341E"/>
    <w:rsid w:val="007C34E4"/>
    <w:rsid w:val="007C34F0"/>
    <w:rsid w:val="007C3533"/>
    <w:rsid w:val="007C36BA"/>
    <w:rsid w:val="007C379F"/>
    <w:rsid w:val="007C3B98"/>
    <w:rsid w:val="007C3BCE"/>
    <w:rsid w:val="007C3ECB"/>
    <w:rsid w:val="007C3EF2"/>
    <w:rsid w:val="007C3F33"/>
    <w:rsid w:val="007C3F53"/>
    <w:rsid w:val="007C3FF4"/>
    <w:rsid w:val="007C408A"/>
    <w:rsid w:val="007C40A4"/>
    <w:rsid w:val="007C43FD"/>
    <w:rsid w:val="007C4449"/>
    <w:rsid w:val="007C44A2"/>
    <w:rsid w:val="007C4544"/>
    <w:rsid w:val="007C4671"/>
    <w:rsid w:val="007C4681"/>
    <w:rsid w:val="007C4994"/>
    <w:rsid w:val="007C4A32"/>
    <w:rsid w:val="007C4A81"/>
    <w:rsid w:val="007C4B24"/>
    <w:rsid w:val="007C4B76"/>
    <w:rsid w:val="007C4BF0"/>
    <w:rsid w:val="007C4C9C"/>
    <w:rsid w:val="007C4D1A"/>
    <w:rsid w:val="007C4F4C"/>
    <w:rsid w:val="007C4FA6"/>
    <w:rsid w:val="007C509C"/>
    <w:rsid w:val="007C50E9"/>
    <w:rsid w:val="007C513D"/>
    <w:rsid w:val="007C5186"/>
    <w:rsid w:val="007C526F"/>
    <w:rsid w:val="007C5318"/>
    <w:rsid w:val="007C537A"/>
    <w:rsid w:val="007C53BE"/>
    <w:rsid w:val="007C55E0"/>
    <w:rsid w:val="007C5695"/>
    <w:rsid w:val="007C5A00"/>
    <w:rsid w:val="007C5B0C"/>
    <w:rsid w:val="007C5B35"/>
    <w:rsid w:val="007C5C9A"/>
    <w:rsid w:val="007C5E25"/>
    <w:rsid w:val="007C5F1D"/>
    <w:rsid w:val="007C604E"/>
    <w:rsid w:val="007C625E"/>
    <w:rsid w:val="007C6273"/>
    <w:rsid w:val="007C63E7"/>
    <w:rsid w:val="007C64A7"/>
    <w:rsid w:val="007C64FB"/>
    <w:rsid w:val="007C66DE"/>
    <w:rsid w:val="007C6769"/>
    <w:rsid w:val="007C6835"/>
    <w:rsid w:val="007C6B9C"/>
    <w:rsid w:val="007C6CD3"/>
    <w:rsid w:val="007C6E8F"/>
    <w:rsid w:val="007C6F5D"/>
    <w:rsid w:val="007C7167"/>
    <w:rsid w:val="007C72F7"/>
    <w:rsid w:val="007C734A"/>
    <w:rsid w:val="007C7492"/>
    <w:rsid w:val="007C758B"/>
    <w:rsid w:val="007C7593"/>
    <w:rsid w:val="007C763D"/>
    <w:rsid w:val="007C77DA"/>
    <w:rsid w:val="007C78AD"/>
    <w:rsid w:val="007C790C"/>
    <w:rsid w:val="007C7925"/>
    <w:rsid w:val="007C79EF"/>
    <w:rsid w:val="007C7A98"/>
    <w:rsid w:val="007C7C6A"/>
    <w:rsid w:val="007C7DDF"/>
    <w:rsid w:val="007C7EE8"/>
    <w:rsid w:val="007C7FDC"/>
    <w:rsid w:val="007D01BB"/>
    <w:rsid w:val="007D01CD"/>
    <w:rsid w:val="007D02E0"/>
    <w:rsid w:val="007D03F3"/>
    <w:rsid w:val="007D05E9"/>
    <w:rsid w:val="007D069F"/>
    <w:rsid w:val="007D0772"/>
    <w:rsid w:val="007D07F7"/>
    <w:rsid w:val="007D0834"/>
    <w:rsid w:val="007D0C2F"/>
    <w:rsid w:val="007D0DD6"/>
    <w:rsid w:val="007D0F08"/>
    <w:rsid w:val="007D0FA3"/>
    <w:rsid w:val="007D1076"/>
    <w:rsid w:val="007D11AE"/>
    <w:rsid w:val="007D120D"/>
    <w:rsid w:val="007D12B0"/>
    <w:rsid w:val="007D136D"/>
    <w:rsid w:val="007D1401"/>
    <w:rsid w:val="007D16DD"/>
    <w:rsid w:val="007D173D"/>
    <w:rsid w:val="007D19BE"/>
    <w:rsid w:val="007D1B64"/>
    <w:rsid w:val="007D1C1A"/>
    <w:rsid w:val="007D1C42"/>
    <w:rsid w:val="007D1C4B"/>
    <w:rsid w:val="007D1C69"/>
    <w:rsid w:val="007D1CC3"/>
    <w:rsid w:val="007D1E07"/>
    <w:rsid w:val="007D1F48"/>
    <w:rsid w:val="007D1F6F"/>
    <w:rsid w:val="007D20D4"/>
    <w:rsid w:val="007D22F7"/>
    <w:rsid w:val="007D2355"/>
    <w:rsid w:val="007D23BC"/>
    <w:rsid w:val="007D2415"/>
    <w:rsid w:val="007D24F0"/>
    <w:rsid w:val="007D2792"/>
    <w:rsid w:val="007D282D"/>
    <w:rsid w:val="007D28A0"/>
    <w:rsid w:val="007D2917"/>
    <w:rsid w:val="007D29DA"/>
    <w:rsid w:val="007D2C5E"/>
    <w:rsid w:val="007D2E50"/>
    <w:rsid w:val="007D2FA9"/>
    <w:rsid w:val="007D32FF"/>
    <w:rsid w:val="007D343B"/>
    <w:rsid w:val="007D3449"/>
    <w:rsid w:val="007D3464"/>
    <w:rsid w:val="007D349E"/>
    <w:rsid w:val="007D34FB"/>
    <w:rsid w:val="007D3685"/>
    <w:rsid w:val="007D384E"/>
    <w:rsid w:val="007D38E9"/>
    <w:rsid w:val="007D3A77"/>
    <w:rsid w:val="007D3A7A"/>
    <w:rsid w:val="007D3C55"/>
    <w:rsid w:val="007D3C82"/>
    <w:rsid w:val="007D3D2D"/>
    <w:rsid w:val="007D3D8E"/>
    <w:rsid w:val="007D41DC"/>
    <w:rsid w:val="007D4346"/>
    <w:rsid w:val="007D4451"/>
    <w:rsid w:val="007D44DE"/>
    <w:rsid w:val="007D45C9"/>
    <w:rsid w:val="007D4687"/>
    <w:rsid w:val="007D46E1"/>
    <w:rsid w:val="007D4756"/>
    <w:rsid w:val="007D494E"/>
    <w:rsid w:val="007D4970"/>
    <w:rsid w:val="007D4A56"/>
    <w:rsid w:val="007D4C20"/>
    <w:rsid w:val="007D4C6D"/>
    <w:rsid w:val="007D4CC7"/>
    <w:rsid w:val="007D4CFF"/>
    <w:rsid w:val="007D4D4C"/>
    <w:rsid w:val="007D4D8A"/>
    <w:rsid w:val="007D4DE5"/>
    <w:rsid w:val="007D4EE9"/>
    <w:rsid w:val="007D512F"/>
    <w:rsid w:val="007D5246"/>
    <w:rsid w:val="007D52BF"/>
    <w:rsid w:val="007D531B"/>
    <w:rsid w:val="007D536B"/>
    <w:rsid w:val="007D560C"/>
    <w:rsid w:val="007D5681"/>
    <w:rsid w:val="007D5841"/>
    <w:rsid w:val="007D5875"/>
    <w:rsid w:val="007D59F5"/>
    <w:rsid w:val="007D5ABF"/>
    <w:rsid w:val="007D5B8D"/>
    <w:rsid w:val="007D5C22"/>
    <w:rsid w:val="007D5D3A"/>
    <w:rsid w:val="007D5D52"/>
    <w:rsid w:val="007D5DBB"/>
    <w:rsid w:val="007D5F00"/>
    <w:rsid w:val="007D5FF2"/>
    <w:rsid w:val="007D607A"/>
    <w:rsid w:val="007D6190"/>
    <w:rsid w:val="007D6330"/>
    <w:rsid w:val="007D63D7"/>
    <w:rsid w:val="007D6401"/>
    <w:rsid w:val="007D6691"/>
    <w:rsid w:val="007D69A2"/>
    <w:rsid w:val="007D6A70"/>
    <w:rsid w:val="007D6AB0"/>
    <w:rsid w:val="007D6AD6"/>
    <w:rsid w:val="007D6BEB"/>
    <w:rsid w:val="007D6D1F"/>
    <w:rsid w:val="007D6E0E"/>
    <w:rsid w:val="007D6E28"/>
    <w:rsid w:val="007D6E78"/>
    <w:rsid w:val="007D6E79"/>
    <w:rsid w:val="007D6F6E"/>
    <w:rsid w:val="007D709D"/>
    <w:rsid w:val="007D71C4"/>
    <w:rsid w:val="007D72B6"/>
    <w:rsid w:val="007D7334"/>
    <w:rsid w:val="007D73FB"/>
    <w:rsid w:val="007D778F"/>
    <w:rsid w:val="007D7887"/>
    <w:rsid w:val="007D7918"/>
    <w:rsid w:val="007D79E6"/>
    <w:rsid w:val="007D7A17"/>
    <w:rsid w:val="007D7BBB"/>
    <w:rsid w:val="007D7C12"/>
    <w:rsid w:val="007D7DDB"/>
    <w:rsid w:val="007D7DFE"/>
    <w:rsid w:val="007D7E3A"/>
    <w:rsid w:val="007D7ED3"/>
    <w:rsid w:val="007D7FCB"/>
    <w:rsid w:val="007E006D"/>
    <w:rsid w:val="007E0136"/>
    <w:rsid w:val="007E014C"/>
    <w:rsid w:val="007E019A"/>
    <w:rsid w:val="007E03D9"/>
    <w:rsid w:val="007E0411"/>
    <w:rsid w:val="007E047E"/>
    <w:rsid w:val="007E06BC"/>
    <w:rsid w:val="007E078D"/>
    <w:rsid w:val="007E0838"/>
    <w:rsid w:val="007E0884"/>
    <w:rsid w:val="007E08A8"/>
    <w:rsid w:val="007E09FA"/>
    <w:rsid w:val="007E0C14"/>
    <w:rsid w:val="007E0EE9"/>
    <w:rsid w:val="007E1074"/>
    <w:rsid w:val="007E1114"/>
    <w:rsid w:val="007E1197"/>
    <w:rsid w:val="007E12C5"/>
    <w:rsid w:val="007E12F0"/>
    <w:rsid w:val="007E144C"/>
    <w:rsid w:val="007E14C3"/>
    <w:rsid w:val="007E15C1"/>
    <w:rsid w:val="007E1697"/>
    <w:rsid w:val="007E16F4"/>
    <w:rsid w:val="007E1706"/>
    <w:rsid w:val="007E18E5"/>
    <w:rsid w:val="007E1A4D"/>
    <w:rsid w:val="007E1BB4"/>
    <w:rsid w:val="007E1C18"/>
    <w:rsid w:val="007E1CAC"/>
    <w:rsid w:val="007E1CB4"/>
    <w:rsid w:val="007E1E43"/>
    <w:rsid w:val="007E1FA2"/>
    <w:rsid w:val="007E20C8"/>
    <w:rsid w:val="007E2121"/>
    <w:rsid w:val="007E231A"/>
    <w:rsid w:val="007E2390"/>
    <w:rsid w:val="007E2558"/>
    <w:rsid w:val="007E25EF"/>
    <w:rsid w:val="007E25FC"/>
    <w:rsid w:val="007E2707"/>
    <w:rsid w:val="007E2742"/>
    <w:rsid w:val="007E2775"/>
    <w:rsid w:val="007E2865"/>
    <w:rsid w:val="007E2906"/>
    <w:rsid w:val="007E2974"/>
    <w:rsid w:val="007E29FD"/>
    <w:rsid w:val="007E2A78"/>
    <w:rsid w:val="007E2B19"/>
    <w:rsid w:val="007E2CAD"/>
    <w:rsid w:val="007E2DCB"/>
    <w:rsid w:val="007E316E"/>
    <w:rsid w:val="007E31E9"/>
    <w:rsid w:val="007E34F4"/>
    <w:rsid w:val="007E3544"/>
    <w:rsid w:val="007E357F"/>
    <w:rsid w:val="007E35E7"/>
    <w:rsid w:val="007E363C"/>
    <w:rsid w:val="007E371F"/>
    <w:rsid w:val="007E3831"/>
    <w:rsid w:val="007E38CE"/>
    <w:rsid w:val="007E3A35"/>
    <w:rsid w:val="007E3A6E"/>
    <w:rsid w:val="007E3A87"/>
    <w:rsid w:val="007E3B40"/>
    <w:rsid w:val="007E3C45"/>
    <w:rsid w:val="007E3C6B"/>
    <w:rsid w:val="007E3DF6"/>
    <w:rsid w:val="007E3FC6"/>
    <w:rsid w:val="007E417D"/>
    <w:rsid w:val="007E4253"/>
    <w:rsid w:val="007E4361"/>
    <w:rsid w:val="007E437F"/>
    <w:rsid w:val="007E4384"/>
    <w:rsid w:val="007E43A7"/>
    <w:rsid w:val="007E4472"/>
    <w:rsid w:val="007E46F2"/>
    <w:rsid w:val="007E473D"/>
    <w:rsid w:val="007E4755"/>
    <w:rsid w:val="007E4A44"/>
    <w:rsid w:val="007E4C67"/>
    <w:rsid w:val="007E4CB7"/>
    <w:rsid w:val="007E4DF3"/>
    <w:rsid w:val="007E4E50"/>
    <w:rsid w:val="007E4E55"/>
    <w:rsid w:val="007E4E66"/>
    <w:rsid w:val="007E4FFF"/>
    <w:rsid w:val="007E50CF"/>
    <w:rsid w:val="007E51EB"/>
    <w:rsid w:val="007E5356"/>
    <w:rsid w:val="007E5370"/>
    <w:rsid w:val="007E54C2"/>
    <w:rsid w:val="007E55B5"/>
    <w:rsid w:val="007E56BA"/>
    <w:rsid w:val="007E5784"/>
    <w:rsid w:val="007E57D1"/>
    <w:rsid w:val="007E58D9"/>
    <w:rsid w:val="007E5A29"/>
    <w:rsid w:val="007E5B10"/>
    <w:rsid w:val="007E5B4A"/>
    <w:rsid w:val="007E5B8A"/>
    <w:rsid w:val="007E5DBC"/>
    <w:rsid w:val="007E5FCD"/>
    <w:rsid w:val="007E601D"/>
    <w:rsid w:val="007E6107"/>
    <w:rsid w:val="007E614D"/>
    <w:rsid w:val="007E692C"/>
    <w:rsid w:val="007E6BD5"/>
    <w:rsid w:val="007E6BEA"/>
    <w:rsid w:val="007E6C73"/>
    <w:rsid w:val="007E6C86"/>
    <w:rsid w:val="007E6C89"/>
    <w:rsid w:val="007E6F76"/>
    <w:rsid w:val="007E6F97"/>
    <w:rsid w:val="007E6FD8"/>
    <w:rsid w:val="007E7090"/>
    <w:rsid w:val="007E70C7"/>
    <w:rsid w:val="007E7221"/>
    <w:rsid w:val="007E72B0"/>
    <w:rsid w:val="007E72CE"/>
    <w:rsid w:val="007E7372"/>
    <w:rsid w:val="007E739C"/>
    <w:rsid w:val="007E75B1"/>
    <w:rsid w:val="007E7733"/>
    <w:rsid w:val="007E77A3"/>
    <w:rsid w:val="007E783D"/>
    <w:rsid w:val="007E7AC7"/>
    <w:rsid w:val="007E7AF0"/>
    <w:rsid w:val="007E7CB0"/>
    <w:rsid w:val="007E7CB2"/>
    <w:rsid w:val="007F006B"/>
    <w:rsid w:val="007F01E1"/>
    <w:rsid w:val="007F0447"/>
    <w:rsid w:val="007F0558"/>
    <w:rsid w:val="007F0600"/>
    <w:rsid w:val="007F06F2"/>
    <w:rsid w:val="007F0771"/>
    <w:rsid w:val="007F079E"/>
    <w:rsid w:val="007F0A29"/>
    <w:rsid w:val="007F0A8F"/>
    <w:rsid w:val="007F0D16"/>
    <w:rsid w:val="007F0DAA"/>
    <w:rsid w:val="007F0F3D"/>
    <w:rsid w:val="007F0FC6"/>
    <w:rsid w:val="007F10E1"/>
    <w:rsid w:val="007F1208"/>
    <w:rsid w:val="007F121B"/>
    <w:rsid w:val="007F122A"/>
    <w:rsid w:val="007F12C2"/>
    <w:rsid w:val="007F1460"/>
    <w:rsid w:val="007F1497"/>
    <w:rsid w:val="007F14A2"/>
    <w:rsid w:val="007F1688"/>
    <w:rsid w:val="007F1726"/>
    <w:rsid w:val="007F17A3"/>
    <w:rsid w:val="007F19DE"/>
    <w:rsid w:val="007F1A61"/>
    <w:rsid w:val="007F1E63"/>
    <w:rsid w:val="007F1E94"/>
    <w:rsid w:val="007F214C"/>
    <w:rsid w:val="007F2170"/>
    <w:rsid w:val="007F21AE"/>
    <w:rsid w:val="007F224B"/>
    <w:rsid w:val="007F22C2"/>
    <w:rsid w:val="007F249A"/>
    <w:rsid w:val="007F2542"/>
    <w:rsid w:val="007F25A3"/>
    <w:rsid w:val="007F25E4"/>
    <w:rsid w:val="007F279B"/>
    <w:rsid w:val="007F27D7"/>
    <w:rsid w:val="007F2892"/>
    <w:rsid w:val="007F29FA"/>
    <w:rsid w:val="007F2B5D"/>
    <w:rsid w:val="007F2CAF"/>
    <w:rsid w:val="007F2CFC"/>
    <w:rsid w:val="007F2D7D"/>
    <w:rsid w:val="007F2ED7"/>
    <w:rsid w:val="007F30F7"/>
    <w:rsid w:val="007F318A"/>
    <w:rsid w:val="007F3194"/>
    <w:rsid w:val="007F3199"/>
    <w:rsid w:val="007F3270"/>
    <w:rsid w:val="007F3331"/>
    <w:rsid w:val="007F3525"/>
    <w:rsid w:val="007F3541"/>
    <w:rsid w:val="007F3749"/>
    <w:rsid w:val="007F37B6"/>
    <w:rsid w:val="007F37C7"/>
    <w:rsid w:val="007F3805"/>
    <w:rsid w:val="007F3850"/>
    <w:rsid w:val="007F3877"/>
    <w:rsid w:val="007F38BC"/>
    <w:rsid w:val="007F3963"/>
    <w:rsid w:val="007F396F"/>
    <w:rsid w:val="007F3A01"/>
    <w:rsid w:val="007F3A0A"/>
    <w:rsid w:val="007F3BD6"/>
    <w:rsid w:val="007F3BE3"/>
    <w:rsid w:val="007F3C00"/>
    <w:rsid w:val="007F3EB2"/>
    <w:rsid w:val="007F3F93"/>
    <w:rsid w:val="007F3FC8"/>
    <w:rsid w:val="007F426F"/>
    <w:rsid w:val="007F427D"/>
    <w:rsid w:val="007F42D4"/>
    <w:rsid w:val="007F440F"/>
    <w:rsid w:val="007F4468"/>
    <w:rsid w:val="007F457E"/>
    <w:rsid w:val="007F4639"/>
    <w:rsid w:val="007F4813"/>
    <w:rsid w:val="007F4905"/>
    <w:rsid w:val="007F4909"/>
    <w:rsid w:val="007F49A3"/>
    <w:rsid w:val="007F4A16"/>
    <w:rsid w:val="007F4AC4"/>
    <w:rsid w:val="007F4ADF"/>
    <w:rsid w:val="007F4B4B"/>
    <w:rsid w:val="007F4BDD"/>
    <w:rsid w:val="007F4CCA"/>
    <w:rsid w:val="007F4E42"/>
    <w:rsid w:val="007F4F22"/>
    <w:rsid w:val="007F4F2E"/>
    <w:rsid w:val="007F510C"/>
    <w:rsid w:val="007F5151"/>
    <w:rsid w:val="007F5166"/>
    <w:rsid w:val="007F52B0"/>
    <w:rsid w:val="007F52F8"/>
    <w:rsid w:val="007F5361"/>
    <w:rsid w:val="007F536A"/>
    <w:rsid w:val="007F5425"/>
    <w:rsid w:val="007F55CA"/>
    <w:rsid w:val="007F560F"/>
    <w:rsid w:val="007F598D"/>
    <w:rsid w:val="007F5ACE"/>
    <w:rsid w:val="007F5B54"/>
    <w:rsid w:val="007F5BBD"/>
    <w:rsid w:val="007F5CE6"/>
    <w:rsid w:val="007F6335"/>
    <w:rsid w:val="007F6569"/>
    <w:rsid w:val="007F6622"/>
    <w:rsid w:val="007F6802"/>
    <w:rsid w:val="007F6833"/>
    <w:rsid w:val="007F6927"/>
    <w:rsid w:val="007F6BF6"/>
    <w:rsid w:val="007F6BFA"/>
    <w:rsid w:val="007F6C9A"/>
    <w:rsid w:val="007F6CB9"/>
    <w:rsid w:val="007F6CE1"/>
    <w:rsid w:val="007F6D70"/>
    <w:rsid w:val="007F6DCB"/>
    <w:rsid w:val="007F6E23"/>
    <w:rsid w:val="007F6E3A"/>
    <w:rsid w:val="007F6ECC"/>
    <w:rsid w:val="007F7017"/>
    <w:rsid w:val="007F70A1"/>
    <w:rsid w:val="007F70D3"/>
    <w:rsid w:val="007F71AF"/>
    <w:rsid w:val="007F7211"/>
    <w:rsid w:val="007F7216"/>
    <w:rsid w:val="007F75CF"/>
    <w:rsid w:val="007F75E2"/>
    <w:rsid w:val="007F7613"/>
    <w:rsid w:val="007F769D"/>
    <w:rsid w:val="007F776A"/>
    <w:rsid w:val="007F785D"/>
    <w:rsid w:val="007F78BE"/>
    <w:rsid w:val="007F7A2C"/>
    <w:rsid w:val="007F7A73"/>
    <w:rsid w:val="007F7E9D"/>
    <w:rsid w:val="007F7F18"/>
    <w:rsid w:val="007F7F55"/>
    <w:rsid w:val="007F7F70"/>
    <w:rsid w:val="007F7FE5"/>
    <w:rsid w:val="00800006"/>
    <w:rsid w:val="00800098"/>
    <w:rsid w:val="008001B4"/>
    <w:rsid w:val="008001E6"/>
    <w:rsid w:val="00800248"/>
    <w:rsid w:val="008002E5"/>
    <w:rsid w:val="0080032B"/>
    <w:rsid w:val="0080037A"/>
    <w:rsid w:val="008004E3"/>
    <w:rsid w:val="008005A4"/>
    <w:rsid w:val="008007CE"/>
    <w:rsid w:val="00800A06"/>
    <w:rsid w:val="00800B70"/>
    <w:rsid w:val="00800CB0"/>
    <w:rsid w:val="00801224"/>
    <w:rsid w:val="008012EE"/>
    <w:rsid w:val="0080152D"/>
    <w:rsid w:val="008017A7"/>
    <w:rsid w:val="008017F6"/>
    <w:rsid w:val="008018B4"/>
    <w:rsid w:val="00801B34"/>
    <w:rsid w:val="00801D2A"/>
    <w:rsid w:val="00801D88"/>
    <w:rsid w:val="00801F33"/>
    <w:rsid w:val="00801F4E"/>
    <w:rsid w:val="00801F5B"/>
    <w:rsid w:val="00801F75"/>
    <w:rsid w:val="0080213F"/>
    <w:rsid w:val="00802221"/>
    <w:rsid w:val="008022C3"/>
    <w:rsid w:val="008022D7"/>
    <w:rsid w:val="008024B7"/>
    <w:rsid w:val="0080250C"/>
    <w:rsid w:val="00802773"/>
    <w:rsid w:val="0080292D"/>
    <w:rsid w:val="008029F2"/>
    <w:rsid w:val="00802A21"/>
    <w:rsid w:val="00802A43"/>
    <w:rsid w:val="00802AD1"/>
    <w:rsid w:val="00802B07"/>
    <w:rsid w:val="00802B1D"/>
    <w:rsid w:val="00802B2E"/>
    <w:rsid w:val="00802D3C"/>
    <w:rsid w:val="00802DB7"/>
    <w:rsid w:val="00803353"/>
    <w:rsid w:val="00803415"/>
    <w:rsid w:val="00803571"/>
    <w:rsid w:val="00803638"/>
    <w:rsid w:val="0080368F"/>
    <w:rsid w:val="008036D9"/>
    <w:rsid w:val="0080384E"/>
    <w:rsid w:val="00803AB7"/>
    <w:rsid w:val="00803CC4"/>
    <w:rsid w:val="00803DBD"/>
    <w:rsid w:val="00803E77"/>
    <w:rsid w:val="00804150"/>
    <w:rsid w:val="0080423C"/>
    <w:rsid w:val="00804331"/>
    <w:rsid w:val="00804445"/>
    <w:rsid w:val="008045F1"/>
    <w:rsid w:val="008047B0"/>
    <w:rsid w:val="00804A89"/>
    <w:rsid w:val="00804A8A"/>
    <w:rsid w:val="00804B0F"/>
    <w:rsid w:val="00804B3D"/>
    <w:rsid w:val="00804DB6"/>
    <w:rsid w:val="00804E2C"/>
    <w:rsid w:val="008050AA"/>
    <w:rsid w:val="008050D7"/>
    <w:rsid w:val="008051BC"/>
    <w:rsid w:val="0080527D"/>
    <w:rsid w:val="0080551B"/>
    <w:rsid w:val="0080567C"/>
    <w:rsid w:val="0080572E"/>
    <w:rsid w:val="008057A2"/>
    <w:rsid w:val="0080586C"/>
    <w:rsid w:val="008058DA"/>
    <w:rsid w:val="0080593F"/>
    <w:rsid w:val="00805A15"/>
    <w:rsid w:val="00805CC1"/>
    <w:rsid w:val="00805D35"/>
    <w:rsid w:val="00805E43"/>
    <w:rsid w:val="00805E8E"/>
    <w:rsid w:val="00805FA0"/>
    <w:rsid w:val="00806199"/>
    <w:rsid w:val="00806257"/>
    <w:rsid w:val="0080641F"/>
    <w:rsid w:val="00806430"/>
    <w:rsid w:val="00806506"/>
    <w:rsid w:val="00806735"/>
    <w:rsid w:val="00806821"/>
    <w:rsid w:val="008068C5"/>
    <w:rsid w:val="00806904"/>
    <w:rsid w:val="00806A27"/>
    <w:rsid w:val="00806B3D"/>
    <w:rsid w:val="00806BB7"/>
    <w:rsid w:val="00806C1F"/>
    <w:rsid w:val="00806C59"/>
    <w:rsid w:val="00806C7E"/>
    <w:rsid w:val="00806CB0"/>
    <w:rsid w:val="00806CD0"/>
    <w:rsid w:val="00806CE0"/>
    <w:rsid w:val="00806D85"/>
    <w:rsid w:val="00806DBA"/>
    <w:rsid w:val="00806DC0"/>
    <w:rsid w:val="00806DE6"/>
    <w:rsid w:val="00806E60"/>
    <w:rsid w:val="00806E8E"/>
    <w:rsid w:val="00806F84"/>
    <w:rsid w:val="00807023"/>
    <w:rsid w:val="0080707F"/>
    <w:rsid w:val="008070CB"/>
    <w:rsid w:val="0080714D"/>
    <w:rsid w:val="00807228"/>
    <w:rsid w:val="00807233"/>
    <w:rsid w:val="0080723B"/>
    <w:rsid w:val="00807386"/>
    <w:rsid w:val="008073F7"/>
    <w:rsid w:val="008078FE"/>
    <w:rsid w:val="008079D1"/>
    <w:rsid w:val="008079F5"/>
    <w:rsid w:val="00807A11"/>
    <w:rsid w:val="00807A59"/>
    <w:rsid w:val="00807BAE"/>
    <w:rsid w:val="00807C6C"/>
    <w:rsid w:val="00807EA2"/>
    <w:rsid w:val="00807F15"/>
    <w:rsid w:val="00807F73"/>
    <w:rsid w:val="00807FB0"/>
    <w:rsid w:val="008100E0"/>
    <w:rsid w:val="00810452"/>
    <w:rsid w:val="00810579"/>
    <w:rsid w:val="00810709"/>
    <w:rsid w:val="008108BD"/>
    <w:rsid w:val="00810984"/>
    <w:rsid w:val="0081098A"/>
    <w:rsid w:val="00810A43"/>
    <w:rsid w:val="00810B2F"/>
    <w:rsid w:val="00810B4A"/>
    <w:rsid w:val="00810BD3"/>
    <w:rsid w:val="00810F06"/>
    <w:rsid w:val="00810F3C"/>
    <w:rsid w:val="00810F61"/>
    <w:rsid w:val="00810F70"/>
    <w:rsid w:val="00811003"/>
    <w:rsid w:val="0081102F"/>
    <w:rsid w:val="008110A0"/>
    <w:rsid w:val="008110B7"/>
    <w:rsid w:val="008110F7"/>
    <w:rsid w:val="008114FE"/>
    <w:rsid w:val="00811574"/>
    <w:rsid w:val="008115C0"/>
    <w:rsid w:val="008115D9"/>
    <w:rsid w:val="008115FA"/>
    <w:rsid w:val="008116C6"/>
    <w:rsid w:val="00811983"/>
    <w:rsid w:val="00811BD6"/>
    <w:rsid w:val="00811BEA"/>
    <w:rsid w:val="00811C24"/>
    <w:rsid w:val="00811DF9"/>
    <w:rsid w:val="00811E14"/>
    <w:rsid w:val="00811F7D"/>
    <w:rsid w:val="00811F9B"/>
    <w:rsid w:val="00811FEA"/>
    <w:rsid w:val="00811FFA"/>
    <w:rsid w:val="00812043"/>
    <w:rsid w:val="0081218F"/>
    <w:rsid w:val="008124B2"/>
    <w:rsid w:val="008128BD"/>
    <w:rsid w:val="008128CD"/>
    <w:rsid w:val="00812995"/>
    <w:rsid w:val="00812A5F"/>
    <w:rsid w:val="00812A68"/>
    <w:rsid w:val="00812AE2"/>
    <w:rsid w:val="00812DFA"/>
    <w:rsid w:val="00812FC3"/>
    <w:rsid w:val="008130C3"/>
    <w:rsid w:val="008131BF"/>
    <w:rsid w:val="008133A5"/>
    <w:rsid w:val="0081350A"/>
    <w:rsid w:val="0081365B"/>
    <w:rsid w:val="0081374B"/>
    <w:rsid w:val="008138B1"/>
    <w:rsid w:val="008139C3"/>
    <w:rsid w:val="00813A15"/>
    <w:rsid w:val="00813CB7"/>
    <w:rsid w:val="00813D30"/>
    <w:rsid w:val="00813E38"/>
    <w:rsid w:val="00813E79"/>
    <w:rsid w:val="00813F43"/>
    <w:rsid w:val="00813F75"/>
    <w:rsid w:val="00813FA8"/>
    <w:rsid w:val="008140A4"/>
    <w:rsid w:val="0081423D"/>
    <w:rsid w:val="008143C8"/>
    <w:rsid w:val="008143CE"/>
    <w:rsid w:val="008145B2"/>
    <w:rsid w:val="008145ED"/>
    <w:rsid w:val="008146CB"/>
    <w:rsid w:val="0081475E"/>
    <w:rsid w:val="0081496C"/>
    <w:rsid w:val="00814B7B"/>
    <w:rsid w:val="00814F11"/>
    <w:rsid w:val="008150BD"/>
    <w:rsid w:val="008151A3"/>
    <w:rsid w:val="008152AF"/>
    <w:rsid w:val="00815524"/>
    <w:rsid w:val="00815652"/>
    <w:rsid w:val="008156A0"/>
    <w:rsid w:val="00815772"/>
    <w:rsid w:val="0081582A"/>
    <w:rsid w:val="00815A36"/>
    <w:rsid w:val="00815A81"/>
    <w:rsid w:val="00815A85"/>
    <w:rsid w:val="00815B99"/>
    <w:rsid w:val="00815C11"/>
    <w:rsid w:val="00815C7E"/>
    <w:rsid w:val="00815C95"/>
    <w:rsid w:val="00815CF9"/>
    <w:rsid w:val="0081620C"/>
    <w:rsid w:val="0081623A"/>
    <w:rsid w:val="008162BF"/>
    <w:rsid w:val="008164A5"/>
    <w:rsid w:val="0081653A"/>
    <w:rsid w:val="0081659F"/>
    <w:rsid w:val="008165BD"/>
    <w:rsid w:val="00816635"/>
    <w:rsid w:val="00816771"/>
    <w:rsid w:val="008167EE"/>
    <w:rsid w:val="00816880"/>
    <w:rsid w:val="00816C1B"/>
    <w:rsid w:val="00816EAE"/>
    <w:rsid w:val="00816FF6"/>
    <w:rsid w:val="0081705F"/>
    <w:rsid w:val="00817070"/>
    <w:rsid w:val="008172FB"/>
    <w:rsid w:val="008173E6"/>
    <w:rsid w:val="00817536"/>
    <w:rsid w:val="00817697"/>
    <w:rsid w:val="008178EB"/>
    <w:rsid w:val="008179F6"/>
    <w:rsid w:val="00817BF2"/>
    <w:rsid w:val="00817C99"/>
    <w:rsid w:val="00817D5F"/>
    <w:rsid w:val="00817DDC"/>
    <w:rsid w:val="00817E38"/>
    <w:rsid w:val="008201F5"/>
    <w:rsid w:val="00820291"/>
    <w:rsid w:val="00820391"/>
    <w:rsid w:val="008203B2"/>
    <w:rsid w:val="008203FC"/>
    <w:rsid w:val="00820410"/>
    <w:rsid w:val="008204F0"/>
    <w:rsid w:val="00820780"/>
    <w:rsid w:val="00820797"/>
    <w:rsid w:val="008208EB"/>
    <w:rsid w:val="00820A88"/>
    <w:rsid w:val="00820C1E"/>
    <w:rsid w:val="00820CAD"/>
    <w:rsid w:val="00820EB1"/>
    <w:rsid w:val="00820EE8"/>
    <w:rsid w:val="008210C4"/>
    <w:rsid w:val="008212FE"/>
    <w:rsid w:val="00821318"/>
    <w:rsid w:val="008213FC"/>
    <w:rsid w:val="0082140E"/>
    <w:rsid w:val="00821454"/>
    <w:rsid w:val="008214A6"/>
    <w:rsid w:val="00821506"/>
    <w:rsid w:val="0082150A"/>
    <w:rsid w:val="008217B8"/>
    <w:rsid w:val="008218BD"/>
    <w:rsid w:val="008218ED"/>
    <w:rsid w:val="00821907"/>
    <w:rsid w:val="008219CB"/>
    <w:rsid w:val="008219D5"/>
    <w:rsid w:val="008219EF"/>
    <w:rsid w:val="00821B5F"/>
    <w:rsid w:val="00821B9C"/>
    <w:rsid w:val="00821BDF"/>
    <w:rsid w:val="00821C52"/>
    <w:rsid w:val="00821C87"/>
    <w:rsid w:val="00821C8F"/>
    <w:rsid w:val="00821E62"/>
    <w:rsid w:val="00821F21"/>
    <w:rsid w:val="0082202B"/>
    <w:rsid w:val="008220EB"/>
    <w:rsid w:val="008221E7"/>
    <w:rsid w:val="0082232C"/>
    <w:rsid w:val="0082236A"/>
    <w:rsid w:val="008224AF"/>
    <w:rsid w:val="008227EC"/>
    <w:rsid w:val="008228CB"/>
    <w:rsid w:val="00822994"/>
    <w:rsid w:val="00822BAB"/>
    <w:rsid w:val="00822D66"/>
    <w:rsid w:val="00822D9B"/>
    <w:rsid w:val="00822F41"/>
    <w:rsid w:val="00822F94"/>
    <w:rsid w:val="0082306A"/>
    <w:rsid w:val="008230A1"/>
    <w:rsid w:val="008231E7"/>
    <w:rsid w:val="0082321E"/>
    <w:rsid w:val="0082347D"/>
    <w:rsid w:val="008234A3"/>
    <w:rsid w:val="008236A1"/>
    <w:rsid w:val="0082385C"/>
    <w:rsid w:val="00823A38"/>
    <w:rsid w:val="00823A8E"/>
    <w:rsid w:val="00823AFB"/>
    <w:rsid w:val="00823B72"/>
    <w:rsid w:val="00823C39"/>
    <w:rsid w:val="00823C9A"/>
    <w:rsid w:val="00823CF2"/>
    <w:rsid w:val="00823DD2"/>
    <w:rsid w:val="00823E26"/>
    <w:rsid w:val="00823F64"/>
    <w:rsid w:val="00823FD0"/>
    <w:rsid w:val="00824066"/>
    <w:rsid w:val="00824169"/>
    <w:rsid w:val="008242C5"/>
    <w:rsid w:val="00824314"/>
    <w:rsid w:val="008243D2"/>
    <w:rsid w:val="00824523"/>
    <w:rsid w:val="0082453F"/>
    <w:rsid w:val="0082454D"/>
    <w:rsid w:val="00824880"/>
    <w:rsid w:val="0082499C"/>
    <w:rsid w:val="008249BA"/>
    <w:rsid w:val="00824B46"/>
    <w:rsid w:val="00824D6B"/>
    <w:rsid w:val="00824E4B"/>
    <w:rsid w:val="0082510E"/>
    <w:rsid w:val="008251B4"/>
    <w:rsid w:val="008251D2"/>
    <w:rsid w:val="0082526E"/>
    <w:rsid w:val="008252B3"/>
    <w:rsid w:val="008252EB"/>
    <w:rsid w:val="0082547A"/>
    <w:rsid w:val="00825516"/>
    <w:rsid w:val="00825537"/>
    <w:rsid w:val="008255AC"/>
    <w:rsid w:val="008255B0"/>
    <w:rsid w:val="008256B8"/>
    <w:rsid w:val="0082576E"/>
    <w:rsid w:val="008257BE"/>
    <w:rsid w:val="00825805"/>
    <w:rsid w:val="00825BA6"/>
    <w:rsid w:val="00825D3C"/>
    <w:rsid w:val="00825EBE"/>
    <w:rsid w:val="008260D9"/>
    <w:rsid w:val="008262F9"/>
    <w:rsid w:val="008263A2"/>
    <w:rsid w:val="00826438"/>
    <w:rsid w:val="00826474"/>
    <w:rsid w:val="00826557"/>
    <w:rsid w:val="00826573"/>
    <w:rsid w:val="00826588"/>
    <w:rsid w:val="0082658D"/>
    <w:rsid w:val="00826614"/>
    <w:rsid w:val="008266E5"/>
    <w:rsid w:val="0082671F"/>
    <w:rsid w:val="0082679E"/>
    <w:rsid w:val="00826887"/>
    <w:rsid w:val="00826AF4"/>
    <w:rsid w:val="00826AF8"/>
    <w:rsid w:val="00826B53"/>
    <w:rsid w:val="00826DBC"/>
    <w:rsid w:val="00826DD4"/>
    <w:rsid w:val="00826EB0"/>
    <w:rsid w:val="00826FCE"/>
    <w:rsid w:val="00827033"/>
    <w:rsid w:val="00827261"/>
    <w:rsid w:val="0082734D"/>
    <w:rsid w:val="008273DA"/>
    <w:rsid w:val="00827407"/>
    <w:rsid w:val="0082752F"/>
    <w:rsid w:val="008275C3"/>
    <w:rsid w:val="008275D6"/>
    <w:rsid w:val="0082762F"/>
    <w:rsid w:val="0082769B"/>
    <w:rsid w:val="008276C6"/>
    <w:rsid w:val="008278BF"/>
    <w:rsid w:val="008278C7"/>
    <w:rsid w:val="008279B8"/>
    <w:rsid w:val="00827A5B"/>
    <w:rsid w:val="00827A96"/>
    <w:rsid w:val="00827ADF"/>
    <w:rsid w:val="00827E81"/>
    <w:rsid w:val="00827F70"/>
    <w:rsid w:val="008301C5"/>
    <w:rsid w:val="0083025C"/>
    <w:rsid w:val="00830304"/>
    <w:rsid w:val="008305D4"/>
    <w:rsid w:val="008309B7"/>
    <w:rsid w:val="00830A69"/>
    <w:rsid w:val="00830ABD"/>
    <w:rsid w:val="00830C69"/>
    <w:rsid w:val="00830C6B"/>
    <w:rsid w:val="00830C90"/>
    <w:rsid w:val="00830CC5"/>
    <w:rsid w:val="00830D69"/>
    <w:rsid w:val="00830E4A"/>
    <w:rsid w:val="00831187"/>
    <w:rsid w:val="00831299"/>
    <w:rsid w:val="008312E9"/>
    <w:rsid w:val="00831300"/>
    <w:rsid w:val="0083147D"/>
    <w:rsid w:val="00831506"/>
    <w:rsid w:val="008316B4"/>
    <w:rsid w:val="0083176C"/>
    <w:rsid w:val="00831AC2"/>
    <w:rsid w:val="00831C5B"/>
    <w:rsid w:val="00831DFF"/>
    <w:rsid w:val="00831E2F"/>
    <w:rsid w:val="00831EFC"/>
    <w:rsid w:val="00832059"/>
    <w:rsid w:val="0083240F"/>
    <w:rsid w:val="008324AD"/>
    <w:rsid w:val="00832639"/>
    <w:rsid w:val="00832661"/>
    <w:rsid w:val="008326BC"/>
    <w:rsid w:val="008326C1"/>
    <w:rsid w:val="0083271C"/>
    <w:rsid w:val="008329B2"/>
    <w:rsid w:val="00832A74"/>
    <w:rsid w:val="00832AD1"/>
    <w:rsid w:val="00832AFD"/>
    <w:rsid w:val="00832D65"/>
    <w:rsid w:val="00832E3B"/>
    <w:rsid w:val="00832F7E"/>
    <w:rsid w:val="00833137"/>
    <w:rsid w:val="00833214"/>
    <w:rsid w:val="00833318"/>
    <w:rsid w:val="00833480"/>
    <w:rsid w:val="00833725"/>
    <w:rsid w:val="0083382B"/>
    <w:rsid w:val="00833AB1"/>
    <w:rsid w:val="00833CCA"/>
    <w:rsid w:val="00833D0A"/>
    <w:rsid w:val="00833D7F"/>
    <w:rsid w:val="00833E2B"/>
    <w:rsid w:val="00833E52"/>
    <w:rsid w:val="00833EA4"/>
    <w:rsid w:val="008340CF"/>
    <w:rsid w:val="0083448B"/>
    <w:rsid w:val="008344B2"/>
    <w:rsid w:val="008349CA"/>
    <w:rsid w:val="00834B94"/>
    <w:rsid w:val="00834B98"/>
    <w:rsid w:val="00834C3B"/>
    <w:rsid w:val="00834D03"/>
    <w:rsid w:val="00834D20"/>
    <w:rsid w:val="00834D2F"/>
    <w:rsid w:val="00834D7F"/>
    <w:rsid w:val="00834E92"/>
    <w:rsid w:val="00834EBD"/>
    <w:rsid w:val="00834FCA"/>
    <w:rsid w:val="00835072"/>
    <w:rsid w:val="00835273"/>
    <w:rsid w:val="00835333"/>
    <w:rsid w:val="00835391"/>
    <w:rsid w:val="008354C1"/>
    <w:rsid w:val="00835600"/>
    <w:rsid w:val="00835636"/>
    <w:rsid w:val="00835682"/>
    <w:rsid w:val="0083571B"/>
    <w:rsid w:val="00835727"/>
    <w:rsid w:val="008357B8"/>
    <w:rsid w:val="00835881"/>
    <w:rsid w:val="00835A9D"/>
    <w:rsid w:val="00835B61"/>
    <w:rsid w:val="00835C69"/>
    <w:rsid w:val="00835EBD"/>
    <w:rsid w:val="00835FCF"/>
    <w:rsid w:val="008360DA"/>
    <w:rsid w:val="008361C9"/>
    <w:rsid w:val="00836451"/>
    <w:rsid w:val="008364BE"/>
    <w:rsid w:val="00836535"/>
    <w:rsid w:val="00836661"/>
    <w:rsid w:val="008367A6"/>
    <w:rsid w:val="00836947"/>
    <w:rsid w:val="00836A89"/>
    <w:rsid w:val="00836AA0"/>
    <w:rsid w:val="00836BB2"/>
    <w:rsid w:val="00836C1F"/>
    <w:rsid w:val="00836D1A"/>
    <w:rsid w:val="00836DCA"/>
    <w:rsid w:val="00836E84"/>
    <w:rsid w:val="00836E8B"/>
    <w:rsid w:val="008371D9"/>
    <w:rsid w:val="00837360"/>
    <w:rsid w:val="008375CE"/>
    <w:rsid w:val="00837693"/>
    <w:rsid w:val="0083771D"/>
    <w:rsid w:val="008379F0"/>
    <w:rsid w:val="00837B52"/>
    <w:rsid w:val="00837C51"/>
    <w:rsid w:val="00837D80"/>
    <w:rsid w:val="00837E5C"/>
    <w:rsid w:val="00837E7C"/>
    <w:rsid w:val="00837FCF"/>
    <w:rsid w:val="0084000C"/>
    <w:rsid w:val="00840044"/>
    <w:rsid w:val="008402FE"/>
    <w:rsid w:val="00840332"/>
    <w:rsid w:val="008403B3"/>
    <w:rsid w:val="008403C5"/>
    <w:rsid w:val="0084044C"/>
    <w:rsid w:val="00840470"/>
    <w:rsid w:val="0084048E"/>
    <w:rsid w:val="00840587"/>
    <w:rsid w:val="00840693"/>
    <w:rsid w:val="008407D7"/>
    <w:rsid w:val="0084083B"/>
    <w:rsid w:val="00840BBC"/>
    <w:rsid w:val="00840CAD"/>
    <w:rsid w:val="00840D1F"/>
    <w:rsid w:val="00840DD7"/>
    <w:rsid w:val="00840E3B"/>
    <w:rsid w:val="00840E3D"/>
    <w:rsid w:val="008410D3"/>
    <w:rsid w:val="008410F9"/>
    <w:rsid w:val="00841108"/>
    <w:rsid w:val="00841112"/>
    <w:rsid w:val="0084121A"/>
    <w:rsid w:val="0084123D"/>
    <w:rsid w:val="00841373"/>
    <w:rsid w:val="008414FE"/>
    <w:rsid w:val="008415F7"/>
    <w:rsid w:val="008416C8"/>
    <w:rsid w:val="00841794"/>
    <w:rsid w:val="0084180F"/>
    <w:rsid w:val="008418A1"/>
    <w:rsid w:val="00841961"/>
    <w:rsid w:val="0084199E"/>
    <w:rsid w:val="00841DB4"/>
    <w:rsid w:val="00841FE7"/>
    <w:rsid w:val="00842134"/>
    <w:rsid w:val="00842206"/>
    <w:rsid w:val="008422C0"/>
    <w:rsid w:val="008423C8"/>
    <w:rsid w:val="008423DE"/>
    <w:rsid w:val="0084243D"/>
    <w:rsid w:val="00842481"/>
    <w:rsid w:val="008425A1"/>
    <w:rsid w:val="00842680"/>
    <w:rsid w:val="00842683"/>
    <w:rsid w:val="00842685"/>
    <w:rsid w:val="008426B1"/>
    <w:rsid w:val="008428DC"/>
    <w:rsid w:val="00842A35"/>
    <w:rsid w:val="00842A87"/>
    <w:rsid w:val="00842AED"/>
    <w:rsid w:val="00842B74"/>
    <w:rsid w:val="00842BB8"/>
    <w:rsid w:val="00842BFB"/>
    <w:rsid w:val="00842C32"/>
    <w:rsid w:val="00842D9F"/>
    <w:rsid w:val="00842E81"/>
    <w:rsid w:val="00842EF1"/>
    <w:rsid w:val="0084313C"/>
    <w:rsid w:val="0084324A"/>
    <w:rsid w:val="008433CB"/>
    <w:rsid w:val="0084342B"/>
    <w:rsid w:val="00843471"/>
    <w:rsid w:val="00843581"/>
    <w:rsid w:val="008435A4"/>
    <w:rsid w:val="00843619"/>
    <w:rsid w:val="00843801"/>
    <w:rsid w:val="00843843"/>
    <w:rsid w:val="008438BB"/>
    <w:rsid w:val="00843914"/>
    <w:rsid w:val="00843922"/>
    <w:rsid w:val="00843AFC"/>
    <w:rsid w:val="00843B84"/>
    <w:rsid w:val="00843BB4"/>
    <w:rsid w:val="00843C15"/>
    <w:rsid w:val="00843CD7"/>
    <w:rsid w:val="00843D6E"/>
    <w:rsid w:val="00843EDC"/>
    <w:rsid w:val="00843EEF"/>
    <w:rsid w:val="008440BE"/>
    <w:rsid w:val="008440ED"/>
    <w:rsid w:val="008441B3"/>
    <w:rsid w:val="008441CD"/>
    <w:rsid w:val="008443E0"/>
    <w:rsid w:val="008443E9"/>
    <w:rsid w:val="0084459E"/>
    <w:rsid w:val="0084461D"/>
    <w:rsid w:val="00844751"/>
    <w:rsid w:val="00844902"/>
    <w:rsid w:val="0084491E"/>
    <w:rsid w:val="00844998"/>
    <w:rsid w:val="008449CF"/>
    <w:rsid w:val="00844B3B"/>
    <w:rsid w:val="00844B9F"/>
    <w:rsid w:val="00844BE1"/>
    <w:rsid w:val="00844CAA"/>
    <w:rsid w:val="00844DCE"/>
    <w:rsid w:val="00844DF0"/>
    <w:rsid w:val="00844EA2"/>
    <w:rsid w:val="00844F71"/>
    <w:rsid w:val="00844FB9"/>
    <w:rsid w:val="0084516C"/>
    <w:rsid w:val="0084545C"/>
    <w:rsid w:val="00845481"/>
    <w:rsid w:val="00845610"/>
    <w:rsid w:val="00845761"/>
    <w:rsid w:val="00845862"/>
    <w:rsid w:val="00845942"/>
    <w:rsid w:val="00845A14"/>
    <w:rsid w:val="00845A79"/>
    <w:rsid w:val="00845BD8"/>
    <w:rsid w:val="00845C87"/>
    <w:rsid w:val="00845D34"/>
    <w:rsid w:val="00845E9B"/>
    <w:rsid w:val="0084618D"/>
    <w:rsid w:val="0084636A"/>
    <w:rsid w:val="008466E2"/>
    <w:rsid w:val="00846818"/>
    <w:rsid w:val="00846AF6"/>
    <w:rsid w:val="00846C56"/>
    <w:rsid w:val="00846CC1"/>
    <w:rsid w:val="00847175"/>
    <w:rsid w:val="0084724E"/>
    <w:rsid w:val="008472B5"/>
    <w:rsid w:val="00847435"/>
    <w:rsid w:val="00847626"/>
    <w:rsid w:val="00847644"/>
    <w:rsid w:val="008477DD"/>
    <w:rsid w:val="00847890"/>
    <w:rsid w:val="008479BF"/>
    <w:rsid w:val="008479CA"/>
    <w:rsid w:val="00847A9B"/>
    <w:rsid w:val="00847ADE"/>
    <w:rsid w:val="00847E6A"/>
    <w:rsid w:val="00847F4D"/>
    <w:rsid w:val="00850134"/>
    <w:rsid w:val="00850264"/>
    <w:rsid w:val="008502A0"/>
    <w:rsid w:val="00850408"/>
    <w:rsid w:val="00850639"/>
    <w:rsid w:val="008506F5"/>
    <w:rsid w:val="0085079E"/>
    <w:rsid w:val="008507F0"/>
    <w:rsid w:val="008509DD"/>
    <w:rsid w:val="00850A48"/>
    <w:rsid w:val="00850BAD"/>
    <w:rsid w:val="00850BF5"/>
    <w:rsid w:val="00850D19"/>
    <w:rsid w:val="00850DD1"/>
    <w:rsid w:val="00850EA5"/>
    <w:rsid w:val="00850F6A"/>
    <w:rsid w:val="00850FA7"/>
    <w:rsid w:val="00850FF0"/>
    <w:rsid w:val="00851042"/>
    <w:rsid w:val="008512AE"/>
    <w:rsid w:val="0085143F"/>
    <w:rsid w:val="00851849"/>
    <w:rsid w:val="00851889"/>
    <w:rsid w:val="008518AC"/>
    <w:rsid w:val="008518E7"/>
    <w:rsid w:val="008519C8"/>
    <w:rsid w:val="00851AED"/>
    <w:rsid w:val="00851C7C"/>
    <w:rsid w:val="00851D32"/>
    <w:rsid w:val="00851F29"/>
    <w:rsid w:val="00851F63"/>
    <w:rsid w:val="00852027"/>
    <w:rsid w:val="0085206D"/>
    <w:rsid w:val="00852125"/>
    <w:rsid w:val="00852147"/>
    <w:rsid w:val="008522C4"/>
    <w:rsid w:val="0085252B"/>
    <w:rsid w:val="00852647"/>
    <w:rsid w:val="0085265C"/>
    <w:rsid w:val="008526D9"/>
    <w:rsid w:val="008526F4"/>
    <w:rsid w:val="0085273E"/>
    <w:rsid w:val="0085274E"/>
    <w:rsid w:val="00852759"/>
    <w:rsid w:val="008528A6"/>
    <w:rsid w:val="00852A17"/>
    <w:rsid w:val="00852A20"/>
    <w:rsid w:val="00852A79"/>
    <w:rsid w:val="00852A85"/>
    <w:rsid w:val="00852B31"/>
    <w:rsid w:val="00852B75"/>
    <w:rsid w:val="00852BA5"/>
    <w:rsid w:val="00852C03"/>
    <w:rsid w:val="00852C92"/>
    <w:rsid w:val="00852D47"/>
    <w:rsid w:val="00852F9E"/>
    <w:rsid w:val="00853274"/>
    <w:rsid w:val="008532C7"/>
    <w:rsid w:val="00853334"/>
    <w:rsid w:val="00853370"/>
    <w:rsid w:val="008533FA"/>
    <w:rsid w:val="00853628"/>
    <w:rsid w:val="008536AA"/>
    <w:rsid w:val="008536BB"/>
    <w:rsid w:val="00853746"/>
    <w:rsid w:val="0085374B"/>
    <w:rsid w:val="00853799"/>
    <w:rsid w:val="008537FE"/>
    <w:rsid w:val="008538E8"/>
    <w:rsid w:val="0085391A"/>
    <w:rsid w:val="00853A42"/>
    <w:rsid w:val="00853E25"/>
    <w:rsid w:val="00853E33"/>
    <w:rsid w:val="00853E64"/>
    <w:rsid w:val="00854037"/>
    <w:rsid w:val="008541F6"/>
    <w:rsid w:val="00854325"/>
    <w:rsid w:val="0085441F"/>
    <w:rsid w:val="00854498"/>
    <w:rsid w:val="0085452E"/>
    <w:rsid w:val="00854579"/>
    <w:rsid w:val="0085457F"/>
    <w:rsid w:val="00854753"/>
    <w:rsid w:val="00854756"/>
    <w:rsid w:val="0085477C"/>
    <w:rsid w:val="0085487D"/>
    <w:rsid w:val="0085496F"/>
    <w:rsid w:val="008549C6"/>
    <w:rsid w:val="00854ED4"/>
    <w:rsid w:val="008550C5"/>
    <w:rsid w:val="008550C6"/>
    <w:rsid w:val="0085512F"/>
    <w:rsid w:val="00855173"/>
    <w:rsid w:val="00855219"/>
    <w:rsid w:val="0085529D"/>
    <w:rsid w:val="00855420"/>
    <w:rsid w:val="008554AE"/>
    <w:rsid w:val="008555D0"/>
    <w:rsid w:val="008556AC"/>
    <w:rsid w:val="00855803"/>
    <w:rsid w:val="00855B3D"/>
    <w:rsid w:val="00855C32"/>
    <w:rsid w:val="00855CC4"/>
    <w:rsid w:val="00855EAD"/>
    <w:rsid w:val="0085607B"/>
    <w:rsid w:val="00856281"/>
    <w:rsid w:val="0085631D"/>
    <w:rsid w:val="008563D3"/>
    <w:rsid w:val="008564C5"/>
    <w:rsid w:val="008565BC"/>
    <w:rsid w:val="00856697"/>
    <w:rsid w:val="008567B3"/>
    <w:rsid w:val="00856961"/>
    <w:rsid w:val="00856AD3"/>
    <w:rsid w:val="00856B3D"/>
    <w:rsid w:val="00856BB6"/>
    <w:rsid w:val="00856C14"/>
    <w:rsid w:val="00856CCA"/>
    <w:rsid w:val="00856CFA"/>
    <w:rsid w:val="00856D3C"/>
    <w:rsid w:val="00856D8D"/>
    <w:rsid w:val="00856D9E"/>
    <w:rsid w:val="00856F8D"/>
    <w:rsid w:val="00857098"/>
    <w:rsid w:val="00857155"/>
    <w:rsid w:val="008572FB"/>
    <w:rsid w:val="00857409"/>
    <w:rsid w:val="008574A0"/>
    <w:rsid w:val="008574BC"/>
    <w:rsid w:val="00857803"/>
    <w:rsid w:val="0085786C"/>
    <w:rsid w:val="0085788E"/>
    <w:rsid w:val="00857CE3"/>
    <w:rsid w:val="00857E6F"/>
    <w:rsid w:val="00857F0A"/>
    <w:rsid w:val="00857F18"/>
    <w:rsid w:val="0086017A"/>
    <w:rsid w:val="00860210"/>
    <w:rsid w:val="008602B7"/>
    <w:rsid w:val="00860313"/>
    <w:rsid w:val="008603A8"/>
    <w:rsid w:val="0086054F"/>
    <w:rsid w:val="008605A4"/>
    <w:rsid w:val="008605BD"/>
    <w:rsid w:val="008606A2"/>
    <w:rsid w:val="008606BE"/>
    <w:rsid w:val="0086089A"/>
    <w:rsid w:val="008608E8"/>
    <w:rsid w:val="00860A60"/>
    <w:rsid w:val="00860A81"/>
    <w:rsid w:val="00860CB2"/>
    <w:rsid w:val="00860CF1"/>
    <w:rsid w:val="00860DD1"/>
    <w:rsid w:val="00860E61"/>
    <w:rsid w:val="00860E8C"/>
    <w:rsid w:val="00861064"/>
    <w:rsid w:val="00861174"/>
    <w:rsid w:val="008611DD"/>
    <w:rsid w:val="00861721"/>
    <w:rsid w:val="00861804"/>
    <w:rsid w:val="008618E2"/>
    <w:rsid w:val="00861924"/>
    <w:rsid w:val="00861A74"/>
    <w:rsid w:val="00861C05"/>
    <w:rsid w:val="00861C3D"/>
    <w:rsid w:val="00861F76"/>
    <w:rsid w:val="00861FDA"/>
    <w:rsid w:val="00861FF4"/>
    <w:rsid w:val="0086219F"/>
    <w:rsid w:val="008621CB"/>
    <w:rsid w:val="008621CD"/>
    <w:rsid w:val="0086246B"/>
    <w:rsid w:val="008625BE"/>
    <w:rsid w:val="00862620"/>
    <w:rsid w:val="008626AA"/>
    <w:rsid w:val="008626E1"/>
    <w:rsid w:val="00862721"/>
    <w:rsid w:val="008628B3"/>
    <w:rsid w:val="00862970"/>
    <w:rsid w:val="00862A3C"/>
    <w:rsid w:val="00862BAB"/>
    <w:rsid w:val="00862BC6"/>
    <w:rsid w:val="00862D78"/>
    <w:rsid w:val="00862D88"/>
    <w:rsid w:val="00862DA0"/>
    <w:rsid w:val="00862F8D"/>
    <w:rsid w:val="0086307E"/>
    <w:rsid w:val="00863089"/>
    <w:rsid w:val="00863224"/>
    <w:rsid w:val="008634AE"/>
    <w:rsid w:val="008634C7"/>
    <w:rsid w:val="0086355F"/>
    <w:rsid w:val="00863774"/>
    <w:rsid w:val="00863971"/>
    <w:rsid w:val="00863B7F"/>
    <w:rsid w:val="00863D71"/>
    <w:rsid w:val="00863EB5"/>
    <w:rsid w:val="00863ED9"/>
    <w:rsid w:val="00863F0B"/>
    <w:rsid w:val="00864054"/>
    <w:rsid w:val="008640C7"/>
    <w:rsid w:val="0086414A"/>
    <w:rsid w:val="00864227"/>
    <w:rsid w:val="00864302"/>
    <w:rsid w:val="00864450"/>
    <w:rsid w:val="0086461F"/>
    <w:rsid w:val="00864997"/>
    <w:rsid w:val="00864A12"/>
    <w:rsid w:val="00864A15"/>
    <w:rsid w:val="00864A72"/>
    <w:rsid w:val="00864A87"/>
    <w:rsid w:val="00864AC5"/>
    <w:rsid w:val="00864B48"/>
    <w:rsid w:val="00864BD2"/>
    <w:rsid w:val="00864EC2"/>
    <w:rsid w:val="00864F4D"/>
    <w:rsid w:val="008651F4"/>
    <w:rsid w:val="008653F5"/>
    <w:rsid w:val="00865522"/>
    <w:rsid w:val="0086587E"/>
    <w:rsid w:val="0086593E"/>
    <w:rsid w:val="0086598E"/>
    <w:rsid w:val="00865A1B"/>
    <w:rsid w:val="00865A27"/>
    <w:rsid w:val="00865BC0"/>
    <w:rsid w:val="00865C85"/>
    <w:rsid w:val="00865FF4"/>
    <w:rsid w:val="00866104"/>
    <w:rsid w:val="00866135"/>
    <w:rsid w:val="0086621C"/>
    <w:rsid w:val="00866221"/>
    <w:rsid w:val="0086622B"/>
    <w:rsid w:val="00866262"/>
    <w:rsid w:val="008663FD"/>
    <w:rsid w:val="00866608"/>
    <w:rsid w:val="00866760"/>
    <w:rsid w:val="008667BC"/>
    <w:rsid w:val="00866A24"/>
    <w:rsid w:val="00866A91"/>
    <w:rsid w:val="00866B1D"/>
    <w:rsid w:val="00866C2C"/>
    <w:rsid w:val="00866C89"/>
    <w:rsid w:val="00866E86"/>
    <w:rsid w:val="0086711C"/>
    <w:rsid w:val="008676B4"/>
    <w:rsid w:val="008676F9"/>
    <w:rsid w:val="00867766"/>
    <w:rsid w:val="0086782D"/>
    <w:rsid w:val="00867937"/>
    <w:rsid w:val="00867BBB"/>
    <w:rsid w:val="00867CAD"/>
    <w:rsid w:val="00867D0C"/>
    <w:rsid w:val="00867E25"/>
    <w:rsid w:val="00867E41"/>
    <w:rsid w:val="00870192"/>
    <w:rsid w:val="008701E4"/>
    <w:rsid w:val="008702DD"/>
    <w:rsid w:val="008702F8"/>
    <w:rsid w:val="0087031E"/>
    <w:rsid w:val="00870339"/>
    <w:rsid w:val="00870366"/>
    <w:rsid w:val="0087038C"/>
    <w:rsid w:val="00870493"/>
    <w:rsid w:val="00870970"/>
    <w:rsid w:val="00870BFF"/>
    <w:rsid w:val="00870C9D"/>
    <w:rsid w:val="00870D2D"/>
    <w:rsid w:val="00870D30"/>
    <w:rsid w:val="00870DC1"/>
    <w:rsid w:val="00870E12"/>
    <w:rsid w:val="00870EBB"/>
    <w:rsid w:val="00870EFB"/>
    <w:rsid w:val="00870F0F"/>
    <w:rsid w:val="00870FDB"/>
    <w:rsid w:val="00870FE2"/>
    <w:rsid w:val="0087109E"/>
    <w:rsid w:val="008710EB"/>
    <w:rsid w:val="008711E5"/>
    <w:rsid w:val="00871260"/>
    <w:rsid w:val="008712F5"/>
    <w:rsid w:val="00871345"/>
    <w:rsid w:val="0087165D"/>
    <w:rsid w:val="00871752"/>
    <w:rsid w:val="00871835"/>
    <w:rsid w:val="00871969"/>
    <w:rsid w:val="00871A5B"/>
    <w:rsid w:val="00871A89"/>
    <w:rsid w:val="00871AB5"/>
    <w:rsid w:val="00871B3A"/>
    <w:rsid w:val="00871B7A"/>
    <w:rsid w:val="00871C4D"/>
    <w:rsid w:val="00871C5C"/>
    <w:rsid w:val="00871D67"/>
    <w:rsid w:val="00871DDE"/>
    <w:rsid w:val="00871FCA"/>
    <w:rsid w:val="00872213"/>
    <w:rsid w:val="0087223A"/>
    <w:rsid w:val="00872323"/>
    <w:rsid w:val="00872395"/>
    <w:rsid w:val="00872790"/>
    <w:rsid w:val="0087282F"/>
    <w:rsid w:val="008728AB"/>
    <w:rsid w:val="00872913"/>
    <w:rsid w:val="0087296A"/>
    <w:rsid w:val="00872C14"/>
    <w:rsid w:val="00872C29"/>
    <w:rsid w:val="00872CFC"/>
    <w:rsid w:val="00872E25"/>
    <w:rsid w:val="00872FF1"/>
    <w:rsid w:val="008730FC"/>
    <w:rsid w:val="00873297"/>
    <w:rsid w:val="008732C3"/>
    <w:rsid w:val="008734A5"/>
    <w:rsid w:val="008736C2"/>
    <w:rsid w:val="008737C4"/>
    <w:rsid w:val="008738ED"/>
    <w:rsid w:val="00873BDD"/>
    <w:rsid w:val="00873CD1"/>
    <w:rsid w:val="00873FEF"/>
    <w:rsid w:val="008740A0"/>
    <w:rsid w:val="008742B1"/>
    <w:rsid w:val="008744BA"/>
    <w:rsid w:val="00874546"/>
    <w:rsid w:val="008745F7"/>
    <w:rsid w:val="008746DC"/>
    <w:rsid w:val="008746F7"/>
    <w:rsid w:val="00874AA4"/>
    <w:rsid w:val="00874BAC"/>
    <w:rsid w:val="00874CD4"/>
    <w:rsid w:val="00874D03"/>
    <w:rsid w:val="00874D2C"/>
    <w:rsid w:val="00874D3F"/>
    <w:rsid w:val="00874D6A"/>
    <w:rsid w:val="00874DC9"/>
    <w:rsid w:val="00874E29"/>
    <w:rsid w:val="0087501C"/>
    <w:rsid w:val="00875096"/>
    <w:rsid w:val="008750CB"/>
    <w:rsid w:val="00875101"/>
    <w:rsid w:val="0087514E"/>
    <w:rsid w:val="008753CE"/>
    <w:rsid w:val="00875519"/>
    <w:rsid w:val="00875640"/>
    <w:rsid w:val="008756B7"/>
    <w:rsid w:val="008756E3"/>
    <w:rsid w:val="0087576E"/>
    <w:rsid w:val="00875791"/>
    <w:rsid w:val="00875833"/>
    <w:rsid w:val="008758B9"/>
    <w:rsid w:val="008759E4"/>
    <w:rsid w:val="00875A26"/>
    <w:rsid w:val="00875AA5"/>
    <w:rsid w:val="00875E40"/>
    <w:rsid w:val="00875E4A"/>
    <w:rsid w:val="008760AE"/>
    <w:rsid w:val="008760AF"/>
    <w:rsid w:val="008761DE"/>
    <w:rsid w:val="0087636B"/>
    <w:rsid w:val="0087640E"/>
    <w:rsid w:val="008764AD"/>
    <w:rsid w:val="008765FD"/>
    <w:rsid w:val="0087660B"/>
    <w:rsid w:val="0087677D"/>
    <w:rsid w:val="00876838"/>
    <w:rsid w:val="00876A98"/>
    <w:rsid w:val="00876BCB"/>
    <w:rsid w:val="00876C3D"/>
    <w:rsid w:val="00876CB6"/>
    <w:rsid w:val="00876E0C"/>
    <w:rsid w:val="00876E3F"/>
    <w:rsid w:val="00877146"/>
    <w:rsid w:val="0087735E"/>
    <w:rsid w:val="0087739D"/>
    <w:rsid w:val="00877479"/>
    <w:rsid w:val="00877572"/>
    <w:rsid w:val="00877574"/>
    <w:rsid w:val="0087768B"/>
    <w:rsid w:val="008777B5"/>
    <w:rsid w:val="008778EB"/>
    <w:rsid w:val="0087790A"/>
    <w:rsid w:val="0087793B"/>
    <w:rsid w:val="0087798E"/>
    <w:rsid w:val="0087799D"/>
    <w:rsid w:val="00877A33"/>
    <w:rsid w:val="00877B3E"/>
    <w:rsid w:val="00877D7F"/>
    <w:rsid w:val="00877E9D"/>
    <w:rsid w:val="00877EAF"/>
    <w:rsid w:val="00877EDA"/>
    <w:rsid w:val="00877FEF"/>
    <w:rsid w:val="008800CA"/>
    <w:rsid w:val="00880108"/>
    <w:rsid w:val="0088015A"/>
    <w:rsid w:val="008801BC"/>
    <w:rsid w:val="0088023C"/>
    <w:rsid w:val="0088023E"/>
    <w:rsid w:val="0088028D"/>
    <w:rsid w:val="008802FC"/>
    <w:rsid w:val="0088030A"/>
    <w:rsid w:val="0088037F"/>
    <w:rsid w:val="0088061A"/>
    <w:rsid w:val="008807F5"/>
    <w:rsid w:val="00880859"/>
    <w:rsid w:val="00880A2A"/>
    <w:rsid w:val="00880B68"/>
    <w:rsid w:val="00880B69"/>
    <w:rsid w:val="00880C1A"/>
    <w:rsid w:val="00880C92"/>
    <w:rsid w:val="00880D28"/>
    <w:rsid w:val="00880D51"/>
    <w:rsid w:val="00881048"/>
    <w:rsid w:val="008810C0"/>
    <w:rsid w:val="00881168"/>
    <w:rsid w:val="0088116A"/>
    <w:rsid w:val="00881195"/>
    <w:rsid w:val="008812BB"/>
    <w:rsid w:val="0088138D"/>
    <w:rsid w:val="0088160F"/>
    <w:rsid w:val="0088179A"/>
    <w:rsid w:val="008817DA"/>
    <w:rsid w:val="00881824"/>
    <w:rsid w:val="0088194C"/>
    <w:rsid w:val="008819F4"/>
    <w:rsid w:val="008819FE"/>
    <w:rsid w:val="00881B02"/>
    <w:rsid w:val="00881B50"/>
    <w:rsid w:val="00881BC5"/>
    <w:rsid w:val="00881D4C"/>
    <w:rsid w:val="00881D5A"/>
    <w:rsid w:val="00881DA6"/>
    <w:rsid w:val="00881E57"/>
    <w:rsid w:val="00882031"/>
    <w:rsid w:val="00882131"/>
    <w:rsid w:val="008821BC"/>
    <w:rsid w:val="00882274"/>
    <w:rsid w:val="00882481"/>
    <w:rsid w:val="008828B6"/>
    <w:rsid w:val="00882999"/>
    <w:rsid w:val="008829C3"/>
    <w:rsid w:val="008829E2"/>
    <w:rsid w:val="00882AAB"/>
    <w:rsid w:val="00882AFF"/>
    <w:rsid w:val="00882B39"/>
    <w:rsid w:val="00882BAA"/>
    <w:rsid w:val="00882C82"/>
    <w:rsid w:val="00882D79"/>
    <w:rsid w:val="00882DFE"/>
    <w:rsid w:val="00882E13"/>
    <w:rsid w:val="00882F11"/>
    <w:rsid w:val="008830F8"/>
    <w:rsid w:val="00883171"/>
    <w:rsid w:val="008831DB"/>
    <w:rsid w:val="008834B7"/>
    <w:rsid w:val="0088357F"/>
    <w:rsid w:val="008836F3"/>
    <w:rsid w:val="00883901"/>
    <w:rsid w:val="00883B02"/>
    <w:rsid w:val="00883D7B"/>
    <w:rsid w:val="00883EFB"/>
    <w:rsid w:val="00883FFE"/>
    <w:rsid w:val="008840C2"/>
    <w:rsid w:val="008840DE"/>
    <w:rsid w:val="00884231"/>
    <w:rsid w:val="0088423F"/>
    <w:rsid w:val="0088436D"/>
    <w:rsid w:val="00884374"/>
    <w:rsid w:val="0088448D"/>
    <w:rsid w:val="008844C3"/>
    <w:rsid w:val="008844C7"/>
    <w:rsid w:val="00884558"/>
    <w:rsid w:val="00884754"/>
    <w:rsid w:val="0088475F"/>
    <w:rsid w:val="00884917"/>
    <w:rsid w:val="00884ABB"/>
    <w:rsid w:val="00884B16"/>
    <w:rsid w:val="00884BB9"/>
    <w:rsid w:val="00884BF4"/>
    <w:rsid w:val="00884C00"/>
    <w:rsid w:val="00884D23"/>
    <w:rsid w:val="00884F1E"/>
    <w:rsid w:val="00884F95"/>
    <w:rsid w:val="008851CD"/>
    <w:rsid w:val="008851E8"/>
    <w:rsid w:val="00885291"/>
    <w:rsid w:val="00885357"/>
    <w:rsid w:val="00885658"/>
    <w:rsid w:val="008857B6"/>
    <w:rsid w:val="008858C2"/>
    <w:rsid w:val="00885973"/>
    <w:rsid w:val="00885998"/>
    <w:rsid w:val="00885A8D"/>
    <w:rsid w:val="00885BC5"/>
    <w:rsid w:val="00885BEC"/>
    <w:rsid w:val="00885E31"/>
    <w:rsid w:val="00885E44"/>
    <w:rsid w:val="0088610D"/>
    <w:rsid w:val="0088610E"/>
    <w:rsid w:val="008861FE"/>
    <w:rsid w:val="0088622D"/>
    <w:rsid w:val="008862B1"/>
    <w:rsid w:val="008862FF"/>
    <w:rsid w:val="00886300"/>
    <w:rsid w:val="0088647A"/>
    <w:rsid w:val="00886742"/>
    <w:rsid w:val="00886843"/>
    <w:rsid w:val="008869E7"/>
    <w:rsid w:val="00886B6A"/>
    <w:rsid w:val="00886C97"/>
    <w:rsid w:val="00886C99"/>
    <w:rsid w:val="00886CBA"/>
    <w:rsid w:val="00886D1F"/>
    <w:rsid w:val="00886D47"/>
    <w:rsid w:val="00886DC8"/>
    <w:rsid w:val="008872A6"/>
    <w:rsid w:val="008873BE"/>
    <w:rsid w:val="008873E0"/>
    <w:rsid w:val="00887458"/>
    <w:rsid w:val="0088745A"/>
    <w:rsid w:val="0088746C"/>
    <w:rsid w:val="008874D8"/>
    <w:rsid w:val="0088753C"/>
    <w:rsid w:val="00887568"/>
    <w:rsid w:val="0088761F"/>
    <w:rsid w:val="0088768F"/>
    <w:rsid w:val="0088770E"/>
    <w:rsid w:val="00887797"/>
    <w:rsid w:val="00887892"/>
    <w:rsid w:val="008878AE"/>
    <w:rsid w:val="00887A6C"/>
    <w:rsid w:val="00887B3E"/>
    <w:rsid w:val="00887B57"/>
    <w:rsid w:val="00887D14"/>
    <w:rsid w:val="00887EA8"/>
    <w:rsid w:val="008900FE"/>
    <w:rsid w:val="008901CE"/>
    <w:rsid w:val="00890248"/>
    <w:rsid w:val="0089026A"/>
    <w:rsid w:val="008903AD"/>
    <w:rsid w:val="00890548"/>
    <w:rsid w:val="00890657"/>
    <w:rsid w:val="00890683"/>
    <w:rsid w:val="008908BD"/>
    <w:rsid w:val="008908DF"/>
    <w:rsid w:val="008909BB"/>
    <w:rsid w:val="008909D9"/>
    <w:rsid w:val="00890B9F"/>
    <w:rsid w:val="00890E5B"/>
    <w:rsid w:val="00890F98"/>
    <w:rsid w:val="00890FE6"/>
    <w:rsid w:val="00890FF1"/>
    <w:rsid w:val="008910FE"/>
    <w:rsid w:val="00891136"/>
    <w:rsid w:val="0089113D"/>
    <w:rsid w:val="00891140"/>
    <w:rsid w:val="00891219"/>
    <w:rsid w:val="00891253"/>
    <w:rsid w:val="00891293"/>
    <w:rsid w:val="00891315"/>
    <w:rsid w:val="0089135A"/>
    <w:rsid w:val="0089141E"/>
    <w:rsid w:val="00891448"/>
    <w:rsid w:val="0089159E"/>
    <w:rsid w:val="0089175A"/>
    <w:rsid w:val="0089194D"/>
    <w:rsid w:val="0089196A"/>
    <w:rsid w:val="00891986"/>
    <w:rsid w:val="00891B07"/>
    <w:rsid w:val="00891B18"/>
    <w:rsid w:val="00891B94"/>
    <w:rsid w:val="00891CE7"/>
    <w:rsid w:val="00891D21"/>
    <w:rsid w:val="00891D87"/>
    <w:rsid w:val="00891DAA"/>
    <w:rsid w:val="0089212C"/>
    <w:rsid w:val="008923A8"/>
    <w:rsid w:val="00892487"/>
    <w:rsid w:val="00892523"/>
    <w:rsid w:val="008925D3"/>
    <w:rsid w:val="008925D5"/>
    <w:rsid w:val="00892886"/>
    <w:rsid w:val="00892A4B"/>
    <w:rsid w:val="00892D08"/>
    <w:rsid w:val="00892D28"/>
    <w:rsid w:val="0089304C"/>
    <w:rsid w:val="008930CD"/>
    <w:rsid w:val="008934D9"/>
    <w:rsid w:val="00893765"/>
    <w:rsid w:val="00893A22"/>
    <w:rsid w:val="00893B7E"/>
    <w:rsid w:val="00893C2B"/>
    <w:rsid w:val="00893C41"/>
    <w:rsid w:val="00893C5E"/>
    <w:rsid w:val="00893D94"/>
    <w:rsid w:val="00894039"/>
    <w:rsid w:val="00894063"/>
    <w:rsid w:val="00894192"/>
    <w:rsid w:val="00894263"/>
    <w:rsid w:val="00894280"/>
    <w:rsid w:val="00894350"/>
    <w:rsid w:val="008943A4"/>
    <w:rsid w:val="008943F4"/>
    <w:rsid w:val="0089441C"/>
    <w:rsid w:val="008945DB"/>
    <w:rsid w:val="00894629"/>
    <w:rsid w:val="00894666"/>
    <w:rsid w:val="008946DA"/>
    <w:rsid w:val="00894701"/>
    <w:rsid w:val="008947E4"/>
    <w:rsid w:val="00894853"/>
    <w:rsid w:val="00894994"/>
    <w:rsid w:val="00894BE1"/>
    <w:rsid w:val="00894C22"/>
    <w:rsid w:val="00894D05"/>
    <w:rsid w:val="00894D3C"/>
    <w:rsid w:val="00894E2D"/>
    <w:rsid w:val="00894F55"/>
    <w:rsid w:val="00895048"/>
    <w:rsid w:val="00895059"/>
    <w:rsid w:val="00895140"/>
    <w:rsid w:val="00895193"/>
    <w:rsid w:val="008952EE"/>
    <w:rsid w:val="0089546A"/>
    <w:rsid w:val="00895477"/>
    <w:rsid w:val="0089555F"/>
    <w:rsid w:val="008955A3"/>
    <w:rsid w:val="00895609"/>
    <w:rsid w:val="00895695"/>
    <w:rsid w:val="008956ED"/>
    <w:rsid w:val="00895917"/>
    <w:rsid w:val="00895925"/>
    <w:rsid w:val="008959A7"/>
    <w:rsid w:val="00895A37"/>
    <w:rsid w:val="00895A6F"/>
    <w:rsid w:val="00895BA1"/>
    <w:rsid w:val="00895C5B"/>
    <w:rsid w:val="00895D99"/>
    <w:rsid w:val="00895E29"/>
    <w:rsid w:val="00895E63"/>
    <w:rsid w:val="00895E92"/>
    <w:rsid w:val="00895F3A"/>
    <w:rsid w:val="00896015"/>
    <w:rsid w:val="0089635F"/>
    <w:rsid w:val="008963B5"/>
    <w:rsid w:val="008963F6"/>
    <w:rsid w:val="00896616"/>
    <w:rsid w:val="00896822"/>
    <w:rsid w:val="008968FD"/>
    <w:rsid w:val="00896B03"/>
    <w:rsid w:val="00896BA1"/>
    <w:rsid w:val="00896D90"/>
    <w:rsid w:val="00896E3B"/>
    <w:rsid w:val="00896E74"/>
    <w:rsid w:val="00896E91"/>
    <w:rsid w:val="00897066"/>
    <w:rsid w:val="00897349"/>
    <w:rsid w:val="00897390"/>
    <w:rsid w:val="008974DD"/>
    <w:rsid w:val="0089754D"/>
    <w:rsid w:val="0089755C"/>
    <w:rsid w:val="00897B3F"/>
    <w:rsid w:val="00897E27"/>
    <w:rsid w:val="00897E47"/>
    <w:rsid w:val="00897FAD"/>
    <w:rsid w:val="00897FC0"/>
    <w:rsid w:val="00897FC6"/>
    <w:rsid w:val="008A00F9"/>
    <w:rsid w:val="008A0424"/>
    <w:rsid w:val="008A083C"/>
    <w:rsid w:val="008A08F5"/>
    <w:rsid w:val="008A0B79"/>
    <w:rsid w:val="008A0C31"/>
    <w:rsid w:val="008A0C36"/>
    <w:rsid w:val="008A0C61"/>
    <w:rsid w:val="008A0CB2"/>
    <w:rsid w:val="008A0CC3"/>
    <w:rsid w:val="008A1233"/>
    <w:rsid w:val="008A14AA"/>
    <w:rsid w:val="008A156B"/>
    <w:rsid w:val="008A1767"/>
    <w:rsid w:val="008A182F"/>
    <w:rsid w:val="008A1B18"/>
    <w:rsid w:val="008A1B60"/>
    <w:rsid w:val="008A1BFC"/>
    <w:rsid w:val="008A1F59"/>
    <w:rsid w:val="008A200A"/>
    <w:rsid w:val="008A20E7"/>
    <w:rsid w:val="008A2245"/>
    <w:rsid w:val="008A228B"/>
    <w:rsid w:val="008A23AA"/>
    <w:rsid w:val="008A2463"/>
    <w:rsid w:val="008A248E"/>
    <w:rsid w:val="008A24AB"/>
    <w:rsid w:val="008A2797"/>
    <w:rsid w:val="008A27B9"/>
    <w:rsid w:val="008A2855"/>
    <w:rsid w:val="008A28F0"/>
    <w:rsid w:val="008A29E8"/>
    <w:rsid w:val="008A2B1E"/>
    <w:rsid w:val="008A2BD6"/>
    <w:rsid w:val="008A2C38"/>
    <w:rsid w:val="008A2C59"/>
    <w:rsid w:val="008A2CD1"/>
    <w:rsid w:val="008A2F34"/>
    <w:rsid w:val="008A2FB9"/>
    <w:rsid w:val="008A30E6"/>
    <w:rsid w:val="008A30F0"/>
    <w:rsid w:val="008A33F1"/>
    <w:rsid w:val="008A347D"/>
    <w:rsid w:val="008A34C4"/>
    <w:rsid w:val="008A391C"/>
    <w:rsid w:val="008A3B26"/>
    <w:rsid w:val="008A3B49"/>
    <w:rsid w:val="008A3BE2"/>
    <w:rsid w:val="008A3C67"/>
    <w:rsid w:val="008A3D8F"/>
    <w:rsid w:val="008A3E69"/>
    <w:rsid w:val="008A3E88"/>
    <w:rsid w:val="008A407C"/>
    <w:rsid w:val="008A418E"/>
    <w:rsid w:val="008A426D"/>
    <w:rsid w:val="008A4363"/>
    <w:rsid w:val="008A4500"/>
    <w:rsid w:val="008A458F"/>
    <w:rsid w:val="008A4645"/>
    <w:rsid w:val="008A4659"/>
    <w:rsid w:val="008A477D"/>
    <w:rsid w:val="008A481C"/>
    <w:rsid w:val="008A498D"/>
    <w:rsid w:val="008A4BE7"/>
    <w:rsid w:val="008A4BF4"/>
    <w:rsid w:val="008A4C88"/>
    <w:rsid w:val="008A4CDE"/>
    <w:rsid w:val="008A4D3A"/>
    <w:rsid w:val="008A4E09"/>
    <w:rsid w:val="008A4F0B"/>
    <w:rsid w:val="008A4F45"/>
    <w:rsid w:val="008A5058"/>
    <w:rsid w:val="008A50B9"/>
    <w:rsid w:val="008A5151"/>
    <w:rsid w:val="008A535C"/>
    <w:rsid w:val="008A5374"/>
    <w:rsid w:val="008A53CC"/>
    <w:rsid w:val="008A5464"/>
    <w:rsid w:val="008A554A"/>
    <w:rsid w:val="008A569F"/>
    <w:rsid w:val="008A59DD"/>
    <w:rsid w:val="008A5AB6"/>
    <w:rsid w:val="008A5BE6"/>
    <w:rsid w:val="008A5C17"/>
    <w:rsid w:val="008A5ECB"/>
    <w:rsid w:val="008A5FDB"/>
    <w:rsid w:val="008A6345"/>
    <w:rsid w:val="008A63AC"/>
    <w:rsid w:val="008A64A8"/>
    <w:rsid w:val="008A651D"/>
    <w:rsid w:val="008A656D"/>
    <w:rsid w:val="008A65AF"/>
    <w:rsid w:val="008A6607"/>
    <w:rsid w:val="008A6669"/>
    <w:rsid w:val="008A6698"/>
    <w:rsid w:val="008A6813"/>
    <w:rsid w:val="008A683B"/>
    <w:rsid w:val="008A686D"/>
    <w:rsid w:val="008A69E0"/>
    <w:rsid w:val="008A6D8A"/>
    <w:rsid w:val="008A6DC1"/>
    <w:rsid w:val="008A71DB"/>
    <w:rsid w:val="008A72C9"/>
    <w:rsid w:val="008A7303"/>
    <w:rsid w:val="008A7446"/>
    <w:rsid w:val="008A7551"/>
    <w:rsid w:val="008A76C3"/>
    <w:rsid w:val="008A77A6"/>
    <w:rsid w:val="008A78C7"/>
    <w:rsid w:val="008A7AFF"/>
    <w:rsid w:val="008A7B9D"/>
    <w:rsid w:val="008A7BDB"/>
    <w:rsid w:val="008A7C73"/>
    <w:rsid w:val="008A7CAC"/>
    <w:rsid w:val="008A7CBB"/>
    <w:rsid w:val="008A7D12"/>
    <w:rsid w:val="008B048C"/>
    <w:rsid w:val="008B052D"/>
    <w:rsid w:val="008B07E2"/>
    <w:rsid w:val="008B0928"/>
    <w:rsid w:val="008B09D5"/>
    <w:rsid w:val="008B0A59"/>
    <w:rsid w:val="008B0ABB"/>
    <w:rsid w:val="008B0C6B"/>
    <w:rsid w:val="008B0F2B"/>
    <w:rsid w:val="008B0F9E"/>
    <w:rsid w:val="008B0FE0"/>
    <w:rsid w:val="008B0FEF"/>
    <w:rsid w:val="008B104C"/>
    <w:rsid w:val="008B107F"/>
    <w:rsid w:val="008B1109"/>
    <w:rsid w:val="008B12FD"/>
    <w:rsid w:val="008B1529"/>
    <w:rsid w:val="008B15F2"/>
    <w:rsid w:val="008B16C1"/>
    <w:rsid w:val="008B1724"/>
    <w:rsid w:val="008B180D"/>
    <w:rsid w:val="008B182B"/>
    <w:rsid w:val="008B1842"/>
    <w:rsid w:val="008B19B0"/>
    <w:rsid w:val="008B1A38"/>
    <w:rsid w:val="008B1AEA"/>
    <w:rsid w:val="008B1B34"/>
    <w:rsid w:val="008B1E74"/>
    <w:rsid w:val="008B1ED8"/>
    <w:rsid w:val="008B1EEA"/>
    <w:rsid w:val="008B20B9"/>
    <w:rsid w:val="008B221C"/>
    <w:rsid w:val="008B2256"/>
    <w:rsid w:val="008B261C"/>
    <w:rsid w:val="008B26E3"/>
    <w:rsid w:val="008B280F"/>
    <w:rsid w:val="008B28CF"/>
    <w:rsid w:val="008B2918"/>
    <w:rsid w:val="008B29AD"/>
    <w:rsid w:val="008B2A4B"/>
    <w:rsid w:val="008B2AD0"/>
    <w:rsid w:val="008B2AF3"/>
    <w:rsid w:val="008B2DA8"/>
    <w:rsid w:val="008B2DE0"/>
    <w:rsid w:val="008B2F7C"/>
    <w:rsid w:val="008B30AE"/>
    <w:rsid w:val="008B30C5"/>
    <w:rsid w:val="008B30E1"/>
    <w:rsid w:val="008B30EB"/>
    <w:rsid w:val="008B318B"/>
    <w:rsid w:val="008B318F"/>
    <w:rsid w:val="008B323C"/>
    <w:rsid w:val="008B34DD"/>
    <w:rsid w:val="008B34FC"/>
    <w:rsid w:val="008B35F3"/>
    <w:rsid w:val="008B3652"/>
    <w:rsid w:val="008B3840"/>
    <w:rsid w:val="008B3895"/>
    <w:rsid w:val="008B39E6"/>
    <w:rsid w:val="008B3BE4"/>
    <w:rsid w:val="008B3C11"/>
    <w:rsid w:val="008B3C20"/>
    <w:rsid w:val="008B3F73"/>
    <w:rsid w:val="008B3FFD"/>
    <w:rsid w:val="008B402A"/>
    <w:rsid w:val="008B422C"/>
    <w:rsid w:val="008B436A"/>
    <w:rsid w:val="008B43CA"/>
    <w:rsid w:val="008B4481"/>
    <w:rsid w:val="008B44EE"/>
    <w:rsid w:val="008B45DB"/>
    <w:rsid w:val="008B4794"/>
    <w:rsid w:val="008B49BE"/>
    <w:rsid w:val="008B49D7"/>
    <w:rsid w:val="008B4A2C"/>
    <w:rsid w:val="008B4AD3"/>
    <w:rsid w:val="008B4B91"/>
    <w:rsid w:val="008B4C2A"/>
    <w:rsid w:val="008B4C7F"/>
    <w:rsid w:val="008B4DD6"/>
    <w:rsid w:val="008B4E36"/>
    <w:rsid w:val="008B4F2A"/>
    <w:rsid w:val="008B5085"/>
    <w:rsid w:val="008B514E"/>
    <w:rsid w:val="008B51E6"/>
    <w:rsid w:val="008B54D0"/>
    <w:rsid w:val="008B5519"/>
    <w:rsid w:val="008B55D4"/>
    <w:rsid w:val="008B5632"/>
    <w:rsid w:val="008B5770"/>
    <w:rsid w:val="008B57A8"/>
    <w:rsid w:val="008B59AE"/>
    <w:rsid w:val="008B5C50"/>
    <w:rsid w:val="008B5DDC"/>
    <w:rsid w:val="008B5F66"/>
    <w:rsid w:val="008B5FDD"/>
    <w:rsid w:val="008B6135"/>
    <w:rsid w:val="008B6390"/>
    <w:rsid w:val="008B63F1"/>
    <w:rsid w:val="008B64E7"/>
    <w:rsid w:val="008B6507"/>
    <w:rsid w:val="008B6790"/>
    <w:rsid w:val="008B6933"/>
    <w:rsid w:val="008B69AB"/>
    <w:rsid w:val="008B6A67"/>
    <w:rsid w:val="008B6A97"/>
    <w:rsid w:val="008B6B40"/>
    <w:rsid w:val="008B6C04"/>
    <w:rsid w:val="008B6DEA"/>
    <w:rsid w:val="008B6E62"/>
    <w:rsid w:val="008B6F56"/>
    <w:rsid w:val="008B6FBC"/>
    <w:rsid w:val="008B70CF"/>
    <w:rsid w:val="008B723B"/>
    <w:rsid w:val="008B724F"/>
    <w:rsid w:val="008B7302"/>
    <w:rsid w:val="008B7393"/>
    <w:rsid w:val="008B742F"/>
    <w:rsid w:val="008B7444"/>
    <w:rsid w:val="008B757B"/>
    <w:rsid w:val="008B762B"/>
    <w:rsid w:val="008B7648"/>
    <w:rsid w:val="008B773F"/>
    <w:rsid w:val="008B7B86"/>
    <w:rsid w:val="008B7BF0"/>
    <w:rsid w:val="008B7C29"/>
    <w:rsid w:val="008B7CC8"/>
    <w:rsid w:val="008B7D2E"/>
    <w:rsid w:val="008B7D69"/>
    <w:rsid w:val="008C02EB"/>
    <w:rsid w:val="008C04EC"/>
    <w:rsid w:val="008C050B"/>
    <w:rsid w:val="008C051B"/>
    <w:rsid w:val="008C0566"/>
    <w:rsid w:val="008C05F5"/>
    <w:rsid w:val="008C0651"/>
    <w:rsid w:val="008C06C1"/>
    <w:rsid w:val="008C07CE"/>
    <w:rsid w:val="008C0800"/>
    <w:rsid w:val="008C08CC"/>
    <w:rsid w:val="008C0A6E"/>
    <w:rsid w:val="008C0BD8"/>
    <w:rsid w:val="008C0CBD"/>
    <w:rsid w:val="008C0CEC"/>
    <w:rsid w:val="008C0D7B"/>
    <w:rsid w:val="008C0DB2"/>
    <w:rsid w:val="008C0E8E"/>
    <w:rsid w:val="008C0F9D"/>
    <w:rsid w:val="008C140A"/>
    <w:rsid w:val="008C1481"/>
    <w:rsid w:val="008C160B"/>
    <w:rsid w:val="008C1642"/>
    <w:rsid w:val="008C16B0"/>
    <w:rsid w:val="008C188F"/>
    <w:rsid w:val="008C19F4"/>
    <w:rsid w:val="008C1AB0"/>
    <w:rsid w:val="008C1B3A"/>
    <w:rsid w:val="008C1C07"/>
    <w:rsid w:val="008C1C8B"/>
    <w:rsid w:val="008C1C9D"/>
    <w:rsid w:val="008C1D26"/>
    <w:rsid w:val="008C1D8C"/>
    <w:rsid w:val="008C1E4B"/>
    <w:rsid w:val="008C1F7D"/>
    <w:rsid w:val="008C216A"/>
    <w:rsid w:val="008C2463"/>
    <w:rsid w:val="008C272A"/>
    <w:rsid w:val="008C272E"/>
    <w:rsid w:val="008C29A0"/>
    <w:rsid w:val="008C29A4"/>
    <w:rsid w:val="008C2D5F"/>
    <w:rsid w:val="008C2E52"/>
    <w:rsid w:val="008C309F"/>
    <w:rsid w:val="008C3102"/>
    <w:rsid w:val="008C31BB"/>
    <w:rsid w:val="008C35CB"/>
    <w:rsid w:val="008C370D"/>
    <w:rsid w:val="008C39FD"/>
    <w:rsid w:val="008C3A51"/>
    <w:rsid w:val="008C3E9D"/>
    <w:rsid w:val="008C3F84"/>
    <w:rsid w:val="008C3FFF"/>
    <w:rsid w:val="008C4206"/>
    <w:rsid w:val="008C4266"/>
    <w:rsid w:val="008C439A"/>
    <w:rsid w:val="008C43E5"/>
    <w:rsid w:val="008C45F7"/>
    <w:rsid w:val="008C4960"/>
    <w:rsid w:val="008C49E9"/>
    <w:rsid w:val="008C4A87"/>
    <w:rsid w:val="008C4AD6"/>
    <w:rsid w:val="008C4B3E"/>
    <w:rsid w:val="008C4DAA"/>
    <w:rsid w:val="008C4E64"/>
    <w:rsid w:val="008C4F7E"/>
    <w:rsid w:val="008C51D7"/>
    <w:rsid w:val="008C51F2"/>
    <w:rsid w:val="008C5390"/>
    <w:rsid w:val="008C5415"/>
    <w:rsid w:val="008C550E"/>
    <w:rsid w:val="008C565F"/>
    <w:rsid w:val="008C57E0"/>
    <w:rsid w:val="008C5858"/>
    <w:rsid w:val="008C5889"/>
    <w:rsid w:val="008C5A61"/>
    <w:rsid w:val="008C5B58"/>
    <w:rsid w:val="008C5EB9"/>
    <w:rsid w:val="008C5FF0"/>
    <w:rsid w:val="008C607A"/>
    <w:rsid w:val="008C60E1"/>
    <w:rsid w:val="008C61A7"/>
    <w:rsid w:val="008C61B9"/>
    <w:rsid w:val="008C61EF"/>
    <w:rsid w:val="008C65DA"/>
    <w:rsid w:val="008C66F2"/>
    <w:rsid w:val="008C67AE"/>
    <w:rsid w:val="008C6841"/>
    <w:rsid w:val="008C68D4"/>
    <w:rsid w:val="008C6B0C"/>
    <w:rsid w:val="008C6CC6"/>
    <w:rsid w:val="008C6D72"/>
    <w:rsid w:val="008C6E36"/>
    <w:rsid w:val="008C704D"/>
    <w:rsid w:val="008C7101"/>
    <w:rsid w:val="008C7188"/>
    <w:rsid w:val="008C71C5"/>
    <w:rsid w:val="008C721D"/>
    <w:rsid w:val="008C7238"/>
    <w:rsid w:val="008C74B9"/>
    <w:rsid w:val="008C756A"/>
    <w:rsid w:val="008C76CF"/>
    <w:rsid w:val="008C7941"/>
    <w:rsid w:val="008C797B"/>
    <w:rsid w:val="008C799D"/>
    <w:rsid w:val="008C7B68"/>
    <w:rsid w:val="008C7F4C"/>
    <w:rsid w:val="008C7F7E"/>
    <w:rsid w:val="008D03DC"/>
    <w:rsid w:val="008D0451"/>
    <w:rsid w:val="008D05B8"/>
    <w:rsid w:val="008D0795"/>
    <w:rsid w:val="008D07FB"/>
    <w:rsid w:val="008D0823"/>
    <w:rsid w:val="008D0912"/>
    <w:rsid w:val="008D096D"/>
    <w:rsid w:val="008D09CE"/>
    <w:rsid w:val="008D0A47"/>
    <w:rsid w:val="008D0A97"/>
    <w:rsid w:val="008D0ADA"/>
    <w:rsid w:val="008D0B41"/>
    <w:rsid w:val="008D0B80"/>
    <w:rsid w:val="008D0C8D"/>
    <w:rsid w:val="008D0C95"/>
    <w:rsid w:val="008D0D10"/>
    <w:rsid w:val="008D0D71"/>
    <w:rsid w:val="008D0D79"/>
    <w:rsid w:val="008D0EA0"/>
    <w:rsid w:val="008D0F1B"/>
    <w:rsid w:val="008D103A"/>
    <w:rsid w:val="008D116A"/>
    <w:rsid w:val="008D122F"/>
    <w:rsid w:val="008D1401"/>
    <w:rsid w:val="008D147A"/>
    <w:rsid w:val="008D148E"/>
    <w:rsid w:val="008D14A6"/>
    <w:rsid w:val="008D1530"/>
    <w:rsid w:val="008D16BC"/>
    <w:rsid w:val="008D19C0"/>
    <w:rsid w:val="008D1A0F"/>
    <w:rsid w:val="008D1A95"/>
    <w:rsid w:val="008D1C37"/>
    <w:rsid w:val="008D1C49"/>
    <w:rsid w:val="008D1CF0"/>
    <w:rsid w:val="008D1E64"/>
    <w:rsid w:val="008D1E67"/>
    <w:rsid w:val="008D2075"/>
    <w:rsid w:val="008D2079"/>
    <w:rsid w:val="008D220A"/>
    <w:rsid w:val="008D22F8"/>
    <w:rsid w:val="008D23D6"/>
    <w:rsid w:val="008D25C1"/>
    <w:rsid w:val="008D26F5"/>
    <w:rsid w:val="008D274F"/>
    <w:rsid w:val="008D279E"/>
    <w:rsid w:val="008D289E"/>
    <w:rsid w:val="008D297B"/>
    <w:rsid w:val="008D2B1A"/>
    <w:rsid w:val="008D2C10"/>
    <w:rsid w:val="008D2C91"/>
    <w:rsid w:val="008D2FB4"/>
    <w:rsid w:val="008D3456"/>
    <w:rsid w:val="008D3542"/>
    <w:rsid w:val="008D35D3"/>
    <w:rsid w:val="008D3773"/>
    <w:rsid w:val="008D399C"/>
    <w:rsid w:val="008D39E8"/>
    <w:rsid w:val="008D3A55"/>
    <w:rsid w:val="008D3AD5"/>
    <w:rsid w:val="008D3ADB"/>
    <w:rsid w:val="008D3B01"/>
    <w:rsid w:val="008D3BAA"/>
    <w:rsid w:val="008D3BEC"/>
    <w:rsid w:val="008D3D41"/>
    <w:rsid w:val="008D3D5C"/>
    <w:rsid w:val="008D3E20"/>
    <w:rsid w:val="008D3E58"/>
    <w:rsid w:val="008D3E90"/>
    <w:rsid w:val="008D402F"/>
    <w:rsid w:val="008D4037"/>
    <w:rsid w:val="008D40D4"/>
    <w:rsid w:val="008D412D"/>
    <w:rsid w:val="008D4156"/>
    <w:rsid w:val="008D42B0"/>
    <w:rsid w:val="008D431C"/>
    <w:rsid w:val="008D4332"/>
    <w:rsid w:val="008D4379"/>
    <w:rsid w:val="008D437B"/>
    <w:rsid w:val="008D4590"/>
    <w:rsid w:val="008D4677"/>
    <w:rsid w:val="008D473A"/>
    <w:rsid w:val="008D47FC"/>
    <w:rsid w:val="008D49F1"/>
    <w:rsid w:val="008D4A01"/>
    <w:rsid w:val="008D4B51"/>
    <w:rsid w:val="008D4B8D"/>
    <w:rsid w:val="008D4CDB"/>
    <w:rsid w:val="008D4E2A"/>
    <w:rsid w:val="008D4EF9"/>
    <w:rsid w:val="008D4F6D"/>
    <w:rsid w:val="008D531D"/>
    <w:rsid w:val="008D53A9"/>
    <w:rsid w:val="008D5559"/>
    <w:rsid w:val="008D5597"/>
    <w:rsid w:val="008D5619"/>
    <w:rsid w:val="008D577A"/>
    <w:rsid w:val="008D59AE"/>
    <w:rsid w:val="008D5AF9"/>
    <w:rsid w:val="008D5BF3"/>
    <w:rsid w:val="008D5C49"/>
    <w:rsid w:val="008D5C8A"/>
    <w:rsid w:val="008D5CEE"/>
    <w:rsid w:val="008D5EEF"/>
    <w:rsid w:val="008D616B"/>
    <w:rsid w:val="008D6234"/>
    <w:rsid w:val="008D6269"/>
    <w:rsid w:val="008D631C"/>
    <w:rsid w:val="008D633C"/>
    <w:rsid w:val="008D6392"/>
    <w:rsid w:val="008D6402"/>
    <w:rsid w:val="008D642E"/>
    <w:rsid w:val="008D6470"/>
    <w:rsid w:val="008D6673"/>
    <w:rsid w:val="008D67A2"/>
    <w:rsid w:val="008D695C"/>
    <w:rsid w:val="008D6A28"/>
    <w:rsid w:val="008D6ABD"/>
    <w:rsid w:val="008D6AE1"/>
    <w:rsid w:val="008D6B61"/>
    <w:rsid w:val="008D6DC0"/>
    <w:rsid w:val="008D6DC6"/>
    <w:rsid w:val="008D6EBF"/>
    <w:rsid w:val="008D6ED5"/>
    <w:rsid w:val="008D6F54"/>
    <w:rsid w:val="008D6FD2"/>
    <w:rsid w:val="008D7036"/>
    <w:rsid w:val="008D7104"/>
    <w:rsid w:val="008D7129"/>
    <w:rsid w:val="008D71CD"/>
    <w:rsid w:val="008D7367"/>
    <w:rsid w:val="008D7381"/>
    <w:rsid w:val="008D73ED"/>
    <w:rsid w:val="008D766A"/>
    <w:rsid w:val="008D78C3"/>
    <w:rsid w:val="008D7941"/>
    <w:rsid w:val="008D7B5B"/>
    <w:rsid w:val="008D7C80"/>
    <w:rsid w:val="008D7D5F"/>
    <w:rsid w:val="008D7F07"/>
    <w:rsid w:val="008E01E1"/>
    <w:rsid w:val="008E01EC"/>
    <w:rsid w:val="008E03D1"/>
    <w:rsid w:val="008E0555"/>
    <w:rsid w:val="008E0599"/>
    <w:rsid w:val="008E05D0"/>
    <w:rsid w:val="008E06B1"/>
    <w:rsid w:val="008E08D0"/>
    <w:rsid w:val="008E092E"/>
    <w:rsid w:val="008E0A0D"/>
    <w:rsid w:val="008E0A2E"/>
    <w:rsid w:val="008E0AD3"/>
    <w:rsid w:val="008E0D9C"/>
    <w:rsid w:val="008E0ED3"/>
    <w:rsid w:val="008E0F0D"/>
    <w:rsid w:val="008E0F0E"/>
    <w:rsid w:val="008E10F4"/>
    <w:rsid w:val="008E1410"/>
    <w:rsid w:val="008E166A"/>
    <w:rsid w:val="008E1681"/>
    <w:rsid w:val="008E1684"/>
    <w:rsid w:val="008E1770"/>
    <w:rsid w:val="008E187B"/>
    <w:rsid w:val="008E188E"/>
    <w:rsid w:val="008E19D6"/>
    <w:rsid w:val="008E1B29"/>
    <w:rsid w:val="008E1B7B"/>
    <w:rsid w:val="008E1CD1"/>
    <w:rsid w:val="008E1CEF"/>
    <w:rsid w:val="008E1F3D"/>
    <w:rsid w:val="008E1F99"/>
    <w:rsid w:val="008E228F"/>
    <w:rsid w:val="008E22B8"/>
    <w:rsid w:val="008E2382"/>
    <w:rsid w:val="008E241E"/>
    <w:rsid w:val="008E2526"/>
    <w:rsid w:val="008E25D0"/>
    <w:rsid w:val="008E2618"/>
    <w:rsid w:val="008E26B8"/>
    <w:rsid w:val="008E26CF"/>
    <w:rsid w:val="008E2819"/>
    <w:rsid w:val="008E284D"/>
    <w:rsid w:val="008E2867"/>
    <w:rsid w:val="008E2ACB"/>
    <w:rsid w:val="008E2BBB"/>
    <w:rsid w:val="008E313C"/>
    <w:rsid w:val="008E31A4"/>
    <w:rsid w:val="008E336E"/>
    <w:rsid w:val="008E33A1"/>
    <w:rsid w:val="008E34DA"/>
    <w:rsid w:val="008E3666"/>
    <w:rsid w:val="008E369C"/>
    <w:rsid w:val="008E3816"/>
    <w:rsid w:val="008E3922"/>
    <w:rsid w:val="008E3A02"/>
    <w:rsid w:val="008E3A8C"/>
    <w:rsid w:val="008E3B25"/>
    <w:rsid w:val="008E3CCB"/>
    <w:rsid w:val="008E3FBB"/>
    <w:rsid w:val="008E4011"/>
    <w:rsid w:val="008E40E9"/>
    <w:rsid w:val="008E419E"/>
    <w:rsid w:val="008E426F"/>
    <w:rsid w:val="008E42B3"/>
    <w:rsid w:val="008E42B7"/>
    <w:rsid w:val="008E434F"/>
    <w:rsid w:val="008E44EF"/>
    <w:rsid w:val="008E4571"/>
    <w:rsid w:val="008E459E"/>
    <w:rsid w:val="008E45FE"/>
    <w:rsid w:val="008E463D"/>
    <w:rsid w:val="008E46A6"/>
    <w:rsid w:val="008E47B6"/>
    <w:rsid w:val="008E487A"/>
    <w:rsid w:val="008E492F"/>
    <w:rsid w:val="008E4943"/>
    <w:rsid w:val="008E49DC"/>
    <w:rsid w:val="008E4A4B"/>
    <w:rsid w:val="008E4A73"/>
    <w:rsid w:val="008E4BFA"/>
    <w:rsid w:val="008E4D42"/>
    <w:rsid w:val="008E4E14"/>
    <w:rsid w:val="008E511F"/>
    <w:rsid w:val="008E5169"/>
    <w:rsid w:val="008E5268"/>
    <w:rsid w:val="008E5549"/>
    <w:rsid w:val="008E55DE"/>
    <w:rsid w:val="008E57C3"/>
    <w:rsid w:val="008E57E0"/>
    <w:rsid w:val="008E5AEE"/>
    <w:rsid w:val="008E5EC9"/>
    <w:rsid w:val="008E5F11"/>
    <w:rsid w:val="008E5F91"/>
    <w:rsid w:val="008E61E7"/>
    <w:rsid w:val="008E6249"/>
    <w:rsid w:val="008E624A"/>
    <w:rsid w:val="008E6278"/>
    <w:rsid w:val="008E6294"/>
    <w:rsid w:val="008E63A4"/>
    <w:rsid w:val="008E6415"/>
    <w:rsid w:val="008E6451"/>
    <w:rsid w:val="008E65EE"/>
    <w:rsid w:val="008E6687"/>
    <w:rsid w:val="008E670B"/>
    <w:rsid w:val="008E67D4"/>
    <w:rsid w:val="008E6875"/>
    <w:rsid w:val="008E68D8"/>
    <w:rsid w:val="008E6AE1"/>
    <w:rsid w:val="008E6B1D"/>
    <w:rsid w:val="008E6E6D"/>
    <w:rsid w:val="008E6F3C"/>
    <w:rsid w:val="008E6F4B"/>
    <w:rsid w:val="008E6F77"/>
    <w:rsid w:val="008E713A"/>
    <w:rsid w:val="008E7243"/>
    <w:rsid w:val="008E7247"/>
    <w:rsid w:val="008E726C"/>
    <w:rsid w:val="008E7363"/>
    <w:rsid w:val="008E7376"/>
    <w:rsid w:val="008E73DB"/>
    <w:rsid w:val="008E7512"/>
    <w:rsid w:val="008E7569"/>
    <w:rsid w:val="008E7753"/>
    <w:rsid w:val="008E78F7"/>
    <w:rsid w:val="008E79EB"/>
    <w:rsid w:val="008E7AE9"/>
    <w:rsid w:val="008E7C16"/>
    <w:rsid w:val="008E7D10"/>
    <w:rsid w:val="008E7D9D"/>
    <w:rsid w:val="008E7E60"/>
    <w:rsid w:val="008E7F23"/>
    <w:rsid w:val="008F0025"/>
    <w:rsid w:val="008F00CF"/>
    <w:rsid w:val="008F0154"/>
    <w:rsid w:val="008F0194"/>
    <w:rsid w:val="008F03CA"/>
    <w:rsid w:val="008F03F7"/>
    <w:rsid w:val="008F042B"/>
    <w:rsid w:val="008F04B4"/>
    <w:rsid w:val="008F04F7"/>
    <w:rsid w:val="008F053F"/>
    <w:rsid w:val="008F05D8"/>
    <w:rsid w:val="008F05F0"/>
    <w:rsid w:val="008F0612"/>
    <w:rsid w:val="008F0742"/>
    <w:rsid w:val="008F0786"/>
    <w:rsid w:val="008F0942"/>
    <w:rsid w:val="008F0EC8"/>
    <w:rsid w:val="008F0ECD"/>
    <w:rsid w:val="008F0F14"/>
    <w:rsid w:val="008F105F"/>
    <w:rsid w:val="008F123F"/>
    <w:rsid w:val="008F129D"/>
    <w:rsid w:val="008F132B"/>
    <w:rsid w:val="008F1348"/>
    <w:rsid w:val="008F13CC"/>
    <w:rsid w:val="008F1415"/>
    <w:rsid w:val="008F14D6"/>
    <w:rsid w:val="008F14F5"/>
    <w:rsid w:val="008F1607"/>
    <w:rsid w:val="008F160C"/>
    <w:rsid w:val="008F161C"/>
    <w:rsid w:val="008F1669"/>
    <w:rsid w:val="008F16F8"/>
    <w:rsid w:val="008F181E"/>
    <w:rsid w:val="008F1885"/>
    <w:rsid w:val="008F18B6"/>
    <w:rsid w:val="008F1C70"/>
    <w:rsid w:val="008F1C91"/>
    <w:rsid w:val="008F1CC5"/>
    <w:rsid w:val="008F1E2F"/>
    <w:rsid w:val="008F1EE8"/>
    <w:rsid w:val="008F1F8C"/>
    <w:rsid w:val="008F20A6"/>
    <w:rsid w:val="008F23A9"/>
    <w:rsid w:val="008F242F"/>
    <w:rsid w:val="008F2546"/>
    <w:rsid w:val="008F25C6"/>
    <w:rsid w:val="008F2851"/>
    <w:rsid w:val="008F294C"/>
    <w:rsid w:val="008F2ADE"/>
    <w:rsid w:val="008F2B3B"/>
    <w:rsid w:val="008F2C12"/>
    <w:rsid w:val="008F2C1B"/>
    <w:rsid w:val="008F2DCD"/>
    <w:rsid w:val="008F2EC0"/>
    <w:rsid w:val="008F2F18"/>
    <w:rsid w:val="008F31BC"/>
    <w:rsid w:val="008F3366"/>
    <w:rsid w:val="008F33D4"/>
    <w:rsid w:val="008F33ED"/>
    <w:rsid w:val="008F3430"/>
    <w:rsid w:val="008F344B"/>
    <w:rsid w:val="008F3588"/>
    <w:rsid w:val="008F37BC"/>
    <w:rsid w:val="008F37E4"/>
    <w:rsid w:val="008F3813"/>
    <w:rsid w:val="008F388C"/>
    <w:rsid w:val="008F39C1"/>
    <w:rsid w:val="008F3A79"/>
    <w:rsid w:val="008F3AFE"/>
    <w:rsid w:val="008F3BFD"/>
    <w:rsid w:val="008F3C1D"/>
    <w:rsid w:val="008F3C6D"/>
    <w:rsid w:val="008F3CB9"/>
    <w:rsid w:val="008F3E53"/>
    <w:rsid w:val="008F3F19"/>
    <w:rsid w:val="008F40F9"/>
    <w:rsid w:val="008F41B3"/>
    <w:rsid w:val="008F422F"/>
    <w:rsid w:val="008F42AF"/>
    <w:rsid w:val="008F4462"/>
    <w:rsid w:val="008F44A2"/>
    <w:rsid w:val="008F4617"/>
    <w:rsid w:val="008F484E"/>
    <w:rsid w:val="008F4B96"/>
    <w:rsid w:val="008F4C34"/>
    <w:rsid w:val="008F4C57"/>
    <w:rsid w:val="008F4CA9"/>
    <w:rsid w:val="008F4D86"/>
    <w:rsid w:val="008F4F77"/>
    <w:rsid w:val="008F4FF4"/>
    <w:rsid w:val="008F502F"/>
    <w:rsid w:val="008F523F"/>
    <w:rsid w:val="008F5352"/>
    <w:rsid w:val="008F5378"/>
    <w:rsid w:val="008F54F4"/>
    <w:rsid w:val="008F564E"/>
    <w:rsid w:val="008F5663"/>
    <w:rsid w:val="008F566D"/>
    <w:rsid w:val="008F570C"/>
    <w:rsid w:val="008F5759"/>
    <w:rsid w:val="008F5868"/>
    <w:rsid w:val="008F5958"/>
    <w:rsid w:val="008F5A75"/>
    <w:rsid w:val="008F5A82"/>
    <w:rsid w:val="008F5C1D"/>
    <w:rsid w:val="008F5F4F"/>
    <w:rsid w:val="008F603A"/>
    <w:rsid w:val="008F607A"/>
    <w:rsid w:val="008F611F"/>
    <w:rsid w:val="008F6135"/>
    <w:rsid w:val="008F64B0"/>
    <w:rsid w:val="008F6553"/>
    <w:rsid w:val="008F65DC"/>
    <w:rsid w:val="008F6864"/>
    <w:rsid w:val="008F6902"/>
    <w:rsid w:val="008F6BF4"/>
    <w:rsid w:val="008F6C68"/>
    <w:rsid w:val="008F6CD5"/>
    <w:rsid w:val="008F6D27"/>
    <w:rsid w:val="008F6DA7"/>
    <w:rsid w:val="008F6EA2"/>
    <w:rsid w:val="008F6F29"/>
    <w:rsid w:val="008F70C6"/>
    <w:rsid w:val="008F70E7"/>
    <w:rsid w:val="008F7193"/>
    <w:rsid w:val="008F738B"/>
    <w:rsid w:val="008F73FE"/>
    <w:rsid w:val="008F7543"/>
    <w:rsid w:val="008F76CF"/>
    <w:rsid w:val="008F7749"/>
    <w:rsid w:val="008F775C"/>
    <w:rsid w:val="008F77D6"/>
    <w:rsid w:val="008F77E8"/>
    <w:rsid w:val="008F78A3"/>
    <w:rsid w:val="008F7992"/>
    <w:rsid w:val="008F7CB0"/>
    <w:rsid w:val="008F7D48"/>
    <w:rsid w:val="008F7E52"/>
    <w:rsid w:val="008F7EB8"/>
    <w:rsid w:val="008F7F66"/>
    <w:rsid w:val="0090009A"/>
    <w:rsid w:val="0090013A"/>
    <w:rsid w:val="0090030A"/>
    <w:rsid w:val="009003AB"/>
    <w:rsid w:val="00900404"/>
    <w:rsid w:val="00900546"/>
    <w:rsid w:val="0090074B"/>
    <w:rsid w:val="00900780"/>
    <w:rsid w:val="009008A9"/>
    <w:rsid w:val="009008BA"/>
    <w:rsid w:val="00900A69"/>
    <w:rsid w:val="00900B8A"/>
    <w:rsid w:val="009011D2"/>
    <w:rsid w:val="0090143F"/>
    <w:rsid w:val="00901487"/>
    <w:rsid w:val="00901571"/>
    <w:rsid w:val="009015F4"/>
    <w:rsid w:val="009017A8"/>
    <w:rsid w:val="009018EC"/>
    <w:rsid w:val="0090195E"/>
    <w:rsid w:val="009019D4"/>
    <w:rsid w:val="00901A9E"/>
    <w:rsid w:val="00901C6B"/>
    <w:rsid w:val="0090206A"/>
    <w:rsid w:val="009020BA"/>
    <w:rsid w:val="00902133"/>
    <w:rsid w:val="00902435"/>
    <w:rsid w:val="009024FF"/>
    <w:rsid w:val="009025D5"/>
    <w:rsid w:val="0090263F"/>
    <w:rsid w:val="0090294B"/>
    <w:rsid w:val="00902A52"/>
    <w:rsid w:val="00902AB6"/>
    <w:rsid w:val="00902B08"/>
    <w:rsid w:val="00902B54"/>
    <w:rsid w:val="00902C02"/>
    <w:rsid w:val="00902CF1"/>
    <w:rsid w:val="00902D0D"/>
    <w:rsid w:val="00902EAC"/>
    <w:rsid w:val="00902F54"/>
    <w:rsid w:val="009030F1"/>
    <w:rsid w:val="00903156"/>
    <w:rsid w:val="0090318D"/>
    <w:rsid w:val="00903220"/>
    <w:rsid w:val="009033AB"/>
    <w:rsid w:val="00903483"/>
    <w:rsid w:val="009034C1"/>
    <w:rsid w:val="009036BD"/>
    <w:rsid w:val="00903741"/>
    <w:rsid w:val="009038C5"/>
    <w:rsid w:val="009038D9"/>
    <w:rsid w:val="009038E2"/>
    <w:rsid w:val="009038F9"/>
    <w:rsid w:val="009039D5"/>
    <w:rsid w:val="00903A10"/>
    <w:rsid w:val="00903C7A"/>
    <w:rsid w:val="0090401A"/>
    <w:rsid w:val="0090413E"/>
    <w:rsid w:val="009042A5"/>
    <w:rsid w:val="009042B0"/>
    <w:rsid w:val="00904568"/>
    <w:rsid w:val="00904625"/>
    <w:rsid w:val="0090472A"/>
    <w:rsid w:val="009047B9"/>
    <w:rsid w:val="00904987"/>
    <w:rsid w:val="00904B31"/>
    <w:rsid w:val="00904B5E"/>
    <w:rsid w:val="00904D42"/>
    <w:rsid w:val="00904FB7"/>
    <w:rsid w:val="00905439"/>
    <w:rsid w:val="0090547B"/>
    <w:rsid w:val="00905520"/>
    <w:rsid w:val="0090562A"/>
    <w:rsid w:val="009056E7"/>
    <w:rsid w:val="009056F2"/>
    <w:rsid w:val="00905742"/>
    <w:rsid w:val="009057B6"/>
    <w:rsid w:val="00905893"/>
    <w:rsid w:val="00905A52"/>
    <w:rsid w:val="00905B42"/>
    <w:rsid w:val="00905B52"/>
    <w:rsid w:val="00905C13"/>
    <w:rsid w:val="00905C61"/>
    <w:rsid w:val="00905C96"/>
    <w:rsid w:val="00905CF8"/>
    <w:rsid w:val="00905E29"/>
    <w:rsid w:val="00905E67"/>
    <w:rsid w:val="00905FCF"/>
    <w:rsid w:val="00906053"/>
    <w:rsid w:val="00906141"/>
    <w:rsid w:val="0090625B"/>
    <w:rsid w:val="009062EB"/>
    <w:rsid w:val="009064F0"/>
    <w:rsid w:val="0090650C"/>
    <w:rsid w:val="009065B7"/>
    <w:rsid w:val="009065F5"/>
    <w:rsid w:val="009066F1"/>
    <w:rsid w:val="009068B4"/>
    <w:rsid w:val="009068EF"/>
    <w:rsid w:val="00906935"/>
    <w:rsid w:val="00906A5E"/>
    <w:rsid w:val="00906ADB"/>
    <w:rsid w:val="00906CE0"/>
    <w:rsid w:val="00906D06"/>
    <w:rsid w:val="00906E22"/>
    <w:rsid w:val="00906EAB"/>
    <w:rsid w:val="009070C3"/>
    <w:rsid w:val="009070E7"/>
    <w:rsid w:val="00907142"/>
    <w:rsid w:val="00907319"/>
    <w:rsid w:val="00907322"/>
    <w:rsid w:val="00907367"/>
    <w:rsid w:val="00907398"/>
    <w:rsid w:val="009073DA"/>
    <w:rsid w:val="00907455"/>
    <w:rsid w:val="009074AC"/>
    <w:rsid w:val="009075B9"/>
    <w:rsid w:val="009075DB"/>
    <w:rsid w:val="0090775A"/>
    <w:rsid w:val="009077A0"/>
    <w:rsid w:val="00907815"/>
    <w:rsid w:val="009078E2"/>
    <w:rsid w:val="00907923"/>
    <w:rsid w:val="00907951"/>
    <w:rsid w:val="009079CA"/>
    <w:rsid w:val="00907AFA"/>
    <w:rsid w:val="00907B46"/>
    <w:rsid w:val="00907B81"/>
    <w:rsid w:val="00907E92"/>
    <w:rsid w:val="00907F18"/>
    <w:rsid w:val="0091002C"/>
    <w:rsid w:val="0091007C"/>
    <w:rsid w:val="0091009B"/>
    <w:rsid w:val="009101F9"/>
    <w:rsid w:val="00910219"/>
    <w:rsid w:val="0091031C"/>
    <w:rsid w:val="00910452"/>
    <w:rsid w:val="009104A0"/>
    <w:rsid w:val="009105F4"/>
    <w:rsid w:val="009106BE"/>
    <w:rsid w:val="009106F1"/>
    <w:rsid w:val="00910757"/>
    <w:rsid w:val="0091091C"/>
    <w:rsid w:val="00910985"/>
    <w:rsid w:val="00910AC3"/>
    <w:rsid w:val="00910B72"/>
    <w:rsid w:val="00910BDA"/>
    <w:rsid w:val="00910CD0"/>
    <w:rsid w:val="00910CF4"/>
    <w:rsid w:val="00910CF8"/>
    <w:rsid w:val="00910FE5"/>
    <w:rsid w:val="00911015"/>
    <w:rsid w:val="0091134B"/>
    <w:rsid w:val="0091151D"/>
    <w:rsid w:val="00911616"/>
    <w:rsid w:val="00911864"/>
    <w:rsid w:val="009118E5"/>
    <w:rsid w:val="009119EC"/>
    <w:rsid w:val="00911A0D"/>
    <w:rsid w:val="00911B88"/>
    <w:rsid w:val="00911B89"/>
    <w:rsid w:val="00911BB2"/>
    <w:rsid w:val="00911D2F"/>
    <w:rsid w:val="00911D61"/>
    <w:rsid w:val="00911DEB"/>
    <w:rsid w:val="00911EAA"/>
    <w:rsid w:val="00911EBA"/>
    <w:rsid w:val="009120D7"/>
    <w:rsid w:val="00912152"/>
    <w:rsid w:val="00912228"/>
    <w:rsid w:val="00912299"/>
    <w:rsid w:val="009123D5"/>
    <w:rsid w:val="00912478"/>
    <w:rsid w:val="00912507"/>
    <w:rsid w:val="0091259A"/>
    <w:rsid w:val="0091262A"/>
    <w:rsid w:val="00912684"/>
    <w:rsid w:val="00912906"/>
    <w:rsid w:val="00912A3C"/>
    <w:rsid w:val="00912ABE"/>
    <w:rsid w:val="00912AD3"/>
    <w:rsid w:val="00912B6F"/>
    <w:rsid w:val="00912C3E"/>
    <w:rsid w:val="00912DC2"/>
    <w:rsid w:val="00912EFA"/>
    <w:rsid w:val="00912FD3"/>
    <w:rsid w:val="00912FF6"/>
    <w:rsid w:val="00913125"/>
    <w:rsid w:val="00913406"/>
    <w:rsid w:val="009134CC"/>
    <w:rsid w:val="0091353E"/>
    <w:rsid w:val="009139C1"/>
    <w:rsid w:val="00913BAA"/>
    <w:rsid w:val="00913BC1"/>
    <w:rsid w:val="00913BE9"/>
    <w:rsid w:val="00913F35"/>
    <w:rsid w:val="00914122"/>
    <w:rsid w:val="00914312"/>
    <w:rsid w:val="0091439D"/>
    <w:rsid w:val="00914564"/>
    <w:rsid w:val="00914673"/>
    <w:rsid w:val="009148E1"/>
    <w:rsid w:val="00914A07"/>
    <w:rsid w:val="00914A3B"/>
    <w:rsid w:val="00914A72"/>
    <w:rsid w:val="00914AD4"/>
    <w:rsid w:val="00914BCC"/>
    <w:rsid w:val="00914E7D"/>
    <w:rsid w:val="00914F1C"/>
    <w:rsid w:val="00914F1D"/>
    <w:rsid w:val="00914F21"/>
    <w:rsid w:val="0091538B"/>
    <w:rsid w:val="009153B4"/>
    <w:rsid w:val="00915450"/>
    <w:rsid w:val="00915475"/>
    <w:rsid w:val="009154F7"/>
    <w:rsid w:val="009155E7"/>
    <w:rsid w:val="009156CB"/>
    <w:rsid w:val="009158C5"/>
    <w:rsid w:val="0091595C"/>
    <w:rsid w:val="009159D9"/>
    <w:rsid w:val="00915A27"/>
    <w:rsid w:val="00915B18"/>
    <w:rsid w:val="00915CB3"/>
    <w:rsid w:val="00915ED2"/>
    <w:rsid w:val="00916064"/>
    <w:rsid w:val="00916068"/>
    <w:rsid w:val="009161B9"/>
    <w:rsid w:val="00916433"/>
    <w:rsid w:val="00916465"/>
    <w:rsid w:val="00916619"/>
    <w:rsid w:val="00916623"/>
    <w:rsid w:val="00916624"/>
    <w:rsid w:val="00916631"/>
    <w:rsid w:val="00916753"/>
    <w:rsid w:val="009167E0"/>
    <w:rsid w:val="009168C2"/>
    <w:rsid w:val="00916AA8"/>
    <w:rsid w:val="00916B97"/>
    <w:rsid w:val="00916D0A"/>
    <w:rsid w:val="00916DB8"/>
    <w:rsid w:val="00916EA7"/>
    <w:rsid w:val="00916F4B"/>
    <w:rsid w:val="00916F52"/>
    <w:rsid w:val="009171E3"/>
    <w:rsid w:val="0091724A"/>
    <w:rsid w:val="009172C4"/>
    <w:rsid w:val="00917417"/>
    <w:rsid w:val="00917477"/>
    <w:rsid w:val="00917491"/>
    <w:rsid w:val="00917526"/>
    <w:rsid w:val="0091768A"/>
    <w:rsid w:val="009176B0"/>
    <w:rsid w:val="009178A9"/>
    <w:rsid w:val="009179AB"/>
    <w:rsid w:val="00917AED"/>
    <w:rsid w:val="00917B06"/>
    <w:rsid w:val="00917C4C"/>
    <w:rsid w:val="00917CDE"/>
    <w:rsid w:val="00917E1E"/>
    <w:rsid w:val="00917EE8"/>
    <w:rsid w:val="00917EF7"/>
    <w:rsid w:val="00917EFE"/>
    <w:rsid w:val="0092034E"/>
    <w:rsid w:val="009203D4"/>
    <w:rsid w:val="009204FA"/>
    <w:rsid w:val="009205AA"/>
    <w:rsid w:val="00920772"/>
    <w:rsid w:val="00920788"/>
    <w:rsid w:val="009208E0"/>
    <w:rsid w:val="00920A05"/>
    <w:rsid w:val="00920B08"/>
    <w:rsid w:val="00920E7C"/>
    <w:rsid w:val="00920E86"/>
    <w:rsid w:val="00920EB0"/>
    <w:rsid w:val="009210AF"/>
    <w:rsid w:val="00921217"/>
    <w:rsid w:val="009212EC"/>
    <w:rsid w:val="00921350"/>
    <w:rsid w:val="00921535"/>
    <w:rsid w:val="009216B5"/>
    <w:rsid w:val="00921735"/>
    <w:rsid w:val="0092173E"/>
    <w:rsid w:val="00921ABF"/>
    <w:rsid w:val="00921ADB"/>
    <w:rsid w:val="00921B05"/>
    <w:rsid w:val="00921C86"/>
    <w:rsid w:val="00922003"/>
    <w:rsid w:val="0092213E"/>
    <w:rsid w:val="009221B7"/>
    <w:rsid w:val="009222A5"/>
    <w:rsid w:val="009222B7"/>
    <w:rsid w:val="009222D4"/>
    <w:rsid w:val="009223CE"/>
    <w:rsid w:val="00922427"/>
    <w:rsid w:val="00922588"/>
    <w:rsid w:val="009225C6"/>
    <w:rsid w:val="00922620"/>
    <w:rsid w:val="00922696"/>
    <w:rsid w:val="009227B1"/>
    <w:rsid w:val="00922A1E"/>
    <w:rsid w:val="00922ACD"/>
    <w:rsid w:val="00922BB8"/>
    <w:rsid w:val="00922BBD"/>
    <w:rsid w:val="00922E90"/>
    <w:rsid w:val="00923073"/>
    <w:rsid w:val="009230FE"/>
    <w:rsid w:val="0092310C"/>
    <w:rsid w:val="0092310D"/>
    <w:rsid w:val="009231AA"/>
    <w:rsid w:val="009232E5"/>
    <w:rsid w:val="00923356"/>
    <w:rsid w:val="00923497"/>
    <w:rsid w:val="009235AD"/>
    <w:rsid w:val="00923617"/>
    <w:rsid w:val="0092361A"/>
    <w:rsid w:val="009236BD"/>
    <w:rsid w:val="009236F4"/>
    <w:rsid w:val="0092376C"/>
    <w:rsid w:val="009239DC"/>
    <w:rsid w:val="00923A54"/>
    <w:rsid w:val="00923C2D"/>
    <w:rsid w:val="00923DF8"/>
    <w:rsid w:val="00924055"/>
    <w:rsid w:val="00924065"/>
    <w:rsid w:val="009245B3"/>
    <w:rsid w:val="00924651"/>
    <w:rsid w:val="009246F0"/>
    <w:rsid w:val="0092480C"/>
    <w:rsid w:val="0092488D"/>
    <w:rsid w:val="009248C0"/>
    <w:rsid w:val="009249A9"/>
    <w:rsid w:val="00924CA0"/>
    <w:rsid w:val="00924CBD"/>
    <w:rsid w:val="00924EB0"/>
    <w:rsid w:val="00924F1B"/>
    <w:rsid w:val="00924F23"/>
    <w:rsid w:val="00925110"/>
    <w:rsid w:val="009251AB"/>
    <w:rsid w:val="009257BA"/>
    <w:rsid w:val="00925973"/>
    <w:rsid w:val="009259A8"/>
    <w:rsid w:val="00925A20"/>
    <w:rsid w:val="00925A94"/>
    <w:rsid w:val="00925CAC"/>
    <w:rsid w:val="00925D2E"/>
    <w:rsid w:val="009260D6"/>
    <w:rsid w:val="00926154"/>
    <w:rsid w:val="0092617B"/>
    <w:rsid w:val="009261AB"/>
    <w:rsid w:val="00926338"/>
    <w:rsid w:val="009263B5"/>
    <w:rsid w:val="009265E6"/>
    <w:rsid w:val="009267FC"/>
    <w:rsid w:val="009268D1"/>
    <w:rsid w:val="009269BC"/>
    <w:rsid w:val="009269E5"/>
    <w:rsid w:val="00926A29"/>
    <w:rsid w:val="00926ABD"/>
    <w:rsid w:val="00926BF4"/>
    <w:rsid w:val="00926D8E"/>
    <w:rsid w:val="00926F6B"/>
    <w:rsid w:val="0092722D"/>
    <w:rsid w:val="0092751C"/>
    <w:rsid w:val="0092769A"/>
    <w:rsid w:val="009276A9"/>
    <w:rsid w:val="009276C5"/>
    <w:rsid w:val="009278C5"/>
    <w:rsid w:val="0092793D"/>
    <w:rsid w:val="00927940"/>
    <w:rsid w:val="00927A71"/>
    <w:rsid w:val="00927A7B"/>
    <w:rsid w:val="00927D41"/>
    <w:rsid w:val="00927F10"/>
    <w:rsid w:val="00927F49"/>
    <w:rsid w:val="00927F90"/>
    <w:rsid w:val="00927FDF"/>
    <w:rsid w:val="00930005"/>
    <w:rsid w:val="00930038"/>
    <w:rsid w:val="009300F4"/>
    <w:rsid w:val="0093043C"/>
    <w:rsid w:val="0093078E"/>
    <w:rsid w:val="00930839"/>
    <w:rsid w:val="009308CA"/>
    <w:rsid w:val="009308E6"/>
    <w:rsid w:val="00930AAA"/>
    <w:rsid w:val="00930B37"/>
    <w:rsid w:val="00930D3A"/>
    <w:rsid w:val="00930E83"/>
    <w:rsid w:val="00930E9A"/>
    <w:rsid w:val="00931094"/>
    <w:rsid w:val="00931219"/>
    <w:rsid w:val="009313FB"/>
    <w:rsid w:val="00931409"/>
    <w:rsid w:val="00931559"/>
    <w:rsid w:val="0093161E"/>
    <w:rsid w:val="0093165B"/>
    <w:rsid w:val="00931915"/>
    <w:rsid w:val="00931936"/>
    <w:rsid w:val="00931A90"/>
    <w:rsid w:val="00931B77"/>
    <w:rsid w:val="00931C83"/>
    <w:rsid w:val="00931CD6"/>
    <w:rsid w:val="00931CDA"/>
    <w:rsid w:val="00931D51"/>
    <w:rsid w:val="00931D5F"/>
    <w:rsid w:val="00931DE5"/>
    <w:rsid w:val="00931DE9"/>
    <w:rsid w:val="00931EDB"/>
    <w:rsid w:val="00931F1E"/>
    <w:rsid w:val="00931F1F"/>
    <w:rsid w:val="00932080"/>
    <w:rsid w:val="00932115"/>
    <w:rsid w:val="00932180"/>
    <w:rsid w:val="009323C7"/>
    <w:rsid w:val="00932513"/>
    <w:rsid w:val="009325AB"/>
    <w:rsid w:val="0093278B"/>
    <w:rsid w:val="00932AA5"/>
    <w:rsid w:val="00932AA8"/>
    <w:rsid w:val="00932B01"/>
    <w:rsid w:val="00932BC9"/>
    <w:rsid w:val="00932BD4"/>
    <w:rsid w:val="00932C27"/>
    <w:rsid w:val="00932DE6"/>
    <w:rsid w:val="00932E56"/>
    <w:rsid w:val="00932FD1"/>
    <w:rsid w:val="0093301B"/>
    <w:rsid w:val="00933024"/>
    <w:rsid w:val="00933110"/>
    <w:rsid w:val="00933300"/>
    <w:rsid w:val="00933442"/>
    <w:rsid w:val="0093346F"/>
    <w:rsid w:val="00933531"/>
    <w:rsid w:val="0093383E"/>
    <w:rsid w:val="0093387E"/>
    <w:rsid w:val="00933A36"/>
    <w:rsid w:val="00933B68"/>
    <w:rsid w:val="00933D18"/>
    <w:rsid w:val="00933E4F"/>
    <w:rsid w:val="00933F1B"/>
    <w:rsid w:val="00933F43"/>
    <w:rsid w:val="00933FEA"/>
    <w:rsid w:val="00934290"/>
    <w:rsid w:val="009343C2"/>
    <w:rsid w:val="00934552"/>
    <w:rsid w:val="0093463D"/>
    <w:rsid w:val="009346D9"/>
    <w:rsid w:val="009347C9"/>
    <w:rsid w:val="0093487B"/>
    <w:rsid w:val="00934B3F"/>
    <w:rsid w:val="00934B74"/>
    <w:rsid w:val="00934B95"/>
    <w:rsid w:val="00934D2A"/>
    <w:rsid w:val="00934D2C"/>
    <w:rsid w:val="00934DB8"/>
    <w:rsid w:val="00934EAD"/>
    <w:rsid w:val="00934FED"/>
    <w:rsid w:val="009350ED"/>
    <w:rsid w:val="00935112"/>
    <w:rsid w:val="00935217"/>
    <w:rsid w:val="009352B7"/>
    <w:rsid w:val="009352E2"/>
    <w:rsid w:val="009353CE"/>
    <w:rsid w:val="0093547D"/>
    <w:rsid w:val="009355CD"/>
    <w:rsid w:val="00935636"/>
    <w:rsid w:val="00935657"/>
    <w:rsid w:val="00935752"/>
    <w:rsid w:val="009357B8"/>
    <w:rsid w:val="009357BD"/>
    <w:rsid w:val="00935899"/>
    <w:rsid w:val="009358B8"/>
    <w:rsid w:val="009358F2"/>
    <w:rsid w:val="00935B2A"/>
    <w:rsid w:val="00935D61"/>
    <w:rsid w:val="00935ECF"/>
    <w:rsid w:val="009360A4"/>
    <w:rsid w:val="00936214"/>
    <w:rsid w:val="00936315"/>
    <w:rsid w:val="0093636F"/>
    <w:rsid w:val="00936530"/>
    <w:rsid w:val="0093665A"/>
    <w:rsid w:val="009366CE"/>
    <w:rsid w:val="00936794"/>
    <w:rsid w:val="009367EB"/>
    <w:rsid w:val="009367ED"/>
    <w:rsid w:val="00936944"/>
    <w:rsid w:val="00936A2F"/>
    <w:rsid w:val="00936AB9"/>
    <w:rsid w:val="00936AEC"/>
    <w:rsid w:val="00936B09"/>
    <w:rsid w:val="00936D1B"/>
    <w:rsid w:val="00936D46"/>
    <w:rsid w:val="00936DC1"/>
    <w:rsid w:val="00936EA4"/>
    <w:rsid w:val="00936EF8"/>
    <w:rsid w:val="00936F36"/>
    <w:rsid w:val="00936FC7"/>
    <w:rsid w:val="00937058"/>
    <w:rsid w:val="0093710E"/>
    <w:rsid w:val="00937122"/>
    <w:rsid w:val="0093721E"/>
    <w:rsid w:val="0093737B"/>
    <w:rsid w:val="0093747D"/>
    <w:rsid w:val="00937495"/>
    <w:rsid w:val="00937540"/>
    <w:rsid w:val="0093756D"/>
    <w:rsid w:val="009376B1"/>
    <w:rsid w:val="009376BE"/>
    <w:rsid w:val="00937731"/>
    <w:rsid w:val="00937750"/>
    <w:rsid w:val="009377E0"/>
    <w:rsid w:val="00937843"/>
    <w:rsid w:val="00937A12"/>
    <w:rsid w:val="00937B57"/>
    <w:rsid w:val="00937BE4"/>
    <w:rsid w:val="00937DC2"/>
    <w:rsid w:val="00937E4D"/>
    <w:rsid w:val="00937EC5"/>
    <w:rsid w:val="00940087"/>
    <w:rsid w:val="0094016D"/>
    <w:rsid w:val="009403E0"/>
    <w:rsid w:val="00940454"/>
    <w:rsid w:val="00940466"/>
    <w:rsid w:val="00940577"/>
    <w:rsid w:val="009405A3"/>
    <w:rsid w:val="009405A8"/>
    <w:rsid w:val="00940643"/>
    <w:rsid w:val="009408B3"/>
    <w:rsid w:val="009408FF"/>
    <w:rsid w:val="0094093C"/>
    <w:rsid w:val="00940ADD"/>
    <w:rsid w:val="00940BBC"/>
    <w:rsid w:val="00940C26"/>
    <w:rsid w:val="00940C3C"/>
    <w:rsid w:val="00940D7D"/>
    <w:rsid w:val="00940E92"/>
    <w:rsid w:val="00940FC1"/>
    <w:rsid w:val="00941224"/>
    <w:rsid w:val="00941359"/>
    <w:rsid w:val="0094145E"/>
    <w:rsid w:val="0094148D"/>
    <w:rsid w:val="0094153C"/>
    <w:rsid w:val="0094163D"/>
    <w:rsid w:val="00941899"/>
    <w:rsid w:val="00941A1F"/>
    <w:rsid w:val="00941A58"/>
    <w:rsid w:val="00941A90"/>
    <w:rsid w:val="00941BC7"/>
    <w:rsid w:val="00941C26"/>
    <w:rsid w:val="00941C4D"/>
    <w:rsid w:val="00941E22"/>
    <w:rsid w:val="00941E91"/>
    <w:rsid w:val="00941EEB"/>
    <w:rsid w:val="00941FCE"/>
    <w:rsid w:val="00941FE0"/>
    <w:rsid w:val="00942074"/>
    <w:rsid w:val="009421DC"/>
    <w:rsid w:val="009421F6"/>
    <w:rsid w:val="00942203"/>
    <w:rsid w:val="00942447"/>
    <w:rsid w:val="009424EC"/>
    <w:rsid w:val="009425EB"/>
    <w:rsid w:val="009427B3"/>
    <w:rsid w:val="009427E9"/>
    <w:rsid w:val="0094285F"/>
    <w:rsid w:val="009428FA"/>
    <w:rsid w:val="00942966"/>
    <w:rsid w:val="00942A39"/>
    <w:rsid w:val="00942AB3"/>
    <w:rsid w:val="00942B6A"/>
    <w:rsid w:val="00942C3F"/>
    <w:rsid w:val="00942D47"/>
    <w:rsid w:val="00942E0B"/>
    <w:rsid w:val="00942EA8"/>
    <w:rsid w:val="0094314A"/>
    <w:rsid w:val="00943156"/>
    <w:rsid w:val="009431E1"/>
    <w:rsid w:val="00943246"/>
    <w:rsid w:val="00943255"/>
    <w:rsid w:val="0094354D"/>
    <w:rsid w:val="00943897"/>
    <w:rsid w:val="009438C0"/>
    <w:rsid w:val="00943925"/>
    <w:rsid w:val="00943BB9"/>
    <w:rsid w:val="00943C0D"/>
    <w:rsid w:val="00943D62"/>
    <w:rsid w:val="00943DB6"/>
    <w:rsid w:val="00943DB9"/>
    <w:rsid w:val="00943ECE"/>
    <w:rsid w:val="00944120"/>
    <w:rsid w:val="009441D2"/>
    <w:rsid w:val="00944201"/>
    <w:rsid w:val="009442CE"/>
    <w:rsid w:val="009442FB"/>
    <w:rsid w:val="0094436B"/>
    <w:rsid w:val="00944405"/>
    <w:rsid w:val="00944675"/>
    <w:rsid w:val="009446E4"/>
    <w:rsid w:val="00944851"/>
    <w:rsid w:val="00944960"/>
    <w:rsid w:val="009449C4"/>
    <w:rsid w:val="00944BCC"/>
    <w:rsid w:val="00944CA6"/>
    <w:rsid w:val="00944CDB"/>
    <w:rsid w:val="00944D46"/>
    <w:rsid w:val="00944D96"/>
    <w:rsid w:val="00944F15"/>
    <w:rsid w:val="00944F2C"/>
    <w:rsid w:val="009450D7"/>
    <w:rsid w:val="009450D9"/>
    <w:rsid w:val="00945155"/>
    <w:rsid w:val="00945271"/>
    <w:rsid w:val="00945295"/>
    <w:rsid w:val="0094532B"/>
    <w:rsid w:val="009453B0"/>
    <w:rsid w:val="009453DC"/>
    <w:rsid w:val="0094565D"/>
    <w:rsid w:val="00945727"/>
    <w:rsid w:val="0094584E"/>
    <w:rsid w:val="00945851"/>
    <w:rsid w:val="009459C4"/>
    <w:rsid w:val="00945B05"/>
    <w:rsid w:val="00945BAF"/>
    <w:rsid w:val="00945D13"/>
    <w:rsid w:val="00945E2E"/>
    <w:rsid w:val="00945E91"/>
    <w:rsid w:val="00945F21"/>
    <w:rsid w:val="00945F89"/>
    <w:rsid w:val="009460EA"/>
    <w:rsid w:val="00946116"/>
    <w:rsid w:val="00946283"/>
    <w:rsid w:val="009463E1"/>
    <w:rsid w:val="009464E1"/>
    <w:rsid w:val="0094669A"/>
    <w:rsid w:val="0094691E"/>
    <w:rsid w:val="0094694D"/>
    <w:rsid w:val="00946C13"/>
    <w:rsid w:val="00946C1C"/>
    <w:rsid w:val="00946CD0"/>
    <w:rsid w:val="00946D28"/>
    <w:rsid w:val="00946D78"/>
    <w:rsid w:val="00946DB9"/>
    <w:rsid w:val="00946DEF"/>
    <w:rsid w:val="00946F2F"/>
    <w:rsid w:val="00947028"/>
    <w:rsid w:val="0094717F"/>
    <w:rsid w:val="00947862"/>
    <w:rsid w:val="00947A2E"/>
    <w:rsid w:val="00947A83"/>
    <w:rsid w:val="00947ABD"/>
    <w:rsid w:val="00947AF8"/>
    <w:rsid w:val="00947CD6"/>
    <w:rsid w:val="00947F08"/>
    <w:rsid w:val="00947F23"/>
    <w:rsid w:val="009500B1"/>
    <w:rsid w:val="0095044E"/>
    <w:rsid w:val="00950457"/>
    <w:rsid w:val="00950528"/>
    <w:rsid w:val="0095055A"/>
    <w:rsid w:val="0095056A"/>
    <w:rsid w:val="00950660"/>
    <w:rsid w:val="00950816"/>
    <w:rsid w:val="00950886"/>
    <w:rsid w:val="009508E2"/>
    <w:rsid w:val="00950BC0"/>
    <w:rsid w:val="00950C04"/>
    <w:rsid w:val="00950D3A"/>
    <w:rsid w:val="00950E61"/>
    <w:rsid w:val="00950EE3"/>
    <w:rsid w:val="00950F31"/>
    <w:rsid w:val="00950F56"/>
    <w:rsid w:val="009510B5"/>
    <w:rsid w:val="00951159"/>
    <w:rsid w:val="009511A5"/>
    <w:rsid w:val="00951289"/>
    <w:rsid w:val="0095143C"/>
    <w:rsid w:val="00951470"/>
    <w:rsid w:val="00951699"/>
    <w:rsid w:val="0095170D"/>
    <w:rsid w:val="009517CF"/>
    <w:rsid w:val="009517D3"/>
    <w:rsid w:val="009518E2"/>
    <w:rsid w:val="0095194E"/>
    <w:rsid w:val="009519EE"/>
    <w:rsid w:val="009519F8"/>
    <w:rsid w:val="00951AA5"/>
    <w:rsid w:val="00951B46"/>
    <w:rsid w:val="00951C60"/>
    <w:rsid w:val="00951E7F"/>
    <w:rsid w:val="00951EB1"/>
    <w:rsid w:val="00951FAD"/>
    <w:rsid w:val="0095225B"/>
    <w:rsid w:val="0095245B"/>
    <w:rsid w:val="00952608"/>
    <w:rsid w:val="00952626"/>
    <w:rsid w:val="00952777"/>
    <w:rsid w:val="009527DA"/>
    <w:rsid w:val="00952827"/>
    <w:rsid w:val="009528D2"/>
    <w:rsid w:val="00952A6B"/>
    <w:rsid w:val="00952B26"/>
    <w:rsid w:val="00952CA4"/>
    <w:rsid w:val="00952D40"/>
    <w:rsid w:val="0095312A"/>
    <w:rsid w:val="009531E6"/>
    <w:rsid w:val="0095321D"/>
    <w:rsid w:val="009532E5"/>
    <w:rsid w:val="009537CD"/>
    <w:rsid w:val="00953944"/>
    <w:rsid w:val="00953B47"/>
    <w:rsid w:val="00953B77"/>
    <w:rsid w:val="00953C12"/>
    <w:rsid w:val="00953DE5"/>
    <w:rsid w:val="00953DFF"/>
    <w:rsid w:val="00953ED0"/>
    <w:rsid w:val="00953F1F"/>
    <w:rsid w:val="009542CC"/>
    <w:rsid w:val="0095442C"/>
    <w:rsid w:val="00954508"/>
    <w:rsid w:val="00954547"/>
    <w:rsid w:val="009545AA"/>
    <w:rsid w:val="009545E1"/>
    <w:rsid w:val="00954607"/>
    <w:rsid w:val="00954616"/>
    <w:rsid w:val="00954762"/>
    <w:rsid w:val="0095478F"/>
    <w:rsid w:val="009547A7"/>
    <w:rsid w:val="00954936"/>
    <w:rsid w:val="009549DD"/>
    <w:rsid w:val="00954A6E"/>
    <w:rsid w:val="00954AB3"/>
    <w:rsid w:val="00954B82"/>
    <w:rsid w:val="00954BA2"/>
    <w:rsid w:val="00954BFD"/>
    <w:rsid w:val="00954D0C"/>
    <w:rsid w:val="00954E0C"/>
    <w:rsid w:val="00954EED"/>
    <w:rsid w:val="00954F59"/>
    <w:rsid w:val="00955037"/>
    <w:rsid w:val="00955114"/>
    <w:rsid w:val="0095517B"/>
    <w:rsid w:val="009552BD"/>
    <w:rsid w:val="0095537C"/>
    <w:rsid w:val="0095539B"/>
    <w:rsid w:val="009554B4"/>
    <w:rsid w:val="009554D4"/>
    <w:rsid w:val="00955508"/>
    <w:rsid w:val="0095556C"/>
    <w:rsid w:val="0095570F"/>
    <w:rsid w:val="00955724"/>
    <w:rsid w:val="00955743"/>
    <w:rsid w:val="009559E0"/>
    <w:rsid w:val="00955A0C"/>
    <w:rsid w:val="00955A0F"/>
    <w:rsid w:val="00955A30"/>
    <w:rsid w:val="00955ACF"/>
    <w:rsid w:val="00955B26"/>
    <w:rsid w:val="00955B66"/>
    <w:rsid w:val="00955BD4"/>
    <w:rsid w:val="00955CD9"/>
    <w:rsid w:val="00955D13"/>
    <w:rsid w:val="00955DDB"/>
    <w:rsid w:val="00955EAC"/>
    <w:rsid w:val="0095616C"/>
    <w:rsid w:val="00956175"/>
    <w:rsid w:val="00956222"/>
    <w:rsid w:val="0095639F"/>
    <w:rsid w:val="009564AE"/>
    <w:rsid w:val="009565C6"/>
    <w:rsid w:val="009566D4"/>
    <w:rsid w:val="009567E1"/>
    <w:rsid w:val="009568A7"/>
    <w:rsid w:val="009569F0"/>
    <w:rsid w:val="00956A00"/>
    <w:rsid w:val="00956A4D"/>
    <w:rsid w:val="00956A50"/>
    <w:rsid w:val="00956A90"/>
    <w:rsid w:val="00956B48"/>
    <w:rsid w:val="00956BAF"/>
    <w:rsid w:val="00956D31"/>
    <w:rsid w:val="00956DDB"/>
    <w:rsid w:val="00956EBE"/>
    <w:rsid w:val="00956FBB"/>
    <w:rsid w:val="00956FEA"/>
    <w:rsid w:val="00957040"/>
    <w:rsid w:val="00957060"/>
    <w:rsid w:val="0095719E"/>
    <w:rsid w:val="009571A5"/>
    <w:rsid w:val="009571FE"/>
    <w:rsid w:val="00957244"/>
    <w:rsid w:val="00957347"/>
    <w:rsid w:val="00957375"/>
    <w:rsid w:val="00957551"/>
    <w:rsid w:val="009578A6"/>
    <w:rsid w:val="009578FB"/>
    <w:rsid w:val="00957937"/>
    <w:rsid w:val="00957B47"/>
    <w:rsid w:val="00957C80"/>
    <w:rsid w:val="00957CE1"/>
    <w:rsid w:val="00957D1E"/>
    <w:rsid w:val="00957E8D"/>
    <w:rsid w:val="00957F46"/>
    <w:rsid w:val="00957F7B"/>
    <w:rsid w:val="00957FFE"/>
    <w:rsid w:val="00960247"/>
    <w:rsid w:val="009603AB"/>
    <w:rsid w:val="00960622"/>
    <w:rsid w:val="00960686"/>
    <w:rsid w:val="0096076B"/>
    <w:rsid w:val="00960851"/>
    <w:rsid w:val="00960899"/>
    <w:rsid w:val="00960A41"/>
    <w:rsid w:val="00960AB5"/>
    <w:rsid w:val="00960ABE"/>
    <w:rsid w:val="00960AE5"/>
    <w:rsid w:val="00960B47"/>
    <w:rsid w:val="00960BDD"/>
    <w:rsid w:val="00960C61"/>
    <w:rsid w:val="00960C96"/>
    <w:rsid w:val="00960C99"/>
    <w:rsid w:val="00960D2E"/>
    <w:rsid w:val="00960DAF"/>
    <w:rsid w:val="00961069"/>
    <w:rsid w:val="00961149"/>
    <w:rsid w:val="009611BB"/>
    <w:rsid w:val="0096121C"/>
    <w:rsid w:val="0096127F"/>
    <w:rsid w:val="00961388"/>
    <w:rsid w:val="009613F5"/>
    <w:rsid w:val="00961434"/>
    <w:rsid w:val="0096165B"/>
    <w:rsid w:val="0096190E"/>
    <w:rsid w:val="00961998"/>
    <w:rsid w:val="00961A94"/>
    <w:rsid w:val="00961C2C"/>
    <w:rsid w:val="00961CF1"/>
    <w:rsid w:val="00961EB1"/>
    <w:rsid w:val="00961F7E"/>
    <w:rsid w:val="009620B2"/>
    <w:rsid w:val="00962224"/>
    <w:rsid w:val="0096222F"/>
    <w:rsid w:val="00962327"/>
    <w:rsid w:val="00962364"/>
    <w:rsid w:val="00962472"/>
    <w:rsid w:val="00962491"/>
    <w:rsid w:val="00962498"/>
    <w:rsid w:val="00962534"/>
    <w:rsid w:val="009627C9"/>
    <w:rsid w:val="0096281C"/>
    <w:rsid w:val="0096281E"/>
    <w:rsid w:val="0096282C"/>
    <w:rsid w:val="00962858"/>
    <w:rsid w:val="00962868"/>
    <w:rsid w:val="009629FB"/>
    <w:rsid w:val="00962B37"/>
    <w:rsid w:val="00962BA0"/>
    <w:rsid w:val="00962BD3"/>
    <w:rsid w:val="00962BFA"/>
    <w:rsid w:val="00962D6F"/>
    <w:rsid w:val="00962F12"/>
    <w:rsid w:val="00962F2F"/>
    <w:rsid w:val="00962F90"/>
    <w:rsid w:val="00963167"/>
    <w:rsid w:val="00963186"/>
    <w:rsid w:val="0096339E"/>
    <w:rsid w:val="009633D5"/>
    <w:rsid w:val="0096373E"/>
    <w:rsid w:val="00963753"/>
    <w:rsid w:val="00963791"/>
    <w:rsid w:val="009637AF"/>
    <w:rsid w:val="009637B9"/>
    <w:rsid w:val="009637E9"/>
    <w:rsid w:val="00963846"/>
    <w:rsid w:val="009639EA"/>
    <w:rsid w:val="00963A8C"/>
    <w:rsid w:val="00963A96"/>
    <w:rsid w:val="00963B47"/>
    <w:rsid w:val="00963B72"/>
    <w:rsid w:val="00963C26"/>
    <w:rsid w:val="00963CA9"/>
    <w:rsid w:val="00963D9C"/>
    <w:rsid w:val="00963DBE"/>
    <w:rsid w:val="00963E8C"/>
    <w:rsid w:val="00963EC5"/>
    <w:rsid w:val="00963F50"/>
    <w:rsid w:val="009640B8"/>
    <w:rsid w:val="009642E6"/>
    <w:rsid w:val="00964350"/>
    <w:rsid w:val="00964439"/>
    <w:rsid w:val="009644D0"/>
    <w:rsid w:val="0096457A"/>
    <w:rsid w:val="0096462F"/>
    <w:rsid w:val="00964632"/>
    <w:rsid w:val="0096484F"/>
    <w:rsid w:val="009648BB"/>
    <w:rsid w:val="009649DC"/>
    <w:rsid w:val="00964B67"/>
    <w:rsid w:val="00964BAC"/>
    <w:rsid w:val="00964C42"/>
    <w:rsid w:val="00964E4D"/>
    <w:rsid w:val="00964F0A"/>
    <w:rsid w:val="009650E0"/>
    <w:rsid w:val="009652BB"/>
    <w:rsid w:val="00965424"/>
    <w:rsid w:val="009654E7"/>
    <w:rsid w:val="0096567B"/>
    <w:rsid w:val="00965717"/>
    <w:rsid w:val="009657BE"/>
    <w:rsid w:val="009657F6"/>
    <w:rsid w:val="0096583F"/>
    <w:rsid w:val="00965A7B"/>
    <w:rsid w:val="00965B62"/>
    <w:rsid w:val="00965BC3"/>
    <w:rsid w:val="00965C31"/>
    <w:rsid w:val="00965C4B"/>
    <w:rsid w:val="00965D72"/>
    <w:rsid w:val="00965DEB"/>
    <w:rsid w:val="009663AF"/>
    <w:rsid w:val="0096644B"/>
    <w:rsid w:val="009665E8"/>
    <w:rsid w:val="009667E2"/>
    <w:rsid w:val="00966A2E"/>
    <w:rsid w:val="00966B89"/>
    <w:rsid w:val="00966CA9"/>
    <w:rsid w:val="00966CE1"/>
    <w:rsid w:val="00966D3D"/>
    <w:rsid w:val="00966DC6"/>
    <w:rsid w:val="00966E2A"/>
    <w:rsid w:val="00967019"/>
    <w:rsid w:val="009670B8"/>
    <w:rsid w:val="00967109"/>
    <w:rsid w:val="00967159"/>
    <w:rsid w:val="00967286"/>
    <w:rsid w:val="00967370"/>
    <w:rsid w:val="009674B5"/>
    <w:rsid w:val="009674F6"/>
    <w:rsid w:val="00967526"/>
    <w:rsid w:val="00967529"/>
    <w:rsid w:val="009675FF"/>
    <w:rsid w:val="009676BC"/>
    <w:rsid w:val="0096792A"/>
    <w:rsid w:val="0096793D"/>
    <w:rsid w:val="0096799F"/>
    <w:rsid w:val="009679A1"/>
    <w:rsid w:val="009679CC"/>
    <w:rsid w:val="009679FA"/>
    <w:rsid w:val="00967A7F"/>
    <w:rsid w:val="00967E3A"/>
    <w:rsid w:val="00967F26"/>
    <w:rsid w:val="00967F27"/>
    <w:rsid w:val="00967F3C"/>
    <w:rsid w:val="00967FEA"/>
    <w:rsid w:val="00970115"/>
    <w:rsid w:val="0097017B"/>
    <w:rsid w:val="00970355"/>
    <w:rsid w:val="0097035A"/>
    <w:rsid w:val="009706A0"/>
    <w:rsid w:val="00970715"/>
    <w:rsid w:val="00970980"/>
    <w:rsid w:val="00970A9E"/>
    <w:rsid w:val="00970B31"/>
    <w:rsid w:val="00970B54"/>
    <w:rsid w:val="00970B8F"/>
    <w:rsid w:val="00970BD7"/>
    <w:rsid w:val="00970D73"/>
    <w:rsid w:val="00970DD3"/>
    <w:rsid w:val="00970E43"/>
    <w:rsid w:val="00970FDA"/>
    <w:rsid w:val="0097115C"/>
    <w:rsid w:val="0097118D"/>
    <w:rsid w:val="00971248"/>
    <w:rsid w:val="00971278"/>
    <w:rsid w:val="009712E3"/>
    <w:rsid w:val="00971321"/>
    <w:rsid w:val="00971381"/>
    <w:rsid w:val="00971547"/>
    <w:rsid w:val="00971690"/>
    <w:rsid w:val="009717C5"/>
    <w:rsid w:val="009717E2"/>
    <w:rsid w:val="00971807"/>
    <w:rsid w:val="00971CC0"/>
    <w:rsid w:val="00971D68"/>
    <w:rsid w:val="00971D9B"/>
    <w:rsid w:val="00971E00"/>
    <w:rsid w:val="00971FF3"/>
    <w:rsid w:val="009721B2"/>
    <w:rsid w:val="009721E0"/>
    <w:rsid w:val="009722AE"/>
    <w:rsid w:val="0097230D"/>
    <w:rsid w:val="00972378"/>
    <w:rsid w:val="009725B2"/>
    <w:rsid w:val="00972633"/>
    <w:rsid w:val="0097293D"/>
    <w:rsid w:val="00972AD5"/>
    <w:rsid w:val="00972B59"/>
    <w:rsid w:val="00972BCA"/>
    <w:rsid w:val="00972C2D"/>
    <w:rsid w:val="00972D2F"/>
    <w:rsid w:val="00972DB7"/>
    <w:rsid w:val="00972EDD"/>
    <w:rsid w:val="0097316E"/>
    <w:rsid w:val="009732C5"/>
    <w:rsid w:val="009734FC"/>
    <w:rsid w:val="0097381A"/>
    <w:rsid w:val="00973856"/>
    <w:rsid w:val="0097386C"/>
    <w:rsid w:val="00973A29"/>
    <w:rsid w:val="00973BBA"/>
    <w:rsid w:val="00973BEC"/>
    <w:rsid w:val="00973D5A"/>
    <w:rsid w:val="00973EA8"/>
    <w:rsid w:val="00973EBB"/>
    <w:rsid w:val="00973F19"/>
    <w:rsid w:val="00974036"/>
    <w:rsid w:val="0097415C"/>
    <w:rsid w:val="00974239"/>
    <w:rsid w:val="00974262"/>
    <w:rsid w:val="009742F0"/>
    <w:rsid w:val="00974489"/>
    <w:rsid w:val="009744C5"/>
    <w:rsid w:val="00974614"/>
    <w:rsid w:val="0097485A"/>
    <w:rsid w:val="00974914"/>
    <w:rsid w:val="0097498E"/>
    <w:rsid w:val="00974994"/>
    <w:rsid w:val="00974BA7"/>
    <w:rsid w:val="00974D50"/>
    <w:rsid w:val="00974E36"/>
    <w:rsid w:val="00974EAD"/>
    <w:rsid w:val="00974F58"/>
    <w:rsid w:val="00975266"/>
    <w:rsid w:val="009752FF"/>
    <w:rsid w:val="0097534C"/>
    <w:rsid w:val="00975433"/>
    <w:rsid w:val="00975485"/>
    <w:rsid w:val="009754BB"/>
    <w:rsid w:val="009755D3"/>
    <w:rsid w:val="0097563D"/>
    <w:rsid w:val="009756F4"/>
    <w:rsid w:val="00975804"/>
    <w:rsid w:val="00975B68"/>
    <w:rsid w:val="00975BF7"/>
    <w:rsid w:val="00975CEA"/>
    <w:rsid w:val="00975E4E"/>
    <w:rsid w:val="00976155"/>
    <w:rsid w:val="0097631F"/>
    <w:rsid w:val="00976338"/>
    <w:rsid w:val="009764B4"/>
    <w:rsid w:val="00976593"/>
    <w:rsid w:val="009766D9"/>
    <w:rsid w:val="009768BC"/>
    <w:rsid w:val="009768F5"/>
    <w:rsid w:val="0097695B"/>
    <w:rsid w:val="00976967"/>
    <w:rsid w:val="009769D4"/>
    <w:rsid w:val="00976A8D"/>
    <w:rsid w:val="00976B55"/>
    <w:rsid w:val="00976BB6"/>
    <w:rsid w:val="00976C7B"/>
    <w:rsid w:val="00976F1A"/>
    <w:rsid w:val="00977144"/>
    <w:rsid w:val="009771CC"/>
    <w:rsid w:val="00977606"/>
    <w:rsid w:val="0097792C"/>
    <w:rsid w:val="00977AC8"/>
    <w:rsid w:val="00977D54"/>
    <w:rsid w:val="00980032"/>
    <w:rsid w:val="009800B2"/>
    <w:rsid w:val="00980142"/>
    <w:rsid w:val="009802E3"/>
    <w:rsid w:val="00980324"/>
    <w:rsid w:val="00980382"/>
    <w:rsid w:val="009806FE"/>
    <w:rsid w:val="00980920"/>
    <w:rsid w:val="009809B3"/>
    <w:rsid w:val="00980B8F"/>
    <w:rsid w:val="00980CB5"/>
    <w:rsid w:val="00980D87"/>
    <w:rsid w:val="00980E17"/>
    <w:rsid w:val="00980E8B"/>
    <w:rsid w:val="00980ED9"/>
    <w:rsid w:val="009811DE"/>
    <w:rsid w:val="009812B5"/>
    <w:rsid w:val="009812C4"/>
    <w:rsid w:val="009812DC"/>
    <w:rsid w:val="009813A5"/>
    <w:rsid w:val="00981488"/>
    <w:rsid w:val="00981672"/>
    <w:rsid w:val="0098187F"/>
    <w:rsid w:val="009818E9"/>
    <w:rsid w:val="009819BC"/>
    <w:rsid w:val="00981B08"/>
    <w:rsid w:val="00981BD9"/>
    <w:rsid w:val="00981EE3"/>
    <w:rsid w:val="00982028"/>
    <w:rsid w:val="0098227F"/>
    <w:rsid w:val="0098229F"/>
    <w:rsid w:val="0098236C"/>
    <w:rsid w:val="009823C9"/>
    <w:rsid w:val="009826E8"/>
    <w:rsid w:val="0098274E"/>
    <w:rsid w:val="0098285F"/>
    <w:rsid w:val="009829B8"/>
    <w:rsid w:val="00982A7B"/>
    <w:rsid w:val="00982B11"/>
    <w:rsid w:val="00982D94"/>
    <w:rsid w:val="00982FBA"/>
    <w:rsid w:val="0098320E"/>
    <w:rsid w:val="009834F5"/>
    <w:rsid w:val="0098350A"/>
    <w:rsid w:val="00983544"/>
    <w:rsid w:val="0098358E"/>
    <w:rsid w:val="00983723"/>
    <w:rsid w:val="00983796"/>
    <w:rsid w:val="00983854"/>
    <w:rsid w:val="0098395C"/>
    <w:rsid w:val="00983990"/>
    <w:rsid w:val="0098399D"/>
    <w:rsid w:val="009839D7"/>
    <w:rsid w:val="00983A19"/>
    <w:rsid w:val="00983AEC"/>
    <w:rsid w:val="00983B09"/>
    <w:rsid w:val="00983B0A"/>
    <w:rsid w:val="00983B5B"/>
    <w:rsid w:val="00983BB3"/>
    <w:rsid w:val="00983D58"/>
    <w:rsid w:val="00983F53"/>
    <w:rsid w:val="0098409C"/>
    <w:rsid w:val="009841B8"/>
    <w:rsid w:val="00984319"/>
    <w:rsid w:val="00984549"/>
    <w:rsid w:val="0098454B"/>
    <w:rsid w:val="00984576"/>
    <w:rsid w:val="009845D0"/>
    <w:rsid w:val="009846E7"/>
    <w:rsid w:val="009849A9"/>
    <w:rsid w:val="00984A56"/>
    <w:rsid w:val="00984CD1"/>
    <w:rsid w:val="00984DFB"/>
    <w:rsid w:val="00985095"/>
    <w:rsid w:val="009851A9"/>
    <w:rsid w:val="00985236"/>
    <w:rsid w:val="0098539F"/>
    <w:rsid w:val="009853C4"/>
    <w:rsid w:val="009854CC"/>
    <w:rsid w:val="00985579"/>
    <w:rsid w:val="009855E5"/>
    <w:rsid w:val="00985741"/>
    <w:rsid w:val="00985877"/>
    <w:rsid w:val="0098594E"/>
    <w:rsid w:val="00985D6E"/>
    <w:rsid w:val="00985F28"/>
    <w:rsid w:val="00985F8E"/>
    <w:rsid w:val="00986108"/>
    <w:rsid w:val="00986128"/>
    <w:rsid w:val="0098612D"/>
    <w:rsid w:val="00986203"/>
    <w:rsid w:val="009862EC"/>
    <w:rsid w:val="009863A9"/>
    <w:rsid w:val="00986416"/>
    <w:rsid w:val="00986516"/>
    <w:rsid w:val="009866DE"/>
    <w:rsid w:val="00986703"/>
    <w:rsid w:val="00986722"/>
    <w:rsid w:val="0098678F"/>
    <w:rsid w:val="00986807"/>
    <w:rsid w:val="00986835"/>
    <w:rsid w:val="00986875"/>
    <w:rsid w:val="009868D4"/>
    <w:rsid w:val="00986901"/>
    <w:rsid w:val="009869F4"/>
    <w:rsid w:val="00986AAD"/>
    <w:rsid w:val="00986D08"/>
    <w:rsid w:val="00986F12"/>
    <w:rsid w:val="009870DB"/>
    <w:rsid w:val="009871C6"/>
    <w:rsid w:val="0098727F"/>
    <w:rsid w:val="009873C6"/>
    <w:rsid w:val="0098740D"/>
    <w:rsid w:val="0098746A"/>
    <w:rsid w:val="0098765B"/>
    <w:rsid w:val="009876A1"/>
    <w:rsid w:val="009876E4"/>
    <w:rsid w:val="00987727"/>
    <w:rsid w:val="009877C8"/>
    <w:rsid w:val="0098784E"/>
    <w:rsid w:val="00987867"/>
    <w:rsid w:val="009879D9"/>
    <w:rsid w:val="009879EF"/>
    <w:rsid w:val="00987A75"/>
    <w:rsid w:val="00987AAA"/>
    <w:rsid w:val="00987B3C"/>
    <w:rsid w:val="00987B86"/>
    <w:rsid w:val="00987BE2"/>
    <w:rsid w:val="00987C30"/>
    <w:rsid w:val="00987C7A"/>
    <w:rsid w:val="00987D69"/>
    <w:rsid w:val="009901CE"/>
    <w:rsid w:val="0099029D"/>
    <w:rsid w:val="009903C6"/>
    <w:rsid w:val="009904A7"/>
    <w:rsid w:val="009905AF"/>
    <w:rsid w:val="0099065E"/>
    <w:rsid w:val="0099067B"/>
    <w:rsid w:val="00990688"/>
    <w:rsid w:val="00990772"/>
    <w:rsid w:val="0099092E"/>
    <w:rsid w:val="0099093A"/>
    <w:rsid w:val="0099095A"/>
    <w:rsid w:val="00990A6F"/>
    <w:rsid w:val="00990BBC"/>
    <w:rsid w:val="00990D6C"/>
    <w:rsid w:val="00990E6A"/>
    <w:rsid w:val="00990E91"/>
    <w:rsid w:val="00990EBD"/>
    <w:rsid w:val="00990F4F"/>
    <w:rsid w:val="00990FDB"/>
    <w:rsid w:val="009911B7"/>
    <w:rsid w:val="009913AB"/>
    <w:rsid w:val="0099142B"/>
    <w:rsid w:val="009914CF"/>
    <w:rsid w:val="00991611"/>
    <w:rsid w:val="00991779"/>
    <w:rsid w:val="00991913"/>
    <w:rsid w:val="00991A07"/>
    <w:rsid w:val="00991B07"/>
    <w:rsid w:val="00991B52"/>
    <w:rsid w:val="00991C8E"/>
    <w:rsid w:val="00991C94"/>
    <w:rsid w:val="00991E29"/>
    <w:rsid w:val="00991EC1"/>
    <w:rsid w:val="00991F5A"/>
    <w:rsid w:val="0099204E"/>
    <w:rsid w:val="009920A5"/>
    <w:rsid w:val="00992151"/>
    <w:rsid w:val="00992184"/>
    <w:rsid w:val="009921DC"/>
    <w:rsid w:val="0099229A"/>
    <w:rsid w:val="0099231F"/>
    <w:rsid w:val="009924AF"/>
    <w:rsid w:val="0099282F"/>
    <w:rsid w:val="00992841"/>
    <w:rsid w:val="00992C30"/>
    <w:rsid w:val="00992EF5"/>
    <w:rsid w:val="00993073"/>
    <w:rsid w:val="009931A0"/>
    <w:rsid w:val="009931A2"/>
    <w:rsid w:val="00993262"/>
    <w:rsid w:val="0099335F"/>
    <w:rsid w:val="00993398"/>
    <w:rsid w:val="00993432"/>
    <w:rsid w:val="00993493"/>
    <w:rsid w:val="009935ED"/>
    <w:rsid w:val="00993650"/>
    <w:rsid w:val="00993857"/>
    <w:rsid w:val="009938D7"/>
    <w:rsid w:val="009939DB"/>
    <w:rsid w:val="00993BE7"/>
    <w:rsid w:val="00993BF6"/>
    <w:rsid w:val="00993CCA"/>
    <w:rsid w:val="00993D29"/>
    <w:rsid w:val="00993EDE"/>
    <w:rsid w:val="0099408C"/>
    <w:rsid w:val="0099412E"/>
    <w:rsid w:val="009942BC"/>
    <w:rsid w:val="0099443C"/>
    <w:rsid w:val="009944A6"/>
    <w:rsid w:val="0099459E"/>
    <w:rsid w:val="00994645"/>
    <w:rsid w:val="009946DE"/>
    <w:rsid w:val="00994749"/>
    <w:rsid w:val="00994818"/>
    <w:rsid w:val="00994870"/>
    <w:rsid w:val="009948B0"/>
    <w:rsid w:val="00994C74"/>
    <w:rsid w:val="00994D65"/>
    <w:rsid w:val="00994F58"/>
    <w:rsid w:val="00995218"/>
    <w:rsid w:val="00995288"/>
    <w:rsid w:val="009953AA"/>
    <w:rsid w:val="009953C6"/>
    <w:rsid w:val="009953D6"/>
    <w:rsid w:val="00995463"/>
    <w:rsid w:val="009958F9"/>
    <w:rsid w:val="0099595D"/>
    <w:rsid w:val="00995A3F"/>
    <w:rsid w:val="00995A40"/>
    <w:rsid w:val="00995B87"/>
    <w:rsid w:val="00995B8D"/>
    <w:rsid w:val="00995CEB"/>
    <w:rsid w:val="00995D07"/>
    <w:rsid w:val="00995D6F"/>
    <w:rsid w:val="00995E87"/>
    <w:rsid w:val="0099606F"/>
    <w:rsid w:val="00996256"/>
    <w:rsid w:val="00996369"/>
    <w:rsid w:val="00996383"/>
    <w:rsid w:val="00996430"/>
    <w:rsid w:val="009965F2"/>
    <w:rsid w:val="00996620"/>
    <w:rsid w:val="009968F8"/>
    <w:rsid w:val="009969F8"/>
    <w:rsid w:val="00996AA3"/>
    <w:rsid w:val="00996E3B"/>
    <w:rsid w:val="00996F8D"/>
    <w:rsid w:val="009970A5"/>
    <w:rsid w:val="009972E6"/>
    <w:rsid w:val="00997778"/>
    <w:rsid w:val="009977A6"/>
    <w:rsid w:val="00997862"/>
    <w:rsid w:val="00997AC4"/>
    <w:rsid w:val="00997AF7"/>
    <w:rsid w:val="00997EAB"/>
    <w:rsid w:val="00997F4D"/>
    <w:rsid w:val="009A006A"/>
    <w:rsid w:val="009A00C8"/>
    <w:rsid w:val="009A0138"/>
    <w:rsid w:val="009A01D9"/>
    <w:rsid w:val="009A027F"/>
    <w:rsid w:val="009A028C"/>
    <w:rsid w:val="009A039D"/>
    <w:rsid w:val="009A03AF"/>
    <w:rsid w:val="009A041F"/>
    <w:rsid w:val="009A04E8"/>
    <w:rsid w:val="009A0559"/>
    <w:rsid w:val="009A080A"/>
    <w:rsid w:val="009A0855"/>
    <w:rsid w:val="009A087C"/>
    <w:rsid w:val="009A0B6A"/>
    <w:rsid w:val="009A0BF6"/>
    <w:rsid w:val="009A0CE2"/>
    <w:rsid w:val="009A0CED"/>
    <w:rsid w:val="009A0DFD"/>
    <w:rsid w:val="009A0FBF"/>
    <w:rsid w:val="009A1278"/>
    <w:rsid w:val="009A1291"/>
    <w:rsid w:val="009A12E5"/>
    <w:rsid w:val="009A155F"/>
    <w:rsid w:val="009A15A9"/>
    <w:rsid w:val="009A189D"/>
    <w:rsid w:val="009A1A11"/>
    <w:rsid w:val="009A1A1A"/>
    <w:rsid w:val="009A1AE9"/>
    <w:rsid w:val="009A1B77"/>
    <w:rsid w:val="009A1B99"/>
    <w:rsid w:val="009A1BB8"/>
    <w:rsid w:val="009A1F17"/>
    <w:rsid w:val="009A1F48"/>
    <w:rsid w:val="009A2014"/>
    <w:rsid w:val="009A2131"/>
    <w:rsid w:val="009A2143"/>
    <w:rsid w:val="009A2268"/>
    <w:rsid w:val="009A25DA"/>
    <w:rsid w:val="009A27F9"/>
    <w:rsid w:val="009A2B56"/>
    <w:rsid w:val="009A2B59"/>
    <w:rsid w:val="009A2B66"/>
    <w:rsid w:val="009A2B99"/>
    <w:rsid w:val="009A2CEE"/>
    <w:rsid w:val="009A2D03"/>
    <w:rsid w:val="009A2DB8"/>
    <w:rsid w:val="009A2E38"/>
    <w:rsid w:val="009A3011"/>
    <w:rsid w:val="009A306D"/>
    <w:rsid w:val="009A3144"/>
    <w:rsid w:val="009A31D9"/>
    <w:rsid w:val="009A3212"/>
    <w:rsid w:val="009A3283"/>
    <w:rsid w:val="009A3361"/>
    <w:rsid w:val="009A353A"/>
    <w:rsid w:val="009A367E"/>
    <w:rsid w:val="009A377C"/>
    <w:rsid w:val="009A3847"/>
    <w:rsid w:val="009A39F7"/>
    <w:rsid w:val="009A3B31"/>
    <w:rsid w:val="009A3D52"/>
    <w:rsid w:val="009A3DD3"/>
    <w:rsid w:val="009A3E57"/>
    <w:rsid w:val="009A3FDD"/>
    <w:rsid w:val="009A401A"/>
    <w:rsid w:val="009A40AC"/>
    <w:rsid w:val="009A40C7"/>
    <w:rsid w:val="009A418F"/>
    <w:rsid w:val="009A420F"/>
    <w:rsid w:val="009A4245"/>
    <w:rsid w:val="009A4284"/>
    <w:rsid w:val="009A4378"/>
    <w:rsid w:val="009A4412"/>
    <w:rsid w:val="009A459D"/>
    <w:rsid w:val="009A46FB"/>
    <w:rsid w:val="009A4770"/>
    <w:rsid w:val="009A47DF"/>
    <w:rsid w:val="009A4858"/>
    <w:rsid w:val="009A4930"/>
    <w:rsid w:val="009A49C6"/>
    <w:rsid w:val="009A4C80"/>
    <w:rsid w:val="009A5063"/>
    <w:rsid w:val="009A5167"/>
    <w:rsid w:val="009A5196"/>
    <w:rsid w:val="009A5250"/>
    <w:rsid w:val="009A536C"/>
    <w:rsid w:val="009A5385"/>
    <w:rsid w:val="009A576E"/>
    <w:rsid w:val="009A577D"/>
    <w:rsid w:val="009A579A"/>
    <w:rsid w:val="009A58F4"/>
    <w:rsid w:val="009A59DB"/>
    <w:rsid w:val="009A5A31"/>
    <w:rsid w:val="009A5BCD"/>
    <w:rsid w:val="009A5BED"/>
    <w:rsid w:val="009A5DC8"/>
    <w:rsid w:val="009A5EBF"/>
    <w:rsid w:val="009A5EC1"/>
    <w:rsid w:val="009A60AE"/>
    <w:rsid w:val="009A61CE"/>
    <w:rsid w:val="009A6211"/>
    <w:rsid w:val="009A6265"/>
    <w:rsid w:val="009A63DD"/>
    <w:rsid w:val="009A64BA"/>
    <w:rsid w:val="009A64D3"/>
    <w:rsid w:val="009A65ED"/>
    <w:rsid w:val="009A66C9"/>
    <w:rsid w:val="009A67E6"/>
    <w:rsid w:val="009A6896"/>
    <w:rsid w:val="009A68A7"/>
    <w:rsid w:val="009A68CB"/>
    <w:rsid w:val="009A699A"/>
    <w:rsid w:val="009A6D67"/>
    <w:rsid w:val="009A6EE8"/>
    <w:rsid w:val="009A6F2A"/>
    <w:rsid w:val="009A7069"/>
    <w:rsid w:val="009A707B"/>
    <w:rsid w:val="009A70EB"/>
    <w:rsid w:val="009A71DA"/>
    <w:rsid w:val="009A7358"/>
    <w:rsid w:val="009A75DC"/>
    <w:rsid w:val="009A772B"/>
    <w:rsid w:val="009A7734"/>
    <w:rsid w:val="009A78A9"/>
    <w:rsid w:val="009A7973"/>
    <w:rsid w:val="009A7AB9"/>
    <w:rsid w:val="009A7DCC"/>
    <w:rsid w:val="009A7EC6"/>
    <w:rsid w:val="009A7ED9"/>
    <w:rsid w:val="009A7F07"/>
    <w:rsid w:val="009B003A"/>
    <w:rsid w:val="009B0060"/>
    <w:rsid w:val="009B0073"/>
    <w:rsid w:val="009B0290"/>
    <w:rsid w:val="009B034D"/>
    <w:rsid w:val="009B0363"/>
    <w:rsid w:val="009B044A"/>
    <w:rsid w:val="009B064D"/>
    <w:rsid w:val="009B0763"/>
    <w:rsid w:val="009B0820"/>
    <w:rsid w:val="009B08E8"/>
    <w:rsid w:val="009B09ED"/>
    <w:rsid w:val="009B0A35"/>
    <w:rsid w:val="009B0B38"/>
    <w:rsid w:val="009B0C6F"/>
    <w:rsid w:val="009B0D2A"/>
    <w:rsid w:val="009B0F45"/>
    <w:rsid w:val="009B120B"/>
    <w:rsid w:val="009B1246"/>
    <w:rsid w:val="009B15D7"/>
    <w:rsid w:val="009B15F0"/>
    <w:rsid w:val="009B1614"/>
    <w:rsid w:val="009B171F"/>
    <w:rsid w:val="009B17B2"/>
    <w:rsid w:val="009B17F1"/>
    <w:rsid w:val="009B1A7F"/>
    <w:rsid w:val="009B1B30"/>
    <w:rsid w:val="009B1C07"/>
    <w:rsid w:val="009B1C2E"/>
    <w:rsid w:val="009B1CE4"/>
    <w:rsid w:val="009B1D0A"/>
    <w:rsid w:val="009B1EDF"/>
    <w:rsid w:val="009B1FC4"/>
    <w:rsid w:val="009B209A"/>
    <w:rsid w:val="009B225D"/>
    <w:rsid w:val="009B22BC"/>
    <w:rsid w:val="009B24B5"/>
    <w:rsid w:val="009B2529"/>
    <w:rsid w:val="009B26F9"/>
    <w:rsid w:val="009B2759"/>
    <w:rsid w:val="009B2799"/>
    <w:rsid w:val="009B295E"/>
    <w:rsid w:val="009B2D66"/>
    <w:rsid w:val="009B2D98"/>
    <w:rsid w:val="009B2E09"/>
    <w:rsid w:val="009B2F7E"/>
    <w:rsid w:val="009B2FE7"/>
    <w:rsid w:val="009B3020"/>
    <w:rsid w:val="009B313D"/>
    <w:rsid w:val="009B3259"/>
    <w:rsid w:val="009B3444"/>
    <w:rsid w:val="009B3535"/>
    <w:rsid w:val="009B3585"/>
    <w:rsid w:val="009B364A"/>
    <w:rsid w:val="009B3829"/>
    <w:rsid w:val="009B3867"/>
    <w:rsid w:val="009B39B2"/>
    <w:rsid w:val="009B3DC9"/>
    <w:rsid w:val="009B4021"/>
    <w:rsid w:val="009B41E1"/>
    <w:rsid w:val="009B4367"/>
    <w:rsid w:val="009B4689"/>
    <w:rsid w:val="009B472E"/>
    <w:rsid w:val="009B47CC"/>
    <w:rsid w:val="009B49B1"/>
    <w:rsid w:val="009B4A6B"/>
    <w:rsid w:val="009B4BBA"/>
    <w:rsid w:val="009B4BCE"/>
    <w:rsid w:val="009B4BDF"/>
    <w:rsid w:val="009B4C71"/>
    <w:rsid w:val="009B4CA8"/>
    <w:rsid w:val="009B4EF3"/>
    <w:rsid w:val="009B4EFB"/>
    <w:rsid w:val="009B4F64"/>
    <w:rsid w:val="009B5045"/>
    <w:rsid w:val="009B51FF"/>
    <w:rsid w:val="009B535C"/>
    <w:rsid w:val="009B5491"/>
    <w:rsid w:val="009B549C"/>
    <w:rsid w:val="009B5834"/>
    <w:rsid w:val="009B58AD"/>
    <w:rsid w:val="009B591C"/>
    <w:rsid w:val="009B5928"/>
    <w:rsid w:val="009B5A66"/>
    <w:rsid w:val="009B5A9D"/>
    <w:rsid w:val="009B5B9E"/>
    <w:rsid w:val="009B5C64"/>
    <w:rsid w:val="009B5C87"/>
    <w:rsid w:val="009B5D0D"/>
    <w:rsid w:val="009B5E6A"/>
    <w:rsid w:val="009B5EB2"/>
    <w:rsid w:val="009B5EBB"/>
    <w:rsid w:val="009B5FDF"/>
    <w:rsid w:val="009B621B"/>
    <w:rsid w:val="009B62C5"/>
    <w:rsid w:val="009B62D5"/>
    <w:rsid w:val="009B6408"/>
    <w:rsid w:val="009B6427"/>
    <w:rsid w:val="009B6567"/>
    <w:rsid w:val="009B67D1"/>
    <w:rsid w:val="009B690A"/>
    <w:rsid w:val="009B6A4A"/>
    <w:rsid w:val="009B6C4A"/>
    <w:rsid w:val="009B6FF9"/>
    <w:rsid w:val="009B7051"/>
    <w:rsid w:val="009B7086"/>
    <w:rsid w:val="009B73BF"/>
    <w:rsid w:val="009B7590"/>
    <w:rsid w:val="009B7696"/>
    <w:rsid w:val="009B76AC"/>
    <w:rsid w:val="009B774E"/>
    <w:rsid w:val="009B77A2"/>
    <w:rsid w:val="009B78BB"/>
    <w:rsid w:val="009B78EF"/>
    <w:rsid w:val="009B7DC5"/>
    <w:rsid w:val="009B7EB5"/>
    <w:rsid w:val="009C00B9"/>
    <w:rsid w:val="009C0227"/>
    <w:rsid w:val="009C02A1"/>
    <w:rsid w:val="009C0365"/>
    <w:rsid w:val="009C0670"/>
    <w:rsid w:val="009C0880"/>
    <w:rsid w:val="009C08A8"/>
    <w:rsid w:val="009C094D"/>
    <w:rsid w:val="009C0971"/>
    <w:rsid w:val="009C09C6"/>
    <w:rsid w:val="009C0AED"/>
    <w:rsid w:val="009C0B01"/>
    <w:rsid w:val="009C0B09"/>
    <w:rsid w:val="009C0BE9"/>
    <w:rsid w:val="009C0CF1"/>
    <w:rsid w:val="009C0CF5"/>
    <w:rsid w:val="009C0DD5"/>
    <w:rsid w:val="009C0EA5"/>
    <w:rsid w:val="009C1001"/>
    <w:rsid w:val="009C1078"/>
    <w:rsid w:val="009C1085"/>
    <w:rsid w:val="009C13B3"/>
    <w:rsid w:val="009C1470"/>
    <w:rsid w:val="009C1561"/>
    <w:rsid w:val="009C15D1"/>
    <w:rsid w:val="009C170E"/>
    <w:rsid w:val="009C17CD"/>
    <w:rsid w:val="009C189A"/>
    <w:rsid w:val="009C194B"/>
    <w:rsid w:val="009C1968"/>
    <w:rsid w:val="009C1A72"/>
    <w:rsid w:val="009C1A74"/>
    <w:rsid w:val="009C1C3A"/>
    <w:rsid w:val="009C1E82"/>
    <w:rsid w:val="009C1E9A"/>
    <w:rsid w:val="009C2010"/>
    <w:rsid w:val="009C2183"/>
    <w:rsid w:val="009C22BA"/>
    <w:rsid w:val="009C231E"/>
    <w:rsid w:val="009C23CC"/>
    <w:rsid w:val="009C245C"/>
    <w:rsid w:val="009C2578"/>
    <w:rsid w:val="009C25B2"/>
    <w:rsid w:val="009C25D7"/>
    <w:rsid w:val="009C263C"/>
    <w:rsid w:val="009C2676"/>
    <w:rsid w:val="009C281E"/>
    <w:rsid w:val="009C2838"/>
    <w:rsid w:val="009C2BBE"/>
    <w:rsid w:val="009C2C5E"/>
    <w:rsid w:val="009C2DDE"/>
    <w:rsid w:val="009C2F40"/>
    <w:rsid w:val="009C3014"/>
    <w:rsid w:val="009C31C8"/>
    <w:rsid w:val="009C32C6"/>
    <w:rsid w:val="009C3435"/>
    <w:rsid w:val="009C34C9"/>
    <w:rsid w:val="009C350C"/>
    <w:rsid w:val="009C3587"/>
    <w:rsid w:val="009C3BD6"/>
    <w:rsid w:val="009C3C2E"/>
    <w:rsid w:val="009C3C45"/>
    <w:rsid w:val="009C3D59"/>
    <w:rsid w:val="009C3E4A"/>
    <w:rsid w:val="009C3FB1"/>
    <w:rsid w:val="009C4147"/>
    <w:rsid w:val="009C42CF"/>
    <w:rsid w:val="009C42D1"/>
    <w:rsid w:val="009C4307"/>
    <w:rsid w:val="009C4411"/>
    <w:rsid w:val="009C4492"/>
    <w:rsid w:val="009C44F3"/>
    <w:rsid w:val="009C4563"/>
    <w:rsid w:val="009C4656"/>
    <w:rsid w:val="009C482D"/>
    <w:rsid w:val="009C4887"/>
    <w:rsid w:val="009C4A22"/>
    <w:rsid w:val="009C4A98"/>
    <w:rsid w:val="009C4CEF"/>
    <w:rsid w:val="009C4FE7"/>
    <w:rsid w:val="009C50CD"/>
    <w:rsid w:val="009C520E"/>
    <w:rsid w:val="009C521F"/>
    <w:rsid w:val="009C5468"/>
    <w:rsid w:val="009C5674"/>
    <w:rsid w:val="009C56A9"/>
    <w:rsid w:val="009C56DC"/>
    <w:rsid w:val="009C5760"/>
    <w:rsid w:val="009C5784"/>
    <w:rsid w:val="009C57D4"/>
    <w:rsid w:val="009C57FF"/>
    <w:rsid w:val="009C5A75"/>
    <w:rsid w:val="009C5BB9"/>
    <w:rsid w:val="009C5E62"/>
    <w:rsid w:val="009C60FF"/>
    <w:rsid w:val="009C61B1"/>
    <w:rsid w:val="009C633B"/>
    <w:rsid w:val="009C6369"/>
    <w:rsid w:val="009C63C6"/>
    <w:rsid w:val="009C642A"/>
    <w:rsid w:val="009C655B"/>
    <w:rsid w:val="009C6609"/>
    <w:rsid w:val="009C661E"/>
    <w:rsid w:val="009C668B"/>
    <w:rsid w:val="009C6714"/>
    <w:rsid w:val="009C6740"/>
    <w:rsid w:val="009C67CC"/>
    <w:rsid w:val="009C6814"/>
    <w:rsid w:val="009C6938"/>
    <w:rsid w:val="009C698E"/>
    <w:rsid w:val="009C69EE"/>
    <w:rsid w:val="009C6AAE"/>
    <w:rsid w:val="009C6B55"/>
    <w:rsid w:val="009C6C25"/>
    <w:rsid w:val="009C6E56"/>
    <w:rsid w:val="009C6F1C"/>
    <w:rsid w:val="009C6FAC"/>
    <w:rsid w:val="009C6FBC"/>
    <w:rsid w:val="009C6FE7"/>
    <w:rsid w:val="009C726B"/>
    <w:rsid w:val="009C72B7"/>
    <w:rsid w:val="009C77E7"/>
    <w:rsid w:val="009C7905"/>
    <w:rsid w:val="009C7941"/>
    <w:rsid w:val="009C7B46"/>
    <w:rsid w:val="009C7BA6"/>
    <w:rsid w:val="009C7BF5"/>
    <w:rsid w:val="009C7BFF"/>
    <w:rsid w:val="009C7C26"/>
    <w:rsid w:val="009C7D92"/>
    <w:rsid w:val="009C7F4F"/>
    <w:rsid w:val="009C7FA5"/>
    <w:rsid w:val="009C7FB6"/>
    <w:rsid w:val="009C7FBA"/>
    <w:rsid w:val="009D002D"/>
    <w:rsid w:val="009D0162"/>
    <w:rsid w:val="009D02BA"/>
    <w:rsid w:val="009D04D4"/>
    <w:rsid w:val="009D056B"/>
    <w:rsid w:val="009D0588"/>
    <w:rsid w:val="009D0592"/>
    <w:rsid w:val="009D05E4"/>
    <w:rsid w:val="009D0728"/>
    <w:rsid w:val="009D0781"/>
    <w:rsid w:val="009D0AB1"/>
    <w:rsid w:val="009D0AF9"/>
    <w:rsid w:val="009D0B1C"/>
    <w:rsid w:val="009D0F59"/>
    <w:rsid w:val="009D107D"/>
    <w:rsid w:val="009D12A6"/>
    <w:rsid w:val="009D12AD"/>
    <w:rsid w:val="009D12B6"/>
    <w:rsid w:val="009D1556"/>
    <w:rsid w:val="009D159F"/>
    <w:rsid w:val="009D15A2"/>
    <w:rsid w:val="009D1646"/>
    <w:rsid w:val="009D17BC"/>
    <w:rsid w:val="009D184B"/>
    <w:rsid w:val="009D1861"/>
    <w:rsid w:val="009D19C9"/>
    <w:rsid w:val="009D1A53"/>
    <w:rsid w:val="009D1A9E"/>
    <w:rsid w:val="009D1E05"/>
    <w:rsid w:val="009D1E29"/>
    <w:rsid w:val="009D1E34"/>
    <w:rsid w:val="009D2140"/>
    <w:rsid w:val="009D21AC"/>
    <w:rsid w:val="009D22F4"/>
    <w:rsid w:val="009D2753"/>
    <w:rsid w:val="009D2779"/>
    <w:rsid w:val="009D2817"/>
    <w:rsid w:val="009D281A"/>
    <w:rsid w:val="009D2B16"/>
    <w:rsid w:val="009D2C2E"/>
    <w:rsid w:val="009D2FB5"/>
    <w:rsid w:val="009D2FB8"/>
    <w:rsid w:val="009D3056"/>
    <w:rsid w:val="009D3065"/>
    <w:rsid w:val="009D3268"/>
    <w:rsid w:val="009D3475"/>
    <w:rsid w:val="009D3682"/>
    <w:rsid w:val="009D3746"/>
    <w:rsid w:val="009D3789"/>
    <w:rsid w:val="009D37AA"/>
    <w:rsid w:val="009D383A"/>
    <w:rsid w:val="009D38EF"/>
    <w:rsid w:val="009D3A7E"/>
    <w:rsid w:val="009D3A9C"/>
    <w:rsid w:val="009D3BB3"/>
    <w:rsid w:val="009D3BF9"/>
    <w:rsid w:val="009D3CD1"/>
    <w:rsid w:val="009D3DA4"/>
    <w:rsid w:val="009D3E5E"/>
    <w:rsid w:val="009D3F1A"/>
    <w:rsid w:val="009D4154"/>
    <w:rsid w:val="009D4322"/>
    <w:rsid w:val="009D44A3"/>
    <w:rsid w:val="009D44BA"/>
    <w:rsid w:val="009D45AC"/>
    <w:rsid w:val="009D476E"/>
    <w:rsid w:val="009D47B8"/>
    <w:rsid w:val="009D4930"/>
    <w:rsid w:val="009D4989"/>
    <w:rsid w:val="009D4B78"/>
    <w:rsid w:val="009D4FB2"/>
    <w:rsid w:val="009D507C"/>
    <w:rsid w:val="009D537E"/>
    <w:rsid w:val="009D5406"/>
    <w:rsid w:val="009D5554"/>
    <w:rsid w:val="009D5575"/>
    <w:rsid w:val="009D55B6"/>
    <w:rsid w:val="009D5884"/>
    <w:rsid w:val="009D58A8"/>
    <w:rsid w:val="009D58BC"/>
    <w:rsid w:val="009D5B55"/>
    <w:rsid w:val="009D5BB1"/>
    <w:rsid w:val="009D5D0D"/>
    <w:rsid w:val="009D5D1B"/>
    <w:rsid w:val="009D5DB2"/>
    <w:rsid w:val="009D5DE2"/>
    <w:rsid w:val="009D604C"/>
    <w:rsid w:val="009D6123"/>
    <w:rsid w:val="009D6397"/>
    <w:rsid w:val="009D6417"/>
    <w:rsid w:val="009D6567"/>
    <w:rsid w:val="009D656A"/>
    <w:rsid w:val="009D66E4"/>
    <w:rsid w:val="009D682B"/>
    <w:rsid w:val="009D6963"/>
    <w:rsid w:val="009D69D7"/>
    <w:rsid w:val="009D6AA1"/>
    <w:rsid w:val="009D6B2D"/>
    <w:rsid w:val="009D6B43"/>
    <w:rsid w:val="009D6DDD"/>
    <w:rsid w:val="009D7296"/>
    <w:rsid w:val="009D730D"/>
    <w:rsid w:val="009D749D"/>
    <w:rsid w:val="009D74E7"/>
    <w:rsid w:val="009D765A"/>
    <w:rsid w:val="009D787A"/>
    <w:rsid w:val="009D7AEC"/>
    <w:rsid w:val="009D7D09"/>
    <w:rsid w:val="009D7D45"/>
    <w:rsid w:val="009D7D5F"/>
    <w:rsid w:val="009D7D69"/>
    <w:rsid w:val="009D7DA7"/>
    <w:rsid w:val="009D7DFD"/>
    <w:rsid w:val="009D7E5D"/>
    <w:rsid w:val="009D7F66"/>
    <w:rsid w:val="009D7FAC"/>
    <w:rsid w:val="009E0077"/>
    <w:rsid w:val="009E021D"/>
    <w:rsid w:val="009E032B"/>
    <w:rsid w:val="009E032F"/>
    <w:rsid w:val="009E056C"/>
    <w:rsid w:val="009E0781"/>
    <w:rsid w:val="009E093D"/>
    <w:rsid w:val="009E09AB"/>
    <w:rsid w:val="009E0A43"/>
    <w:rsid w:val="009E0A89"/>
    <w:rsid w:val="009E0C30"/>
    <w:rsid w:val="009E0D03"/>
    <w:rsid w:val="009E0F48"/>
    <w:rsid w:val="009E103B"/>
    <w:rsid w:val="009E1046"/>
    <w:rsid w:val="009E13AA"/>
    <w:rsid w:val="009E1575"/>
    <w:rsid w:val="009E1718"/>
    <w:rsid w:val="009E1739"/>
    <w:rsid w:val="009E1791"/>
    <w:rsid w:val="009E17DE"/>
    <w:rsid w:val="009E1995"/>
    <w:rsid w:val="009E1BCC"/>
    <w:rsid w:val="009E1C75"/>
    <w:rsid w:val="009E1D86"/>
    <w:rsid w:val="009E1E85"/>
    <w:rsid w:val="009E1E99"/>
    <w:rsid w:val="009E1F06"/>
    <w:rsid w:val="009E1FE0"/>
    <w:rsid w:val="009E24E6"/>
    <w:rsid w:val="009E2653"/>
    <w:rsid w:val="009E29E6"/>
    <w:rsid w:val="009E2C91"/>
    <w:rsid w:val="009E2E7B"/>
    <w:rsid w:val="009E2EEC"/>
    <w:rsid w:val="009E2F03"/>
    <w:rsid w:val="009E2FE3"/>
    <w:rsid w:val="009E2FEF"/>
    <w:rsid w:val="009E301A"/>
    <w:rsid w:val="009E302C"/>
    <w:rsid w:val="009E31CF"/>
    <w:rsid w:val="009E3357"/>
    <w:rsid w:val="009E3404"/>
    <w:rsid w:val="009E342E"/>
    <w:rsid w:val="009E3488"/>
    <w:rsid w:val="009E353D"/>
    <w:rsid w:val="009E37A5"/>
    <w:rsid w:val="009E37F2"/>
    <w:rsid w:val="009E388E"/>
    <w:rsid w:val="009E38D6"/>
    <w:rsid w:val="009E38EB"/>
    <w:rsid w:val="009E38F4"/>
    <w:rsid w:val="009E3946"/>
    <w:rsid w:val="009E3A79"/>
    <w:rsid w:val="009E3ABC"/>
    <w:rsid w:val="009E3EEC"/>
    <w:rsid w:val="009E3F13"/>
    <w:rsid w:val="009E3F38"/>
    <w:rsid w:val="009E3F63"/>
    <w:rsid w:val="009E3FE5"/>
    <w:rsid w:val="009E40EE"/>
    <w:rsid w:val="009E410F"/>
    <w:rsid w:val="009E4148"/>
    <w:rsid w:val="009E4244"/>
    <w:rsid w:val="009E42CE"/>
    <w:rsid w:val="009E4310"/>
    <w:rsid w:val="009E437F"/>
    <w:rsid w:val="009E455F"/>
    <w:rsid w:val="009E46BD"/>
    <w:rsid w:val="009E4779"/>
    <w:rsid w:val="009E4864"/>
    <w:rsid w:val="009E4A14"/>
    <w:rsid w:val="009E4AA4"/>
    <w:rsid w:val="009E4B57"/>
    <w:rsid w:val="009E4D39"/>
    <w:rsid w:val="009E4D4E"/>
    <w:rsid w:val="009E4F22"/>
    <w:rsid w:val="009E4F52"/>
    <w:rsid w:val="009E4F75"/>
    <w:rsid w:val="009E5055"/>
    <w:rsid w:val="009E50C1"/>
    <w:rsid w:val="009E50EB"/>
    <w:rsid w:val="009E516A"/>
    <w:rsid w:val="009E51FE"/>
    <w:rsid w:val="009E53EA"/>
    <w:rsid w:val="009E5470"/>
    <w:rsid w:val="009E5474"/>
    <w:rsid w:val="009E55A9"/>
    <w:rsid w:val="009E55BD"/>
    <w:rsid w:val="009E5663"/>
    <w:rsid w:val="009E5726"/>
    <w:rsid w:val="009E57AD"/>
    <w:rsid w:val="009E5840"/>
    <w:rsid w:val="009E58D5"/>
    <w:rsid w:val="009E5A0F"/>
    <w:rsid w:val="009E5BE6"/>
    <w:rsid w:val="009E5C2E"/>
    <w:rsid w:val="009E5C31"/>
    <w:rsid w:val="009E5C4E"/>
    <w:rsid w:val="009E5D4E"/>
    <w:rsid w:val="009E5E71"/>
    <w:rsid w:val="009E5F76"/>
    <w:rsid w:val="009E5FB9"/>
    <w:rsid w:val="009E5FBD"/>
    <w:rsid w:val="009E603A"/>
    <w:rsid w:val="009E6054"/>
    <w:rsid w:val="009E60B4"/>
    <w:rsid w:val="009E6114"/>
    <w:rsid w:val="009E612C"/>
    <w:rsid w:val="009E619D"/>
    <w:rsid w:val="009E63B5"/>
    <w:rsid w:val="009E63D5"/>
    <w:rsid w:val="009E649B"/>
    <w:rsid w:val="009E6518"/>
    <w:rsid w:val="009E6708"/>
    <w:rsid w:val="009E680A"/>
    <w:rsid w:val="009E687F"/>
    <w:rsid w:val="009E6945"/>
    <w:rsid w:val="009E6AFA"/>
    <w:rsid w:val="009E6B67"/>
    <w:rsid w:val="009E6B84"/>
    <w:rsid w:val="009E6DE8"/>
    <w:rsid w:val="009E6EB2"/>
    <w:rsid w:val="009E6F93"/>
    <w:rsid w:val="009E716F"/>
    <w:rsid w:val="009E7289"/>
    <w:rsid w:val="009E728D"/>
    <w:rsid w:val="009E729E"/>
    <w:rsid w:val="009E7359"/>
    <w:rsid w:val="009E73A6"/>
    <w:rsid w:val="009E73FC"/>
    <w:rsid w:val="009E753B"/>
    <w:rsid w:val="009E75ED"/>
    <w:rsid w:val="009E76AB"/>
    <w:rsid w:val="009E7727"/>
    <w:rsid w:val="009E7992"/>
    <w:rsid w:val="009E7AA7"/>
    <w:rsid w:val="009E7AC4"/>
    <w:rsid w:val="009E7ED2"/>
    <w:rsid w:val="009F001E"/>
    <w:rsid w:val="009F024A"/>
    <w:rsid w:val="009F028A"/>
    <w:rsid w:val="009F0300"/>
    <w:rsid w:val="009F04AE"/>
    <w:rsid w:val="009F053B"/>
    <w:rsid w:val="009F066F"/>
    <w:rsid w:val="009F0764"/>
    <w:rsid w:val="009F0795"/>
    <w:rsid w:val="009F08AB"/>
    <w:rsid w:val="009F08BB"/>
    <w:rsid w:val="009F0A41"/>
    <w:rsid w:val="009F0A93"/>
    <w:rsid w:val="009F0BBF"/>
    <w:rsid w:val="009F0D50"/>
    <w:rsid w:val="009F0DCC"/>
    <w:rsid w:val="009F0EB3"/>
    <w:rsid w:val="009F10A9"/>
    <w:rsid w:val="009F10E3"/>
    <w:rsid w:val="009F1197"/>
    <w:rsid w:val="009F11C8"/>
    <w:rsid w:val="009F11D2"/>
    <w:rsid w:val="009F132D"/>
    <w:rsid w:val="009F14EA"/>
    <w:rsid w:val="009F173C"/>
    <w:rsid w:val="009F186C"/>
    <w:rsid w:val="009F1D02"/>
    <w:rsid w:val="009F1DDE"/>
    <w:rsid w:val="009F1FC0"/>
    <w:rsid w:val="009F1FE9"/>
    <w:rsid w:val="009F2020"/>
    <w:rsid w:val="009F20D2"/>
    <w:rsid w:val="009F219E"/>
    <w:rsid w:val="009F272C"/>
    <w:rsid w:val="009F2802"/>
    <w:rsid w:val="009F29DA"/>
    <w:rsid w:val="009F2B6B"/>
    <w:rsid w:val="009F2C91"/>
    <w:rsid w:val="009F2CA5"/>
    <w:rsid w:val="009F2D6E"/>
    <w:rsid w:val="009F3093"/>
    <w:rsid w:val="009F31E8"/>
    <w:rsid w:val="009F3216"/>
    <w:rsid w:val="009F3447"/>
    <w:rsid w:val="009F35C1"/>
    <w:rsid w:val="009F3624"/>
    <w:rsid w:val="009F36C3"/>
    <w:rsid w:val="009F37DE"/>
    <w:rsid w:val="009F39AC"/>
    <w:rsid w:val="009F39BB"/>
    <w:rsid w:val="009F3A6F"/>
    <w:rsid w:val="009F3B38"/>
    <w:rsid w:val="009F3C9A"/>
    <w:rsid w:val="009F3D94"/>
    <w:rsid w:val="009F3E63"/>
    <w:rsid w:val="009F3F3E"/>
    <w:rsid w:val="009F3FB1"/>
    <w:rsid w:val="009F3FDB"/>
    <w:rsid w:val="009F41D4"/>
    <w:rsid w:val="009F43D1"/>
    <w:rsid w:val="009F4461"/>
    <w:rsid w:val="009F450F"/>
    <w:rsid w:val="009F4535"/>
    <w:rsid w:val="009F463F"/>
    <w:rsid w:val="009F46F4"/>
    <w:rsid w:val="009F46F5"/>
    <w:rsid w:val="009F48D3"/>
    <w:rsid w:val="009F4967"/>
    <w:rsid w:val="009F4998"/>
    <w:rsid w:val="009F49D4"/>
    <w:rsid w:val="009F4AB9"/>
    <w:rsid w:val="009F4AE5"/>
    <w:rsid w:val="009F4B01"/>
    <w:rsid w:val="009F4B02"/>
    <w:rsid w:val="009F4B6F"/>
    <w:rsid w:val="009F4C3D"/>
    <w:rsid w:val="009F4C8F"/>
    <w:rsid w:val="009F4CE4"/>
    <w:rsid w:val="009F4CE9"/>
    <w:rsid w:val="009F4D09"/>
    <w:rsid w:val="009F4D7E"/>
    <w:rsid w:val="009F51DF"/>
    <w:rsid w:val="009F5292"/>
    <w:rsid w:val="009F535A"/>
    <w:rsid w:val="009F5411"/>
    <w:rsid w:val="009F5960"/>
    <w:rsid w:val="009F5A1A"/>
    <w:rsid w:val="009F5AA7"/>
    <w:rsid w:val="009F5B43"/>
    <w:rsid w:val="009F5B6E"/>
    <w:rsid w:val="009F5C29"/>
    <w:rsid w:val="009F5C4A"/>
    <w:rsid w:val="009F5CB1"/>
    <w:rsid w:val="009F5D8B"/>
    <w:rsid w:val="009F5E1A"/>
    <w:rsid w:val="009F5F19"/>
    <w:rsid w:val="009F5F69"/>
    <w:rsid w:val="009F5F91"/>
    <w:rsid w:val="009F5FD9"/>
    <w:rsid w:val="009F6174"/>
    <w:rsid w:val="009F628B"/>
    <w:rsid w:val="009F62E5"/>
    <w:rsid w:val="009F63F0"/>
    <w:rsid w:val="009F6434"/>
    <w:rsid w:val="009F6583"/>
    <w:rsid w:val="009F6617"/>
    <w:rsid w:val="009F679A"/>
    <w:rsid w:val="009F6878"/>
    <w:rsid w:val="009F68B4"/>
    <w:rsid w:val="009F6991"/>
    <w:rsid w:val="009F6A4E"/>
    <w:rsid w:val="009F6A83"/>
    <w:rsid w:val="009F6B1B"/>
    <w:rsid w:val="009F6C03"/>
    <w:rsid w:val="009F6C10"/>
    <w:rsid w:val="009F6D84"/>
    <w:rsid w:val="009F6DF8"/>
    <w:rsid w:val="009F6EDF"/>
    <w:rsid w:val="009F703A"/>
    <w:rsid w:val="009F707A"/>
    <w:rsid w:val="009F71C4"/>
    <w:rsid w:val="009F71EE"/>
    <w:rsid w:val="009F71FF"/>
    <w:rsid w:val="009F724D"/>
    <w:rsid w:val="009F7437"/>
    <w:rsid w:val="009F74DD"/>
    <w:rsid w:val="009F74DF"/>
    <w:rsid w:val="009F75E6"/>
    <w:rsid w:val="009F766A"/>
    <w:rsid w:val="009F7734"/>
    <w:rsid w:val="009F7770"/>
    <w:rsid w:val="009F78B5"/>
    <w:rsid w:val="009F78DF"/>
    <w:rsid w:val="009F793B"/>
    <w:rsid w:val="009F7977"/>
    <w:rsid w:val="009F7A7B"/>
    <w:rsid w:val="009F7B2E"/>
    <w:rsid w:val="009F7B9F"/>
    <w:rsid w:val="009F7BBE"/>
    <w:rsid w:val="009F7C40"/>
    <w:rsid w:val="009F7CBE"/>
    <w:rsid w:val="009F7CCC"/>
    <w:rsid w:val="009F7CD1"/>
    <w:rsid w:val="009F7D68"/>
    <w:rsid w:val="00A0000B"/>
    <w:rsid w:val="00A0014D"/>
    <w:rsid w:val="00A00186"/>
    <w:rsid w:val="00A00391"/>
    <w:rsid w:val="00A003E4"/>
    <w:rsid w:val="00A003FC"/>
    <w:rsid w:val="00A004EA"/>
    <w:rsid w:val="00A00565"/>
    <w:rsid w:val="00A00570"/>
    <w:rsid w:val="00A008F1"/>
    <w:rsid w:val="00A00976"/>
    <w:rsid w:val="00A009EC"/>
    <w:rsid w:val="00A00A0E"/>
    <w:rsid w:val="00A00ACC"/>
    <w:rsid w:val="00A00C3A"/>
    <w:rsid w:val="00A00C68"/>
    <w:rsid w:val="00A00F1F"/>
    <w:rsid w:val="00A00F50"/>
    <w:rsid w:val="00A00FD0"/>
    <w:rsid w:val="00A01238"/>
    <w:rsid w:val="00A01251"/>
    <w:rsid w:val="00A0129F"/>
    <w:rsid w:val="00A01358"/>
    <w:rsid w:val="00A015F0"/>
    <w:rsid w:val="00A016AF"/>
    <w:rsid w:val="00A017BE"/>
    <w:rsid w:val="00A01838"/>
    <w:rsid w:val="00A0188A"/>
    <w:rsid w:val="00A018BA"/>
    <w:rsid w:val="00A019C1"/>
    <w:rsid w:val="00A01A43"/>
    <w:rsid w:val="00A01B00"/>
    <w:rsid w:val="00A01B32"/>
    <w:rsid w:val="00A01BFC"/>
    <w:rsid w:val="00A01CFD"/>
    <w:rsid w:val="00A01D1E"/>
    <w:rsid w:val="00A01F9D"/>
    <w:rsid w:val="00A01FA9"/>
    <w:rsid w:val="00A0206B"/>
    <w:rsid w:val="00A02318"/>
    <w:rsid w:val="00A02575"/>
    <w:rsid w:val="00A025C7"/>
    <w:rsid w:val="00A02677"/>
    <w:rsid w:val="00A026B1"/>
    <w:rsid w:val="00A02769"/>
    <w:rsid w:val="00A02788"/>
    <w:rsid w:val="00A02A23"/>
    <w:rsid w:val="00A02AC0"/>
    <w:rsid w:val="00A02B54"/>
    <w:rsid w:val="00A02DA7"/>
    <w:rsid w:val="00A02DC2"/>
    <w:rsid w:val="00A02E2D"/>
    <w:rsid w:val="00A02E5D"/>
    <w:rsid w:val="00A02FE9"/>
    <w:rsid w:val="00A03039"/>
    <w:rsid w:val="00A032BC"/>
    <w:rsid w:val="00A03321"/>
    <w:rsid w:val="00A03330"/>
    <w:rsid w:val="00A03342"/>
    <w:rsid w:val="00A03361"/>
    <w:rsid w:val="00A03524"/>
    <w:rsid w:val="00A0352D"/>
    <w:rsid w:val="00A0357D"/>
    <w:rsid w:val="00A035FA"/>
    <w:rsid w:val="00A0368B"/>
    <w:rsid w:val="00A036BC"/>
    <w:rsid w:val="00A037A8"/>
    <w:rsid w:val="00A0387E"/>
    <w:rsid w:val="00A0389F"/>
    <w:rsid w:val="00A03AE6"/>
    <w:rsid w:val="00A03B58"/>
    <w:rsid w:val="00A03C06"/>
    <w:rsid w:val="00A03CB7"/>
    <w:rsid w:val="00A03D10"/>
    <w:rsid w:val="00A03E37"/>
    <w:rsid w:val="00A03EFA"/>
    <w:rsid w:val="00A041C2"/>
    <w:rsid w:val="00A042A2"/>
    <w:rsid w:val="00A04332"/>
    <w:rsid w:val="00A0452F"/>
    <w:rsid w:val="00A04828"/>
    <w:rsid w:val="00A049BD"/>
    <w:rsid w:val="00A04CFE"/>
    <w:rsid w:val="00A04DF3"/>
    <w:rsid w:val="00A04EAE"/>
    <w:rsid w:val="00A051B3"/>
    <w:rsid w:val="00A051E9"/>
    <w:rsid w:val="00A052A4"/>
    <w:rsid w:val="00A055C2"/>
    <w:rsid w:val="00A05616"/>
    <w:rsid w:val="00A0583B"/>
    <w:rsid w:val="00A0589C"/>
    <w:rsid w:val="00A059A8"/>
    <w:rsid w:val="00A05A45"/>
    <w:rsid w:val="00A05C28"/>
    <w:rsid w:val="00A05D70"/>
    <w:rsid w:val="00A05D75"/>
    <w:rsid w:val="00A05DE9"/>
    <w:rsid w:val="00A05EA8"/>
    <w:rsid w:val="00A05F28"/>
    <w:rsid w:val="00A061EA"/>
    <w:rsid w:val="00A063A6"/>
    <w:rsid w:val="00A063AB"/>
    <w:rsid w:val="00A0678C"/>
    <w:rsid w:val="00A067E8"/>
    <w:rsid w:val="00A06859"/>
    <w:rsid w:val="00A068CA"/>
    <w:rsid w:val="00A06AC0"/>
    <w:rsid w:val="00A06AD0"/>
    <w:rsid w:val="00A06B78"/>
    <w:rsid w:val="00A06B7E"/>
    <w:rsid w:val="00A06D43"/>
    <w:rsid w:val="00A06D97"/>
    <w:rsid w:val="00A0742C"/>
    <w:rsid w:val="00A0744E"/>
    <w:rsid w:val="00A074BF"/>
    <w:rsid w:val="00A0759A"/>
    <w:rsid w:val="00A075C2"/>
    <w:rsid w:val="00A07613"/>
    <w:rsid w:val="00A0773D"/>
    <w:rsid w:val="00A07816"/>
    <w:rsid w:val="00A0789E"/>
    <w:rsid w:val="00A079B9"/>
    <w:rsid w:val="00A079FF"/>
    <w:rsid w:val="00A07CE2"/>
    <w:rsid w:val="00A07CFE"/>
    <w:rsid w:val="00A07D02"/>
    <w:rsid w:val="00A07D6E"/>
    <w:rsid w:val="00A07DB6"/>
    <w:rsid w:val="00A07F52"/>
    <w:rsid w:val="00A07F57"/>
    <w:rsid w:val="00A07F73"/>
    <w:rsid w:val="00A07FA0"/>
    <w:rsid w:val="00A10077"/>
    <w:rsid w:val="00A100AD"/>
    <w:rsid w:val="00A100F1"/>
    <w:rsid w:val="00A10225"/>
    <w:rsid w:val="00A1025D"/>
    <w:rsid w:val="00A102E6"/>
    <w:rsid w:val="00A10340"/>
    <w:rsid w:val="00A1034F"/>
    <w:rsid w:val="00A1042C"/>
    <w:rsid w:val="00A10589"/>
    <w:rsid w:val="00A10592"/>
    <w:rsid w:val="00A105F0"/>
    <w:rsid w:val="00A10652"/>
    <w:rsid w:val="00A106EE"/>
    <w:rsid w:val="00A106F5"/>
    <w:rsid w:val="00A108C4"/>
    <w:rsid w:val="00A10907"/>
    <w:rsid w:val="00A10A02"/>
    <w:rsid w:val="00A10ABC"/>
    <w:rsid w:val="00A10AF5"/>
    <w:rsid w:val="00A10D33"/>
    <w:rsid w:val="00A10D6B"/>
    <w:rsid w:val="00A10D94"/>
    <w:rsid w:val="00A10EF9"/>
    <w:rsid w:val="00A10FC2"/>
    <w:rsid w:val="00A112BB"/>
    <w:rsid w:val="00A11510"/>
    <w:rsid w:val="00A1159F"/>
    <w:rsid w:val="00A11911"/>
    <w:rsid w:val="00A11914"/>
    <w:rsid w:val="00A11BE6"/>
    <w:rsid w:val="00A11D36"/>
    <w:rsid w:val="00A11D7B"/>
    <w:rsid w:val="00A11EFA"/>
    <w:rsid w:val="00A1213C"/>
    <w:rsid w:val="00A1233A"/>
    <w:rsid w:val="00A12381"/>
    <w:rsid w:val="00A12463"/>
    <w:rsid w:val="00A124D3"/>
    <w:rsid w:val="00A124D5"/>
    <w:rsid w:val="00A12575"/>
    <w:rsid w:val="00A12593"/>
    <w:rsid w:val="00A12696"/>
    <w:rsid w:val="00A12790"/>
    <w:rsid w:val="00A1279F"/>
    <w:rsid w:val="00A12870"/>
    <w:rsid w:val="00A12945"/>
    <w:rsid w:val="00A12BC4"/>
    <w:rsid w:val="00A12CFE"/>
    <w:rsid w:val="00A12D08"/>
    <w:rsid w:val="00A12E37"/>
    <w:rsid w:val="00A12F23"/>
    <w:rsid w:val="00A12FAF"/>
    <w:rsid w:val="00A13119"/>
    <w:rsid w:val="00A131A7"/>
    <w:rsid w:val="00A13443"/>
    <w:rsid w:val="00A1353A"/>
    <w:rsid w:val="00A13695"/>
    <w:rsid w:val="00A1387E"/>
    <w:rsid w:val="00A13A18"/>
    <w:rsid w:val="00A13BB0"/>
    <w:rsid w:val="00A13C6F"/>
    <w:rsid w:val="00A13D3B"/>
    <w:rsid w:val="00A13E78"/>
    <w:rsid w:val="00A1420D"/>
    <w:rsid w:val="00A1437A"/>
    <w:rsid w:val="00A143C8"/>
    <w:rsid w:val="00A144C4"/>
    <w:rsid w:val="00A145CB"/>
    <w:rsid w:val="00A14670"/>
    <w:rsid w:val="00A146D5"/>
    <w:rsid w:val="00A1477E"/>
    <w:rsid w:val="00A148C8"/>
    <w:rsid w:val="00A149AC"/>
    <w:rsid w:val="00A14BA1"/>
    <w:rsid w:val="00A14C94"/>
    <w:rsid w:val="00A14ECA"/>
    <w:rsid w:val="00A15040"/>
    <w:rsid w:val="00A151CA"/>
    <w:rsid w:val="00A1522A"/>
    <w:rsid w:val="00A152EE"/>
    <w:rsid w:val="00A15445"/>
    <w:rsid w:val="00A15455"/>
    <w:rsid w:val="00A154F7"/>
    <w:rsid w:val="00A15625"/>
    <w:rsid w:val="00A1563B"/>
    <w:rsid w:val="00A157A8"/>
    <w:rsid w:val="00A159B6"/>
    <w:rsid w:val="00A15A53"/>
    <w:rsid w:val="00A15B05"/>
    <w:rsid w:val="00A15C61"/>
    <w:rsid w:val="00A15C6C"/>
    <w:rsid w:val="00A15D4A"/>
    <w:rsid w:val="00A15D4F"/>
    <w:rsid w:val="00A15DF8"/>
    <w:rsid w:val="00A15FA6"/>
    <w:rsid w:val="00A16063"/>
    <w:rsid w:val="00A16133"/>
    <w:rsid w:val="00A161DF"/>
    <w:rsid w:val="00A16226"/>
    <w:rsid w:val="00A16255"/>
    <w:rsid w:val="00A16357"/>
    <w:rsid w:val="00A16467"/>
    <w:rsid w:val="00A16596"/>
    <w:rsid w:val="00A166D2"/>
    <w:rsid w:val="00A167B1"/>
    <w:rsid w:val="00A16823"/>
    <w:rsid w:val="00A1683F"/>
    <w:rsid w:val="00A1689C"/>
    <w:rsid w:val="00A16B92"/>
    <w:rsid w:val="00A16BB7"/>
    <w:rsid w:val="00A16C56"/>
    <w:rsid w:val="00A16CA7"/>
    <w:rsid w:val="00A16CE7"/>
    <w:rsid w:val="00A16F1A"/>
    <w:rsid w:val="00A16FAA"/>
    <w:rsid w:val="00A171D9"/>
    <w:rsid w:val="00A17279"/>
    <w:rsid w:val="00A17344"/>
    <w:rsid w:val="00A173AC"/>
    <w:rsid w:val="00A17440"/>
    <w:rsid w:val="00A174FC"/>
    <w:rsid w:val="00A175EE"/>
    <w:rsid w:val="00A175FC"/>
    <w:rsid w:val="00A17612"/>
    <w:rsid w:val="00A17647"/>
    <w:rsid w:val="00A1765D"/>
    <w:rsid w:val="00A17672"/>
    <w:rsid w:val="00A177DD"/>
    <w:rsid w:val="00A1781A"/>
    <w:rsid w:val="00A1790B"/>
    <w:rsid w:val="00A17AC3"/>
    <w:rsid w:val="00A17ADE"/>
    <w:rsid w:val="00A17B7E"/>
    <w:rsid w:val="00A17BEE"/>
    <w:rsid w:val="00A17D90"/>
    <w:rsid w:val="00A17DEF"/>
    <w:rsid w:val="00A200DA"/>
    <w:rsid w:val="00A201CA"/>
    <w:rsid w:val="00A202F5"/>
    <w:rsid w:val="00A20407"/>
    <w:rsid w:val="00A20433"/>
    <w:rsid w:val="00A20669"/>
    <w:rsid w:val="00A207EC"/>
    <w:rsid w:val="00A20839"/>
    <w:rsid w:val="00A20880"/>
    <w:rsid w:val="00A2090C"/>
    <w:rsid w:val="00A20A25"/>
    <w:rsid w:val="00A20B49"/>
    <w:rsid w:val="00A20B64"/>
    <w:rsid w:val="00A20BA8"/>
    <w:rsid w:val="00A20C03"/>
    <w:rsid w:val="00A20C52"/>
    <w:rsid w:val="00A20E70"/>
    <w:rsid w:val="00A20EA5"/>
    <w:rsid w:val="00A210A5"/>
    <w:rsid w:val="00A212EF"/>
    <w:rsid w:val="00A21360"/>
    <w:rsid w:val="00A213BF"/>
    <w:rsid w:val="00A213ED"/>
    <w:rsid w:val="00A214DB"/>
    <w:rsid w:val="00A21542"/>
    <w:rsid w:val="00A21546"/>
    <w:rsid w:val="00A21551"/>
    <w:rsid w:val="00A21558"/>
    <w:rsid w:val="00A215F7"/>
    <w:rsid w:val="00A21622"/>
    <w:rsid w:val="00A21638"/>
    <w:rsid w:val="00A21678"/>
    <w:rsid w:val="00A218CF"/>
    <w:rsid w:val="00A21929"/>
    <w:rsid w:val="00A219CB"/>
    <w:rsid w:val="00A21B90"/>
    <w:rsid w:val="00A21D35"/>
    <w:rsid w:val="00A21F91"/>
    <w:rsid w:val="00A2201B"/>
    <w:rsid w:val="00A22127"/>
    <w:rsid w:val="00A22176"/>
    <w:rsid w:val="00A2217D"/>
    <w:rsid w:val="00A221A5"/>
    <w:rsid w:val="00A221A6"/>
    <w:rsid w:val="00A22336"/>
    <w:rsid w:val="00A22383"/>
    <w:rsid w:val="00A223A4"/>
    <w:rsid w:val="00A223AD"/>
    <w:rsid w:val="00A22481"/>
    <w:rsid w:val="00A2248B"/>
    <w:rsid w:val="00A224AC"/>
    <w:rsid w:val="00A224E0"/>
    <w:rsid w:val="00A22597"/>
    <w:rsid w:val="00A22622"/>
    <w:rsid w:val="00A2267B"/>
    <w:rsid w:val="00A226E7"/>
    <w:rsid w:val="00A22731"/>
    <w:rsid w:val="00A229D0"/>
    <w:rsid w:val="00A22AA0"/>
    <w:rsid w:val="00A22C60"/>
    <w:rsid w:val="00A22CA3"/>
    <w:rsid w:val="00A22D4E"/>
    <w:rsid w:val="00A22DBD"/>
    <w:rsid w:val="00A22E1B"/>
    <w:rsid w:val="00A22E43"/>
    <w:rsid w:val="00A22EF2"/>
    <w:rsid w:val="00A22F19"/>
    <w:rsid w:val="00A22F65"/>
    <w:rsid w:val="00A23027"/>
    <w:rsid w:val="00A230CF"/>
    <w:rsid w:val="00A231A1"/>
    <w:rsid w:val="00A232A3"/>
    <w:rsid w:val="00A23329"/>
    <w:rsid w:val="00A233F0"/>
    <w:rsid w:val="00A234D5"/>
    <w:rsid w:val="00A234DB"/>
    <w:rsid w:val="00A234FE"/>
    <w:rsid w:val="00A23532"/>
    <w:rsid w:val="00A23587"/>
    <w:rsid w:val="00A2360C"/>
    <w:rsid w:val="00A238CF"/>
    <w:rsid w:val="00A23A7B"/>
    <w:rsid w:val="00A23A9A"/>
    <w:rsid w:val="00A23ADE"/>
    <w:rsid w:val="00A23BF2"/>
    <w:rsid w:val="00A23C7E"/>
    <w:rsid w:val="00A23CF7"/>
    <w:rsid w:val="00A23E17"/>
    <w:rsid w:val="00A23E23"/>
    <w:rsid w:val="00A23E2C"/>
    <w:rsid w:val="00A24281"/>
    <w:rsid w:val="00A242C8"/>
    <w:rsid w:val="00A243A7"/>
    <w:rsid w:val="00A243AB"/>
    <w:rsid w:val="00A24445"/>
    <w:rsid w:val="00A244EA"/>
    <w:rsid w:val="00A24674"/>
    <w:rsid w:val="00A24698"/>
    <w:rsid w:val="00A24709"/>
    <w:rsid w:val="00A248B0"/>
    <w:rsid w:val="00A24A11"/>
    <w:rsid w:val="00A24A67"/>
    <w:rsid w:val="00A24A92"/>
    <w:rsid w:val="00A24B36"/>
    <w:rsid w:val="00A24BD0"/>
    <w:rsid w:val="00A24D32"/>
    <w:rsid w:val="00A24D68"/>
    <w:rsid w:val="00A24E80"/>
    <w:rsid w:val="00A24E93"/>
    <w:rsid w:val="00A2527E"/>
    <w:rsid w:val="00A25368"/>
    <w:rsid w:val="00A254CF"/>
    <w:rsid w:val="00A25601"/>
    <w:rsid w:val="00A2565C"/>
    <w:rsid w:val="00A256E0"/>
    <w:rsid w:val="00A25700"/>
    <w:rsid w:val="00A2570C"/>
    <w:rsid w:val="00A25712"/>
    <w:rsid w:val="00A25719"/>
    <w:rsid w:val="00A257CA"/>
    <w:rsid w:val="00A2589E"/>
    <w:rsid w:val="00A25B34"/>
    <w:rsid w:val="00A25C0E"/>
    <w:rsid w:val="00A25D14"/>
    <w:rsid w:val="00A25D62"/>
    <w:rsid w:val="00A26012"/>
    <w:rsid w:val="00A260EC"/>
    <w:rsid w:val="00A2615C"/>
    <w:rsid w:val="00A26260"/>
    <w:rsid w:val="00A26266"/>
    <w:rsid w:val="00A26267"/>
    <w:rsid w:val="00A26404"/>
    <w:rsid w:val="00A26572"/>
    <w:rsid w:val="00A26615"/>
    <w:rsid w:val="00A2666E"/>
    <w:rsid w:val="00A2684A"/>
    <w:rsid w:val="00A26928"/>
    <w:rsid w:val="00A26988"/>
    <w:rsid w:val="00A26AB7"/>
    <w:rsid w:val="00A26B89"/>
    <w:rsid w:val="00A26BB0"/>
    <w:rsid w:val="00A26C87"/>
    <w:rsid w:val="00A26EE3"/>
    <w:rsid w:val="00A26F9C"/>
    <w:rsid w:val="00A2708F"/>
    <w:rsid w:val="00A270A0"/>
    <w:rsid w:val="00A270C7"/>
    <w:rsid w:val="00A27132"/>
    <w:rsid w:val="00A271BA"/>
    <w:rsid w:val="00A27211"/>
    <w:rsid w:val="00A272DA"/>
    <w:rsid w:val="00A27430"/>
    <w:rsid w:val="00A274CE"/>
    <w:rsid w:val="00A27554"/>
    <w:rsid w:val="00A27694"/>
    <w:rsid w:val="00A27814"/>
    <w:rsid w:val="00A279D7"/>
    <w:rsid w:val="00A27E15"/>
    <w:rsid w:val="00A3007B"/>
    <w:rsid w:val="00A3007C"/>
    <w:rsid w:val="00A30101"/>
    <w:rsid w:val="00A301F6"/>
    <w:rsid w:val="00A3023E"/>
    <w:rsid w:val="00A30552"/>
    <w:rsid w:val="00A30862"/>
    <w:rsid w:val="00A30A8C"/>
    <w:rsid w:val="00A30A8F"/>
    <w:rsid w:val="00A30BC9"/>
    <w:rsid w:val="00A30C90"/>
    <w:rsid w:val="00A30DA8"/>
    <w:rsid w:val="00A30E3B"/>
    <w:rsid w:val="00A30E8C"/>
    <w:rsid w:val="00A30F6A"/>
    <w:rsid w:val="00A30FCB"/>
    <w:rsid w:val="00A3104B"/>
    <w:rsid w:val="00A31097"/>
    <w:rsid w:val="00A310EF"/>
    <w:rsid w:val="00A3112D"/>
    <w:rsid w:val="00A3121E"/>
    <w:rsid w:val="00A31242"/>
    <w:rsid w:val="00A31347"/>
    <w:rsid w:val="00A3138F"/>
    <w:rsid w:val="00A313C7"/>
    <w:rsid w:val="00A31665"/>
    <w:rsid w:val="00A317ED"/>
    <w:rsid w:val="00A3197E"/>
    <w:rsid w:val="00A31A78"/>
    <w:rsid w:val="00A31AA3"/>
    <w:rsid w:val="00A31B53"/>
    <w:rsid w:val="00A31CA9"/>
    <w:rsid w:val="00A31CEB"/>
    <w:rsid w:val="00A31E06"/>
    <w:rsid w:val="00A31F59"/>
    <w:rsid w:val="00A32140"/>
    <w:rsid w:val="00A32145"/>
    <w:rsid w:val="00A32203"/>
    <w:rsid w:val="00A32339"/>
    <w:rsid w:val="00A324D6"/>
    <w:rsid w:val="00A32632"/>
    <w:rsid w:val="00A32643"/>
    <w:rsid w:val="00A32684"/>
    <w:rsid w:val="00A326F9"/>
    <w:rsid w:val="00A329C6"/>
    <w:rsid w:val="00A32A1E"/>
    <w:rsid w:val="00A32BDF"/>
    <w:rsid w:val="00A32C63"/>
    <w:rsid w:val="00A32DA3"/>
    <w:rsid w:val="00A32EDD"/>
    <w:rsid w:val="00A32EF8"/>
    <w:rsid w:val="00A32F04"/>
    <w:rsid w:val="00A32F21"/>
    <w:rsid w:val="00A330EA"/>
    <w:rsid w:val="00A331EC"/>
    <w:rsid w:val="00A33588"/>
    <w:rsid w:val="00A3368E"/>
    <w:rsid w:val="00A336A4"/>
    <w:rsid w:val="00A3375A"/>
    <w:rsid w:val="00A3380B"/>
    <w:rsid w:val="00A33A41"/>
    <w:rsid w:val="00A33B6E"/>
    <w:rsid w:val="00A33BCB"/>
    <w:rsid w:val="00A33E4D"/>
    <w:rsid w:val="00A33E99"/>
    <w:rsid w:val="00A34050"/>
    <w:rsid w:val="00A34145"/>
    <w:rsid w:val="00A34211"/>
    <w:rsid w:val="00A34213"/>
    <w:rsid w:val="00A34219"/>
    <w:rsid w:val="00A3429C"/>
    <w:rsid w:val="00A342EE"/>
    <w:rsid w:val="00A34452"/>
    <w:rsid w:val="00A34475"/>
    <w:rsid w:val="00A344B1"/>
    <w:rsid w:val="00A34529"/>
    <w:rsid w:val="00A34670"/>
    <w:rsid w:val="00A346ED"/>
    <w:rsid w:val="00A34752"/>
    <w:rsid w:val="00A3476F"/>
    <w:rsid w:val="00A348E3"/>
    <w:rsid w:val="00A349FD"/>
    <w:rsid w:val="00A34B30"/>
    <w:rsid w:val="00A34D2F"/>
    <w:rsid w:val="00A34D37"/>
    <w:rsid w:val="00A350D3"/>
    <w:rsid w:val="00A35273"/>
    <w:rsid w:val="00A35458"/>
    <w:rsid w:val="00A35474"/>
    <w:rsid w:val="00A3549D"/>
    <w:rsid w:val="00A354BA"/>
    <w:rsid w:val="00A3551D"/>
    <w:rsid w:val="00A355A8"/>
    <w:rsid w:val="00A3566A"/>
    <w:rsid w:val="00A35705"/>
    <w:rsid w:val="00A357B8"/>
    <w:rsid w:val="00A35823"/>
    <w:rsid w:val="00A359BC"/>
    <w:rsid w:val="00A359D3"/>
    <w:rsid w:val="00A35BA5"/>
    <w:rsid w:val="00A35DDE"/>
    <w:rsid w:val="00A35EE6"/>
    <w:rsid w:val="00A36238"/>
    <w:rsid w:val="00A36583"/>
    <w:rsid w:val="00A366C4"/>
    <w:rsid w:val="00A368E4"/>
    <w:rsid w:val="00A3693F"/>
    <w:rsid w:val="00A3696C"/>
    <w:rsid w:val="00A36A1B"/>
    <w:rsid w:val="00A36A94"/>
    <w:rsid w:val="00A36C69"/>
    <w:rsid w:val="00A36F0A"/>
    <w:rsid w:val="00A36F56"/>
    <w:rsid w:val="00A37270"/>
    <w:rsid w:val="00A372D6"/>
    <w:rsid w:val="00A3737C"/>
    <w:rsid w:val="00A373BF"/>
    <w:rsid w:val="00A374A3"/>
    <w:rsid w:val="00A374F0"/>
    <w:rsid w:val="00A37611"/>
    <w:rsid w:val="00A37711"/>
    <w:rsid w:val="00A3778E"/>
    <w:rsid w:val="00A377CA"/>
    <w:rsid w:val="00A378D7"/>
    <w:rsid w:val="00A37999"/>
    <w:rsid w:val="00A37A70"/>
    <w:rsid w:val="00A37ACE"/>
    <w:rsid w:val="00A37BC6"/>
    <w:rsid w:val="00A37C55"/>
    <w:rsid w:val="00A37C79"/>
    <w:rsid w:val="00A37D28"/>
    <w:rsid w:val="00A37D2C"/>
    <w:rsid w:val="00A37DFF"/>
    <w:rsid w:val="00A37EE5"/>
    <w:rsid w:val="00A37F62"/>
    <w:rsid w:val="00A37FB7"/>
    <w:rsid w:val="00A37FE2"/>
    <w:rsid w:val="00A40062"/>
    <w:rsid w:val="00A40209"/>
    <w:rsid w:val="00A403FE"/>
    <w:rsid w:val="00A40862"/>
    <w:rsid w:val="00A40884"/>
    <w:rsid w:val="00A4088D"/>
    <w:rsid w:val="00A40DE0"/>
    <w:rsid w:val="00A40F6E"/>
    <w:rsid w:val="00A41002"/>
    <w:rsid w:val="00A41069"/>
    <w:rsid w:val="00A410FC"/>
    <w:rsid w:val="00A413B3"/>
    <w:rsid w:val="00A413D0"/>
    <w:rsid w:val="00A4148F"/>
    <w:rsid w:val="00A417E6"/>
    <w:rsid w:val="00A4192F"/>
    <w:rsid w:val="00A41947"/>
    <w:rsid w:val="00A41990"/>
    <w:rsid w:val="00A4199B"/>
    <w:rsid w:val="00A41A3F"/>
    <w:rsid w:val="00A41A9A"/>
    <w:rsid w:val="00A41AD1"/>
    <w:rsid w:val="00A41C29"/>
    <w:rsid w:val="00A41D9A"/>
    <w:rsid w:val="00A41E03"/>
    <w:rsid w:val="00A41EF5"/>
    <w:rsid w:val="00A421C3"/>
    <w:rsid w:val="00A421D9"/>
    <w:rsid w:val="00A422CD"/>
    <w:rsid w:val="00A42505"/>
    <w:rsid w:val="00A4250A"/>
    <w:rsid w:val="00A427B6"/>
    <w:rsid w:val="00A428D6"/>
    <w:rsid w:val="00A4297B"/>
    <w:rsid w:val="00A42AC3"/>
    <w:rsid w:val="00A43169"/>
    <w:rsid w:val="00A4319E"/>
    <w:rsid w:val="00A434F7"/>
    <w:rsid w:val="00A43520"/>
    <w:rsid w:val="00A436E7"/>
    <w:rsid w:val="00A437A2"/>
    <w:rsid w:val="00A4380E"/>
    <w:rsid w:val="00A43A67"/>
    <w:rsid w:val="00A43B2D"/>
    <w:rsid w:val="00A43B77"/>
    <w:rsid w:val="00A43B93"/>
    <w:rsid w:val="00A43BCB"/>
    <w:rsid w:val="00A43C0D"/>
    <w:rsid w:val="00A43C73"/>
    <w:rsid w:val="00A43D00"/>
    <w:rsid w:val="00A43D1D"/>
    <w:rsid w:val="00A43D7D"/>
    <w:rsid w:val="00A43EFC"/>
    <w:rsid w:val="00A43FAF"/>
    <w:rsid w:val="00A43FE0"/>
    <w:rsid w:val="00A44223"/>
    <w:rsid w:val="00A442BB"/>
    <w:rsid w:val="00A4435F"/>
    <w:rsid w:val="00A445E2"/>
    <w:rsid w:val="00A44640"/>
    <w:rsid w:val="00A447AE"/>
    <w:rsid w:val="00A447C3"/>
    <w:rsid w:val="00A4495F"/>
    <w:rsid w:val="00A4497A"/>
    <w:rsid w:val="00A44989"/>
    <w:rsid w:val="00A449F8"/>
    <w:rsid w:val="00A44B6E"/>
    <w:rsid w:val="00A44B83"/>
    <w:rsid w:val="00A44B8A"/>
    <w:rsid w:val="00A44BF8"/>
    <w:rsid w:val="00A44C50"/>
    <w:rsid w:val="00A44C7A"/>
    <w:rsid w:val="00A44D11"/>
    <w:rsid w:val="00A44E70"/>
    <w:rsid w:val="00A44FA9"/>
    <w:rsid w:val="00A4519D"/>
    <w:rsid w:val="00A45242"/>
    <w:rsid w:val="00A452C3"/>
    <w:rsid w:val="00A45324"/>
    <w:rsid w:val="00A454FF"/>
    <w:rsid w:val="00A45517"/>
    <w:rsid w:val="00A455BA"/>
    <w:rsid w:val="00A455C3"/>
    <w:rsid w:val="00A456D0"/>
    <w:rsid w:val="00A45982"/>
    <w:rsid w:val="00A45A40"/>
    <w:rsid w:val="00A45A7E"/>
    <w:rsid w:val="00A45B4E"/>
    <w:rsid w:val="00A45B9E"/>
    <w:rsid w:val="00A45D0B"/>
    <w:rsid w:val="00A45E36"/>
    <w:rsid w:val="00A45ED0"/>
    <w:rsid w:val="00A46118"/>
    <w:rsid w:val="00A4626E"/>
    <w:rsid w:val="00A462C5"/>
    <w:rsid w:val="00A46417"/>
    <w:rsid w:val="00A464A0"/>
    <w:rsid w:val="00A465F6"/>
    <w:rsid w:val="00A46745"/>
    <w:rsid w:val="00A46956"/>
    <w:rsid w:val="00A4697F"/>
    <w:rsid w:val="00A469BC"/>
    <w:rsid w:val="00A46AE4"/>
    <w:rsid w:val="00A46C10"/>
    <w:rsid w:val="00A46C34"/>
    <w:rsid w:val="00A46C58"/>
    <w:rsid w:val="00A46FA7"/>
    <w:rsid w:val="00A47089"/>
    <w:rsid w:val="00A470C4"/>
    <w:rsid w:val="00A47165"/>
    <w:rsid w:val="00A47243"/>
    <w:rsid w:val="00A472DF"/>
    <w:rsid w:val="00A475E1"/>
    <w:rsid w:val="00A477D0"/>
    <w:rsid w:val="00A47818"/>
    <w:rsid w:val="00A47882"/>
    <w:rsid w:val="00A47957"/>
    <w:rsid w:val="00A47B32"/>
    <w:rsid w:val="00A47BD0"/>
    <w:rsid w:val="00A47C5C"/>
    <w:rsid w:val="00A47C91"/>
    <w:rsid w:val="00A47DBD"/>
    <w:rsid w:val="00A47EDD"/>
    <w:rsid w:val="00A47FC3"/>
    <w:rsid w:val="00A50280"/>
    <w:rsid w:val="00A50847"/>
    <w:rsid w:val="00A50875"/>
    <w:rsid w:val="00A508F3"/>
    <w:rsid w:val="00A50A52"/>
    <w:rsid w:val="00A50A8E"/>
    <w:rsid w:val="00A50B87"/>
    <w:rsid w:val="00A50BCB"/>
    <w:rsid w:val="00A50CFD"/>
    <w:rsid w:val="00A50EB1"/>
    <w:rsid w:val="00A50FB1"/>
    <w:rsid w:val="00A5103E"/>
    <w:rsid w:val="00A51186"/>
    <w:rsid w:val="00A511D4"/>
    <w:rsid w:val="00A5126B"/>
    <w:rsid w:val="00A512EC"/>
    <w:rsid w:val="00A513E6"/>
    <w:rsid w:val="00A5142C"/>
    <w:rsid w:val="00A51743"/>
    <w:rsid w:val="00A5196E"/>
    <w:rsid w:val="00A51A53"/>
    <w:rsid w:val="00A51BF1"/>
    <w:rsid w:val="00A51BF3"/>
    <w:rsid w:val="00A51C1F"/>
    <w:rsid w:val="00A51C7A"/>
    <w:rsid w:val="00A51CBD"/>
    <w:rsid w:val="00A51CC5"/>
    <w:rsid w:val="00A51DBA"/>
    <w:rsid w:val="00A51DF3"/>
    <w:rsid w:val="00A51E70"/>
    <w:rsid w:val="00A51ECA"/>
    <w:rsid w:val="00A52261"/>
    <w:rsid w:val="00A523ED"/>
    <w:rsid w:val="00A52534"/>
    <w:rsid w:val="00A5260B"/>
    <w:rsid w:val="00A5266C"/>
    <w:rsid w:val="00A526F1"/>
    <w:rsid w:val="00A527A0"/>
    <w:rsid w:val="00A52962"/>
    <w:rsid w:val="00A52A75"/>
    <w:rsid w:val="00A52B5C"/>
    <w:rsid w:val="00A52C51"/>
    <w:rsid w:val="00A52C72"/>
    <w:rsid w:val="00A52DE2"/>
    <w:rsid w:val="00A52EF3"/>
    <w:rsid w:val="00A52F55"/>
    <w:rsid w:val="00A52FC6"/>
    <w:rsid w:val="00A531DD"/>
    <w:rsid w:val="00A531E0"/>
    <w:rsid w:val="00A53245"/>
    <w:rsid w:val="00A532F2"/>
    <w:rsid w:val="00A53367"/>
    <w:rsid w:val="00A533BB"/>
    <w:rsid w:val="00A533FF"/>
    <w:rsid w:val="00A5358E"/>
    <w:rsid w:val="00A5361C"/>
    <w:rsid w:val="00A5365F"/>
    <w:rsid w:val="00A53704"/>
    <w:rsid w:val="00A537B1"/>
    <w:rsid w:val="00A537CF"/>
    <w:rsid w:val="00A5385B"/>
    <w:rsid w:val="00A53863"/>
    <w:rsid w:val="00A538D3"/>
    <w:rsid w:val="00A538E8"/>
    <w:rsid w:val="00A53944"/>
    <w:rsid w:val="00A53A30"/>
    <w:rsid w:val="00A53A90"/>
    <w:rsid w:val="00A53C12"/>
    <w:rsid w:val="00A53D58"/>
    <w:rsid w:val="00A53DF0"/>
    <w:rsid w:val="00A53E12"/>
    <w:rsid w:val="00A53EA9"/>
    <w:rsid w:val="00A53F32"/>
    <w:rsid w:val="00A53FC3"/>
    <w:rsid w:val="00A5402F"/>
    <w:rsid w:val="00A54061"/>
    <w:rsid w:val="00A54107"/>
    <w:rsid w:val="00A54191"/>
    <w:rsid w:val="00A541D5"/>
    <w:rsid w:val="00A541EB"/>
    <w:rsid w:val="00A54496"/>
    <w:rsid w:val="00A546B1"/>
    <w:rsid w:val="00A546E0"/>
    <w:rsid w:val="00A546E4"/>
    <w:rsid w:val="00A54858"/>
    <w:rsid w:val="00A549AB"/>
    <w:rsid w:val="00A549F4"/>
    <w:rsid w:val="00A54A3D"/>
    <w:rsid w:val="00A55019"/>
    <w:rsid w:val="00A550DA"/>
    <w:rsid w:val="00A5518F"/>
    <w:rsid w:val="00A551E6"/>
    <w:rsid w:val="00A55319"/>
    <w:rsid w:val="00A5532A"/>
    <w:rsid w:val="00A553A3"/>
    <w:rsid w:val="00A55422"/>
    <w:rsid w:val="00A55478"/>
    <w:rsid w:val="00A556EB"/>
    <w:rsid w:val="00A5576D"/>
    <w:rsid w:val="00A5594D"/>
    <w:rsid w:val="00A559B1"/>
    <w:rsid w:val="00A55A4D"/>
    <w:rsid w:val="00A55A80"/>
    <w:rsid w:val="00A55A8D"/>
    <w:rsid w:val="00A55C19"/>
    <w:rsid w:val="00A55CDE"/>
    <w:rsid w:val="00A55E5A"/>
    <w:rsid w:val="00A55F72"/>
    <w:rsid w:val="00A55F87"/>
    <w:rsid w:val="00A56031"/>
    <w:rsid w:val="00A560DA"/>
    <w:rsid w:val="00A561AA"/>
    <w:rsid w:val="00A561F6"/>
    <w:rsid w:val="00A5639E"/>
    <w:rsid w:val="00A563E1"/>
    <w:rsid w:val="00A564BE"/>
    <w:rsid w:val="00A564E6"/>
    <w:rsid w:val="00A568A2"/>
    <w:rsid w:val="00A56B44"/>
    <w:rsid w:val="00A56B6E"/>
    <w:rsid w:val="00A56BDA"/>
    <w:rsid w:val="00A56D1D"/>
    <w:rsid w:val="00A56DA9"/>
    <w:rsid w:val="00A5705F"/>
    <w:rsid w:val="00A57162"/>
    <w:rsid w:val="00A571F2"/>
    <w:rsid w:val="00A57216"/>
    <w:rsid w:val="00A57276"/>
    <w:rsid w:val="00A573B1"/>
    <w:rsid w:val="00A574E0"/>
    <w:rsid w:val="00A575DA"/>
    <w:rsid w:val="00A5762B"/>
    <w:rsid w:val="00A5763F"/>
    <w:rsid w:val="00A57642"/>
    <w:rsid w:val="00A576CC"/>
    <w:rsid w:val="00A576CF"/>
    <w:rsid w:val="00A5772F"/>
    <w:rsid w:val="00A577B8"/>
    <w:rsid w:val="00A579B1"/>
    <w:rsid w:val="00A57A4E"/>
    <w:rsid w:val="00A57AA3"/>
    <w:rsid w:val="00A57AE4"/>
    <w:rsid w:val="00A57AF2"/>
    <w:rsid w:val="00A57AFA"/>
    <w:rsid w:val="00A57B07"/>
    <w:rsid w:val="00A57C3B"/>
    <w:rsid w:val="00A57C9C"/>
    <w:rsid w:val="00A57DD3"/>
    <w:rsid w:val="00A57E6E"/>
    <w:rsid w:val="00A57F13"/>
    <w:rsid w:val="00A57FA8"/>
    <w:rsid w:val="00A60313"/>
    <w:rsid w:val="00A603E2"/>
    <w:rsid w:val="00A604CC"/>
    <w:rsid w:val="00A60678"/>
    <w:rsid w:val="00A60726"/>
    <w:rsid w:val="00A6081C"/>
    <w:rsid w:val="00A60857"/>
    <w:rsid w:val="00A608BC"/>
    <w:rsid w:val="00A609D8"/>
    <w:rsid w:val="00A60A35"/>
    <w:rsid w:val="00A60B49"/>
    <w:rsid w:val="00A60C1A"/>
    <w:rsid w:val="00A60D23"/>
    <w:rsid w:val="00A60D9A"/>
    <w:rsid w:val="00A60E25"/>
    <w:rsid w:val="00A60E6C"/>
    <w:rsid w:val="00A60EA6"/>
    <w:rsid w:val="00A60ECB"/>
    <w:rsid w:val="00A6108E"/>
    <w:rsid w:val="00A6126F"/>
    <w:rsid w:val="00A612AE"/>
    <w:rsid w:val="00A61306"/>
    <w:rsid w:val="00A61322"/>
    <w:rsid w:val="00A613C1"/>
    <w:rsid w:val="00A613EE"/>
    <w:rsid w:val="00A61445"/>
    <w:rsid w:val="00A61564"/>
    <w:rsid w:val="00A61622"/>
    <w:rsid w:val="00A61745"/>
    <w:rsid w:val="00A6190B"/>
    <w:rsid w:val="00A61A14"/>
    <w:rsid w:val="00A61AAC"/>
    <w:rsid w:val="00A61BF2"/>
    <w:rsid w:val="00A61CD9"/>
    <w:rsid w:val="00A61E33"/>
    <w:rsid w:val="00A61FC0"/>
    <w:rsid w:val="00A61FF6"/>
    <w:rsid w:val="00A621FA"/>
    <w:rsid w:val="00A622D2"/>
    <w:rsid w:val="00A6230D"/>
    <w:rsid w:val="00A6244D"/>
    <w:rsid w:val="00A624A5"/>
    <w:rsid w:val="00A62635"/>
    <w:rsid w:val="00A62739"/>
    <w:rsid w:val="00A6286D"/>
    <w:rsid w:val="00A62886"/>
    <w:rsid w:val="00A6292C"/>
    <w:rsid w:val="00A629EE"/>
    <w:rsid w:val="00A62AEB"/>
    <w:rsid w:val="00A62C11"/>
    <w:rsid w:val="00A62D23"/>
    <w:rsid w:val="00A62E48"/>
    <w:rsid w:val="00A62EFE"/>
    <w:rsid w:val="00A636DC"/>
    <w:rsid w:val="00A637DC"/>
    <w:rsid w:val="00A63861"/>
    <w:rsid w:val="00A63913"/>
    <w:rsid w:val="00A63914"/>
    <w:rsid w:val="00A639B7"/>
    <w:rsid w:val="00A63C94"/>
    <w:rsid w:val="00A63D35"/>
    <w:rsid w:val="00A63DC3"/>
    <w:rsid w:val="00A63ED3"/>
    <w:rsid w:val="00A64100"/>
    <w:rsid w:val="00A642FD"/>
    <w:rsid w:val="00A643CB"/>
    <w:rsid w:val="00A644B5"/>
    <w:rsid w:val="00A645BD"/>
    <w:rsid w:val="00A646A8"/>
    <w:rsid w:val="00A64867"/>
    <w:rsid w:val="00A64894"/>
    <w:rsid w:val="00A64989"/>
    <w:rsid w:val="00A649F3"/>
    <w:rsid w:val="00A64C5F"/>
    <w:rsid w:val="00A64CAB"/>
    <w:rsid w:val="00A64F3B"/>
    <w:rsid w:val="00A652AC"/>
    <w:rsid w:val="00A65346"/>
    <w:rsid w:val="00A65390"/>
    <w:rsid w:val="00A65496"/>
    <w:rsid w:val="00A65573"/>
    <w:rsid w:val="00A65628"/>
    <w:rsid w:val="00A65676"/>
    <w:rsid w:val="00A65677"/>
    <w:rsid w:val="00A6579B"/>
    <w:rsid w:val="00A657BD"/>
    <w:rsid w:val="00A6583F"/>
    <w:rsid w:val="00A65CCB"/>
    <w:rsid w:val="00A65CF6"/>
    <w:rsid w:val="00A65D10"/>
    <w:rsid w:val="00A65D35"/>
    <w:rsid w:val="00A65DC2"/>
    <w:rsid w:val="00A65F96"/>
    <w:rsid w:val="00A66022"/>
    <w:rsid w:val="00A66035"/>
    <w:rsid w:val="00A663F0"/>
    <w:rsid w:val="00A6645E"/>
    <w:rsid w:val="00A664C4"/>
    <w:rsid w:val="00A66555"/>
    <w:rsid w:val="00A665C2"/>
    <w:rsid w:val="00A665DB"/>
    <w:rsid w:val="00A666B1"/>
    <w:rsid w:val="00A666B7"/>
    <w:rsid w:val="00A66781"/>
    <w:rsid w:val="00A668AF"/>
    <w:rsid w:val="00A6692F"/>
    <w:rsid w:val="00A66AE4"/>
    <w:rsid w:val="00A66B93"/>
    <w:rsid w:val="00A66BA7"/>
    <w:rsid w:val="00A66C4B"/>
    <w:rsid w:val="00A66C8A"/>
    <w:rsid w:val="00A66C97"/>
    <w:rsid w:val="00A66CA8"/>
    <w:rsid w:val="00A66CEE"/>
    <w:rsid w:val="00A66D6E"/>
    <w:rsid w:val="00A66E48"/>
    <w:rsid w:val="00A66E99"/>
    <w:rsid w:val="00A66F21"/>
    <w:rsid w:val="00A66F38"/>
    <w:rsid w:val="00A670B6"/>
    <w:rsid w:val="00A670CC"/>
    <w:rsid w:val="00A67118"/>
    <w:rsid w:val="00A67132"/>
    <w:rsid w:val="00A67205"/>
    <w:rsid w:val="00A672B8"/>
    <w:rsid w:val="00A67479"/>
    <w:rsid w:val="00A67487"/>
    <w:rsid w:val="00A6752E"/>
    <w:rsid w:val="00A67533"/>
    <w:rsid w:val="00A6766C"/>
    <w:rsid w:val="00A6768B"/>
    <w:rsid w:val="00A6770E"/>
    <w:rsid w:val="00A67760"/>
    <w:rsid w:val="00A67853"/>
    <w:rsid w:val="00A67989"/>
    <w:rsid w:val="00A67C41"/>
    <w:rsid w:val="00A67DE9"/>
    <w:rsid w:val="00A67E45"/>
    <w:rsid w:val="00A67E5C"/>
    <w:rsid w:val="00A67F61"/>
    <w:rsid w:val="00A700B8"/>
    <w:rsid w:val="00A701EC"/>
    <w:rsid w:val="00A70429"/>
    <w:rsid w:val="00A704C3"/>
    <w:rsid w:val="00A7064E"/>
    <w:rsid w:val="00A70678"/>
    <w:rsid w:val="00A706EB"/>
    <w:rsid w:val="00A707FF"/>
    <w:rsid w:val="00A708A8"/>
    <w:rsid w:val="00A70ADF"/>
    <w:rsid w:val="00A70B92"/>
    <w:rsid w:val="00A70CA6"/>
    <w:rsid w:val="00A70D12"/>
    <w:rsid w:val="00A70FA9"/>
    <w:rsid w:val="00A710B6"/>
    <w:rsid w:val="00A71158"/>
    <w:rsid w:val="00A71198"/>
    <w:rsid w:val="00A712A8"/>
    <w:rsid w:val="00A7135F"/>
    <w:rsid w:val="00A71502"/>
    <w:rsid w:val="00A7159B"/>
    <w:rsid w:val="00A7173A"/>
    <w:rsid w:val="00A7173D"/>
    <w:rsid w:val="00A71789"/>
    <w:rsid w:val="00A71821"/>
    <w:rsid w:val="00A71A2A"/>
    <w:rsid w:val="00A71B01"/>
    <w:rsid w:val="00A71B78"/>
    <w:rsid w:val="00A71C4B"/>
    <w:rsid w:val="00A71D15"/>
    <w:rsid w:val="00A71D34"/>
    <w:rsid w:val="00A71DBB"/>
    <w:rsid w:val="00A71F2B"/>
    <w:rsid w:val="00A71FE2"/>
    <w:rsid w:val="00A721F4"/>
    <w:rsid w:val="00A7236E"/>
    <w:rsid w:val="00A723E0"/>
    <w:rsid w:val="00A72495"/>
    <w:rsid w:val="00A724E7"/>
    <w:rsid w:val="00A72697"/>
    <w:rsid w:val="00A7276E"/>
    <w:rsid w:val="00A727F8"/>
    <w:rsid w:val="00A72827"/>
    <w:rsid w:val="00A72830"/>
    <w:rsid w:val="00A7287F"/>
    <w:rsid w:val="00A728B1"/>
    <w:rsid w:val="00A728C7"/>
    <w:rsid w:val="00A729FC"/>
    <w:rsid w:val="00A72AB6"/>
    <w:rsid w:val="00A72CE4"/>
    <w:rsid w:val="00A72DEF"/>
    <w:rsid w:val="00A72F1E"/>
    <w:rsid w:val="00A72F95"/>
    <w:rsid w:val="00A72FA1"/>
    <w:rsid w:val="00A7301B"/>
    <w:rsid w:val="00A73059"/>
    <w:rsid w:val="00A7307F"/>
    <w:rsid w:val="00A730F8"/>
    <w:rsid w:val="00A731A1"/>
    <w:rsid w:val="00A731A2"/>
    <w:rsid w:val="00A73242"/>
    <w:rsid w:val="00A733A8"/>
    <w:rsid w:val="00A734B7"/>
    <w:rsid w:val="00A73565"/>
    <w:rsid w:val="00A735F1"/>
    <w:rsid w:val="00A73639"/>
    <w:rsid w:val="00A73775"/>
    <w:rsid w:val="00A7377F"/>
    <w:rsid w:val="00A73895"/>
    <w:rsid w:val="00A738B4"/>
    <w:rsid w:val="00A738CB"/>
    <w:rsid w:val="00A73A2D"/>
    <w:rsid w:val="00A73B4E"/>
    <w:rsid w:val="00A73D65"/>
    <w:rsid w:val="00A73D7A"/>
    <w:rsid w:val="00A73E7C"/>
    <w:rsid w:val="00A73FE3"/>
    <w:rsid w:val="00A73FFC"/>
    <w:rsid w:val="00A741EA"/>
    <w:rsid w:val="00A742F8"/>
    <w:rsid w:val="00A744A1"/>
    <w:rsid w:val="00A744AB"/>
    <w:rsid w:val="00A74502"/>
    <w:rsid w:val="00A74530"/>
    <w:rsid w:val="00A747B9"/>
    <w:rsid w:val="00A749ED"/>
    <w:rsid w:val="00A74BC7"/>
    <w:rsid w:val="00A74C25"/>
    <w:rsid w:val="00A74C74"/>
    <w:rsid w:val="00A74CB0"/>
    <w:rsid w:val="00A74E11"/>
    <w:rsid w:val="00A75186"/>
    <w:rsid w:val="00A75288"/>
    <w:rsid w:val="00A752E2"/>
    <w:rsid w:val="00A752F3"/>
    <w:rsid w:val="00A754EF"/>
    <w:rsid w:val="00A7559D"/>
    <w:rsid w:val="00A7582D"/>
    <w:rsid w:val="00A75855"/>
    <w:rsid w:val="00A7598D"/>
    <w:rsid w:val="00A75C4A"/>
    <w:rsid w:val="00A75E59"/>
    <w:rsid w:val="00A75F2A"/>
    <w:rsid w:val="00A75F54"/>
    <w:rsid w:val="00A75FC2"/>
    <w:rsid w:val="00A76056"/>
    <w:rsid w:val="00A76075"/>
    <w:rsid w:val="00A761D4"/>
    <w:rsid w:val="00A76201"/>
    <w:rsid w:val="00A76242"/>
    <w:rsid w:val="00A76336"/>
    <w:rsid w:val="00A76340"/>
    <w:rsid w:val="00A7634A"/>
    <w:rsid w:val="00A7634D"/>
    <w:rsid w:val="00A764C1"/>
    <w:rsid w:val="00A765F1"/>
    <w:rsid w:val="00A76921"/>
    <w:rsid w:val="00A76950"/>
    <w:rsid w:val="00A76AB7"/>
    <w:rsid w:val="00A76C03"/>
    <w:rsid w:val="00A76C2C"/>
    <w:rsid w:val="00A76C8D"/>
    <w:rsid w:val="00A76CC5"/>
    <w:rsid w:val="00A76CDB"/>
    <w:rsid w:val="00A76D0F"/>
    <w:rsid w:val="00A76E4D"/>
    <w:rsid w:val="00A76FFC"/>
    <w:rsid w:val="00A770A3"/>
    <w:rsid w:val="00A770AD"/>
    <w:rsid w:val="00A7718C"/>
    <w:rsid w:val="00A7726F"/>
    <w:rsid w:val="00A775B4"/>
    <w:rsid w:val="00A77731"/>
    <w:rsid w:val="00A777D2"/>
    <w:rsid w:val="00A77800"/>
    <w:rsid w:val="00A77A6F"/>
    <w:rsid w:val="00A77B06"/>
    <w:rsid w:val="00A77CD3"/>
    <w:rsid w:val="00A77DC1"/>
    <w:rsid w:val="00A77EBC"/>
    <w:rsid w:val="00A77F7E"/>
    <w:rsid w:val="00A77F8A"/>
    <w:rsid w:val="00A800C0"/>
    <w:rsid w:val="00A801B9"/>
    <w:rsid w:val="00A801E9"/>
    <w:rsid w:val="00A802AF"/>
    <w:rsid w:val="00A803F8"/>
    <w:rsid w:val="00A80416"/>
    <w:rsid w:val="00A80487"/>
    <w:rsid w:val="00A804B1"/>
    <w:rsid w:val="00A80591"/>
    <w:rsid w:val="00A805DC"/>
    <w:rsid w:val="00A80630"/>
    <w:rsid w:val="00A80674"/>
    <w:rsid w:val="00A80678"/>
    <w:rsid w:val="00A807D5"/>
    <w:rsid w:val="00A8086F"/>
    <w:rsid w:val="00A80922"/>
    <w:rsid w:val="00A809FF"/>
    <w:rsid w:val="00A80C71"/>
    <w:rsid w:val="00A80E40"/>
    <w:rsid w:val="00A8103B"/>
    <w:rsid w:val="00A81184"/>
    <w:rsid w:val="00A81298"/>
    <w:rsid w:val="00A81380"/>
    <w:rsid w:val="00A813E4"/>
    <w:rsid w:val="00A8147E"/>
    <w:rsid w:val="00A81714"/>
    <w:rsid w:val="00A817D4"/>
    <w:rsid w:val="00A817DE"/>
    <w:rsid w:val="00A81A95"/>
    <w:rsid w:val="00A81AAB"/>
    <w:rsid w:val="00A81B80"/>
    <w:rsid w:val="00A81CE3"/>
    <w:rsid w:val="00A81D64"/>
    <w:rsid w:val="00A81E43"/>
    <w:rsid w:val="00A81F0A"/>
    <w:rsid w:val="00A81F97"/>
    <w:rsid w:val="00A81FB6"/>
    <w:rsid w:val="00A81FF4"/>
    <w:rsid w:val="00A8203D"/>
    <w:rsid w:val="00A8203F"/>
    <w:rsid w:val="00A82102"/>
    <w:rsid w:val="00A8216D"/>
    <w:rsid w:val="00A82238"/>
    <w:rsid w:val="00A82302"/>
    <w:rsid w:val="00A82374"/>
    <w:rsid w:val="00A82523"/>
    <w:rsid w:val="00A8258A"/>
    <w:rsid w:val="00A8267C"/>
    <w:rsid w:val="00A826A8"/>
    <w:rsid w:val="00A826C0"/>
    <w:rsid w:val="00A826C8"/>
    <w:rsid w:val="00A82725"/>
    <w:rsid w:val="00A829BD"/>
    <w:rsid w:val="00A82C76"/>
    <w:rsid w:val="00A82CD3"/>
    <w:rsid w:val="00A82D12"/>
    <w:rsid w:val="00A82F91"/>
    <w:rsid w:val="00A838A2"/>
    <w:rsid w:val="00A838AD"/>
    <w:rsid w:val="00A83911"/>
    <w:rsid w:val="00A839E7"/>
    <w:rsid w:val="00A83A08"/>
    <w:rsid w:val="00A83B7C"/>
    <w:rsid w:val="00A83BCB"/>
    <w:rsid w:val="00A83BCE"/>
    <w:rsid w:val="00A83CC8"/>
    <w:rsid w:val="00A83EBD"/>
    <w:rsid w:val="00A83F7F"/>
    <w:rsid w:val="00A8408E"/>
    <w:rsid w:val="00A843E0"/>
    <w:rsid w:val="00A845E5"/>
    <w:rsid w:val="00A84642"/>
    <w:rsid w:val="00A8471A"/>
    <w:rsid w:val="00A84731"/>
    <w:rsid w:val="00A8475F"/>
    <w:rsid w:val="00A8479A"/>
    <w:rsid w:val="00A84892"/>
    <w:rsid w:val="00A84925"/>
    <w:rsid w:val="00A8492A"/>
    <w:rsid w:val="00A84937"/>
    <w:rsid w:val="00A84A0C"/>
    <w:rsid w:val="00A84A5D"/>
    <w:rsid w:val="00A84A7E"/>
    <w:rsid w:val="00A84B10"/>
    <w:rsid w:val="00A84CB2"/>
    <w:rsid w:val="00A84D94"/>
    <w:rsid w:val="00A850F3"/>
    <w:rsid w:val="00A85152"/>
    <w:rsid w:val="00A8533B"/>
    <w:rsid w:val="00A85491"/>
    <w:rsid w:val="00A85572"/>
    <w:rsid w:val="00A855CD"/>
    <w:rsid w:val="00A855F2"/>
    <w:rsid w:val="00A85879"/>
    <w:rsid w:val="00A858B1"/>
    <w:rsid w:val="00A859CE"/>
    <w:rsid w:val="00A85A10"/>
    <w:rsid w:val="00A85A95"/>
    <w:rsid w:val="00A85B00"/>
    <w:rsid w:val="00A85B57"/>
    <w:rsid w:val="00A85CF3"/>
    <w:rsid w:val="00A85E48"/>
    <w:rsid w:val="00A86055"/>
    <w:rsid w:val="00A860E7"/>
    <w:rsid w:val="00A861AB"/>
    <w:rsid w:val="00A862E8"/>
    <w:rsid w:val="00A86393"/>
    <w:rsid w:val="00A8650E"/>
    <w:rsid w:val="00A86599"/>
    <w:rsid w:val="00A86603"/>
    <w:rsid w:val="00A868C6"/>
    <w:rsid w:val="00A8699B"/>
    <w:rsid w:val="00A869E8"/>
    <w:rsid w:val="00A86B3C"/>
    <w:rsid w:val="00A86D8E"/>
    <w:rsid w:val="00A86DD0"/>
    <w:rsid w:val="00A86E54"/>
    <w:rsid w:val="00A86F5E"/>
    <w:rsid w:val="00A86F69"/>
    <w:rsid w:val="00A871A1"/>
    <w:rsid w:val="00A87240"/>
    <w:rsid w:val="00A8726C"/>
    <w:rsid w:val="00A87277"/>
    <w:rsid w:val="00A873A6"/>
    <w:rsid w:val="00A8753D"/>
    <w:rsid w:val="00A87549"/>
    <w:rsid w:val="00A875B7"/>
    <w:rsid w:val="00A876E8"/>
    <w:rsid w:val="00A8783B"/>
    <w:rsid w:val="00A878D8"/>
    <w:rsid w:val="00A8797E"/>
    <w:rsid w:val="00A879D7"/>
    <w:rsid w:val="00A87B43"/>
    <w:rsid w:val="00A87B5B"/>
    <w:rsid w:val="00A87B88"/>
    <w:rsid w:val="00A87C0F"/>
    <w:rsid w:val="00A87F7E"/>
    <w:rsid w:val="00A9011B"/>
    <w:rsid w:val="00A90128"/>
    <w:rsid w:val="00A90189"/>
    <w:rsid w:val="00A901B2"/>
    <w:rsid w:val="00A904DA"/>
    <w:rsid w:val="00A904E0"/>
    <w:rsid w:val="00A9063B"/>
    <w:rsid w:val="00A906E9"/>
    <w:rsid w:val="00A906F7"/>
    <w:rsid w:val="00A9081B"/>
    <w:rsid w:val="00A9086D"/>
    <w:rsid w:val="00A90910"/>
    <w:rsid w:val="00A90A2C"/>
    <w:rsid w:val="00A90A3E"/>
    <w:rsid w:val="00A90B35"/>
    <w:rsid w:val="00A90B5D"/>
    <w:rsid w:val="00A90DEA"/>
    <w:rsid w:val="00A90E73"/>
    <w:rsid w:val="00A90E97"/>
    <w:rsid w:val="00A90EDF"/>
    <w:rsid w:val="00A90F0B"/>
    <w:rsid w:val="00A90FE8"/>
    <w:rsid w:val="00A9127C"/>
    <w:rsid w:val="00A9127D"/>
    <w:rsid w:val="00A913BE"/>
    <w:rsid w:val="00A914A3"/>
    <w:rsid w:val="00A914F5"/>
    <w:rsid w:val="00A915D2"/>
    <w:rsid w:val="00A9182C"/>
    <w:rsid w:val="00A9187C"/>
    <w:rsid w:val="00A91892"/>
    <w:rsid w:val="00A91ABA"/>
    <w:rsid w:val="00A91D44"/>
    <w:rsid w:val="00A91DF7"/>
    <w:rsid w:val="00A91E0E"/>
    <w:rsid w:val="00A91E76"/>
    <w:rsid w:val="00A91F41"/>
    <w:rsid w:val="00A91FCA"/>
    <w:rsid w:val="00A91FFA"/>
    <w:rsid w:val="00A920E0"/>
    <w:rsid w:val="00A92168"/>
    <w:rsid w:val="00A921F3"/>
    <w:rsid w:val="00A923EE"/>
    <w:rsid w:val="00A924A8"/>
    <w:rsid w:val="00A92540"/>
    <w:rsid w:val="00A926DA"/>
    <w:rsid w:val="00A92712"/>
    <w:rsid w:val="00A928B9"/>
    <w:rsid w:val="00A92AFB"/>
    <w:rsid w:val="00A92BAF"/>
    <w:rsid w:val="00A92D4A"/>
    <w:rsid w:val="00A92ECE"/>
    <w:rsid w:val="00A92F99"/>
    <w:rsid w:val="00A9320E"/>
    <w:rsid w:val="00A9332A"/>
    <w:rsid w:val="00A93492"/>
    <w:rsid w:val="00A93571"/>
    <w:rsid w:val="00A936FD"/>
    <w:rsid w:val="00A9382A"/>
    <w:rsid w:val="00A938E1"/>
    <w:rsid w:val="00A93903"/>
    <w:rsid w:val="00A93BF2"/>
    <w:rsid w:val="00A93C9A"/>
    <w:rsid w:val="00A9400C"/>
    <w:rsid w:val="00A940DC"/>
    <w:rsid w:val="00A944AE"/>
    <w:rsid w:val="00A94510"/>
    <w:rsid w:val="00A946AD"/>
    <w:rsid w:val="00A948F3"/>
    <w:rsid w:val="00A94900"/>
    <w:rsid w:val="00A94A7B"/>
    <w:rsid w:val="00A94B12"/>
    <w:rsid w:val="00A94B20"/>
    <w:rsid w:val="00A94B7D"/>
    <w:rsid w:val="00A94DE7"/>
    <w:rsid w:val="00A950EB"/>
    <w:rsid w:val="00A951FC"/>
    <w:rsid w:val="00A951FE"/>
    <w:rsid w:val="00A9524D"/>
    <w:rsid w:val="00A9535B"/>
    <w:rsid w:val="00A9538B"/>
    <w:rsid w:val="00A955C7"/>
    <w:rsid w:val="00A956B5"/>
    <w:rsid w:val="00A95844"/>
    <w:rsid w:val="00A9584A"/>
    <w:rsid w:val="00A958DE"/>
    <w:rsid w:val="00A95934"/>
    <w:rsid w:val="00A9597B"/>
    <w:rsid w:val="00A9599B"/>
    <w:rsid w:val="00A95AC0"/>
    <w:rsid w:val="00A95B79"/>
    <w:rsid w:val="00A95C57"/>
    <w:rsid w:val="00A95DC7"/>
    <w:rsid w:val="00A95E0E"/>
    <w:rsid w:val="00A95E33"/>
    <w:rsid w:val="00A95E78"/>
    <w:rsid w:val="00A9605D"/>
    <w:rsid w:val="00A9608A"/>
    <w:rsid w:val="00A9615E"/>
    <w:rsid w:val="00A9624A"/>
    <w:rsid w:val="00A9626B"/>
    <w:rsid w:val="00A96447"/>
    <w:rsid w:val="00A9644D"/>
    <w:rsid w:val="00A96474"/>
    <w:rsid w:val="00A96488"/>
    <w:rsid w:val="00A96498"/>
    <w:rsid w:val="00A964DF"/>
    <w:rsid w:val="00A96526"/>
    <w:rsid w:val="00A965CA"/>
    <w:rsid w:val="00A965CB"/>
    <w:rsid w:val="00A965F5"/>
    <w:rsid w:val="00A9668E"/>
    <w:rsid w:val="00A9672C"/>
    <w:rsid w:val="00A96868"/>
    <w:rsid w:val="00A96BDF"/>
    <w:rsid w:val="00A96BE6"/>
    <w:rsid w:val="00A96C46"/>
    <w:rsid w:val="00A96F0E"/>
    <w:rsid w:val="00A96FFF"/>
    <w:rsid w:val="00A97070"/>
    <w:rsid w:val="00A971C6"/>
    <w:rsid w:val="00A973AF"/>
    <w:rsid w:val="00A973EE"/>
    <w:rsid w:val="00A97402"/>
    <w:rsid w:val="00A97428"/>
    <w:rsid w:val="00A9754A"/>
    <w:rsid w:val="00A976DA"/>
    <w:rsid w:val="00A97740"/>
    <w:rsid w:val="00A97B37"/>
    <w:rsid w:val="00A97BC7"/>
    <w:rsid w:val="00A97C55"/>
    <w:rsid w:val="00A97C6C"/>
    <w:rsid w:val="00A97CA3"/>
    <w:rsid w:val="00A97E61"/>
    <w:rsid w:val="00A97E8F"/>
    <w:rsid w:val="00A97F78"/>
    <w:rsid w:val="00AA012D"/>
    <w:rsid w:val="00AA014F"/>
    <w:rsid w:val="00AA0156"/>
    <w:rsid w:val="00AA0240"/>
    <w:rsid w:val="00AA03E4"/>
    <w:rsid w:val="00AA055A"/>
    <w:rsid w:val="00AA06C6"/>
    <w:rsid w:val="00AA06FE"/>
    <w:rsid w:val="00AA07B0"/>
    <w:rsid w:val="00AA09C5"/>
    <w:rsid w:val="00AA0A9D"/>
    <w:rsid w:val="00AA0A9F"/>
    <w:rsid w:val="00AA0B4E"/>
    <w:rsid w:val="00AA0B9F"/>
    <w:rsid w:val="00AA0BE3"/>
    <w:rsid w:val="00AA0CD3"/>
    <w:rsid w:val="00AA0CEE"/>
    <w:rsid w:val="00AA0D45"/>
    <w:rsid w:val="00AA0DB2"/>
    <w:rsid w:val="00AA0DBC"/>
    <w:rsid w:val="00AA0FF5"/>
    <w:rsid w:val="00AA105F"/>
    <w:rsid w:val="00AA10F3"/>
    <w:rsid w:val="00AA1200"/>
    <w:rsid w:val="00AA1253"/>
    <w:rsid w:val="00AA12B6"/>
    <w:rsid w:val="00AA148B"/>
    <w:rsid w:val="00AA1903"/>
    <w:rsid w:val="00AA1937"/>
    <w:rsid w:val="00AA1ADE"/>
    <w:rsid w:val="00AA1BA6"/>
    <w:rsid w:val="00AA1BC6"/>
    <w:rsid w:val="00AA1C17"/>
    <w:rsid w:val="00AA1CE2"/>
    <w:rsid w:val="00AA1F80"/>
    <w:rsid w:val="00AA2106"/>
    <w:rsid w:val="00AA2112"/>
    <w:rsid w:val="00AA219A"/>
    <w:rsid w:val="00AA23E1"/>
    <w:rsid w:val="00AA246A"/>
    <w:rsid w:val="00AA2492"/>
    <w:rsid w:val="00AA251B"/>
    <w:rsid w:val="00AA26A0"/>
    <w:rsid w:val="00AA26D1"/>
    <w:rsid w:val="00AA286A"/>
    <w:rsid w:val="00AA2918"/>
    <w:rsid w:val="00AA2965"/>
    <w:rsid w:val="00AA2A1C"/>
    <w:rsid w:val="00AA2B26"/>
    <w:rsid w:val="00AA2B33"/>
    <w:rsid w:val="00AA2C29"/>
    <w:rsid w:val="00AA2C98"/>
    <w:rsid w:val="00AA2DC9"/>
    <w:rsid w:val="00AA2F2A"/>
    <w:rsid w:val="00AA303B"/>
    <w:rsid w:val="00AA3114"/>
    <w:rsid w:val="00AA3151"/>
    <w:rsid w:val="00AA32A0"/>
    <w:rsid w:val="00AA32AF"/>
    <w:rsid w:val="00AA32EE"/>
    <w:rsid w:val="00AA3332"/>
    <w:rsid w:val="00AA33EA"/>
    <w:rsid w:val="00AA3427"/>
    <w:rsid w:val="00AA3620"/>
    <w:rsid w:val="00AA3878"/>
    <w:rsid w:val="00AA38CD"/>
    <w:rsid w:val="00AA397A"/>
    <w:rsid w:val="00AA3BB6"/>
    <w:rsid w:val="00AA3D47"/>
    <w:rsid w:val="00AA3E5B"/>
    <w:rsid w:val="00AA3E88"/>
    <w:rsid w:val="00AA424C"/>
    <w:rsid w:val="00AA425C"/>
    <w:rsid w:val="00AA43C5"/>
    <w:rsid w:val="00AA441B"/>
    <w:rsid w:val="00AA4468"/>
    <w:rsid w:val="00AA4620"/>
    <w:rsid w:val="00AA47DF"/>
    <w:rsid w:val="00AA4B90"/>
    <w:rsid w:val="00AA4BA5"/>
    <w:rsid w:val="00AA4CFE"/>
    <w:rsid w:val="00AA4DC7"/>
    <w:rsid w:val="00AA4F20"/>
    <w:rsid w:val="00AA4FAF"/>
    <w:rsid w:val="00AA5229"/>
    <w:rsid w:val="00AA52D6"/>
    <w:rsid w:val="00AA5475"/>
    <w:rsid w:val="00AA55A7"/>
    <w:rsid w:val="00AA57B0"/>
    <w:rsid w:val="00AA585E"/>
    <w:rsid w:val="00AA58EC"/>
    <w:rsid w:val="00AA5B3B"/>
    <w:rsid w:val="00AA5B86"/>
    <w:rsid w:val="00AA5BB4"/>
    <w:rsid w:val="00AA5C7D"/>
    <w:rsid w:val="00AA5CB2"/>
    <w:rsid w:val="00AA5CD3"/>
    <w:rsid w:val="00AA5D59"/>
    <w:rsid w:val="00AA5D60"/>
    <w:rsid w:val="00AA5E89"/>
    <w:rsid w:val="00AA5F02"/>
    <w:rsid w:val="00AA6090"/>
    <w:rsid w:val="00AA616F"/>
    <w:rsid w:val="00AA61D8"/>
    <w:rsid w:val="00AA6266"/>
    <w:rsid w:val="00AA62F7"/>
    <w:rsid w:val="00AA6567"/>
    <w:rsid w:val="00AA65BB"/>
    <w:rsid w:val="00AA69A1"/>
    <w:rsid w:val="00AA6A5D"/>
    <w:rsid w:val="00AA6B9F"/>
    <w:rsid w:val="00AA6D3E"/>
    <w:rsid w:val="00AA6E3D"/>
    <w:rsid w:val="00AA6E77"/>
    <w:rsid w:val="00AA705A"/>
    <w:rsid w:val="00AA71AF"/>
    <w:rsid w:val="00AA72C8"/>
    <w:rsid w:val="00AA7309"/>
    <w:rsid w:val="00AA735D"/>
    <w:rsid w:val="00AA75F2"/>
    <w:rsid w:val="00AA75FD"/>
    <w:rsid w:val="00AA7696"/>
    <w:rsid w:val="00AA787E"/>
    <w:rsid w:val="00AA790B"/>
    <w:rsid w:val="00AA7B2D"/>
    <w:rsid w:val="00AA7CEC"/>
    <w:rsid w:val="00AA7E53"/>
    <w:rsid w:val="00AA7FA9"/>
    <w:rsid w:val="00AB00B1"/>
    <w:rsid w:val="00AB016E"/>
    <w:rsid w:val="00AB01B8"/>
    <w:rsid w:val="00AB0222"/>
    <w:rsid w:val="00AB0361"/>
    <w:rsid w:val="00AB0479"/>
    <w:rsid w:val="00AB06DB"/>
    <w:rsid w:val="00AB0751"/>
    <w:rsid w:val="00AB07A2"/>
    <w:rsid w:val="00AB0807"/>
    <w:rsid w:val="00AB0860"/>
    <w:rsid w:val="00AB0A32"/>
    <w:rsid w:val="00AB0A8A"/>
    <w:rsid w:val="00AB0A99"/>
    <w:rsid w:val="00AB0D3E"/>
    <w:rsid w:val="00AB10AE"/>
    <w:rsid w:val="00AB117F"/>
    <w:rsid w:val="00AB12E9"/>
    <w:rsid w:val="00AB1399"/>
    <w:rsid w:val="00AB1479"/>
    <w:rsid w:val="00AB1934"/>
    <w:rsid w:val="00AB1944"/>
    <w:rsid w:val="00AB194E"/>
    <w:rsid w:val="00AB1956"/>
    <w:rsid w:val="00AB1A3C"/>
    <w:rsid w:val="00AB1DBA"/>
    <w:rsid w:val="00AB207C"/>
    <w:rsid w:val="00AB2114"/>
    <w:rsid w:val="00AB220F"/>
    <w:rsid w:val="00AB232C"/>
    <w:rsid w:val="00AB23D8"/>
    <w:rsid w:val="00AB240D"/>
    <w:rsid w:val="00AB24C5"/>
    <w:rsid w:val="00AB24D5"/>
    <w:rsid w:val="00AB2727"/>
    <w:rsid w:val="00AB286B"/>
    <w:rsid w:val="00AB286C"/>
    <w:rsid w:val="00AB287F"/>
    <w:rsid w:val="00AB2883"/>
    <w:rsid w:val="00AB296E"/>
    <w:rsid w:val="00AB2AB0"/>
    <w:rsid w:val="00AB2C14"/>
    <w:rsid w:val="00AB2C20"/>
    <w:rsid w:val="00AB2C7A"/>
    <w:rsid w:val="00AB2D95"/>
    <w:rsid w:val="00AB2EC4"/>
    <w:rsid w:val="00AB2EEB"/>
    <w:rsid w:val="00AB300A"/>
    <w:rsid w:val="00AB30E7"/>
    <w:rsid w:val="00AB30F1"/>
    <w:rsid w:val="00AB3114"/>
    <w:rsid w:val="00AB31C5"/>
    <w:rsid w:val="00AB31ED"/>
    <w:rsid w:val="00AB3287"/>
    <w:rsid w:val="00AB3340"/>
    <w:rsid w:val="00AB3560"/>
    <w:rsid w:val="00AB356D"/>
    <w:rsid w:val="00AB389E"/>
    <w:rsid w:val="00AB39AB"/>
    <w:rsid w:val="00AB3A38"/>
    <w:rsid w:val="00AB3AB0"/>
    <w:rsid w:val="00AB3CAD"/>
    <w:rsid w:val="00AB3ED6"/>
    <w:rsid w:val="00AB3EF0"/>
    <w:rsid w:val="00AB3EF9"/>
    <w:rsid w:val="00AB4067"/>
    <w:rsid w:val="00AB4106"/>
    <w:rsid w:val="00AB4107"/>
    <w:rsid w:val="00AB43F5"/>
    <w:rsid w:val="00AB44A1"/>
    <w:rsid w:val="00AB4602"/>
    <w:rsid w:val="00AB4682"/>
    <w:rsid w:val="00AB4717"/>
    <w:rsid w:val="00AB4750"/>
    <w:rsid w:val="00AB47A8"/>
    <w:rsid w:val="00AB488B"/>
    <w:rsid w:val="00AB4923"/>
    <w:rsid w:val="00AB4A0A"/>
    <w:rsid w:val="00AB4AE5"/>
    <w:rsid w:val="00AB4E7D"/>
    <w:rsid w:val="00AB4F0F"/>
    <w:rsid w:val="00AB4F8A"/>
    <w:rsid w:val="00AB5058"/>
    <w:rsid w:val="00AB53E1"/>
    <w:rsid w:val="00AB5551"/>
    <w:rsid w:val="00AB56D9"/>
    <w:rsid w:val="00AB5739"/>
    <w:rsid w:val="00AB584E"/>
    <w:rsid w:val="00AB5C4B"/>
    <w:rsid w:val="00AB5D8E"/>
    <w:rsid w:val="00AB5DE8"/>
    <w:rsid w:val="00AB6391"/>
    <w:rsid w:val="00AB642A"/>
    <w:rsid w:val="00AB6B26"/>
    <w:rsid w:val="00AB6B9F"/>
    <w:rsid w:val="00AB6C07"/>
    <w:rsid w:val="00AB6C92"/>
    <w:rsid w:val="00AB6FDC"/>
    <w:rsid w:val="00AB6FDE"/>
    <w:rsid w:val="00AB723C"/>
    <w:rsid w:val="00AB7324"/>
    <w:rsid w:val="00AB753E"/>
    <w:rsid w:val="00AB75A4"/>
    <w:rsid w:val="00AB75A9"/>
    <w:rsid w:val="00AB75C8"/>
    <w:rsid w:val="00AB7672"/>
    <w:rsid w:val="00AB767C"/>
    <w:rsid w:val="00AB76BD"/>
    <w:rsid w:val="00AB77F2"/>
    <w:rsid w:val="00AB7917"/>
    <w:rsid w:val="00AB7A12"/>
    <w:rsid w:val="00AB7ACD"/>
    <w:rsid w:val="00AB7B4D"/>
    <w:rsid w:val="00AB7BB9"/>
    <w:rsid w:val="00AB7CED"/>
    <w:rsid w:val="00AB7D20"/>
    <w:rsid w:val="00AB7D5E"/>
    <w:rsid w:val="00AB7EA0"/>
    <w:rsid w:val="00AB7ECC"/>
    <w:rsid w:val="00AB7F2F"/>
    <w:rsid w:val="00AB7F9A"/>
    <w:rsid w:val="00AC0046"/>
    <w:rsid w:val="00AC0072"/>
    <w:rsid w:val="00AC0114"/>
    <w:rsid w:val="00AC01A3"/>
    <w:rsid w:val="00AC022E"/>
    <w:rsid w:val="00AC0241"/>
    <w:rsid w:val="00AC03FA"/>
    <w:rsid w:val="00AC0486"/>
    <w:rsid w:val="00AC04CA"/>
    <w:rsid w:val="00AC053E"/>
    <w:rsid w:val="00AC0582"/>
    <w:rsid w:val="00AC05C3"/>
    <w:rsid w:val="00AC076B"/>
    <w:rsid w:val="00AC08A5"/>
    <w:rsid w:val="00AC0A22"/>
    <w:rsid w:val="00AC0A89"/>
    <w:rsid w:val="00AC0B85"/>
    <w:rsid w:val="00AC0DC3"/>
    <w:rsid w:val="00AC1095"/>
    <w:rsid w:val="00AC11E8"/>
    <w:rsid w:val="00AC1383"/>
    <w:rsid w:val="00AC15A7"/>
    <w:rsid w:val="00AC15C1"/>
    <w:rsid w:val="00AC1753"/>
    <w:rsid w:val="00AC182B"/>
    <w:rsid w:val="00AC187F"/>
    <w:rsid w:val="00AC18E7"/>
    <w:rsid w:val="00AC1C0F"/>
    <w:rsid w:val="00AC1D82"/>
    <w:rsid w:val="00AC1E10"/>
    <w:rsid w:val="00AC1ED0"/>
    <w:rsid w:val="00AC1EFD"/>
    <w:rsid w:val="00AC1F18"/>
    <w:rsid w:val="00AC2002"/>
    <w:rsid w:val="00AC20C1"/>
    <w:rsid w:val="00AC21AF"/>
    <w:rsid w:val="00AC226D"/>
    <w:rsid w:val="00AC2377"/>
    <w:rsid w:val="00AC23E7"/>
    <w:rsid w:val="00AC2431"/>
    <w:rsid w:val="00AC249A"/>
    <w:rsid w:val="00AC25C6"/>
    <w:rsid w:val="00AC27CD"/>
    <w:rsid w:val="00AC27EC"/>
    <w:rsid w:val="00AC298E"/>
    <w:rsid w:val="00AC2990"/>
    <w:rsid w:val="00AC2998"/>
    <w:rsid w:val="00AC29D3"/>
    <w:rsid w:val="00AC2A08"/>
    <w:rsid w:val="00AC2C17"/>
    <w:rsid w:val="00AC2CB8"/>
    <w:rsid w:val="00AC3040"/>
    <w:rsid w:val="00AC305F"/>
    <w:rsid w:val="00AC30E3"/>
    <w:rsid w:val="00AC3175"/>
    <w:rsid w:val="00AC32CF"/>
    <w:rsid w:val="00AC3341"/>
    <w:rsid w:val="00AC3377"/>
    <w:rsid w:val="00AC37BA"/>
    <w:rsid w:val="00AC3907"/>
    <w:rsid w:val="00AC3925"/>
    <w:rsid w:val="00AC3BDF"/>
    <w:rsid w:val="00AC3BEE"/>
    <w:rsid w:val="00AC3C56"/>
    <w:rsid w:val="00AC3ECF"/>
    <w:rsid w:val="00AC3EE2"/>
    <w:rsid w:val="00AC408B"/>
    <w:rsid w:val="00AC413C"/>
    <w:rsid w:val="00AC4195"/>
    <w:rsid w:val="00AC4250"/>
    <w:rsid w:val="00AC4309"/>
    <w:rsid w:val="00AC461E"/>
    <w:rsid w:val="00AC4633"/>
    <w:rsid w:val="00AC4730"/>
    <w:rsid w:val="00AC4764"/>
    <w:rsid w:val="00AC4878"/>
    <w:rsid w:val="00AC4943"/>
    <w:rsid w:val="00AC497C"/>
    <w:rsid w:val="00AC4CF8"/>
    <w:rsid w:val="00AC4DA6"/>
    <w:rsid w:val="00AC4DA9"/>
    <w:rsid w:val="00AC4E56"/>
    <w:rsid w:val="00AC4EB3"/>
    <w:rsid w:val="00AC4F51"/>
    <w:rsid w:val="00AC4FDB"/>
    <w:rsid w:val="00AC512D"/>
    <w:rsid w:val="00AC52C5"/>
    <w:rsid w:val="00AC53D8"/>
    <w:rsid w:val="00AC54F0"/>
    <w:rsid w:val="00AC54FF"/>
    <w:rsid w:val="00AC5839"/>
    <w:rsid w:val="00AC58DC"/>
    <w:rsid w:val="00AC5964"/>
    <w:rsid w:val="00AC5974"/>
    <w:rsid w:val="00AC5A03"/>
    <w:rsid w:val="00AC5AB6"/>
    <w:rsid w:val="00AC5C83"/>
    <w:rsid w:val="00AC5C8A"/>
    <w:rsid w:val="00AC5CC4"/>
    <w:rsid w:val="00AC5D08"/>
    <w:rsid w:val="00AC5E7A"/>
    <w:rsid w:val="00AC5F11"/>
    <w:rsid w:val="00AC6036"/>
    <w:rsid w:val="00AC6367"/>
    <w:rsid w:val="00AC63A5"/>
    <w:rsid w:val="00AC6494"/>
    <w:rsid w:val="00AC6555"/>
    <w:rsid w:val="00AC667C"/>
    <w:rsid w:val="00AC66C6"/>
    <w:rsid w:val="00AC6924"/>
    <w:rsid w:val="00AC69C6"/>
    <w:rsid w:val="00AC69E9"/>
    <w:rsid w:val="00AC6D68"/>
    <w:rsid w:val="00AC6EE6"/>
    <w:rsid w:val="00AC6F16"/>
    <w:rsid w:val="00AC6F46"/>
    <w:rsid w:val="00AC6F6D"/>
    <w:rsid w:val="00AC70F6"/>
    <w:rsid w:val="00AC7136"/>
    <w:rsid w:val="00AC7160"/>
    <w:rsid w:val="00AC71C6"/>
    <w:rsid w:val="00AC744B"/>
    <w:rsid w:val="00AC7455"/>
    <w:rsid w:val="00AC74DF"/>
    <w:rsid w:val="00AC7543"/>
    <w:rsid w:val="00AC76A8"/>
    <w:rsid w:val="00AC7850"/>
    <w:rsid w:val="00AC78E5"/>
    <w:rsid w:val="00AC79CA"/>
    <w:rsid w:val="00AC7A47"/>
    <w:rsid w:val="00AC7A88"/>
    <w:rsid w:val="00AC7F9E"/>
    <w:rsid w:val="00AD0085"/>
    <w:rsid w:val="00AD00F7"/>
    <w:rsid w:val="00AD0113"/>
    <w:rsid w:val="00AD0137"/>
    <w:rsid w:val="00AD035B"/>
    <w:rsid w:val="00AD0636"/>
    <w:rsid w:val="00AD07B7"/>
    <w:rsid w:val="00AD07F6"/>
    <w:rsid w:val="00AD0801"/>
    <w:rsid w:val="00AD0878"/>
    <w:rsid w:val="00AD09D5"/>
    <w:rsid w:val="00AD0A28"/>
    <w:rsid w:val="00AD0A7D"/>
    <w:rsid w:val="00AD0A90"/>
    <w:rsid w:val="00AD0AF2"/>
    <w:rsid w:val="00AD0BA8"/>
    <w:rsid w:val="00AD0BB2"/>
    <w:rsid w:val="00AD0D6E"/>
    <w:rsid w:val="00AD12DF"/>
    <w:rsid w:val="00AD134C"/>
    <w:rsid w:val="00AD137D"/>
    <w:rsid w:val="00AD14EB"/>
    <w:rsid w:val="00AD1633"/>
    <w:rsid w:val="00AD17A6"/>
    <w:rsid w:val="00AD17F2"/>
    <w:rsid w:val="00AD182B"/>
    <w:rsid w:val="00AD191C"/>
    <w:rsid w:val="00AD19BB"/>
    <w:rsid w:val="00AD1AB1"/>
    <w:rsid w:val="00AD1D2A"/>
    <w:rsid w:val="00AD1DBB"/>
    <w:rsid w:val="00AD1FCA"/>
    <w:rsid w:val="00AD2038"/>
    <w:rsid w:val="00AD213D"/>
    <w:rsid w:val="00AD22BA"/>
    <w:rsid w:val="00AD22CA"/>
    <w:rsid w:val="00AD22F6"/>
    <w:rsid w:val="00AD2351"/>
    <w:rsid w:val="00AD2436"/>
    <w:rsid w:val="00AD2535"/>
    <w:rsid w:val="00AD25A7"/>
    <w:rsid w:val="00AD25D4"/>
    <w:rsid w:val="00AD2620"/>
    <w:rsid w:val="00AD26E5"/>
    <w:rsid w:val="00AD27AD"/>
    <w:rsid w:val="00AD28BB"/>
    <w:rsid w:val="00AD2A59"/>
    <w:rsid w:val="00AD2AF5"/>
    <w:rsid w:val="00AD2B87"/>
    <w:rsid w:val="00AD2B8A"/>
    <w:rsid w:val="00AD2C4B"/>
    <w:rsid w:val="00AD2C9E"/>
    <w:rsid w:val="00AD2D87"/>
    <w:rsid w:val="00AD2D8C"/>
    <w:rsid w:val="00AD2E0C"/>
    <w:rsid w:val="00AD2F91"/>
    <w:rsid w:val="00AD311D"/>
    <w:rsid w:val="00AD315B"/>
    <w:rsid w:val="00AD31F9"/>
    <w:rsid w:val="00AD3670"/>
    <w:rsid w:val="00AD38A3"/>
    <w:rsid w:val="00AD38D2"/>
    <w:rsid w:val="00AD3951"/>
    <w:rsid w:val="00AD3A21"/>
    <w:rsid w:val="00AD3A3C"/>
    <w:rsid w:val="00AD3B73"/>
    <w:rsid w:val="00AD3C42"/>
    <w:rsid w:val="00AD3C8F"/>
    <w:rsid w:val="00AD3CED"/>
    <w:rsid w:val="00AD3E85"/>
    <w:rsid w:val="00AD3ECD"/>
    <w:rsid w:val="00AD3FE9"/>
    <w:rsid w:val="00AD40FA"/>
    <w:rsid w:val="00AD4274"/>
    <w:rsid w:val="00AD4331"/>
    <w:rsid w:val="00AD435A"/>
    <w:rsid w:val="00AD4380"/>
    <w:rsid w:val="00AD44AC"/>
    <w:rsid w:val="00AD44D1"/>
    <w:rsid w:val="00AD4602"/>
    <w:rsid w:val="00AD482C"/>
    <w:rsid w:val="00AD4943"/>
    <w:rsid w:val="00AD4B6F"/>
    <w:rsid w:val="00AD4BD5"/>
    <w:rsid w:val="00AD4C8C"/>
    <w:rsid w:val="00AD4ECC"/>
    <w:rsid w:val="00AD50CA"/>
    <w:rsid w:val="00AD524B"/>
    <w:rsid w:val="00AD52AC"/>
    <w:rsid w:val="00AD53C2"/>
    <w:rsid w:val="00AD545F"/>
    <w:rsid w:val="00AD5ABA"/>
    <w:rsid w:val="00AD5B3C"/>
    <w:rsid w:val="00AD5B6E"/>
    <w:rsid w:val="00AD5D11"/>
    <w:rsid w:val="00AD5DDB"/>
    <w:rsid w:val="00AD5EBA"/>
    <w:rsid w:val="00AD5ECD"/>
    <w:rsid w:val="00AD5ED8"/>
    <w:rsid w:val="00AD5F9E"/>
    <w:rsid w:val="00AD606D"/>
    <w:rsid w:val="00AD6080"/>
    <w:rsid w:val="00AD6139"/>
    <w:rsid w:val="00AD613E"/>
    <w:rsid w:val="00AD6180"/>
    <w:rsid w:val="00AD639B"/>
    <w:rsid w:val="00AD6544"/>
    <w:rsid w:val="00AD6560"/>
    <w:rsid w:val="00AD6700"/>
    <w:rsid w:val="00AD678E"/>
    <w:rsid w:val="00AD6807"/>
    <w:rsid w:val="00AD6A5B"/>
    <w:rsid w:val="00AD6B73"/>
    <w:rsid w:val="00AD6C7B"/>
    <w:rsid w:val="00AD6D4B"/>
    <w:rsid w:val="00AD6E49"/>
    <w:rsid w:val="00AD6E8F"/>
    <w:rsid w:val="00AD6F99"/>
    <w:rsid w:val="00AD6F9D"/>
    <w:rsid w:val="00AD7200"/>
    <w:rsid w:val="00AD725B"/>
    <w:rsid w:val="00AD729C"/>
    <w:rsid w:val="00AD7352"/>
    <w:rsid w:val="00AD7353"/>
    <w:rsid w:val="00AD746C"/>
    <w:rsid w:val="00AD7477"/>
    <w:rsid w:val="00AD76CB"/>
    <w:rsid w:val="00AD7716"/>
    <w:rsid w:val="00AD781C"/>
    <w:rsid w:val="00AD7831"/>
    <w:rsid w:val="00AD7855"/>
    <w:rsid w:val="00AD78E7"/>
    <w:rsid w:val="00AD7974"/>
    <w:rsid w:val="00AD7995"/>
    <w:rsid w:val="00AD7A15"/>
    <w:rsid w:val="00AD7A80"/>
    <w:rsid w:val="00AD7AFC"/>
    <w:rsid w:val="00AD7B86"/>
    <w:rsid w:val="00AD7B8E"/>
    <w:rsid w:val="00AD7C35"/>
    <w:rsid w:val="00AD7C5C"/>
    <w:rsid w:val="00AD7CFA"/>
    <w:rsid w:val="00AD7D80"/>
    <w:rsid w:val="00AD7DD9"/>
    <w:rsid w:val="00AD7EB8"/>
    <w:rsid w:val="00AD7F6D"/>
    <w:rsid w:val="00AE004C"/>
    <w:rsid w:val="00AE024E"/>
    <w:rsid w:val="00AE02F4"/>
    <w:rsid w:val="00AE03AD"/>
    <w:rsid w:val="00AE03C6"/>
    <w:rsid w:val="00AE03D7"/>
    <w:rsid w:val="00AE0587"/>
    <w:rsid w:val="00AE05C3"/>
    <w:rsid w:val="00AE060C"/>
    <w:rsid w:val="00AE0663"/>
    <w:rsid w:val="00AE077F"/>
    <w:rsid w:val="00AE0784"/>
    <w:rsid w:val="00AE08D9"/>
    <w:rsid w:val="00AE0C19"/>
    <w:rsid w:val="00AE0DD0"/>
    <w:rsid w:val="00AE0ED8"/>
    <w:rsid w:val="00AE0EDF"/>
    <w:rsid w:val="00AE1196"/>
    <w:rsid w:val="00AE1497"/>
    <w:rsid w:val="00AE1636"/>
    <w:rsid w:val="00AE1764"/>
    <w:rsid w:val="00AE189E"/>
    <w:rsid w:val="00AE18CD"/>
    <w:rsid w:val="00AE19BC"/>
    <w:rsid w:val="00AE19FB"/>
    <w:rsid w:val="00AE1A08"/>
    <w:rsid w:val="00AE1AC5"/>
    <w:rsid w:val="00AE1E79"/>
    <w:rsid w:val="00AE2023"/>
    <w:rsid w:val="00AE2034"/>
    <w:rsid w:val="00AE22B7"/>
    <w:rsid w:val="00AE2648"/>
    <w:rsid w:val="00AE267A"/>
    <w:rsid w:val="00AE270E"/>
    <w:rsid w:val="00AE2768"/>
    <w:rsid w:val="00AE2785"/>
    <w:rsid w:val="00AE2A4C"/>
    <w:rsid w:val="00AE2A53"/>
    <w:rsid w:val="00AE2A5C"/>
    <w:rsid w:val="00AE2C3A"/>
    <w:rsid w:val="00AE2D8A"/>
    <w:rsid w:val="00AE2DD6"/>
    <w:rsid w:val="00AE2DDB"/>
    <w:rsid w:val="00AE2E38"/>
    <w:rsid w:val="00AE2F9B"/>
    <w:rsid w:val="00AE3057"/>
    <w:rsid w:val="00AE30D1"/>
    <w:rsid w:val="00AE30E4"/>
    <w:rsid w:val="00AE3221"/>
    <w:rsid w:val="00AE33C1"/>
    <w:rsid w:val="00AE3502"/>
    <w:rsid w:val="00AE377E"/>
    <w:rsid w:val="00AE378E"/>
    <w:rsid w:val="00AE3811"/>
    <w:rsid w:val="00AE38BE"/>
    <w:rsid w:val="00AE3A6B"/>
    <w:rsid w:val="00AE3BD3"/>
    <w:rsid w:val="00AE3D5A"/>
    <w:rsid w:val="00AE3DAC"/>
    <w:rsid w:val="00AE3E38"/>
    <w:rsid w:val="00AE3E73"/>
    <w:rsid w:val="00AE3EF9"/>
    <w:rsid w:val="00AE3F88"/>
    <w:rsid w:val="00AE40BF"/>
    <w:rsid w:val="00AE4212"/>
    <w:rsid w:val="00AE441F"/>
    <w:rsid w:val="00AE445C"/>
    <w:rsid w:val="00AE44DC"/>
    <w:rsid w:val="00AE450F"/>
    <w:rsid w:val="00AE45A9"/>
    <w:rsid w:val="00AE47CA"/>
    <w:rsid w:val="00AE4814"/>
    <w:rsid w:val="00AE4881"/>
    <w:rsid w:val="00AE4A38"/>
    <w:rsid w:val="00AE4A6C"/>
    <w:rsid w:val="00AE4C2F"/>
    <w:rsid w:val="00AE4F54"/>
    <w:rsid w:val="00AE50F0"/>
    <w:rsid w:val="00AE5168"/>
    <w:rsid w:val="00AE51AA"/>
    <w:rsid w:val="00AE526E"/>
    <w:rsid w:val="00AE52CD"/>
    <w:rsid w:val="00AE5351"/>
    <w:rsid w:val="00AE53B6"/>
    <w:rsid w:val="00AE5458"/>
    <w:rsid w:val="00AE578D"/>
    <w:rsid w:val="00AE5910"/>
    <w:rsid w:val="00AE59EF"/>
    <w:rsid w:val="00AE5D3F"/>
    <w:rsid w:val="00AE5EC3"/>
    <w:rsid w:val="00AE60FA"/>
    <w:rsid w:val="00AE615F"/>
    <w:rsid w:val="00AE62BB"/>
    <w:rsid w:val="00AE6624"/>
    <w:rsid w:val="00AE6633"/>
    <w:rsid w:val="00AE6959"/>
    <w:rsid w:val="00AE6A6F"/>
    <w:rsid w:val="00AE6B8A"/>
    <w:rsid w:val="00AE6BCF"/>
    <w:rsid w:val="00AE6BF6"/>
    <w:rsid w:val="00AE6C4B"/>
    <w:rsid w:val="00AE6E69"/>
    <w:rsid w:val="00AE6E6C"/>
    <w:rsid w:val="00AE6EAF"/>
    <w:rsid w:val="00AE6FC9"/>
    <w:rsid w:val="00AE7106"/>
    <w:rsid w:val="00AE7175"/>
    <w:rsid w:val="00AE7196"/>
    <w:rsid w:val="00AE724D"/>
    <w:rsid w:val="00AE733B"/>
    <w:rsid w:val="00AE7431"/>
    <w:rsid w:val="00AE74E1"/>
    <w:rsid w:val="00AE74FE"/>
    <w:rsid w:val="00AE7662"/>
    <w:rsid w:val="00AE76EA"/>
    <w:rsid w:val="00AE78B2"/>
    <w:rsid w:val="00AE7AD3"/>
    <w:rsid w:val="00AE7B78"/>
    <w:rsid w:val="00AE7C37"/>
    <w:rsid w:val="00AE7E50"/>
    <w:rsid w:val="00AE7EF9"/>
    <w:rsid w:val="00AF0045"/>
    <w:rsid w:val="00AF0290"/>
    <w:rsid w:val="00AF0329"/>
    <w:rsid w:val="00AF03BD"/>
    <w:rsid w:val="00AF0509"/>
    <w:rsid w:val="00AF057A"/>
    <w:rsid w:val="00AF069F"/>
    <w:rsid w:val="00AF06CD"/>
    <w:rsid w:val="00AF0824"/>
    <w:rsid w:val="00AF08C8"/>
    <w:rsid w:val="00AF0A5A"/>
    <w:rsid w:val="00AF0ADF"/>
    <w:rsid w:val="00AF0AF4"/>
    <w:rsid w:val="00AF0B7B"/>
    <w:rsid w:val="00AF0C42"/>
    <w:rsid w:val="00AF0DFA"/>
    <w:rsid w:val="00AF0E23"/>
    <w:rsid w:val="00AF0F8B"/>
    <w:rsid w:val="00AF0F91"/>
    <w:rsid w:val="00AF1067"/>
    <w:rsid w:val="00AF10FB"/>
    <w:rsid w:val="00AF11C0"/>
    <w:rsid w:val="00AF1369"/>
    <w:rsid w:val="00AF14FF"/>
    <w:rsid w:val="00AF1669"/>
    <w:rsid w:val="00AF16B1"/>
    <w:rsid w:val="00AF1789"/>
    <w:rsid w:val="00AF18BC"/>
    <w:rsid w:val="00AF19A0"/>
    <w:rsid w:val="00AF1A53"/>
    <w:rsid w:val="00AF1CDF"/>
    <w:rsid w:val="00AF1CEF"/>
    <w:rsid w:val="00AF1D3E"/>
    <w:rsid w:val="00AF1E5D"/>
    <w:rsid w:val="00AF2050"/>
    <w:rsid w:val="00AF208D"/>
    <w:rsid w:val="00AF21E6"/>
    <w:rsid w:val="00AF2221"/>
    <w:rsid w:val="00AF2233"/>
    <w:rsid w:val="00AF227E"/>
    <w:rsid w:val="00AF239E"/>
    <w:rsid w:val="00AF244A"/>
    <w:rsid w:val="00AF25B1"/>
    <w:rsid w:val="00AF2641"/>
    <w:rsid w:val="00AF282E"/>
    <w:rsid w:val="00AF288F"/>
    <w:rsid w:val="00AF2947"/>
    <w:rsid w:val="00AF29D4"/>
    <w:rsid w:val="00AF29E5"/>
    <w:rsid w:val="00AF2C06"/>
    <w:rsid w:val="00AF2CB8"/>
    <w:rsid w:val="00AF2F11"/>
    <w:rsid w:val="00AF2FF6"/>
    <w:rsid w:val="00AF305C"/>
    <w:rsid w:val="00AF3061"/>
    <w:rsid w:val="00AF336B"/>
    <w:rsid w:val="00AF3473"/>
    <w:rsid w:val="00AF3487"/>
    <w:rsid w:val="00AF3518"/>
    <w:rsid w:val="00AF3523"/>
    <w:rsid w:val="00AF35FC"/>
    <w:rsid w:val="00AF36FA"/>
    <w:rsid w:val="00AF3734"/>
    <w:rsid w:val="00AF378E"/>
    <w:rsid w:val="00AF38B2"/>
    <w:rsid w:val="00AF39B6"/>
    <w:rsid w:val="00AF3ADC"/>
    <w:rsid w:val="00AF3B4F"/>
    <w:rsid w:val="00AF3CDE"/>
    <w:rsid w:val="00AF3EEC"/>
    <w:rsid w:val="00AF3EF9"/>
    <w:rsid w:val="00AF4043"/>
    <w:rsid w:val="00AF410F"/>
    <w:rsid w:val="00AF4340"/>
    <w:rsid w:val="00AF43E6"/>
    <w:rsid w:val="00AF485E"/>
    <w:rsid w:val="00AF4A97"/>
    <w:rsid w:val="00AF4ACD"/>
    <w:rsid w:val="00AF4FF7"/>
    <w:rsid w:val="00AF50C2"/>
    <w:rsid w:val="00AF528F"/>
    <w:rsid w:val="00AF543F"/>
    <w:rsid w:val="00AF57B2"/>
    <w:rsid w:val="00AF5869"/>
    <w:rsid w:val="00AF5AE0"/>
    <w:rsid w:val="00AF5B95"/>
    <w:rsid w:val="00AF5BDD"/>
    <w:rsid w:val="00AF5E44"/>
    <w:rsid w:val="00AF5E4F"/>
    <w:rsid w:val="00AF5FDC"/>
    <w:rsid w:val="00AF62A5"/>
    <w:rsid w:val="00AF639B"/>
    <w:rsid w:val="00AF6517"/>
    <w:rsid w:val="00AF6567"/>
    <w:rsid w:val="00AF65D8"/>
    <w:rsid w:val="00AF66EC"/>
    <w:rsid w:val="00AF66FC"/>
    <w:rsid w:val="00AF670C"/>
    <w:rsid w:val="00AF67F3"/>
    <w:rsid w:val="00AF6B57"/>
    <w:rsid w:val="00AF6BCD"/>
    <w:rsid w:val="00AF6CEB"/>
    <w:rsid w:val="00AF6D7E"/>
    <w:rsid w:val="00AF6D83"/>
    <w:rsid w:val="00AF6DFC"/>
    <w:rsid w:val="00AF6F24"/>
    <w:rsid w:val="00AF7239"/>
    <w:rsid w:val="00AF72F9"/>
    <w:rsid w:val="00AF73F8"/>
    <w:rsid w:val="00AF7582"/>
    <w:rsid w:val="00AF7644"/>
    <w:rsid w:val="00AF7703"/>
    <w:rsid w:val="00AF7A39"/>
    <w:rsid w:val="00AF7B0B"/>
    <w:rsid w:val="00AF7B26"/>
    <w:rsid w:val="00AF7CF0"/>
    <w:rsid w:val="00AF7D96"/>
    <w:rsid w:val="00AF7F91"/>
    <w:rsid w:val="00AF7FAE"/>
    <w:rsid w:val="00AF7FF1"/>
    <w:rsid w:val="00B00415"/>
    <w:rsid w:val="00B006A6"/>
    <w:rsid w:val="00B00764"/>
    <w:rsid w:val="00B007CB"/>
    <w:rsid w:val="00B007F8"/>
    <w:rsid w:val="00B0080E"/>
    <w:rsid w:val="00B0095B"/>
    <w:rsid w:val="00B00984"/>
    <w:rsid w:val="00B00AC6"/>
    <w:rsid w:val="00B00BF8"/>
    <w:rsid w:val="00B00C91"/>
    <w:rsid w:val="00B00CED"/>
    <w:rsid w:val="00B00F03"/>
    <w:rsid w:val="00B01181"/>
    <w:rsid w:val="00B012D1"/>
    <w:rsid w:val="00B015CD"/>
    <w:rsid w:val="00B017B5"/>
    <w:rsid w:val="00B01950"/>
    <w:rsid w:val="00B01BAD"/>
    <w:rsid w:val="00B01C1E"/>
    <w:rsid w:val="00B01D21"/>
    <w:rsid w:val="00B01E69"/>
    <w:rsid w:val="00B01E9A"/>
    <w:rsid w:val="00B01F2C"/>
    <w:rsid w:val="00B0203F"/>
    <w:rsid w:val="00B020B5"/>
    <w:rsid w:val="00B021B1"/>
    <w:rsid w:val="00B02245"/>
    <w:rsid w:val="00B02412"/>
    <w:rsid w:val="00B024A2"/>
    <w:rsid w:val="00B024B0"/>
    <w:rsid w:val="00B02514"/>
    <w:rsid w:val="00B0259E"/>
    <w:rsid w:val="00B02630"/>
    <w:rsid w:val="00B026CA"/>
    <w:rsid w:val="00B02736"/>
    <w:rsid w:val="00B0285A"/>
    <w:rsid w:val="00B02866"/>
    <w:rsid w:val="00B02925"/>
    <w:rsid w:val="00B02958"/>
    <w:rsid w:val="00B02A06"/>
    <w:rsid w:val="00B02B1A"/>
    <w:rsid w:val="00B02C89"/>
    <w:rsid w:val="00B02D2F"/>
    <w:rsid w:val="00B0301A"/>
    <w:rsid w:val="00B030BA"/>
    <w:rsid w:val="00B031D0"/>
    <w:rsid w:val="00B03419"/>
    <w:rsid w:val="00B03427"/>
    <w:rsid w:val="00B03494"/>
    <w:rsid w:val="00B034AD"/>
    <w:rsid w:val="00B0374A"/>
    <w:rsid w:val="00B0381F"/>
    <w:rsid w:val="00B0387C"/>
    <w:rsid w:val="00B03CBA"/>
    <w:rsid w:val="00B03CC0"/>
    <w:rsid w:val="00B03F0E"/>
    <w:rsid w:val="00B03F6C"/>
    <w:rsid w:val="00B03F9B"/>
    <w:rsid w:val="00B04171"/>
    <w:rsid w:val="00B04175"/>
    <w:rsid w:val="00B0421F"/>
    <w:rsid w:val="00B0427C"/>
    <w:rsid w:val="00B042B3"/>
    <w:rsid w:val="00B04363"/>
    <w:rsid w:val="00B04368"/>
    <w:rsid w:val="00B043F1"/>
    <w:rsid w:val="00B044E0"/>
    <w:rsid w:val="00B04841"/>
    <w:rsid w:val="00B04AF6"/>
    <w:rsid w:val="00B04C58"/>
    <w:rsid w:val="00B04CD8"/>
    <w:rsid w:val="00B04D79"/>
    <w:rsid w:val="00B04DF9"/>
    <w:rsid w:val="00B04F26"/>
    <w:rsid w:val="00B04F85"/>
    <w:rsid w:val="00B050A4"/>
    <w:rsid w:val="00B051F1"/>
    <w:rsid w:val="00B05236"/>
    <w:rsid w:val="00B05377"/>
    <w:rsid w:val="00B05481"/>
    <w:rsid w:val="00B055A2"/>
    <w:rsid w:val="00B0566D"/>
    <w:rsid w:val="00B056F9"/>
    <w:rsid w:val="00B058D7"/>
    <w:rsid w:val="00B05982"/>
    <w:rsid w:val="00B0598E"/>
    <w:rsid w:val="00B059E1"/>
    <w:rsid w:val="00B05A55"/>
    <w:rsid w:val="00B05B2B"/>
    <w:rsid w:val="00B05B7A"/>
    <w:rsid w:val="00B05C45"/>
    <w:rsid w:val="00B05D28"/>
    <w:rsid w:val="00B05D7E"/>
    <w:rsid w:val="00B05E8C"/>
    <w:rsid w:val="00B05EB2"/>
    <w:rsid w:val="00B05F03"/>
    <w:rsid w:val="00B05FE3"/>
    <w:rsid w:val="00B0601C"/>
    <w:rsid w:val="00B06245"/>
    <w:rsid w:val="00B06306"/>
    <w:rsid w:val="00B0636C"/>
    <w:rsid w:val="00B065FD"/>
    <w:rsid w:val="00B06643"/>
    <w:rsid w:val="00B06699"/>
    <w:rsid w:val="00B066BE"/>
    <w:rsid w:val="00B06750"/>
    <w:rsid w:val="00B06804"/>
    <w:rsid w:val="00B068D8"/>
    <w:rsid w:val="00B06A02"/>
    <w:rsid w:val="00B06ADF"/>
    <w:rsid w:val="00B06C01"/>
    <w:rsid w:val="00B06D60"/>
    <w:rsid w:val="00B06DFB"/>
    <w:rsid w:val="00B06E84"/>
    <w:rsid w:val="00B06E8B"/>
    <w:rsid w:val="00B06EB4"/>
    <w:rsid w:val="00B06F23"/>
    <w:rsid w:val="00B07015"/>
    <w:rsid w:val="00B0718A"/>
    <w:rsid w:val="00B072E9"/>
    <w:rsid w:val="00B07857"/>
    <w:rsid w:val="00B07BDC"/>
    <w:rsid w:val="00B07DB4"/>
    <w:rsid w:val="00B07E7E"/>
    <w:rsid w:val="00B07F2C"/>
    <w:rsid w:val="00B07FD3"/>
    <w:rsid w:val="00B100B1"/>
    <w:rsid w:val="00B10106"/>
    <w:rsid w:val="00B101F7"/>
    <w:rsid w:val="00B10206"/>
    <w:rsid w:val="00B102DD"/>
    <w:rsid w:val="00B1033A"/>
    <w:rsid w:val="00B10370"/>
    <w:rsid w:val="00B1037E"/>
    <w:rsid w:val="00B10463"/>
    <w:rsid w:val="00B10552"/>
    <w:rsid w:val="00B1056D"/>
    <w:rsid w:val="00B1059A"/>
    <w:rsid w:val="00B1061D"/>
    <w:rsid w:val="00B10624"/>
    <w:rsid w:val="00B107C2"/>
    <w:rsid w:val="00B1083E"/>
    <w:rsid w:val="00B10879"/>
    <w:rsid w:val="00B10998"/>
    <w:rsid w:val="00B10A44"/>
    <w:rsid w:val="00B10C35"/>
    <w:rsid w:val="00B10CBA"/>
    <w:rsid w:val="00B10CDD"/>
    <w:rsid w:val="00B10D66"/>
    <w:rsid w:val="00B10D67"/>
    <w:rsid w:val="00B10D73"/>
    <w:rsid w:val="00B10E93"/>
    <w:rsid w:val="00B10FC5"/>
    <w:rsid w:val="00B11066"/>
    <w:rsid w:val="00B1111B"/>
    <w:rsid w:val="00B11135"/>
    <w:rsid w:val="00B11256"/>
    <w:rsid w:val="00B11394"/>
    <w:rsid w:val="00B11501"/>
    <w:rsid w:val="00B11584"/>
    <w:rsid w:val="00B116B5"/>
    <w:rsid w:val="00B118E6"/>
    <w:rsid w:val="00B11932"/>
    <w:rsid w:val="00B1193D"/>
    <w:rsid w:val="00B11950"/>
    <w:rsid w:val="00B11A7F"/>
    <w:rsid w:val="00B11C92"/>
    <w:rsid w:val="00B11CB2"/>
    <w:rsid w:val="00B11DFC"/>
    <w:rsid w:val="00B11DFD"/>
    <w:rsid w:val="00B11E59"/>
    <w:rsid w:val="00B11E8B"/>
    <w:rsid w:val="00B11ED9"/>
    <w:rsid w:val="00B11F25"/>
    <w:rsid w:val="00B11F28"/>
    <w:rsid w:val="00B11F2A"/>
    <w:rsid w:val="00B11F42"/>
    <w:rsid w:val="00B1201F"/>
    <w:rsid w:val="00B120D4"/>
    <w:rsid w:val="00B121B8"/>
    <w:rsid w:val="00B121D9"/>
    <w:rsid w:val="00B1221B"/>
    <w:rsid w:val="00B1231C"/>
    <w:rsid w:val="00B123DA"/>
    <w:rsid w:val="00B1260D"/>
    <w:rsid w:val="00B126CA"/>
    <w:rsid w:val="00B1283C"/>
    <w:rsid w:val="00B1288E"/>
    <w:rsid w:val="00B12A13"/>
    <w:rsid w:val="00B12A82"/>
    <w:rsid w:val="00B12AA6"/>
    <w:rsid w:val="00B12ADA"/>
    <w:rsid w:val="00B12BF4"/>
    <w:rsid w:val="00B12CD6"/>
    <w:rsid w:val="00B13299"/>
    <w:rsid w:val="00B133AB"/>
    <w:rsid w:val="00B133DA"/>
    <w:rsid w:val="00B13423"/>
    <w:rsid w:val="00B1355D"/>
    <w:rsid w:val="00B136B0"/>
    <w:rsid w:val="00B136CC"/>
    <w:rsid w:val="00B136D0"/>
    <w:rsid w:val="00B137CA"/>
    <w:rsid w:val="00B13842"/>
    <w:rsid w:val="00B13917"/>
    <w:rsid w:val="00B1395B"/>
    <w:rsid w:val="00B139BB"/>
    <w:rsid w:val="00B13AC5"/>
    <w:rsid w:val="00B13BB8"/>
    <w:rsid w:val="00B13BE8"/>
    <w:rsid w:val="00B13C2E"/>
    <w:rsid w:val="00B13C83"/>
    <w:rsid w:val="00B13D86"/>
    <w:rsid w:val="00B140BB"/>
    <w:rsid w:val="00B140D3"/>
    <w:rsid w:val="00B14316"/>
    <w:rsid w:val="00B143CC"/>
    <w:rsid w:val="00B14408"/>
    <w:rsid w:val="00B144C4"/>
    <w:rsid w:val="00B144C8"/>
    <w:rsid w:val="00B145A6"/>
    <w:rsid w:val="00B1472D"/>
    <w:rsid w:val="00B14880"/>
    <w:rsid w:val="00B149D1"/>
    <w:rsid w:val="00B14A29"/>
    <w:rsid w:val="00B14BC8"/>
    <w:rsid w:val="00B14CEF"/>
    <w:rsid w:val="00B14D57"/>
    <w:rsid w:val="00B14E25"/>
    <w:rsid w:val="00B14E27"/>
    <w:rsid w:val="00B14EB2"/>
    <w:rsid w:val="00B14FC9"/>
    <w:rsid w:val="00B14FD1"/>
    <w:rsid w:val="00B1509F"/>
    <w:rsid w:val="00B15147"/>
    <w:rsid w:val="00B151A2"/>
    <w:rsid w:val="00B15266"/>
    <w:rsid w:val="00B153B6"/>
    <w:rsid w:val="00B154D5"/>
    <w:rsid w:val="00B15507"/>
    <w:rsid w:val="00B155BF"/>
    <w:rsid w:val="00B158ED"/>
    <w:rsid w:val="00B1599C"/>
    <w:rsid w:val="00B15AD0"/>
    <w:rsid w:val="00B15B76"/>
    <w:rsid w:val="00B15C9B"/>
    <w:rsid w:val="00B15D8B"/>
    <w:rsid w:val="00B15F0F"/>
    <w:rsid w:val="00B16383"/>
    <w:rsid w:val="00B1641F"/>
    <w:rsid w:val="00B16613"/>
    <w:rsid w:val="00B1666F"/>
    <w:rsid w:val="00B16675"/>
    <w:rsid w:val="00B166DB"/>
    <w:rsid w:val="00B167D1"/>
    <w:rsid w:val="00B167DE"/>
    <w:rsid w:val="00B16859"/>
    <w:rsid w:val="00B16885"/>
    <w:rsid w:val="00B169D7"/>
    <w:rsid w:val="00B16AF7"/>
    <w:rsid w:val="00B16AFF"/>
    <w:rsid w:val="00B16D1F"/>
    <w:rsid w:val="00B16E25"/>
    <w:rsid w:val="00B16F39"/>
    <w:rsid w:val="00B1708E"/>
    <w:rsid w:val="00B170C3"/>
    <w:rsid w:val="00B17136"/>
    <w:rsid w:val="00B17194"/>
    <w:rsid w:val="00B171E8"/>
    <w:rsid w:val="00B17204"/>
    <w:rsid w:val="00B1728F"/>
    <w:rsid w:val="00B172C3"/>
    <w:rsid w:val="00B1738F"/>
    <w:rsid w:val="00B174B3"/>
    <w:rsid w:val="00B174E6"/>
    <w:rsid w:val="00B17509"/>
    <w:rsid w:val="00B17647"/>
    <w:rsid w:val="00B176B7"/>
    <w:rsid w:val="00B176DD"/>
    <w:rsid w:val="00B17912"/>
    <w:rsid w:val="00B17959"/>
    <w:rsid w:val="00B17B7B"/>
    <w:rsid w:val="00B17BF9"/>
    <w:rsid w:val="00B17C0C"/>
    <w:rsid w:val="00B17C8C"/>
    <w:rsid w:val="00B200E8"/>
    <w:rsid w:val="00B2032F"/>
    <w:rsid w:val="00B203F5"/>
    <w:rsid w:val="00B204C1"/>
    <w:rsid w:val="00B204DF"/>
    <w:rsid w:val="00B2057C"/>
    <w:rsid w:val="00B205F2"/>
    <w:rsid w:val="00B20600"/>
    <w:rsid w:val="00B2073B"/>
    <w:rsid w:val="00B207DD"/>
    <w:rsid w:val="00B20846"/>
    <w:rsid w:val="00B20854"/>
    <w:rsid w:val="00B20928"/>
    <w:rsid w:val="00B20ABD"/>
    <w:rsid w:val="00B20CF6"/>
    <w:rsid w:val="00B20D5D"/>
    <w:rsid w:val="00B20F24"/>
    <w:rsid w:val="00B20FB9"/>
    <w:rsid w:val="00B20FD2"/>
    <w:rsid w:val="00B21030"/>
    <w:rsid w:val="00B211AE"/>
    <w:rsid w:val="00B211CC"/>
    <w:rsid w:val="00B211EC"/>
    <w:rsid w:val="00B2128A"/>
    <w:rsid w:val="00B212BA"/>
    <w:rsid w:val="00B21527"/>
    <w:rsid w:val="00B215A4"/>
    <w:rsid w:val="00B21705"/>
    <w:rsid w:val="00B217A8"/>
    <w:rsid w:val="00B2184F"/>
    <w:rsid w:val="00B21B7E"/>
    <w:rsid w:val="00B21BD4"/>
    <w:rsid w:val="00B21CBC"/>
    <w:rsid w:val="00B21CF4"/>
    <w:rsid w:val="00B21D46"/>
    <w:rsid w:val="00B220B1"/>
    <w:rsid w:val="00B22108"/>
    <w:rsid w:val="00B22271"/>
    <w:rsid w:val="00B2238B"/>
    <w:rsid w:val="00B2244C"/>
    <w:rsid w:val="00B225BE"/>
    <w:rsid w:val="00B22650"/>
    <w:rsid w:val="00B22675"/>
    <w:rsid w:val="00B22692"/>
    <w:rsid w:val="00B22B82"/>
    <w:rsid w:val="00B22D18"/>
    <w:rsid w:val="00B22D78"/>
    <w:rsid w:val="00B22D92"/>
    <w:rsid w:val="00B22E69"/>
    <w:rsid w:val="00B22F9F"/>
    <w:rsid w:val="00B2349A"/>
    <w:rsid w:val="00B234E9"/>
    <w:rsid w:val="00B2350B"/>
    <w:rsid w:val="00B235B3"/>
    <w:rsid w:val="00B235D8"/>
    <w:rsid w:val="00B235DB"/>
    <w:rsid w:val="00B2369A"/>
    <w:rsid w:val="00B238BD"/>
    <w:rsid w:val="00B23A7E"/>
    <w:rsid w:val="00B23B20"/>
    <w:rsid w:val="00B23CE2"/>
    <w:rsid w:val="00B23DCF"/>
    <w:rsid w:val="00B23E2B"/>
    <w:rsid w:val="00B23F2E"/>
    <w:rsid w:val="00B2400C"/>
    <w:rsid w:val="00B24268"/>
    <w:rsid w:val="00B243F3"/>
    <w:rsid w:val="00B24412"/>
    <w:rsid w:val="00B24437"/>
    <w:rsid w:val="00B24655"/>
    <w:rsid w:val="00B24717"/>
    <w:rsid w:val="00B24752"/>
    <w:rsid w:val="00B24805"/>
    <w:rsid w:val="00B2482B"/>
    <w:rsid w:val="00B24A69"/>
    <w:rsid w:val="00B24BCE"/>
    <w:rsid w:val="00B24EB5"/>
    <w:rsid w:val="00B24EC7"/>
    <w:rsid w:val="00B25195"/>
    <w:rsid w:val="00B25399"/>
    <w:rsid w:val="00B253A1"/>
    <w:rsid w:val="00B2545E"/>
    <w:rsid w:val="00B25479"/>
    <w:rsid w:val="00B254FB"/>
    <w:rsid w:val="00B25618"/>
    <w:rsid w:val="00B256F9"/>
    <w:rsid w:val="00B25753"/>
    <w:rsid w:val="00B25796"/>
    <w:rsid w:val="00B25813"/>
    <w:rsid w:val="00B258FD"/>
    <w:rsid w:val="00B25B03"/>
    <w:rsid w:val="00B25B14"/>
    <w:rsid w:val="00B25BE0"/>
    <w:rsid w:val="00B25C99"/>
    <w:rsid w:val="00B25EDF"/>
    <w:rsid w:val="00B25F95"/>
    <w:rsid w:val="00B25FA1"/>
    <w:rsid w:val="00B2606E"/>
    <w:rsid w:val="00B262FA"/>
    <w:rsid w:val="00B26320"/>
    <w:rsid w:val="00B26734"/>
    <w:rsid w:val="00B26764"/>
    <w:rsid w:val="00B26914"/>
    <w:rsid w:val="00B2694B"/>
    <w:rsid w:val="00B26AC2"/>
    <w:rsid w:val="00B26D9A"/>
    <w:rsid w:val="00B26E07"/>
    <w:rsid w:val="00B26F15"/>
    <w:rsid w:val="00B2702F"/>
    <w:rsid w:val="00B27083"/>
    <w:rsid w:val="00B27087"/>
    <w:rsid w:val="00B2717D"/>
    <w:rsid w:val="00B27206"/>
    <w:rsid w:val="00B2725F"/>
    <w:rsid w:val="00B27260"/>
    <w:rsid w:val="00B272BA"/>
    <w:rsid w:val="00B272C8"/>
    <w:rsid w:val="00B27350"/>
    <w:rsid w:val="00B27630"/>
    <w:rsid w:val="00B2778D"/>
    <w:rsid w:val="00B27846"/>
    <w:rsid w:val="00B27920"/>
    <w:rsid w:val="00B27AE7"/>
    <w:rsid w:val="00B27BA6"/>
    <w:rsid w:val="00B27BF2"/>
    <w:rsid w:val="00B27CB7"/>
    <w:rsid w:val="00B27D46"/>
    <w:rsid w:val="00B27DEB"/>
    <w:rsid w:val="00B27FE1"/>
    <w:rsid w:val="00B27FFE"/>
    <w:rsid w:val="00B300ED"/>
    <w:rsid w:val="00B30161"/>
    <w:rsid w:val="00B30184"/>
    <w:rsid w:val="00B301DE"/>
    <w:rsid w:val="00B3045C"/>
    <w:rsid w:val="00B304CB"/>
    <w:rsid w:val="00B30537"/>
    <w:rsid w:val="00B305E2"/>
    <w:rsid w:val="00B30644"/>
    <w:rsid w:val="00B307D7"/>
    <w:rsid w:val="00B30A5E"/>
    <w:rsid w:val="00B30A76"/>
    <w:rsid w:val="00B30AD4"/>
    <w:rsid w:val="00B30CBE"/>
    <w:rsid w:val="00B30D78"/>
    <w:rsid w:val="00B30FB8"/>
    <w:rsid w:val="00B3100F"/>
    <w:rsid w:val="00B310C6"/>
    <w:rsid w:val="00B31203"/>
    <w:rsid w:val="00B31272"/>
    <w:rsid w:val="00B314E7"/>
    <w:rsid w:val="00B31500"/>
    <w:rsid w:val="00B316F0"/>
    <w:rsid w:val="00B31713"/>
    <w:rsid w:val="00B31741"/>
    <w:rsid w:val="00B31750"/>
    <w:rsid w:val="00B319DB"/>
    <w:rsid w:val="00B31A3E"/>
    <w:rsid w:val="00B31ABB"/>
    <w:rsid w:val="00B31CF5"/>
    <w:rsid w:val="00B31DBF"/>
    <w:rsid w:val="00B3210C"/>
    <w:rsid w:val="00B32115"/>
    <w:rsid w:val="00B321D9"/>
    <w:rsid w:val="00B321DD"/>
    <w:rsid w:val="00B321E4"/>
    <w:rsid w:val="00B3223F"/>
    <w:rsid w:val="00B32276"/>
    <w:rsid w:val="00B3227C"/>
    <w:rsid w:val="00B32292"/>
    <w:rsid w:val="00B322A5"/>
    <w:rsid w:val="00B32407"/>
    <w:rsid w:val="00B324AB"/>
    <w:rsid w:val="00B324E9"/>
    <w:rsid w:val="00B325ED"/>
    <w:rsid w:val="00B3267E"/>
    <w:rsid w:val="00B327B6"/>
    <w:rsid w:val="00B328DD"/>
    <w:rsid w:val="00B32AFB"/>
    <w:rsid w:val="00B32D55"/>
    <w:rsid w:val="00B32D74"/>
    <w:rsid w:val="00B32F2E"/>
    <w:rsid w:val="00B32FA9"/>
    <w:rsid w:val="00B33318"/>
    <w:rsid w:val="00B33409"/>
    <w:rsid w:val="00B33612"/>
    <w:rsid w:val="00B33680"/>
    <w:rsid w:val="00B336DC"/>
    <w:rsid w:val="00B33712"/>
    <w:rsid w:val="00B33806"/>
    <w:rsid w:val="00B338CE"/>
    <w:rsid w:val="00B33A97"/>
    <w:rsid w:val="00B33BA2"/>
    <w:rsid w:val="00B33E1C"/>
    <w:rsid w:val="00B33F02"/>
    <w:rsid w:val="00B340C3"/>
    <w:rsid w:val="00B34143"/>
    <w:rsid w:val="00B34479"/>
    <w:rsid w:val="00B34569"/>
    <w:rsid w:val="00B348B9"/>
    <w:rsid w:val="00B34901"/>
    <w:rsid w:val="00B34925"/>
    <w:rsid w:val="00B34A4D"/>
    <w:rsid w:val="00B34A69"/>
    <w:rsid w:val="00B34CFE"/>
    <w:rsid w:val="00B34D24"/>
    <w:rsid w:val="00B34D7F"/>
    <w:rsid w:val="00B34DD4"/>
    <w:rsid w:val="00B34E89"/>
    <w:rsid w:val="00B34F21"/>
    <w:rsid w:val="00B34FC6"/>
    <w:rsid w:val="00B35091"/>
    <w:rsid w:val="00B35160"/>
    <w:rsid w:val="00B35391"/>
    <w:rsid w:val="00B3565B"/>
    <w:rsid w:val="00B356FA"/>
    <w:rsid w:val="00B357A9"/>
    <w:rsid w:val="00B357B6"/>
    <w:rsid w:val="00B357D2"/>
    <w:rsid w:val="00B3580D"/>
    <w:rsid w:val="00B35867"/>
    <w:rsid w:val="00B35B4A"/>
    <w:rsid w:val="00B35BD5"/>
    <w:rsid w:val="00B35DC1"/>
    <w:rsid w:val="00B35E56"/>
    <w:rsid w:val="00B35E92"/>
    <w:rsid w:val="00B35FCA"/>
    <w:rsid w:val="00B36440"/>
    <w:rsid w:val="00B365D3"/>
    <w:rsid w:val="00B36609"/>
    <w:rsid w:val="00B3666F"/>
    <w:rsid w:val="00B367D0"/>
    <w:rsid w:val="00B36828"/>
    <w:rsid w:val="00B368A9"/>
    <w:rsid w:val="00B36974"/>
    <w:rsid w:val="00B36A22"/>
    <w:rsid w:val="00B36B3C"/>
    <w:rsid w:val="00B36D2B"/>
    <w:rsid w:val="00B36ECD"/>
    <w:rsid w:val="00B36F02"/>
    <w:rsid w:val="00B36F64"/>
    <w:rsid w:val="00B37077"/>
    <w:rsid w:val="00B3720B"/>
    <w:rsid w:val="00B3726A"/>
    <w:rsid w:val="00B37321"/>
    <w:rsid w:val="00B373B6"/>
    <w:rsid w:val="00B37578"/>
    <w:rsid w:val="00B375A5"/>
    <w:rsid w:val="00B37961"/>
    <w:rsid w:val="00B37A45"/>
    <w:rsid w:val="00B37A78"/>
    <w:rsid w:val="00B37CB6"/>
    <w:rsid w:val="00B37DE4"/>
    <w:rsid w:val="00B40061"/>
    <w:rsid w:val="00B400E6"/>
    <w:rsid w:val="00B4014C"/>
    <w:rsid w:val="00B40208"/>
    <w:rsid w:val="00B40248"/>
    <w:rsid w:val="00B40351"/>
    <w:rsid w:val="00B40371"/>
    <w:rsid w:val="00B4040F"/>
    <w:rsid w:val="00B40494"/>
    <w:rsid w:val="00B404B5"/>
    <w:rsid w:val="00B40634"/>
    <w:rsid w:val="00B40653"/>
    <w:rsid w:val="00B40715"/>
    <w:rsid w:val="00B40938"/>
    <w:rsid w:val="00B40992"/>
    <w:rsid w:val="00B40B1E"/>
    <w:rsid w:val="00B40C81"/>
    <w:rsid w:val="00B40D7A"/>
    <w:rsid w:val="00B40F51"/>
    <w:rsid w:val="00B4134F"/>
    <w:rsid w:val="00B413A7"/>
    <w:rsid w:val="00B413DD"/>
    <w:rsid w:val="00B414CB"/>
    <w:rsid w:val="00B4156B"/>
    <w:rsid w:val="00B4182E"/>
    <w:rsid w:val="00B418A0"/>
    <w:rsid w:val="00B41AEF"/>
    <w:rsid w:val="00B41B2A"/>
    <w:rsid w:val="00B41D5A"/>
    <w:rsid w:val="00B41EAE"/>
    <w:rsid w:val="00B41EF2"/>
    <w:rsid w:val="00B41F55"/>
    <w:rsid w:val="00B420BD"/>
    <w:rsid w:val="00B423C5"/>
    <w:rsid w:val="00B42761"/>
    <w:rsid w:val="00B4276E"/>
    <w:rsid w:val="00B42828"/>
    <w:rsid w:val="00B42941"/>
    <w:rsid w:val="00B429E7"/>
    <w:rsid w:val="00B42A4D"/>
    <w:rsid w:val="00B42B1C"/>
    <w:rsid w:val="00B42B9E"/>
    <w:rsid w:val="00B42BCB"/>
    <w:rsid w:val="00B42E46"/>
    <w:rsid w:val="00B43002"/>
    <w:rsid w:val="00B431A3"/>
    <w:rsid w:val="00B431BC"/>
    <w:rsid w:val="00B43232"/>
    <w:rsid w:val="00B432A3"/>
    <w:rsid w:val="00B4347C"/>
    <w:rsid w:val="00B434C1"/>
    <w:rsid w:val="00B43538"/>
    <w:rsid w:val="00B436A2"/>
    <w:rsid w:val="00B436C6"/>
    <w:rsid w:val="00B439A0"/>
    <w:rsid w:val="00B43CBE"/>
    <w:rsid w:val="00B43E30"/>
    <w:rsid w:val="00B43EF3"/>
    <w:rsid w:val="00B43F75"/>
    <w:rsid w:val="00B441B4"/>
    <w:rsid w:val="00B441DA"/>
    <w:rsid w:val="00B4428C"/>
    <w:rsid w:val="00B44345"/>
    <w:rsid w:val="00B4434E"/>
    <w:rsid w:val="00B443BC"/>
    <w:rsid w:val="00B4449E"/>
    <w:rsid w:val="00B44503"/>
    <w:rsid w:val="00B44703"/>
    <w:rsid w:val="00B447FD"/>
    <w:rsid w:val="00B4482B"/>
    <w:rsid w:val="00B44998"/>
    <w:rsid w:val="00B44B30"/>
    <w:rsid w:val="00B44C48"/>
    <w:rsid w:val="00B450B3"/>
    <w:rsid w:val="00B45167"/>
    <w:rsid w:val="00B451BA"/>
    <w:rsid w:val="00B451FA"/>
    <w:rsid w:val="00B45259"/>
    <w:rsid w:val="00B453B0"/>
    <w:rsid w:val="00B45496"/>
    <w:rsid w:val="00B4557B"/>
    <w:rsid w:val="00B45609"/>
    <w:rsid w:val="00B4568D"/>
    <w:rsid w:val="00B45A4C"/>
    <w:rsid w:val="00B45B14"/>
    <w:rsid w:val="00B45B15"/>
    <w:rsid w:val="00B45B8D"/>
    <w:rsid w:val="00B45CC5"/>
    <w:rsid w:val="00B45E58"/>
    <w:rsid w:val="00B45FCF"/>
    <w:rsid w:val="00B45FE7"/>
    <w:rsid w:val="00B4602F"/>
    <w:rsid w:val="00B46064"/>
    <w:rsid w:val="00B46117"/>
    <w:rsid w:val="00B461BA"/>
    <w:rsid w:val="00B46268"/>
    <w:rsid w:val="00B462CB"/>
    <w:rsid w:val="00B46365"/>
    <w:rsid w:val="00B46393"/>
    <w:rsid w:val="00B4644F"/>
    <w:rsid w:val="00B46485"/>
    <w:rsid w:val="00B46711"/>
    <w:rsid w:val="00B4679D"/>
    <w:rsid w:val="00B467BE"/>
    <w:rsid w:val="00B4680C"/>
    <w:rsid w:val="00B46828"/>
    <w:rsid w:val="00B4684D"/>
    <w:rsid w:val="00B46903"/>
    <w:rsid w:val="00B4693B"/>
    <w:rsid w:val="00B46AAF"/>
    <w:rsid w:val="00B46B52"/>
    <w:rsid w:val="00B46BEA"/>
    <w:rsid w:val="00B46D23"/>
    <w:rsid w:val="00B46EF1"/>
    <w:rsid w:val="00B46F42"/>
    <w:rsid w:val="00B46FA3"/>
    <w:rsid w:val="00B4715D"/>
    <w:rsid w:val="00B472B2"/>
    <w:rsid w:val="00B4730A"/>
    <w:rsid w:val="00B47392"/>
    <w:rsid w:val="00B475C0"/>
    <w:rsid w:val="00B475C9"/>
    <w:rsid w:val="00B476DC"/>
    <w:rsid w:val="00B476DE"/>
    <w:rsid w:val="00B476F8"/>
    <w:rsid w:val="00B47747"/>
    <w:rsid w:val="00B47A42"/>
    <w:rsid w:val="00B47E62"/>
    <w:rsid w:val="00B47EF0"/>
    <w:rsid w:val="00B47F89"/>
    <w:rsid w:val="00B501FF"/>
    <w:rsid w:val="00B503E3"/>
    <w:rsid w:val="00B50431"/>
    <w:rsid w:val="00B5046A"/>
    <w:rsid w:val="00B5062B"/>
    <w:rsid w:val="00B5062C"/>
    <w:rsid w:val="00B50720"/>
    <w:rsid w:val="00B50952"/>
    <w:rsid w:val="00B5097B"/>
    <w:rsid w:val="00B50A24"/>
    <w:rsid w:val="00B50C74"/>
    <w:rsid w:val="00B50D48"/>
    <w:rsid w:val="00B50F05"/>
    <w:rsid w:val="00B510E6"/>
    <w:rsid w:val="00B5124F"/>
    <w:rsid w:val="00B51320"/>
    <w:rsid w:val="00B51424"/>
    <w:rsid w:val="00B51484"/>
    <w:rsid w:val="00B514A6"/>
    <w:rsid w:val="00B514FC"/>
    <w:rsid w:val="00B516AC"/>
    <w:rsid w:val="00B51C5B"/>
    <w:rsid w:val="00B51CFE"/>
    <w:rsid w:val="00B51D31"/>
    <w:rsid w:val="00B51D41"/>
    <w:rsid w:val="00B51F38"/>
    <w:rsid w:val="00B520CC"/>
    <w:rsid w:val="00B521AD"/>
    <w:rsid w:val="00B521C8"/>
    <w:rsid w:val="00B521ED"/>
    <w:rsid w:val="00B52221"/>
    <w:rsid w:val="00B52399"/>
    <w:rsid w:val="00B523D9"/>
    <w:rsid w:val="00B52462"/>
    <w:rsid w:val="00B5250E"/>
    <w:rsid w:val="00B525E2"/>
    <w:rsid w:val="00B526E7"/>
    <w:rsid w:val="00B5270C"/>
    <w:rsid w:val="00B5279C"/>
    <w:rsid w:val="00B52894"/>
    <w:rsid w:val="00B528C5"/>
    <w:rsid w:val="00B52922"/>
    <w:rsid w:val="00B5293A"/>
    <w:rsid w:val="00B5298B"/>
    <w:rsid w:val="00B52A84"/>
    <w:rsid w:val="00B52ADA"/>
    <w:rsid w:val="00B52B8B"/>
    <w:rsid w:val="00B52BAE"/>
    <w:rsid w:val="00B52DFE"/>
    <w:rsid w:val="00B52E2A"/>
    <w:rsid w:val="00B52FE2"/>
    <w:rsid w:val="00B53167"/>
    <w:rsid w:val="00B531B9"/>
    <w:rsid w:val="00B5333D"/>
    <w:rsid w:val="00B53611"/>
    <w:rsid w:val="00B5378E"/>
    <w:rsid w:val="00B5381C"/>
    <w:rsid w:val="00B538B3"/>
    <w:rsid w:val="00B53A2B"/>
    <w:rsid w:val="00B53A4D"/>
    <w:rsid w:val="00B53C28"/>
    <w:rsid w:val="00B53DC3"/>
    <w:rsid w:val="00B53F83"/>
    <w:rsid w:val="00B53F9C"/>
    <w:rsid w:val="00B5422D"/>
    <w:rsid w:val="00B54310"/>
    <w:rsid w:val="00B5441B"/>
    <w:rsid w:val="00B544CA"/>
    <w:rsid w:val="00B5463B"/>
    <w:rsid w:val="00B546B2"/>
    <w:rsid w:val="00B547E3"/>
    <w:rsid w:val="00B548B4"/>
    <w:rsid w:val="00B5492A"/>
    <w:rsid w:val="00B54BBE"/>
    <w:rsid w:val="00B54C39"/>
    <w:rsid w:val="00B54CF4"/>
    <w:rsid w:val="00B54D3E"/>
    <w:rsid w:val="00B54FCD"/>
    <w:rsid w:val="00B55192"/>
    <w:rsid w:val="00B55205"/>
    <w:rsid w:val="00B552D8"/>
    <w:rsid w:val="00B552E0"/>
    <w:rsid w:val="00B5567B"/>
    <w:rsid w:val="00B556DC"/>
    <w:rsid w:val="00B55775"/>
    <w:rsid w:val="00B55863"/>
    <w:rsid w:val="00B558F1"/>
    <w:rsid w:val="00B559ED"/>
    <w:rsid w:val="00B55A42"/>
    <w:rsid w:val="00B55BA1"/>
    <w:rsid w:val="00B55C98"/>
    <w:rsid w:val="00B55D39"/>
    <w:rsid w:val="00B55D5A"/>
    <w:rsid w:val="00B55DEC"/>
    <w:rsid w:val="00B55DF0"/>
    <w:rsid w:val="00B55E4F"/>
    <w:rsid w:val="00B55F54"/>
    <w:rsid w:val="00B55F95"/>
    <w:rsid w:val="00B55FC7"/>
    <w:rsid w:val="00B56047"/>
    <w:rsid w:val="00B561A5"/>
    <w:rsid w:val="00B562AC"/>
    <w:rsid w:val="00B562F2"/>
    <w:rsid w:val="00B56340"/>
    <w:rsid w:val="00B56419"/>
    <w:rsid w:val="00B5651A"/>
    <w:rsid w:val="00B56707"/>
    <w:rsid w:val="00B56821"/>
    <w:rsid w:val="00B56887"/>
    <w:rsid w:val="00B56A2C"/>
    <w:rsid w:val="00B56A6E"/>
    <w:rsid w:val="00B56B3B"/>
    <w:rsid w:val="00B56DD6"/>
    <w:rsid w:val="00B56EA2"/>
    <w:rsid w:val="00B56F80"/>
    <w:rsid w:val="00B56F88"/>
    <w:rsid w:val="00B5708D"/>
    <w:rsid w:val="00B571BD"/>
    <w:rsid w:val="00B572AB"/>
    <w:rsid w:val="00B575BF"/>
    <w:rsid w:val="00B575CD"/>
    <w:rsid w:val="00B5761C"/>
    <w:rsid w:val="00B5769A"/>
    <w:rsid w:val="00B576DD"/>
    <w:rsid w:val="00B577AB"/>
    <w:rsid w:val="00B578BA"/>
    <w:rsid w:val="00B5794E"/>
    <w:rsid w:val="00B5796B"/>
    <w:rsid w:val="00B57B28"/>
    <w:rsid w:val="00B57D1D"/>
    <w:rsid w:val="00B57E3C"/>
    <w:rsid w:val="00B57F7B"/>
    <w:rsid w:val="00B6006E"/>
    <w:rsid w:val="00B604DB"/>
    <w:rsid w:val="00B606E4"/>
    <w:rsid w:val="00B60883"/>
    <w:rsid w:val="00B60982"/>
    <w:rsid w:val="00B60B31"/>
    <w:rsid w:val="00B60B34"/>
    <w:rsid w:val="00B60C4B"/>
    <w:rsid w:val="00B60C51"/>
    <w:rsid w:val="00B60D55"/>
    <w:rsid w:val="00B60E55"/>
    <w:rsid w:val="00B61063"/>
    <w:rsid w:val="00B610A9"/>
    <w:rsid w:val="00B610E4"/>
    <w:rsid w:val="00B61181"/>
    <w:rsid w:val="00B611C5"/>
    <w:rsid w:val="00B612AE"/>
    <w:rsid w:val="00B61366"/>
    <w:rsid w:val="00B614F4"/>
    <w:rsid w:val="00B615A9"/>
    <w:rsid w:val="00B6186C"/>
    <w:rsid w:val="00B618FB"/>
    <w:rsid w:val="00B61A1D"/>
    <w:rsid w:val="00B61B89"/>
    <w:rsid w:val="00B61DB6"/>
    <w:rsid w:val="00B61F0B"/>
    <w:rsid w:val="00B61F46"/>
    <w:rsid w:val="00B62285"/>
    <w:rsid w:val="00B622D0"/>
    <w:rsid w:val="00B6233C"/>
    <w:rsid w:val="00B62346"/>
    <w:rsid w:val="00B62576"/>
    <w:rsid w:val="00B62681"/>
    <w:rsid w:val="00B626DB"/>
    <w:rsid w:val="00B62763"/>
    <w:rsid w:val="00B62787"/>
    <w:rsid w:val="00B62905"/>
    <w:rsid w:val="00B62978"/>
    <w:rsid w:val="00B62A27"/>
    <w:rsid w:val="00B62A70"/>
    <w:rsid w:val="00B62D0E"/>
    <w:rsid w:val="00B62EE0"/>
    <w:rsid w:val="00B63105"/>
    <w:rsid w:val="00B63169"/>
    <w:rsid w:val="00B6326F"/>
    <w:rsid w:val="00B6358A"/>
    <w:rsid w:val="00B63691"/>
    <w:rsid w:val="00B6381B"/>
    <w:rsid w:val="00B638C0"/>
    <w:rsid w:val="00B63A52"/>
    <w:rsid w:val="00B63B60"/>
    <w:rsid w:val="00B63C75"/>
    <w:rsid w:val="00B63E99"/>
    <w:rsid w:val="00B63F51"/>
    <w:rsid w:val="00B63FF0"/>
    <w:rsid w:val="00B641A1"/>
    <w:rsid w:val="00B641E7"/>
    <w:rsid w:val="00B64232"/>
    <w:rsid w:val="00B64261"/>
    <w:rsid w:val="00B643A5"/>
    <w:rsid w:val="00B645D7"/>
    <w:rsid w:val="00B647C5"/>
    <w:rsid w:val="00B648D1"/>
    <w:rsid w:val="00B6490A"/>
    <w:rsid w:val="00B649E2"/>
    <w:rsid w:val="00B64C70"/>
    <w:rsid w:val="00B64D1B"/>
    <w:rsid w:val="00B64F00"/>
    <w:rsid w:val="00B65025"/>
    <w:rsid w:val="00B65260"/>
    <w:rsid w:val="00B65262"/>
    <w:rsid w:val="00B65270"/>
    <w:rsid w:val="00B652E0"/>
    <w:rsid w:val="00B653D5"/>
    <w:rsid w:val="00B6544D"/>
    <w:rsid w:val="00B654A5"/>
    <w:rsid w:val="00B655AC"/>
    <w:rsid w:val="00B656BC"/>
    <w:rsid w:val="00B6575A"/>
    <w:rsid w:val="00B65761"/>
    <w:rsid w:val="00B65776"/>
    <w:rsid w:val="00B65DE2"/>
    <w:rsid w:val="00B65E8A"/>
    <w:rsid w:val="00B65F3A"/>
    <w:rsid w:val="00B66016"/>
    <w:rsid w:val="00B66151"/>
    <w:rsid w:val="00B6622A"/>
    <w:rsid w:val="00B66284"/>
    <w:rsid w:val="00B662B6"/>
    <w:rsid w:val="00B66655"/>
    <w:rsid w:val="00B66721"/>
    <w:rsid w:val="00B66738"/>
    <w:rsid w:val="00B6697B"/>
    <w:rsid w:val="00B669CC"/>
    <w:rsid w:val="00B66A70"/>
    <w:rsid w:val="00B66B0B"/>
    <w:rsid w:val="00B66B1C"/>
    <w:rsid w:val="00B66B4A"/>
    <w:rsid w:val="00B66C55"/>
    <w:rsid w:val="00B66F75"/>
    <w:rsid w:val="00B6702F"/>
    <w:rsid w:val="00B67091"/>
    <w:rsid w:val="00B670CF"/>
    <w:rsid w:val="00B67155"/>
    <w:rsid w:val="00B67209"/>
    <w:rsid w:val="00B672D2"/>
    <w:rsid w:val="00B672F3"/>
    <w:rsid w:val="00B67403"/>
    <w:rsid w:val="00B67445"/>
    <w:rsid w:val="00B67540"/>
    <w:rsid w:val="00B67603"/>
    <w:rsid w:val="00B676D8"/>
    <w:rsid w:val="00B67876"/>
    <w:rsid w:val="00B6787B"/>
    <w:rsid w:val="00B678D1"/>
    <w:rsid w:val="00B67A7B"/>
    <w:rsid w:val="00B67AF7"/>
    <w:rsid w:val="00B67B6C"/>
    <w:rsid w:val="00B67C91"/>
    <w:rsid w:val="00B67CA5"/>
    <w:rsid w:val="00B67F7E"/>
    <w:rsid w:val="00B67FA6"/>
    <w:rsid w:val="00B70076"/>
    <w:rsid w:val="00B705F2"/>
    <w:rsid w:val="00B70740"/>
    <w:rsid w:val="00B7084F"/>
    <w:rsid w:val="00B7085A"/>
    <w:rsid w:val="00B70879"/>
    <w:rsid w:val="00B7088C"/>
    <w:rsid w:val="00B708B3"/>
    <w:rsid w:val="00B70965"/>
    <w:rsid w:val="00B7097E"/>
    <w:rsid w:val="00B70A3B"/>
    <w:rsid w:val="00B70D19"/>
    <w:rsid w:val="00B70D61"/>
    <w:rsid w:val="00B70DB1"/>
    <w:rsid w:val="00B70EE0"/>
    <w:rsid w:val="00B7107C"/>
    <w:rsid w:val="00B71174"/>
    <w:rsid w:val="00B7119A"/>
    <w:rsid w:val="00B7124B"/>
    <w:rsid w:val="00B71263"/>
    <w:rsid w:val="00B7133D"/>
    <w:rsid w:val="00B71410"/>
    <w:rsid w:val="00B7160F"/>
    <w:rsid w:val="00B7199C"/>
    <w:rsid w:val="00B71C7B"/>
    <w:rsid w:val="00B71E45"/>
    <w:rsid w:val="00B71E95"/>
    <w:rsid w:val="00B71ED7"/>
    <w:rsid w:val="00B71F39"/>
    <w:rsid w:val="00B7201E"/>
    <w:rsid w:val="00B7216B"/>
    <w:rsid w:val="00B721BF"/>
    <w:rsid w:val="00B7240D"/>
    <w:rsid w:val="00B724AB"/>
    <w:rsid w:val="00B725C6"/>
    <w:rsid w:val="00B729C3"/>
    <w:rsid w:val="00B72ACB"/>
    <w:rsid w:val="00B72BE6"/>
    <w:rsid w:val="00B72D57"/>
    <w:rsid w:val="00B72EB7"/>
    <w:rsid w:val="00B731A4"/>
    <w:rsid w:val="00B731F3"/>
    <w:rsid w:val="00B73450"/>
    <w:rsid w:val="00B734AB"/>
    <w:rsid w:val="00B734F9"/>
    <w:rsid w:val="00B737C9"/>
    <w:rsid w:val="00B73876"/>
    <w:rsid w:val="00B73896"/>
    <w:rsid w:val="00B738C6"/>
    <w:rsid w:val="00B73913"/>
    <w:rsid w:val="00B73B78"/>
    <w:rsid w:val="00B73C02"/>
    <w:rsid w:val="00B73C0F"/>
    <w:rsid w:val="00B73D0E"/>
    <w:rsid w:val="00B73E5E"/>
    <w:rsid w:val="00B73EB2"/>
    <w:rsid w:val="00B73F42"/>
    <w:rsid w:val="00B73F43"/>
    <w:rsid w:val="00B7414D"/>
    <w:rsid w:val="00B74204"/>
    <w:rsid w:val="00B74275"/>
    <w:rsid w:val="00B742A0"/>
    <w:rsid w:val="00B743C7"/>
    <w:rsid w:val="00B7440E"/>
    <w:rsid w:val="00B74422"/>
    <w:rsid w:val="00B7445A"/>
    <w:rsid w:val="00B744DA"/>
    <w:rsid w:val="00B7452D"/>
    <w:rsid w:val="00B7457D"/>
    <w:rsid w:val="00B745EC"/>
    <w:rsid w:val="00B74724"/>
    <w:rsid w:val="00B7474C"/>
    <w:rsid w:val="00B747C9"/>
    <w:rsid w:val="00B74882"/>
    <w:rsid w:val="00B7488F"/>
    <w:rsid w:val="00B748D6"/>
    <w:rsid w:val="00B74A22"/>
    <w:rsid w:val="00B74A31"/>
    <w:rsid w:val="00B74A98"/>
    <w:rsid w:val="00B74B39"/>
    <w:rsid w:val="00B74BD0"/>
    <w:rsid w:val="00B74C07"/>
    <w:rsid w:val="00B74C3A"/>
    <w:rsid w:val="00B74D2F"/>
    <w:rsid w:val="00B74E02"/>
    <w:rsid w:val="00B74E77"/>
    <w:rsid w:val="00B74E89"/>
    <w:rsid w:val="00B74F1C"/>
    <w:rsid w:val="00B74FB9"/>
    <w:rsid w:val="00B75283"/>
    <w:rsid w:val="00B752C5"/>
    <w:rsid w:val="00B752F0"/>
    <w:rsid w:val="00B75474"/>
    <w:rsid w:val="00B755F3"/>
    <w:rsid w:val="00B756F9"/>
    <w:rsid w:val="00B757F5"/>
    <w:rsid w:val="00B7585B"/>
    <w:rsid w:val="00B75954"/>
    <w:rsid w:val="00B7599E"/>
    <w:rsid w:val="00B75A1C"/>
    <w:rsid w:val="00B75B3C"/>
    <w:rsid w:val="00B75C2B"/>
    <w:rsid w:val="00B75CA9"/>
    <w:rsid w:val="00B7618D"/>
    <w:rsid w:val="00B761BE"/>
    <w:rsid w:val="00B7624F"/>
    <w:rsid w:val="00B7625C"/>
    <w:rsid w:val="00B763A6"/>
    <w:rsid w:val="00B7644C"/>
    <w:rsid w:val="00B764C6"/>
    <w:rsid w:val="00B76508"/>
    <w:rsid w:val="00B76612"/>
    <w:rsid w:val="00B76634"/>
    <w:rsid w:val="00B76643"/>
    <w:rsid w:val="00B76665"/>
    <w:rsid w:val="00B7669F"/>
    <w:rsid w:val="00B766A0"/>
    <w:rsid w:val="00B76970"/>
    <w:rsid w:val="00B76A9F"/>
    <w:rsid w:val="00B76AE1"/>
    <w:rsid w:val="00B76B48"/>
    <w:rsid w:val="00B76BC4"/>
    <w:rsid w:val="00B76DE6"/>
    <w:rsid w:val="00B771BC"/>
    <w:rsid w:val="00B7728D"/>
    <w:rsid w:val="00B772FB"/>
    <w:rsid w:val="00B7742C"/>
    <w:rsid w:val="00B7755D"/>
    <w:rsid w:val="00B775AD"/>
    <w:rsid w:val="00B7765A"/>
    <w:rsid w:val="00B77713"/>
    <w:rsid w:val="00B7780B"/>
    <w:rsid w:val="00B77819"/>
    <w:rsid w:val="00B778CC"/>
    <w:rsid w:val="00B77C22"/>
    <w:rsid w:val="00B77CA6"/>
    <w:rsid w:val="00B77CB8"/>
    <w:rsid w:val="00B77D23"/>
    <w:rsid w:val="00B77EF5"/>
    <w:rsid w:val="00B77EF8"/>
    <w:rsid w:val="00B80008"/>
    <w:rsid w:val="00B8035A"/>
    <w:rsid w:val="00B8037A"/>
    <w:rsid w:val="00B8039C"/>
    <w:rsid w:val="00B803EC"/>
    <w:rsid w:val="00B80414"/>
    <w:rsid w:val="00B80511"/>
    <w:rsid w:val="00B8065F"/>
    <w:rsid w:val="00B806FA"/>
    <w:rsid w:val="00B80777"/>
    <w:rsid w:val="00B80815"/>
    <w:rsid w:val="00B8082E"/>
    <w:rsid w:val="00B80873"/>
    <w:rsid w:val="00B808BA"/>
    <w:rsid w:val="00B808CC"/>
    <w:rsid w:val="00B8093D"/>
    <w:rsid w:val="00B80ACE"/>
    <w:rsid w:val="00B80AD1"/>
    <w:rsid w:val="00B80C3E"/>
    <w:rsid w:val="00B80C93"/>
    <w:rsid w:val="00B80CA8"/>
    <w:rsid w:val="00B80D6F"/>
    <w:rsid w:val="00B80D87"/>
    <w:rsid w:val="00B80DF5"/>
    <w:rsid w:val="00B80E4D"/>
    <w:rsid w:val="00B810D4"/>
    <w:rsid w:val="00B811AB"/>
    <w:rsid w:val="00B813DB"/>
    <w:rsid w:val="00B81522"/>
    <w:rsid w:val="00B81614"/>
    <w:rsid w:val="00B818C1"/>
    <w:rsid w:val="00B8196A"/>
    <w:rsid w:val="00B819F1"/>
    <w:rsid w:val="00B81B51"/>
    <w:rsid w:val="00B81BA9"/>
    <w:rsid w:val="00B81BC6"/>
    <w:rsid w:val="00B81C36"/>
    <w:rsid w:val="00B81CB4"/>
    <w:rsid w:val="00B81D5E"/>
    <w:rsid w:val="00B81D9E"/>
    <w:rsid w:val="00B822C8"/>
    <w:rsid w:val="00B82369"/>
    <w:rsid w:val="00B8246C"/>
    <w:rsid w:val="00B8264A"/>
    <w:rsid w:val="00B82714"/>
    <w:rsid w:val="00B82791"/>
    <w:rsid w:val="00B827A1"/>
    <w:rsid w:val="00B8280A"/>
    <w:rsid w:val="00B82859"/>
    <w:rsid w:val="00B82892"/>
    <w:rsid w:val="00B828C5"/>
    <w:rsid w:val="00B829BB"/>
    <w:rsid w:val="00B82A83"/>
    <w:rsid w:val="00B82B90"/>
    <w:rsid w:val="00B82BA1"/>
    <w:rsid w:val="00B82C47"/>
    <w:rsid w:val="00B82CDE"/>
    <w:rsid w:val="00B82D20"/>
    <w:rsid w:val="00B82D94"/>
    <w:rsid w:val="00B82F55"/>
    <w:rsid w:val="00B82FD1"/>
    <w:rsid w:val="00B8302B"/>
    <w:rsid w:val="00B8308C"/>
    <w:rsid w:val="00B83182"/>
    <w:rsid w:val="00B832C8"/>
    <w:rsid w:val="00B832E2"/>
    <w:rsid w:val="00B833C2"/>
    <w:rsid w:val="00B83438"/>
    <w:rsid w:val="00B836B8"/>
    <w:rsid w:val="00B837C0"/>
    <w:rsid w:val="00B838FB"/>
    <w:rsid w:val="00B839A8"/>
    <w:rsid w:val="00B83A32"/>
    <w:rsid w:val="00B83AE9"/>
    <w:rsid w:val="00B83AF6"/>
    <w:rsid w:val="00B83CA6"/>
    <w:rsid w:val="00B83E64"/>
    <w:rsid w:val="00B83E67"/>
    <w:rsid w:val="00B83EE5"/>
    <w:rsid w:val="00B83EF5"/>
    <w:rsid w:val="00B83FA3"/>
    <w:rsid w:val="00B840C5"/>
    <w:rsid w:val="00B84148"/>
    <w:rsid w:val="00B84166"/>
    <w:rsid w:val="00B842D9"/>
    <w:rsid w:val="00B8432C"/>
    <w:rsid w:val="00B84344"/>
    <w:rsid w:val="00B8467E"/>
    <w:rsid w:val="00B84794"/>
    <w:rsid w:val="00B8493F"/>
    <w:rsid w:val="00B849A0"/>
    <w:rsid w:val="00B84A95"/>
    <w:rsid w:val="00B84C5E"/>
    <w:rsid w:val="00B84D44"/>
    <w:rsid w:val="00B84FEB"/>
    <w:rsid w:val="00B8506E"/>
    <w:rsid w:val="00B850AE"/>
    <w:rsid w:val="00B8516A"/>
    <w:rsid w:val="00B851B6"/>
    <w:rsid w:val="00B8520A"/>
    <w:rsid w:val="00B852B9"/>
    <w:rsid w:val="00B85320"/>
    <w:rsid w:val="00B85328"/>
    <w:rsid w:val="00B8532B"/>
    <w:rsid w:val="00B85387"/>
    <w:rsid w:val="00B853E4"/>
    <w:rsid w:val="00B855AD"/>
    <w:rsid w:val="00B858AB"/>
    <w:rsid w:val="00B85940"/>
    <w:rsid w:val="00B85B1D"/>
    <w:rsid w:val="00B85C80"/>
    <w:rsid w:val="00B85C9F"/>
    <w:rsid w:val="00B85CBC"/>
    <w:rsid w:val="00B85E64"/>
    <w:rsid w:val="00B85EBE"/>
    <w:rsid w:val="00B85EE6"/>
    <w:rsid w:val="00B8601F"/>
    <w:rsid w:val="00B8604E"/>
    <w:rsid w:val="00B86204"/>
    <w:rsid w:val="00B86344"/>
    <w:rsid w:val="00B8637E"/>
    <w:rsid w:val="00B863BB"/>
    <w:rsid w:val="00B8667B"/>
    <w:rsid w:val="00B866A2"/>
    <w:rsid w:val="00B8672C"/>
    <w:rsid w:val="00B867AE"/>
    <w:rsid w:val="00B86855"/>
    <w:rsid w:val="00B8687A"/>
    <w:rsid w:val="00B868AF"/>
    <w:rsid w:val="00B86BB5"/>
    <w:rsid w:val="00B86C72"/>
    <w:rsid w:val="00B86D04"/>
    <w:rsid w:val="00B86E8D"/>
    <w:rsid w:val="00B86EF5"/>
    <w:rsid w:val="00B86F68"/>
    <w:rsid w:val="00B8702A"/>
    <w:rsid w:val="00B870DA"/>
    <w:rsid w:val="00B870F4"/>
    <w:rsid w:val="00B8715F"/>
    <w:rsid w:val="00B87200"/>
    <w:rsid w:val="00B874B3"/>
    <w:rsid w:val="00B875D6"/>
    <w:rsid w:val="00B875DF"/>
    <w:rsid w:val="00B8768F"/>
    <w:rsid w:val="00B877E9"/>
    <w:rsid w:val="00B878DD"/>
    <w:rsid w:val="00B879AF"/>
    <w:rsid w:val="00B87D0C"/>
    <w:rsid w:val="00B87D45"/>
    <w:rsid w:val="00B87E28"/>
    <w:rsid w:val="00B87E5F"/>
    <w:rsid w:val="00B900D4"/>
    <w:rsid w:val="00B90206"/>
    <w:rsid w:val="00B9040F"/>
    <w:rsid w:val="00B904AF"/>
    <w:rsid w:val="00B90525"/>
    <w:rsid w:val="00B905E5"/>
    <w:rsid w:val="00B90659"/>
    <w:rsid w:val="00B9068E"/>
    <w:rsid w:val="00B909E9"/>
    <w:rsid w:val="00B90AC9"/>
    <w:rsid w:val="00B90B4E"/>
    <w:rsid w:val="00B91008"/>
    <w:rsid w:val="00B91018"/>
    <w:rsid w:val="00B9122B"/>
    <w:rsid w:val="00B9128D"/>
    <w:rsid w:val="00B9129E"/>
    <w:rsid w:val="00B912EB"/>
    <w:rsid w:val="00B91321"/>
    <w:rsid w:val="00B9133A"/>
    <w:rsid w:val="00B914B2"/>
    <w:rsid w:val="00B9155C"/>
    <w:rsid w:val="00B91A40"/>
    <w:rsid w:val="00B91B0F"/>
    <w:rsid w:val="00B91BB2"/>
    <w:rsid w:val="00B92068"/>
    <w:rsid w:val="00B920E2"/>
    <w:rsid w:val="00B92169"/>
    <w:rsid w:val="00B92181"/>
    <w:rsid w:val="00B9228F"/>
    <w:rsid w:val="00B923D3"/>
    <w:rsid w:val="00B923DF"/>
    <w:rsid w:val="00B92441"/>
    <w:rsid w:val="00B924A8"/>
    <w:rsid w:val="00B9250A"/>
    <w:rsid w:val="00B9253F"/>
    <w:rsid w:val="00B9259F"/>
    <w:rsid w:val="00B925C2"/>
    <w:rsid w:val="00B925C6"/>
    <w:rsid w:val="00B925D9"/>
    <w:rsid w:val="00B926E8"/>
    <w:rsid w:val="00B92853"/>
    <w:rsid w:val="00B92879"/>
    <w:rsid w:val="00B928B0"/>
    <w:rsid w:val="00B92ACE"/>
    <w:rsid w:val="00B92ADD"/>
    <w:rsid w:val="00B92E13"/>
    <w:rsid w:val="00B92E66"/>
    <w:rsid w:val="00B92ED7"/>
    <w:rsid w:val="00B92F6C"/>
    <w:rsid w:val="00B930B6"/>
    <w:rsid w:val="00B93154"/>
    <w:rsid w:val="00B93183"/>
    <w:rsid w:val="00B93591"/>
    <w:rsid w:val="00B93617"/>
    <w:rsid w:val="00B936ED"/>
    <w:rsid w:val="00B9376F"/>
    <w:rsid w:val="00B9378C"/>
    <w:rsid w:val="00B937B5"/>
    <w:rsid w:val="00B93886"/>
    <w:rsid w:val="00B938C3"/>
    <w:rsid w:val="00B939C0"/>
    <w:rsid w:val="00B939ED"/>
    <w:rsid w:val="00B93A64"/>
    <w:rsid w:val="00B93B44"/>
    <w:rsid w:val="00B93DEA"/>
    <w:rsid w:val="00B93DF4"/>
    <w:rsid w:val="00B93E17"/>
    <w:rsid w:val="00B9410D"/>
    <w:rsid w:val="00B94214"/>
    <w:rsid w:val="00B94217"/>
    <w:rsid w:val="00B9426B"/>
    <w:rsid w:val="00B942C3"/>
    <w:rsid w:val="00B94305"/>
    <w:rsid w:val="00B9437F"/>
    <w:rsid w:val="00B94404"/>
    <w:rsid w:val="00B94715"/>
    <w:rsid w:val="00B94792"/>
    <w:rsid w:val="00B948A4"/>
    <w:rsid w:val="00B94A11"/>
    <w:rsid w:val="00B94CF0"/>
    <w:rsid w:val="00B94EA0"/>
    <w:rsid w:val="00B94F1A"/>
    <w:rsid w:val="00B95132"/>
    <w:rsid w:val="00B9522F"/>
    <w:rsid w:val="00B9535B"/>
    <w:rsid w:val="00B953E0"/>
    <w:rsid w:val="00B95486"/>
    <w:rsid w:val="00B95546"/>
    <w:rsid w:val="00B95883"/>
    <w:rsid w:val="00B958D2"/>
    <w:rsid w:val="00B959E8"/>
    <w:rsid w:val="00B959F8"/>
    <w:rsid w:val="00B95C25"/>
    <w:rsid w:val="00B95C53"/>
    <w:rsid w:val="00B95EEC"/>
    <w:rsid w:val="00B95F2B"/>
    <w:rsid w:val="00B95FBF"/>
    <w:rsid w:val="00B9605B"/>
    <w:rsid w:val="00B96083"/>
    <w:rsid w:val="00B960A2"/>
    <w:rsid w:val="00B960F7"/>
    <w:rsid w:val="00B961A8"/>
    <w:rsid w:val="00B961D0"/>
    <w:rsid w:val="00B9633B"/>
    <w:rsid w:val="00B9637D"/>
    <w:rsid w:val="00B963B9"/>
    <w:rsid w:val="00B9653C"/>
    <w:rsid w:val="00B966CE"/>
    <w:rsid w:val="00B9670F"/>
    <w:rsid w:val="00B96939"/>
    <w:rsid w:val="00B969B5"/>
    <w:rsid w:val="00B969F3"/>
    <w:rsid w:val="00B96BBE"/>
    <w:rsid w:val="00B96CBC"/>
    <w:rsid w:val="00B96E54"/>
    <w:rsid w:val="00B96EB9"/>
    <w:rsid w:val="00B96F92"/>
    <w:rsid w:val="00B970ED"/>
    <w:rsid w:val="00B97176"/>
    <w:rsid w:val="00B9726B"/>
    <w:rsid w:val="00B97289"/>
    <w:rsid w:val="00B972A4"/>
    <w:rsid w:val="00B973C3"/>
    <w:rsid w:val="00B973F0"/>
    <w:rsid w:val="00B974BF"/>
    <w:rsid w:val="00B975E5"/>
    <w:rsid w:val="00B9770F"/>
    <w:rsid w:val="00B977A8"/>
    <w:rsid w:val="00B978D9"/>
    <w:rsid w:val="00B97A3C"/>
    <w:rsid w:val="00B97A7A"/>
    <w:rsid w:val="00B97A7B"/>
    <w:rsid w:val="00B97EA7"/>
    <w:rsid w:val="00B97FA3"/>
    <w:rsid w:val="00BA0011"/>
    <w:rsid w:val="00BA01DE"/>
    <w:rsid w:val="00BA0205"/>
    <w:rsid w:val="00BA02D1"/>
    <w:rsid w:val="00BA044A"/>
    <w:rsid w:val="00BA0626"/>
    <w:rsid w:val="00BA0668"/>
    <w:rsid w:val="00BA0ABE"/>
    <w:rsid w:val="00BA0E79"/>
    <w:rsid w:val="00BA0EA0"/>
    <w:rsid w:val="00BA0F19"/>
    <w:rsid w:val="00BA0FA6"/>
    <w:rsid w:val="00BA11E6"/>
    <w:rsid w:val="00BA12B6"/>
    <w:rsid w:val="00BA14CE"/>
    <w:rsid w:val="00BA1511"/>
    <w:rsid w:val="00BA15A9"/>
    <w:rsid w:val="00BA15C9"/>
    <w:rsid w:val="00BA16D2"/>
    <w:rsid w:val="00BA1782"/>
    <w:rsid w:val="00BA17F2"/>
    <w:rsid w:val="00BA1803"/>
    <w:rsid w:val="00BA1B99"/>
    <w:rsid w:val="00BA1BC6"/>
    <w:rsid w:val="00BA1BFF"/>
    <w:rsid w:val="00BA1E21"/>
    <w:rsid w:val="00BA1F07"/>
    <w:rsid w:val="00BA1F39"/>
    <w:rsid w:val="00BA209E"/>
    <w:rsid w:val="00BA21A1"/>
    <w:rsid w:val="00BA2213"/>
    <w:rsid w:val="00BA22A4"/>
    <w:rsid w:val="00BA22C5"/>
    <w:rsid w:val="00BA2483"/>
    <w:rsid w:val="00BA24A2"/>
    <w:rsid w:val="00BA2683"/>
    <w:rsid w:val="00BA2714"/>
    <w:rsid w:val="00BA2918"/>
    <w:rsid w:val="00BA2953"/>
    <w:rsid w:val="00BA29CD"/>
    <w:rsid w:val="00BA2A69"/>
    <w:rsid w:val="00BA2ACD"/>
    <w:rsid w:val="00BA2B48"/>
    <w:rsid w:val="00BA2C58"/>
    <w:rsid w:val="00BA2D25"/>
    <w:rsid w:val="00BA2D8E"/>
    <w:rsid w:val="00BA2DC5"/>
    <w:rsid w:val="00BA2ED1"/>
    <w:rsid w:val="00BA2FFF"/>
    <w:rsid w:val="00BA3014"/>
    <w:rsid w:val="00BA3228"/>
    <w:rsid w:val="00BA32D8"/>
    <w:rsid w:val="00BA3415"/>
    <w:rsid w:val="00BA3784"/>
    <w:rsid w:val="00BA39A8"/>
    <w:rsid w:val="00BA3C56"/>
    <w:rsid w:val="00BA3D03"/>
    <w:rsid w:val="00BA3D51"/>
    <w:rsid w:val="00BA3D6F"/>
    <w:rsid w:val="00BA3DB6"/>
    <w:rsid w:val="00BA3E03"/>
    <w:rsid w:val="00BA3E6E"/>
    <w:rsid w:val="00BA40C9"/>
    <w:rsid w:val="00BA40E3"/>
    <w:rsid w:val="00BA4146"/>
    <w:rsid w:val="00BA4208"/>
    <w:rsid w:val="00BA4247"/>
    <w:rsid w:val="00BA432E"/>
    <w:rsid w:val="00BA44BA"/>
    <w:rsid w:val="00BA4581"/>
    <w:rsid w:val="00BA458C"/>
    <w:rsid w:val="00BA4618"/>
    <w:rsid w:val="00BA4768"/>
    <w:rsid w:val="00BA4776"/>
    <w:rsid w:val="00BA4842"/>
    <w:rsid w:val="00BA49D7"/>
    <w:rsid w:val="00BA4B89"/>
    <w:rsid w:val="00BA4BB9"/>
    <w:rsid w:val="00BA4C22"/>
    <w:rsid w:val="00BA4CD2"/>
    <w:rsid w:val="00BA4DE1"/>
    <w:rsid w:val="00BA4E08"/>
    <w:rsid w:val="00BA4E87"/>
    <w:rsid w:val="00BA5044"/>
    <w:rsid w:val="00BA50E1"/>
    <w:rsid w:val="00BA50FA"/>
    <w:rsid w:val="00BA51A2"/>
    <w:rsid w:val="00BA51AA"/>
    <w:rsid w:val="00BA521A"/>
    <w:rsid w:val="00BA5365"/>
    <w:rsid w:val="00BA53AC"/>
    <w:rsid w:val="00BA53F1"/>
    <w:rsid w:val="00BA540F"/>
    <w:rsid w:val="00BA549B"/>
    <w:rsid w:val="00BA54C6"/>
    <w:rsid w:val="00BA5527"/>
    <w:rsid w:val="00BA553D"/>
    <w:rsid w:val="00BA56A0"/>
    <w:rsid w:val="00BA5804"/>
    <w:rsid w:val="00BA5CD5"/>
    <w:rsid w:val="00BA5E72"/>
    <w:rsid w:val="00BA5FF8"/>
    <w:rsid w:val="00BA6178"/>
    <w:rsid w:val="00BA628E"/>
    <w:rsid w:val="00BA64AD"/>
    <w:rsid w:val="00BA68A2"/>
    <w:rsid w:val="00BA69A1"/>
    <w:rsid w:val="00BA6A27"/>
    <w:rsid w:val="00BA6A48"/>
    <w:rsid w:val="00BA6CC2"/>
    <w:rsid w:val="00BA6D3E"/>
    <w:rsid w:val="00BA6DC0"/>
    <w:rsid w:val="00BA6E93"/>
    <w:rsid w:val="00BA6E9B"/>
    <w:rsid w:val="00BA6E9D"/>
    <w:rsid w:val="00BA6FDD"/>
    <w:rsid w:val="00BA71CE"/>
    <w:rsid w:val="00BA73F7"/>
    <w:rsid w:val="00BA747E"/>
    <w:rsid w:val="00BA74CC"/>
    <w:rsid w:val="00BA74F0"/>
    <w:rsid w:val="00BA74F2"/>
    <w:rsid w:val="00BA7832"/>
    <w:rsid w:val="00BA796F"/>
    <w:rsid w:val="00BA7AAA"/>
    <w:rsid w:val="00BA7B37"/>
    <w:rsid w:val="00BA7C18"/>
    <w:rsid w:val="00BA7C1E"/>
    <w:rsid w:val="00BA7C21"/>
    <w:rsid w:val="00BA7DC3"/>
    <w:rsid w:val="00BB0186"/>
    <w:rsid w:val="00BB020E"/>
    <w:rsid w:val="00BB065E"/>
    <w:rsid w:val="00BB0715"/>
    <w:rsid w:val="00BB078F"/>
    <w:rsid w:val="00BB080C"/>
    <w:rsid w:val="00BB09A9"/>
    <w:rsid w:val="00BB0A15"/>
    <w:rsid w:val="00BB0AA2"/>
    <w:rsid w:val="00BB0B45"/>
    <w:rsid w:val="00BB0CD7"/>
    <w:rsid w:val="00BB0D1F"/>
    <w:rsid w:val="00BB0D6E"/>
    <w:rsid w:val="00BB0D89"/>
    <w:rsid w:val="00BB0E1D"/>
    <w:rsid w:val="00BB0E4C"/>
    <w:rsid w:val="00BB0ECA"/>
    <w:rsid w:val="00BB0F5F"/>
    <w:rsid w:val="00BB1098"/>
    <w:rsid w:val="00BB10F9"/>
    <w:rsid w:val="00BB1268"/>
    <w:rsid w:val="00BB12D5"/>
    <w:rsid w:val="00BB131F"/>
    <w:rsid w:val="00BB1352"/>
    <w:rsid w:val="00BB13D5"/>
    <w:rsid w:val="00BB1590"/>
    <w:rsid w:val="00BB16AC"/>
    <w:rsid w:val="00BB16C8"/>
    <w:rsid w:val="00BB17DA"/>
    <w:rsid w:val="00BB1997"/>
    <w:rsid w:val="00BB199F"/>
    <w:rsid w:val="00BB19E8"/>
    <w:rsid w:val="00BB1A6A"/>
    <w:rsid w:val="00BB1B59"/>
    <w:rsid w:val="00BB1D19"/>
    <w:rsid w:val="00BB1D9A"/>
    <w:rsid w:val="00BB207C"/>
    <w:rsid w:val="00BB210E"/>
    <w:rsid w:val="00BB2325"/>
    <w:rsid w:val="00BB2619"/>
    <w:rsid w:val="00BB2674"/>
    <w:rsid w:val="00BB271F"/>
    <w:rsid w:val="00BB27F4"/>
    <w:rsid w:val="00BB2AA0"/>
    <w:rsid w:val="00BB2B08"/>
    <w:rsid w:val="00BB2B24"/>
    <w:rsid w:val="00BB2B83"/>
    <w:rsid w:val="00BB2C16"/>
    <w:rsid w:val="00BB2D95"/>
    <w:rsid w:val="00BB2E48"/>
    <w:rsid w:val="00BB2E63"/>
    <w:rsid w:val="00BB2E79"/>
    <w:rsid w:val="00BB2ECF"/>
    <w:rsid w:val="00BB3024"/>
    <w:rsid w:val="00BB3136"/>
    <w:rsid w:val="00BB319C"/>
    <w:rsid w:val="00BB3277"/>
    <w:rsid w:val="00BB32D4"/>
    <w:rsid w:val="00BB334E"/>
    <w:rsid w:val="00BB3501"/>
    <w:rsid w:val="00BB3528"/>
    <w:rsid w:val="00BB3596"/>
    <w:rsid w:val="00BB35C1"/>
    <w:rsid w:val="00BB3601"/>
    <w:rsid w:val="00BB366B"/>
    <w:rsid w:val="00BB37AA"/>
    <w:rsid w:val="00BB3968"/>
    <w:rsid w:val="00BB39C9"/>
    <w:rsid w:val="00BB3A9B"/>
    <w:rsid w:val="00BB3C6C"/>
    <w:rsid w:val="00BB3DC3"/>
    <w:rsid w:val="00BB400D"/>
    <w:rsid w:val="00BB4055"/>
    <w:rsid w:val="00BB407B"/>
    <w:rsid w:val="00BB41E4"/>
    <w:rsid w:val="00BB431C"/>
    <w:rsid w:val="00BB439A"/>
    <w:rsid w:val="00BB451E"/>
    <w:rsid w:val="00BB46C3"/>
    <w:rsid w:val="00BB476E"/>
    <w:rsid w:val="00BB477B"/>
    <w:rsid w:val="00BB480D"/>
    <w:rsid w:val="00BB487C"/>
    <w:rsid w:val="00BB4A09"/>
    <w:rsid w:val="00BB4A74"/>
    <w:rsid w:val="00BB4AF4"/>
    <w:rsid w:val="00BB4B47"/>
    <w:rsid w:val="00BB4D86"/>
    <w:rsid w:val="00BB4FA1"/>
    <w:rsid w:val="00BB501B"/>
    <w:rsid w:val="00BB50BE"/>
    <w:rsid w:val="00BB50E4"/>
    <w:rsid w:val="00BB50F4"/>
    <w:rsid w:val="00BB52A4"/>
    <w:rsid w:val="00BB53B5"/>
    <w:rsid w:val="00BB5400"/>
    <w:rsid w:val="00BB5410"/>
    <w:rsid w:val="00BB54F6"/>
    <w:rsid w:val="00BB5587"/>
    <w:rsid w:val="00BB571B"/>
    <w:rsid w:val="00BB5872"/>
    <w:rsid w:val="00BB58A3"/>
    <w:rsid w:val="00BB5936"/>
    <w:rsid w:val="00BB5C0E"/>
    <w:rsid w:val="00BB5CEB"/>
    <w:rsid w:val="00BB5D71"/>
    <w:rsid w:val="00BB5E7C"/>
    <w:rsid w:val="00BB5FCD"/>
    <w:rsid w:val="00BB6016"/>
    <w:rsid w:val="00BB61FC"/>
    <w:rsid w:val="00BB6313"/>
    <w:rsid w:val="00BB65BE"/>
    <w:rsid w:val="00BB660A"/>
    <w:rsid w:val="00BB6735"/>
    <w:rsid w:val="00BB678C"/>
    <w:rsid w:val="00BB69C2"/>
    <w:rsid w:val="00BB6A83"/>
    <w:rsid w:val="00BB6C73"/>
    <w:rsid w:val="00BB6C8D"/>
    <w:rsid w:val="00BB6FE5"/>
    <w:rsid w:val="00BB6FE8"/>
    <w:rsid w:val="00BB708A"/>
    <w:rsid w:val="00BB7091"/>
    <w:rsid w:val="00BB70EE"/>
    <w:rsid w:val="00BB7238"/>
    <w:rsid w:val="00BB72FA"/>
    <w:rsid w:val="00BB7357"/>
    <w:rsid w:val="00BB7371"/>
    <w:rsid w:val="00BB7384"/>
    <w:rsid w:val="00BB7847"/>
    <w:rsid w:val="00BB784B"/>
    <w:rsid w:val="00BB7884"/>
    <w:rsid w:val="00BB7A99"/>
    <w:rsid w:val="00BB7B32"/>
    <w:rsid w:val="00BB7B36"/>
    <w:rsid w:val="00BB7C54"/>
    <w:rsid w:val="00BB7CB5"/>
    <w:rsid w:val="00BB7CDC"/>
    <w:rsid w:val="00BB7E4B"/>
    <w:rsid w:val="00BB7F26"/>
    <w:rsid w:val="00BC0229"/>
    <w:rsid w:val="00BC02C1"/>
    <w:rsid w:val="00BC0500"/>
    <w:rsid w:val="00BC051B"/>
    <w:rsid w:val="00BC0566"/>
    <w:rsid w:val="00BC05BF"/>
    <w:rsid w:val="00BC061B"/>
    <w:rsid w:val="00BC0650"/>
    <w:rsid w:val="00BC06EE"/>
    <w:rsid w:val="00BC0775"/>
    <w:rsid w:val="00BC07A1"/>
    <w:rsid w:val="00BC07CA"/>
    <w:rsid w:val="00BC09CC"/>
    <w:rsid w:val="00BC09DC"/>
    <w:rsid w:val="00BC0A37"/>
    <w:rsid w:val="00BC0AE8"/>
    <w:rsid w:val="00BC0BDD"/>
    <w:rsid w:val="00BC0C59"/>
    <w:rsid w:val="00BC0C77"/>
    <w:rsid w:val="00BC0E7A"/>
    <w:rsid w:val="00BC0EF7"/>
    <w:rsid w:val="00BC0F84"/>
    <w:rsid w:val="00BC0F96"/>
    <w:rsid w:val="00BC1227"/>
    <w:rsid w:val="00BC1246"/>
    <w:rsid w:val="00BC134F"/>
    <w:rsid w:val="00BC1365"/>
    <w:rsid w:val="00BC1377"/>
    <w:rsid w:val="00BC145B"/>
    <w:rsid w:val="00BC149F"/>
    <w:rsid w:val="00BC1687"/>
    <w:rsid w:val="00BC17F5"/>
    <w:rsid w:val="00BC18D2"/>
    <w:rsid w:val="00BC19FD"/>
    <w:rsid w:val="00BC1A3F"/>
    <w:rsid w:val="00BC1AAD"/>
    <w:rsid w:val="00BC1AB6"/>
    <w:rsid w:val="00BC1B73"/>
    <w:rsid w:val="00BC1B7C"/>
    <w:rsid w:val="00BC1B84"/>
    <w:rsid w:val="00BC1CB1"/>
    <w:rsid w:val="00BC1E7E"/>
    <w:rsid w:val="00BC1F4C"/>
    <w:rsid w:val="00BC20CC"/>
    <w:rsid w:val="00BC2101"/>
    <w:rsid w:val="00BC21FF"/>
    <w:rsid w:val="00BC2213"/>
    <w:rsid w:val="00BC226A"/>
    <w:rsid w:val="00BC2508"/>
    <w:rsid w:val="00BC2584"/>
    <w:rsid w:val="00BC26B4"/>
    <w:rsid w:val="00BC270B"/>
    <w:rsid w:val="00BC278D"/>
    <w:rsid w:val="00BC27AC"/>
    <w:rsid w:val="00BC27AE"/>
    <w:rsid w:val="00BC282D"/>
    <w:rsid w:val="00BC2AA8"/>
    <w:rsid w:val="00BC2C4F"/>
    <w:rsid w:val="00BC2CDE"/>
    <w:rsid w:val="00BC2D1E"/>
    <w:rsid w:val="00BC2D23"/>
    <w:rsid w:val="00BC2E16"/>
    <w:rsid w:val="00BC2E90"/>
    <w:rsid w:val="00BC2F48"/>
    <w:rsid w:val="00BC30E9"/>
    <w:rsid w:val="00BC30F1"/>
    <w:rsid w:val="00BC3132"/>
    <w:rsid w:val="00BC3201"/>
    <w:rsid w:val="00BC33C1"/>
    <w:rsid w:val="00BC39F4"/>
    <w:rsid w:val="00BC3A1A"/>
    <w:rsid w:val="00BC3C54"/>
    <w:rsid w:val="00BC3C72"/>
    <w:rsid w:val="00BC3CD0"/>
    <w:rsid w:val="00BC3D14"/>
    <w:rsid w:val="00BC3D74"/>
    <w:rsid w:val="00BC4047"/>
    <w:rsid w:val="00BC4058"/>
    <w:rsid w:val="00BC4093"/>
    <w:rsid w:val="00BC42CA"/>
    <w:rsid w:val="00BC43DC"/>
    <w:rsid w:val="00BC4532"/>
    <w:rsid w:val="00BC45C3"/>
    <w:rsid w:val="00BC45C4"/>
    <w:rsid w:val="00BC4853"/>
    <w:rsid w:val="00BC49A1"/>
    <w:rsid w:val="00BC4AEC"/>
    <w:rsid w:val="00BC4B3D"/>
    <w:rsid w:val="00BC4C3A"/>
    <w:rsid w:val="00BC4D4F"/>
    <w:rsid w:val="00BC4F1A"/>
    <w:rsid w:val="00BC4F83"/>
    <w:rsid w:val="00BC500D"/>
    <w:rsid w:val="00BC50FC"/>
    <w:rsid w:val="00BC5444"/>
    <w:rsid w:val="00BC5455"/>
    <w:rsid w:val="00BC5761"/>
    <w:rsid w:val="00BC57B1"/>
    <w:rsid w:val="00BC592A"/>
    <w:rsid w:val="00BC5A6C"/>
    <w:rsid w:val="00BC5B11"/>
    <w:rsid w:val="00BC5CF0"/>
    <w:rsid w:val="00BC5D70"/>
    <w:rsid w:val="00BC5F38"/>
    <w:rsid w:val="00BC5F8D"/>
    <w:rsid w:val="00BC644B"/>
    <w:rsid w:val="00BC64DF"/>
    <w:rsid w:val="00BC6713"/>
    <w:rsid w:val="00BC68E5"/>
    <w:rsid w:val="00BC68FE"/>
    <w:rsid w:val="00BC6A8A"/>
    <w:rsid w:val="00BC6C66"/>
    <w:rsid w:val="00BC6F42"/>
    <w:rsid w:val="00BC7023"/>
    <w:rsid w:val="00BC7203"/>
    <w:rsid w:val="00BC734E"/>
    <w:rsid w:val="00BC7400"/>
    <w:rsid w:val="00BC7664"/>
    <w:rsid w:val="00BC76A7"/>
    <w:rsid w:val="00BC770F"/>
    <w:rsid w:val="00BC78A9"/>
    <w:rsid w:val="00BC7A54"/>
    <w:rsid w:val="00BC7A95"/>
    <w:rsid w:val="00BC7C9D"/>
    <w:rsid w:val="00BC7CFD"/>
    <w:rsid w:val="00BC7F65"/>
    <w:rsid w:val="00BC7F99"/>
    <w:rsid w:val="00BD0170"/>
    <w:rsid w:val="00BD0381"/>
    <w:rsid w:val="00BD0509"/>
    <w:rsid w:val="00BD059F"/>
    <w:rsid w:val="00BD05F6"/>
    <w:rsid w:val="00BD064E"/>
    <w:rsid w:val="00BD0690"/>
    <w:rsid w:val="00BD0749"/>
    <w:rsid w:val="00BD07A1"/>
    <w:rsid w:val="00BD09C5"/>
    <w:rsid w:val="00BD0AAA"/>
    <w:rsid w:val="00BD0BE0"/>
    <w:rsid w:val="00BD0CBE"/>
    <w:rsid w:val="00BD0CDB"/>
    <w:rsid w:val="00BD0F44"/>
    <w:rsid w:val="00BD0F7A"/>
    <w:rsid w:val="00BD1000"/>
    <w:rsid w:val="00BD1159"/>
    <w:rsid w:val="00BD13F3"/>
    <w:rsid w:val="00BD1403"/>
    <w:rsid w:val="00BD14F1"/>
    <w:rsid w:val="00BD1595"/>
    <w:rsid w:val="00BD179B"/>
    <w:rsid w:val="00BD17B2"/>
    <w:rsid w:val="00BD17E5"/>
    <w:rsid w:val="00BD19B1"/>
    <w:rsid w:val="00BD1A56"/>
    <w:rsid w:val="00BD1AD1"/>
    <w:rsid w:val="00BD1C03"/>
    <w:rsid w:val="00BD1C7D"/>
    <w:rsid w:val="00BD2050"/>
    <w:rsid w:val="00BD22F1"/>
    <w:rsid w:val="00BD2323"/>
    <w:rsid w:val="00BD2443"/>
    <w:rsid w:val="00BD24D9"/>
    <w:rsid w:val="00BD25E2"/>
    <w:rsid w:val="00BD2607"/>
    <w:rsid w:val="00BD260F"/>
    <w:rsid w:val="00BD27C4"/>
    <w:rsid w:val="00BD27E6"/>
    <w:rsid w:val="00BD291F"/>
    <w:rsid w:val="00BD2969"/>
    <w:rsid w:val="00BD2FE1"/>
    <w:rsid w:val="00BD339F"/>
    <w:rsid w:val="00BD3711"/>
    <w:rsid w:val="00BD3730"/>
    <w:rsid w:val="00BD373F"/>
    <w:rsid w:val="00BD3886"/>
    <w:rsid w:val="00BD4084"/>
    <w:rsid w:val="00BD410E"/>
    <w:rsid w:val="00BD430E"/>
    <w:rsid w:val="00BD4403"/>
    <w:rsid w:val="00BD458B"/>
    <w:rsid w:val="00BD46F3"/>
    <w:rsid w:val="00BD47FE"/>
    <w:rsid w:val="00BD48D5"/>
    <w:rsid w:val="00BD4918"/>
    <w:rsid w:val="00BD4931"/>
    <w:rsid w:val="00BD4A16"/>
    <w:rsid w:val="00BD4A23"/>
    <w:rsid w:val="00BD4B69"/>
    <w:rsid w:val="00BD4FE9"/>
    <w:rsid w:val="00BD506A"/>
    <w:rsid w:val="00BD51D4"/>
    <w:rsid w:val="00BD5340"/>
    <w:rsid w:val="00BD5387"/>
    <w:rsid w:val="00BD53C2"/>
    <w:rsid w:val="00BD55C1"/>
    <w:rsid w:val="00BD5653"/>
    <w:rsid w:val="00BD57B0"/>
    <w:rsid w:val="00BD5830"/>
    <w:rsid w:val="00BD5983"/>
    <w:rsid w:val="00BD5AA1"/>
    <w:rsid w:val="00BD5C25"/>
    <w:rsid w:val="00BD5C6E"/>
    <w:rsid w:val="00BD5C86"/>
    <w:rsid w:val="00BD5DC5"/>
    <w:rsid w:val="00BD5FE8"/>
    <w:rsid w:val="00BD6069"/>
    <w:rsid w:val="00BD6251"/>
    <w:rsid w:val="00BD6339"/>
    <w:rsid w:val="00BD63E0"/>
    <w:rsid w:val="00BD64D4"/>
    <w:rsid w:val="00BD64EF"/>
    <w:rsid w:val="00BD65CE"/>
    <w:rsid w:val="00BD6861"/>
    <w:rsid w:val="00BD691E"/>
    <w:rsid w:val="00BD6B8B"/>
    <w:rsid w:val="00BD6D16"/>
    <w:rsid w:val="00BD6D34"/>
    <w:rsid w:val="00BD6D7A"/>
    <w:rsid w:val="00BD6DC6"/>
    <w:rsid w:val="00BD6F65"/>
    <w:rsid w:val="00BD6FA5"/>
    <w:rsid w:val="00BD709E"/>
    <w:rsid w:val="00BD70FD"/>
    <w:rsid w:val="00BD717D"/>
    <w:rsid w:val="00BD7183"/>
    <w:rsid w:val="00BD721F"/>
    <w:rsid w:val="00BD728D"/>
    <w:rsid w:val="00BD731B"/>
    <w:rsid w:val="00BD74E1"/>
    <w:rsid w:val="00BD76CE"/>
    <w:rsid w:val="00BD778C"/>
    <w:rsid w:val="00BD7872"/>
    <w:rsid w:val="00BD7975"/>
    <w:rsid w:val="00BD79A4"/>
    <w:rsid w:val="00BD7C1E"/>
    <w:rsid w:val="00BD7CC7"/>
    <w:rsid w:val="00BD7D1C"/>
    <w:rsid w:val="00BD7D74"/>
    <w:rsid w:val="00BD7E03"/>
    <w:rsid w:val="00BD7F2F"/>
    <w:rsid w:val="00BE00A3"/>
    <w:rsid w:val="00BE00AF"/>
    <w:rsid w:val="00BE0103"/>
    <w:rsid w:val="00BE025A"/>
    <w:rsid w:val="00BE0320"/>
    <w:rsid w:val="00BE074D"/>
    <w:rsid w:val="00BE080D"/>
    <w:rsid w:val="00BE0ADF"/>
    <w:rsid w:val="00BE0C18"/>
    <w:rsid w:val="00BE0F3C"/>
    <w:rsid w:val="00BE0FFB"/>
    <w:rsid w:val="00BE1096"/>
    <w:rsid w:val="00BE12CC"/>
    <w:rsid w:val="00BE130A"/>
    <w:rsid w:val="00BE1325"/>
    <w:rsid w:val="00BE1559"/>
    <w:rsid w:val="00BE17C1"/>
    <w:rsid w:val="00BE1874"/>
    <w:rsid w:val="00BE19A9"/>
    <w:rsid w:val="00BE19D5"/>
    <w:rsid w:val="00BE1A5C"/>
    <w:rsid w:val="00BE1A82"/>
    <w:rsid w:val="00BE1B72"/>
    <w:rsid w:val="00BE1B75"/>
    <w:rsid w:val="00BE1BFF"/>
    <w:rsid w:val="00BE1CC0"/>
    <w:rsid w:val="00BE1D06"/>
    <w:rsid w:val="00BE1D7E"/>
    <w:rsid w:val="00BE1D9A"/>
    <w:rsid w:val="00BE1E5B"/>
    <w:rsid w:val="00BE1EAF"/>
    <w:rsid w:val="00BE1EC1"/>
    <w:rsid w:val="00BE2192"/>
    <w:rsid w:val="00BE219A"/>
    <w:rsid w:val="00BE2385"/>
    <w:rsid w:val="00BE23CB"/>
    <w:rsid w:val="00BE24BB"/>
    <w:rsid w:val="00BE24C5"/>
    <w:rsid w:val="00BE255E"/>
    <w:rsid w:val="00BE2788"/>
    <w:rsid w:val="00BE2795"/>
    <w:rsid w:val="00BE2877"/>
    <w:rsid w:val="00BE287B"/>
    <w:rsid w:val="00BE28A8"/>
    <w:rsid w:val="00BE2ACF"/>
    <w:rsid w:val="00BE2B74"/>
    <w:rsid w:val="00BE2C17"/>
    <w:rsid w:val="00BE2DB8"/>
    <w:rsid w:val="00BE2F54"/>
    <w:rsid w:val="00BE303A"/>
    <w:rsid w:val="00BE31E0"/>
    <w:rsid w:val="00BE3274"/>
    <w:rsid w:val="00BE33B5"/>
    <w:rsid w:val="00BE350B"/>
    <w:rsid w:val="00BE3522"/>
    <w:rsid w:val="00BE3534"/>
    <w:rsid w:val="00BE353F"/>
    <w:rsid w:val="00BE361D"/>
    <w:rsid w:val="00BE367A"/>
    <w:rsid w:val="00BE3719"/>
    <w:rsid w:val="00BE37F0"/>
    <w:rsid w:val="00BE3A15"/>
    <w:rsid w:val="00BE3A2A"/>
    <w:rsid w:val="00BE3A2C"/>
    <w:rsid w:val="00BE3B1D"/>
    <w:rsid w:val="00BE3D3C"/>
    <w:rsid w:val="00BE3D9E"/>
    <w:rsid w:val="00BE3DD9"/>
    <w:rsid w:val="00BE3EBC"/>
    <w:rsid w:val="00BE3FEE"/>
    <w:rsid w:val="00BE4267"/>
    <w:rsid w:val="00BE4341"/>
    <w:rsid w:val="00BE45ED"/>
    <w:rsid w:val="00BE4668"/>
    <w:rsid w:val="00BE466F"/>
    <w:rsid w:val="00BE4995"/>
    <w:rsid w:val="00BE4F83"/>
    <w:rsid w:val="00BE5123"/>
    <w:rsid w:val="00BE5149"/>
    <w:rsid w:val="00BE516E"/>
    <w:rsid w:val="00BE5238"/>
    <w:rsid w:val="00BE5258"/>
    <w:rsid w:val="00BE5461"/>
    <w:rsid w:val="00BE5554"/>
    <w:rsid w:val="00BE585D"/>
    <w:rsid w:val="00BE5A8C"/>
    <w:rsid w:val="00BE5ABC"/>
    <w:rsid w:val="00BE5DAF"/>
    <w:rsid w:val="00BE6022"/>
    <w:rsid w:val="00BE60B1"/>
    <w:rsid w:val="00BE614C"/>
    <w:rsid w:val="00BE61AB"/>
    <w:rsid w:val="00BE6388"/>
    <w:rsid w:val="00BE63D4"/>
    <w:rsid w:val="00BE6432"/>
    <w:rsid w:val="00BE650D"/>
    <w:rsid w:val="00BE6552"/>
    <w:rsid w:val="00BE6745"/>
    <w:rsid w:val="00BE6857"/>
    <w:rsid w:val="00BE6938"/>
    <w:rsid w:val="00BE6997"/>
    <w:rsid w:val="00BE69C6"/>
    <w:rsid w:val="00BE6A23"/>
    <w:rsid w:val="00BE6B8E"/>
    <w:rsid w:val="00BE6D7F"/>
    <w:rsid w:val="00BE6EB0"/>
    <w:rsid w:val="00BE7013"/>
    <w:rsid w:val="00BE70D3"/>
    <w:rsid w:val="00BE7142"/>
    <w:rsid w:val="00BE7288"/>
    <w:rsid w:val="00BE7354"/>
    <w:rsid w:val="00BE742A"/>
    <w:rsid w:val="00BE74B3"/>
    <w:rsid w:val="00BE75B9"/>
    <w:rsid w:val="00BE7782"/>
    <w:rsid w:val="00BE77FA"/>
    <w:rsid w:val="00BE79C4"/>
    <w:rsid w:val="00BE7AF9"/>
    <w:rsid w:val="00BE7B3B"/>
    <w:rsid w:val="00BF01FE"/>
    <w:rsid w:val="00BF020B"/>
    <w:rsid w:val="00BF02D2"/>
    <w:rsid w:val="00BF02E7"/>
    <w:rsid w:val="00BF033B"/>
    <w:rsid w:val="00BF0461"/>
    <w:rsid w:val="00BF04F9"/>
    <w:rsid w:val="00BF054E"/>
    <w:rsid w:val="00BF05B5"/>
    <w:rsid w:val="00BF0774"/>
    <w:rsid w:val="00BF0775"/>
    <w:rsid w:val="00BF07CA"/>
    <w:rsid w:val="00BF0A19"/>
    <w:rsid w:val="00BF0BD8"/>
    <w:rsid w:val="00BF0C12"/>
    <w:rsid w:val="00BF0CE7"/>
    <w:rsid w:val="00BF0CF6"/>
    <w:rsid w:val="00BF0D33"/>
    <w:rsid w:val="00BF0D87"/>
    <w:rsid w:val="00BF0D91"/>
    <w:rsid w:val="00BF0DA2"/>
    <w:rsid w:val="00BF0E42"/>
    <w:rsid w:val="00BF0E97"/>
    <w:rsid w:val="00BF0EE7"/>
    <w:rsid w:val="00BF10C3"/>
    <w:rsid w:val="00BF10D3"/>
    <w:rsid w:val="00BF11C8"/>
    <w:rsid w:val="00BF1222"/>
    <w:rsid w:val="00BF12A2"/>
    <w:rsid w:val="00BF13DE"/>
    <w:rsid w:val="00BF1407"/>
    <w:rsid w:val="00BF1609"/>
    <w:rsid w:val="00BF1619"/>
    <w:rsid w:val="00BF180E"/>
    <w:rsid w:val="00BF1875"/>
    <w:rsid w:val="00BF1902"/>
    <w:rsid w:val="00BF1990"/>
    <w:rsid w:val="00BF1AB7"/>
    <w:rsid w:val="00BF1B5B"/>
    <w:rsid w:val="00BF1BC9"/>
    <w:rsid w:val="00BF1CEC"/>
    <w:rsid w:val="00BF1D7D"/>
    <w:rsid w:val="00BF1E4A"/>
    <w:rsid w:val="00BF1EF3"/>
    <w:rsid w:val="00BF1F0A"/>
    <w:rsid w:val="00BF214C"/>
    <w:rsid w:val="00BF21F9"/>
    <w:rsid w:val="00BF2229"/>
    <w:rsid w:val="00BF236A"/>
    <w:rsid w:val="00BF25C7"/>
    <w:rsid w:val="00BF25D7"/>
    <w:rsid w:val="00BF269A"/>
    <w:rsid w:val="00BF26E7"/>
    <w:rsid w:val="00BF27B1"/>
    <w:rsid w:val="00BF282B"/>
    <w:rsid w:val="00BF298D"/>
    <w:rsid w:val="00BF2A8E"/>
    <w:rsid w:val="00BF2B5C"/>
    <w:rsid w:val="00BF2C51"/>
    <w:rsid w:val="00BF2D75"/>
    <w:rsid w:val="00BF2E98"/>
    <w:rsid w:val="00BF2FA5"/>
    <w:rsid w:val="00BF30B1"/>
    <w:rsid w:val="00BF350C"/>
    <w:rsid w:val="00BF352C"/>
    <w:rsid w:val="00BF357C"/>
    <w:rsid w:val="00BF380C"/>
    <w:rsid w:val="00BF3858"/>
    <w:rsid w:val="00BF3A3F"/>
    <w:rsid w:val="00BF3D4D"/>
    <w:rsid w:val="00BF4025"/>
    <w:rsid w:val="00BF4287"/>
    <w:rsid w:val="00BF43A4"/>
    <w:rsid w:val="00BF4437"/>
    <w:rsid w:val="00BF450A"/>
    <w:rsid w:val="00BF4588"/>
    <w:rsid w:val="00BF4596"/>
    <w:rsid w:val="00BF45B0"/>
    <w:rsid w:val="00BF46D3"/>
    <w:rsid w:val="00BF472C"/>
    <w:rsid w:val="00BF486B"/>
    <w:rsid w:val="00BF48CE"/>
    <w:rsid w:val="00BF48EB"/>
    <w:rsid w:val="00BF4963"/>
    <w:rsid w:val="00BF4B23"/>
    <w:rsid w:val="00BF4C9F"/>
    <w:rsid w:val="00BF4D6B"/>
    <w:rsid w:val="00BF4DB2"/>
    <w:rsid w:val="00BF4E41"/>
    <w:rsid w:val="00BF4ECC"/>
    <w:rsid w:val="00BF4F1D"/>
    <w:rsid w:val="00BF4F4C"/>
    <w:rsid w:val="00BF50D4"/>
    <w:rsid w:val="00BF5266"/>
    <w:rsid w:val="00BF52A5"/>
    <w:rsid w:val="00BF530F"/>
    <w:rsid w:val="00BF54B2"/>
    <w:rsid w:val="00BF54F8"/>
    <w:rsid w:val="00BF554A"/>
    <w:rsid w:val="00BF5633"/>
    <w:rsid w:val="00BF5646"/>
    <w:rsid w:val="00BF5704"/>
    <w:rsid w:val="00BF57EF"/>
    <w:rsid w:val="00BF58D3"/>
    <w:rsid w:val="00BF5979"/>
    <w:rsid w:val="00BF5982"/>
    <w:rsid w:val="00BF59D8"/>
    <w:rsid w:val="00BF5A1C"/>
    <w:rsid w:val="00BF5A92"/>
    <w:rsid w:val="00BF5AC4"/>
    <w:rsid w:val="00BF5D03"/>
    <w:rsid w:val="00BF5D07"/>
    <w:rsid w:val="00BF5E5C"/>
    <w:rsid w:val="00BF5F04"/>
    <w:rsid w:val="00BF5F1F"/>
    <w:rsid w:val="00BF5F7A"/>
    <w:rsid w:val="00BF62DE"/>
    <w:rsid w:val="00BF6636"/>
    <w:rsid w:val="00BF6640"/>
    <w:rsid w:val="00BF6672"/>
    <w:rsid w:val="00BF672D"/>
    <w:rsid w:val="00BF68CF"/>
    <w:rsid w:val="00BF6ADE"/>
    <w:rsid w:val="00BF6C45"/>
    <w:rsid w:val="00BF6C6E"/>
    <w:rsid w:val="00BF6C79"/>
    <w:rsid w:val="00BF6CC1"/>
    <w:rsid w:val="00BF6CE6"/>
    <w:rsid w:val="00BF6E37"/>
    <w:rsid w:val="00BF70F2"/>
    <w:rsid w:val="00BF713C"/>
    <w:rsid w:val="00BF733A"/>
    <w:rsid w:val="00BF74F8"/>
    <w:rsid w:val="00BF798E"/>
    <w:rsid w:val="00BF79A8"/>
    <w:rsid w:val="00BF7BE8"/>
    <w:rsid w:val="00BF7CF0"/>
    <w:rsid w:val="00BF7CF6"/>
    <w:rsid w:val="00BF7D6E"/>
    <w:rsid w:val="00BF7D8A"/>
    <w:rsid w:val="00BF7E2F"/>
    <w:rsid w:val="00BF7FD6"/>
    <w:rsid w:val="00C0025E"/>
    <w:rsid w:val="00C002FC"/>
    <w:rsid w:val="00C0035D"/>
    <w:rsid w:val="00C005DB"/>
    <w:rsid w:val="00C00616"/>
    <w:rsid w:val="00C006BE"/>
    <w:rsid w:val="00C006DD"/>
    <w:rsid w:val="00C006FE"/>
    <w:rsid w:val="00C0072D"/>
    <w:rsid w:val="00C0074C"/>
    <w:rsid w:val="00C0094B"/>
    <w:rsid w:val="00C009E0"/>
    <w:rsid w:val="00C00A17"/>
    <w:rsid w:val="00C00AEA"/>
    <w:rsid w:val="00C00B92"/>
    <w:rsid w:val="00C00D18"/>
    <w:rsid w:val="00C00D98"/>
    <w:rsid w:val="00C00DAA"/>
    <w:rsid w:val="00C00DF8"/>
    <w:rsid w:val="00C00E5B"/>
    <w:rsid w:val="00C00E78"/>
    <w:rsid w:val="00C00E9E"/>
    <w:rsid w:val="00C00F0C"/>
    <w:rsid w:val="00C00F34"/>
    <w:rsid w:val="00C00F8B"/>
    <w:rsid w:val="00C00FA2"/>
    <w:rsid w:val="00C01072"/>
    <w:rsid w:val="00C0111C"/>
    <w:rsid w:val="00C011B1"/>
    <w:rsid w:val="00C0129C"/>
    <w:rsid w:val="00C013D0"/>
    <w:rsid w:val="00C015C0"/>
    <w:rsid w:val="00C01642"/>
    <w:rsid w:val="00C016B7"/>
    <w:rsid w:val="00C0184B"/>
    <w:rsid w:val="00C018AF"/>
    <w:rsid w:val="00C018DC"/>
    <w:rsid w:val="00C01A2C"/>
    <w:rsid w:val="00C01B11"/>
    <w:rsid w:val="00C01E6C"/>
    <w:rsid w:val="00C01EED"/>
    <w:rsid w:val="00C01F7A"/>
    <w:rsid w:val="00C01F99"/>
    <w:rsid w:val="00C02170"/>
    <w:rsid w:val="00C02254"/>
    <w:rsid w:val="00C0239F"/>
    <w:rsid w:val="00C023A2"/>
    <w:rsid w:val="00C023C0"/>
    <w:rsid w:val="00C0247D"/>
    <w:rsid w:val="00C02602"/>
    <w:rsid w:val="00C0261A"/>
    <w:rsid w:val="00C0263B"/>
    <w:rsid w:val="00C02771"/>
    <w:rsid w:val="00C02837"/>
    <w:rsid w:val="00C0283C"/>
    <w:rsid w:val="00C0288B"/>
    <w:rsid w:val="00C02A02"/>
    <w:rsid w:val="00C02DF4"/>
    <w:rsid w:val="00C02EA7"/>
    <w:rsid w:val="00C03138"/>
    <w:rsid w:val="00C032B1"/>
    <w:rsid w:val="00C03453"/>
    <w:rsid w:val="00C034CC"/>
    <w:rsid w:val="00C035EF"/>
    <w:rsid w:val="00C0366B"/>
    <w:rsid w:val="00C03686"/>
    <w:rsid w:val="00C036A1"/>
    <w:rsid w:val="00C0379F"/>
    <w:rsid w:val="00C039AC"/>
    <w:rsid w:val="00C039F7"/>
    <w:rsid w:val="00C03A5E"/>
    <w:rsid w:val="00C03BED"/>
    <w:rsid w:val="00C03D8C"/>
    <w:rsid w:val="00C03F5A"/>
    <w:rsid w:val="00C03F6A"/>
    <w:rsid w:val="00C03FD4"/>
    <w:rsid w:val="00C0402C"/>
    <w:rsid w:val="00C04056"/>
    <w:rsid w:val="00C04131"/>
    <w:rsid w:val="00C042BC"/>
    <w:rsid w:val="00C044BF"/>
    <w:rsid w:val="00C044D6"/>
    <w:rsid w:val="00C0463A"/>
    <w:rsid w:val="00C047E7"/>
    <w:rsid w:val="00C04993"/>
    <w:rsid w:val="00C04ABE"/>
    <w:rsid w:val="00C04AC3"/>
    <w:rsid w:val="00C04BCB"/>
    <w:rsid w:val="00C04C9C"/>
    <w:rsid w:val="00C04D27"/>
    <w:rsid w:val="00C04D74"/>
    <w:rsid w:val="00C04EF3"/>
    <w:rsid w:val="00C04FDF"/>
    <w:rsid w:val="00C04FF6"/>
    <w:rsid w:val="00C050A2"/>
    <w:rsid w:val="00C05103"/>
    <w:rsid w:val="00C05150"/>
    <w:rsid w:val="00C05192"/>
    <w:rsid w:val="00C052B8"/>
    <w:rsid w:val="00C05395"/>
    <w:rsid w:val="00C054B5"/>
    <w:rsid w:val="00C054B8"/>
    <w:rsid w:val="00C054BC"/>
    <w:rsid w:val="00C054BD"/>
    <w:rsid w:val="00C0550A"/>
    <w:rsid w:val="00C05566"/>
    <w:rsid w:val="00C055ED"/>
    <w:rsid w:val="00C05697"/>
    <w:rsid w:val="00C05732"/>
    <w:rsid w:val="00C05735"/>
    <w:rsid w:val="00C057A3"/>
    <w:rsid w:val="00C057C2"/>
    <w:rsid w:val="00C05AAA"/>
    <w:rsid w:val="00C05C25"/>
    <w:rsid w:val="00C05E40"/>
    <w:rsid w:val="00C06000"/>
    <w:rsid w:val="00C0607C"/>
    <w:rsid w:val="00C06156"/>
    <w:rsid w:val="00C06282"/>
    <w:rsid w:val="00C0639B"/>
    <w:rsid w:val="00C0649A"/>
    <w:rsid w:val="00C06512"/>
    <w:rsid w:val="00C0658C"/>
    <w:rsid w:val="00C06645"/>
    <w:rsid w:val="00C066A1"/>
    <w:rsid w:val="00C06C3A"/>
    <w:rsid w:val="00C06D64"/>
    <w:rsid w:val="00C06D99"/>
    <w:rsid w:val="00C06F25"/>
    <w:rsid w:val="00C06F9F"/>
    <w:rsid w:val="00C07044"/>
    <w:rsid w:val="00C0712C"/>
    <w:rsid w:val="00C07219"/>
    <w:rsid w:val="00C074F5"/>
    <w:rsid w:val="00C0760E"/>
    <w:rsid w:val="00C07667"/>
    <w:rsid w:val="00C077B9"/>
    <w:rsid w:val="00C077F5"/>
    <w:rsid w:val="00C078AD"/>
    <w:rsid w:val="00C07A76"/>
    <w:rsid w:val="00C07BCD"/>
    <w:rsid w:val="00C07BFE"/>
    <w:rsid w:val="00C07CA4"/>
    <w:rsid w:val="00C07D10"/>
    <w:rsid w:val="00C07DA2"/>
    <w:rsid w:val="00C07DFB"/>
    <w:rsid w:val="00C07E14"/>
    <w:rsid w:val="00C07E8F"/>
    <w:rsid w:val="00C07F72"/>
    <w:rsid w:val="00C07FC2"/>
    <w:rsid w:val="00C1052A"/>
    <w:rsid w:val="00C105A9"/>
    <w:rsid w:val="00C1062C"/>
    <w:rsid w:val="00C1064C"/>
    <w:rsid w:val="00C1076F"/>
    <w:rsid w:val="00C10896"/>
    <w:rsid w:val="00C10A9E"/>
    <w:rsid w:val="00C10B12"/>
    <w:rsid w:val="00C10BF8"/>
    <w:rsid w:val="00C10C7F"/>
    <w:rsid w:val="00C10D18"/>
    <w:rsid w:val="00C10EE7"/>
    <w:rsid w:val="00C10F2A"/>
    <w:rsid w:val="00C10FF3"/>
    <w:rsid w:val="00C1102D"/>
    <w:rsid w:val="00C112BF"/>
    <w:rsid w:val="00C114A2"/>
    <w:rsid w:val="00C11515"/>
    <w:rsid w:val="00C11580"/>
    <w:rsid w:val="00C11639"/>
    <w:rsid w:val="00C116E2"/>
    <w:rsid w:val="00C1187E"/>
    <w:rsid w:val="00C118EA"/>
    <w:rsid w:val="00C119F2"/>
    <w:rsid w:val="00C11C55"/>
    <w:rsid w:val="00C11E7B"/>
    <w:rsid w:val="00C11ED7"/>
    <w:rsid w:val="00C11F5E"/>
    <w:rsid w:val="00C12013"/>
    <w:rsid w:val="00C1203A"/>
    <w:rsid w:val="00C12145"/>
    <w:rsid w:val="00C1216E"/>
    <w:rsid w:val="00C121BF"/>
    <w:rsid w:val="00C1222B"/>
    <w:rsid w:val="00C12313"/>
    <w:rsid w:val="00C12408"/>
    <w:rsid w:val="00C124EB"/>
    <w:rsid w:val="00C12790"/>
    <w:rsid w:val="00C1286C"/>
    <w:rsid w:val="00C1289F"/>
    <w:rsid w:val="00C1291D"/>
    <w:rsid w:val="00C129C8"/>
    <w:rsid w:val="00C12AAF"/>
    <w:rsid w:val="00C12AB0"/>
    <w:rsid w:val="00C12B67"/>
    <w:rsid w:val="00C12BE0"/>
    <w:rsid w:val="00C13084"/>
    <w:rsid w:val="00C130B0"/>
    <w:rsid w:val="00C13292"/>
    <w:rsid w:val="00C13497"/>
    <w:rsid w:val="00C13539"/>
    <w:rsid w:val="00C136C6"/>
    <w:rsid w:val="00C13820"/>
    <w:rsid w:val="00C13910"/>
    <w:rsid w:val="00C13AA0"/>
    <w:rsid w:val="00C13BC7"/>
    <w:rsid w:val="00C13C14"/>
    <w:rsid w:val="00C13C6B"/>
    <w:rsid w:val="00C13DDE"/>
    <w:rsid w:val="00C141A4"/>
    <w:rsid w:val="00C14219"/>
    <w:rsid w:val="00C14237"/>
    <w:rsid w:val="00C14476"/>
    <w:rsid w:val="00C14501"/>
    <w:rsid w:val="00C1455B"/>
    <w:rsid w:val="00C14626"/>
    <w:rsid w:val="00C14690"/>
    <w:rsid w:val="00C14703"/>
    <w:rsid w:val="00C1496C"/>
    <w:rsid w:val="00C14A9C"/>
    <w:rsid w:val="00C14CD5"/>
    <w:rsid w:val="00C14D10"/>
    <w:rsid w:val="00C14D5C"/>
    <w:rsid w:val="00C14D92"/>
    <w:rsid w:val="00C14DE3"/>
    <w:rsid w:val="00C14F2A"/>
    <w:rsid w:val="00C14FFD"/>
    <w:rsid w:val="00C1500B"/>
    <w:rsid w:val="00C150F8"/>
    <w:rsid w:val="00C1510B"/>
    <w:rsid w:val="00C151AB"/>
    <w:rsid w:val="00C152C6"/>
    <w:rsid w:val="00C15395"/>
    <w:rsid w:val="00C155BA"/>
    <w:rsid w:val="00C1561A"/>
    <w:rsid w:val="00C15626"/>
    <w:rsid w:val="00C15652"/>
    <w:rsid w:val="00C15756"/>
    <w:rsid w:val="00C1575C"/>
    <w:rsid w:val="00C15A39"/>
    <w:rsid w:val="00C15A98"/>
    <w:rsid w:val="00C15C3C"/>
    <w:rsid w:val="00C15C93"/>
    <w:rsid w:val="00C15CA8"/>
    <w:rsid w:val="00C15DA8"/>
    <w:rsid w:val="00C15E6F"/>
    <w:rsid w:val="00C15EA5"/>
    <w:rsid w:val="00C1635D"/>
    <w:rsid w:val="00C163B3"/>
    <w:rsid w:val="00C163DA"/>
    <w:rsid w:val="00C165FC"/>
    <w:rsid w:val="00C166E7"/>
    <w:rsid w:val="00C166F8"/>
    <w:rsid w:val="00C168E7"/>
    <w:rsid w:val="00C16967"/>
    <w:rsid w:val="00C16DC6"/>
    <w:rsid w:val="00C16E71"/>
    <w:rsid w:val="00C16EA4"/>
    <w:rsid w:val="00C1700F"/>
    <w:rsid w:val="00C17057"/>
    <w:rsid w:val="00C1718D"/>
    <w:rsid w:val="00C1724C"/>
    <w:rsid w:val="00C1736E"/>
    <w:rsid w:val="00C173C5"/>
    <w:rsid w:val="00C174F6"/>
    <w:rsid w:val="00C1770D"/>
    <w:rsid w:val="00C17746"/>
    <w:rsid w:val="00C177C3"/>
    <w:rsid w:val="00C177E1"/>
    <w:rsid w:val="00C17B0A"/>
    <w:rsid w:val="00C17C3E"/>
    <w:rsid w:val="00C17D68"/>
    <w:rsid w:val="00C17D8F"/>
    <w:rsid w:val="00C17DA9"/>
    <w:rsid w:val="00C17DBE"/>
    <w:rsid w:val="00C17DFD"/>
    <w:rsid w:val="00C17F36"/>
    <w:rsid w:val="00C17F7A"/>
    <w:rsid w:val="00C17FCB"/>
    <w:rsid w:val="00C20126"/>
    <w:rsid w:val="00C20442"/>
    <w:rsid w:val="00C20597"/>
    <w:rsid w:val="00C20665"/>
    <w:rsid w:val="00C20819"/>
    <w:rsid w:val="00C20907"/>
    <w:rsid w:val="00C209E1"/>
    <w:rsid w:val="00C20AEB"/>
    <w:rsid w:val="00C20B78"/>
    <w:rsid w:val="00C20CCB"/>
    <w:rsid w:val="00C20E49"/>
    <w:rsid w:val="00C20FA7"/>
    <w:rsid w:val="00C20FDA"/>
    <w:rsid w:val="00C20FDB"/>
    <w:rsid w:val="00C210DF"/>
    <w:rsid w:val="00C211D5"/>
    <w:rsid w:val="00C211FE"/>
    <w:rsid w:val="00C21207"/>
    <w:rsid w:val="00C2128C"/>
    <w:rsid w:val="00C21361"/>
    <w:rsid w:val="00C2140A"/>
    <w:rsid w:val="00C21468"/>
    <w:rsid w:val="00C21520"/>
    <w:rsid w:val="00C21586"/>
    <w:rsid w:val="00C2168F"/>
    <w:rsid w:val="00C21948"/>
    <w:rsid w:val="00C219D6"/>
    <w:rsid w:val="00C21A80"/>
    <w:rsid w:val="00C21CC5"/>
    <w:rsid w:val="00C21D37"/>
    <w:rsid w:val="00C21EFF"/>
    <w:rsid w:val="00C21FD6"/>
    <w:rsid w:val="00C21FEB"/>
    <w:rsid w:val="00C221FE"/>
    <w:rsid w:val="00C2220B"/>
    <w:rsid w:val="00C22270"/>
    <w:rsid w:val="00C22427"/>
    <w:rsid w:val="00C225D2"/>
    <w:rsid w:val="00C22675"/>
    <w:rsid w:val="00C226D1"/>
    <w:rsid w:val="00C22721"/>
    <w:rsid w:val="00C2291D"/>
    <w:rsid w:val="00C229D1"/>
    <w:rsid w:val="00C22A77"/>
    <w:rsid w:val="00C22ABE"/>
    <w:rsid w:val="00C22B15"/>
    <w:rsid w:val="00C22E27"/>
    <w:rsid w:val="00C22EE3"/>
    <w:rsid w:val="00C2300A"/>
    <w:rsid w:val="00C2310D"/>
    <w:rsid w:val="00C2347F"/>
    <w:rsid w:val="00C2349C"/>
    <w:rsid w:val="00C234A8"/>
    <w:rsid w:val="00C23535"/>
    <w:rsid w:val="00C2360A"/>
    <w:rsid w:val="00C23652"/>
    <w:rsid w:val="00C2368A"/>
    <w:rsid w:val="00C2369F"/>
    <w:rsid w:val="00C2373D"/>
    <w:rsid w:val="00C2375C"/>
    <w:rsid w:val="00C237D3"/>
    <w:rsid w:val="00C238A2"/>
    <w:rsid w:val="00C238B7"/>
    <w:rsid w:val="00C23A49"/>
    <w:rsid w:val="00C23C15"/>
    <w:rsid w:val="00C23DF9"/>
    <w:rsid w:val="00C2413A"/>
    <w:rsid w:val="00C24309"/>
    <w:rsid w:val="00C24316"/>
    <w:rsid w:val="00C2437B"/>
    <w:rsid w:val="00C24399"/>
    <w:rsid w:val="00C246BA"/>
    <w:rsid w:val="00C24745"/>
    <w:rsid w:val="00C24B3A"/>
    <w:rsid w:val="00C24C39"/>
    <w:rsid w:val="00C24F73"/>
    <w:rsid w:val="00C24FBF"/>
    <w:rsid w:val="00C24FE9"/>
    <w:rsid w:val="00C24FFE"/>
    <w:rsid w:val="00C25027"/>
    <w:rsid w:val="00C2529C"/>
    <w:rsid w:val="00C252BE"/>
    <w:rsid w:val="00C2533F"/>
    <w:rsid w:val="00C253A3"/>
    <w:rsid w:val="00C2541C"/>
    <w:rsid w:val="00C2544C"/>
    <w:rsid w:val="00C254DF"/>
    <w:rsid w:val="00C25596"/>
    <w:rsid w:val="00C255F7"/>
    <w:rsid w:val="00C25793"/>
    <w:rsid w:val="00C25985"/>
    <w:rsid w:val="00C25D51"/>
    <w:rsid w:val="00C25DE8"/>
    <w:rsid w:val="00C25E23"/>
    <w:rsid w:val="00C2618D"/>
    <w:rsid w:val="00C261C2"/>
    <w:rsid w:val="00C26258"/>
    <w:rsid w:val="00C26298"/>
    <w:rsid w:val="00C26533"/>
    <w:rsid w:val="00C26634"/>
    <w:rsid w:val="00C2667B"/>
    <w:rsid w:val="00C266A0"/>
    <w:rsid w:val="00C2685F"/>
    <w:rsid w:val="00C26B0E"/>
    <w:rsid w:val="00C26BC6"/>
    <w:rsid w:val="00C26CFA"/>
    <w:rsid w:val="00C26DA0"/>
    <w:rsid w:val="00C27040"/>
    <w:rsid w:val="00C270A7"/>
    <w:rsid w:val="00C270D5"/>
    <w:rsid w:val="00C271C0"/>
    <w:rsid w:val="00C273FD"/>
    <w:rsid w:val="00C27446"/>
    <w:rsid w:val="00C27512"/>
    <w:rsid w:val="00C275A3"/>
    <w:rsid w:val="00C278CD"/>
    <w:rsid w:val="00C2799F"/>
    <w:rsid w:val="00C27A9E"/>
    <w:rsid w:val="00C27B6D"/>
    <w:rsid w:val="00C27D85"/>
    <w:rsid w:val="00C27D86"/>
    <w:rsid w:val="00C27DBF"/>
    <w:rsid w:val="00C27E4C"/>
    <w:rsid w:val="00C27EC4"/>
    <w:rsid w:val="00C27EF9"/>
    <w:rsid w:val="00C30038"/>
    <w:rsid w:val="00C30194"/>
    <w:rsid w:val="00C301AA"/>
    <w:rsid w:val="00C30221"/>
    <w:rsid w:val="00C303D3"/>
    <w:rsid w:val="00C303DB"/>
    <w:rsid w:val="00C304A5"/>
    <w:rsid w:val="00C304AF"/>
    <w:rsid w:val="00C3064A"/>
    <w:rsid w:val="00C30719"/>
    <w:rsid w:val="00C3073C"/>
    <w:rsid w:val="00C3086A"/>
    <w:rsid w:val="00C30B95"/>
    <w:rsid w:val="00C30C6F"/>
    <w:rsid w:val="00C30C8C"/>
    <w:rsid w:val="00C30E58"/>
    <w:rsid w:val="00C30ECB"/>
    <w:rsid w:val="00C30F00"/>
    <w:rsid w:val="00C31021"/>
    <w:rsid w:val="00C31268"/>
    <w:rsid w:val="00C312DF"/>
    <w:rsid w:val="00C31530"/>
    <w:rsid w:val="00C3158F"/>
    <w:rsid w:val="00C3160A"/>
    <w:rsid w:val="00C31644"/>
    <w:rsid w:val="00C3176C"/>
    <w:rsid w:val="00C317BE"/>
    <w:rsid w:val="00C31869"/>
    <w:rsid w:val="00C31896"/>
    <w:rsid w:val="00C318B5"/>
    <w:rsid w:val="00C319AC"/>
    <w:rsid w:val="00C31D28"/>
    <w:rsid w:val="00C31D82"/>
    <w:rsid w:val="00C31E4B"/>
    <w:rsid w:val="00C31EE9"/>
    <w:rsid w:val="00C31EFC"/>
    <w:rsid w:val="00C31FBE"/>
    <w:rsid w:val="00C3201C"/>
    <w:rsid w:val="00C32061"/>
    <w:rsid w:val="00C32088"/>
    <w:rsid w:val="00C32262"/>
    <w:rsid w:val="00C3236E"/>
    <w:rsid w:val="00C32395"/>
    <w:rsid w:val="00C323E9"/>
    <w:rsid w:val="00C32410"/>
    <w:rsid w:val="00C324BC"/>
    <w:rsid w:val="00C324CD"/>
    <w:rsid w:val="00C32509"/>
    <w:rsid w:val="00C32579"/>
    <w:rsid w:val="00C326A2"/>
    <w:rsid w:val="00C326EF"/>
    <w:rsid w:val="00C327C4"/>
    <w:rsid w:val="00C32910"/>
    <w:rsid w:val="00C3295D"/>
    <w:rsid w:val="00C329A2"/>
    <w:rsid w:val="00C32A6C"/>
    <w:rsid w:val="00C32AA5"/>
    <w:rsid w:val="00C32AAC"/>
    <w:rsid w:val="00C32B1D"/>
    <w:rsid w:val="00C32D9E"/>
    <w:rsid w:val="00C32E27"/>
    <w:rsid w:val="00C32FCC"/>
    <w:rsid w:val="00C33000"/>
    <w:rsid w:val="00C33121"/>
    <w:rsid w:val="00C332C0"/>
    <w:rsid w:val="00C3334A"/>
    <w:rsid w:val="00C335DD"/>
    <w:rsid w:val="00C335E8"/>
    <w:rsid w:val="00C3361F"/>
    <w:rsid w:val="00C3362C"/>
    <w:rsid w:val="00C33675"/>
    <w:rsid w:val="00C336A1"/>
    <w:rsid w:val="00C3374A"/>
    <w:rsid w:val="00C337E9"/>
    <w:rsid w:val="00C33949"/>
    <w:rsid w:val="00C339A3"/>
    <w:rsid w:val="00C339BF"/>
    <w:rsid w:val="00C339F6"/>
    <w:rsid w:val="00C33B15"/>
    <w:rsid w:val="00C33B57"/>
    <w:rsid w:val="00C33B59"/>
    <w:rsid w:val="00C33BBB"/>
    <w:rsid w:val="00C33BFF"/>
    <w:rsid w:val="00C33C75"/>
    <w:rsid w:val="00C33C79"/>
    <w:rsid w:val="00C33D87"/>
    <w:rsid w:val="00C33E2C"/>
    <w:rsid w:val="00C33EA0"/>
    <w:rsid w:val="00C33EC8"/>
    <w:rsid w:val="00C33F42"/>
    <w:rsid w:val="00C33F54"/>
    <w:rsid w:val="00C33FF9"/>
    <w:rsid w:val="00C34198"/>
    <w:rsid w:val="00C3437A"/>
    <w:rsid w:val="00C343EC"/>
    <w:rsid w:val="00C34492"/>
    <w:rsid w:val="00C3451E"/>
    <w:rsid w:val="00C346AD"/>
    <w:rsid w:val="00C34804"/>
    <w:rsid w:val="00C34939"/>
    <w:rsid w:val="00C349C3"/>
    <w:rsid w:val="00C34A92"/>
    <w:rsid w:val="00C34D72"/>
    <w:rsid w:val="00C34D8B"/>
    <w:rsid w:val="00C34F7B"/>
    <w:rsid w:val="00C3518E"/>
    <w:rsid w:val="00C352D0"/>
    <w:rsid w:val="00C352F9"/>
    <w:rsid w:val="00C354A4"/>
    <w:rsid w:val="00C356CD"/>
    <w:rsid w:val="00C3590D"/>
    <w:rsid w:val="00C35917"/>
    <w:rsid w:val="00C3597B"/>
    <w:rsid w:val="00C3597C"/>
    <w:rsid w:val="00C359BC"/>
    <w:rsid w:val="00C35A88"/>
    <w:rsid w:val="00C35A8C"/>
    <w:rsid w:val="00C35BBB"/>
    <w:rsid w:val="00C35CA2"/>
    <w:rsid w:val="00C35D5F"/>
    <w:rsid w:val="00C35DA2"/>
    <w:rsid w:val="00C35E7C"/>
    <w:rsid w:val="00C35F77"/>
    <w:rsid w:val="00C35FAA"/>
    <w:rsid w:val="00C3607C"/>
    <w:rsid w:val="00C36125"/>
    <w:rsid w:val="00C363FF"/>
    <w:rsid w:val="00C3642A"/>
    <w:rsid w:val="00C36436"/>
    <w:rsid w:val="00C36514"/>
    <w:rsid w:val="00C36520"/>
    <w:rsid w:val="00C3677A"/>
    <w:rsid w:val="00C369DA"/>
    <w:rsid w:val="00C36A73"/>
    <w:rsid w:val="00C36B28"/>
    <w:rsid w:val="00C36B70"/>
    <w:rsid w:val="00C36BB2"/>
    <w:rsid w:val="00C36CBA"/>
    <w:rsid w:val="00C36CEE"/>
    <w:rsid w:val="00C36E0F"/>
    <w:rsid w:val="00C36F49"/>
    <w:rsid w:val="00C36F51"/>
    <w:rsid w:val="00C37011"/>
    <w:rsid w:val="00C3711E"/>
    <w:rsid w:val="00C372C3"/>
    <w:rsid w:val="00C373FD"/>
    <w:rsid w:val="00C3747D"/>
    <w:rsid w:val="00C37550"/>
    <w:rsid w:val="00C3762D"/>
    <w:rsid w:val="00C3772A"/>
    <w:rsid w:val="00C379C1"/>
    <w:rsid w:val="00C37AD8"/>
    <w:rsid w:val="00C37D00"/>
    <w:rsid w:val="00C4003C"/>
    <w:rsid w:val="00C400D2"/>
    <w:rsid w:val="00C4018A"/>
    <w:rsid w:val="00C40218"/>
    <w:rsid w:val="00C40386"/>
    <w:rsid w:val="00C404BE"/>
    <w:rsid w:val="00C406C6"/>
    <w:rsid w:val="00C4081E"/>
    <w:rsid w:val="00C40873"/>
    <w:rsid w:val="00C4088B"/>
    <w:rsid w:val="00C408C1"/>
    <w:rsid w:val="00C40934"/>
    <w:rsid w:val="00C40AF0"/>
    <w:rsid w:val="00C40D31"/>
    <w:rsid w:val="00C40D42"/>
    <w:rsid w:val="00C40DBD"/>
    <w:rsid w:val="00C40E24"/>
    <w:rsid w:val="00C40E52"/>
    <w:rsid w:val="00C40E67"/>
    <w:rsid w:val="00C40F31"/>
    <w:rsid w:val="00C40FC3"/>
    <w:rsid w:val="00C419F3"/>
    <w:rsid w:val="00C41A2F"/>
    <w:rsid w:val="00C41A52"/>
    <w:rsid w:val="00C41BEC"/>
    <w:rsid w:val="00C41C22"/>
    <w:rsid w:val="00C41D4A"/>
    <w:rsid w:val="00C41D7B"/>
    <w:rsid w:val="00C41DFE"/>
    <w:rsid w:val="00C41E67"/>
    <w:rsid w:val="00C41E7B"/>
    <w:rsid w:val="00C42133"/>
    <w:rsid w:val="00C422BA"/>
    <w:rsid w:val="00C42336"/>
    <w:rsid w:val="00C42558"/>
    <w:rsid w:val="00C42564"/>
    <w:rsid w:val="00C42687"/>
    <w:rsid w:val="00C42724"/>
    <w:rsid w:val="00C42814"/>
    <w:rsid w:val="00C428BC"/>
    <w:rsid w:val="00C42A06"/>
    <w:rsid w:val="00C42A17"/>
    <w:rsid w:val="00C42B00"/>
    <w:rsid w:val="00C42BB1"/>
    <w:rsid w:val="00C42EA5"/>
    <w:rsid w:val="00C42F0A"/>
    <w:rsid w:val="00C42F4A"/>
    <w:rsid w:val="00C4323A"/>
    <w:rsid w:val="00C4336C"/>
    <w:rsid w:val="00C433AB"/>
    <w:rsid w:val="00C433E8"/>
    <w:rsid w:val="00C43447"/>
    <w:rsid w:val="00C434C4"/>
    <w:rsid w:val="00C434CA"/>
    <w:rsid w:val="00C4366D"/>
    <w:rsid w:val="00C43885"/>
    <w:rsid w:val="00C438D6"/>
    <w:rsid w:val="00C43955"/>
    <w:rsid w:val="00C43986"/>
    <w:rsid w:val="00C43989"/>
    <w:rsid w:val="00C43A55"/>
    <w:rsid w:val="00C43BED"/>
    <w:rsid w:val="00C43C03"/>
    <w:rsid w:val="00C43C14"/>
    <w:rsid w:val="00C43C44"/>
    <w:rsid w:val="00C43D3F"/>
    <w:rsid w:val="00C43FE2"/>
    <w:rsid w:val="00C44270"/>
    <w:rsid w:val="00C443DA"/>
    <w:rsid w:val="00C446E4"/>
    <w:rsid w:val="00C446F1"/>
    <w:rsid w:val="00C4470B"/>
    <w:rsid w:val="00C44831"/>
    <w:rsid w:val="00C448AA"/>
    <w:rsid w:val="00C448B7"/>
    <w:rsid w:val="00C448DB"/>
    <w:rsid w:val="00C44C18"/>
    <w:rsid w:val="00C44CC7"/>
    <w:rsid w:val="00C44D4A"/>
    <w:rsid w:val="00C44DF6"/>
    <w:rsid w:val="00C44E5A"/>
    <w:rsid w:val="00C44EC2"/>
    <w:rsid w:val="00C44F6E"/>
    <w:rsid w:val="00C45000"/>
    <w:rsid w:val="00C4503E"/>
    <w:rsid w:val="00C451AA"/>
    <w:rsid w:val="00C453AA"/>
    <w:rsid w:val="00C455BA"/>
    <w:rsid w:val="00C456BF"/>
    <w:rsid w:val="00C456FD"/>
    <w:rsid w:val="00C4571B"/>
    <w:rsid w:val="00C457E0"/>
    <w:rsid w:val="00C45993"/>
    <w:rsid w:val="00C45A5E"/>
    <w:rsid w:val="00C45AFC"/>
    <w:rsid w:val="00C45B13"/>
    <w:rsid w:val="00C45B8A"/>
    <w:rsid w:val="00C45BF9"/>
    <w:rsid w:val="00C45C23"/>
    <w:rsid w:val="00C45C2D"/>
    <w:rsid w:val="00C45CA3"/>
    <w:rsid w:val="00C45D30"/>
    <w:rsid w:val="00C45E7E"/>
    <w:rsid w:val="00C45F69"/>
    <w:rsid w:val="00C45F73"/>
    <w:rsid w:val="00C45FA7"/>
    <w:rsid w:val="00C4603B"/>
    <w:rsid w:val="00C461EC"/>
    <w:rsid w:val="00C463E8"/>
    <w:rsid w:val="00C4642E"/>
    <w:rsid w:val="00C46453"/>
    <w:rsid w:val="00C46496"/>
    <w:rsid w:val="00C464F6"/>
    <w:rsid w:val="00C46505"/>
    <w:rsid w:val="00C46612"/>
    <w:rsid w:val="00C46678"/>
    <w:rsid w:val="00C466E0"/>
    <w:rsid w:val="00C466E1"/>
    <w:rsid w:val="00C467B1"/>
    <w:rsid w:val="00C46949"/>
    <w:rsid w:val="00C46A82"/>
    <w:rsid w:val="00C46B36"/>
    <w:rsid w:val="00C46D34"/>
    <w:rsid w:val="00C46D36"/>
    <w:rsid w:val="00C46E6C"/>
    <w:rsid w:val="00C46EBC"/>
    <w:rsid w:val="00C46F33"/>
    <w:rsid w:val="00C4708D"/>
    <w:rsid w:val="00C47332"/>
    <w:rsid w:val="00C473E0"/>
    <w:rsid w:val="00C47463"/>
    <w:rsid w:val="00C4750C"/>
    <w:rsid w:val="00C47818"/>
    <w:rsid w:val="00C4784F"/>
    <w:rsid w:val="00C4786C"/>
    <w:rsid w:val="00C478EE"/>
    <w:rsid w:val="00C4795F"/>
    <w:rsid w:val="00C479FE"/>
    <w:rsid w:val="00C47A8C"/>
    <w:rsid w:val="00C47AAC"/>
    <w:rsid w:val="00C47AF9"/>
    <w:rsid w:val="00C47C79"/>
    <w:rsid w:val="00C47CB1"/>
    <w:rsid w:val="00C47CBF"/>
    <w:rsid w:val="00C47D12"/>
    <w:rsid w:val="00C47DEB"/>
    <w:rsid w:val="00C47E02"/>
    <w:rsid w:val="00C47F94"/>
    <w:rsid w:val="00C47FAA"/>
    <w:rsid w:val="00C47FEE"/>
    <w:rsid w:val="00C50050"/>
    <w:rsid w:val="00C50078"/>
    <w:rsid w:val="00C50495"/>
    <w:rsid w:val="00C5058B"/>
    <w:rsid w:val="00C50712"/>
    <w:rsid w:val="00C5075B"/>
    <w:rsid w:val="00C50808"/>
    <w:rsid w:val="00C50876"/>
    <w:rsid w:val="00C50912"/>
    <w:rsid w:val="00C50B44"/>
    <w:rsid w:val="00C50D47"/>
    <w:rsid w:val="00C50DB5"/>
    <w:rsid w:val="00C50E03"/>
    <w:rsid w:val="00C50E4C"/>
    <w:rsid w:val="00C50E65"/>
    <w:rsid w:val="00C50E82"/>
    <w:rsid w:val="00C50EAE"/>
    <w:rsid w:val="00C50F7E"/>
    <w:rsid w:val="00C50FCA"/>
    <w:rsid w:val="00C50FD5"/>
    <w:rsid w:val="00C5110F"/>
    <w:rsid w:val="00C51161"/>
    <w:rsid w:val="00C51331"/>
    <w:rsid w:val="00C51586"/>
    <w:rsid w:val="00C5165C"/>
    <w:rsid w:val="00C51680"/>
    <w:rsid w:val="00C51794"/>
    <w:rsid w:val="00C5179B"/>
    <w:rsid w:val="00C51AE6"/>
    <w:rsid w:val="00C51C79"/>
    <w:rsid w:val="00C51D34"/>
    <w:rsid w:val="00C51EBA"/>
    <w:rsid w:val="00C51FD8"/>
    <w:rsid w:val="00C52069"/>
    <w:rsid w:val="00C521A3"/>
    <w:rsid w:val="00C521E8"/>
    <w:rsid w:val="00C52550"/>
    <w:rsid w:val="00C5255C"/>
    <w:rsid w:val="00C525E2"/>
    <w:rsid w:val="00C52651"/>
    <w:rsid w:val="00C52723"/>
    <w:rsid w:val="00C5281B"/>
    <w:rsid w:val="00C528CD"/>
    <w:rsid w:val="00C52985"/>
    <w:rsid w:val="00C52988"/>
    <w:rsid w:val="00C52A80"/>
    <w:rsid w:val="00C52C9B"/>
    <w:rsid w:val="00C52DE7"/>
    <w:rsid w:val="00C52E70"/>
    <w:rsid w:val="00C52F16"/>
    <w:rsid w:val="00C53003"/>
    <w:rsid w:val="00C531AC"/>
    <w:rsid w:val="00C5324E"/>
    <w:rsid w:val="00C532BD"/>
    <w:rsid w:val="00C532BE"/>
    <w:rsid w:val="00C5346E"/>
    <w:rsid w:val="00C53492"/>
    <w:rsid w:val="00C534A8"/>
    <w:rsid w:val="00C53547"/>
    <w:rsid w:val="00C537FA"/>
    <w:rsid w:val="00C53853"/>
    <w:rsid w:val="00C5396B"/>
    <w:rsid w:val="00C53A1B"/>
    <w:rsid w:val="00C53BB2"/>
    <w:rsid w:val="00C53BF1"/>
    <w:rsid w:val="00C53EFC"/>
    <w:rsid w:val="00C53F6C"/>
    <w:rsid w:val="00C53FA1"/>
    <w:rsid w:val="00C540C5"/>
    <w:rsid w:val="00C540F5"/>
    <w:rsid w:val="00C5440F"/>
    <w:rsid w:val="00C54661"/>
    <w:rsid w:val="00C546A8"/>
    <w:rsid w:val="00C546AA"/>
    <w:rsid w:val="00C54726"/>
    <w:rsid w:val="00C547E7"/>
    <w:rsid w:val="00C5481C"/>
    <w:rsid w:val="00C5483E"/>
    <w:rsid w:val="00C548E4"/>
    <w:rsid w:val="00C54AAE"/>
    <w:rsid w:val="00C54B44"/>
    <w:rsid w:val="00C54B7F"/>
    <w:rsid w:val="00C54F35"/>
    <w:rsid w:val="00C54F39"/>
    <w:rsid w:val="00C55090"/>
    <w:rsid w:val="00C550D0"/>
    <w:rsid w:val="00C5515A"/>
    <w:rsid w:val="00C55201"/>
    <w:rsid w:val="00C55320"/>
    <w:rsid w:val="00C554A5"/>
    <w:rsid w:val="00C5555F"/>
    <w:rsid w:val="00C55776"/>
    <w:rsid w:val="00C55839"/>
    <w:rsid w:val="00C558E1"/>
    <w:rsid w:val="00C55B53"/>
    <w:rsid w:val="00C56072"/>
    <w:rsid w:val="00C56152"/>
    <w:rsid w:val="00C56174"/>
    <w:rsid w:val="00C5617E"/>
    <w:rsid w:val="00C56185"/>
    <w:rsid w:val="00C561E7"/>
    <w:rsid w:val="00C5626D"/>
    <w:rsid w:val="00C562E2"/>
    <w:rsid w:val="00C5639D"/>
    <w:rsid w:val="00C5642C"/>
    <w:rsid w:val="00C5645D"/>
    <w:rsid w:val="00C5648A"/>
    <w:rsid w:val="00C564FC"/>
    <w:rsid w:val="00C56847"/>
    <w:rsid w:val="00C56BF5"/>
    <w:rsid w:val="00C56C36"/>
    <w:rsid w:val="00C56C74"/>
    <w:rsid w:val="00C56E67"/>
    <w:rsid w:val="00C56E9B"/>
    <w:rsid w:val="00C56F00"/>
    <w:rsid w:val="00C57270"/>
    <w:rsid w:val="00C572E4"/>
    <w:rsid w:val="00C57475"/>
    <w:rsid w:val="00C575FB"/>
    <w:rsid w:val="00C575FE"/>
    <w:rsid w:val="00C5766C"/>
    <w:rsid w:val="00C576BA"/>
    <w:rsid w:val="00C57830"/>
    <w:rsid w:val="00C5786D"/>
    <w:rsid w:val="00C578DD"/>
    <w:rsid w:val="00C578F4"/>
    <w:rsid w:val="00C57A7F"/>
    <w:rsid w:val="00C57B2D"/>
    <w:rsid w:val="00C57BCB"/>
    <w:rsid w:val="00C57D80"/>
    <w:rsid w:val="00C57DC2"/>
    <w:rsid w:val="00C57EE0"/>
    <w:rsid w:val="00C602B3"/>
    <w:rsid w:val="00C603D7"/>
    <w:rsid w:val="00C6055D"/>
    <w:rsid w:val="00C6055F"/>
    <w:rsid w:val="00C605BF"/>
    <w:rsid w:val="00C60749"/>
    <w:rsid w:val="00C60756"/>
    <w:rsid w:val="00C6090C"/>
    <w:rsid w:val="00C60A33"/>
    <w:rsid w:val="00C60AA6"/>
    <w:rsid w:val="00C60D69"/>
    <w:rsid w:val="00C60E13"/>
    <w:rsid w:val="00C61000"/>
    <w:rsid w:val="00C610DC"/>
    <w:rsid w:val="00C61157"/>
    <w:rsid w:val="00C61161"/>
    <w:rsid w:val="00C6119F"/>
    <w:rsid w:val="00C612D7"/>
    <w:rsid w:val="00C614CA"/>
    <w:rsid w:val="00C614F1"/>
    <w:rsid w:val="00C61641"/>
    <w:rsid w:val="00C616FC"/>
    <w:rsid w:val="00C61863"/>
    <w:rsid w:val="00C619A6"/>
    <w:rsid w:val="00C61AE7"/>
    <w:rsid w:val="00C61C26"/>
    <w:rsid w:val="00C61C4D"/>
    <w:rsid w:val="00C61CED"/>
    <w:rsid w:val="00C61E04"/>
    <w:rsid w:val="00C61EEA"/>
    <w:rsid w:val="00C621DE"/>
    <w:rsid w:val="00C622E8"/>
    <w:rsid w:val="00C623CA"/>
    <w:rsid w:val="00C626CE"/>
    <w:rsid w:val="00C6274C"/>
    <w:rsid w:val="00C62793"/>
    <w:rsid w:val="00C629D8"/>
    <w:rsid w:val="00C62B37"/>
    <w:rsid w:val="00C62BAE"/>
    <w:rsid w:val="00C62D46"/>
    <w:rsid w:val="00C62DD8"/>
    <w:rsid w:val="00C62DEF"/>
    <w:rsid w:val="00C62E23"/>
    <w:rsid w:val="00C62F11"/>
    <w:rsid w:val="00C62F7E"/>
    <w:rsid w:val="00C62F93"/>
    <w:rsid w:val="00C6310B"/>
    <w:rsid w:val="00C63160"/>
    <w:rsid w:val="00C6330A"/>
    <w:rsid w:val="00C633E8"/>
    <w:rsid w:val="00C635F0"/>
    <w:rsid w:val="00C638EB"/>
    <w:rsid w:val="00C6396D"/>
    <w:rsid w:val="00C63A25"/>
    <w:rsid w:val="00C63E09"/>
    <w:rsid w:val="00C63E34"/>
    <w:rsid w:val="00C63F80"/>
    <w:rsid w:val="00C6406B"/>
    <w:rsid w:val="00C6415E"/>
    <w:rsid w:val="00C64225"/>
    <w:rsid w:val="00C6468F"/>
    <w:rsid w:val="00C64762"/>
    <w:rsid w:val="00C647A2"/>
    <w:rsid w:val="00C64862"/>
    <w:rsid w:val="00C6486E"/>
    <w:rsid w:val="00C64A3B"/>
    <w:rsid w:val="00C64AC6"/>
    <w:rsid w:val="00C64BEA"/>
    <w:rsid w:val="00C64CEE"/>
    <w:rsid w:val="00C64D29"/>
    <w:rsid w:val="00C64DBB"/>
    <w:rsid w:val="00C64DC1"/>
    <w:rsid w:val="00C64DF7"/>
    <w:rsid w:val="00C64EC3"/>
    <w:rsid w:val="00C6502C"/>
    <w:rsid w:val="00C650D1"/>
    <w:rsid w:val="00C6536D"/>
    <w:rsid w:val="00C653F6"/>
    <w:rsid w:val="00C65419"/>
    <w:rsid w:val="00C65663"/>
    <w:rsid w:val="00C657C7"/>
    <w:rsid w:val="00C6583E"/>
    <w:rsid w:val="00C65854"/>
    <w:rsid w:val="00C658F4"/>
    <w:rsid w:val="00C65906"/>
    <w:rsid w:val="00C65B1D"/>
    <w:rsid w:val="00C65B3A"/>
    <w:rsid w:val="00C65BEE"/>
    <w:rsid w:val="00C65C4B"/>
    <w:rsid w:val="00C65DB4"/>
    <w:rsid w:val="00C65DEA"/>
    <w:rsid w:val="00C65F94"/>
    <w:rsid w:val="00C66105"/>
    <w:rsid w:val="00C6618D"/>
    <w:rsid w:val="00C66396"/>
    <w:rsid w:val="00C663BA"/>
    <w:rsid w:val="00C66513"/>
    <w:rsid w:val="00C66564"/>
    <w:rsid w:val="00C6657F"/>
    <w:rsid w:val="00C665A7"/>
    <w:rsid w:val="00C66736"/>
    <w:rsid w:val="00C66827"/>
    <w:rsid w:val="00C6695F"/>
    <w:rsid w:val="00C66A41"/>
    <w:rsid w:val="00C66A5E"/>
    <w:rsid w:val="00C66AC9"/>
    <w:rsid w:val="00C66AF8"/>
    <w:rsid w:val="00C66B8C"/>
    <w:rsid w:val="00C66BFF"/>
    <w:rsid w:val="00C66C5D"/>
    <w:rsid w:val="00C66D2D"/>
    <w:rsid w:val="00C66DEC"/>
    <w:rsid w:val="00C66F16"/>
    <w:rsid w:val="00C6702B"/>
    <w:rsid w:val="00C6714D"/>
    <w:rsid w:val="00C6719D"/>
    <w:rsid w:val="00C672C9"/>
    <w:rsid w:val="00C67812"/>
    <w:rsid w:val="00C67A53"/>
    <w:rsid w:val="00C67A6A"/>
    <w:rsid w:val="00C67C9D"/>
    <w:rsid w:val="00C67CFA"/>
    <w:rsid w:val="00C67FA2"/>
    <w:rsid w:val="00C67FFE"/>
    <w:rsid w:val="00C700D9"/>
    <w:rsid w:val="00C700F9"/>
    <w:rsid w:val="00C70220"/>
    <w:rsid w:val="00C70290"/>
    <w:rsid w:val="00C703B0"/>
    <w:rsid w:val="00C7049C"/>
    <w:rsid w:val="00C70553"/>
    <w:rsid w:val="00C705C8"/>
    <w:rsid w:val="00C70771"/>
    <w:rsid w:val="00C70818"/>
    <w:rsid w:val="00C7085B"/>
    <w:rsid w:val="00C70887"/>
    <w:rsid w:val="00C70908"/>
    <w:rsid w:val="00C70992"/>
    <w:rsid w:val="00C70B54"/>
    <w:rsid w:val="00C70B70"/>
    <w:rsid w:val="00C70C94"/>
    <w:rsid w:val="00C70CD9"/>
    <w:rsid w:val="00C70D6F"/>
    <w:rsid w:val="00C710C6"/>
    <w:rsid w:val="00C71157"/>
    <w:rsid w:val="00C7117C"/>
    <w:rsid w:val="00C71301"/>
    <w:rsid w:val="00C71351"/>
    <w:rsid w:val="00C7146E"/>
    <w:rsid w:val="00C71557"/>
    <w:rsid w:val="00C716A6"/>
    <w:rsid w:val="00C716BD"/>
    <w:rsid w:val="00C716BE"/>
    <w:rsid w:val="00C7175A"/>
    <w:rsid w:val="00C7197D"/>
    <w:rsid w:val="00C71993"/>
    <w:rsid w:val="00C71ABC"/>
    <w:rsid w:val="00C71C91"/>
    <w:rsid w:val="00C71D94"/>
    <w:rsid w:val="00C71DD2"/>
    <w:rsid w:val="00C71EB1"/>
    <w:rsid w:val="00C71FFC"/>
    <w:rsid w:val="00C7208D"/>
    <w:rsid w:val="00C7212B"/>
    <w:rsid w:val="00C72266"/>
    <w:rsid w:val="00C723AC"/>
    <w:rsid w:val="00C724D4"/>
    <w:rsid w:val="00C72560"/>
    <w:rsid w:val="00C72591"/>
    <w:rsid w:val="00C72687"/>
    <w:rsid w:val="00C727CE"/>
    <w:rsid w:val="00C72856"/>
    <w:rsid w:val="00C72CCB"/>
    <w:rsid w:val="00C72E24"/>
    <w:rsid w:val="00C72EDE"/>
    <w:rsid w:val="00C72F58"/>
    <w:rsid w:val="00C72FD1"/>
    <w:rsid w:val="00C73084"/>
    <w:rsid w:val="00C7320E"/>
    <w:rsid w:val="00C73249"/>
    <w:rsid w:val="00C73300"/>
    <w:rsid w:val="00C7332B"/>
    <w:rsid w:val="00C73387"/>
    <w:rsid w:val="00C7349F"/>
    <w:rsid w:val="00C734A5"/>
    <w:rsid w:val="00C734C2"/>
    <w:rsid w:val="00C734F5"/>
    <w:rsid w:val="00C73560"/>
    <w:rsid w:val="00C73685"/>
    <w:rsid w:val="00C73A27"/>
    <w:rsid w:val="00C73A52"/>
    <w:rsid w:val="00C73AB6"/>
    <w:rsid w:val="00C73ABB"/>
    <w:rsid w:val="00C73FA8"/>
    <w:rsid w:val="00C740D3"/>
    <w:rsid w:val="00C741AE"/>
    <w:rsid w:val="00C74210"/>
    <w:rsid w:val="00C744D5"/>
    <w:rsid w:val="00C744E4"/>
    <w:rsid w:val="00C74842"/>
    <w:rsid w:val="00C74844"/>
    <w:rsid w:val="00C749B3"/>
    <w:rsid w:val="00C74ABF"/>
    <w:rsid w:val="00C74AD3"/>
    <w:rsid w:val="00C74C65"/>
    <w:rsid w:val="00C74D73"/>
    <w:rsid w:val="00C74EC9"/>
    <w:rsid w:val="00C74EE2"/>
    <w:rsid w:val="00C75137"/>
    <w:rsid w:val="00C75317"/>
    <w:rsid w:val="00C7540B"/>
    <w:rsid w:val="00C7540F"/>
    <w:rsid w:val="00C7545B"/>
    <w:rsid w:val="00C754B8"/>
    <w:rsid w:val="00C754BF"/>
    <w:rsid w:val="00C75B8C"/>
    <w:rsid w:val="00C75C60"/>
    <w:rsid w:val="00C75C7C"/>
    <w:rsid w:val="00C75CB4"/>
    <w:rsid w:val="00C75D1E"/>
    <w:rsid w:val="00C76184"/>
    <w:rsid w:val="00C763D5"/>
    <w:rsid w:val="00C76459"/>
    <w:rsid w:val="00C764EE"/>
    <w:rsid w:val="00C76583"/>
    <w:rsid w:val="00C765F8"/>
    <w:rsid w:val="00C765FC"/>
    <w:rsid w:val="00C76638"/>
    <w:rsid w:val="00C7669B"/>
    <w:rsid w:val="00C767A0"/>
    <w:rsid w:val="00C76847"/>
    <w:rsid w:val="00C76903"/>
    <w:rsid w:val="00C76965"/>
    <w:rsid w:val="00C76ADA"/>
    <w:rsid w:val="00C76C1E"/>
    <w:rsid w:val="00C76D0C"/>
    <w:rsid w:val="00C76D1B"/>
    <w:rsid w:val="00C76E4D"/>
    <w:rsid w:val="00C76E88"/>
    <w:rsid w:val="00C76F32"/>
    <w:rsid w:val="00C770A4"/>
    <w:rsid w:val="00C77194"/>
    <w:rsid w:val="00C77306"/>
    <w:rsid w:val="00C7745A"/>
    <w:rsid w:val="00C7751D"/>
    <w:rsid w:val="00C77529"/>
    <w:rsid w:val="00C7784F"/>
    <w:rsid w:val="00C77882"/>
    <w:rsid w:val="00C77889"/>
    <w:rsid w:val="00C77A03"/>
    <w:rsid w:val="00C77AFD"/>
    <w:rsid w:val="00C77D2B"/>
    <w:rsid w:val="00C77EED"/>
    <w:rsid w:val="00C77F13"/>
    <w:rsid w:val="00C77FCD"/>
    <w:rsid w:val="00C800FE"/>
    <w:rsid w:val="00C803EC"/>
    <w:rsid w:val="00C804B1"/>
    <w:rsid w:val="00C80573"/>
    <w:rsid w:val="00C80633"/>
    <w:rsid w:val="00C80673"/>
    <w:rsid w:val="00C80773"/>
    <w:rsid w:val="00C808D1"/>
    <w:rsid w:val="00C80926"/>
    <w:rsid w:val="00C80AA6"/>
    <w:rsid w:val="00C80BBC"/>
    <w:rsid w:val="00C80C95"/>
    <w:rsid w:val="00C80CC4"/>
    <w:rsid w:val="00C81151"/>
    <w:rsid w:val="00C81323"/>
    <w:rsid w:val="00C813A1"/>
    <w:rsid w:val="00C813B9"/>
    <w:rsid w:val="00C81417"/>
    <w:rsid w:val="00C814D4"/>
    <w:rsid w:val="00C814FC"/>
    <w:rsid w:val="00C8152D"/>
    <w:rsid w:val="00C816E8"/>
    <w:rsid w:val="00C816F6"/>
    <w:rsid w:val="00C81775"/>
    <w:rsid w:val="00C81837"/>
    <w:rsid w:val="00C81979"/>
    <w:rsid w:val="00C819E2"/>
    <w:rsid w:val="00C81A00"/>
    <w:rsid w:val="00C81A10"/>
    <w:rsid w:val="00C81A3E"/>
    <w:rsid w:val="00C81A45"/>
    <w:rsid w:val="00C81ADA"/>
    <w:rsid w:val="00C81B0A"/>
    <w:rsid w:val="00C81DD4"/>
    <w:rsid w:val="00C81E1B"/>
    <w:rsid w:val="00C81F2D"/>
    <w:rsid w:val="00C81F62"/>
    <w:rsid w:val="00C82126"/>
    <w:rsid w:val="00C822A7"/>
    <w:rsid w:val="00C82301"/>
    <w:rsid w:val="00C82386"/>
    <w:rsid w:val="00C823F6"/>
    <w:rsid w:val="00C82481"/>
    <w:rsid w:val="00C824EA"/>
    <w:rsid w:val="00C82860"/>
    <w:rsid w:val="00C828D5"/>
    <w:rsid w:val="00C82A3C"/>
    <w:rsid w:val="00C82C46"/>
    <w:rsid w:val="00C82CD0"/>
    <w:rsid w:val="00C82CF0"/>
    <w:rsid w:val="00C82DB4"/>
    <w:rsid w:val="00C82F22"/>
    <w:rsid w:val="00C82FF0"/>
    <w:rsid w:val="00C8324B"/>
    <w:rsid w:val="00C8334C"/>
    <w:rsid w:val="00C833E6"/>
    <w:rsid w:val="00C8340B"/>
    <w:rsid w:val="00C834DD"/>
    <w:rsid w:val="00C834EF"/>
    <w:rsid w:val="00C8350D"/>
    <w:rsid w:val="00C83586"/>
    <w:rsid w:val="00C8370D"/>
    <w:rsid w:val="00C8393D"/>
    <w:rsid w:val="00C83985"/>
    <w:rsid w:val="00C83BFD"/>
    <w:rsid w:val="00C83C2B"/>
    <w:rsid w:val="00C83C4B"/>
    <w:rsid w:val="00C83F15"/>
    <w:rsid w:val="00C83F89"/>
    <w:rsid w:val="00C84039"/>
    <w:rsid w:val="00C84137"/>
    <w:rsid w:val="00C84277"/>
    <w:rsid w:val="00C8431B"/>
    <w:rsid w:val="00C84605"/>
    <w:rsid w:val="00C8467F"/>
    <w:rsid w:val="00C846ED"/>
    <w:rsid w:val="00C848F9"/>
    <w:rsid w:val="00C84947"/>
    <w:rsid w:val="00C849DE"/>
    <w:rsid w:val="00C84AF3"/>
    <w:rsid w:val="00C84B69"/>
    <w:rsid w:val="00C84CB4"/>
    <w:rsid w:val="00C8504B"/>
    <w:rsid w:val="00C85282"/>
    <w:rsid w:val="00C8547D"/>
    <w:rsid w:val="00C854B8"/>
    <w:rsid w:val="00C85514"/>
    <w:rsid w:val="00C85553"/>
    <w:rsid w:val="00C85773"/>
    <w:rsid w:val="00C85878"/>
    <w:rsid w:val="00C85C6B"/>
    <w:rsid w:val="00C862B7"/>
    <w:rsid w:val="00C86379"/>
    <w:rsid w:val="00C86390"/>
    <w:rsid w:val="00C863B6"/>
    <w:rsid w:val="00C864E2"/>
    <w:rsid w:val="00C86798"/>
    <w:rsid w:val="00C867EE"/>
    <w:rsid w:val="00C86810"/>
    <w:rsid w:val="00C8697F"/>
    <w:rsid w:val="00C86A5C"/>
    <w:rsid w:val="00C86BFE"/>
    <w:rsid w:val="00C86C43"/>
    <w:rsid w:val="00C86C51"/>
    <w:rsid w:val="00C86CBC"/>
    <w:rsid w:val="00C86CCB"/>
    <w:rsid w:val="00C86F85"/>
    <w:rsid w:val="00C87038"/>
    <w:rsid w:val="00C8709B"/>
    <w:rsid w:val="00C872AA"/>
    <w:rsid w:val="00C87371"/>
    <w:rsid w:val="00C873E3"/>
    <w:rsid w:val="00C874D5"/>
    <w:rsid w:val="00C874FF"/>
    <w:rsid w:val="00C876EE"/>
    <w:rsid w:val="00C877DE"/>
    <w:rsid w:val="00C8782A"/>
    <w:rsid w:val="00C87910"/>
    <w:rsid w:val="00C879E6"/>
    <w:rsid w:val="00C879E8"/>
    <w:rsid w:val="00C87C1C"/>
    <w:rsid w:val="00C87CF2"/>
    <w:rsid w:val="00C9003C"/>
    <w:rsid w:val="00C90102"/>
    <w:rsid w:val="00C90300"/>
    <w:rsid w:val="00C90326"/>
    <w:rsid w:val="00C90342"/>
    <w:rsid w:val="00C90442"/>
    <w:rsid w:val="00C9050A"/>
    <w:rsid w:val="00C905D8"/>
    <w:rsid w:val="00C90815"/>
    <w:rsid w:val="00C90898"/>
    <w:rsid w:val="00C90960"/>
    <w:rsid w:val="00C909BF"/>
    <w:rsid w:val="00C90A55"/>
    <w:rsid w:val="00C90C07"/>
    <w:rsid w:val="00C90C8D"/>
    <w:rsid w:val="00C90E04"/>
    <w:rsid w:val="00C90EC9"/>
    <w:rsid w:val="00C90F6E"/>
    <w:rsid w:val="00C910FF"/>
    <w:rsid w:val="00C91275"/>
    <w:rsid w:val="00C91374"/>
    <w:rsid w:val="00C91429"/>
    <w:rsid w:val="00C914CC"/>
    <w:rsid w:val="00C9165B"/>
    <w:rsid w:val="00C9166C"/>
    <w:rsid w:val="00C917FF"/>
    <w:rsid w:val="00C91AA6"/>
    <w:rsid w:val="00C91C73"/>
    <w:rsid w:val="00C91DF1"/>
    <w:rsid w:val="00C91EDB"/>
    <w:rsid w:val="00C91F36"/>
    <w:rsid w:val="00C91F61"/>
    <w:rsid w:val="00C91FE4"/>
    <w:rsid w:val="00C92049"/>
    <w:rsid w:val="00C92113"/>
    <w:rsid w:val="00C9211E"/>
    <w:rsid w:val="00C9215A"/>
    <w:rsid w:val="00C92225"/>
    <w:rsid w:val="00C9238D"/>
    <w:rsid w:val="00C924D7"/>
    <w:rsid w:val="00C92638"/>
    <w:rsid w:val="00C9281F"/>
    <w:rsid w:val="00C92835"/>
    <w:rsid w:val="00C92957"/>
    <w:rsid w:val="00C929D4"/>
    <w:rsid w:val="00C92A78"/>
    <w:rsid w:val="00C92A9A"/>
    <w:rsid w:val="00C92CBC"/>
    <w:rsid w:val="00C92D15"/>
    <w:rsid w:val="00C92DCE"/>
    <w:rsid w:val="00C92EAD"/>
    <w:rsid w:val="00C92F29"/>
    <w:rsid w:val="00C92FE1"/>
    <w:rsid w:val="00C93019"/>
    <w:rsid w:val="00C93228"/>
    <w:rsid w:val="00C9334D"/>
    <w:rsid w:val="00C93351"/>
    <w:rsid w:val="00C9349F"/>
    <w:rsid w:val="00C9359A"/>
    <w:rsid w:val="00C935EB"/>
    <w:rsid w:val="00C93662"/>
    <w:rsid w:val="00C936D8"/>
    <w:rsid w:val="00C93729"/>
    <w:rsid w:val="00C93764"/>
    <w:rsid w:val="00C938DC"/>
    <w:rsid w:val="00C93990"/>
    <w:rsid w:val="00C93D6B"/>
    <w:rsid w:val="00C93E04"/>
    <w:rsid w:val="00C94059"/>
    <w:rsid w:val="00C940FA"/>
    <w:rsid w:val="00C94153"/>
    <w:rsid w:val="00C94196"/>
    <w:rsid w:val="00C941D5"/>
    <w:rsid w:val="00C9445E"/>
    <w:rsid w:val="00C94471"/>
    <w:rsid w:val="00C94628"/>
    <w:rsid w:val="00C946B5"/>
    <w:rsid w:val="00C946F5"/>
    <w:rsid w:val="00C9480E"/>
    <w:rsid w:val="00C94810"/>
    <w:rsid w:val="00C948B4"/>
    <w:rsid w:val="00C9494D"/>
    <w:rsid w:val="00C949D4"/>
    <w:rsid w:val="00C94A3B"/>
    <w:rsid w:val="00C94B21"/>
    <w:rsid w:val="00C94B26"/>
    <w:rsid w:val="00C94B2C"/>
    <w:rsid w:val="00C94C8F"/>
    <w:rsid w:val="00C94CDA"/>
    <w:rsid w:val="00C94EB6"/>
    <w:rsid w:val="00C94F6B"/>
    <w:rsid w:val="00C94FA3"/>
    <w:rsid w:val="00C9509D"/>
    <w:rsid w:val="00C950DC"/>
    <w:rsid w:val="00C95287"/>
    <w:rsid w:val="00C95333"/>
    <w:rsid w:val="00C955AA"/>
    <w:rsid w:val="00C9575D"/>
    <w:rsid w:val="00C95938"/>
    <w:rsid w:val="00C9595C"/>
    <w:rsid w:val="00C959C6"/>
    <w:rsid w:val="00C95A6C"/>
    <w:rsid w:val="00C95BA4"/>
    <w:rsid w:val="00C95E51"/>
    <w:rsid w:val="00C95F52"/>
    <w:rsid w:val="00C962D3"/>
    <w:rsid w:val="00C9639A"/>
    <w:rsid w:val="00C963CF"/>
    <w:rsid w:val="00C9669B"/>
    <w:rsid w:val="00C9679E"/>
    <w:rsid w:val="00C967BF"/>
    <w:rsid w:val="00C96860"/>
    <w:rsid w:val="00C968AC"/>
    <w:rsid w:val="00C968F3"/>
    <w:rsid w:val="00C96990"/>
    <w:rsid w:val="00C96A42"/>
    <w:rsid w:val="00C96A89"/>
    <w:rsid w:val="00C96CA4"/>
    <w:rsid w:val="00C96CFE"/>
    <w:rsid w:val="00C96D82"/>
    <w:rsid w:val="00C96EEE"/>
    <w:rsid w:val="00C97069"/>
    <w:rsid w:val="00C97120"/>
    <w:rsid w:val="00C972C3"/>
    <w:rsid w:val="00C97325"/>
    <w:rsid w:val="00C97483"/>
    <w:rsid w:val="00C97656"/>
    <w:rsid w:val="00C976C5"/>
    <w:rsid w:val="00C9787E"/>
    <w:rsid w:val="00C97A14"/>
    <w:rsid w:val="00C97DF4"/>
    <w:rsid w:val="00C97EA4"/>
    <w:rsid w:val="00C97EF3"/>
    <w:rsid w:val="00CA0089"/>
    <w:rsid w:val="00CA01DB"/>
    <w:rsid w:val="00CA02A8"/>
    <w:rsid w:val="00CA0534"/>
    <w:rsid w:val="00CA0574"/>
    <w:rsid w:val="00CA05F3"/>
    <w:rsid w:val="00CA0666"/>
    <w:rsid w:val="00CA06EC"/>
    <w:rsid w:val="00CA06F8"/>
    <w:rsid w:val="00CA0784"/>
    <w:rsid w:val="00CA07FF"/>
    <w:rsid w:val="00CA09F2"/>
    <w:rsid w:val="00CA0A96"/>
    <w:rsid w:val="00CA0BFC"/>
    <w:rsid w:val="00CA0C39"/>
    <w:rsid w:val="00CA0C53"/>
    <w:rsid w:val="00CA0E1B"/>
    <w:rsid w:val="00CA0E86"/>
    <w:rsid w:val="00CA0EA1"/>
    <w:rsid w:val="00CA0F4B"/>
    <w:rsid w:val="00CA122B"/>
    <w:rsid w:val="00CA1257"/>
    <w:rsid w:val="00CA1481"/>
    <w:rsid w:val="00CA155C"/>
    <w:rsid w:val="00CA175D"/>
    <w:rsid w:val="00CA17D1"/>
    <w:rsid w:val="00CA17FF"/>
    <w:rsid w:val="00CA19F3"/>
    <w:rsid w:val="00CA1A45"/>
    <w:rsid w:val="00CA1A58"/>
    <w:rsid w:val="00CA1AFD"/>
    <w:rsid w:val="00CA1CF5"/>
    <w:rsid w:val="00CA1EF8"/>
    <w:rsid w:val="00CA23D5"/>
    <w:rsid w:val="00CA247B"/>
    <w:rsid w:val="00CA25C8"/>
    <w:rsid w:val="00CA2693"/>
    <w:rsid w:val="00CA272A"/>
    <w:rsid w:val="00CA296C"/>
    <w:rsid w:val="00CA2B02"/>
    <w:rsid w:val="00CA2BCE"/>
    <w:rsid w:val="00CA2C1A"/>
    <w:rsid w:val="00CA2CDF"/>
    <w:rsid w:val="00CA2D22"/>
    <w:rsid w:val="00CA2DF6"/>
    <w:rsid w:val="00CA3128"/>
    <w:rsid w:val="00CA3250"/>
    <w:rsid w:val="00CA329B"/>
    <w:rsid w:val="00CA3343"/>
    <w:rsid w:val="00CA39CB"/>
    <w:rsid w:val="00CA3AF5"/>
    <w:rsid w:val="00CA3C76"/>
    <w:rsid w:val="00CA3E56"/>
    <w:rsid w:val="00CA3F28"/>
    <w:rsid w:val="00CA40BD"/>
    <w:rsid w:val="00CA40FD"/>
    <w:rsid w:val="00CA4200"/>
    <w:rsid w:val="00CA426D"/>
    <w:rsid w:val="00CA42AD"/>
    <w:rsid w:val="00CA4398"/>
    <w:rsid w:val="00CA43C1"/>
    <w:rsid w:val="00CA43FA"/>
    <w:rsid w:val="00CA4520"/>
    <w:rsid w:val="00CA45FA"/>
    <w:rsid w:val="00CA467E"/>
    <w:rsid w:val="00CA4737"/>
    <w:rsid w:val="00CA47C5"/>
    <w:rsid w:val="00CA487A"/>
    <w:rsid w:val="00CA4B3C"/>
    <w:rsid w:val="00CA4B7D"/>
    <w:rsid w:val="00CA4BB9"/>
    <w:rsid w:val="00CA4C6B"/>
    <w:rsid w:val="00CA4DF2"/>
    <w:rsid w:val="00CA4E95"/>
    <w:rsid w:val="00CA4F08"/>
    <w:rsid w:val="00CA4F66"/>
    <w:rsid w:val="00CA4F8E"/>
    <w:rsid w:val="00CA4FA9"/>
    <w:rsid w:val="00CA4FAC"/>
    <w:rsid w:val="00CA4FE2"/>
    <w:rsid w:val="00CA5083"/>
    <w:rsid w:val="00CA5299"/>
    <w:rsid w:val="00CA5482"/>
    <w:rsid w:val="00CA5511"/>
    <w:rsid w:val="00CA5672"/>
    <w:rsid w:val="00CA567D"/>
    <w:rsid w:val="00CA56B3"/>
    <w:rsid w:val="00CA56BE"/>
    <w:rsid w:val="00CA56E7"/>
    <w:rsid w:val="00CA57D5"/>
    <w:rsid w:val="00CA57F6"/>
    <w:rsid w:val="00CA5829"/>
    <w:rsid w:val="00CA5894"/>
    <w:rsid w:val="00CA58F8"/>
    <w:rsid w:val="00CA5AE3"/>
    <w:rsid w:val="00CA5E94"/>
    <w:rsid w:val="00CA5EB1"/>
    <w:rsid w:val="00CA5ECE"/>
    <w:rsid w:val="00CA5F30"/>
    <w:rsid w:val="00CA5F8B"/>
    <w:rsid w:val="00CA6142"/>
    <w:rsid w:val="00CA61A9"/>
    <w:rsid w:val="00CA63BC"/>
    <w:rsid w:val="00CA6481"/>
    <w:rsid w:val="00CA64B5"/>
    <w:rsid w:val="00CA67D8"/>
    <w:rsid w:val="00CA67F7"/>
    <w:rsid w:val="00CA686A"/>
    <w:rsid w:val="00CA6985"/>
    <w:rsid w:val="00CA6A14"/>
    <w:rsid w:val="00CA6A22"/>
    <w:rsid w:val="00CA6A8A"/>
    <w:rsid w:val="00CA6B5C"/>
    <w:rsid w:val="00CA6B5D"/>
    <w:rsid w:val="00CA6B88"/>
    <w:rsid w:val="00CA6CC4"/>
    <w:rsid w:val="00CA6E5A"/>
    <w:rsid w:val="00CA6F56"/>
    <w:rsid w:val="00CA7039"/>
    <w:rsid w:val="00CA73CC"/>
    <w:rsid w:val="00CA750C"/>
    <w:rsid w:val="00CA7524"/>
    <w:rsid w:val="00CA7669"/>
    <w:rsid w:val="00CA7983"/>
    <w:rsid w:val="00CA7CB2"/>
    <w:rsid w:val="00CA7EC1"/>
    <w:rsid w:val="00CA7EFD"/>
    <w:rsid w:val="00CB0025"/>
    <w:rsid w:val="00CB0102"/>
    <w:rsid w:val="00CB0106"/>
    <w:rsid w:val="00CB014A"/>
    <w:rsid w:val="00CB0166"/>
    <w:rsid w:val="00CB025B"/>
    <w:rsid w:val="00CB02DF"/>
    <w:rsid w:val="00CB0348"/>
    <w:rsid w:val="00CB038D"/>
    <w:rsid w:val="00CB0733"/>
    <w:rsid w:val="00CB0780"/>
    <w:rsid w:val="00CB08D6"/>
    <w:rsid w:val="00CB08F5"/>
    <w:rsid w:val="00CB0C41"/>
    <w:rsid w:val="00CB0C55"/>
    <w:rsid w:val="00CB0CAF"/>
    <w:rsid w:val="00CB0CB8"/>
    <w:rsid w:val="00CB0DA1"/>
    <w:rsid w:val="00CB0DAC"/>
    <w:rsid w:val="00CB0DC9"/>
    <w:rsid w:val="00CB0E64"/>
    <w:rsid w:val="00CB0F6B"/>
    <w:rsid w:val="00CB0F89"/>
    <w:rsid w:val="00CB103D"/>
    <w:rsid w:val="00CB1151"/>
    <w:rsid w:val="00CB117D"/>
    <w:rsid w:val="00CB1194"/>
    <w:rsid w:val="00CB1262"/>
    <w:rsid w:val="00CB1274"/>
    <w:rsid w:val="00CB132C"/>
    <w:rsid w:val="00CB13CE"/>
    <w:rsid w:val="00CB1558"/>
    <w:rsid w:val="00CB1605"/>
    <w:rsid w:val="00CB1727"/>
    <w:rsid w:val="00CB172D"/>
    <w:rsid w:val="00CB1755"/>
    <w:rsid w:val="00CB178B"/>
    <w:rsid w:val="00CB1855"/>
    <w:rsid w:val="00CB18F0"/>
    <w:rsid w:val="00CB19E6"/>
    <w:rsid w:val="00CB1AA0"/>
    <w:rsid w:val="00CB1B65"/>
    <w:rsid w:val="00CB1B7B"/>
    <w:rsid w:val="00CB1CF1"/>
    <w:rsid w:val="00CB1D25"/>
    <w:rsid w:val="00CB1DA0"/>
    <w:rsid w:val="00CB1E14"/>
    <w:rsid w:val="00CB1E62"/>
    <w:rsid w:val="00CB207A"/>
    <w:rsid w:val="00CB20B9"/>
    <w:rsid w:val="00CB223D"/>
    <w:rsid w:val="00CB24A6"/>
    <w:rsid w:val="00CB26E9"/>
    <w:rsid w:val="00CB281A"/>
    <w:rsid w:val="00CB282E"/>
    <w:rsid w:val="00CB282F"/>
    <w:rsid w:val="00CB2896"/>
    <w:rsid w:val="00CB28D8"/>
    <w:rsid w:val="00CB290A"/>
    <w:rsid w:val="00CB2A1C"/>
    <w:rsid w:val="00CB2A80"/>
    <w:rsid w:val="00CB2AA4"/>
    <w:rsid w:val="00CB2B06"/>
    <w:rsid w:val="00CB2B79"/>
    <w:rsid w:val="00CB2C6C"/>
    <w:rsid w:val="00CB2CED"/>
    <w:rsid w:val="00CB2D98"/>
    <w:rsid w:val="00CB3326"/>
    <w:rsid w:val="00CB3334"/>
    <w:rsid w:val="00CB33DA"/>
    <w:rsid w:val="00CB3418"/>
    <w:rsid w:val="00CB34AB"/>
    <w:rsid w:val="00CB372A"/>
    <w:rsid w:val="00CB3807"/>
    <w:rsid w:val="00CB388D"/>
    <w:rsid w:val="00CB38BC"/>
    <w:rsid w:val="00CB3B75"/>
    <w:rsid w:val="00CB3D30"/>
    <w:rsid w:val="00CB3E10"/>
    <w:rsid w:val="00CB3E4C"/>
    <w:rsid w:val="00CB3EDC"/>
    <w:rsid w:val="00CB3F46"/>
    <w:rsid w:val="00CB3F8D"/>
    <w:rsid w:val="00CB40B6"/>
    <w:rsid w:val="00CB42F4"/>
    <w:rsid w:val="00CB4387"/>
    <w:rsid w:val="00CB43F6"/>
    <w:rsid w:val="00CB4438"/>
    <w:rsid w:val="00CB450A"/>
    <w:rsid w:val="00CB4533"/>
    <w:rsid w:val="00CB4622"/>
    <w:rsid w:val="00CB475D"/>
    <w:rsid w:val="00CB4A1C"/>
    <w:rsid w:val="00CB4A68"/>
    <w:rsid w:val="00CB4C37"/>
    <w:rsid w:val="00CB4CD3"/>
    <w:rsid w:val="00CB4D35"/>
    <w:rsid w:val="00CB4E71"/>
    <w:rsid w:val="00CB4F40"/>
    <w:rsid w:val="00CB50E8"/>
    <w:rsid w:val="00CB5155"/>
    <w:rsid w:val="00CB5188"/>
    <w:rsid w:val="00CB5190"/>
    <w:rsid w:val="00CB52C1"/>
    <w:rsid w:val="00CB531C"/>
    <w:rsid w:val="00CB541D"/>
    <w:rsid w:val="00CB5579"/>
    <w:rsid w:val="00CB5582"/>
    <w:rsid w:val="00CB5731"/>
    <w:rsid w:val="00CB576D"/>
    <w:rsid w:val="00CB5924"/>
    <w:rsid w:val="00CB596A"/>
    <w:rsid w:val="00CB5B7A"/>
    <w:rsid w:val="00CB5F09"/>
    <w:rsid w:val="00CB607A"/>
    <w:rsid w:val="00CB6141"/>
    <w:rsid w:val="00CB6161"/>
    <w:rsid w:val="00CB62B3"/>
    <w:rsid w:val="00CB640B"/>
    <w:rsid w:val="00CB672D"/>
    <w:rsid w:val="00CB67D5"/>
    <w:rsid w:val="00CB6800"/>
    <w:rsid w:val="00CB69E7"/>
    <w:rsid w:val="00CB6ACE"/>
    <w:rsid w:val="00CB6B16"/>
    <w:rsid w:val="00CB6B51"/>
    <w:rsid w:val="00CB6C36"/>
    <w:rsid w:val="00CB6C3F"/>
    <w:rsid w:val="00CB6CBE"/>
    <w:rsid w:val="00CB6CC6"/>
    <w:rsid w:val="00CB6D8F"/>
    <w:rsid w:val="00CB6D9C"/>
    <w:rsid w:val="00CB6D9E"/>
    <w:rsid w:val="00CB6E06"/>
    <w:rsid w:val="00CB6F39"/>
    <w:rsid w:val="00CB6FDD"/>
    <w:rsid w:val="00CB7030"/>
    <w:rsid w:val="00CB7310"/>
    <w:rsid w:val="00CB7350"/>
    <w:rsid w:val="00CB7473"/>
    <w:rsid w:val="00CB74AF"/>
    <w:rsid w:val="00CB74F6"/>
    <w:rsid w:val="00CB7954"/>
    <w:rsid w:val="00CB7B17"/>
    <w:rsid w:val="00CB7BCA"/>
    <w:rsid w:val="00CB7D5C"/>
    <w:rsid w:val="00CB7DAA"/>
    <w:rsid w:val="00CB7DF2"/>
    <w:rsid w:val="00CC0053"/>
    <w:rsid w:val="00CC00B1"/>
    <w:rsid w:val="00CC0168"/>
    <w:rsid w:val="00CC0258"/>
    <w:rsid w:val="00CC025B"/>
    <w:rsid w:val="00CC02D6"/>
    <w:rsid w:val="00CC052F"/>
    <w:rsid w:val="00CC05CF"/>
    <w:rsid w:val="00CC0660"/>
    <w:rsid w:val="00CC06FD"/>
    <w:rsid w:val="00CC07B0"/>
    <w:rsid w:val="00CC0940"/>
    <w:rsid w:val="00CC09C7"/>
    <w:rsid w:val="00CC0BBA"/>
    <w:rsid w:val="00CC0BF5"/>
    <w:rsid w:val="00CC0C18"/>
    <w:rsid w:val="00CC0DB3"/>
    <w:rsid w:val="00CC0F42"/>
    <w:rsid w:val="00CC11C4"/>
    <w:rsid w:val="00CC16C2"/>
    <w:rsid w:val="00CC17B6"/>
    <w:rsid w:val="00CC17D3"/>
    <w:rsid w:val="00CC17E8"/>
    <w:rsid w:val="00CC1A88"/>
    <w:rsid w:val="00CC1D3A"/>
    <w:rsid w:val="00CC1F72"/>
    <w:rsid w:val="00CC1F94"/>
    <w:rsid w:val="00CC2144"/>
    <w:rsid w:val="00CC2361"/>
    <w:rsid w:val="00CC2399"/>
    <w:rsid w:val="00CC25FA"/>
    <w:rsid w:val="00CC260D"/>
    <w:rsid w:val="00CC26EE"/>
    <w:rsid w:val="00CC2776"/>
    <w:rsid w:val="00CC2827"/>
    <w:rsid w:val="00CC2962"/>
    <w:rsid w:val="00CC29D4"/>
    <w:rsid w:val="00CC2A7D"/>
    <w:rsid w:val="00CC2C88"/>
    <w:rsid w:val="00CC2DB9"/>
    <w:rsid w:val="00CC315A"/>
    <w:rsid w:val="00CC3224"/>
    <w:rsid w:val="00CC338B"/>
    <w:rsid w:val="00CC33A0"/>
    <w:rsid w:val="00CC33B8"/>
    <w:rsid w:val="00CC346D"/>
    <w:rsid w:val="00CC3528"/>
    <w:rsid w:val="00CC3550"/>
    <w:rsid w:val="00CC3634"/>
    <w:rsid w:val="00CC365A"/>
    <w:rsid w:val="00CC3765"/>
    <w:rsid w:val="00CC37C0"/>
    <w:rsid w:val="00CC3866"/>
    <w:rsid w:val="00CC3895"/>
    <w:rsid w:val="00CC3921"/>
    <w:rsid w:val="00CC399F"/>
    <w:rsid w:val="00CC3C26"/>
    <w:rsid w:val="00CC3E3F"/>
    <w:rsid w:val="00CC41DB"/>
    <w:rsid w:val="00CC443D"/>
    <w:rsid w:val="00CC44F6"/>
    <w:rsid w:val="00CC47CC"/>
    <w:rsid w:val="00CC4965"/>
    <w:rsid w:val="00CC497C"/>
    <w:rsid w:val="00CC49AC"/>
    <w:rsid w:val="00CC4AFB"/>
    <w:rsid w:val="00CC4B75"/>
    <w:rsid w:val="00CC4BA3"/>
    <w:rsid w:val="00CC4C99"/>
    <w:rsid w:val="00CC4EB0"/>
    <w:rsid w:val="00CC5316"/>
    <w:rsid w:val="00CC547C"/>
    <w:rsid w:val="00CC559A"/>
    <w:rsid w:val="00CC5663"/>
    <w:rsid w:val="00CC576A"/>
    <w:rsid w:val="00CC580E"/>
    <w:rsid w:val="00CC58BD"/>
    <w:rsid w:val="00CC5A48"/>
    <w:rsid w:val="00CC5AE4"/>
    <w:rsid w:val="00CC5B39"/>
    <w:rsid w:val="00CC5C37"/>
    <w:rsid w:val="00CC5C41"/>
    <w:rsid w:val="00CC5CA1"/>
    <w:rsid w:val="00CC5CF4"/>
    <w:rsid w:val="00CC5D57"/>
    <w:rsid w:val="00CC5DDB"/>
    <w:rsid w:val="00CC6245"/>
    <w:rsid w:val="00CC62BC"/>
    <w:rsid w:val="00CC6441"/>
    <w:rsid w:val="00CC6582"/>
    <w:rsid w:val="00CC65CB"/>
    <w:rsid w:val="00CC6684"/>
    <w:rsid w:val="00CC678B"/>
    <w:rsid w:val="00CC6970"/>
    <w:rsid w:val="00CC69BC"/>
    <w:rsid w:val="00CC6A64"/>
    <w:rsid w:val="00CC6AE1"/>
    <w:rsid w:val="00CC6AEE"/>
    <w:rsid w:val="00CC6C5E"/>
    <w:rsid w:val="00CC6D3E"/>
    <w:rsid w:val="00CC6D57"/>
    <w:rsid w:val="00CC6D98"/>
    <w:rsid w:val="00CC6DF1"/>
    <w:rsid w:val="00CC6EF5"/>
    <w:rsid w:val="00CC74BD"/>
    <w:rsid w:val="00CC75C8"/>
    <w:rsid w:val="00CC786B"/>
    <w:rsid w:val="00CC78A1"/>
    <w:rsid w:val="00CC7983"/>
    <w:rsid w:val="00CC79AB"/>
    <w:rsid w:val="00CC79AD"/>
    <w:rsid w:val="00CC7A8E"/>
    <w:rsid w:val="00CC7AD6"/>
    <w:rsid w:val="00CC7CE4"/>
    <w:rsid w:val="00CC7DDE"/>
    <w:rsid w:val="00CC7F31"/>
    <w:rsid w:val="00CD0027"/>
    <w:rsid w:val="00CD00A6"/>
    <w:rsid w:val="00CD02D5"/>
    <w:rsid w:val="00CD0459"/>
    <w:rsid w:val="00CD0476"/>
    <w:rsid w:val="00CD0487"/>
    <w:rsid w:val="00CD0488"/>
    <w:rsid w:val="00CD07B2"/>
    <w:rsid w:val="00CD081F"/>
    <w:rsid w:val="00CD08F0"/>
    <w:rsid w:val="00CD0A58"/>
    <w:rsid w:val="00CD0B32"/>
    <w:rsid w:val="00CD0BEB"/>
    <w:rsid w:val="00CD0C47"/>
    <w:rsid w:val="00CD0CF6"/>
    <w:rsid w:val="00CD0DEA"/>
    <w:rsid w:val="00CD0EFB"/>
    <w:rsid w:val="00CD108C"/>
    <w:rsid w:val="00CD117C"/>
    <w:rsid w:val="00CD1379"/>
    <w:rsid w:val="00CD1432"/>
    <w:rsid w:val="00CD14DA"/>
    <w:rsid w:val="00CD1791"/>
    <w:rsid w:val="00CD1815"/>
    <w:rsid w:val="00CD19F2"/>
    <w:rsid w:val="00CD1A15"/>
    <w:rsid w:val="00CD1A4A"/>
    <w:rsid w:val="00CD1AE1"/>
    <w:rsid w:val="00CD1BFB"/>
    <w:rsid w:val="00CD1C67"/>
    <w:rsid w:val="00CD1C92"/>
    <w:rsid w:val="00CD1DBC"/>
    <w:rsid w:val="00CD1F14"/>
    <w:rsid w:val="00CD21E8"/>
    <w:rsid w:val="00CD2203"/>
    <w:rsid w:val="00CD270A"/>
    <w:rsid w:val="00CD27F8"/>
    <w:rsid w:val="00CD283A"/>
    <w:rsid w:val="00CD295B"/>
    <w:rsid w:val="00CD29C9"/>
    <w:rsid w:val="00CD2A1F"/>
    <w:rsid w:val="00CD2A6B"/>
    <w:rsid w:val="00CD2A9E"/>
    <w:rsid w:val="00CD2AAE"/>
    <w:rsid w:val="00CD2AFC"/>
    <w:rsid w:val="00CD2AFD"/>
    <w:rsid w:val="00CD2E86"/>
    <w:rsid w:val="00CD3067"/>
    <w:rsid w:val="00CD3112"/>
    <w:rsid w:val="00CD3283"/>
    <w:rsid w:val="00CD3316"/>
    <w:rsid w:val="00CD339A"/>
    <w:rsid w:val="00CD348B"/>
    <w:rsid w:val="00CD3609"/>
    <w:rsid w:val="00CD36C3"/>
    <w:rsid w:val="00CD370E"/>
    <w:rsid w:val="00CD375D"/>
    <w:rsid w:val="00CD37F8"/>
    <w:rsid w:val="00CD3B4C"/>
    <w:rsid w:val="00CD3B98"/>
    <w:rsid w:val="00CD3E48"/>
    <w:rsid w:val="00CD3EA0"/>
    <w:rsid w:val="00CD3F18"/>
    <w:rsid w:val="00CD40CC"/>
    <w:rsid w:val="00CD40D0"/>
    <w:rsid w:val="00CD40E4"/>
    <w:rsid w:val="00CD43FB"/>
    <w:rsid w:val="00CD443C"/>
    <w:rsid w:val="00CD4552"/>
    <w:rsid w:val="00CD4647"/>
    <w:rsid w:val="00CD4737"/>
    <w:rsid w:val="00CD4744"/>
    <w:rsid w:val="00CD4A70"/>
    <w:rsid w:val="00CD4AFB"/>
    <w:rsid w:val="00CD4B45"/>
    <w:rsid w:val="00CD4CC9"/>
    <w:rsid w:val="00CD4D39"/>
    <w:rsid w:val="00CD4ECD"/>
    <w:rsid w:val="00CD4EE6"/>
    <w:rsid w:val="00CD4F1B"/>
    <w:rsid w:val="00CD500A"/>
    <w:rsid w:val="00CD514E"/>
    <w:rsid w:val="00CD5262"/>
    <w:rsid w:val="00CD5384"/>
    <w:rsid w:val="00CD5413"/>
    <w:rsid w:val="00CD558C"/>
    <w:rsid w:val="00CD5610"/>
    <w:rsid w:val="00CD5707"/>
    <w:rsid w:val="00CD5735"/>
    <w:rsid w:val="00CD5814"/>
    <w:rsid w:val="00CD5822"/>
    <w:rsid w:val="00CD5A81"/>
    <w:rsid w:val="00CD5CB1"/>
    <w:rsid w:val="00CD5ED8"/>
    <w:rsid w:val="00CD607F"/>
    <w:rsid w:val="00CD6092"/>
    <w:rsid w:val="00CD60F6"/>
    <w:rsid w:val="00CD61E7"/>
    <w:rsid w:val="00CD626B"/>
    <w:rsid w:val="00CD6270"/>
    <w:rsid w:val="00CD62E4"/>
    <w:rsid w:val="00CD6510"/>
    <w:rsid w:val="00CD6860"/>
    <w:rsid w:val="00CD695E"/>
    <w:rsid w:val="00CD6968"/>
    <w:rsid w:val="00CD6AB4"/>
    <w:rsid w:val="00CD6B61"/>
    <w:rsid w:val="00CD6D8B"/>
    <w:rsid w:val="00CD6DED"/>
    <w:rsid w:val="00CD6F52"/>
    <w:rsid w:val="00CD71AB"/>
    <w:rsid w:val="00CD7208"/>
    <w:rsid w:val="00CD731C"/>
    <w:rsid w:val="00CD73FA"/>
    <w:rsid w:val="00CD74A4"/>
    <w:rsid w:val="00CD74C2"/>
    <w:rsid w:val="00CD74DA"/>
    <w:rsid w:val="00CD75FA"/>
    <w:rsid w:val="00CD76A8"/>
    <w:rsid w:val="00CD7B7C"/>
    <w:rsid w:val="00CD7BFF"/>
    <w:rsid w:val="00CD7CC2"/>
    <w:rsid w:val="00CD7D9E"/>
    <w:rsid w:val="00CD7E52"/>
    <w:rsid w:val="00CD7F50"/>
    <w:rsid w:val="00CD7FE7"/>
    <w:rsid w:val="00CE0019"/>
    <w:rsid w:val="00CE00BE"/>
    <w:rsid w:val="00CE01BB"/>
    <w:rsid w:val="00CE0492"/>
    <w:rsid w:val="00CE0531"/>
    <w:rsid w:val="00CE06EB"/>
    <w:rsid w:val="00CE0720"/>
    <w:rsid w:val="00CE098F"/>
    <w:rsid w:val="00CE0A69"/>
    <w:rsid w:val="00CE0BAD"/>
    <w:rsid w:val="00CE0BD7"/>
    <w:rsid w:val="00CE0F50"/>
    <w:rsid w:val="00CE10EC"/>
    <w:rsid w:val="00CE13A6"/>
    <w:rsid w:val="00CE1416"/>
    <w:rsid w:val="00CE146C"/>
    <w:rsid w:val="00CE1480"/>
    <w:rsid w:val="00CE14C4"/>
    <w:rsid w:val="00CE1521"/>
    <w:rsid w:val="00CE1801"/>
    <w:rsid w:val="00CE1898"/>
    <w:rsid w:val="00CE1989"/>
    <w:rsid w:val="00CE1A5E"/>
    <w:rsid w:val="00CE1A8F"/>
    <w:rsid w:val="00CE1AAF"/>
    <w:rsid w:val="00CE1BCC"/>
    <w:rsid w:val="00CE1BE1"/>
    <w:rsid w:val="00CE1C6D"/>
    <w:rsid w:val="00CE1D3B"/>
    <w:rsid w:val="00CE1D48"/>
    <w:rsid w:val="00CE1EA9"/>
    <w:rsid w:val="00CE1F10"/>
    <w:rsid w:val="00CE21B7"/>
    <w:rsid w:val="00CE25CF"/>
    <w:rsid w:val="00CE2641"/>
    <w:rsid w:val="00CE26E9"/>
    <w:rsid w:val="00CE2707"/>
    <w:rsid w:val="00CE2753"/>
    <w:rsid w:val="00CE27AF"/>
    <w:rsid w:val="00CE2822"/>
    <w:rsid w:val="00CE2893"/>
    <w:rsid w:val="00CE28A2"/>
    <w:rsid w:val="00CE295F"/>
    <w:rsid w:val="00CE2B0F"/>
    <w:rsid w:val="00CE3158"/>
    <w:rsid w:val="00CE3172"/>
    <w:rsid w:val="00CE318B"/>
    <w:rsid w:val="00CE31FE"/>
    <w:rsid w:val="00CE333D"/>
    <w:rsid w:val="00CE33C9"/>
    <w:rsid w:val="00CE3427"/>
    <w:rsid w:val="00CE347C"/>
    <w:rsid w:val="00CE34C3"/>
    <w:rsid w:val="00CE35EE"/>
    <w:rsid w:val="00CE365A"/>
    <w:rsid w:val="00CE3705"/>
    <w:rsid w:val="00CE385B"/>
    <w:rsid w:val="00CE38C8"/>
    <w:rsid w:val="00CE392F"/>
    <w:rsid w:val="00CE3A55"/>
    <w:rsid w:val="00CE3DDB"/>
    <w:rsid w:val="00CE3F74"/>
    <w:rsid w:val="00CE3F9A"/>
    <w:rsid w:val="00CE3FF0"/>
    <w:rsid w:val="00CE40AA"/>
    <w:rsid w:val="00CE40E2"/>
    <w:rsid w:val="00CE419E"/>
    <w:rsid w:val="00CE42CB"/>
    <w:rsid w:val="00CE42CF"/>
    <w:rsid w:val="00CE4362"/>
    <w:rsid w:val="00CE4660"/>
    <w:rsid w:val="00CE46EF"/>
    <w:rsid w:val="00CE4788"/>
    <w:rsid w:val="00CE49C2"/>
    <w:rsid w:val="00CE4A95"/>
    <w:rsid w:val="00CE4CAC"/>
    <w:rsid w:val="00CE5046"/>
    <w:rsid w:val="00CE5324"/>
    <w:rsid w:val="00CE5424"/>
    <w:rsid w:val="00CE5444"/>
    <w:rsid w:val="00CE54E8"/>
    <w:rsid w:val="00CE5700"/>
    <w:rsid w:val="00CE5747"/>
    <w:rsid w:val="00CE577C"/>
    <w:rsid w:val="00CE589D"/>
    <w:rsid w:val="00CE59DB"/>
    <w:rsid w:val="00CE5A4A"/>
    <w:rsid w:val="00CE5C9D"/>
    <w:rsid w:val="00CE5D6E"/>
    <w:rsid w:val="00CE6057"/>
    <w:rsid w:val="00CE6129"/>
    <w:rsid w:val="00CE617E"/>
    <w:rsid w:val="00CE618B"/>
    <w:rsid w:val="00CE63B8"/>
    <w:rsid w:val="00CE6464"/>
    <w:rsid w:val="00CE6480"/>
    <w:rsid w:val="00CE6872"/>
    <w:rsid w:val="00CE698A"/>
    <w:rsid w:val="00CE6B74"/>
    <w:rsid w:val="00CE6D54"/>
    <w:rsid w:val="00CE6D7C"/>
    <w:rsid w:val="00CE6F0F"/>
    <w:rsid w:val="00CE6F53"/>
    <w:rsid w:val="00CE6F72"/>
    <w:rsid w:val="00CE6F9F"/>
    <w:rsid w:val="00CE7149"/>
    <w:rsid w:val="00CE7188"/>
    <w:rsid w:val="00CE7232"/>
    <w:rsid w:val="00CE729E"/>
    <w:rsid w:val="00CE737E"/>
    <w:rsid w:val="00CE7435"/>
    <w:rsid w:val="00CE7442"/>
    <w:rsid w:val="00CE7593"/>
    <w:rsid w:val="00CE7624"/>
    <w:rsid w:val="00CE77D8"/>
    <w:rsid w:val="00CE7EA6"/>
    <w:rsid w:val="00CE7EC4"/>
    <w:rsid w:val="00CE7EFA"/>
    <w:rsid w:val="00CE7FAB"/>
    <w:rsid w:val="00CF0032"/>
    <w:rsid w:val="00CF00F0"/>
    <w:rsid w:val="00CF01B3"/>
    <w:rsid w:val="00CF024A"/>
    <w:rsid w:val="00CF02A9"/>
    <w:rsid w:val="00CF040F"/>
    <w:rsid w:val="00CF0463"/>
    <w:rsid w:val="00CF05DB"/>
    <w:rsid w:val="00CF0661"/>
    <w:rsid w:val="00CF083A"/>
    <w:rsid w:val="00CF098A"/>
    <w:rsid w:val="00CF0A28"/>
    <w:rsid w:val="00CF0C94"/>
    <w:rsid w:val="00CF0DC0"/>
    <w:rsid w:val="00CF0E25"/>
    <w:rsid w:val="00CF0E80"/>
    <w:rsid w:val="00CF0F73"/>
    <w:rsid w:val="00CF1007"/>
    <w:rsid w:val="00CF1041"/>
    <w:rsid w:val="00CF11AA"/>
    <w:rsid w:val="00CF13B0"/>
    <w:rsid w:val="00CF13C7"/>
    <w:rsid w:val="00CF1A55"/>
    <w:rsid w:val="00CF1B54"/>
    <w:rsid w:val="00CF1B55"/>
    <w:rsid w:val="00CF1B85"/>
    <w:rsid w:val="00CF1D76"/>
    <w:rsid w:val="00CF1D92"/>
    <w:rsid w:val="00CF21D7"/>
    <w:rsid w:val="00CF2274"/>
    <w:rsid w:val="00CF252B"/>
    <w:rsid w:val="00CF2591"/>
    <w:rsid w:val="00CF26EC"/>
    <w:rsid w:val="00CF2793"/>
    <w:rsid w:val="00CF28A5"/>
    <w:rsid w:val="00CF29C6"/>
    <w:rsid w:val="00CF2B66"/>
    <w:rsid w:val="00CF2B91"/>
    <w:rsid w:val="00CF2BE6"/>
    <w:rsid w:val="00CF2CC4"/>
    <w:rsid w:val="00CF2D17"/>
    <w:rsid w:val="00CF2D58"/>
    <w:rsid w:val="00CF2E50"/>
    <w:rsid w:val="00CF2FE0"/>
    <w:rsid w:val="00CF3031"/>
    <w:rsid w:val="00CF30FE"/>
    <w:rsid w:val="00CF313D"/>
    <w:rsid w:val="00CF31C3"/>
    <w:rsid w:val="00CF31CB"/>
    <w:rsid w:val="00CF34CF"/>
    <w:rsid w:val="00CF361B"/>
    <w:rsid w:val="00CF363D"/>
    <w:rsid w:val="00CF3688"/>
    <w:rsid w:val="00CF3802"/>
    <w:rsid w:val="00CF38E1"/>
    <w:rsid w:val="00CF38E5"/>
    <w:rsid w:val="00CF38ED"/>
    <w:rsid w:val="00CF38F9"/>
    <w:rsid w:val="00CF3928"/>
    <w:rsid w:val="00CF399E"/>
    <w:rsid w:val="00CF3B00"/>
    <w:rsid w:val="00CF3B28"/>
    <w:rsid w:val="00CF3B4C"/>
    <w:rsid w:val="00CF3E4E"/>
    <w:rsid w:val="00CF3ED1"/>
    <w:rsid w:val="00CF4059"/>
    <w:rsid w:val="00CF40C6"/>
    <w:rsid w:val="00CF410B"/>
    <w:rsid w:val="00CF421A"/>
    <w:rsid w:val="00CF4221"/>
    <w:rsid w:val="00CF42B4"/>
    <w:rsid w:val="00CF457A"/>
    <w:rsid w:val="00CF4588"/>
    <w:rsid w:val="00CF46FB"/>
    <w:rsid w:val="00CF47FA"/>
    <w:rsid w:val="00CF4B75"/>
    <w:rsid w:val="00CF4CCE"/>
    <w:rsid w:val="00CF4E68"/>
    <w:rsid w:val="00CF4E99"/>
    <w:rsid w:val="00CF50CD"/>
    <w:rsid w:val="00CF5251"/>
    <w:rsid w:val="00CF5394"/>
    <w:rsid w:val="00CF544A"/>
    <w:rsid w:val="00CF54A7"/>
    <w:rsid w:val="00CF5769"/>
    <w:rsid w:val="00CF5789"/>
    <w:rsid w:val="00CF57AE"/>
    <w:rsid w:val="00CF5979"/>
    <w:rsid w:val="00CF59F4"/>
    <w:rsid w:val="00CF5A75"/>
    <w:rsid w:val="00CF5AB2"/>
    <w:rsid w:val="00CF5FCB"/>
    <w:rsid w:val="00CF613C"/>
    <w:rsid w:val="00CF61CC"/>
    <w:rsid w:val="00CF6203"/>
    <w:rsid w:val="00CF621C"/>
    <w:rsid w:val="00CF631F"/>
    <w:rsid w:val="00CF646B"/>
    <w:rsid w:val="00CF65BD"/>
    <w:rsid w:val="00CF65CE"/>
    <w:rsid w:val="00CF6647"/>
    <w:rsid w:val="00CF6686"/>
    <w:rsid w:val="00CF6844"/>
    <w:rsid w:val="00CF69F2"/>
    <w:rsid w:val="00CF69F4"/>
    <w:rsid w:val="00CF6BBB"/>
    <w:rsid w:val="00CF6C78"/>
    <w:rsid w:val="00CF6E1A"/>
    <w:rsid w:val="00CF6E8B"/>
    <w:rsid w:val="00CF6EB9"/>
    <w:rsid w:val="00CF6F5C"/>
    <w:rsid w:val="00CF70FC"/>
    <w:rsid w:val="00CF7163"/>
    <w:rsid w:val="00CF71D9"/>
    <w:rsid w:val="00CF71DE"/>
    <w:rsid w:val="00CF71E6"/>
    <w:rsid w:val="00CF71EE"/>
    <w:rsid w:val="00CF7388"/>
    <w:rsid w:val="00CF73B8"/>
    <w:rsid w:val="00CF74A1"/>
    <w:rsid w:val="00CF76C4"/>
    <w:rsid w:val="00CF7819"/>
    <w:rsid w:val="00CF783B"/>
    <w:rsid w:val="00CF7A24"/>
    <w:rsid w:val="00CF7A58"/>
    <w:rsid w:val="00CF7ACF"/>
    <w:rsid w:val="00CF7BA0"/>
    <w:rsid w:val="00CF7BEA"/>
    <w:rsid w:val="00CF7C5C"/>
    <w:rsid w:val="00CF7CFE"/>
    <w:rsid w:val="00CF7DC3"/>
    <w:rsid w:val="00CF7DDF"/>
    <w:rsid w:val="00CF7F8C"/>
    <w:rsid w:val="00CF7FC7"/>
    <w:rsid w:val="00D0004A"/>
    <w:rsid w:val="00D00187"/>
    <w:rsid w:val="00D00341"/>
    <w:rsid w:val="00D00494"/>
    <w:rsid w:val="00D004A1"/>
    <w:rsid w:val="00D006B5"/>
    <w:rsid w:val="00D0071E"/>
    <w:rsid w:val="00D007A9"/>
    <w:rsid w:val="00D007B1"/>
    <w:rsid w:val="00D00828"/>
    <w:rsid w:val="00D00A52"/>
    <w:rsid w:val="00D00B36"/>
    <w:rsid w:val="00D00B67"/>
    <w:rsid w:val="00D00BCF"/>
    <w:rsid w:val="00D00CA2"/>
    <w:rsid w:val="00D00F4A"/>
    <w:rsid w:val="00D00FE8"/>
    <w:rsid w:val="00D0114E"/>
    <w:rsid w:val="00D0119B"/>
    <w:rsid w:val="00D011C7"/>
    <w:rsid w:val="00D01317"/>
    <w:rsid w:val="00D01413"/>
    <w:rsid w:val="00D01516"/>
    <w:rsid w:val="00D01537"/>
    <w:rsid w:val="00D016E8"/>
    <w:rsid w:val="00D01876"/>
    <w:rsid w:val="00D01910"/>
    <w:rsid w:val="00D0195A"/>
    <w:rsid w:val="00D019D1"/>
    <w:rsid w:val="00D01B5F"/>
    <w:rsid w:val="00D01BB6"/>
    <w:rsid w:val="00D01D9A"/>
    <w:rsid w:val="00D01F62"/>
    <w:rsid w:val="00D01F6C"/>
    <w:rsid w:val="00D01F94"/>
    <w:rsid w:val="00D02268"/>
    <w:rsid w:val="00D02489"/>
    <w:rsid w:val="00D024B7"/>
    <w:rsid w:val="00D0291D"/>
    <w:rsid w:val="00D02934"/>
    <w:rsid w:val="00D02A93"/>
    <w:rsid w:val="00D02B42"/>
    <w:rsid w:val="00D02B68"/>
    <w:rsid w:val="00D02B9E"/>
    <w:rsid w:val="00D02E79"/>
    <w:rsid w:val="00D02F2D"/>
    <w:rsid w:val="00D02F86"/>
    <w:rsid w:val="00D031AF"/>
    <w:rsid w:val="00D031C5"/>
    <w:rsid w:val="00D031E6"/>
    <w:rsid w:val="00D031ED"/>
    <w:rsid w:val="00D032F1"/>
    <w:rsid w:val="00D03545"/>
    <w:rsid w:val="00D035B1"/>
    <w:rsid w:val="00D036B2"/>
    <w:rsid w:val="00D03753"/>
    <w:rsid w:val="00D0375B"/>
    <w:rsid w:val="00D03838"/>
    <w:rsid w:val="00D03971"/>
    <w:rsid w:val="00D03A87"/>
    <w:rsid w:val="00D03BE1"/>
    <w:rsid w:val="00D03FDE"/>
    <w:rsid w:val="00D04190"/>
    <w:rsid w:val="00D041DC"/>
    <w:rsid w:val="00D04260"/>
    <w:rsid w:val="00D0429C"/>
    <w:rsid w:val="00D04346"/>
    <w:rsid w:val="00D04375"/>
    <w:rsid w:val="00D043F7"/>
    <w:rsid w:val="00D0441E"/>
    <w:rsid w:val="00D0444E"/>
    <w:rsid w:val="00D04696"/>
    <w:rsid w:val="00D046E0"/>
    <w:rsid w:val="00D04910"/>
    <w:rsid w:val="00D04A04"/>
    <w:rsid w:val="00D04A2A"/>
    <w:rsid w:val="00D04A2F"/>
    <w:rsid w:val="00D04A7D"/>
    <w:rsid w:val="00D04A8F"/>
    <w:rsid w:val="00D04AC0"/>
    <w:rsid w:val="00D04D6F"/>
    <w:rsid w:val="00D04E6B"/>
    <w:rsid w:val="00D04E9D"/>
    <w:rsid w:val="00D05188"/>
    <w:rsid w:val="00D055F4"/>
    <w:rsid w:val="00D05793"/>
    <w:rsid w:val="00D05809"/>
    <w:rsid w:val="00D059BB"/>
    <w:rsid w:val="00D059C5"/>
    <w:rsid w:val="00D059FF"/>
    <w:rsid w:val="00D05B30"/>
    <w:rsid w:val="00D05B32"/>
    <w:rsid w:val="00D05C00"/>
    <w:rsid w:val="00D05D23"/>
    <w:rsid w:val="00D05EFC"/>
    <w:rsid w:val="00D05F80"/>
    <w:rsid w:val="00D05FD3"/>
    <w:rsid w:val="00D05FDD"/>
    <w:rsid w:val="00D06418"/>
    <w:rsid w:val="00D06464"/>
    <w:rsid w:val="00D06570"/>
    <w:rsid w:val="00D06587"/>
    <w:rsid w:val="00D06893"/>
    <w:rsid w:val="00D06933"/>
    <w:rsid w:val="00D06DB2"/>
    <w:rsid w:val="00D07139"/>
    <w:rsid w:val="00D0728C"/>
    <w:rsid w:val="00D072E1"/>
    <w:rsid w:val="00D074C6"/>
    <w:rsid w:val="00D07635"/>
    <w:rsid w:val="00D076FC"/>
    <w:rsid w:val="00D07722"/>
    <w:rsid w:val="00D07870"/>
    <w:rsid w:val="00D078E8"/>
    <w:rsid w:val="00D07AE2"/>
    <w:rsid w:val="00D07C7C"/>
    <w:rsid w:val="00D07D2E"/>
    <w:rsid w:val="00D07FAC"/>
    <w:rsid w:val="00D10076"/>
    <w:rsid w:val="00D100A6"/>
    <w:rsid w:val="00D10133"/>
    <w:rsid w:val="00D10137"/>
    <w:rsid w:val="00D1016F"/>
    <w:rsid w:val="00D10403"/>
    <w:rsid w:val="00D10416"/>
    <w:rsid w:val="00D1065D"/>
    <w:rsid w:val="00D10660"/>
    <w:rsid w:val="00D1095D"/>
    <w:rsid w:val="00D10961"/>
    <w:rsid w:val="00D10A22"/>
    <w:rsid w:val="00D10A52"/>
    <w:rsid w:val="00D10AFC"/>
    <w:rsid w:val="00D10B44"/>
    <w:rsid w:val="00D10B9B"/>
    <w:rsid w:val="00D10C25"/>
    <w:rsid w:val="00D10C65"/>
    <w:rsid w:val="00D10CEE"/>
    <w:rsid w:val="00D10D7D"/>
    <w:rsid w:val="00D10F29"/>
    <w:rsid w:val="00D10F90"/>
    <w:rsid w:val="00D11032"/>
    <w:rsid w:val="00D1109B"/>
    <w:rsid w:val="00D110A3"/>
    <w:rsid w:val="00D1110F"/>
    <w:rsid w:val="00D11290"/>
    <w:rsid w:val="00D11336"/>
    <w:rsid w:val="00D11403"/>
    <w:rsid w:val="00D1142B"/>
    <w:rsid w:val="00D114F7"/>
    <w:rsid w:val="00D11686"/>
    <w:rsid w:val="00D116DF"/>
    <w:rsid w:val="00D11788"/>
    <w:rsid w:val="00D1184A"/>
    <w:rsid w:val="00D11904"/>
    <w:rsid w:val="00D1195D"/>
    <w:rsid w:val="00D11961"/>
    <w:rsid w:val="00D11B53"/>
    <w:rsid w:val="00D11D2B"/>
    <w:rsid w:val="00D11D6E"/>
    <w:rsid w:val="00D12030"/>
    <w:rsid w:val="00D121CD"/>
    <w:rsid w:val="00D12227"/>
    <w:rsid w:val="00D12360"/>
    <w:rsid w:val="00D12361"/>
    <w:rsid w:val="00D123B0"/>
    <w:rsid w:val="00D123B9"/>
    <w:rsid w:val="00D124AE"/>
    <w:rsid w:val="00D1260F"/>
    <w:rsid w:val="00D12628"/>
    <w:rsid w:val="00D1269C"/>
    <w:rsid w:val="00D126C2"/>
    <w:rsid w:val="00D126E7"/>
    <w:rsid w:val="00D12897"/>
    <w:rsid w:val="00D12914"/>
    <w:rsid w:val="00D129B0"/>
    <w:rsid w:val="00D12A32"/>
    <w:rsid w:val="00D12B31"/>
    <w:rsid w:val="00D12DA0"/>
    <w:rsid w:val="00D12E81"/>
    <w:rsid w:val="00D12F37"/>
    <w:rsid w:val="00D13118"/>
    <w:rsid w:val="00D13180"/>
    <w:rsid w:val="00D13277"/>
    <w:rsid w:val="00D132EA"/>
    <w:rsid w:val="00D13510"/>
    <w:rsid w:val="00D13BA7"/>
    <w:rsid w:val="00D13F24"/>
    <w:rsid w:val="00D13F27"/>
    <w:rsid w:val="00D140BB"/>
    <w:rsid w:val="00D14259"/>
    <w:rsid w:val="00D14577"/>
    <w:rsid w:val="00D145D7"/>
    <w:rsid w:val="00D146F5"/>
    <w:rsid w:val="00D1476A"/>
    <w:rsid w:val="00D14921"/>
    <w:rsid w:val="00D14A15"/>
    <w:rsid w:val="00D14A22"/>
    <w:rsid w:val="00D14A4D"/>
    <w:rsid w:val="00D14A6C"/>
    <w:rsid w:val="00D14AE9"/>
    <w:rsid w:val="00D14C1F"/>
    <w:rsid w:val="00D14DB3"/>
    <w:rsid w:val="00D1530B"/>
    <w:rsid w:val="00D1536F"/>
    <w:rsid w:val="00D154CD"/>
    <w:rsid w:val="00D15735"/>
    <w:rsid w:val="00D157CF"/>
    <w:rsid w:val="00D15831"/>
    <w:rsid w:val="00D15A14"/>
    <w:rsid w:val="00D15AB7"/>
    <w:rsid w:val="00D15BD6"/>
    <w:rsid w:val="00D15BF0"/>
    <w:rsid w:val="00D15D13"/>
    <w:rsid w:val="00D15E4E"/>
    <w:rsid w:val="00D15E58"/>
    <w:rsid w:val="00D16002"/>
    <w:rsid w:val="00D1602C"/>
    <w:rsid w:val="00D1609D"/>
    <w:rsid w:val="00D161CD"/>
    <w:rsid w:val="00D161DF"/>
    <w:rsid w:val="00D161F9"/>
    <w:rsid w:val="00D1631A"/>
    <w:rsid w:val="00D16595"/>
    <w:rsid w:val="00D16692"/>
    <w:rsid w:val="00D166AF"/>
    <w:rsid w:val="00D166D0"/>
    <w:rsid w:val="00D166DF"/>
    <w:rsid w:val="00D168F9"/>
    <w:rsid w:val="00D1696B"/>
    <w:rsid w:val="00D16987"/>
    <w:rsid w:val="00D16C66"/>
    <w:rsid w:val="00D16E80"/>
    <w:rsid w:val="00D1719E"/>
    <w:rsid w:val="00D171A5"/>
    <w:rsid w:val="00D1764D"/>
    <w:rsid w:val="00D178DD"/>
    <w:rsid w:val="00D178E8"/>
    <w:rsid w:val="00D17946"/>
    <w:rsid w:val="00D1799E"/>
    <w:rsid w:val="00D17B3C"/>
    <w:rsid w:val="00D17BE5"/>
    <w:rsid w:val="00D17D30"/>
    <w:rsid w:val="00D17DF3"/>
    <w:rsid w:val="00D2001A"/>
    <w:rsid w:val="00D2018A"/>
    <w:rsid w:val="00D2019E"/>
    <w:rsid w:val="00D201E5"/>
    <w:rsid w:val="00D202AD"/>
    <w:rsid w:val="00D2035B"/>
    <w:rsid w:val="00D2052B"/>
    <w:rsid w:val="00D205A3"/>
    <w:rsid w:val="00D2062F"/>
    <w:rsid w:val="00D20678"/>
    <w:rsid w:val="00D2067E"/>
    <w:rsid w:val="00D206DB"/>
    <w:rsid w:val="00D207EA"/>
    <w:rsid w:val="00D2092E"/>
    <w:rsid w:val="00D20A2A"/>
    <w:rsid w:val="00D20C7F"/>
    <w:rsid w:val="00D20FC8"/>
    <w:rsid w:val="00D210B4"/>
    <w:rsid w:val="00D211D7"/>
    <w:rsid w:val="00D212BA"/>
    <w:rsid w:val="00D212C1"/>
    <w:rsid w:val="00D2144F"/>
    <w:rsid w:val="00D2162D"/>
    <w:rsid w:val="00D21635"/>
    <w:rsid w:val="00D2182C"/>
    <w:rsid w:val="00D218A9"/>
    <w:rsid w:val="00D218B3"/>
    <w:rsid w:val="00D218DA"/>
    <w:rsid w:val="00D21A0D"/>
    <w:rsid w:val="00D21A97"/>
    <w:rsid w:val="00D21AA6"/>
    <w:rsid w:val="00D21ABC"/>
    <w:rsid w:val="00D21AE9"/>
    <w:rsid w:val="00D21AF7"/>
    <w:rsid w:val="00D21B7E"/>
    <w:rsid w:val="00D21C92"/>
    <w:rsid w:val="00D21E81"/>
    <w:rsid w:val="00D21EB2"/>
    <w:rsid w:val="00D21FFB"/>
    <w:rsid w:val="00D2203D"/>
    <w:rsid w:val="00D22101"/>
    <w:rsid w:val="00D221B4"/>
    <w:rsid w:val="00D223E6"/>
    <w:rsid w:val="00D22412"/>
    <w:rsid w:val="00D22492"/>
    <w:rsid w:val="00D225A6"/>
    <w:rsid w:val="00D227E5"/>
    <w:rsid w:val="00D22806"/>
    <w:rsid w:val="00D2283A"/>
    <w:rsid w:val="00D2285D"/>
    <w:rsid w:val="00D228C0"/>
    <w:rsid w:val="00D22C36"/>
    <w:rsid w:val="00D22CFB"/>
    <w:rsid w:val="00D22F09"/>
    <w:rsid w:val="00D22F6E"/>
    <w:rsid w:val="00D22F89"/>
    <w:rsid w:val="00D231C1"/>
    <w:rsid w:val="00D231F5"/>
    <w:rsid w:val="00D232E1"/>
    <w:rsid w:val="00D232FB"/>
    <w:rsid w:val="00D233E9"/>
    <w:rsid w:val="00D23609"/>
    <w:rsid w:val="00D236AB"/>
    <w:rsid w:val="00D23771"/>
    <w:rsid w:val="00D238C6"/>
    <w:rsid w:val="00D23941"/>
    <w:rsid w:val="00D2395E"/>
    <w:rsid w:val="00D23982"/>
    <w:rsid w:val="00D239ED"/>
    <w:rsid w:val="00D23D15"/>
    <w:rsid w:val="00D23F19"/>
    <w:rsid w:val="00D23FE1"/>
    <w:rsid w:val="00D2402B"/>
    <w:rsid w:val="00D24280"/>
    <w:rsid w:val="00D243C0"/>
    <w:rsid w:val="00D2445E"/>
    <w:rsid w:val="00D24543"/>
    <w:rsid w:val="00D24729"/>
    <w:rsid w:val="00D24907"/>
    <w:rsid w:val="00D24926"/>
    <w:rsid w:val="00D24A85"/>
    <w:rsid w:val="00D24A9D"/>
    <w:rsid w:val="00D24AD1"/>
    <w:rsid w:val="00D24B40"/>
    <w:rsid w:val="00D24BAF"/>
    <w:rsid w:val="00D24C17"/>
    <w:rsid w:val="00D24DF8"/>
    <w:rsid w:val="00D25102"/>
    <w:rsid w:val="00D2543F"/>
    <w:rsid w:val="00D255F0"/>
    <w:rsid w:val="00D25A23"/>
    <w:rsid w:val="00D25A84"/>
    <w:rsid w:val="00D25C1F"/>
    <w:rsid w:val="00D25ECA"/>
    <w:rsid w:val="00D25EEB"/>
    <w:rsid w:val="00D25F7E"/>
    <w:rsid w:val="00D26040"/>
    <w:rsid w:val="00D2616E"/>
    <w:rsid w:val="00D262C0"/>
    <w:rsid w:val="00D26340"/>
    <w:rsid w:val="00D26530"/>
    <w:rsid w:val="00D265B0"/>
    <w:rsid w:val="00D26674"/>
    <w:rsid w:val="00D266D9"/>
    <w:rsid w:val="00D26783"/>
    <w:rsid w:val="00D2683D"/>
    <w:rsid w:val="00D2687F"/>
    <w:rsid w:val="00D268FB"/>
    <w:rsid w:val="00D26912"/>
    <w:rsid w:val="00D26A6C"/>
    <w:rsid w:val="00D26A87"/>
    <w:rsid w:val="00D26B01"/>
    <w:rsid w:val="00D26CD7"/>
    <w:rsid w:val="00D26D67"/>
    <w:rsid w:val="00D26E18"/>
    <w:rsid w:val="00D270A9"/>
    <w:rsid w:val="00D271E2"/>
    <w:rsid w:val="00D27274"/>
    <w:rsid w:val="00D27305"/>
    <w:rsid w:val="00D2730F"/>
    <w:rsid w:val="00D27358"/>
    <w:rsid w:val="00D27619"/>
    <w:rsid w:val="00D27648"/>
    <w:rsid w:val="00D2769A"/>
    <w:rsid w:val="00D27A3C"/>
    <w:rsid w:val="00D27B29"/>
    <w:rsid w:val="00D27C35"/>
    <w:rsid w:val="00D27C98"/>
    <w:rsid w:val="00D27D53"/>
    <w:rsid w:val="00D27EF0"/>
    <w:rsid w:val="00D27F1D"/>
    <w:rsid w:val="00D27FF1"/>
    <w:rsid w:val="00D300B8"/>
    <w:rsid w:val="00D30183"/>
    <w:rsid w:val="00D3020D"/>
    <w:rsid w:val="00D30292"/>
    <w:rsid w:val="00D30397"/>
    <w:rsid w:val="00D3060C"/>
    <w:rsid w:val="00D3064F"/>
    <w:rsid w:val="00D30670"/>
    <w:rsid w:val="00D3087F"/>
    <w:rsid w:val="00D30A7C"/>
    <w:rsid w:val="00D30BAA"/>
    <w:rsid w:val="00D30BD2"/>
    <w:rsid w:val="00D30C44"/>
    <w:rsid w:val="00D30CF7"/>
    <w:rsid w:val="00D30D20"/>
    <w:rsid w:val="00D3109D"/>
    <w:rsid w:val="00D310A7"/>
    <w:rsid w:val="00D31188"/>
    <w:rsid w:val="00D311AB"/>
    <w:rsid w:val="00D312A9"/>
    <w:rsid w:val="00D31466"/>
    <w:rsid w:val="00D3153A"/>
    <w:rsid w:val="00D315B9"/>
    <w:rsid w:val="00D31604"/>
    <w:rsid w:val="00D31856"/>
    <w:rsid w:val="00D31911"/>
    <w:rsid w:val="00D319E9"/>
    <w:rsid w:val="00D31A13"/>
    <w:rsid w:val="00D31A75"/>
    <w:rsid w:val="00D31C0F"/>
    <w:rsid w:val="00D31E71"/>
    <w:rsid w:val="00D31F92"/>
    <w:rsid w:val="00D32007"/>
    <w:rsid w:val="00D3206F"/>
    <w:rsid w:val="00D3227D"/>
    <w:rsid w:val="00D32291"/>
    <w:rsid w:val="00D323E3"/>
    <w:rsid w:val="00D32435"/>
    <w:rsid w:val="00D32443"/>
    <w:rsid w:val="00D325D0"/>
    <w:rsid w:val="00D325EB"/>
    <w:rsid w:val="00D32751"/>
    <w:rsid w:val="00D32797"/>
    <w:rsid w:val="00D328F7"/>
    <w:rsid w:val="00D3296C"/>
    <w:rsid w:val="00D329CE"/>
    <w:rsid w:val="00D32BDF"/>
    <w:rsid w:val="00D32CE7"/>
    <w:rsid w:val="00D32E67"/>
    <w:rsid w:val="00D32EE8"/>
    <w:rsid w:val="00D32FF5"/>
    <w:rsid w:val="00D3312D"/>
    <w:rsid w:val="00D33277"/>
    <w:rsid w:val="00D33434"/>
    <w:rsid w:val="00D337E4"/>
    <w:rsid w:val="00D338A5"/>
    <w:rsid w:val="00D33A88"/>
    <w:rsid w:val="00D33BCC"/>
    <w:rsid w:val="00D33C00"/>
    <w:rsid w:val="00D33DB5"/>
    <w:rsid w:val="00D34175"/>
    <w:rsid w:val="00D34182"/>
    <w:rsid w:val="00D341AB"/>
    <w:rsid w:val="00D34238"/>
    <w:rsid w:val="00D3423C"/>
    <w:rsid w:val="00D342D1"/>
    <w:rsid w:val="00D34513"/>
    <w:rsid w:val="00D345CF"/>
    <w:rsid w:val="00D3465C"/>
    <w:rsid w:val="00D3469D"/>
    <w:rsid w:val="00D347EE"/>
    <w:rsid w:val="00D3495C"/>
    <w:rsid w:val="00D34A1F"/>
    <w:rsid w:val="00D34CF2"/>
    <w:rsid w:val="00D34D7D"/>
    <w:rsid w:val="00D34EA8"/>
    <w:rsid w:val="00D3506C"/>
    <w:rsid w:val="00D3516D"/>
    <w:rsid w:val="00D3517B"/>
    <w:rsid w:val="00D35261"/>
    <w:rsid w:val="00D35337"/>
    <w:rsid w:val="00D35467"/>
    <w:rsid w:val="00D354F4"/>
    <w:rsid w:val="00D35525"/>
    <w:rsid w:val="00D355AA"/>
    <w:rsid w:val="00D355E0"/>
    <w:rsid w:val="00D35886"/>
    <w:rsid w:val="00D358EF"/>
    <w:rsid w:val="00D35BE2"/>
    <w:rsid w:val="00D35DF5"/>
    <w:rsid w:val="00D35E64"/>
    <w:rsid w:val="00D35E82"/>
    <w:rsid w:val="00D35F4D"/>
    <w:rsid w:val="00D360A7"/>
    <w:rsid w:val="00D36125"/>
    <w:rsid w:val="00D361BC"/>
    <w:rsid w:val="00D3628F"/>
    <w:rsid w:val="00D36326"/>
    <w:rsid w:val="00D36365"/>
    <w:rsid w:val="00D36566"/>
    <w:rsid w:val="00D36655"/>
    <w:rsid w:val="00D368E3"/>
    <w:rsid w:val="00D36923"/>
    <w:rsid w:val="00D36925"/>
    <w:rsid w:val="00D36CC1"/>
    <w:rsid w:val="00D36D33"/>
    <w:rsid w:val="00D36D3E"/>
    <w:rsid w:val="00D36DA6"/>
    <w:rsid w:val="00D36DE5"/>
    <w:rsid w:val="00D36E4D"/>
    <w:rsid w:val="00D3714A"/>
    <w:rsid w:val="00D371A5"/>
    <w:rsid w:val="00D37278"/>
    <w:rsid w:val="00D372E3"/>
    <w:rsid w:val="00D37541"/>
    <w:rsid w:val="00D37556"/>
    <w:rsid w:val="00D375CA"/>
    <w:rsid w:val="00D3777E"/>
    <w:rsid w:val="00D37949"/>
    <w:rsid w:val="00D379AE"/>
    <w:rsid w:val="00D379EA"/>
    <w:rsid w:val="00D37A61"/>
    <w:rsid w:val="00D37A95"/>
    <w:rsid w:val="00D37AEE"/>
    <w:rsid w:val="00D37B13"/>
    <w:rsid w:val="00D37CD6"/>
    <w:rsid w:val="00D37DB0"/>
    <w:rsid w:val="00D37ED3"/>
    <w:rsid w:val="00D37FE8"/>
    <w:rsid w:val="00D404AF"/>
    <w:rsid w:val="00D404F8"/>
    <w:rsid w:val="00D40518"/>
    <w:rsid w:val="00D4075F"/>
    <w:rsid w:val="00D40848"/>
    <w:rsid w:val="00D40906"/>
    <w:rsid w:val="00D40A77"/>
    <w:rsid w:val="00D40B5D"/>
    <w:rsid w:val="00D40B5E"/>
    <w:rsid w:val="00D40BF6"/>
    <w:rsid w:val="00D40C96"/>
    <w:rsid w:val="00D40CF1"/>
    <w:rsid w:val="00D40D73"/>
    <w:rsid w:val="00D40EBC"/>
    <w:rsid w:val="00D40ED0"/>
    <w:rsid w:val="00D40F25"/>
    <w:rsid w:val="00D40FEC"/>
    <w:rsid w:val="00D410EC"/>
    <w:rsid w:val="00D410F3"/>
    <w:rsid w:val="00D412C0"/>
    <w:rsid w:val="00D412C9"/>
    <w:rsid w:val="00D41412"/>
    <w:rsid w:val="00D414E4"/>
    <w:rsid w:val="00D41668"/>
    <w:rsid w:val="00D4167C"/>
    <w:rsid w:val="00D4170D"/>
    <w:rsid w:val="00D41A3E"/>
    <w:rsid w:val="00D41A7F"/>
    <w:rsid w:val="00D41AF9"/>
    <w:rsid w:val="00D41B9A"/>
    <w:rsid w:val="00D41C47"/>
    <w:rsid w:val="00D41CBF"/>
    <w:rsid w:val="00D41D7F"/>
    <w:rsid w:val="00D41F0C"/>
    <w:rsid w:val="00D41F14"/>
    <w:rsid w:val="00D42245"/>
    <w:rsid w:val="00D42274"/>
    <w:rsid w:val="00D42298"/>
    <w:rsid w:val="00D42374"/>
    <w:rsid w:val="00D423AC"/>
    <w:rsid w:val="00D423B5"/>
    <w:rsid w:val="00D4241F"/>
    <w:rsid w:val="00D4247D"/>
    <w:rsid w:val="00D42615"/>
    <w:rsid w:val="00D426F0"/>
    <w:rsid w:val="00D427F0"/>
    <w:rsid w:val="00D427F6"/>
    <w:rsid w:val="00D428E6"/>
    <w:rsid w:val="00D4292D"/>
    <w:rsid w:val="00D42ACB"/>
    <w:rsid w:val="00D42BD2"/>
    <w:rsid w:val="00D42C70"/>
    <w:rsid w:val="00D42F4A"/>
    <w:rsid w:val="00D432AD"/>
    <w:rsid w:val="00D432B1"/>
    <w:rsid w:val="00D432BF"/>
    <w:rsid w:val="00D4352D"/>
    <w:rsid w:val="00D435C4"/>
    <w:rsid w:val="00D4361E"/>
    <w:rsid w:val="00D43721"/>
    <w:rsid w:val="00D4374B"/>
    <w:rsid w:val="00D43831"/>
    <w:rsid w:val="00D438A5"/>
    <w:rsid w:val="00D4393D"/>
    <w:rsid w:val="00D4394A"/>
    <w:rsid w:val="00D4395F"/>
    <w:rsid w:val="00D43A31"/>
    <w:rsid w:val="00D43BB9"/>
    <w:rsid w:val="00D43C02"/>
    <w:rsid w:val="00D43C0C"/>
    <w:rsid w:val="00D43C37"/>
    <w:rsid w:val="00D43CAE"/>
    <w:rsid w:val="00D43CE6"/>
    <w:rsid w:val="00D43D28"/>
    <w:rsid w:val="00D43D44"/>
    <w:rsid w:val="00D43D8A"/>
    <w:rsid w:val="00D43E9D"/>
    <w:rsid w:val="00D43ED4"/>
    <w:rsid w:val="00D43F3B"/>
    <w:rsid w:val="00D43FA8"/>
    <w:rsid w:val="00D4404F"/>
    <w:rsid w:val="00D44341"/>
    <w:rsid w:val="00D44484"/>
    <w:rsid w:val="00D44515"/>
    <w:rsid w:val="00D4453D"/>
    <w:rsid w:val="00D44579"/>
    <w:rsid w:val="00D445CE"/>
    <w:rsid w:val="00D44669"/>
    <w:rsid w:val="00D446A8"/>
    <w:rsid w:val="00D44788"/>
    <w:rsid w:val="00D447EE"/>
    <w:rsid w:val="00D4482D"/>
    <w:rsid w:val="00D448C4"/>
    <w:rsid w:val="00D44A36"/>
    <w:rsid w:val="00D44A42"/>
    <w:rsid w:val="00D44C6A"/>
    <w:rsid w:val="00D44E78"/>
    <w:rsid w:val="00D44E7B"/>
    <w:rsid w:val="00D4511F"/>
    <w:rsid w:val="00D454EA"/>
    <w:rsid w:val="00D45792"/>
    <w:rsid w:val="00D45A26"/>
    <w:rsid w:val="00D45B93"/>
    <w:rsid w:val="00D45C3C"/>
    <w:rsid w:val="00D45DAB"/>
    <w:rsid w:val="00D45DB7"/>
    <w:rsid w:val="00D45E6C"/>
    <w:rsid w:val="00D460E7"/>
    <w:rsid w:val="00D4649F"/>
    <w:rsid w:val="00D465C0"/>
    <w:rsid w:val="00D46644"/>
    <w:rsid w:val="00D46B30"/>
    <w:rsid w:val="00D46FA5"/>
    <w:rsid w:val="00D46FBB"/>
    <w:rsid w:val="00D4707A"/>
    <w:rsid w:val="00D470ED"/>
    <w:rsid w:val="00D4722B"/>
    <w:rsid w:val="00D472F2"/>
    <w:rsid w:val="00D47394"/>
    <w:rsid w:val="00D47406"/>
    <w:rsid w:val="00D4755A"/>
    <w:rsid w:val="00D4757B"/>
    <w:rsid w:val="00D4766A"/>
    <w:rsid w:val="00D47724"/>
    <w:rsid w:val="00D47796"/>
    <w:rsid w:val="00D4791A"/>
    <w:rsid w:val="00D4792C"/>
    <w:rsid w:val="00D47AAC"/>
    <w:rsid w:val="00D47B37"/>
    <w:rsid w:val="00D47BFA"/>
    <w:rsid w:val="00D47DB1"/>
    <w:rsid w:val="00D47ED4"/>
    <w:rsid w:val="00D47F06"/>
    <w:rsid w:val="00D47FEE"/>
    <w:rsid w:val="00D5000D"/>
    <w:rsid w:val="00D50022"/>
    <w:rsid w:val="00D501E8"/>
    <w:rsid w:val="00D50259"/>
    <w:rsid w:val="00D5025F"/>
    <w:rsid w:val="00D50343"/>
    <w:rsid w:val="00D505A7"/>
    <w:rsid w:val="00D50614"/>
    <w:rsid w:val="00D506CA"/>
    <w:rsid w:val="00D506CD"/>
    <w:rsid w:val="00D509E3"/>
    <w:rsid w:val="00D50AEA"/>
    <w:rsid w:val="00D50B41"/>
    <w:rsid w:val="00D50C52"/>
    <w:rsid w:val="00D50F00"/>
    <w:rsid w:val="00D50FF4"/>
    <w:rsid w:val="00D5113B"/>
    <w:rsid w:val="00D51408"/>
    <w:rsid w:val="00D51430"/>
    <w:rsid w:val="00D51515"/>
    <w:rsid w:val="00D51741"/>
    <w:rsid w:val="00D51843"/>
    <w:rsid w:val="00D5193B"/>
    <w:rsid w:val="00D51A2F"/>
    <w:rsid w:val="00D51A62"/>
    <w:rsid w:val="00D51AA8"/>
    <w:rsid w:val="00D51C06"/>
    <w:rsid w:val="00D51C2D"/>
    <w:rsid w:val="00D51D61"/>
    <w:rsid w:val="00D51D7E"/>
    <w:rsid w:val="00D51D86"/>
    <w:rsid w:val="00D51F44"/>
    <w:rsid w:val="00D52190"/>
    <w:rsid w:val="00D521BF"/>
    <w:rsid w:val="00D521D3"/>
    <w:rsid w:val="00D52272"/>
    <w:rsid w:val="00D523EE"/>
    <w:rsid w:val="00D52623"/>
    <w:rsid w:val="00D52677"/>
    <w:rsid w:val="00D5268C"/>
    <w:rsid w:val="00D52868"/>
    <w:rsid w:val="00D52AA9"/>
    <w:rsid w:val="00D52AF7"/>
    <w:rsid w:val="00D52BEF"/>
    <w:rsid w:val="00D52C45"/>
    <w:rsid w:val="00D52E40"/>
    <w:rsid w:val="00D530E8"/>
    <w:rsid w:val="00D5319A"/>
    <w:rsid w:val="00D53484"/>
    <w:rsid w:val="00D5351B"/>
    <w:rsid w:val="00D535B6"/>
    <w:rsid w:val="00D53671"/>
    <w:rsid w:val="00D537E7"/>
    <w:rsid w:val="00D5391B"/>
    <w:rsid w:val="00D5395C"/>
    <w:rsid w:val="00D53A1E"/>
    <w:rsid w:val="00D53ACF"/>
    <w:rsid w:val="00D53B22"/>
    <w:rsid w:val="00D53C1A"/>
    <w:rsid w:val="00D53C9F"/>
    <w:rsid w:val="00D53D53"/>
    <w:rsid w:val="00D53E74"/>
    <w:rsid w:val="00D54064"/>
    <w:rsid w:val="00D541F7"/>
    <w:rsid w:val="00D54487"/>
    <w:rsid w:val="00D544CC"/>
    <w:rsid w:val="00D54575"/>
    <w:rsid w:val="00D545CF"/>
    <w:rsid w:val="00D54636"/>
    <w:rsid w:val="00D54AE9"/>
    <w:rsid w:val="00D54AF9"/>
    <w:rsid w:val="00D54C30"/>
    <w:rsid w:val="00D54CC8"/>
    <w:rsid w:val="00D54D23"/>
    <w:rsid w:val="00D55068"/>
    <w:rsid w:val="00D55219"/>
    <w:rsid w:val="00D55336"/>
    <w:rsid w:val="00D5552B"/>
    <w:rsid w:val="00D5567E"/>
    <w:rsid w:val="00D558E8"/>
    <w:rsid w:val="00D55948"/>
    <w:rsid w:val="00D55AEC"/>
    <w:rsid w:val="00D55BE5"/>
    <w:rsid w:val="00D55BF5"/>
    <w:rsid w:val="00D55C47"/>
    <w:rsid w:val="00D55D7E"/>
    <w:rsid w:val="00D55DFD"/>
    <w:rsid w:val="00D55EC6"/>
    <w:rsid w:val="00D5601B"/>
    <w:rsid w:val="00D560DC"/>
    <w:rsid w:val="00D56170"/>
    <w:rsid w:val="00D561A6"/>
    <w:rsid w:val="00D562F1"/>
    <w:rsid w:val="00D563AF"/>
    <w:rsid w:val="00D56415"/>
    <w:rsid w:val="00D564D2"/>
    <w:rsid w:val="00D5652E"/>
    <w:rsid w:val="00D56564"/>
    <w:rsid w:val="00D5657A"/>
    <w:rsid w:val="00D565F4"/>
    <w:rsid w:val="00D56645"/>
    <w:rsid w:val="00D5668F"/>
    <w:rsid w:val="00D567B7"/>
    <w:rsid w:val="00D56855"/>
    <w:rsid w:val="00D56E90"/>
    <w:rsid w:val="00D572AB"/>
    <w:rsid w:val="00D572F7"/>
    <w:rsid w:val="00D57355"/>
    <w:rsid w:val="00D575EB"/>
    <w:rsid w:val="00D5765A"/>
    <w:rsid w:val="00D57671"/>
    <w:rsid w:val="00D577D9"/>
    <w:rsid w:val="00D5786D"/>
    <w:rsid w:val="00D57B82"/>
    <w:rsid w:val="00D57E3A"/>
    <w:rsid w:val="00D57EF6"/>
    <w:rsid w:val="00D600F5"/>
    <w:rsid w:val="00D603D8"/>
    <w:rsid w:val="00D60414"/>
    <w:rsid w:val="00D604CD"/>
    <w:rsid w:val="00D606E6"/>
    <w:rsid w:val="00D60800"/>
    <w:rsid w:val="00D60858"/>
    <w:rsid w:val="00D60A5D"/>
    <w:rsid w:val="00D60C88"/>
    <w:rsid w:val="00D60CE2"/>
    <w:rsid w:val="00D60DA1"/>
    <w:rsid w:val="00D61018"/>
    <w:rsid w:val="00D61055"/>
    <w:rsid w:val="00D61095"/>
    <w:rsid w:val="00D610F7"/>
    <w:rsid w:val="00D6112A"/>
    <w:rsid w:val="00D61131"/>
    <w:rsid w:val="00D6123F"/>
    <w:rsid w:val="00D61276"/>
    <w:rsid w:val="00D616FC"/>
    <w:rsid w:val="00D61758"/>
    <w:rsid w:val="00D61781"/>
    <w:rsid w:val="00D618ED"/>
    <w:rsid w:val="00D619BB"/>
    <w:rsid w:val="00D619E0"/>
    <w:rsid w:val="00D61A94"/>
    <w:rsid w:val="00D61C13"/>
    <w:rsid w:val="00D61C5D"/>
    <w:rsid w:val="00D61C98"/>
    <w:rsid w:val="00D61DCD"/>
    <w:rsid w:val="00D61EAD"/>
    <w:rsid w:val="00D61F48"/>
    <w:rsid w:val="00D61FD7"/>
    <w:rsid w:val="00D62053"/>
    <w:rsid w:val="00D620A5"/>
    <w:rsid w:val="00D62471"/>
    <w:rsid w:val="00D62566"/>
    <w:rsid w:val="00D626F4"/>
    <w:rsid w:val="00D627F4"/>
    <w:rsid w:val="00D6281B"/>
    <w:rsid w:val="00D62A51"/>
    <w:rsid w:val="00D62CFB"/>
    <w:rsid w:val="00D62DF8"/>
    <w:rsid w:val="00D62E10"/>
    <w:rsid w:val="00D62E7C"/>
    <w:rsid w:val="00D62F3B"/>
    <w:rsid w:val="00D63181"/>
    <w:rsid w:val="00D63224"/>
    <w:rsid w:val="00D632A3"/>
    <w:rsid w:val="00D63577"/>
    <w:rsid w:val="00D6374F"/>
    <w:rsid w:val="00D6375C"/>
    <w:rsid w:val="00D638DE"/>
    <w:rsid w:val="00D63DBE"/>
    <w:rsid w:val="00D6411A"/>
    <w:rsid w:val="00D6412D"/>
    <w:rsid w:val="00D64330"/>
    <w:rsid w:val="00D643C9"/>
    <w:rsid w:val="00D643D0"/>
    <w:rsid w:val="00D64440"/>
    <w:rsid w:val="00D64636"/>
    <w:rsid w:val="00D6486C"/>
    <w:rsid w:val="00D648CB"/>
    <w:rsid w:val="00D64A50"/>
    <w:rsid w:val="00D64A5D"/>
    <w:rsid w:val="00D64C85"/>
    <w:rsid w:val="00D64C9E"/>
    <w:rsid w:val="00D64CE7"/>
    <w:rsid w:val="00D64DCE"/>
    <w:rsid w:val="00D65083"/>
    <w:rsid w:val="00D650DB"/>
    <w:rsid w:val="00D6511E"/>
    <w:rsid w:val="00D6513F"/>
    <w:rsid w:val="00D65189"/>
    <w:rsid w:val="00D6522B"/>
    <w:rsid w:val="00D65257"/>
    <w:rsid w:val="00D65471"/>
    <w:rsid w:val="00D65498"/>
    <w:rsid w:val="00D654BE"/>
    <w:rsid w:val="00D654CA"/>
    <w:rsid w:val="00D655C7"/>
    <w:rsid w:val="00D6569D"/>
    <w:rsid w:val="00D656B1"/>
    <w:rsid w:val="00D657A5"/>
    <w:rsid w:val="00D65824"/>
    <w:rsid w:val="00D6585B"/>
    <w:rsid w:val="00D65B63"/>
    <w:rsid w:val="00D65B6E"/>
    <w:rsid w:val="00D65BA1"/>
    <w:rsid w:val="00D65C97"/>
    <w:rsid w:val="00D65E30"/>
    <w:rsid w:val="00D65F02"/>
    <w:rsid w:val="00D65F61"/>
    <w:rsid w:val="00D66284"/>
    <w:rsid w:val="00D6628D"/>
    <w:rsid w:val="00D663CA"/>
    <w:rsid w:val="00D66505"/>
    <w:rsid w:val="00D6665F"/>
    <w:rsid w:val="00D666F4"/>
    <w:rsid w:val="00D66730"/>
    <w:rsid w:val="00D667AF"/>
    <w:rsid w:val="00D668C9"/>
    <w:rsid w:val="00D6695B"/>
    <w:rsid w:val="00D66B1C"/>
    <w:rsid w:val="00D66BB7"/>
    <w:rsid w:val="00D66C3C"/>
    <w:rsid w:val="00D66C4C"/>
    <w:rsid w:val="00D66D46"/>
    <w:rsid w:val="00D66E5F"/>
    <w:rsid w:val="00D66F41"/>
    <w:rsid w:val="00D66F4E"/>
    <w:rsid w:val="00D66F7B"/>
    <w:rsid w:val="00D671D8"/>
    <w:rsid w:val="00D6726A"/>
    <w:rsid w:val="00D673A1"/>
    <w:rsid w:val="00D673BE"/>
    <w:rsid w:val="00D673DE"/>
    <w:rsid w:val="00D675FE"/>
    <w:rsid w:val="00D676BF"/>
    <w:rsid w:val="00D676DC"/>
    <w:rsid w:val="00D67735"/>
    <w:rsid w:val="00D679CF"/>
    <w:rsid w:val="00D67A01"/>
    <w:rsid w:val="00D67AFD"/>
    <w:rsid w:val="00D67E09"/>
    <w:rsid w:val="00D7009F"/>
    <w:rsid w:val="00D7028E"/>
    <w:rsid w:val="00D702D7"/>
    <w:rsid w:val="00D70487"/>
    <w:rsid w:val="00D70497"/>
    <w:rsid w:val="00D704C6"/>
    <w:rsid w:val="00D704D7"/>
    <w:rsid w:val="00D705F9"/>
    <w:rsid w:val="00D70765"/>
    <w:rsid w:val="00D70933"/>
    <w:rsid w:val="00D70BCB"/>
    <w:rsid w:val="00D70D58"/>
    <w:rsid w:val="00D70FFA"/>
    <w:rsid w:val="00D710CF"/>
    <w:rsid w:val="00D71100"/>
    <w:rsid w:val="00D7110B"/>
    <w:rsid w:val="00D711A0"/>
    <w:rsid w:val="00D711B2"/>
    <w:rsid w:val="00D714A3"/>
    <w:rsid w:val="00D714A5"/>
    <w:rsid w:val="00D714B5"/>
    <w:rsid w:val="00D71611"/>
    <w:rsid w:val="00D71970"/>
    <w:rsid w:val="00D71A94"/>
    <w:rsid w:val="00D71B5A"/>
    <w:rsid w:val="00D71C6B"/>
    <w:rsid w:val="00D71C87"/>
    <w:rsid w:val="00D71D95"/>
    <w:rsid w:val="00D71F90"/>
    <w:rsid w:val="00D71FFF"/>
    <w:rsid w:val="00D72131"/>
    <w:rsid w:val="00D7235D"/>
    <w:rsid w:val="00D723D7"/>
    <w:rsid w:val="00D72434"/>
    <w:rsid w:val="00D72496"/>
    <w:rsid w:val="00D7250A"/>
    <w:rsid w:val="00D72525"/>
    <w:rsid w:val="00D72526"/>
    <w:rsid w:val="00D72538"/>
    <w:rsid w:val="00D72906"/>
    <w:rsid w:val="00D72935"/>
    <w:rsid w:val="00D7293C"/>
    <w:rsid w:val="00D729C4"/>
    <w:rsid w:val="00D72B0C"/>
    <w:rsid w:val="00D72BF8"/>
    <w:rsid w:val="00D72DDE"/>
    <w:rsid w:val="00D72F92"/>
    <w:rsid w:val="00D7303C"/>
    <w:rsid w:val="00D73048"/>
    <w:rsid w:val="00D730B9"/>
    <w:rsid w:val="00D735A0"/>
    <w:rsid w:val="00D7365A"/>
    <w:rsid w:val="00D736E6"/>
    <w:rsid w:val="00D736E9"/>
    <w:rsid w:val="00D7375B"/>
    <w:rsid w:val="00D73778"/>
    <w:rsid w:val="00D73811"/>
    <w:rsid w:val="00D7384D"/>
    <w:rsid w:val="00D738C3"/>
    <w:rsid w:val="00D73C78"/>
    <w:rsid w:val="00D73D55"/>
    <w:rsid w:val="00D73EA9"/>
    <w:rsid w:val="00D73FA1"/>
    <w:rsid w:val="00D73FD8"/>
    <w:rsid w:val="00D74066"/>
    <w:rsid w:val="00D74174"/>
    <w:rsid w:val="00D74217"/>
    <w:rsid w:val="00D7428F"/>
    <w:rsid w:val="00D74459"/>
    <w:rsid w:val="00D744C7"/>
    <w:rsid w:val="00D74589"/>
    <w:rsid w:val="00D745F7"/>
    <w:rsid w:val="00D7464E"/>
    <w:rsid w:val="00D74795"/>
    <w:rsid w:val="00D747A8"/>
    <w:rsid w:val="00D7482B"/>
    <w:rsid w:val="00D74892"/>
    <w:rsid w:val="00D74B60"/>
    <w:rsid w:val="00D74C3B"/>
    <w:rsid w:val="00D74DAA"/>
    <w:rsid w:val="00D74E13"/>
    <w:rsid w:val="00D74E24"/>
    <w:rsid w:val="00D7510B"/>
    <w:rsid w:val="00D75295"/>
    <w:rsid w:val="00D752B3"/>
    <w:rsid w:val="00D752D4"/>
    <w:rsid w:val="00D7544D"/>
    <w:rsid w:val="00D75450"/>
    <w:rsid w:val="00D754E7"/>
    <w:rsid w:val="00D75569"/>
    <w:rsid w:val="00D757CD"/>
    <w:rsid w:val="00D75884"/>
    <w:rsid w:val="00D759BE"/>
    <w:rsid w:val="00D75B28"/>
    <w:rsid w:val="00D75BD4"/>
    <w:rsid w:val="00D75BDE"/>
    <w:rsid w:val="00D75C33"/>
    <w:rsid w:val="00D75D36"/>
    <w:rsid w:val="00D75DA8"/>
    <w:rsid w:val="00D75DE2"/>
    <w:rsid w:val="00D75FE2"/>
    <w:rsid w:val="00D76039"/>
    <w:rsid w:val="00D76113"/>
    <w:rsid w:val="00D76146"/>
    <w:rsid w:val="00D76375"/>
    <w:rsid w:val="00D76491"/>
    <w:rsid w:val="00D765AE"/>
    <w:rsid w:val="00D765B0"/>
    <w:rsid w:val="00D766EC"/>
    <w:rsid w:val="00D7673F"/>
    <w:rsid w:val="00D768F1"/>
    <w:rsid w:val="00D7695B"/>
    <w:rsid w:val="00D76992"/>
    <w:rsid w:val="00D76999"/>
    <w:rsid w:val="00D769AE"/>
    <w:rsid w:val="00D76CDE"/>
    <w:rsid w:val="00D76E3D"/>
    <w:rsid w:val="00D76EB9"/>
    <w:rsid w:val="00D76EF1"/>
    <w:rsid w:val="00D770DA"/>
    <w:rsid w:val="00D770FD"/>
    <w:rsid w:val="00D77473"/>
    <w:rsid w:val="00D7747F"/>
    <w:rsid w:val="00D774FB"/>
    <w:rsid w:val="00D7752B"/>
    <w:rsid w:val="00D77600"/>
    <w:rsid w:val="00D77828"/>
    <w:rsid w:val="00D7782B"/>
    <w:rsid w:val="00D77837"/>
    <w:rsid w:val="00D77894"/>
    <w:rsid w:val="00D779B3"/>
    <w:rsid w:val="00D77AD2"/>
    <w:rsid w:val="00D77BD3"/>
    <w:rsid w:val="00D77D67"/>
    <w:rsid w:val="00D77E10"/>
    <w:rsid w:val="00D77F31"/>
    <w:rsid w:val="00D80253"/>
    <w:rsid w:val="00D80297"/>
    <w:rsid w:val="00D806B8"/>
    <w:rsid w:val="00D807D8"/>
    <w:rsid w:val="00D8082D"/>
    <w:rsid w:val="00D8088B"/>
    <w:rsid w:val="00D8092A"/>
    <w:rsid w:val="00D8092B"/>
    <w:rsid w:val="00D80943"/>
    <w:rsid w:val="00D80AD5"/>
    <w:rsid w:val="00D80B38"/>
    <w:rsid w:val="00D80CB3"/>
    <w:rsid w:val="00D80D46"/>
    <w:rsid w:val="00D80E9C"/>
    <w:rsid w:val="00D80F0C"/>
    <w:rsid w:val="00D81169"/>
    <w:rsid w:val="00D81171"/>
    <w:rsid w:val="00D811B9"/>
    <w:rsid w:val="00D813E5"/>
    <w:rsid w:val="00D814E9"/>
    <w:rsid w:val="00D81591"/>
    <w:rsid w:val="00D817B2"/>
    <w:rsid w:val="00D81816"/>
    <w:rsid w:val="00D819FC"/>
    <w:rsid w:val="00D81BB3"/>
    <w:rsid w:val="00D81C4E"/>
    <w:rsid w:val="00D81C8E"/>
    <w:rsid w:val="00D81F53"/>
    <w:rsid w:val="00D82137"/>
    <w:rsid w:val="00D822E1"/>
    <w:rsid w:val="00D822E3"/>
    <w:rsid w:val="00D823F7"/>
    <w:rsid w:val="00D8257F"/>
    <w:rsid w:val="00D82A82"/>
    <w:rsid w:val="00D82C62"/>
    <w:rsid w:val="00D82CC6"/>
    <w:rsid w:val="00D82D36"/>
    <w:rsid w:val="00D82DE6"/>
    <w:rsid w:val="00D82E1C"/>
    <w:rsid w:val="00D82E44"/>
    <w:rsid w:val="00D82E8A"/>
    <w:rsid w:val="00D82FE5"/>
    <w:rsid w:val="00D83061"/>
    <w:rsid w:val="00D8307E"/>
    <w:rsid w:val="00D8308A"/>
    <w:rsid w:val="00D83093"/>
    <w:rsid w:val="00D8331A"/>
    <w:rsid w:val="00D83378"/>
    <w:rsid w:val="00D83384"/>
    <w:rsid w:val="00D8375E"/>
    <w:rsid w:val="00D83B4D"/>
    <w:rsid w:val="00D83BAF"/>
    <w:rsid w:val="00D83C75"/>
    <w:rsid w:val="00D83C7B"/>
    <w:rsid w:val="00D83CC9"/>
    <w:rsid w:val="00D83D7E"/>
    <w:rsid w:val="00D83DBE"/>
    <w:rsid w:val="00D83F9E"/>
    <w:rsid w:val="00D84055"/>
    <w:rsid w:val="00D8410C"/>
    <w:rsid w:val="00D84211"/>
    <w:rsid w:val="00D8431C"/>
    <w:rsid w:val="00D8435B"/>
    <w:rsid w:val="00D8451A"/>
    <w:rsid w:val="00D8452E"/>
    <w:rsid w:val="00D84541"/>
    <w:rsid w:val="00D847D8"/>
    <w:rsid w:val="00D849E9"/>
    <w:rsid w:val="00D84A79"/>
    <w:rsid w:val="00D84C2D"/>
    <w:rsid w:val="00D84D28"/>
    <w:rsid w:val="00D84D31"/>
    <w:rsid w:val="00D85230"/>
    <w:rsid w:val="00D85247"/>
    <w:rsid w:val="00D855CA"/>
    <w:rsid w:val="00D85743"/>
    <w:rsid w:val="00D8577F"/>
    <w:rsid w:val="00D859B1"/>
    <w:rsid w:val="00D85AFC"/>
    <w:rsid w:val="00D85CA5"/>
    <w:rsid w:val="00D85E3C"/>
    <w:rsid w:val="00D85E6A"/>
    <w:rsid w:val="00D85E72"/>
    <w:rsid w:val="00D85F73"/>
    <w:rsid w:val="00D86021"/>
    <w:rsid w:val="00D8606C"/>
    <w:rsid w:val="00D860F1"/>
    <w:rsid w:val="00D8633B"/>
    <w:rsid w:val="00D86401"/>
    <w:rsid w:val="00D8645F"/>
    <w:rsid w:val="00D864FB"/>
    <w:rsid w:val="00D8653D"/>
    <w:rsid w:val="00D8655D"/>
    <w:rsid w:val="00D8657A"/>
    <w:rsid w:val="00D86585"/>
    <w:rsid w:val="00D86663"/>
    <w:rsid w:val="00D866BD"/>
    <w:rsid w:val="00D86767"/>
    <w:rsid w:val="00D86835"/>
    <w:rsid w:val="00D86979"/>
    <w:rsid w:val="00D86985"/>
    <w:rsid w:val="00D8699C"/>
    <w:rsid w:val="00D86ADD"/>
    <w:rsid w:val="00D86BA3"/>
    <w:rsid w:val="00D86C37"/>
    <w:rsid w:val="00D86D6E"/>
    <w:rsid w:val="00D86D6F"/>
    <w:rsid w:val="00D87536"/>
    <w:rsid w:val="00D87837"/>
    <w:rsid w:val="00D87938"/>
    <w:rsid w:val="00D879AE"/>
    <w:rsid w:val="00D87A70"/>
    <w:rsid w:val="00D87AB3"/>
    <w:rsid w:val="00D87ADE"/>
    <w:rsid w:val="00D87C75"/>
    <w:rsid w:val="00D87D8F"/>
    <w:rsid w:val="00D87E03"/>
    <w:rsid w:val="00D87E1D"/>
    <w:rsid w:val="00D87E79"/>
    <w:rsid w:val="00D87F1E"/>
    <w:rsid w:val="00D87FF4"/>
    <w:rsid w:val="00D90124"/>
    <w:rsid w:val="00D901AD"/>
    <w:rsid w:val="00D902C9"/>
    <w:rsid w:val="00D90340"/>
    <w:rsid w:val="00D903AB"/>
    <w:rsid w:val="00D907A7"/>
    <w:rsid w:val="00D90919"/>
    <w:rsid w:val="00D909A3"/>
    <w:rsid w:val="00D90AB4"/>
    <w:rsid w:val="00D90B0B"/>
    <w:rsid w:val="00D90B41"/>
    <w:rsid w:val="00D90BE1"/>
    <w:rsid w:val="00D90C2D"/>
    <w:rsid w:val="00D90C4A"/>
    <w:rsid w:val="00D90CAC"/>
    <w:rsid w:val="00D90CC0"/>
    <w:rsid w:val="00D90E03"/>
    <w:rsid w:val="00D91044"/>
    <w:rsid w:val="00D911F2"/>
    <w:rsid w:val="00D91227"/>
    <w:rsid w:val="00D914E1"/>
    <w:rsid w:val="00D915F9"/>
    <w:rsid w:val="00D91626"/>
    <w:rsid w:val="00D91647"/>
    <w:rsid w:val="00D91693"/>
    <w:rsid w:val="00D916A5"/>
    <w:rsid w:val="00D91742"/>
    <w:rsid w:val="00D91848"/>
    <w:rsid w:val="00D9190C"/>
    <w:rsid w:val="00D9193A"/>
    <w:rsid w:val="00D91A6C"/>
    <w:rsid w:val="00D91A89"/>
    <w:rsid w:val="00D91A9A"/>
    <w:rsid w:val="00D91A9B"/>
    <w:rsid w:val="00D91B01"/>
    <w:rsid w:val="00D91C31"/>
    <w:rsid w:val="00D91C44"/>
    <w:rsid w:val="00D91D80"/>
    <w:rsid w:val="00D91DA5"/>
    <w:rsid w:val="00D91DEB"/>
    <w:rsid w:val="00D9205D"/>
    <w:rsid w:val="00D920B2"/>
    <w:rsid w:val="00D921BC"/>
    <w:rsid w:val="00D92239"/>
    <w:rsid w:val="00D922B1"/>
    <w:rsid w:val="00D923BE"/>
    <w:rsid w:val="00D9249F"/>
    <w:rsid w:val="00D92504"/>
    <w:rsid w:val="00D925DD"/>
    <w:rsid w:val="00D925EF"/>
    <w:rsid w:val="00D92693"/>
    <w:rsid w:val="00D92749"/>
    <w:rsid w:val="00D92757"/>
    <w:rsid w:val="00D928E4"/>
    <w:rsid w:val="00D92A82"/>
    <w:rsid w:val="00D92A99"/>
    <w:rsid w:val="00D92B2A"/>
    <w:rsid w:val="00D92B55"/>
    <w:rsid w:val="00D92B5A"/>
    <w:rsid w:val="00D92B94"/>
    <w:rsid w:val="00D92B9C"/>
    <w:rsid w:val="00D92C02"/>
    <w:rsid w:val="00D92E7B"/>
    <w:rsid w:val="00D92F30"/>
    <w:rsid w:val="00D93001"/>
    <w:rsid w:val="00D93082"/>
    <w:rsid w:val="00D931D9"/>
    <w:rsid w:val="00D9324E"/>
    <w:rsid w:val="00D93283"/>
    <w:rsid w:val="00D93409"/>
    <w:rsid w:val="00D93502"/>
    <w:rsid w:val="00D93552"/>
    <w:rsid w:val="00D93602"/>
    <w:rsid w:val="00D938C9"/>
    <w:rsid w:val="00D939ED"/>
    <w:rsid w:val="00D93A25"/>
    <w:rsid w:val="00D93ACB"/>
    <w:rsid w:val="00D93B30"/>
    <w:rsid w:val="00D93B78"/>
    <w:rsid w:val="00D93B8A"/>
    <w:rsid w:val="00D93C1D"/>
    <w:rsid w:val="00D93C6A"/>
    <w:rsid w:val="00D93E3C"/>
    <w:rsid w:val="00D93F4A"/>
    <w:rsid w:val="00D94019"/>
    <w:rsid w:val="00D942FC"/>
    <w:rsid w:val="00D943C2"/>
    <w:rsid w:val="00D94432"/>
    <w:rsid w:val="00D9459D"/>
    <w:rsid w:val="00D94608"/>
    <w:rsid w:val="00D9460F"/>
    <w:rsid w:val="00D9464D"/>
    <w:rsid w:val="00D946CD"/>
    <w:rsid w:val="00D9481A"/>
    <w:rsid w:val="00D94871"/>
    <w:rsid w:val="00D948C2"/>
    <w:rsid w:val="00D94B99"/>
    <w:rsid w:val="00D94EE4"/>
    <w:rsid w:val="00D94F82"/>
    <w:rsid w:val="00D94FA9"/>
    <w:rsid w:val="00D950FE"/>
    <w:rsid w:val="00D95242"/>
    <w:rsid w:val="00D952B4"/>
    <w:rsid w:val="00D95483"/>
    <w:rsid w:val="00D95532"/>
    <w:rsid w:val="00D955B6"/>
    <w:rsid w:val="00D9564C"/>
    <w:rsid w:val="00D9574B"/>
    <w:rsid w:val="00D9576D"/>
    <w:rsid w:val="00D95791"/>
    <w:rsid w:val="00D95820"/>
    <w:rsid w:val="00D95864"/>
    <w:rsid w:val="00D95871"/>
    <w:rsid w:val="00D9599B"/>
    <w:rsid w:val="00D95B8C"/>
    <w:rsid w:val="00D95DD7"/>
    <w:rsid w:val="00D95EF8"/>
    <w:rsid w:val="00D96004"/>
    <w:rsid w:val="00D96132"/>
    <w:rsid w:val="00D962A3"/>
    <w:rsid w:val="00D962DF"/>
    <w:rsid w:val="00D96329"/>
    <w:rsid w:val="00D963D2"/>
    <w:rsid w:val="00D963DD"/>
    <w:rsid w:val="00D9643E"/>
    <w:rsid w:val="00D96455"/>
    <w:rsid w:val="00D964B1"/>
    <w:rsid w:val="00D96719"/>
    <w:rsid w:val="00D96794"/>
    <w:rsid w:val="00D967BF"/>
    <w:rsid w:val="00D968B9"/>
    <w:rsid w:val="00D96A49"/>
    <w:rsid w:val="00D96A68"/>
    <w:rsid w:val="00D96ABA"/>
    <w:rsid w:val="00D96ADF"/>
    <w:rsid w:val="00D96AEE"/>
    <w:rsid w:val="00D96AEF"/>
    <w:rsid w:val="00D96AF7"/>
    <w:rsid w:val="00D96CE9"/>
    <w:rsid w:val="00D96DFF"/>
    <w:rsid w:val="00D96EAF"/>
    <w:rsid w:val="00D97006"/>
    <w:rsid w:val="00D9703C"/>
    <w:rsid w:val="00D97206"/>
    <w:rsid w:val="00D972DC"/>
    <w:rsid w:val="00D9733A"/>
    <w:rsid w:val="00D97522"/>
    <w:rsid w:val="00D97584"/>
    <w:rsid w:val="00D975DA"/>
    <w:rsid w:val="00D976AD"/>
    <w:rsid w:val="00D976B3"/>
    <w:rsid w:val="00D97776"/>
    <w:rsid w:val="00D97A96"/>
    <w:rsid w:val="00D97AB4"/>
    <w:rsid w:val="00D97B56"/>
    <w:rsid w:val="00D97D3D"/>
    <w:rsid w:val="00D97DEC"/>
    <w:rsid w:val="00D97FC8"/>
    <w:rsid w:val="00D97FE3"/>
    <w:rsid w:val="00DA01FF"/>
    <w:rsid w:val="00DA0350"/>
    <w:rsid w:val="00DA0481"/>
    <w:rsid w:val="00DA05F0"/>
    <w:rsid w:val="00DA0732"/>
    <w:rsid w:val="00DA0752"/>
    <w:rsid w:val="00DA0863"/>
    <w:rsid w:val="00DA092A"/>
    <w:rsid w:val="00DA095E"/>
    <w:rsid w:val="00DA0BD3"/>
    <w:rsid w:val="00DA0BDC"/>
    <w:rsid w:val="00DA0DA2"/>
    <w:rsid w:val="00DA0DB0"/>
    <w:rsid w:val="00DA0DBB"/>
    <w:rsid w:val="00DA0E96"/>
    <w:rsid w:val="00DA0ECC"/>
    <w:rsid w:val="00DA0F2C"/>
    <w:rsid w:val="00DA0FDB"/>
    <w:rsid w:val="00DA1083"/>
    <w:rsid w:val="00DA1194"/>
    <w:rsid w:val="00DA13D0"/>
    <w:rsid w:val="00DA144E"/>
    <w:rsid w:val="00DA15F4"/>
    <w:rsid w:val="00DA166F"/>
    <w:rsid w:val="00DA18A9"/>
    <w:rsid w:val="00DA1BF2"/>
    <w:rsid w:val="00DA1C14"/>
    <w:rsid w:val="00DA1C15"/>
    <w:rsid w:val="00DA2037"/>
    <w:rsid w:val="00DA2096"/>
    <w:rsid w:val="00DA2143"/>
    <w:rsid w:val="00DA2307"/>
    <w:rsid w:val="00DA23A7"/>
    <w:rsid w:val="00DA23F8"/>
    <w:rsid w:val="00DA260B"/>
    <w:rsid w:val="00DA2698"/>
    <w:rsid w:val="00DA2783"/>
    <w:rsid w:val="00DA2829"/>
    <w:rsid w:val="00DA2A1A"/>
    <w:rsid w:val="00DA2A1B"/>
    <w:rsid w:val="00DA2A95"/>
    <w:rsid w:val="00DA2AF5"/>
    <w:rsid w:val="00DA2D6E"/>
    <w:rsid w:val="00DA2E10"/>
    <w:rsid w:val="00DA2E7A"/>
    <w:rsid w:val="00DA2FE6"/>
    <w:rsid w:val="00DA30D4"/>
    <w:rsid w:val="00DA322A"/>
    <w:rsid w:val="00DA3270"/>
    <w:rsid w:val="00DA3547"/>
    <w:rsid w:val="00DA36D2"/>
    <w:rsid w:val="00DA388F"/>
    <w:rsid w:val="00DA3A31"/>
    <w:rsid w:val="00DA3ABD"/>
    <w:rsid w:val="00DA3B15"/>
    <w:rsid w:val="00DA3B68"/>
    <w:rsid w:val="00DA3BC0"/>
    <w:rsid w:val="00DA3C9B"/>
    <w:rsid w:val="00DA3D77"/>
    <w:rsid w:val="00DA3DA3"/>
    <w:rsid w:val="00DA3DB5"/>
    <w:rsid w:val="00DA3F2A"/>
    <w:rsid w:val="00DA3F80"/>
    <w:rsid w:val="00DA3F86"/>
    <w:rsid w:val="00DA401D"/>
    <w:rsid w:val="00DA40E1"/>
    <w:rsid w:val="00DA40F0"/>
    <w:rsid w:val="00DA434A"/>
    <w:rsid w:val="00DA44CB"/>
    <w:rsid w:val="00DA45E8"/>
    <w:rsid w:val="00DA475B"/>
    <w:rsid w:val="00DA47B7"/>
    <w:rsid w:val="00DA4863"/>
    <w:rsid w:val="00DA4AF9"/>
    <w:rsid w:val="00DA4EB3"/>
    <w:rsid w:val="00DA4EC0"/>
    <w:rsid w:val="00DA516C"/>
    <w:rsid w:val="00DA5282"/>
    <w:rsid w:val="00DA54DA"/>
    <w:rsid w:val="00DA56CE"/>
    <w:rsid w:val="00DA58B7"/>
    <w:rsid w:val="00DA5969"/>
    <w:rsid w:val="00DA5B6D"/>
    <w:rsid w:val="00DA5D1E"/>
    <w:rsid w:val="00DA5D42"/>
    <w:rsid w:val="00DA5D74"/>
    <w:rsid w:val="00DA5E69"/>
    <w:rsid w:val="00DA5F0C"/>
    <w:rsid w:val="00DA5FB5"/>
    <w:rsid w:val="00DA5FEC"/>
    <w:rsid w:val="00DA6153"/>
    <w:rsid w:val="00DA615E"/>
    <w:rsid w:val="00DA6208"/>
    <w:rsid w:val="00DA62EB"/>
    <w:rsid w:val="00DA635F"/>
    <w:rsid w:val="00DA6431"/>
    <w:rsid w:val="00DA6528"/>
    <w:rsid w:val="00DA6538"/>
    <w:rsid w:val="00DA65D3"/>
    <w:rsid w:val="00DA683A"/>
    <w:rsid w:val="00DA68C3"/>
    <w:rsid w:val="00DA6AFA"/>
    <w:rsid w:val="00DA6B85"/>
    <w:rsid w:val="00DA6C20"/>
    <w:rsid w:val="00DA6CBA"/>
    <w:rsid w:val="00DA6D0A"/>
    <w:rsid w:val="00DA6E00"/>
    <w:rsid w:val="00DA6EC3"/>
    <w:rsid w:val="00DA6F8F"/>
    <w:rsid w:val="00DA71BA"/>
    <w:rsid w:val="00DA730D"/>
    <w:rsid w:val="00DA732C"/>
    <w:rsid w:val="00DA7364"/>
    <w:rsid w:val="00DA738D"/>
    <w:rsid w:val="00DA7393"/>
    <w:rsid w:val="00DA7628"/>
    <w:rsid w:val="00DA77A0"/>
    <w:rsid w:val="00DA77E8"/>
    <w:rsid w:val="00DA77E9"/>
    <w:rsid w:val="00DA7854"/>
    <w:rsid w:val="00DA7A1D"/>
    <w:rsid w:val="00DA7C42"/>
    <w:rsid w:val="00DA7C51"/>
    <w:rsid w:val="00DA7C5E"/>
    <w:rsid w:val="00DA7DD0"/>
    <w:rsid w:val="00DA7FB0"/>
    <w:rsid w:val="00DB0035"/>
    <w:rsid w:val="00DB0078"/>
    <w:rsid w:val="00DB02BA"/>
    <w:rsid w:val="00DB042A"/>
    <w:rsid w:val="00DB053F"/>
    <w:rsid w:val="00DB08E2"/>
    <w:rsid w:val="00DB08EF"/>
    <w:rsid w:val="00DB09A9"/>
    <w:rsid w:val="00DB09F0"/>
    <w:rsid w:val="00DB0A3D"/>
    <w:rsid w:val="00DB0A68"/>
    <w:rsid w:val="00DB0C8C"/>
    <w:rsid w:val="00DB0CC6"/>
    <w:rsid w:val="00DB0DBC"/>
    <w:rsid w:val="00DB0F3C"/>
    <w:rsid w:val="00DB1055"/>
    <w:rsid w:val="00DB1059"/>
    <w:rsid w:val="00DB105A"/>
    <w:rsid w:val="00DB129E"/>
    <w:rsid w:val="00DB14D7"/>
    <w:rsid w:val="00DB1667"/>
    <w:rsid w:val="00DB178B"/>
    <w:rsid w:val="00DB17F7"/>
    <w:rsid w:val="00DB1AF7"/>
    <w:rsid w:val="00DB1B08"/>
    <w:rsid w:val="00DB1D02"/>
    <w:rsid w:val="00DB1D46"/>
    <w:rsid w:val="00DB21F1"/>
    <w:rsid w:val="00DB2446"/>
    <w:rsid w:val="00DB2562"/>
    <w:rsid w:val="00DB2582"/>
    <w:rsid w:val="00DB25A7"/>
    <w:rsid w:val="00DB25B8"/>
    <w:rsid w:val="00DB2697"/>
    <w:rsid w:val="00DB26B7"/>
    <w:rsid w:val="00DB26E4"/>
    <w:rsid w:val="00DB26E6"/>
    <w:rsid w:val="00DB2878"/>
    <w:rsid w:val="00DB28CD"/>
    <w:rsid w:val="00DB2945"/>
    <w:rsid w:val="00DB2A77"/>
    <w:rsid w:val="00DB2A9E"/>
    <w:rsid w:val="00DB2BF4"/>
    <w:rsid w:val="00DB2C4F"/>
    <w:rsid w:val="00DB2CA3"/>
    <w:rsid w:val="00DB2F10"/>
    <w:rsid w:val="00DB2F4E"/>
    <w:rsid w:val="00DB2FF2"/>
    <w:rsid w:val="00DB300D"/>
    <w:rsid w:val="00DB3195"/>
    <w:rsid w:val="00DB344D"/>
    <w:rsid w:val="00DB362D"/>
    <w:rsid w:val="00DB3804"/>
    <w:rsid w:val="00DB385A"/>
    <w:rsid w:val="00DB388D"/>
    <w:rsid w:val="00DB38B5"/>
    <w:rsid w:val="00DB38CC"/>
    <w:rsid w:val="00DB3C37"/>
    <w:rsid w:val="00DB3E0D"/>
    <w:rsid w:val="00DB3F33"/>
    <w:rsid w:val="00DB3F9B"/>
    <w:rsid w:val="00DB4060"/>
    <w:rsid w:val="00DB4063"/>
    <w:rsid w:val="00DB40D0"/>
    <w:rsid w:val="00DB40F7"/>
    <w:rsid w:val="00DB41D7"/>
    <w:rsid w:val="00DB4213"/>
    <w:rsid w:val="00DB47F9"/>
    <w:rsid w:val="00DB487B"/>
    <w:rsid w:val="00DB48DC"/>
    <w:rsid w:val="00DB48E2"/>
    <w:rsid w:val="00DB4962"/>
    <w:rsid w:val="00DB49DD"/>
    <w:rsid w:val="00DB4B99"/>
    <w:rsid w:val="00DB4BD7"/>
    <w:rsid w:val="00DB4E14"/>
    <w:rsid w:val="00DB509A"/>
    <w:rsid w:val="00DB50A9"/>
    <w:rsid w:val="00DB50D1"/>
    <w:rsid w:val="00DB5202"/>
    <w:rsid w:val="00DB529C"/>
    <w:rsid w:val="00DB540C"/>
    <w:rsid w:val="00DB5645"/>
    <w:rsid w:val="00DB5687"/>
    <w:rsid w:val="00DB56A4"/>
    <w:rsid w:val="00DB5866"/>
    <w:rsid w:val="00DB5869"/>
    <w:rsid w:val="00DB5918"/>
    <w:rsid w:val="00DB5A42"/>
    <w:rsid w:val="00DB5A82"/>
    <w:rsid w:val="00DB5B05"/>
    <w:rsid w:val="00DB5CAB"/>
    <w:rsid w:val="00DB5EE5"/>
    <w:rsid w:val="00DB608C"/>
    <w:rsid w:val="00DB60CC"/>
    <w:rsid w:val="00DB61E6"/>
    <w:rsid w:val="00DB6211"/>
    <w:rsid w:val="00DB630D"/>
    <w:rsid w:val="00DB63A1"/>
    <w:rsid w:val="00DB6502"/>
    <w:rsid w:val="00DB66F2"/>
    <w:rsid w:val="00DB677B"/>
    <w:rsid w:val="00DB6BC1"/>
    <w:rsid w:val="00DB6C63"/>
    <w:rsid w:val="00DB6D75"/>
    <w:rsid w:val="00DB6EB7"/>
    <w:rsid w:val="00DB6EC7"/>
    <w:rsid w:val="00DB6ED8"/>
    <w:rsid w:val="00DB6F93"/>
    <w:rsid w:val="00DB734F"/>
    <w:rsid w:val="00DB750D"/>
    <w:rsid w:val="00DB7549"/>
    <w:rsid w:val="00DB77A1"/>
    <w:rsid w:val="00DB7882"/>
    <w:rsid w:val="00DB78AD"/>
    <w:rsid w:val="00DB7999"/>
    <w:rsid w:val="00DB7A54"/>
    <w:rsid w:val="00DB7BB7"/>
    <w:rsid w:val="00DB7CA7"/>
    <w:rsid w:val="00DB7D2D"/>
    <w:rsid w:val="00DB7E79"/>
    <w:rsid w:val="00DB7EB2"/>
    <w:rsid w:val="00DC0067"/>
    <w:rsid w:val="00DC0251"/>
    <w:rsid w:val="00DC035C"/>
    <w:rsid w:val="00DC052B"/>
    <w:rsid w:val="00DC0687"/>
    <w:rsid w:val="00DC077D"/>
    <w:rsid w:val="00DC091B"/>
    <w:rsid w:val="00DC0A80"/>
    <w:rsid w:val="00DC0B91"/>
    <w:rsid w:val="00DC0BC8"/>
    <w:rsid w:val="00DC0CBD"/>
    <w:rsid w:val="00DC0D19"/>
    <w:rsid w:val="00DC0D46"/>
    <w:rsid w:val="00DC0D4A"/>
    <w:rsid w:val="00DC0FF5"/>
    <w:rsid w:val="00DC1246"/>
    <w:rsid w:val="00DC12E7"/>
    <w:rsid w:val="00DC138D"/>
    <w:rsid w:val="00DC15FB"/>
    <w:rsid w:val="00DC1607"/>
    <w:rsid w:val="00DC16B9"/>
    <w:rsid w:val="00DC170F"/>
    <w:rsid w:val="00DC175C"/>
    <w:rsid w:val="00DC1914"/>
    <w:rsid w:val="00DC19BE"/>
    <w:rsid w:val="00DC1A7E"/>
    <w:rsid w:val="00DC1D14"/>
    <w:rsid w:val="00DC1EC5"/>
    <w:rsid w:val="00DC1F16"/>
    <w:rsid w:val="00DC22DD"/>
    <w:rsid w:val="00DC232F"/>
    <w:rsid w:val="00DC23CA"/>
    <w:rsid w:val="00DC23E8"/>
    <w:rsid w:val="00DC243D"/>
    <w:rsid w:val="00DC24E8"/>
    <w:rsid w:val="00DC267A"/>
    <w:rsid w:val="00DC2788"/>
    <w:rsid w:val="00DC2B13"/>
    <w:rsid w:val="00DC2B5D"/>
    <w:rsid w:val="00DC2BEA"/>
    <w:rsid w:val="00DC2BF8"/>
    <w:rsid w:val="00DC2DE1"/>
    <w:rsid w:val="00DC2EB8"/>
    <w:rsid w:val="00DC3035"/>
    <w:rsid w:val="00DC31E0"/>
    <w:rsid w:val="00DC343B"/>
    <w:rsid w:val="00DC35FC"/>
    <w:rsid w:val="00DC3666"/>
    <w:rsid w:val="00DC3738"/>
    <w:rsid w:val="00DC3ABB"/>
    <w:rsid w:val="00DC3B41"/>
    <w:rsid w:val="00DC3B66"/>
    <w:rsid w:val="00DC3BBE"/>
    <w:rsid w:val="00DC3D34"/>
    <w:rsid w:val="00DC3F30"/>
    <w:rsid w:val="00DC3F71"/>
    <w:rsid w:val="00DC3F86"/>
    <w:rsid w:val="00DC3FB3"/>
    <w:rsid w:val="00DC41D9"/>
    <w:rsid w:val="00DC41E8"/>
    <w:rsid w:val="00DC41F8"/>
    <w:rsid w:val="00DC42E9"/>
    <w:rsid w:val="00DC43D3"/>
    <w:rsid w:val="00DC4401"/>
    <w:rsid w:val="00DC48D7"/>
    <w:rsid w:val="00DC499E"/>
    <w:rsid w:val="00DC4B66"/>
    <w:rsid w:val="00DC4C49"/>
    <w:rsid w:val="00DC4D29"/>
    <w:rsid w:val="00DC4E5A"/>
    <w:rsid w:val="00DC4E6E"/>
    <w:rsid w:val="00DC4E96"/>
    <w:rsid w:val="00DC4EF9"/>
    <w:rsid w:val="00DC510E"/>
    <w:rsid w:val="00DC51E9"/>
    <w:rsid w:val="00DC522C"/>
    <w:rsid w:val="00DC52F8"/>
    <w:rsid w:val="00DC5386"/>
    <w:rsid w:val="00DC550E"/>
    <w:rsid w:val="00DC5552"/>
    <w:rsid w:val="00DC56D0"/>
    <w:rsid w:val="00DC593C"/>
    <w:rsid w:val="00DC5944"/>
    <w:rsid w:val="00DC59B2"/>
    <w:rsid w:val="00DC5E1D"/>
    <w:rsid w:val="00DC5E65"/>
    <w:rsid w:val="00DC6112"/>
    <w:rsid w:val="00DC6115"/>
    <w:rsid w:val="00DC6298"/>
    <w:rsid w:val="00DC6456"/>
    <w:rsid w:val="00DC648D"/>
    <w:rsid w:val="00DC6566"/>
    <w:rsid w:val="00DC6577"/>
    <w:rsid w:val="00DC68CE"/>
    <w:rsid w:val="00DC68E2"/>
    <w:rsid w:val="00DC69CE"/>
    <w:rsid w:val="00DC6AE2"/>
    <w:rsid w:val="00DC6BB9"/>
    <w:rsid w:val="00DC6BE3"/>
    <w:rsid w:val="00DC6DDF"/>
    <w:rsid w:val="00DC6E3A"/>
    <w:rsid w:val="00DC725D"/>
    <w:rsid w:val="00DC735B"/>
    <w:rsid w:val="00DC73C2"/>
    <w:rsid w:val="00DC7558"/>
    <w:rsid w:val="00DC76FE"/>
    <w:rsid w:val="00DC776E"/>
    <w:rsid w:val="00DC7793"/>
    <w:rsid w:val="00DC79A8"/>
    <w:rsid w:val="00DC7B75"/>
    <w:rsid w:val="00DC7B96"/>
    <w:rsid w:val="00DC7C24"/>
    <w:rsid w:val="00DC7C9B"/>
    <w:rsid w:val="00DC7D81"/>
    <w:rsid w:val="00DC7F40"/>
    <w:rsid w:val="00DD01C2"/>
    <w:rsid w:val="00DD0A04"/>
    <w:rsid w:val="00DD0B2D"/>
    <w:rsid w:val="00DD0EF9"/>
    <w:rsid w:val="00DD0FED"/>
    <w:rsid w:val="00DD1007"/>
    <w:rsid w:val="00DD1049"/>
    <w:rsid w:val="00DD106A"/>
    <w:rsid w:val="00DD11C0"/>
    <w:rsid w:val="00DD135C"/>
    <w:rsid w:val="00DD1437"/>
    <w:rsid w:val="00DD1689"/>
    <w:rsid w:val="00DD168B"/>
    <w:rsid w:val="00DD16E4"/>
    <w:rsid w:val="00DD1893"/>
    <w:rsid w:val="00DD1A99"/>
    <w:rsid w:val="00DD1ACD"/>
    <w:rsid w:val="00DD1BFF"/>
    <w:rsid w:val="00DD1C3A"/>
    <w:rsid w:val="00DD1C9E"/>
    <w:rsid w:val="00DD1D54"/>
    <w:rsid w:val="00DD1E37"/>
    <w:rsid w:val="00DD1E80"/>
    <w:rsid w:val="00DD1F05"/>
    <w:rsid w:val="00DD1F4B"/>
    <w:rsid w:val="00DD219C"/>
    <w:rsid w:val="00DD228F"/>
    <w:rsid w:val="00DD2663"/>
    <w:rsid w:val="00DD26C3"/>
    <w:rsid w:val="00DD2728"/>
    <w:rsid w:val="00DD2852"/>
    <w:rsid w:val="00DD28AB"/>
    <w:rsid w:val="00DD2B85"/>
    <w:rsid w:val="00DD2C16"/>
    <w:rsid w:val="00DD2CBC"/>
    <w:rsid w:val="00DD2CCC"/>
    <w:rsid w:val="00DD2DB6"/>
    <w:rsid w:val="00DD2E1A"/>
    <w:rsid w:val="00DD2F17"/>
    <w:rsid w:val="00DD2FE3"/>
    <w:rsid w:val="00DD35C7"/>
    <w:rsid w:val="00DD3690"/>
    <w:rsid w:val="00DD36DB"/>
    <w:rsid w:val="00DD3996"/>
    <w:rsid w:val="00DD39B2"/>
    <w:rsid w:val="00DD3D08"/>
    <w:rsid w:val="00DD3D73"/>
    <w:rsid w:val="00DD400B"/>
    <w:rsid w:val="00DD4010"/>
    <w:rsid w:val="00DD4021"/>
    <w:rsid w:val="00DD406E"/>
    <w:rsid w:val="00DD4331"/>
    <w:rsid w:val="00DD4405"/>
    <w:rsid w:val="00DD44C8"/>
    <w:rsid w:val="00DD45A5"/>
    <w:rsid w:val="00DD4698"/>
    <w:rsid w:val="00DD47C3"/>
    <w:rsid w:val="00DD47CB"/>
    <w:rsid w:val="00DD47D8"/>
    <w:rsid w:val="00DD4BA1"/>
    <w:rsid w:val="00DD4BEB"/>
    <w:rsid w:val="00DD4CBC"/>
    <w:rsid w:val="00DD4DB0"/>
    <w:rsid w:val="00DD4E8F"/>
    <w:rsid w:val="00DD4F97"/>
    <w:rsid w:val="00DD500F"/>
    <w:rsid w:val="00DD5025"/>
    <w:rsid w:val="00DD507F"/>
    <w:rsid w:val="00DD518D"/>
    <w:rsid w:val="00DD538E"/>
    <w:rsid w:val="00DD53FA"/>
    <w:rsid w:val="00DD54BA"/>
    <w:rsid w:val="00DD553F"/>
    <w:rsid w:val="00DD5548"/>
    <w:rsid w:val="00DD5594"/>
    <w:rsid w:val="00DD5649"/>
    <w:rsid w:val="00DD56FC"/>
    <w:rsid w:val="00DD573F"/>
    <w:rsid w:val="00DD57E3"/>
    <w:rsid w:val="00DD5804"/>
    <w:rsid w:val="00DD58D1"/>
    <w:rsid w:val="00DD59E8"/>
    <w:rsid w:val="00DD5AD9"/>
    <w:rsid w:val="00DD5E1D"/>
    <w:rsid w:val="00DD5EE0"/>
    <w:rsid w:val="00DD6053"/>
    <w:rsid w:val="00DD6397"/>
    <w:rsid w:val="00DD63F5"/>
    <w:rsid w:val="00DD63F8"/>
    <w:rsid w:val="00DD6488"/>
    <w:rsid w:val="00DD649E"/>
    <w:rsid w:val="00DD6517"/>
    <w:rsid w:val="00DD6620"/>
    <w:rsid w:val="00DD66B0"/>
    <w:rsid w:val="00DD6826"/>
    <w:rsid w:val="00DD68EA"/>
    <w:rsid w:val="00DD6C21"/>
    <w:rsid w:val="00DD6C53"/>
    <w:rsid w:val="00DD6D3B"/>
    <w:rsid w:val="00DD6DA9"/>
    <w:rsid w:val="00DD6DDF"/>
    <w:rsid w:val="00DD702C"/>
    <w:rsid w:val="00DD71D4"/>
    <w:rsid w:val="00DD7389"/>
    <w:rsid w:val="00DD74E4"/>
    <w:rsid w:val="00DD74E6"/>
    <w:rsid w:val="00DD75C1"/>
    <w:rsid w:val="00DD7749"/>
    <w:rsid w:val="00DD7781"/>
    <w:rsid w:val="00DD77ED"/>
    <w:rsid w:val="00DD784B"/>
    <w:rsid w:val="00DD784E"/>
    <w:rsid w:val="00DD7A06"/>
    <w:rsid w:val="00DD7A77"/>
    <w:rsid w:val="00DD7A89"/>
    <w:rsid w:val="00DD7B55"/>
    <w:rsid w:val="00DD7BBB"/>
    <w:rsid w:val="00DD7CD2"/>
    <w:rsid w:val="00DD7E25"/>
    <w:rsid w:val="00DE00A2"/>
    <w:rsid w:val="00DE0100"/>
    <w:rsid w:val="00DE0148"/>
    <w:rsid w:val="00DE014F"/>
    <w:rsid w:val="00DE0A06"/>
    <w:rsid w:val="00DE0A3D"/>
    <w:rsid w:val="00DE0D05"/>
    <w:rsid w:val="00DE0F2B"/>
    <w:rsid w:val="00DE10B6"/>
    <w:rsid w:val="00DE10C5"/>
    <w:rsid w:val="00DE11A1"/>
    <w:rsid w:val="00DE128A"/>
    <w:rsid w:val="00DE12C9"/>
    <w:rsid w:val="00DE13C2"/>
    <w:rsid w:val="00DE158C"/>
    <w:rsid w:val="00DE15C6"/>
    <w:rsid w:val="00DE1613"/>
    <w:rsid w:val="00DE16C3"/>
    <w:rsid w:val="00DE1875"/>
    <w:rsid w:val="00DE1AC2"/>
    <w:rsid w:val="00DE1C2A"/>
    <w:rsid w:val="00DE1C41"/>
    <w:rsid w:val="00DE1C47"/>
    <w:rsid w:val="00DE1C54"/>
    <w:rsid w:val="00DE1CA5"/>
    <w:rsid w:val="00DE1D14"/>
    <w:rsid w:val="00DE1FCF"/>
    <w:rsid w:val="00DE2170"/>
    <w:rsid w:val="00DE21D8"/>
    <w:rsid w:val="00DE2290"/>
    <w:rsid w:val="00DE2329"/>
    <w:rsid w:val="00DE251A"/>
    <w:rsid w:val="00DE25A6"/>
    <w:rsid w:val="00DE25BD"/>
    <w:rsid w:val="00DE25CB"/>
    <w:rsid w:val="00DE27D7"/>
    <w:rsid w:val="00DE281C"/>
    <w:rsid w:val="00DE28C0"/>
    <w:rsid w:val="00DE29D4"/>
    <w:rsid w:val="00DE29D5"/>
    <w:rsid w:val="00DE2A8C"/>
    <w:rsid w:val="00DE2BC9"/>
    <w:rsid w:val="00DE2FF8"/>
    <w:rsid w:val="00DE30C9"/>
    <w:rsid w:val="00DE3225"/>
    <w:rsid w:val="00DE3226"/>
    <w:rsid w:val="00DE33F7"/>
    <w:rsid w:val="00DE3667"/>
    <w:rsid w:val="00DE386B"/>
    <w:rsid w:val="00DE39FB"/>
    <w:rsid w:val="00DE3BBB"/>
    <w:rsid w:val="00DE3C6B"/>
    <w:rsid w:val="00DE3CE4"/>
    <w:rsid w:val="00DE3DDD"/>
    <w:rsid w:val="00DE3E4E"/>
    <w:rsid w:val="00DE3FCF"/>
    <w:rsid w:val="00DE40F1"/>
    <w:rsid w:val="00DE42B8"/>
    <w:rsid w:val="00DE43D3"/>
    <w:rsid w:val="00DE45A4"/>
    <w:rsid w:val="00DE45E9"/>
    <w:rsid w:val="00DE4779"/>
    <w:rsid w:val="00DE47A9"/>
    <w:rsid w:val="00DE48AD"/>
    <w:rsid w:val="00DE4AB4"/>
    <w:rsid w:val="00DE4BC8"/>
    <w:rsid w:val="00DE4C36"/>
    <w:rsid w:val="00DE4D6A"/>
    <w:rsid w:val="00DE4DAE"/>
    <w:rsid w:val="00DE4EAF"/>
    <w:rsid w:val="00DE4F89"/>
    <w:rsid w:val="00DE50EA"/>
    <w:rsid w:val="00DE5131"/>
    <w:rsid w:val="00DE5156"/>
    <w:rsid w:val="00DE516A"/>
    <w:rsid w:val="00DE52E4"/>
    <w:rsid w:val="00DE53DE"/>
    <w:rsid w:val="00DE544A"/>
    <w:rsid w:val="00DE5820"/>
    <w:rsid w:val="00DE587D"/>
    <w:rsid w:val="00DE58A1"/>
    <w:rsid w:val="00DE58D1"/>
    <w:rsid w:val="00DE59A3"/>
    <w:rsid w:val="00DE5A97"/>
    <w:rsid w:val="00DE5CE3"/>
    <w:rsid w:val="00DE5E30"/>
    <w:rsid w:val="00DE5E70"/>
    <w:rsid w:val="00DE6159"/>
    <w:rsid w:val="00DE6285"/>
    <w:rsid w:val="00DE62AE"/>
    <w:rsid w:val="00DE6308"/>
    <w:rsid w:val="00DE6373"/>
    <w:rsid w:val="00DE6402"/>
    <w:rsid w:val="00DE6415"/>
    <w:rsid w:val="00DE65ED"/>
    <w:rsid w:val="00DE6640"/>
    <w:rsid w:val="00DE67DC"/>
    <w:rsid w:val="00DE696B"/>
    <w:rsid w:val="00DE6A88"/>
    <w:rsid w:val="00DE6B10"/>
    <w:rsid w:val="00DE6C67"/>
    <w:rsid w:val="00DE6E77"/>
    <w:rsid w:val="00DE6E99"/>
    <w:rsid w:val="00DE6EE6"/>
    <w:rsid w:val="00DE6F04"/>
    <w:rsid w:val="00DE6FC5"/>
    <w:rsid w:val="00DE7138"/>
    <w:rsid w:val="00DE71A4"/>
    <w:rsid w:val="00DE71C3"/>
    <w:rsid w:val="00DE71CD"/>
    <w:rsid w:val="00DE728D"/>
    <w:rsid w:val="00DE7322"/>
    <w:rsid w:val="00DE740F"/>
    <w:rsid w:val="00DE7512"/>
    <w:rsid w:val="00DE758E"/>
    <w:rsid w:val="00DE75AC"/>
    <w:rsid w:val="00DE75D9"/>
    <w:rsid w:val="00DE7608"/>
    <w:rsid w:val="00DE774C"/>
    <w:rsid w:val="00DE7915"/>
    <w:rsid w:val="00DE79B7"/>
    <w:rsid w:val="00DE7A2B"/>
    <w:rsid w:val="00DE7A45"/>
    <w:rsid w:val="00DE7B50"/>
    <w:rsid w:val="00DE7BB3"/>
    <w:rsid w:val="00DE7C7F"/>
    <w:rsid w:val="00DE7F1F"/>
    <w:rsid w:val="00DE7FB9"/>
    <w:rsid w:val="00DF0062"/>
    <w:rsid w:val="00DF01F9"/>
    <w:rsid w:val="00DF02EB"/>
    <w:rsid w:val="00DF03AF"/>
    <w:rsid w:val="00DF048E"/>
    <w:rsid w:val="00DF0502"/>
    <w:rsid w:val="00DF067F"/>
    <w:rsid w:val="00DF0755"/>
    <w:rsid w:val="00DF07FA"/>
    <w:rsid w:val="00DF08FA"/>
    <w:rsid w:val="00DF0A0F"/>
    <w:rsid w:val="00DF0A8F"/>
    <w:rsid w:val="00DF0B43"/>
    <w:rsid w:val="00DF0C12"/>
    <w:rsid w:val="00DF0C32"/>
    <w:rsid w:val="00DF0D90"/>
    <w:rsid w:val="00DF0E61"/>
    <w:rsid w:val="00DF0E73"/>
    <w:rsid w:val="00DF1389"/>
    <w:rsid w:val="00DF13A0"/>
    <w:rsid w:val="00DF14C9"/>
    <w:rsid w:val="00DF14CE"/>
    <w:rsid w:val="00DF1832"/>
    <w:rsid w:val="00DF18DD"/>
    <w:rsid w:val="00DF1A4C"/>
    <w:rsid w:val="00DF1B63"/>
    <w:rsid w:val="00DF1CC2"/>
    <w:rsid w:val="00DF1EF0"/>
    <w:rsid w:val="00DF1FBB"/>
    <w:rsid w:val="00DF2058"/>
    <w:rsid w:val="00DF2323"/>
    <w:rsid w:val="00DF2556"/>
    <w:rsid w:val="00DF26D1"/>
    <w:rsid w:val="00DF274A"/>
    <w:rsid w:val="00DF28B6"/>
    <w:rsid w:val="00DF2A7D"/>
    <w:rsid w:val="00DF2B01"/>
    <w:rsid w:val="00DF2D41"/>
    <w:rsid w:val="00DF2D6A"/>
    <w:rsid w:val="00DF2E77"/>
    <w:rsid w:val="00DF2F77"/>
    <w:rsid w:val="00DF3242"/>
    <w:rsid w:val="00DF327F"/>
    <w:rsid w:val="00DF32D7"/>
    <w:rsid w:val="00DF3394"/>
    <w:rsid w:val="00DF33A9"/>
    <w:rsid w:val="00DF3722"/>
    <w:rsid w:val="00DF3780"/>
    <w:rsid w:val="00DF3D6F"/>
    <w:rsid w:val="00DF3E32"/>
    <w:rsid w:val="00DF3FD4"/>
    <w:rsid w:val="00DF402C"/>
    <w:rsid w:val="00DF41F5"/>
    <w:rsid w:val="00DF4260"/>
    <w:rsid w:val="00DF433B"/>
    <w:rsid w:val="00DF436B"/>
    <w:rsid w:val="00DF436D"/>
    <w:rsid w:val="00DF44B2"/>
    <w:rsid w:val="00DF4690"/>
    <w:rsid w:val="00DF496A"/>
    <w:rsid w:val="00DF4B9B"/>
    <w:rsid w:val="00DF4BD3"/>
    <w:rsid w:val="00DF4C6B"/>
    <w:rsid w:val="00DF4DDD"/>
    <w:rsid w:val="00DF4F10"/>
    <w:rsid w:val="00DF5083"/>
    <w:rsid w:val="00DF51F4"/>
    <w:rsid w:val="00DF5253"/>
    <w:rsid w:val="00DF5291"/>
    <w:rsid w:val="00DF5379"/>
    <w:rsid w:val="00DF55AE"/>
    <w:rsid w:val="00DF5693"/>
    <w:rsid w:val="00DF56A8"/>
    <w:rsid w:val="00DF572B"/>
    <w:rsid w:val="00DF5A1F"/>
    <w:rsid w:val="00DF5AC6"/>
    <w:rsid w:val="00DF5BF6"/>
    <w:rsid w:val="00DF5E42"/>
    <w:rsid w:val="00DF5EDC"/>
    <w:rsid w:val="00DF5F37"/>
    <w:rsid w:val="00DF618C"/>
    <w:rsid w:val="00DF61D0"/>
    <w:rsid w:val="00DF6604"/>
    <w:rsid w:val="00DF6611"/>
    <w:rsid w:val="00DF66C9"/>
    <w:rsid w:val="00DF681D"/>
    <w:rsid w:val="00DF685C"/>
    <w:rsid w:val="00DF6860"/>
    <w:rsid w:val="00DF6863"/>
    <w:rsid w:val="00DF69E9"/>
    <w:rsid w:val="00DF6A0A"/>
    <w:rsid w:val="00DF6B07"/>
    <w:rsid w:val="00DF6B76"/>
    <w:rsid w:val="00DF6BAB"/>
    <w:rsid w:val="00DF6E67"/>
    <w:rsid w:val="00DF6F51"/>
    <w:rsid w:val="00DF6F91"/>
    <w:rsid w:val="00DF7415"/>
    <w:rsid w:val="00DF7500"/>
    <w:rsid w:val="00DF759E"/>
    <w:rsid w:val="00DF7606"/>
    <w:rsid w:val="00DF762C"/>
    <w:rsid w:val="00DF77D8"/>
    <w:rsid w:val="00DF7854"/>
    <w:rsid w:val="00DF78B9"/>
    <w:rsid w:val="00DF7991"/>
    <w:rsid w:val="00DF79C4"/>
    <w:rsid w:val="00DF7AAC"/>
    <w:rsid w:val="00DF7B3F"/>
    <w:rsid w:val="00DF7BE7"/>
    <w:rsid w:val="00DF7C29"/>
    <w:rsid w:val="00DF7C3D"/>
    <w:rsid w:val="00DF7E9B"/>
    <w:rsid w:val="00E0013C"/>
    <w:rsid w:val="00E00148"/>
    <w:rsid w:val="00E002AB"/>
    <w:rsid w:val="00E00311"/>
    <w:rsid w:val="00E003AF"/>
    <w:rsid w:val="00E003FC"/>
    <w:rsid w:val="00E00566"/>
    <w:rsid w:val="00E005A2"/>
    <w:rsid w:val="00E005DD"/>
    <w:rsid w:val="00E008C9"/>
    <w:rsid w:val="00E009B5"/>
    <w:rsid w:val="00E00A42"/>
    <w:rsid w:val="00E00B1C"/>
    <w:rsid w:val="00E00BA6"/>
    <w:rsid w:val="00E00F71"/>
    <w:rsid w:val="00E01090"/>
    <w:rsid w:val="00E01299"/>
    <w:rsid w:val="00E01432"/>
    <w:rsid w:val="00E0149C"/>
    <w:rsid w:val="00E01596"/>
    <w:rsid w:val="00E015E4"/>
    <w:rsid w:val="00E01683"/>
    <w:rsid w:val="00E01884"/>
    <w:rsid w:val="00E0195C"/>
    <w:rsid w:val="00E01A01"/>
    <w:rsid w:val="00E01A15"/>
    <w:rsid w:val="00E01C16"/>
    <w:rsid w:val="00E01D88"/>
    <w:rsid w:val="00E01DBD"/>
    <w:rsid w:val="00E01E44"/>
    <w:rsid w:val="00E020BA"/>
    <w:rsid w:val="00E02229"/>
    <w:rsid w:val="00E02345"/>
    <w:rsid w:val="00E0248D"/>
    <w:rsid w:val="00E02561"/>
    <w:rsid w:val="00E02768"/>
    <w:rsid w:val="00E028E5"/>
    <w:rsid w:val="00E02943"/>
    <w:rsid w:val="00E029B1"/>
    <w:rsid w:val="00E02B3B"/>
    <w:rsid w:val="00E02B89"/>
    <w:rsid w:val="00E02BAE"/>
    <w:rsid w:val="00E02E69"/>
    <w:rsid w:val="00E02E92"/>
    <w:rsid w:val="00E033F5"/>
    <w:rsid w:val="00E03730"/>
    <w:rsid w:val="00E0373D"/>
    <w:rsid w:val="00E03771"/>
    <w:rsid w:val="00E0377E"/>
    <w:rsid w:val="00E03960"/>
    <w:rsid w:val="00E03B78"/>
    <w:rsid w:val="00E03C51"/>
    <w:rsid w:val="00E03D1C"/>
    <w:rsid w:val="00E03E18"/>
    <w:rsid w:val="00E03E29"/>
    <w:rsid w:val="00E03E41"/>
    <w:rsid w:val="00E0417B"/>
    <w:rsid w:val="00E0422E"/>
    <w:rsid w:val="00E04369"/>
    <w:rsid w:val="00E0436C"/>
    <w:rsid w:val="00E04398"/>
    <w:rsid w:val="00E04422"/>
    <w:rsid w:val="00E04623"/>
    <w:rsid w:val="00E04820"/>
    <w:rsid w:val="00E0485A"/>
    <w:rsid w:val="00E048D1"/>
    <w:rsid w:val="00E04CE7"/>
    <w:rsid w:val="00E04CFE"/>
    <w:rsid w:val="00E04DB6"/>
    <w:rsid w:val="00E04DC1"/>
    <w:rsid w:val="00E04E33"/>
    <w:rsid w:val="00E04F07"/>
    <w:rsid w:val="00E04F7A"/>
    <w:rsid w:val="00E05054"/>
    <w:rsid w:val="00E05194"/>
    <w:rsid w:val="00E052EF"/>
    <w:rsid w:val="00E05344"/>
    <w:rsid w:val="00E055F0"/>
    <w:rsid w:val="00E056D5"/>
    <w:rsid w:val="00E05742"/>
    <w:rsid w:val="00E057FD"/>
    <w:rsid w:val="00E05A4F"/>
    <w:rsid w:val="00E05A56"/>
    <w:rsid w:val="00E05AD8"/>
    <w:rsid w:val="00E05B3D"/>
    <w:rsid w:val="00E05B54"/>
    <w:rsid w:val="00E05C56"/>
    <w:rsid w:val="00E05CA8"/>
    <w:rsid w:val="00E05D7B"/>
    <w:rsid w:val="00E05DB2"/>
    <w:rsid w:val="00E05EA0"/>
    <w:rsid w:val="00E05FF2"/>
    <w:rsid w:val="00E060DA"/>
    <w:rsid w:val="00E061FB"/>
    <w:rsid w:val="00E063B8"/>
    <w:rsid w:val="00E06457"/>
    <w:rsid w:val="00E064C9"/>
    <w:rsid w:val="00E065A1"/>
    <w:rsid w:val="00E06624"/>
    <w:rsid w:val="00E06633"/>
    <w:rsid w:val="00E067FC"/>
    <w:rsid w:val="00E068B3"/>
    <w:rsid w:val="00E0696B"/>
    <w:rsid w:val="00E06A28"/>
    <w:rsid w:val="00E06B6F"/>
    <w:rsid w:val="00E06B7D"/>
    <w:rsid w:val="00E06BB2"/>
    <w:rsid w:val="00E06C66"/>
    <w:rsid w:val="00E06DA0"/>
    <w:rsid w:val="00E06ECE"/>
    <w:rsid w:val="00E06EE7"/>
    <w:rsid w:val="00E06F55"/>
    <w:rsid w:val="00E07019"/>
    <w:rsid w:val="00E07207"/>
    <w:rsid w:val="00E07307"/>
    <w:rsid w:val="00E07340"/>
    <w:rsid w:val="00E073A2"/>
    <w:rsid w:val="00E073D0"/>
    <w:rsid w:val="00E076DC"/>
    <w:rsid w:val="00E07876"/>
    <w:rsid w:val="00E07A8F"/>
    <w:rsid w:val="00E07B08"/>
    <w:rsid w:val="00E07B1B"/>
    <w:rsid w:val="00E07E5C"/>
    <w:rsid w:val="00E07E60"/>
    <w:rsid w:val="00E07F7C"/>
    <w:rsid w:val="00E07FA5"/>
    <w:rsid w:val="00E07FAA"/>
    <w:rsid w:val="00E1007C"/>
    <w:rsid w:val="00E10238"/>
    <w:rsid w:val="00E10319"/>
    <w:rsid w:val="00E1031C"/>
    <w:rsid w:val="00E10434"/>
    <w:rsid w:val="00E1051C"/>
    <w:rsid w:val="00E1059F"/>
    <w:rsid w:val="00E105C8"/>
    <w:rsid w:val="00E106E7"/>
    <w:rsid w:val="00E1074E"/>
    <w:rsid w:val="00E1082F"/>
    <w:rsid w:val="00E10846"/>
    <w:rsid w:val="00E10875"/>
    <w:rsid w:val="00E10876"/>
    <w:rsid w:val="00E10904"/>
    <w:rsid w:val="00E10970"/>
    <w:rsid w:val="00E109B7"/>
    <w:rsid w:val="00E10A8C"/>
    <w:rsid w:val="00E10A92"/>
    <w:rsid w:val="00E10AE0"/>
    <w:rsid w:val="00E10D2D"/>
    <w:rsid w:val="00E10D4A"/>
    <w:rsid w:val="00E10EE0"/>
    <w:rsid w:val="00E10F90"/>
    <w:rsid w:val="00E11219"/>
    <w:rsid w:val="00E1138E"/>
    <w:rsid w:val="00E11431"/>
    <w:rsid w:val="00E114DF"/>
    <w:rsid w:val="00E116AB"/>
    <w:rsid w:val="00E11784"/>
    <w:rsid w:val="00E119B0"/>
    <w:rsid w:val="00E11A96"/>
    <w:rsid w:val="00E11AF6"/>
    <w:rsid w:val="00E11C43"/>
    <w:rsid w:val="00E11CA7"/>
    <w:rsid w:val="00E11DE4"/>
    <w:rsid w:val="00E11E69"/>
    <w:rsid w:val="00E11F85"/>
    <w:rsid w:val="00E12284"/>
    <w:rsid w:val="00E122C7"/>
    <w:rsid w:val="00E12411"/>
    <w:rsid w:val="00E1248A"/>
    <w:rsid w:val="00E1253C"/>
    <w:rsid w:val="00E1253D"/>
    <w:rsid w:val="00E125B9"/>
    <w:rsid w:val="00E126DA"/>
    <w:rsid w:val="00E1271D"/>
    <w:rsid w:val="00E12B68"/>
    <w:rsid w:val="00E12C61"/>
    <w:rsid w:val="00E12D20"/>
    <w:rsid w:val="00E12D2B"/>
    <w:rsid w:val="00E12E40"/>
    <w:rsid w:val="00E12E4A"/>
    <w:rsid w:val="00E12E84"/>
    <w:rsid w:val="00E12EC2"/>
    <w:rsid w:val="00E1308E"/>
    <w:rsid w:val="00E132E7"/>
    <w:rsid w:val="00E13348"/>
    <w:rsid w:val="00E133B2"/>
    <w:rsid w:val="00E13438"/>
    <w:rsid w:val="00E13465"/>
    <w:rsid w:val="00E13474"/>
    <w:rsid w:val="00E134EB"/>
    <w:rsid w:val="00E135C4"/>
    <w:rsid w:val="00E13620"/>
    <w:rsid w:val="00E136A1"/>
    <w:rsid w:val="00E13735"/>
    <w:rsid w:val="00E13999"/>
    <w:rsid w:val="00E13B9C"/>
    <w:rsid w:val="00E13D26"/>
    <w:rsid w:val="00E13D63"/>
    <w:rsid w:val="00E13DA7"/>
    <w:rsid w:val="00E13DE1"/>
    <w:rsid w:val="00E13E26"/>
    <w:rsid w:val="00E13E35"/>
    <w:rsid w:val="00E13F40"/>
    <w:rsid w:val="00E13FB4"/>
    <w:rsid w:val="00E14072"/>
    <w:rsid w:val="00E14127"/>
    <w:rsid w:val="00E14152"/>
    <w:rsid w:val="00E141C4"/>
    <w:rsid w:val="00E141CD"/>
    <w:rsid w:val="00E141D2"/>
    <w:rsid w:val="00E142BC"/>
    <w:rsid w:val="00E14323"/>
    <w:rsid w:val="00E143D0"/>
    <w:rsid w:val="00E1440C"/>
    <w:rsid w:val="00E144FF"/>
    <w:rsid w:val="00E145D6"/>
    <w:rsid w:val="00E1461C"/>
    <w:rsid w:val="00E14671"/>
    <w:rsid w:val="00E14817"/>
    <w:rsid w:val="00E14A0D"/>
    <w:rsid w:val="00E14B7F"/>
    <w:rsid w:val="00E14BC3"/>
    <w:rsid w:val="00E14C0D"/>
    <w:rsid w:val="00E14C80"/>
    <w:rsid w:val="00E14E03"/>
    <w:rsid w:val="00E1525A"/>
    <w:rsid w:val="00E15303"/>
    <w:rsid w:val="00E153E5"/>
    <w:rsid w:val="00E15459"/>
    <w:rsid w:val="00E15470"/>
    <w:rsid w:val="00E15486"/>
    <w:rsid w:val="00E15494"/>
    <w:rsid w:val="00E154B7"/>
    <w:rsid w:val="00E15517"/>
    <w:rsid w:val="00E155A4"/>
    <w:rsid w:val="00E155C5"/>
    <w:rsid w:val="00E155F9"/>
    <w:rsid w:val="00E15788"/>
    <w:rsid w:val="00E15981"/>
    <w:rsid w:val="00E15BAC"/>
    <w:rsid w:val="00E15BF1"/>
    <w:rsid w:val="00E15C43"/>
    <w:rsid w:val="00E15C47"/>
    <w:rsid w:val="00E15C69"/>
    <w:rsid w:val="00E15C75"/>
    <w:rsid w:val="00E15CBC"/>
    <w:rsid w:val="00E15D64"/>
    <w:rsid w:val="00E15D6F"/>
    <w:rsid w:val="00E160C5"/>
    <w:rsid w:val="00E1625A"/>
    <w:rsid w:val="00E163AA"/>
    <w:rsid w:val="00E163C7"/>
    <w:rsid w:val="00E1649F"/>
    <w:rsid w:val="00E16562"/>
    <w:rsid w:val="00E16590"/>
    <w:rsid w:val="00E16617"/>
    <w:rsid w:val="00E16700"/>
    <w:rsid w:val="00E168B3"/>
    <w:rsid w:val="00E168BB"/>
    <w:rsid w:val="00E169B8"/>
    <w:rsid w:val="00E16B85"/>
    <w:rsid w:val="00E16CC4"/>
    <w:rsid w:val="00E16F3B"/>
    <w:rsid w:val="00E16F67"/>
    <w:rsid w:val="00E1702F"/>
    <w:rsid w:val="00E17069"/>
    <w:rsid w:val="00E17244"/>
    <w:rsid w:val="00E17276"/>
    <w:rsid w:val="00E174A0"/>
    <w:rsid w:val="00E175D6"/>
    <w:rsid w:val="00E17748"/>
    <w:rsid w:val="00E177C3"/>
    <w:rsid w:val="00E17A6F"/>
    <w:rsid w:val="00E17BBB"/>
    <w:rsid w:val="00E17D04"/>
    <w:rsid w:val="00E17D7B"/>
    <w:rsid w:val="00E17F55"/>
    <w:rsid w:val="00E17FCB"/>
    <w:rsid w:val="00E2003C"/>
    <w:rsid w:val="00E20061"/>
    <w:rsid w:val="00E20099"/>
    <w:rsid w:val="00E20352"/>
    <w:rsid w:val="00E20479"/>
    <w:rsid w:val="00E205E4"/>
    <w:rsid w:val="00E2085B"/>
    <w:rsid w:val="00E2097E"/>
    <w:rsid w:val="00E20AB8"/>
    <w:rsid w:val="00E20B2B"/>
    <w:rsid w:val="00E20B3B"/>
    <w:rsid w:val="00E20DAC"/>
    <w:rsid w:val="00E21014"/>
    <w:rsid w:val="00E210A4"/>
    <w:rsid w:val="00E21243"/>
    <w:rsid w:val="00E21256"/>
    <w:rsid w:val="00E21849"/>
    <w:rsid w:val="00E21856"/>
    <w:rsid w:val="00E218A3"/>
    <w:rsid w:val="00E218E6"/>
    <w:rsid w:val="00E21A31"/>
    <w:rsid w:val="00E21ABB"/>
    <w:rsid w:val="00E21BB5"/>
    <w:rsid w:val="00E21C20"/>
    <w:rsid w:val="00E21D30"/>
    <w:rsid w:val="00E21EEA"/>
    <w:rsid w:val="00E21F0F"/>
    <w:rsid w:val="00E21F75"/>
    <w:rsid w:val="00E22136"/>
    <w:rsid w:val="00E2228B"/>
    <w:rsid w:val="00E22330"/>
    <w:rsid w:val="00E223F0"/>
    <w:rsid w:val="00E223F7"/>
    <w:rsid w:val="00E2268D"/>
    <w:rsid w:val="00E22751"/>
    <w:rsid w:val="00E22763"/>
    <w:rsid w:val="00E22900"/>
    <w:rsid w:val="00E229F8"/>
    <w:rsid w:val="00E22A22"/>
    <w:rsid w:val="00E22B12"/>
    <w:rsid w:val="00E23336"/>
    <w:rsid w:val="00E234EF"/>
    <w:rsid w:val="00E234F6"/>
    <w:rsid w:val="00E23532"/>
    <w:rsid w:val="00E2355C"/>
    <w:rsid w:val="00E2355F"/>
    <w:rsid w:val="00E2379C"/>
    <w:rsid w:val="00E239A7"/>
    <w:rsid w:val="00E239B5"/>
    <w:rsid w:val="00E23AF4"/>
    <w:rsid w:val="00E23E77"/>
    <w:rsid w:val="00E23FCF"/>
    <w:rsid w:val="00E2401E"/>
    <w:rsid w:val="00E24035"/>
    <w:rsid w:val="00E24143"/>
    <w:rsid w:val="00E241E0"/>
    <w:rsid w:val="00E2420C"/>
    <w:rsid w:val="00E24298"/>
    <w:rsid w:val="00E242E3"/>
    <w:rsid w:val="00E2430F"/>
    <w:rsid w:val="00E2434C"/>
    <w:rsid w:val="00E24382"/>
    <w:rsid w:val="00E2455F"/>
    <w:rsid w:val="00E24570"/>
    <w:rsid w:val="00E245B4"/>
    <w:rsid w:val="00E245BA"/>
    <w:rsid w:val="00E2465F"/>
    <w:rsid w:val="00E24798"/>
    <w:rsid w:val="00E2482E"/>
    <w:rsid w:val="00E248F5"/>
    <w:rsid w:val="00E2492C"/>
    <w:rsid w:val="00E249BE"/>
    <w:rsid w:val="00E24A91"/>
    <w:rsid w:val="00E24B37"/>
    <w:rsid w:val="00E24EC0"/>
    <w:rsid w:val="00E24F7D"/>
    <w:rsid w:val="00E24F82"/>
    <w:rsid w:val="00E2519F"/>
    <w:rsid w:val="00E253F2"/>
    <w:rsid w:val="00E2542A"/>
    <w:rsid w:val="00E254C5"/>
    <w:rsid w:val="00E25600"/>
    <w:rsid w:val="00E2562B"/>
    <w:rsid w:val="00E257F0"/>
    <w:rsid w:val="00E25881"/>
    <w:rsid w:val="00E2591D"/>
    <w:rsid w:val="00E25A6B"/>
    <w:rsid w:val="00E25B55"/>
    <w:rsid w:val="00E25C27"/>
    <w:rsid w:val="00E25C6A"/>
    <w:rsid w:val="00E25ECA"/>
    <w:rsid w:val="00E2607E"/>
    <w:rsid w:val="00E260E9"/>
    <w:rsid w:val="00E2656C"/>
    <w:rsid w:val="00E2665D"/>
    <w:rsid w:val="00E26A04"/>
    <w:rsid w:val="00E26BF5"/>
    <w:rsid w:val="00E26CB8"/>
    <w:rsid w:val="00E26E92"/>
    <w:rsid w:val="00E26ED3"/>
    <w:rsid w:val="00E26F66"/>
    <w:rsid w:val="00E27000"/>
    <w:rsid w:val="00E270E8"/>
    <w:rsid w:val="00E271E5"/>
    <w:rsid w:val="00E27271"/>
    <w:rsid w:val="00E272F7"/>
    <w:rsid w:val="00E2755B"/>
    <w:rsid w:val="00E27681"/>
    <w:rsid w:val="00E27776"/>
    <w:rsid w:val="00E27799"/>
    <w:rsid w:val="00E27806"/>
    <w:rsid w:val="00E278F1"/>
    <w:rsid w:val="00E2797F"/>
    <w:rsid w:val="00E27BC8"/>
    <w:rsid w:val="00E27D12"/>
    <w:rsid w:val="00E27D1A"/>
    <w:rsid w:val="00E27E11"/>
    <w:rsid w:val="00E27E68"/>
    <w:rsid w:val="00E30170"/>
    <w:rsid w:val="00E3031B"/>
    <w:rsid w:val="00E303B2"/>
    <w:rsid w:val="00E303F8"/>
    <w:rsid w:val="00E304B8"/>
    <w:rsid w:val="00E304C6"/>
    <w:rsid w:val="00E3053F"/>
    <w:rsid w:val="00E306A9"/>
    <w:rsid w:val="00E306D5"/>
    <w:rsid w:val="00E306E6"/>
    <w:rsid w:val="00E30738"/>
    <w:rsid w:val="00E308E7"/>
    <w:rsid w:val="00E3092F"/>
    <w:rsid w:val="00E30955"/>
    <w:rsid w:val="00E30C65"/>
    <w:rsid w:val="00E30CFB"/>
    <w:rsid w:val="00E30D39"/>
    <w:rsid w:val="00E30D91"/>
    <w:rsid w:val="00E30F1C"/>
    <w:rsid w:val="00E31180"/>
    <w:rsid w:val="00E312D2"/>
    <w:rsid w:val="00E31426"/>
    <w:rsid w:val="00E3160D"/>
    <w:rsid w:val="00E31666"/>
    <w:rsid w:val="00E31697"/>
    <w:rsid w:val="00E31728"/>
    <w:rsid w:val="00E31C64"/>
    <w:rsid w:val="00E31CFD"/>
    <w:rsid w:val="00E31D94"/>
    <w:rsid w:val="00E31E0D"/>
    <w:rsid w:val="00E31EBC"/>
    <w:rsid w:val="00E31EBF"/>
    <w:rsid w:val="00E3200E"/>
    <w:rsid w:val="00E32046"/>
    <w:rsid w:val="00E320E3"/>
    <w:rsid w:val="00E320E5"/>
    <w:rsid w:val="00E322C1"/>
    <w:rsid w:val="00E322DE"/>
    <w:rsid w:val="00E32455"/>
    <w:rsid w:val="00E324BE"/>
    <w:rsid w:val="00E32633"/>
    <w:rsid w:val="00E32644"/>
    <w:rsid w:val="00E32672"/>
    <w:rsid w:val="00E32732"/>
    <w:rsid w:val="00E32808"/>
    <w:rsid w:val="00E32993"/>
    <w:rsid w:val="00E32ABC"/>
    <w:rsid w:val="00E32C4C"/>
    <w:rsid w:val="00E32D04"/>
    <w:rsid w:val="00E32DE2"/>
    <w:rsid w:val="00E32EAE"/>
    <w:rsid w:val="00E32EE0"/>
    <w:rsid w:val="00E32FC7"/>
    <w:rsid w:val="00E33195"/>
    <w:rsid w:val="00E331F4"/>
    <w:rsid w:val="00E332AA"/>
    <w:rsid w:val="00E3336B"/>
    <w:rsid w:val="00E333A1"/>
    <w:rsid w:val="00E33405"/>
    <w:rsid w:val="00E337E1"/>
    <w:rsid w:val="00E3389F"/>
    <w:rsid w:val="00E3393A"/>
    <w:rsid w:val="00E33A69"/>
    <w:rsid w:val="00E33A8A"/>
    <w:rsid w:val="00E33ADC"/>
    <w:rsid w:val="00E33B03"/>
    <w:rsid w:val="00E33BCA"/>
    <w:rsid w:val="00E33BDA"/>
    <w:rsid w:val="00E33DCA"/>
    <w:rsid w:val="00E33F10"/>
    <w:rsid w:val="00E33FCB"/>
    <w:rsid w:val="00E34264"/>
    <w:rsid w:val="00E343BD"/>
    <w:rsid w:val="00E34520"/>
    <w:rsid w:val="00E34585"/>
    <w:rsid w:val="00E34699"/>
    <w:rsid w:val="00E34772"/>
    <w:rsid w:val="00E34A19"/>
    <w:rsid w:val="00E34A9B"/>
    <w:rsid w:val="00E34AA8"/>
    <w:rsid w:val="00E34AE3"/>
    <w:rsid w:val="00E34BAB"/>
    <w:rsid w:val="00E34C84"/>
    <w:rsid w:val="00E34EAE"/>
    <w:rsid w:val="00E34F04"/>
    <w:rsid w:val="00E34F7D"/>
    <w:rsid w:val="00E34FB0"/>
    <w:rsid w:val="00E35029"/>
    <w:rsid w:val="00E35230"/>
    <w:rsid w:val="00E35325"/>
    <w:rsid w:val="00E354BF"/>
    <w:rsid w:val="00E354D4"/>
    <w:rsid w:val="00E355EA"/>
    <w:rsid w:val="00E3566D"/>
    <w:rsid w:val="00E3582D"/>
    <w:rsid w:val="00E3583C"/>
    <w:rsid w:val="00E3597F"/>
    <w:rsid w:val="00E35CDE"/>
    <w:rsid w:val="00E35D46"/>
    <w:rsid w:val="00E35F75"/>
    <w:rsid w:val="00E3604E"/>
    <w:rsid w:val="00E36050"/>
    <w:rsid w:val="00E3618C"/>
    <w:rsid w:val="00E36209"/>
    <w:rsid w:val="00E36284"/>
    <w:rsid w:val="00E362E2"/>
    <w:rsid w:val="00E36346"/>
    <w:rsid w:val="00E36421"/>
    <w:rsid w:val="00E36519"/>
    <w:rsid w:val="00E365B8"/>
    <w:rsid w:val="00E36642"/>
    <w:rsid w:val="00E36728"/>
    <w:rsid w:val="00E36791"/>
    <w:rsid w:val="00E3680D"/>
    <w:rsid w:val="00E36887"/>
    <w:rsid w:val="00E368D7"/>
    <w:rsid w:val="00E3695C"/>
    <w:rsid w:val="00E369A1"/>
    <w:rsid w:val="00E36A43"/>
    <w:rsid w:val="00E36AF6"/>
    <w:rsid w:val="00E36B14"/>
    <w:rsid w:val="00E36CC5"/>
    <w:rsid w:val="00E36D6F"/>
    <w:rsid w:val="00E36DA1"/>
    <w:rsid w:val="00E36EEF"/>
    <w:rsid w:val="00E36F84"/>
    <w:rsid w:val="00E36FAF"/>
    <w:rsid w:val="00E37051"/>
    <w:rsid w:val="00E3708B"/>
    <w:rsid w:val="00E372F6"/>
    <w:rsid w:val="00E373F6"/>
    <w:rsid w:val="00E37467"/>
    <w:rsid w:val="00E37555"/>
    <w:rsid w:val="00E375A2"/>
    <w:rsid w:val="00E375B1"/>
    <w:rsid w:val="00E376C2"/>
    <w:rsid w:val="00E376D1"/>
    <w:rsid w:val="00E3778C"/>
    <w:rsid w:val="00E377CB"/>
    <w:rsid w:val="00E37908"/>
    <w:rsid w:val="00E37A96"/>
    <w:rsid w:val="00E37C85"/>
    <w:rsid w:val="00E37CA8"/>
    <w:rsid w:val="00E37DBE"/>
    <w:rsid w:val="00E4000A"/>
    <w:rsid w:val="00E400A5"/>
    <w:rsid w:val="00E400AC"/>
    <w:rsid w:val="00E40420"/>
    <w:rsid w:val="00E40532"/>
    <w:rsid w:val="00E40684"/>
    <w:rsid w:val="00E407F4"/>
    <w:rsid w:val="00E409F6"/>
    <w:rsid w:val="00E40B38"/>
    <w:rsid w:val="00E40D3E"/>
    <w:rsid w:val="00E40E23"/>
    <w:rsid w:val="00E4115F"/>
    <w:rsid w:val="00E411D9"/>
    <w:rsid w:val="00E412D6"/>
    <w:rsid w:val="00E412D8"/>
    <w:rsid w:val="00E412FE"/>
    <w:rsid w:val="00E41568"/>
    <w:rsid w:val="00E415DD"/>
    <w:rsid w:val="00E416CA"/>
    <w:rsid w:val="00E4190A"/>
    <w:rsid w:val="00E41ABE"/>
    <w:rsid w:val="00E41B4A"/>
    <w:rsid w:val="00E41B9C"/>
    <w:rsid w:val="00E41C3B"/>
    <w:rsid w:val="00E41D05"/>
    <w:rsid w:val="00E41D5E"/>
    <w:rsid w:val="00E41DD5"/>
    <w:rsid w:val="00E41F22"/>
    <w:rsid w:val="00E41F64"/>
    <w:rsid w:val="00E420E6"/>
    <w:rsid w:val="00E42206"/>
    <w:rsid w:val="00E422CD"/>
    <w:rsid w:val="00E4238D"/>
    <w:rsid w:val="00E423D5"/>
    <w:rsid w:val="00E42479"/>
    <w:rsid w:val="00E424CC"/>
    <w:rsid w:val="00E42551"/>
    <w:rsid w:val="00E4255D"/>
    <w:rsid w:val="00E4257E"/>
    <w:rsid w:val="00E42646"/>
    <w:rsid w:val="00E427BB"/>
    <w:rsid w:val="00E42814"/>
    <w:rsid w:val="00E42902"/>
    <w:rsid w:val="00E42997"/>
    <w:rsid w:val="00E429B9"/>
    <w:rsid w:val="00E42A6F"/>
    <w:rsid w:val="00E43097"/>
    <w:rsid w:val="00E4309D"/>
    <w:rsid w:val="00E434BA"/>
    <w:rsid w:val="00E434C9"/>
    <w:rsid w:val="00E43682"/>
    <w:rsid w:val="00E4394F"/>
    <w:rsid w:val="00E439EC"/>
    <w:rsid w:val="00E43A0D"/>
    <w:rsid w:val="00E43A3B"/>
    <w:rsid w:val="00E43B3F"/>
    <w:rsid w:val="00E43B71"/>
    <w:rsid w:val="00E43DF8"/>
    <w:rsid w:val="00E43E2F"/>
    <w:rsid w:val="00E43F0B"/>
    <w:rsid w:val="00E443D9"/>
    <w:rsid w:val="00E4458D"/>
    <w:rsid w:val="00E44678"/>
    <w:rsid w:val="00E448BA"/>
    <w:rsid w:val="00E449E0"/>
    <w:rsid w:val="00E44C67"/>
    <w:rsid w:val="00E44CCA"/>
    <w:rsid w:val="00E44E54"/>
    <w:rsid w:val="00E44F8B"/>
    <w:rsid w:val="00E45058"/>
    <w:rsid w:val="00E45074"/>
    <w:rsid w:val="00E45085"/>
    <w:rsid w:val="00E4517F"/>
    <w:rsid w:val="00E45210"/>
    <w:rsid w:val="00E4526A"/>
    <w:rsid w:val="00E4548F"/>
    <w:rsid w:val="00E456E9"/>
    <w:rsid w:val="00E4572F"/>
    <w:rsid w:val="00E45782"/>
    <w:rsid w:val="00E45863"/>
    <w:rsid w:val="00E4589C"/>
    <w:rsid w:val="00E459CF"/>
    <w:rsid w:val="00E45B8B"/>
    <w:rsid w:val="00E45B95"/>
    <w:rsid w:val="00E45BFE"/>
    <w:rsid w:val="00E45E8A"/>
    <w:rsid w:val="00E45F21"/>
    <w:rsid w:val="00E45F43"/>
    <w:rsid w:val="00E4608D"/>
    <w:rsid w:val="00E4608F"/>
    <w:rsid w:val="00E4610A"/>
    <w:rsid w:val="00E46147"/>
    <w:rsid w:val="00E46183"/>
    <w:rsid w:val="00E461A6"/>
    <w:rsid w:val="00E463F1"/>
    <w:rsid w:val="00E46478"/>
    <w:rsid w:val="00E46615"/>
    <w:rsid w:val="00E46649"/>
    <w:rsid w:val="00E468D0"/>
    <w:rsid w:val="00E46A6D"/>
    <w:rsid w:val="00E46A7D"/>
    <w:rsid w:val="00E46AE8"/>
    <w:rsid w:val="00E46AED"/>
    <w:rsid w:val="00E46B8A"/>
    <w:rsid w:val="00E46C0E"/>
    <w:rsid w:val="00E46CBA"/>
    <w:rsid w:val="00E46DD4"/>
    <w:rsid w:val="00E46E4E"/>
    <w:rsid w:val="00E46ED8"/>
    <w:rsid w:val="00E46F21"/>
    <w:rsid w:val="00E47072"/>
    <w:rsid w:val="00E47483"/>
    <w:rsid w:val="00E474DA"/>
    <w:rsid w:val="00E47610"/>
    <w:rsid w:val="00E47701"/>
    <w:rsid w:val="00E477D7"/>
    <w:rsid w:val="00E478D5"/>
    <w:rsid w:val="00E47971"/>
    <w:rsid w:val="00E47993"/>
    <w:rsid w:val="00E47A15"/>
    <w:rsid w:val="00E47B0F"/>
    <w:rsid w:val="00E47BFE"/>
    <w:rsid w:val="00E47E02"/>
    <w:rsid w:val="00E50140"/>
    <w:rsid w:val="00E5015D"/>
    <w:rsid w:val="00E5017A"/>
    <w:rsid w:val="00E501AD"/>
    <w:rsid w:val="00E502B0"/>
    <w:rsid w:val="00E50415"/>
    <w:rsid w:val="00E504F7"/>
    <w:rsid w:val="00E50553"/>
    <w:rsid w:val="00E50593"/>
    <w:rsid w:val="00E505EB"/>
    <w:rsid w:val="00E50688"/>
    <w:rsid w:val="00E50764"/>
    <w:rsid w:val="00E507FC"/>
    <w:rsid w:val="00E508D3"/>
    <w:rsid w:val="00E508E3"/>
    <w:rsid w:val="00E50A4D"/>
    <w:rsid w:val="00E50B9A"/>
    <w:rsid w:val="00E50BEE"/>
    <w:rsid w:val="00E50C32"/>
    <w:rsid w:val="00E50F56"/>
    <w:rsid w:val="00E50F78"/>
    <w:rsid w:val="00E50F88"/>
    <w:rsid w:val="00E50FEE"/>
    <w:rsid w:val="00E51100"/>
    <w:rsid w:val="00E5111A"/>
    <w:rsid w:val="00E5111F"/>
    <w:rsid w:val="00E5115F"/>
    <w:rsid w:val="00E514D1"/>
    <w:rsid w:val="00E51518"/>
    <w:rsid w:val="00E51610"/>
    <w:rsid w:val="00E51687"/>
    <w:rsid w:val="00E51BBD"/>
    <w:rsid w:val="00E51BD6"/>
    <w:rsid w:val="00E51CAA"/>
    <w:rsid w:val="00E51D66"/>
    <w:rsid w:val="00E51DA8"/>
    <w:rsid w:val="00E51E10"/>
    <w:rsid w:val="00E51E5B"/>
    <w:rsid w:val="00E51F05"/>
    <w:rsid w:val="00E51FEE"/>
    <w:rsid w:val="00E52268"/>
    <w:rsid w:val="00E5228A"/>
    <w:rsid w:val="00E522A1"/>
    <w:rsid w:val="00E5248B"/>
    <w:rsid w:val="00E5259A"/>
    <w:rsid w:val="00E52908"/>
    <w:rsid w:val="00E5293D"/>
    <w:rsid w:val="00E52B95"/>
    <w:rsid w:val="00E52BEB"/>
    <w:rsid w:val="00E52CD4"/>
    <w:rsid w:val="00E52E9B"/>
    <w:rsid w:val="00E52F47"/>
    <w:rsid w:val="00E530BC"/>
    <w:rsid w:val="00E53409"/>
    <w:rsid w:val="00E534AF"/>
    <w:rsid w:val="00E535DF"/>
    <w:rsid w:val="00E53621"/>
    <w:rsid w:val="00E536DA"/>
    <w:rsid w:val="00E536EA"/>
    <w:rsid w:val="00E53742"/>
    <w:rsid w:val="00E537BB"/>
    <w:rsid w:val="00E53834"/>
    <w:rsid w:val="00E539AC"/>
    <w:rsid w:val="00E53B4C"/>
    <w:rsid w:val="00E53BC5"/>
    <w:rsid w:val="00E53BDD"/>
    <w:rsid w:val="00E53CB6"/>
    <w:rsid w:val="00E53D1D"/>
    <w:rsid w:val="00E53D73"/>
    <w:rsid w:val="00E53F37"/>
    <w:rsid w:val="00E54033"/>
    <w:rsid w:val="00E54042"/>
    <w:rsid w:val="00E540FA"/>
    <w:rsid w:val="00E5418B"/>
    <w:rsid w:val="00E54318"/>
    <w:rsid w:val="00E54352"/>
    <w:rsid w:val="00E544A5"/>
    <w:rsid w:val="00E5453D"/>
    <w:rsid w:val="00E5494B"/>
    <w:rsid w:val="00E54DA1"/>
    <w:rsid w:val="00E54E04"/>
    <w:rsid w:val="00E54E12"/>
    <w:rsid w:val="00E54FF8"/>
    <w:rsid w:val="00E55092"/>
    <w:rsid w:val="00E5511C"/>
    <w:rsid w:val="00E5515D"/>
    <w:rsid w:val="00E55188"/>
    <w:rsid w:val="00E551FA"/>
    <w:rsid w:val="00E552ED"/>
    <w:rsid w:val="00E55368"/>
    <w:rsid w:val="00E55410"/>
    <w:rsid w:val="00E55468"/>
    <w:rsid w:val="00E5552F"/>
    <w:rsid w:val="00E55549"/>
    <w:rsid w:val="00E556A9"/>
    <w:rsid w:val="00E556C0"/>
    <w:rsid w:val="00E556E4"/>
    <w:rsid w:val="00E55792"/>
    <w:rsid w:val="00E559D8"/>
    <w:rsid w:val="00E55A1B"/>
    <w:rsid w:val="00E55A26"/>
    <w:rsid w:val="00E55CB0"/>
    <w:rsid w:val="00E55CEF"/>
    <w:rsid w:val="00E55DEA"/>
    <w:rsid w:val="00E55E72"/>
    <w:rsid w:val="00E55ECB"/>
    <w:rsid w:val="00E55FD5"/>
    <w:rsid w:val="00E55FDD"/>
    <w:rsid w:val="00E56182"/>
    <w:rsid w:val="00E5619D"/>
    <w:rsid w:val="00E561B0"/>
    <w:rsid w:val="00E5624A"/>
    <w:rsid w:val="00E56278"/>
    <w:rsid w:val="00E56366"/>
    <w:rsid w:val="00E5636C"/>
    <w:rsid w:val="00E56448"/>
    <w:rsid w:val="00E56472"/>
    <w:rsid w:val="00E564D7"/>
    <w:rsid w:val="00E564FC"/>
    <w:rsid w:val="00E567CD"/>
    <w:rsid w:val="00E568E6"/>
    <w:rsid w:val="00E568FD"/>
    <w:rsid w:val="00E56AF3"/>
    <w:rsid w:val="00E56C31"/>
    <w:rsid w:val="00E56E03"/>
    <w:rsid w:val="00E56E15"/>
    <w:rsid w:val="00E56F55"/>
    <w:rsid w:val="00E57059"/>
    <w:rsid w:val="00E572BA"/>
    <w:rsid w:val="00E57362"/>
    <w:rsid w:val="00E574C3"/>
    <w:rsid w:val="00E57566"/>
    <w:rsid w:val="00E57700"/>
    <w:rsid w:val="00E5773E"/>
    <w:rsid w:val="00E577BE"/>
    <w:rsid w:val="00E577C7"/>
    <w:rsid w:val="00E578CE"/>
    <w:rsid w:val="00E578E8"/>
    <w:rsid w:val="00E57903"/>
    <w:rsid w:val="00E579A9"/>
    <w:rsid w:val="00E57A03"/>
    <w:rsid w:val="00E57AF5"/>
    <w:rsid w:val="00E57CC9"/>
    <w:rsid w:val="00E57D07"/>
    <w:rsid w:val="00E57FBB"/>
    <w:rsid w:val="00E57FEF"/>
    <w:rsid w:val="00E6003B"/>
    <w:rsid w:val="00E6012C"/>
    <w:rsid w:val="00E60199"/>
    <w:rsid w:val="00E601E6"/>
    <w:rsid w:val="00E6029E"/>
    <w:rsid w:val="00E603F3"/>
    <w:rsid w:val="00E60585"/>
    <w:rsid w:val="00E60619"/>
    <w:rsid w:val="00E606FD"/>
    <w:rsid w:val="00E60A3B"/>
    <w:rsid w:val="00E60D19"/>
    <w:rsid w:val="00E60DE8"/>
    <w:rsid w:val="00E60F6F"/>
    <w:rsid w:val="00E60FFB"/>
    <w:rsid w:val="00E6129D"/>
    <w:rsid w:val="00E612B2"/>
    <w:rsid w:val="00E61463"/>
    <w:rsid w:val="00E6149C"/>
    <w:rsid w:val="00E614BF"/>
    <w:rsid w:val="00E61628"/>
    <w:rsid w:val="00E61631"/>
    <w:rsid w:val="00E617BD"/>
    <w:rsid w:val="00E61854"/>
    <w:rsid w:val="00E61B77"/>
    <w:rsid w:val="00E61C26"/>
    <w:rsid w:val="00E61C56"/>
    <w:rsid w:val="00E61C64"/>
    <w:rsid w:val="00E61D02"/>
    <w:rsid w:val="00E61D78"/>
    <w:rsid w:val="00E6211D"/>
    <w:rsid w:val="00E62151"/>
    <w:rsid w:val="00E6220B"/>
    <w:rsid w:val="00E622B6"/>
    <w:rsid w:val="00E622FD"/>
    <w:rsid w:val="00E6230F"/>
    <w:rsid w:val="00E623C5"/>
    <w:rsid w:val="00E62421"/>
    <w:rsid w:val="00E6243B"/>
    <w:rsid w:val="00E625EB"/>
    <w:rsid w:val="00E62805"/>
    <w:rsid w:val="00E62A09"/>
    <w:rsid w:val="00E62B8D"/>
    <w:rsid w:val="00E62BEB"/>
    <w:rsid w:val="00E62BF5"/>
    <w:rsid w:val="00E62DCE"/>
    <w:rsid w:val="00E62E42"/>
    <w:rsid w:val="00E62FCD"/>
    <w:rsid w:val="00E631C0"/>
    <w:rsid w:val="00E63282"/>
    <w:rsid w:val="00E6371F"/>
    <w:rsid w:val="00E63876"/>
    <w:rsid w:val="00E6387E"/>
    <w:rsid w:val="00E63A5E"/>
    <w:rsid w:val="00E63AE4"/>
    <w:rsid w:val="00E63DAC"/>
    <w:rsid w:val="00E63E5C"/>
    <w:rsid w:val="00E63E89"/>
    <w:rsid w:val="00E640DE"/>
    <w:rsid w:val="00E640E9"/>
    <w:rsid w:val="00E641AE"/>
    <w:rsid w:val="00E64206"/>
    <w:rsid w:val="00E6422B"/>
    <w:rsid w:val="00E643B7"/>
    <w:rsid w:val="00E648DE"/>
    <w:rsid w:val="00E6494E"/>
    <w:rsid w:val="00E649EC"/>
    <w:rsid w:val="00E64AAE"/>
    <w:rsid w:val="00E64AC2"/>
    <w:rsid w:val="00E64BC7"/>
    <w:rsid w:val="00E64C07"/>
    <w:rsid w:val="00E64DCB"/>
    <w:rsid w:val="00E64F03"/>
    <w:rsid w:val="00E64F36"/>
    <w:rsid w:val="00E65064"/>
    <w:rsid w:val="00E650DE"/>
    <w:rsid w:val="00E65210"/>
    <w:rsid w:val="00E65264"/>
    <w:rsid w:val="00E652B5"/>
    <w:rsid w:val="00E65326"/>
    <w:rsid w:val="00E65470"/>
    <w:rsid w:val="00E654D3"/>
    <w:rsid w:val="00E654E1"/>
    <w:rsid w:val="00E6566E"/>
    <w:rsid w:val="00E658DA"/>
    <w:rsid w:val="00E65938"/>
    <w:rsid w:val="00E65DBD"/>
    <w:rsid w:val="00E65F02"/>
    <w:rsid w:val="00E66270"/>
    <w:rsid w:val="00E662F6"/>
    <w:rsid w:val="00E6631E"/>
    <w:rsid w:val="00E663B9"/>
    <w:rsid w:val="00E664F5"/>
    <w:rsid w:val="00E6653E"/>
    <w:rsid w:val="00E66741"/>
    <w:rsid w:val="00E66810"/>
    <w:rsid w:val="00E66C98"/>
    <w:rsid w:val="00E66D11"/>
    <w:rsid w:val="00E66DBC"/>
    <w:rsid w:val="00E66DC4"/>
    <w:rsid w:val="00E66E33"/>
    <w:rsid w:val="00E66F46"/>
    <w:rsid w:val="00E6710F"/>
    <w:rsid w:val="00E675DF"/>
    <w:rsid w:val="00E6769E"/>
    <w:rsid w:val="00E67787"/>
    <w:rsid w:val="00E67904"/>
    <w:rsid w:val="00E6791D"/>
    <w:rsid w:val="00E67ABF"/>
    <w:rsid w:val="00E67AC8"/>
    <w:rsid w:val="00E67E73"/>
    <w:rsid w:val="00E67F1F"/>
    <w:rsid w:val="00E70177"/>
    <w:rsid w:val="00E7017C"/>
    <w:rsid w:val="00E701D1"/>
    <w:rsid w:val="00E7020A"/>
    <w:rsid w:val="00E7035F"/>
    <w:rsid w:val="00E703FE"/>
    <w:rsid w:val="00E70666"/>
    <w:rsid w:val="00E706DA"/>
    <w:rsid w:val="00E707C9"/>
    <w:rsid w:val="00E70852"/>
    <w:rsid w:val="00E708E8"/>
    <w:rsid w:val="00E7099F"/>
    <w:rsid w:val="00E70AC6"/>
    <w:rsid w:val="00E70DE7"/>
    <w:rsid w:val="00E70E37"/>
    <w:rsid w:val="00E70E79"/>
    <w:rsid w:val="00E70F3D"/>
    <w:rsid w:val="00E71096"/>
    <w:rsid w:val="00E7109C"/>
    <w:rsid w:val="00E71310"/>
    <w:rsid w:val="00E71607"/>
    <w:rsid w:val="00E71627"/>
    <w:rsid w:val="00E7165E"/>
    <w:rsid w:val="00E717E6"/>
    <w:rsid w:val="00E71B96"/>
    <w:rsid w:val="00E71D62"/>
    <w:rsid w:val="00E71D92"/>
    <w:rsid w:val="00E71DF3"/>
    <w:rsid w:val="00E71F27"/>
    <w:rsid w:val="00E71FBD"/>
    <w:rsid w:val="00E72032"/>
    <w:rsid w:val="00E72080"/>
    <w:rsid w:val="00E720B4"/>
    <w:rsid w:val="00E722A4"/>
    <w:rsid w:val="00E722FC"/>
    <w:rsid w:val="00E723E5"/>
    <w:rsid w:val="00E7247B"/>
    <w:rsid w:val="00E72527"/>
    <w:rsid w:val="00E7257E"/>
    <w:rsid w:val="00E7258C"/>
    <w:rsid w:val="00E7267A"/>
    <w:rsid w:val="00E7276D"/>
    <w:rsid w:val="00E72772"/>
    <w:rsid w:val="00E728A8"/>
    <w:rsid w:val="00E72A77"/>
    <w:rsid w:val="00E72D8F"/>
    <w:rsid w:val="00E72EE7"/>
    <w:rsid w:val="00E72F11"/>
    <w:rsid w:val="00E72F45"/>
    <w:rsid w:val="00E73054"/>
    <w:rsid w:val="00E731C4"/>
    <w:rsid w:val="00E733D7"/>
    <w:rsid w:val="00E736C9"/>
    <w:rsid w:val="00E736D9"/>
    <w:rsid w:val="00E739A4"/>
    <w:rsid w:val="00E73B86"/>
    <w:rsid w:val="00E73D17"/>
    <w:rsid w:val="00E73E41"/>
    <w:rsid w:val="00E73E8E"/>
    <w:rsid w:val="00E73FEF"/>
    <w:rsid w:val="00E74010"/>
    <w:rsid w:val="00E741B3"/>
    <w:rsid w:val="00E742C1"/>
    <w:rsid w:val="00E74358"/>
    <w:rsid w:val="00E74521"/>
    <w:rsid w:val="00E745D1"/>
    <w:rsid w:val="00E745F6"/>
    <w:rsid w:val="00E7482E"/>
    <w:rsid w:val="00E7484C"/>
    <w:rsid w:val="00E748FD"/>
    <w:rsid w:val="00E74901"/>
    <w:rsid w:val="00E74CB7"/>
    <w:rsid w:val="00E74D2D"/>
    <w:rsid w:val="00E74F01"/>
    <w:rsid w:val="00E74F0D"/>
    <w:rsid w:val="00E75157"/>
    <w:rsid w:val="00E752DA"/>
    <w:rsid w:val="00E75330"/>
    <w:rsid w:val="00E753AA"/>
    <w:rsid w:val="00E75479"/>
    <w:rsid w:val="00E75684"/>
    <w:rsid w:val="00E756B2"/>
    <w:rsid w:val="00E75A76"/>
    <w:rsid w:val="00E75AD8"/>
    <w:rsid w:val="00E75C33"/>
    <w:rsid w:val="00E75CEB"/>
    <w:rsid w:val="00E75DCC"/>
    <w:rsid w:val="00E75DD9"/>
    <w:rsid w:val="00E75E16"/>
    <w:rsid w:val="00E75E62"/>
    <w:rsid w:val="00E75FDE"/>
    <w:rsid w:val="00E76166"/>
    <w:rsid w:val="00E7632D"/>
    <w:rsid w:val="00E7655F"/>
    <w:rsid w:val="00E76564"/>
    <w:rsid w:val="00E76635"/>
    <w:rsid w:val="00E76688"/>
    <w:rsid w:val="00E76732"/>
    <w:rsid w:val="00E767EB"/>
    <w:rsid w:val="00E76864"/>
    <w:rsid w:val="00E76869"/>
    <w:rsid w:val="00E769EF"/>
    <w:rsid w:val="00E769F1"/>
    <w:rsid w:val="00E76A0C"/>
    <w:rsid w:val="00E76B17"/>
    <w:rsid w:val="00E76B28"/>
    <w:rsid w:val="00E76C53"/>
    <w:rsid w:val="00E76D05"/>
    <w:rsid w:val="00E76DAE"/>
    <w:rsid w:val="00E76DEB"/>
    <w:rsid w:val="00E77089"/>
    <w:rsid w:val="00E770B5"/>
    <w:rsid w:val="00E77275"/>
    <w:rsid w:val="00E77333"/>
    <w:rsid w:val="00E774FA"/>
    <w:rsid w:val="00E77634"/>
    <w:rsid w:val="00E77725"/>
    <w:rsid w:val="00E777D3"/>
    <w:rsid w:val="00E7783F"/>
    <w:rsid w:val="00E7784C"/>
    <w:rsid w:val="00E77871"/>
    <w:rsid w:val="00E77AC4"/>
    <w:rsid w:val="00E77BC0"/>
    <w:rsid w:val="00E77BD0"/>
    <w:rsid w:val="00E77F31"/>
    <w:rsid w:val="00E77FB0"/>
    <w:rsid w:val="00E77FC9"/>
    <w:rsid w:val="00E800A7"/>
    <w:rsid w:val="00E8047B"/>
    <w:rsid w:val="00E805D0"/>
    <w:rsid w:val="00E80950"/>
    <w:rsid w:val="00E80C1E"/>
    <w:rsid w:val="00E80C24"/>
    <w:rsid w:val="00E80C9E"/>
    <w:rsid w:val="00E80D7B"/>
    <w:rsid w:val="00E80DA9"/>
    <w:rsid w:val="00E810BF"/>
    <w:rsid w:val="00E81338"/>
    <w:rsid w:val="00E8133D"/>
    <w:rsid w:val="00E81401"/>
    <w:rsid w:val="00E8145D"/>
    <w:rsid w:val="00E81468"/>
    <w:rsid w:val="00E81469"/>
    <w:rsid w:val="00E81501"/>
    <w:rsid w:val="00E81626"/>
    <w:rsid w:val="00E81761"/>
    <w:rsid w:val="00E817D7"/>
    <w:rsid w:val="00E81959"/>
    <w:rsid w:val="00E81AFB"/>
    <w:rsid w:val="00E81B5C"/>
    <w:rsid w:val="00E81BA2"/>
    <w:rsid w:val="00E81CAC"/>
    <w:rsid w:val="00E81D1B"/>
    <w:rsid w:val="00E8214A"/>
    <w:rsid w:val="00E82175"/>
    <w:rsid w:val="00E82237"/>
    <w:rsid w:val="00E82390"/>
    <w:rsid w:val="00E82486"/>
    <w:rsid w:val="00E825C0"/>
    <w:rsid w:val="00E826C3"/>
    <w:rsid w:val="00E8273D"/>
    <w:rsid w:val="00E8290B"/>
    <w:rsid w:val="00E82CBC"/>
    <w:rsid w:val="00E82DA8"/>
    <w:rsid w:val="00E82E74"/>
    <w:rsid w:val="00E82EF5"/>
    <w:rsid w:val="00E831CC"/>
    <w:rsid w:val="00E83210"/>
    <w:rsid w:val="00E8328A"/>
    <w:rsid w:val="00E83432"/>
    <w:rsid w:val="00E835C2"/>
    <w:rsid w:val="00E835DA"/>
    <w:rsid w:val="00E836F1"/>
    <w:rsid w:val="00E8370C"/>
    <w:rsid w:val="00E83883"/>
    <w:rsid w:val="00E83928"/>
    <w:rsid w:val="00E83B4A"/>
    <w:rsid w:val="00E83BBF"/>
    <w:rsid w:val="00E83BF4"/>
    <w:rsid w:val="00E83D86"/>
    <w:rsid w:val="00E83EB0"/>
    <w:rsid w:val="00E83F15"/>
    <w:rsid w:val="00E83FBF"/>
    <w:rsid w:val="00E84002"/>
    <w:rsid w:val="00E840F6"/>
    <w:rsid w:val="00E84341"/>
    <w:rsid w:val="00E844B1"/>
    <w:rsid w:val="00E84502"/>
    <w:rsid w:val="00E8456B"/>
    <w:rsid w:val="00E84741"/>
    <w:rsid w:val="00E84769"/>
    <w:rsid w:val="00E847FE"/>
    <w:rsid w:val="00E848CC"/>
    <w:rsid w:val="00E84936"/>
    <w:rsid w:val="00E84982"/>
    <w:rsid w:val="00E84AD9"/>
    <w:rsid w:val="00E84B5B"/>
    <w:rsid w:val="00E84D4B"/>
    <w:rsid w:val="00E84D4E"/>
    <w:rsid w:val="00E84EAB"/>
    <w:rsid w:val="00E84F24"/>
    <w:rsid w:val="00E84F3D"/>
    <w:rsid w:val="00E85016"/>
    <w:rsid w:val="00E850CE"/>
    <w:rsid w:val="00E8535C"/>
    <w:rsid w:val="00E8541D"/>
    <w:rsid w:val="00E85473"/>
    <w:rsid w:val="00E8566B"/>
    <w:rsid w:val="00E856D5"/>
    <w:rsid w:val="00E85819"/>
    <w:rsid w:val="00E859AE"/>
    <w:rsid w:val="00E859D6"/>
    <w:rsid w:val="00E85A67"/>
    <w:rsid w:val="00E85AB0"/>
    <w:rsid w:val="00E86106"/>
    <w:rsid w:val="00E86187"/>
    <w:rsid w:val="00E86250"/>
    <w:rsid w:val="00E8646A"/>
    <w:rsid w:val="00E865E3"/>
    <w:rsid w:val="00E86799"/>
    <w:rsid w:val="00E867E5"/>
    <w:rsid w:val="00E8683D"/>
    <w:rsid w:val="00E869FF"/>
    <w:rsid w:val="00E86B81"/>
    <w:rsid w:val="00E86B8A"/>
    <w:rsid w:val="00E86C67"/>
    <w:rsid w:val="00E86CE6"/>
    <w:rsid w:val="00E86D2C"/>
    <w:rsid w:val="00E86D52"/>
    <w:rsid w:val="00E86E5B"/>
    <w:rsid w:val="00E86E6F"/>
    <w:rsid w:val="00E87055"/>
    <w:rsid w:val="00E870EA"/>
    <w:rsid w:val="00E871DB"/>
    <w:rsid w:val="00E87435"/>
    <w:rsid w:val="00E87492"/>
    <w:rsid w:val="00E874EC"/>
    <w:rsid w:val="00E87556"/>
    <w:rsid w:val="00E8772D"/>
    <w:rsid w:val="00E877E0"/>
    <w:rsid w:val="00E8783B"/>
    <w:rsid w:val="00E878E6"/>
    <w:rsid w:val="00E87D1E"/>
    <w:rsid w:val="00E87D82"/>
    <w:rsid w:val="00E87E48"/>
    <w:rsid w:val="00E87E64"/>
    <w:rsid w:val="00E87E75"/>
    <w:rsid w:val="00E87F3F"/>
    <w:rsid w:val="00E87FDA"/>
    <w:rsid w:val="00E901B4"/>
    <w:rsid w:val="00E90337"/>
    <w:rsid w:val="00E9033B"/>
    <w:rsid w:val="00E9048D"/>
    <w:rsid w:val="00E904AA"/>
    <w:rsid w:val="00E9066A"/>
    <w:rsid w:val="00E90BB4"/>
    <w:rsid w:val="00E90BFE"/>
    <w:rsid w:val="00E90C68"/>
    <w:rsid w:val="00E90CA4"/>
    <w:rsid w:val="00E90F55"/>
    <w:rsid w:val="00E9117C"/>
    <w:rsid w:val="00E911E1"/>
    <w:rsid w:val="00E91429"/>
    <w:rsid w:val="00E9146A"/>
    <w:rsid w:val="00E9176C"/>
    <w:rsid w:val="00E917ED"/>
    <w:rsid w:val="00E9199F"/>
    <w:rsid w:val="00E91B5B"/>
    <w:rsid w:val="00E91DAE"/>
    <w:rsid w:val="00E91FA7"/>
    <w:rsid w:val="00E92096"/>
    <w:rsid w:val="00E9210F"/>
    <w:rsid w:val="00E9219D"/>
    <w:rsid w:val="00E921D1"/>
    <w:rsid w:val="00E92241"/>
    <w:rsid w:val="00E924E8"/>
    <w:rsid w:val="00E926E4"/>
    <w:rsid w:val="00E92794"/>
    <w:rsid w:val="00E928A0"/>
    <w:rsid w:val="00E92A11"/>
    <w:rsid w:val="00E92A75"/>
    <w:rsid w:val="00E92B26"/>
    <w:rsid w:val="00E92B2A"/>
    <w:rsid w:val="00E92CAA"/>
    <w:rsid w:val="00E92CC8"/>
    <w:rsid w:val="00E92D11"/>
    <w:rsid w:val="00E92F2C"/>
    <w:rsid w:val="00E93085"/>
    <w:rsid w:val="00E93201"/>
    <w:rsid w:val="00E9329A"/>
    <w:rsid w:val="00E932C1"/>
    <w:rsid w:val="00E9340B"/>
    <w:rsid w:val="00E935E3"/>
    <w:rsid w:val="00E935FE"/>
    <w:rsid w:val="00E9360E"/>
    <w:rsid w:val="00E93787"/>
    <w:rsid w:val="00E93827"/>
    <w:rsid w:val="00E93843"/>
    <w:rsid w:val="00E939B0"/>
    <w:rsid w:val="00E93ACB"/>
    <w:rsid w:val="00E93C8F"/>
    <w:rsid w:val="00E93D24"/>
    <w:rsid w:val="00E93D2A"/>
    <w:rsid w:val="00E93DD2"/>
    <w:rsid w:val="00E93DE7"/>
    <w:rsid w:val="00E93E9E"/>
    <w:rsid w:val="00E9405C"/>
    <w:rsid w:val="00E94112"/>
    <w:rsid w:val="00E94293"/>
    <w:rsid w:val="00E94476"/>
    <w:rsid w:val="00E944BD"/>
    <w:rsid w:val="00E944E3"/>
    <w:rsid w:val="00E944E5"/>
    <w:rsid w:val="00E94570"/>
    <w:rsid w:val="00E945D5"/>
    <w:rsid w:val="00E9474B"/>
    <w:rsid w:val="00E94857"/>
    <w:rsid w:val="00E94859"/>
    <w:rsid w:val="00E95091"/>
    <w:rsid w:val="00E9527E"/>
    <w:rsid w:val="00E95466"/>
    <w:rsid w:val="00E954D6"/>
    <w:rsid w:val="00E95582"/>
    <w:rsid w:val="00E95726"/>
    <w:rsid w:val="00E95846"/>
    <w:rsid w:val="00E95905"/>
    <w:rsid w:val="00E95ABA"/>
    <w:rsid w:val="00E95C21"/>
    <w:rsid w:val="00E95C81"/>
    <w:rsid w:val="00E95E50"/>
    <w:rsid w:val="00E95E56"/>
    <w:rsid w:val="00E95EF0"/>
    <w:rsid w:val="00E961A3"/>
    <w:rsid w:val="00E962E4"/>
    <w:rsid w:val="00E962F3"/>
    <w:rsid w:val="00E96371"/>
    <w:rsid w:val="00E9659A"/>
    <w:rsid w:val="00E966F3"/>
    <w:rsid w:val="00E96BC1"/>
    <w:rsid w:val="00E96E4C"/>
    <w:rsid w:val="00E96EFE"/>
    <w:rsid w:val="00E96FCB"/>
    <w:rsid w:val="00E970B0"/>
    <w:rsid w:val="00E97163"/>
    <w:rsid w:val="00E97377"/>
    <w:rsid w:val="00E97433"/>
    <w:rsid w:val="00E975FB"/>
    <w:rsid w:val="00E977CE"/>
    <w:rsid w:val="00E97909"/>
    <w:rsid w:val="00E97ABD"/>
    <w:rsid w:val="00E97C3A"/>
    <w:rsid w:val="00E97CB7"/>
    <w:rsid w:val="00E97D50"/>
    <w:rsid w:val="00E97D71"/>
    <w:rsid w:val="00E97F85"/>
    <w:rsid w:val="00EA02E2"/>
    <w:rsid w:val="00EA0369"/>
    <w:rsid w:val="00EA0563"/>
    <w:rsid w:val="00EA05FF"/>
    <w:rsid w:val="00EA0871"/>
    <w:rsid w:val="00EA0950"/>
    <w:rsid w:val="00EA0983"/>
    <w:rsid w:val="00EA0A78"/>
    <w:rsid w:val="00EA0B07"/>
    <w:rsid w:val="00EA0D48"/>
    <w:rsid w:val="00EA0DBB"/>
    <w:rsid w:val="00EA0DC3"/>
    <w:rsid w:val="00EA0F69"/>
    <w:rsid w:val="00EA0F82"/>
    <w:rsid w:val="00EA1151"/>
    <w:rsid w:val="00EA12C7"/>
    <w:rsid w:val="00EA12E0"/>
    <w:rsid w:val="00EA1414"/>
    <w:rsid w:val="00EA14EC"/>
    <w:rsid w:val="00EA1549"/>
    <w:rsid w:val="00EA155F"/>
    <w:rsid w:val="00EA15E8"/>
    <w:rsid w:val="00EA160B"/>
    <w:rsid w:val="00EA174D"/>
    <w:rsid w:val="00EA17A6"/>
    <w:rsid w:val="00EA1871"/>
    <w:rsid w:val="00EA1B7B"/>
    <w:rsid w:val="00EA1DBA"/>
    <w:rsid w:val="00EA1E0F"/>
    <w:rsid w:val="00EA1E44"/>
    <w:rsid w:val="00EA1FA6"/>
    <w:rsid w:val="00EA1FAA"/>
    <w:rsid w:val="00EA201A"/>
    <w:rsid w:val="00EA205D"/>
    <w:rsid w:val="00EA206E"/>
    <w:rsid w:val="00EA22BA"/>
    <w:rsid w:val="00EA22DE"/>
    <w:rsid w:val="00EA2335"/>
    <w:rsid w:val="00EA236F"/>
    <w:rsid w:val="00EA24F7"/>
    <w:rsid w:val="00EA25C6"/>
    <w:rsid w:val="00EA263C"/>
    <w:rsid w:val="00EA26E5"/>
    <w:rsid w:val="00EA27E0"/>
    <w:rsid w:val="00EA2854"/>
    <w:rsid w:val="00EA2932"/>
    <w:rsid w:val="00EA2960"/>
    <w:rsid w:val="00EA2A7C"/>
    <w:rsid w:val="00EA2AF2"/>
    <w:rsid w:val="00EA2AF6"/>
    <w:rsid w:val="00EA2F0E"/>
    <w:rsid w:val="00EA304E"/>
    <w:rsid w:val="00EA306A"/>
    <w:rsid w:val="00EA31C9"/>
    <w:rsid w:val="00EA3895"/>
    <w:rsid w:val="00EA389F"/>
    <w:rsid w:val="00EA38C6"/>
    <w:rsid w:val="00EA38F9"/>
    <w:rsid w:val="00EA3A67"/>
    <w:rsid w:val="00EA3AEF"/>
    <w:rsid w:val="00EA3B03"/>
    <w:rsid w:val="00EA3BE3"/>
    <w:rsid w:val="00EA3C95"/>
    <w:rsid w:val="00EA3CB2"/>
    <w:rsid w:val="00EA3D96"/>
    <w:rsid w:val="00EA3E1C"/>
    <w:rsid w:val="00EA3E59"/>
    <w:rsid w:val="00EA3E69"/>
    <w:rsid w:val="00EA3E7D"/>
    <w:rsid w:val="00EA3EE2"/>
    <w:rsid w:val="00EA3F18"/>
    <w:rsid w:val="00EA4075"/>
    <w:rsid w:val="00EA4111"/>
    <w:rsid w:val="00EA416A"/>
    <w:rsid w:val="00EA4212"/>
    <w:rsid w:val="00EA4320"/>
    <w:rsid w:val="00EA43A1"/>
    <w:rsid w:val="00EA4482"/>
    <w:rsid w:val="00EA4539"/>
    <w:rsid w:val="00EA461A"/>
    <w:rsid w:val="00EA4720"/>
    <w:rsid w:val="00EA481B"/>
    <w:rsid w:val="00EA49A4"/>
    <w:rsid w:val="00EA4A59"/>
    <w:rsid w:val="00EA4AB9"/>
    <w:rsid w:val="00EA4B60"/>
    <w:rsid w:val="00EA4B6A"/>
    <w:rsid w:val="00EA4C6E"/>
    <w:rsid w:val="00EA4FD7"/>
    <w:rsid w:val="00EA530D"/>
    <w:rsid w:val="00EA5600"/>
    <w:rsid w:val="00EA579B"/>
    <w:rsid w:val="00EA59C5"/>
    <w:rsid w:val="00EA5C6F"/>
    <w:rsid w:val="00EA5E56"/>
    <w:rsid w:val="00EA5EC1"/>
    <w:rsid w:val="00EA5EE3"/>
    <w:rsid w:val="00EA5FDB"/>
    <w:rsid w:val="00EA60C2"/>
    <w:rsid w:val="00EA6164"/>
    <w:rsid w:val="00EA63F4"/>
    <w:rsid w:val="00EA652B"/>
    <w:rsid w:val="00EA67BC"/>
    <w:rsid w:val="00EA6991"/>
    <w:rsid w:val="00EA69F0"/>
    <w:rsid w:val="00EA6A5B"/>
    <w:rsid w:val="00EA6A7A"/>
    <w:rsid w:val="00EA6BE4"/>
    <w:rsid w:val="00EA6D6F"/>
    <w:rsid w:val="00EA6ECF"/>
    <w:rsid w:val="00EA6F9D"/>
    <w:rsid w:val="00EA6FD4"/>
    <w:rsid w:val="00EA7123"/>
    <w:rsid w:val="00EA71E6"/>
    <w:rsid w:val="00EA7383"/>
    <w:rsid w:val="00EA74E5"/>
    <w:rsid w:val="00EA76DF"/>
    <w:rsid w:val="00EA77DE"/>
    <w:rsid w:val="00EA78C1"/>
    <w:rsid w:val="00EA7AA6"/>
    <w:rsid w:val="00EA7B2B"/>
    <w:rsid w:val="00EA7D8C"/>
    <w:rsid w:val="00EA7DBD"/>
    <w:rsid w:val="00EA7DDA"/>
    <w:rsid w:val="00EB009C"/>
    <w:rsid w:val="00EB00AB"/>
    <w:rsid w:val="00EB04C0"/>
    <w:rsid w:val="00EB051A"/>
    <w:rsid w:val="00EB0584"/>
    <w:rsid w:val="00EB0735"/>
    <w:rsid w:val="00EB0741"/>
    <w:rsid w:val="00EB07F2"/>
    <w:rsid w:val="00EB0819"/>
    <w:rsid w:val="00EB0996"/>
    <w:rsid w:val="00EB09DC"/>
    <w:rsid w:val="00EB0FBA"/>
    <w:rsid w:val="00EB10DB"/>
    <w:rsid w:val="00EB1304"/>
    <w:rsid w:val="00EB164C"/>
    <w:rsid w:val="00EB16B2"/>
    <w:rsid w:val="00EB179A"/>
    <w:rsid w:val="00EB17AE"/>
    <w:rsid w:val="00EB17FC"/>
    <w:rsid w:val="00EB1830"/>
    <w:rsid w:val="00EB1A76"/>
    <w:rsid w:val="00EB1AA5"/>
    <w:rsid w:val="00EB1AF6"/>
    <w:rsid w:val="00EB1CE5"/>
    <w:rsid w:val="00EB1D9D"/>
    <w:rsid w:val="00EB1DC5"/>
    <w:rsid w:val="00EB1E24"/>
    <w:rsid w:val="00EB2012"/>
    <w:rsid w:val="00EB212C"/>
    <w:rsid w:val="00EB2192"/>
    <w:rsid w:val="00EB24C3"/>
    <w:rsid w:val="00EB24E3"/>
    <w:rsid w:val="00EB25CD"/>
    <w:rsid w:val="00EB2632"/>
    <w:rsid w:val="00EB26BB"/>
    <w:rsid w:val="00EB2733"/>
    <w:rsid w:val="00EB2A20"/>
    <w:rsid w:val="00EB2A90"/>
    <w:rsid w:val="00EB2B14"/>
    <w:rsid w:val="00EB2D3A"/>
    <w:rsid w:val="00EB2E11"/>
    <w:rsid w:val="00EB3038"/>
    <w:rsid w:val="00EB30C6"/>
    <w:rsid w:val="00EB3123"/>
    <w:rsid w:val="00EB317F"/>
    <w:rsid w:val="00EB3251"/>
    <w:rsid w:val="00EB34D6"/>
    <w:rsid w:val="00EB34DE"/>
    <w:rsid w:val="00EB3501"/>
    <w:rsid w:val="00EB3518"/>
    <w:rsid w:val="00EB364B"/>
    <w:rsid w:val="00EB374E"/>
    <w:rsid w:val="00EB3832"/>
    <w:rsid w:val="00EB4021"/>
    <w:rsid w:val="00EB44DC"/>
    <w:rsid w:val="00EB459B"/>
    <w:rsid w:val="00EB459D"/>
    <w:rsid w:val="00EB45AC"/>
    <w:rsid w:val="00EB45EC"/>
    <w:rsid w:val="00EB473D"/>
    <w:rsid w:val="00EB478E"/>
    <w:rsid w:val="00EB4800"/>
    <w:rsid w:val="00EB4882"/>
    <w:rsid w:val="00EB4A73"/>
    <w:rsid w:val="00EB4B3A"/>
    <w:rsid w:val="00EB4B4D"/>
    <w:rsid w:val="00EB4BA7"/>
    <w:rsid w:val="00EB4BFB"/>
    <w:rsid w:val="00EB4D27"/>
    <w:rsid w:val="00EB4D5E"/>
    <w:rsid w:val="00EB4D70"/>
    <w:rsid w:val="00EB4D99"/>
    <w:rsid w:val="00EB4F6B"/>
    <w:rsid w:val="00EB504F"/>
    <w:rsid w:val="00EB5134"/>
    <w:rsid w:val="00EB535A"/>
    <w:rsid w:val="00EB556C"/>
    <w:rsid w:val="00EB5656"/>
    <w:rsid w:val="00EB57A5"/>
    <w:rsid w:val="00EB5818"/>
    <w:rsid w:val="00EB58FE"/>
    <w:rsid w:val="00EB5D66"/>
    <w:rsid w:val="00EB5E90"/>
    <w:rsid w:val="00EB5EE2"/>
    <w:rsid w:val="00EB61AB"/>
    <w:rsid w:val="00EB61BC"/>
    <w:rsid w:val="00EB6311"/>
    <w:rsid w:val="00EB63AC"/>
    <w:rsid w:val="00EB653A"/>
    <w:rsid w:val="00EB6583"/>
    <w:rsid w:val="00EB6660"/>
    <w:rsid w:val="00EB6718"/>
    <w:rsid w:val="00EB67FB"/>
    <w:rsid w:val="00EB68B9"/>
    <w:rsid w:val="00EB68BC"/>
    <w:rsid w:val="00EB6A1E"/>
    <w:rsid w:val="00EB6B00"/>
    <w:rsid w:val="00EB6DDB"/>
    <w:rsid w:val="00EB6FE1"/>
    <w:rsid w:val="00EB70D6"/>
    <w:rsid w:val="00EB7273"/>
    <w:rsid w:val="00EB729F"/>
    <w:rsid w:val="00EB73FB"/>
    <w:rsid w:val="00EB7485"/>
    <w:rsid w:val="00EB7561"/>
    <w:rsid w:val="00EB75CD"/>
    <w:rsid w:val="00EB75F2"/>
    <w:rsid w:val="00EB7664"/>
    <w:rsid w:val="00EB7673"/>
    <w:rsid w:val="00EB7722"/>
    <w:rsid w:val="00EB77A7"/>
    <w:rsid w:val="00EB7834"/>
    <w:rsid w:val="00EB792A"/>
    <w:rsid w:val="00EB796C"/>
    <w:rsid w:val="00EB79F6"/>
    <w:rsid w:val="00EB79FA"/>
    <w:rsid w:val="00EB7A07"/>
    <w:rsid w:val="00EB7BC0"/>
    <w:rsid w:val="00EB7BDC"/>
    <w:rsid w:val="00EB7D61"/>
    <w:rsid w:val="00EB7E97"/>
    <w:rsid w:val="00EC0174"/>
    <w:rsid w:val="00EC01BF"/>
    <w:rsid w:val="00EC0269"/>
    <w:rsid w:val="00EC03D1"/>
    <w:rsid w:val="00EC042B"/>
    <w:rsid w:val="00EC05E8"/>
    <w:rsid w:val="00EC05F8"/>
    <w:rsid w:val="00EC07B8"/>
    <w:rsid w:val="00EC0801"/>
    <w:rsid w:val="00EC080D"/>
    <w:rsid w:val="00EC09F5"/>
    <w:rsid w:val="00EC0A1F"/>
    <w:rsid w:val="00EC0A23"/>
    <w:rsid w:val="00EC0A55"/>
    <w:rsid w:val="00EC0B21"/>
    <w:rsid w:val="00EC0BAE"/>
    <w:rsid w:val="00EC0C36"/>
    <w:rsid w:val="00EC10B0"/>
    <w:rsid w:val="00EC1133"/>
    <w:rsid w:val="00EC1210"/>
    <w:rsid w:val="00EC12DA"/>
    <w:rsid w:val="00EC13F2"/>
    <w:rsid w:val="00EC14AB"/>
    <w:rsid w:val="00EC16BC"/>
    <w:rsid w:val="00EC1765"/>
    <w:rsid w:val="00EC17E9"/>
    <w:rsid w:val="00EC184A"/>
    <w:rsid w:val="00EC1897"/>
    <w:rsid w:val="00EC190D"/>
    <w:rsid w:val="00EC1A2A"/>
    <w:rsid w:val="00EC1A48"/>
    <w:rsid w:val="00EC1A78"/>
    <w:rsid w:val="00EC1A7A"/>
    <w:rsid w:val="00EC1B86"/>
    <w:rsid w:val="00EC1C9F"/>
    <w:rsid w:val="00EC1E1D"/>
    <w:rsid w:val="00EC1E2B"/>
    <w:rsid w:val="00EC1EFB"/>
    <w:rsid w:val="00EC1F08"/>
    <w:rsid w:val="00EC2117"/>
    <w:rsid w:val="00EC21FC"/>
    <w:rsid w:val="00EC21FE"/>
    <w:rsid w:val="00EC22B1"/>
    <w:rsid w:val="00EC2543"/>
    <w:rsid w:val="00EC266A"/>
    <w:rsid w:val="00EC274E"/>
    <w:rsid w:val="00EC2803"/>
    <w:rsid w:val="00EC28CB"/>
    <w:rsid w:val="00EC2A00"/>
    <w:rsid w:val="00EC2A29"/>
    <w:rsid w:val="00EC2A7F"/>
    <w:rsid w:val="00EC2AE4"/>
    <w:rsid w:val="00EC2B58"/>
    <w:rsid w:val="00EC2E47"/>
    <w:rsid w:val="00EC2F4D"/>
    <w:rsid w:val="00EC2F4F"/>
    <w:rsid w:val="00EC313B"/>
    <w:rsid w:val="00EC31DC"/>
    <w:rsid w:val="00EC3297"/>
    <w:rsid w:val="00EC329C"/>
    <w:rsid w:val="00EC3356"/>
    <w:rsid w:val="00EC33FC"/>
    <w:rsid w:val="00EC357D"/>
    <w:rsid w:val="00EC35D8"/>
    <w:rsid w:val="00EC3654"/>
    <w:rsid w:val="00EC366D"/>
    <w:rsid w:val="00EC36C7"/>
    <w:rsid w:val="00EC370E"/>
    <w:rsid w:val="00EC3886"/>
    <w:rsid w:val="00EC3967"/>
    <w:rsid w:val="00EC39D5"/>
    <w:rsid w:val="00EC39F1"/>
    <w:rsid w:val="00EC3B67"/>
    <w:rsid w:val="00EC3D0D"/>
    <w:rsid w:val="00EC3D2B"/>
    <w:rsid w:val="00EC3DD5"/>
    <w:rsid w:val="00EC3E34"/>
    <w:rsid w:val="00EC3FE1"/>
    <w:rsid w:val="00EC3FE2"/>
    <w:rsid w:val="00EC4008"/>
    <w:rsid w:val="00EC400A"/>
    <w:rsid w:val="00EC40E9"/>
    <w:rsid w:val="00EC4137"/>
    <w:rsid w:val="00EC4165"/>
    <w:rsid w:val="00EC4209"/>
    <w:rsid w:val="00EC44B8"/>
    <w:rsid w:val="00EC44D4"/>
    <w:rsid w:val="00EC44DC"/>
    <w:rsid w:val="00EC4520"/>
    <w:rsid w:val="00EC4525"/>
    <w:rsid w:val="00EC465E"/>
    <w:rsid w:val="00EC467F"/>
    <w:rsid w:val="00EC46E6"/>
    <w:rsid w:val="00EC4755"/>
    <w:rsid w:val="00EC4886"/>
    <w:rsid w:val="00EC488B"/>
    <w:rsid w:val="00EC4892"/>
    <w:rsid w:val="00EC4A77"/>
    <w:rsid w:val="00EC4BFE"/>
    <w:rsid w:val="00EC4C49"/>
    <w:rsid w:val="00EC4D1D"/>
    <w:rsid w:val="00EC4E50"/>
    <w:rsid w:val="00EC4F62"/>
    <w:rsid w:val="00EC505D"/>
    <w:rsid w:val="00EC50C4"/>
    <w:rsid w:val="00EC5267"/>
    <w:rsid w:val="00EC53C6"/>
    <w:rsid w:val="00EC53D2"/>
    <w:rsid w:val="00EC5538"/>
    <w:rsid w:val="00EC5594"/>
    <w:rsid w:val="00EC56D8"/>
    <w:rsid w:val="00EC5706"/>
    <w:rsid w:val="00EC5955"/>
    <w:rsid w:val="00EC5A3E"/>
    <w:rsid w:val="00EC5B50"/>
    <w:rsid w:val="00EC5BA3"/>
    <w:rsid w:val="00EC5C17"/>
    <w:rsid w:val="00EC5E72"/>
    <w:rsid w:val="00EC5EC5"/>
    <w:rsid w:val="00EC5EFC"/>
    <w:rsid w:val="00EC5F59"/>
    <w:rsid w:val="00EC6071"/>
    <w:rsid w:val="00EC60C9"/>
    <w:rsid w:val="00EC612B"/>
    <w:rsid w:val="00EC6251"/>
    <w:rsid w:val="00EC6480"/>
    <w:rsid w:val="00EC6548"/>
    <w:rsid w:val="00EC655B"/>
    <w:rsid w:val="00EC6686"/>
    <w:rsid w:val="00EC67C1"/>
    <w:rsid w:val="00EC686C"/>
    <w:rsid w:val="00EC69D2"/>
    <w:rsid w:val="00EC6A24"/>
    <w:rsid w:val="00EC6A46"/>
    <w:rsid w:val="00EC6BCB"/>
    <w:rsid w:val="00EC6DDE"/>
    <w:rsid w:val="00EC7075"/>
    <w:rsid w:val="00EC721B"/>
    <w:rsid w:val="00EC7316"/>
    <w:rsid w:val="00EC7577"/>
    <w:rsid w:val="00EC75C6"/>
    <w:rsid w:val="00EC75E2"/>
    <w:rsid w:val="00EC7737"/>
    <w:rsid w:val="00EC77DA"/>
    <w:rsid w:val="00EC7893"/>
    <w:rsid w:val="00EC78EF"/>
    <w:rsid w:val="00EC790E"/>
    <w:rsid w:val="00EC7921"/>
    <w:rsid w:val="00EC7ABD"/>
    <w:rsid w:val="00EC7C65"/>
    <w:rsid w:val="00EC7D1E"/>
    <w:rsid w:val="00EC7D58"/>
    <w:rsid w:val="00EC7F59"/>
    <w:rsid w:val="00EC7FCB"/>
    <w:rsid w:val="00ED0166"/>
    <w:rsid w:val="00ED0195"/>
    <w:rsid w:val="00ED03C2"/>
    <w:rsid w:val="00ED0438"/>
    <w:rsid w:val="00ED0754"/>
    <w:rsid w:val="00ED0996"/>
    <w:rsid w:val="00ED0AA1"/>
    <w:rsid w:val="00ED0E4B"/>
    <w:rsid w:val="00ED0E6D"/>
    <w:rsid w:val="00ED0E97"/>
    <w:rsid w:val="00ED0EB7"/>
    <w:rsid w:val="00ED0F98"/>
    <w:rsid w:val="00ED107F"/>
    <w:rsid w:val="00ED10B7"/>
    <w:rsid w:val="00ED14B7"/>
    <w:rsid w:val="00ED170F"/>
    <w:rsid w:val="00ED17AB"/>
    <w:rsid w:val="00ED180A"/>
    <w:rsid w:val="00ED1855"/>
    <w:rsid w:val="00ED18C7"/>
    <w:rsid w:val="00ED1934"/>
    <w:rsid w:val="00ED1D1B"/>
    <w:rsid w:val="00ED1D47"/>
    <w:rsid w:val="00ED1D9E"/>
    <w:rsid w:val="00ED1E07"/>
    <w:rsid w:val="00ED228D"/>
    <w:rsid w:val="00ED22FA"/>
    <w:rsid w:val="00ED2438"/>
    <w:rsid w:val="00ED24DB"/>
    <w:rsid w:val="00ED25B4"/>
    <w:rsid w:val="00ED2971"/>
    <w:rsid w:val="00ED29A6"/>
    <w:rsid w:val="00ED2ADA"/>
    <w:rsid w:val="00ED2BEB"/>
    <w:rsid w:val="00ED2C6E"/>
    <w:rsid w:val="00ED2D18"/>
    <w:rsid w:val="00ED305D"/>
    <w:rsid w:val="00ED314A"/>
    <w:rsid w:val="00ED34AB"/>
    <w:rsid w:val="00ED34AE"/>
    <w:rsid w:val="00ED34DB"/>
    <w:rsid w:val="00ED36B9"/>
    <w:rsid w:val="00ED36EF"/>
    <w:rsid w:val="00ED39A4"/>
    <w:rsid w:val="00ED39EE"/>
    <w:rsid w:val="00ED3A16"/>
    <w:rsid w:val="00ED3ADB"/>
    <w:rsid w:val="00ED3C21"/>
    <w:rsid w:val="00ED3F3C"/>
    <w:rsid w:val="00ED41C5"/>
    <w:rsid w:val="00ED4342"/>
    <w:rsid w:val="00ED4561"/>
    <w:rsid w:val="00ED457E"/>
    <w:rsid w:val="00ED45DC"/>
    <w:rsid w:val="00ED4677"/>
    <w:rsid w:val="00ED47A7"/>
    <w:rsid w:val="00ED48AA"/>
    <w:rsid w:val="00ED48DD"/>
    <w:rsid w:val="00ED4BC2"/>
    <w:rsid w:val="00ED4BEE"/>
    <w:rsid w:val="00ED4EDD"/>
    <w:rsid w:val="00ED4F2D"/>
    <w:rsid w:val="00ED4FDA"/>
    <w:rsid w:val="00ED5221"/>
    <w:rsid w:val="00ED5254"/>
    <w:rsid w:val="00ED52F9"/>
    <w:rsid w:val="00ED531D"/>
    <w:rsid w:val="00ED5389"/>
    <w:rsid w:val="00ED544E"/>
    <w:rsid w:val="00ED5501"/>
    <w:rsid w:val="00ED565C"/>
    <w:rsid w:val="00ED56B0"/>
    <w:rsid w:val="00ED570B"/>
    <w:rsid w:val="00ED5732"/>
    <w:rsid w:val="00ED57B2"/>
    <w:rsid w:val="00ED59BE"/>
    <w:rsid w:val="00ED59BF"/>
    <w:rsid w:val="00ED5D3D"/>
    <w:rsid w:val="00ED5EF4"/>
    <w:rsid w:val="00ED606B"/>
    <w:rsid w:val="00ED6173"/>
    <w:rsid w:val="00ED62A4"/>
    <w:rsid w:val="00ED62DB"/>
    <w:rsid w:val="00ED6307"/>
    <w:rsid w:val="00ED63E2"/>
    <w:rsid w:val="00ED6462"/>
    <w:rsid w:val="00ED6483"/>
    <w:rsid w:val="00ED6490"/>
    <w:rsid w:val="00ED649B"/>
    <w:rsid w:val="00ED64C4"/>
    <w:rsid w:val="00ED6747"/>
    <w:rsid w:val="00ED681B"/>
    <w:rsid w:val="00ED683B"/>
    <w:rsid w:val="00ED6922"/>
    <w:rsid w:val="00ED692B"/>
    <w:rsid w:val="00ED6990"/>
    <w:rsid w:val="00ED6A26"/>
    <w:rsid w:val="00ED6B59"/>
    <w:rsid w:val="00ED6D18"/>
    <w:rsid w:val="00ED6FDC"/>
    <w:rsid w:val="00ED721B"/>
    <w:rsid w:val="00ED7234"/>
    <w:rsid w:val="00ED728B"/>
    <w:rsid w:val="00ED7458"/>
    <w:rsid w:val="00ED7597"/>
    <w:rsid w:val="00ED75F8"/>
    <w:rsid w:val="00ED7646"/>
    <w:rsid w:val="00ED770B"/>
    <w:rsid w:val="00ED7792"/>
    <w:rsid w:val="00ED7980"/>
    <w:rsid w:val="00ED7D45"/>
    <w:rsid w:val="00ED7D6A"/>
    <w:rsid w:val="00ED7E8F"/>
    <w:rsid w:val="00ED7F9B"/>
    <w:rsid w:val="00EE02D6"/>
    <w:rsid w:val="00EE066E"/>
    <w:rsid w:val="00EE06EC"/>
    <w:rsid w:val="00EE0964"/>
    <w:rsid w:val="00EE0B35"/>
    <w:rsid w:val="00EE0D63"/>
    <w:rsid w:val="00EE0D70"/>
    <w:rsid w:val="00EE0E48"/>
    <w:rsid w:val="00EE0F43"/>
    <w:rsid w:val="00EE0F71"/>
    <w:rsid w:val="00EE1011"/>
    <w:rsid w:val="00EE1054"/>
    <w:rsid w:val="00EE108D"/>
    <w:rsid w:val="00EE10CB"/>
    <w:rsid w:val="00EE11CE"/>
    <w:rsid w:val="00EE158C"/>
    <w:rsid w:val="00EE16B7"/>
    <w:rsid w:val="00EE179C"/>
    <w:rsid w:val="00EE17D8"/>
    <w:rsid w:val="00EE18E7"/>
    <w:rsid w:val="00EE1962"/>
    <w:rsid w:val="00EE1A19"/>
    <w:rsid w:val="00EE1C5E"/>
    <w:rsid w:val="00EE1E19"/>
    <w:rsid w:val="00EE222F"/>
    <w:rsid w:val="00EE229E"/>
    <w:rsid w:val="00EE264E"/>
    <w:rsid w:val="00EE267B"/>
    <w:rsid w:val="00EE2761"/>
    <w:rsid w:val="00EE281B"/>
    <w:rsid w:val="00EE287F"/>
    <w:rsid w:val="00EE2890"/>
    <w:rsid w:val="00EE2AB7"/>
    <w:rsid w:val="00EE2B91"/>
    <w:rsid w:val="00EE2C44"/>
    <w:rsid w:val="00EE2CA3"/>
    <w:rsid w:val="00EE2D10"/>
    <w:rsid w:val="00EE2DFA"/>
    <w:rsid w:val="00EE2ECA"/>
    <w:rsid w:val="00EE2FB9"/>
    <w:rsid w:val="00EE32A6"/>
    <w:rsid w:val="00EE32AF"/>
    <w:rsid w:val="00EE3367"/>
    <w:rsid w:val="00EE33BB"/>
    <w:rsid w:val="00EE3508"/>
    <w:rsid w:val="00EE375A"/>
    <w:rsid w:val="00EE3896"/>
    <w:rsid w:val="00EE3B88"/>
    <w:rsid w:val="00EE3BFF"/>
    <w:rsid w:val="00EE3D33"/>
    <w:rsid w:val="00EE3E27"/>
    <w:rsid w:val="00EE3E45"/>
    <w:rsid w:val="00EE3E7B"/>
    <w:rsid w:val="00EE3E90"/>
    <w:rsid w:val="00EE41C2"/>
    <w:rsid w:val="00EE445C"/>
    <w:rsid w:val="00EE44D3"/>
    <w:rsid w:val="00EE45FC"/>
    <w:rsid w:val="00EE4617"/>
    <w:rsid w:val="00EE4628"/>
    <w:rsid w:val="00EE468A"/>
    <w:rsid w:val="00EE46C5"/>
    <w:rsid w:val="00EE4874"/>
    <w:rsid w:val="00EE4A21"/>
    <w:rsid w:val="00EE4A5B"/>
    <w:rsid w:val="00EE4BC7"/>
    <w:rsid w:val="00EE4CDB"/>
    <w:rsid w:val="00EE4D6A"/>
    <w:rsid w:val="00EE4E6A"/>
    <w:rsid w:val="00EE5045"/>
    <w:rsid w:val="00EE54BF"/>
    <w:rsid w:val="00EE54DF"/>
    <w:rsid w:val="00EE5542"/>
    <w:rsid w:val="00EE5554"/>
    <w:rsid w:val="00EE55FD"/>
    <w:rsid w:val="00EE562F"/>
    <w:rsid w:val="00EE568B"/>
    <w:rsid w:val="00EE572B"/>
    <w:rsid w:val="00EE57D5"/>
    <w:rsid w:val="00EE596E"/>
    <w:rsid w:val="00EE5AA5"/>
    <w:rsid w:val="00EE5C3E"/>
    <w:rsid w:val="00EE5CF5"/>
    <w:rsid w:val="00EE5D01"/>
    <w:rsid w:val="00EE5E1F"/>
    <w:rsid w:val="00EE6096"/>
    <w:rsid w:val="00EE6114"/>
    <w:rsid w:val="00EE61B0"/>
    <w:rsid w:val="00EE6214"/>
    <w:rsid w:val="00EE638A"/>
    <w:rsid w:val="00EE63FD"/>
    <w:rsid w:val="00EE6585"/>
    <w:rsid w:val="00EE660F"/>
    <w:rsid w:val="00EE679C"/>
    <w:rsid w:val="00EE67E3"/>
    <w:rsid w:val="00EE683C"/>
    <w:rsid w:val="00EE691D"/>
    <w:rsid w:val="00EE6AA2"/>
    <w:rsid w:val="00EE6AE6"/>
    <w:rsid w:val="00EE6BAA"/>
    <w:rsid w:val="00EE6BDC"/>
    <w:rsid w:val="00EE6CA0"/>
    <w:rsid w:val="00EE6E47"/>
    <w:rsid w:val="00EE6E74"/>
    <w:rsid w:val="00EE6ED9"/>
    <w:rsid w:val="00EE6F98"/>
    <w:rsid w:val="00EE6FB9"/>
    <w:rsid w:val="00EE72A9"/>
    <w:rsid w:val="00EE72D8"/>
    <w:rsid w:val="00EE72E3"/>
    <w:rsid w:val="00EE739A"/>
    <w:rsid w:val="00EE74E8"/>
    <w:rsid w:val="00EE751E"/>
    <w:rsid w:val="00EE7574"/>
    <w:rsid w:val="00EE75A8"/>
    <w:rsid w:val="00EE7622"/>
    <w:rsid w:val="00EE7640"/>
    <w:rsid w:val="00EE77F0"/>
    <w:rsid w:val="00EE785B"/>
    <w:rsid w:val="00EE78A3"/>
    <w:rsid w:val="00EE7A71"/>
    <w:rsid w:val="00EE7C3B"/>
    <w:rsid w:val="00EE7D14"/>
    <w:rsid w:val="00EE7D20"/>
    <w:rsid w:val="00EF00B1"/>
    <w:rsid w:val="00EF0106"/>
    <w:rsid w:val="00EF0115"/>
    <w:rsid w:val="00EF0352"/>
    <w:rsid w:val="00EF03E9"/>
    <w:rsid w:val="00EF0658"/>
    <w:rsid w:val="00EF0849"/>
    <w:rsid w:val="00EF099D"/>
    <w:rsid w:val="00EF0A8C"/>
    <w:rsid w:val="00EF0B7C"/>
    <w:rsid w:val="00EF0C59"/>
    <w:rsid w:val="00EF0D67"/>
    <w:rsid w:val="00EF1007"/>
    <w:rsid w:val="00EF1290"/>
    <w:rsid w:val="00EF18A4"/>
    <w:rsid w:val="00EF1991"/>
    <w:rsid w:val="00EF1A3B"/>
    <w:rsid w:val="00EF1B12"/>
    <w:rsid w:val="00EF1C2A"/>
    <w:rsid w:val="00EF1C95"/>
    <w:rsid w:val="00EF1D6B"/>
    <w:rsid w:val="00EF1D7E"/>
    <w:rsid w:val="00EF1E36"/>
    <w:rsid w:val="00EF1F11"/>
    <w:rsid w:val="00EF2218"/>
    <w:rsid w:val="00EF2261"/>
    <w:rsid w:val="00EF236D"/>
    <w:rsid w:val="00EF2384"/>
    <w:rsid w:val="00EF23F6"/>
    <w:rsid w:val="00EF2696"/>
    <w:rsid w:val="00EF271B"/>
    <w:rsid w:val="00EF28F0"/>
    <w:rsid w:val="00EF2953"/>
    <w:rsid w:val="00EF2AFE"/>
    <w:rsid w:val="00EF2B02"/>
    <w:rsid w:val="00EF2BBC"/>
    <w:rsid w:val="00EF2BEE"/>
    <w:rsid w:val="00EF2CD5"/>
    <w:rsid w:val="00EF2E6F"/>
    <w:rsid w:val="00EF2F85"/>
    <w:rsid w:val="00EF314C"/>
    <w:rsid w:val="00EF31DB"/>
    <w:rsid w:val="00EF35E8"/>
    <w:rsid w:val="00EF389C"/>
    <w:rsid w:val="00EF3940"/>
    <w:rsid w:val="00EF3949"/>
    <w:rsid w:val="00EF3A24"/>
    <w:rsid w:val="00EF3A3E"/>
    <w:rsid w:val="00EF3A96"/>
    <w:rsid w:val="00EF3AA5"/>
    <w:rsid w:val="00EF3AD7"/>
    <w:rsid w:val="00EF3B50"/>
    <w:rsid w:val="00EF3C31"/>
    <w:rsid w:val="00EF3CB7"/>
    <w:rsid w:val="00EF3D23"/>
    <w:rsid w:val="00EF4050"/>
    <w:rsid w:val="00EF40CE"/>
    <w:rsid w:val="00EF4151"/>
    <w:rsid w:val="00EF424C"/>
    <w:rsid w:val="00EF42CC"/>
    <w:rsid w:val="00EF43EF"/>
    <w:rsid w:val="00EF4566"/>
    <w:rsid w:val="00EF4576"/>
    <w:rsid w:val="00EF48A5"/>
    <w:rsid w:val="00EF48DE"/>
    <w:rsid w:val="00EF4AB1"/>
    <w:rsid w:val="00EF4AE6"/>
    <w:rsid w:val="00EF4AFA"/>
    <w:rsid w:val="00EF4B05"/>
    <w:rsid w:val="00EF4B88"/>
    <w:rsid w:val="00EF4B8E"/>
    <w:rsid w:val="00EF4B8F"/>
    <w:rsid w:val="00EF4C38"/>
    <w:rsid w:val="00EF4E09"/>
    <w:rsid w:val="00EF4E44"/>
    <w:rsid w:val="00EF4E7F"/>
    <w:rsid w:val="00EF4E86"/>
    <w:rsid w:val="00EF5073"/>
    <w:rsid w:val="00EF5189"/>
    <w:rsid w:val="00EF5195"/>
    <w:rsid w:val="00EF55A1"/>
    <w:rsid w:val="00EF56C3"/>
    <w:rsid w:val="00EF5765"/>
    <w:rsid w:val="00EF5924"/>
    <w:rsid w:val="00EF59F2"/>
    <w:rsid w:val="00EF5A9F"/>
    <w:rsid w:val="00EF5B30"/>
    <w:rsid w:val="00EF5B6E"/>
    <w:rsid w:val="00EF5BB6"/>
    <w:rsid w:val="00EF5BBB"/>
    <w:rsid w:val="00EF5BE9"/>
    <w:rsid w:val="00EF5BF8"/>
    <w:rsid w:val="00EF5C05"/>
    <w:rsid w:val="00EF5C71"/>
    <w:rsid w:val="00EF5CC5"/>
    <w:rsid w:val="00EF5CFA"/>
    <w:rsid w:val="00EF5D0E"/>
    <w:rsid w:val="00EF5DB1"/>
    <w:rsid w:val="00EF60F1"/>
    <w:rsid w:val="00EF616D"/>
    <w:rsid w:val="00EF621E"/>
    <w:rsid w:val="00EF657A"/>
    <w:rsid w:val="00EF669F"/>
    <w:rsid w:val="00EF6BD0"/>
    <w:rsid w:val="00EF6DA1"/>
    <w:rsid w:val="00EF6E41"/>
    <w:rsid w:val="00EF6E68"/>
    <w:rsid w:val="00EF6F43"/>
    <w:rsid w:val="00EF7080"/>
    <w:rsid w:val="00EF718F"/>
    <w:rsid w:val="00EF7253"/>
    <w:rsid w:val="00EF72D6"/>
    <w:rsid w:val="00EF747B"/>
    <w:rsid w:val="00EF758D"/>
    <w:rsid w:val="00EF764D"/>
    <w:rsid w:val="00EF7694"/>
    <w:rsid w:val="00EF76EF"/>
    <w:rsid w:val="00EF7857"/>
    <w:rsid w:val="00EF787B"/>
    <w:rsid w:val="00EF7988"/>
    <w:rsid w:val="00EF79FC"/>
    <w:rsid w:val="00EF7B67"/>
    <w:rsid w:val="00EF7C67"/>
    <w:rsid w:val="00EF7DCA"/>
    <w:rsid w:val="00EF7EAC"/>
    <w:rsid w:val="00EF7F7B"/>
    <w:rsid w:val="00F00064"/>
    <w:rsid w:val="00F0048C"/>
    <w:rsid w:val="00F004EF"/>
    <w:rsid w:val="00F005DF"/>
    <w:rsid w:val="00F0066C"/>
    <w:rsid w:val="00F0075C"/>
    <w:rsid w:val="00F00C47"/>
    <w:rsid w:val="00F01057"/>
    <w:rsid w:val="00F011D2"/>
    <w:rsid w:val="00F01204"/>
    <w:rsid w:val="00F0144F"/>
    <w:rsid w:val="00F015B0"/>
    <w:rsid w:val="00F015E9"/>
    <w:rsid w:val="00F01777"/>
    <w:rsid w:val="00F017AE"/>
    <w:rsid w:val="00F0197A"/>
    <w:rsid w:val="00F01BF8"/>
    <w:rsid w:val="00F01C77"/>
    <w:rsid w:val="00F01E66"/>
    <w:rsid w:val="00F01FA7"/>
    <w:rsid w:val="00F02003"/>
    <w:rsid w:val="00F02078"/>
    <w:rsid w:val="00F020E0"/>
    <w:rsid w:val="00F02157"/>
    <w:rsid w:val="00F02192"/>
    <w:rsid w:val="00F021A2"/>
    <w:rsid w:val="00F022F8"/>
    <w:rsid w:val="00F023E9"/>
    <w:rsid w:val="00F025CB"/>
    <w:rsid w:val="00F025E9"/>
    <w:rsid w:val="00F0264E"/>
    <w:rsid w:val="00F026DC"/>
    <w:rsid w:val="00F0277A"/>
    <w:rsid w:val="00F0283F"/>
    <w:rsid w:val="00F029CD"/>
    <w:rsid w:val="00F02C38"/>
    <w:rsid w:val="00F02C7E"/>
    <w:rsid w:val="00F02C8D"/>
    <w:rsid w:val="00F02CB5"/>
    <w:rsid w:val="00F02DB9"/>
    <w:rsid w:val="00F02E2B"/>
    <w:rsid w:val="00F02E37"/>
    <w:rsid w:val="00F02F90"/>
    <w:rsid w:val="00F03307"/>
    <w:rsid w:val="00F033ED"/>
    <w:rsid w:val="00F0349D"/>
    <w:rsid w:val="00F0355E"/>
    <w:rsid w:val="00F03622"/>
    <w:rsid w:val="00F037AE"/>
    <w:rsid w:val="00F03875"/>
    <w:rsid w:val="00F03A8E"/>
    <w:rsid w:val="00F03B58"/>
    <w:rsid w:val="00F03BC8"/>
    <w:rsid w:val="00F03D21"/>
    <w:rsid w:val="00F03D2E"/>
    <w:rsid w:val="00F03D53"/>
    <w:rsid w:val="00F03DF6"/>
    <w:rsid w:val="00F03E14"/>
    <w:rsid w:val="00F03F52"/>
    <w:rsid w:val="00F03F58"/>
    <w:rsid w:val="00F04178"/>
    <w:rsid w:val="00F0417B"/>
    <w:rsid w:val="00F04357"/>
    <w:rsid w:val="00F043F3"/>
    <w:rsid w:val="00F044EC"/>
    <w:rsid w:val="00F045A6"/>
    <w:rsid w:val="00F045FF"/>
    <w:rsid w:val="00F0463E"/>
    <w:rsid w:val="00F0493B"/>
    <w:rsid w:val="00F04A20"/>
    <w:rsid w:val="00F04BF9"/>
    <w:rsid w:val="00F04C6D"/>
    <w:rsid w:val="00F04D7C"/>
    <w:rsid w:val="00F04E0D"/>
    <w:rsid w:val="00F04F71"/>
    <w:rsid w:val="00F050B2"/>
    <w:rsid w:val="00F05197"/>
    <w:rsid w:val="00F05745"/>
    <w:rsid w:val="00F057C6"/>
    <w:rsid w:val="00F058D8"/>
    <w:rsid w:val="00F05AA1"/>
    <w:rsid w:val="00F05BA1"/>
    <w:rsid w:val="00F05E96"/>
    <w:rsid w:val="00F05FB3"/>
    <w:rsid w:val="00F06093"/>
    <w:rsid w:val="00F06340"/>
    <w:rsid w:val="00F06434"/>
    <w:rsid w:val="00F0663D"/>
    <w:rsid w:val="00F0665F"/>
    <w:rsid w:val="00F066B5"/>
    <w:rsid w:val="00F067A4"/>
    <w:rsid w:val="00F067E7"/>
    <w:rsid w:val="00F069CA"/>
    <w:rsid w:val="00F069FB"/>
    <w:rsid w:val="00F06A0F"/>
    <w:rsid w:val="00F06A44"/>
    <w:rsid w:val="00F06A6F"/>
    <w:rsid w:val="00F06AEE"/>
    <w:rsid w:val="00F06AF4"/>
    <w:rsid w:val="00F06B80"/>
    <w:rsid w:val="00F06BD6"/>
    <w:rsid w:val="00F06D5C"/>
    <w:rsid w:val="00F06EC0"/>
    <w:rsid w:val="00F06ED2"/>
    <w:rsid w:val="00F06F76"/>
    <w:rsid w:val="00F07274"/>
    <w:rsid w:val="00F072BE"/>
    <w:rsid w:val="00F072CA"/>
    <w:rsid w:val="00F072D5"/>
    <w:rsid w:val="00F072DC"/>
    <w:rsid w:val="00F07317"/>
    <w:rsid w:val="00F0739B"/>
    <w:rsid w:val="00F076B2"/>
    <w:rsid w:val="00F07807"/>
    <w:rsid w:val="00F07962"/>
    <w:rsid w:val="00F07982"/>
    <w:rsid w:val="00F079C7"/>
    <w:rsid w:val="00F07A4D"/>
    <w:rsid w:val="00F07C0C"/>
    <w:rsid w:val="00F07C9D"/>
    <w:rsid w:val="00F07D64"/>
    <w:rsid w:val="00F07EBA"/>
    <w:rsid w:val="00F07EDA"/>
    <w:rsid w:val="00F07EE4"/>
    <w:rsid w:val="00F1011D"/>
    <w:rsid w:val="00F106F4"/>
    <w:rsid w:val="00F1076A"/>
    <w:rsid w:val="00F10803"/>
    <w:rsid w:val="00F10A70"/>
    <w:rsid w:val="00F10BEE"/>
    <w:rsid w:val="00F10CB7"/>
    <w:rsid w:val="00F10CC7"/>
    <w:rsid w:val="00F10EB0"/>
    <w:rsid w:val="00F10FA2"/>
    <w:rsid w:val="00F11055"/>
    <w:rsid w:val="00F110AE"/>
    <w:rsid w:val="00F111CC"/>
    <w:rsid w:val="00F1123F"/>
    <w:rsid w:val="00F113EC"/>
    <w:rsid w:val="00F11514"/>
    <w:rsid w:val="00F115EC"/>
    <w:rsid w:val="00F116CF"/>
    <w:rsid w:val="00F11946"/>
    <w:rsid w:val="00F11A2B"/>
    <w:rsid w:val="00F11C25"/>
    <w:rsid w:val="00F11D1D"/>
    <w:rsid w:val="00F11EE3"/>
    <w:rsid w:val="00F11F87"/>
    <w:rsid w:val="00F11FEF"/>
    <w:rsid w:val="00F12029"/>
    <w:rsid w:val="00F121CF"/>
    <w:rsid w:val="00F121FB"/>
    <w:rsid w:val="00F124D6"/>
    <w:rsid w:val="00F12549"/>
    <w:rsid w:val="00F12623"/>
    <w:rsid w:val="00F128C7"/>
    <w:rsid w:val="00F128ED"/>
    <w:rsid w:val="00F1290F"/>
    <w:rsid w:val="00F12B62"/>
    <w:rsid w:val="00F12BDF"/>
    <w:rsid w:val="00F12CBF"/>
    <w:rsid w:val="00F12E18"/>
    <w:rsid w:val="00F12E93"/>
    <w:rsid w:val="00F13042"/>
    <w:rsid w:val="00F13271"/>
    <w:rsid w:val="00F134DB"/>
    <w:rsid w:val="00F13603"/>
    <w:rsid w:val="00F13687"/>
    <w:rsid w:val="00F138C3"/>
    <w:rsid w:val="00F138EA"/>
    <w:rsid w:val="00F1390F"/>
    <w:rsid w:val="00F13AA6"/>
    <w:rsid w:val="00F13AF8"/>
    <w:rsid w:val="00F13BEF"/>
    <w:rsid w:val="00F13BF5"/>
    <w:rsid w:val="00F13E14"/>
    <w:rsid w:val="00F13ECB"/>
    <w:rsid w:val="00F13F12"/>
    <w:rsid w:val="00F14056"/>
    <w:rsid w:val="00F14299"/>
    <w:rsid w:val="00F142DB"/>
    <w:rsid w:val="00F143D3"/>
    <w:rsid w:val="00F14468"/>
    <w:rsid w:val="00F145B7"/>
    <w:rsid w:val="00F147EF"/>
    <w:rsid w:val="00F148A0"/>
    <w:rsid w:val="00F14972"/>
    <w:rsid w:val="00F14BBF"/>
    <w:rsid w:val="00F14DEF"/>
    <w:rsid w:val="00F14EB6"/>
    <w:rsid w:val="00F14ECC"/>
    <w:rsid w:val="00F15053"/>
    <w:rsid w:val="00F150DC"/>
    <w:rsid w:val="00F1522E"/>
    <w:rsid w:val="00F153D3"/>
    <w:rsid w:val="00F15410"/>
    <w:rsid w:val="00F1563F"/>
    <w:rsid w:val="00F157D9"/>
    <w:rsid w:val="00F15832"/>
    <w:rsid w:val="00F159BE"/>
    <w:rsid w:val="00F15A9E"/>
    <w:rsid w:val="00F15BB5"/>
    <w:rsid w:val="00F15BDB"/>
    <w:rsid w:val="00F15C50"/>
    <w:rsid w:val="00F15EF4"/>
    <w:rsid w:val="00F16038"/>
    <w:rsid w:val="00F161B4"/>
    <w:rsid w:val="00F16441"/>
    <w:rsid w:val="00F16507"/>
    <w:rsid w:val="00F165E3"/>
    <w:rsid w:val="00F16644"/>
    <w:rsid w:val="00F16720"/>
    <w:rsid w:val="00F1677D"/>
    <w:rsid w:val="00F16903"/>
    <w:rsid w:val="00F16996"/>
    <w:rsid w:val="00F16A67"/>
    <w:rsid w:val="00F16D9F"/>
    <w:rsid w:val="00F16E3A"/>
    <w:rsid w:val="00F16E4B"/>
    <w:rsid w:val="00F16F5F"/>
    <w:rsid w:val="00F1701F"/>
    <w:rsid w:val="00F17062"/>
    <w:rsid w:val="00F170DF"/>
    <w:rsid w:val="00F171B1"/>
    <w:rsid w:val="00F171E7"/>
    <w:rsid w:val="00F17318"/>
    <w:rsid w:val="00F17343"/>
    <w:rsid w:val="00F1753F"/>
    <w:rsid w:val="00F17717"/>
    <w:rsid w:val="00F178A8"/>
    <w:rsid w:val="00F17984"/>
    <w:rsid w:val="00F17C16"/>
    <w:rsid w:val="00F17C3A"/>
    <w:rsid w:val="00F17D18"/>
    <w:rsid w:val="00F17E69"/>
    <w:rsid w:val="00F17EF6"/>
    <w:rsid w:val="00F17FB6"/>
    <w:rsid w:val="00F20208"/>
    <w:rsid w:val="00F20373"/>
    <w:rsid w:val="00F205B7"/>
    <w:rsid w:val="00F205D9"/>
    <w:rsid w:val="00F206D9"/>
    <w:rsid w:val="00F207EF"/>
    <w:rsid w:val="00F20878"/>
    <w:rsid w:val="00F208AA"/>
    <w:rsid w:val="00F20A3F"/>
    <w:rsid w:val="00F20A55"/>
    <w:rsid w:val="00F20CF5"/>
    <w:rsid w:val="00F20DB4"/>
    <w:rsid w:val="00F20DF3"/>
    <w:rsid w:val="00F20E37"/>
    <w:rsid w:val="00F20F43"/>
    <w:rsid w:val="00F2106D"/>
    <w:rsid w:val="00F21296"/>
    <w:rsid w:val="00F2159C"/>
    <w:rsid w:val="00F215D7"/>
    <w:rsid w:val="00F21705"/>
    <w:rsid w:val="00F217F6"/>
    <w:rsid w:val="00F217FC"/>
    <w:rsid w:val="00F21842"/>
    <w:rsid w:val="00F2186A"/>
    <w:rsid w:val="00F21A56"/>
    <w:rsid w:val="00F21A86"/>
    <w:rsid w:val="00F21B76"/>
    <w:rsid w:val="00F21B9D"/>
    <w:rsid w:val="00F21BDB"/>
    <w:rsid w:val="00F21C3A"/>
    <w:rsid w:val="00F21C42"/>
    <w:rsid w:val="00F21C5C"/>
    <w:rsid w:val="00F21D44"/>
    <w:rsid w:val="00F21EED"/>
    <w:rsid w:val="00F21F54"/>
    <w:rsid w:val="00F21FF0"/>
    <w:rsid w:val="00F220EB"/>
    <w:rsid w:val="00F22214"/>
    <w:rsid w:val="00F2224B"/>
    <w:rsid w:val="00F22261"/>
    <w:rsid w:val="00F222A4"/>
    <w:rsid w:val="00F2234B"/>
    <w:rsid w:val="00F22402"/>
    <w:rsid w:val="00F2240C"/>
    <w:rsid w:val="00F22500"/>
    <w:rsid w:val="00F2265F"/>
    <w:rsid w:val="00F22699"/>
    <w:rsid w:val="00F22759"/>
    <w:rsid w:val="00F22A4D"/>
    <w:rsid w:val="00F22A6B"/>
    <w:rsid w:val="00F22AB6"/>
    <w:rsid w:val="00F22CFF"/>
    <w:rsid w:val="00F22D1B"/>
    <w:rsid w:val="00F22D29"/>
    <w:rsid w:val="00F22DE6"/>
    <w:rsid w:val="00F22E87"/>
    <w:rsid w:val="00F22F9C"/>
    <w:rsid w:val="00F23369"/>
    <w:rsid w:val="00F23454"/>
    <w:rsid w:val="00F23473"/>
    <w:rsid w:val="00F235F5"/>
    <w:rsid w:val="00F2363D"/>
    <w:rsid w:val="00F2380B"/>
    <w:rsid w:val="00F23C93"/>
    <w:rsid w:val="00F23D45"/>
    <w:rsid w:val="00F23FA0"/>
    <w:rsid w:val="00F24045"/>
    <w:rsid w:val="00F24085"/>
    <w:rsid w:val="00F241DB"/>
    <w:rsid w:val="00F24209"/>
    <w:rsid w:val="00F24253"/>
    <w:rsid w:val="00F24362"/>
    <w:rsid w:val="00F24477"/>
    <w:rsid w:val="00F2447E"/>
    <w:rsid w:val="00F24637"/>
    <w:rsid w:val="00F247C0"/>
    <w:rsid w:val="00F247E8"/>
    <w:rsid w:val="00F24868"/>
    <w:rsid w:val="00F248C2"/>
    <w:rsid w:val="00F249C4"/>
    <w:rsid w:val="00F24BB3"/>
    <w:rsid w:val="00F24CDB"/>
    <w:rsid w:val="00F24EBC"/>
    <w:rsid w:val="00F2518D"/>
    <w:rsid w:val="00F251C6"/>
    <w:rsid w:val="00F25248"/>
    <w:rsid w:val="00F25268"/>
    <w:rsid w:val="00F252B0"/>
    <w:rsid w:val="00F253A5"/>
    <w:rsid w:val="00F25467"/>
    <w:rsid w:val="00F25501"/>
    <w:rsid w:val="00F25703"/>
    <w:rsid w:val="00F25C0B"/>
    <w:rsid w:val="00F25DFA"/>
    <w:rsid w:val="00F25E0F"/>
    <w:rsid w:val="00F25EAB"/>
    <w:rsid w:val="00F25F6D"/>
    <w:rsid w:val="00F261F0"/>
    <w:rsid w:val="00F26372"/>
    <w:rsid w:val="00F263C1"/>
    <w:rsid w:val="00F26410"/>
    <w:rsid w:val="00F2647D"/>
    <w:rsid w:val="00F26C3E"/>
    <w:rsid w:val="00F26D1C"/>
    <w:rsid w:val="00F26DFF"/>
    <w:rsid w:val="00F26E77"/>
    <w:rsid w:val="00F26F03"/>
    <w:rsid w:val="00F26F87"/>
    <w:rsid w:val="00F2705F"/>
    <w:rsid w:val="00F2707E"/>
    <w:rsid w:val="00F270BC"/>
    <w:rsid w:val="00F2713E"/>
    <w:rsid w:val="00F271A6"/>
    <w:rsid w:val="00F271B7"/>
    <w:rsid w:val="00F271ED"/>
    <w:rsid w:val="00F27554"/>
    <w:rsid w:val="00F277EE"/>
    <w:rsid w:val="00F2787D"/>
    <w:rsid w:val="00F27A9A"/>
    <w:rsid w:val="00F27B3E"/>
    <w:rsid w:val="00F27B70"/>
    <w:rsid w:val="00F27D5C"/>
    <w:rsid w:val="00F27F88"/>
    <w:rsid w:val="00F27FEB"/>
    <w:rsid w:val="00F3015C"/>
    <w:rsid w:val="00F30517"/>
    <w:rsid w:val="00F30529"/>
    <w:rsid w:val="00F30545"/>
    <w:rsid w:val="00F30583"/>
    <w:rsid w:val="00F30617"/>
    <w:rsid w:val="00F30620"/>
    <w:rsid w:val="00F3070F"/>
    <w:rsid w:val="00F30A33"/>
    <w:rsid w:val="00F30AD8"/>
    <w:rsid w:val="00F30B79"/>
    <w:rsid w:val="00F30B7C"/>
    <w:rsid w:val="00F30DF2"/>
    <w:rsid w:val="00F30E43"/>
    <w:rsid w:val="00F30EB8"/>
    <w:rsid w:val="00F30ECE"/>
    <w:rsid w:val="00F30FA6"/>
    <w:rsid w:val="00F3125D"/>
    <w:rsid w:val="00F312D9"/>
    <w:rsid w:val="00F314F0"/>
    <w:rsid w:val="00F31504"/>
    <w:rsid w:val="00F315EB"/>
    <w:rsid w:val="00F31823"/>
    <w:rsid w:val="00F319B6"/>
    <w:rsid w:val="00F319E3"/>
    <w:rsid w:val="00F31A59"/>
    <w:rsid w:val="00F31AAF"/>
    <w:rsid w:val="00F31B7B"/>
    <w:rsid w:val="00F31C6E"/>
    <w:rsid w:val="00F31CA0"/>
    <w:rsid w:val="00F31CAF"/>
    <w:rsid w:val="00F31CBF"/>
    <w:rsid w:val="00F31D95"/>
    <w:rsid w:val="00F31EFA"/>
    <w:rsid w:val="00F31F0F"/>
    <w:rsid w:val="00F31FCB"/>
    <w:rsid w:val="00F32085"/>
    <w:rsid w:val="00F32170"/>
    <w:rsid w:val="00F3217F"/>
    <w:rsid w:val="00F321BD"/>
    <w:rsid w:val="00F321FC"/>
    <w:rsid w:val="00F3230C"/>
    <w:rsid w:val="00F323F3"/>
    <w:rsid w:val="00F32404"/>
    <w:rsid w:val="00F3246E"/>
    <w:rsid w:val="00F3247E"/>
    <w:rsid w:val="00F3258E"/>
    <w:rsid w:val="00F327DF"/>
    <w:rsid w:val="00F328E1"/>
    <w:rsid w:val="00F32A7E"/>
    <w:rsid w:val="00F32E61"/>
    <w:rsid w:val="00F330F3"/>
    <w:rsid w:val="00F330F4"/>
    <w:rsid w:val="00F33103"/>
    <w:rsid w:val="00F3314A"/>
    <w:rsid w:val="00F33215"/>
    <w:rsid w:val="00F33276"/>
    <w:rsid w:val="00F3328B"/>
    <w:rsid w:val="00F333AF"/>
    <w:rsid w:val="00F3355C"/>
    <w:rsid w:val="00F336AC"/>
    <w:rsid w:val="00F33804"/>
    <w:rsid w:val="00F3390E"/>
    <w:rsid w:val="00F339BE"/>
    <w:rsid w:val="00F33A0B"/>
    <w:rsid w:val="00F33A7F"/>
    <w:rsid w:val="00F33ACA"/>
    <w:rsid w:val="00F33AD1"/>
    <w:rsid w:val="00F33B99"/>
    <w:rsid w:val="00F33BAB"/>
    <w:rsid w:val="00F33D7B"/>
    <w:rsid w:val="00F33EA6"/>
    <w:rsid w:val="00F33F8E"/>
    <w:rsid w:val="00F3405B"/>
    <w:rsid w:val="00F3409D"/>
    <w:rsid w:val="00F34357"/>
    <w:rsid w:val="00F3468B"/>
    <w:rsid w:val="00F34718"/>
    <w:rsid w:val="00F34725"/>
    <w:rsid w:val="00F348FC"/>
    <w:rsid w:val="00F349C2"/>
    <w:rsid w:val="00F34BC3"/>
    <w:rsid w:val="00F34C74"/>
    <w:rsid w:val="00F34C77"/>
    <w:rsid w:val="00F34C99"/>
    <w:rsid w:val="00F34DFF"/>
    <w:rsid w:val="00F350C0"/>
    <w:rsid w:val="00F352ED"/>
    <w:rsid w:val="00F35422"/>
    <w:rsid w:val="00F35514"/>
    <w:rsid w:val="00F35746"/>
    <w:rsid w:val="00F358C3"/>
    <w:rsid w:val="00F35AA8"/>
    <w:rsid w:val="00F35CAA"/>
    <w:rsid w:val="00F35D49"/>
    <w:rsid w:val="00F35D68"/>
    <w:rsid w:val="00F35D81"/>
    <w:rsid w:val="00F35D94"/>
    <w:rsid w:val="00F35E6A"/>
    <w:rsid w:val="00F35F66"/>
    <w:rsid w:val="00F35F96"/>
    <w:rsid w:val="00F361D6"/>
    <w:rsid w:val="00F36341"/>
    <w:rsid w:val="00F36372"/>
    <w:rsid w:val="00F36641"/>
    <w:rsid w:val="00F3665A"/>
    <w:rsid w:val="00F3668C"/>
    <w:rsid w:val="00F36729"/>
    <w:rsid w:val="00F367C8"/>
    <w:rsid w:val="00F367D8"/>
    <w:rsid w:val="00F3682D"/>
    <w:rsid w:val="00F3693E"/>
    <w:rsid w:val="00F369F7"/>
    <w:rsid w:val="00F36BC8"/>
    <w:rsid w:val="00F36C91"/>
    <w:rsid w:val="00F36D1A"/>
    <w:rsid w:val="00F36E06"/>
    <w:rsid w:val="00F36E71"/>
    <w:rsid w:val="00F36E94"/>
    <w:rsid w:val="00F36FB3"/>
    <w:rsid w:val="00F37213"/>
    <w:rsid w:val="00F3721B"/>
    <w:rsid w:val="00F37487"/>
    <w:rsid w:val="00F37651"/>
    <w:rsid w:val="00F37815"/>
    <w:rsid w:val="00F3781A"/>
    <w:rsid w:val="00F37879"/>
    <w:rsid w:val="00F378F8"/>
    <w:rsid w:val="00F3795E"/>
    <w:rsid w:val="00F37A2E"/>
    <w:rsid w:val="00F37C53"/>
    <w:rsid w:val="00F37C91"/>
    <w:rsid w:val="00F37F50"/>
    <w:rsid w:val="00F4010A"/>
    <w:rsid w:val="00F40139"/>
    <w:rsid w:val="00F40154"/>
    <w:rsid w:val="00F401E3"/>
    <w:rsid w:val="00F4021A"/>
    <w:rsid w:val="00F403C9"/>
    <w:rsid w:val="00F40490"/>
    <w:rsid w:val="00F4078C"/>
    <w:rsid w:val="00F40855"/>
    <w:rsid w:val="00F4099E"/>
    <w:rsid w:val="00F409EC"/>
    <w:rsid w:val="00F409F1"/>
    <w:rsid w:val="00F40B8F"/>
    <w:rsid w:val="00F40DE7"/>
    <w:rsid w:val="00F40E07"/>
    <w:rsid w:val="00F40EDB"/>
    <w:rsid w:val="00F40F1A"/>
    <w:rsid w:val="00F40FBC"/>
    <w:rsid w:val="00F410F6"/>
    <w:rsid w:val="00F4112D"/>
    <w:rsid w:val="00F411FC"/>
    <w:rsid w:val="00F4131B"/>
    <w:rsid w:val="00F4133B"/>
    <w:rsid w:val="00F4138F"/>
    <w:rsid w:val="00F413F8"/>
    <w:rsid w:val="00F4149F"/>
    <w:rsid w:val="00F4186A"/>
    <w:rsid w:val="00F4191B"/>
    <w:rsid w:val="00F4194E"/>
    <w:rsid w:val="00F41AD9"/>
    <w:rsid w:val="00F41B76"/>
    <w:rsid w:val="00F41C1A"/>
    <w:rsid w:val="00F41C53"/>
    <w:rsid w:val="00F41D07"/>
    <w:rsid w:val="00F41D26"/>
    <w:rsid w:val="00F41E72"/>
    <w:rsid w:val="00F420E1"/>
    <w:rsid w:val="00F42301"/>
    <w:rsid w:val="00F42306"/>
    <w:rsid w:val="00F42634"/>
    <w:rsid w:val="00F42801"/>
    <w:rsid w:val="00F429A8"/>
    <w:rsid w:val="00F42A75"/>
    <w:rsid w:val="00F42A84"/>
    <w:rsid w:val="00F42C16"/>
    <w:rsid w:val="00F42C77"/>
    <w:rsid w:val="00F42E21"/>
    <w:rsid w:val="00F42FDD"/>
    <w:rsid w:val="00F4300B"/>
    <w:rsid w:val="00F430DA"/>
    <w:rsid w:val="00F43162"/>
    <w:rsid w:val="00F431B6"/>
    <w:rsid w:val="00F431FF"/>
    <w:rsid w:val="00F4327D"/>
    <w:rsid w:val="00F43292"/>
    <w:rsid w:val="00F43312"/>
    <w:rsid w:val="00F43467"/>
    <w:rsid w:val="00F43571"/>
    <w:rsid w:val="00F436C3"/>
    <w:rsid w:val="00F4376F"/>
    <w:rsid w:val="00F438BD"/>
    <w:rsid w:val="00F438C6"/>
    <w:rsid w:val="00F43B45"/>
    <w:rsid w:val="00F43B49"/>
    <w:rsid w:val="00F43B7A"/>
    <w:rsid w:val="00F43CAC"/>
    <w:rsid w:val="00F43CE4"/>
    <w:rsid w:val="00F43D5B"/>
    <w:rsid w:val="00F43DC8"/>
    <w:rsid w:val="00F4400B"/>
    <w:rsid w:val="00F44043"/>
    <w:rsid w:val="00F44099"/>
    <w:rsid w:val="00F44323"/>
    <w:rsid w:val="00F443FD"/>
    <w:rsid w:val="00F444D2"/>
    <w:rsid w:val="00F44640"/>
    <w:rsid w:val="00F446C3"/>
    <w:rsid w:val="00F447C9"/>
    <w:rsid w:val="00F4486D"/>
    <w:rsid w:val="00F44B8B"/>
    <w:rsid w:val="00F44BA3"/>
    <w:rsid w:val="00F44CAA"/>
    <w:rsid w:val="00F44F41"/>
    <w:rsid w:val="00F45080"/>
    <w:rsid w:val="00F45112"/>
    <w:rsid w:val="00F45120"/>
    <w:rsid w:val="00F451FA"/>
    <w:rsid w:val="00F45236"/>
    <w:rsid w:val="00F4531C"/>
    <w:rsid w:val="00F4553F"/>
    <w:rsid w:val="00F45673"/>
    <w:rsid w:val="00F457AF"/>
    <w:rsid w:val="00F45800"/>
    <w:rsid w:val="00F4597B"/>
    <w:rsid w:val="00F45AAD"/>
    <w:rsid w:val="00F45AEF"/>
    <w:rsid w:val="00F45C70"/>
    <w:rsid w:val="00F45D04"/>
    <w:rsid w:val="00F45D65"/>
    <w:rsid w:val="00F45D98"/>
    <w:rsid w:val="00F45E0F"/>
    <w:rsid w:val="00F45E55"/>
    <w:rsid w:val="00F45E7D"/>
    <w:rsid w:val="00F45E88"/>
    <w:rsid w:val="00F45FB5"/>
    <w:rsid w:val="00F46128"/>
    <w:rsid w:val="00F46335"/>
    <w:rsid w:val="00F467D6"/>
    <w:rsid w:val="00F467E6"/>
    <w:rsid w:val="00F46818"/>
    <w:rsid w:val="00F46876"/>
    <w:rsid w:val="00F46962"/>
    <w:rsid w:val="00F4696B"/>
    <w:rsid w:val="00F46AD6"/>
    <w:rsid w:val="00F46B71"/>
    <w:rsid w:val="00F46C53"/>
    <w:rsid w:val="00F46C96"/>
    <w:rsid w:val="00F46D0F"/>
    <w:rsid w:val="00F470B2"/>
    <w:rsid w:val="00F47147"/>
    <w:rsid w:val="00F47259"/>
    <w:rsid w:val="00F4727D"/>
    <w:rsid w:val="00F47308"/>
    <w:rsid w:val="00F4734C"/>
    <w:rsid w:val="00F47548"/>
    <w:rsid w:val="00F47629"/>
    <w:rsid w:val="00F477FA"/>
    <w:rsid w:val="00F47858"/>
    <w:rsid w:val="00F47911"/>
    <w:rsid w:val="00F47933"/>
    <w:rsid w:val="00F4794E"/>
    <w:rsid w:val="00F47993"/>
    <w:rsid w:val="00F47A50"/>
    <w:rsid w:val="00F47B80"/>
    <w:rsid w:val="00F47C75"/>
    <w:rsid w:val="00F47C8D"/>
    <w:rsid w:val="00F47FE7"/>
    <w:rsid w:val="00F50192"/>
    <w:rsid w:val="00F501EC"/>
    <w:rsid w:val="00F502D3"/>
    <w:rsid w:val="00F502FD"/>
    <w:rsid w:val="00F50332"/>
    <w:rsid w:val="00F5058B"/>
    <w:rsid w:val="00F506BC"/>
    <w:rsid w:val="00F507CC"/>
    <w:rsid w:val="00F50850"/>
    <w:rsid w:val="00F509B5"/>
    <w:rsid w:val="00F50C5C"/>
    <w:rsid w:val="00F50EB3"/>
    <w:rsid w:val="00F50F81"/>
    <w:rsid w:val="00F5117C"/>
    <w:rsid w:val="00F515FD"/>
    <w:rsid w:val="00F51733"/>
    <w:rsid w:val="00F5177F"/>
    <w:rsid w:val="00F5188B"/>
    <w:rsid w:val="00F51980"/>
    <w:rsid w:val="00F51CAA"/>
    <w:rsid w:val="00F51D6A"/>
    <w:rsid w:val="00F51DBA"/>
    <w:rsid w:val="00F51E1A"/>
    <w:rsid w:val="00F51F2F"/>
    <w:rsid w:val="00F520CF"/>
    <w:rsid w:val="00F5214D"/>
    <w:rsid w:val="00F52277"/>
    <w:rsid w:val="00F522B0"/>
    <w:rsid w:val="00F522B3"/>
    <w:rsid w:val="00F523C8"/>
    <w:rsid w:val="00F5256E"/>
    <w:rsid w:val="00F52734"/>
    <w:rsid w:val="00F5279A"/>
    <w:rsid w:val="00F52859"/>
    <w:rsid w:val="00F52A8D"/>
    <w:rsid w:val="00F52B6B"/>
    <w:rsid w:val="00F52CB8"/>
    <w:rsid w:val="00F52CB9"/>
    <w:rsid w:val="00F52CC2"/>
    <w:rsid w:val="00F5312B"/>
    <w:rsid w:val="00F531A4"/>
    <w:rsid w:val="00F5329F"/>
    <w:rsid w:val="00F532FF"/>
    <w:rsid w:val="00F533EA"/>
    <w:rsid w:val="00F53422"/>
    <w:rsid w:val="00F5353D"/>
    <w:rsid w:val="00F5364A"/>
    <w:rsid w:val="00F53677"/>
    <w:rsid w:val="00F53823"/>
    <w:rsid w:val="00F5388E"/>
    <w:rsid w:val="00F53C71"/>
    <w:rsid w:val="00F53CF3"/>
    <w:rsid w:val="00F53E51"/>
    <w:rsid w:val="00F53F49"/>
    <w:rsid w:val="00F53F93"/>
    <w:rsid w:val="00F54006"/>
    <w:rsid w:val="00F54029"/>
    <w:rsid w:val="00F54079"/>
    <w:rsid w:val="00F5414D"/>
    <w:rsid w:val="00F541E0"/>
    <w:rsid w:val="00F54205"/>
    <w:rsid w:val="00F5431E"/>
    <w:rsid w:val="00F5435B"/>
    <w:rsid w:val="00F54413"/>
    <w:rsid w:val="00F54550"/>
    <w:rsid w:val="00F546B4"/>
    <w:rsid w:val="00F54865"/>
    <w:rsid w:val="00F54938"/>
    <w:rsid w:val="00F54A6A"/>
    <w:rsid w:val="00F54A7B"/>
    <w:rsid w:val="00F54B0A"/>
    <w:rsid w:val="00F54C49"/>
    <w:rsid w:val="00F54D7A"/>
    <w:rsid w:val="00F54EF4"/>
    <w:rsid w:val="00F54F4E"/>
    <w:rsid w:val="00F55059"/>
    <w:rsid w:val="00F55350"/>
    <w:rsid w:val="00F55356"/>
    <w:rsid w:val="00F5548E"/>
    <w:rsid w:val="00F55509"/>
    <w:rsid w:val="00F555AE"/>
    <w:rsid w:val="00F555D4"/>
    <w:rsid w:val="00F555ED"/>
    <w:rsid w:val="00F55804"/>
    <w:rsid w:val="00F55886"/>
    <w:rsid w:val="00F55976"/>
    <w:rsid w:val="00F55DC5"/>
    <w:rsid w:val="00F55F61"/>
    <w:rsid w:val="00F55FEF"/>
    <w:rsid w:val="00F56107"/>
    <w:rsid w:val="00F56150"/>
    <w:rsid w:val="00F561C6"/>
    <w:rsid w:val="00F56324"/>
    <w:rsid w:val="00F5634F"/>
    <w:rsid w:val="00F563A7"/>
    <w:rsid w:val="00F5648C"/>
    <w:rsid w:val="00F56575"/>
    <w:rsid w:val="00F56603"/>
    <w:rsid w:val="00F5660D"/>
    <w:rsid w:val="00F56710"/>
    <w:rsid w:val="00F5681E"/>
    <w:rsid w:val="00F56831"/>
    <w:rsid w:val="00F5692E"/>
    <w:rsid w:val="00F56937"/>
    <w:rsid w:val="00F56A99"/>
    <w:rsid w:val="00F56B40"/>
    <w:rsid w:val="00F56C29"/>
    <w:rsid w:val="00F56C3B"/>
    <w:rsid w:val="00F56E0D"/>
    <w:rsid w:val="00F57009"/>
    <w:rsid w:val="00F571BD"/>
    <w:rsid w:val="00F571C9"/>
    <w:rsid w:val="00F57220"/>
    <w:rsid w:val="00F572B7"/>
    <w:rsid w:val="00F57413"/>
    <w:rsid w:val="00F574CA"/>
    <w:rsid w:val="00F57539"/>
    <w:rsid w:val="00F575D2"/>
    <w:rsid w:val="00F57789"/>
    <w:rsid w:val="00F577DD"/>
    <w:rsid w:val="00F57875"/>
    <w:rsid w:val="00F57927"/>
    <w:rsid w:val="00F5792E"/>
    <w:rsid w:val="00F5793A"/>
    <w:rsid w:val="00F57B51"/>
    <w:rsid w:val="00F57B8D"/>
    <w:rsid w:val="00F57BF7"/>
    <w:rsid w:val="00F57C2A"/>
    <w:rsid w:val="00F600B9"/>
    <w:rsid w:val="00F601CF"/>
    <w:rsid w:val="00F6031B"/>
    <w:rsid w:val="00F6041C"/>
    <w:rsid w:val="00F6049F"/>
    <w:rsid w:val="00F60692"/>
    <w:rsid w:val="00F60695"/>
    <w:rsid w:val="00F606E3"/>
    <w:rsid w:val="00F60871"/>
    <w:rsid w:val="00F60BE1"/>
    <w:rsid w:val="00F60C01"/>
    <w:rsid w:val="00F60C58"/>
    <w:rsid w:val="00F60CAF"/>
    <w:rsid w:val="00F60DD3"/>
    <w:rsid w:val="00F60E3F"/>
    <w:rsid w:val="00F60E79"/>
    <w:rsid w:val="00F611EC"/>
    <w:rsid w:val="00F6123F"/>
    <w:rsid w:val="00F614A5"/>
    <w:rsid w:val="00F614DB"/>
    <w:rsid w:val="00F614EF"/>
    <w:rsid w:val="00F614F2"/>
    <w:rsid w:val="00F61510"/>
    <w:rsid w:val="00F615CC"/>
    <w:rsid w:val="00F61671"/>
    <w:rsid w:val="00F61745"/>
    <w:rsid w:val="00F61756"/>
    <w:rsid w:val="00F617DB"/>
    <w:rsid w:val="00F6187F"/>
    <w:rsid w:val="00F618F6"/>
    <w:rsid w:val="00F618FB"/>
    <w:rsid w:val="00F61914"/>
    <w:rsid w:val="00F6193B"/>
    <w:rsid w:val="00F619A2"/>
    <w:rsid w:val="00F61A3E"/>
    <w:rsid w:val="00F61B34"/>
    <w:rsid w:val="00F61D51"/>
    <w:rsid w:val="00F61D9D"/>
    <w:rsid w:val="00F61E2C"/>
    <w:rsid w:val="00F61E68"/>
    <w:rsid w:val="00F61FEB"/>
    <w:rsid w:val="00F62084"/>
    <w:rsid w:val="00F620AF"/>
    <w:rsid w:val="00F621C6"/>
    <w:rsid w:val="00F62293"/>
    <w:rsid w:val="00F62607"/>
    <w:rsid w:val="00F626F8"/>
    <w:rsid w:val="00F62724"/>
    <w:rsid w:val="00F62828"/>
    <w:rsid w:val="00F628B1"/>
    <w:rsid w:val="00F628CB"/>
    <w:rsid w:val="00F628EC"/>
    <w:rsid w:val="00F628F4"/>
    <w:rsid w:val="00F62922"/>
    <w:rsid w:val="00F629C0"/>
    <w:rsid w:val="00F62ADC"/>
    <w:rsid w:val="00F62ADD"/>
    <w:rsid w:val="00F62AFF"/>
    <w:rsid w:val="00F62B2B"/>
    <w:rsid w:val="00F62B4A"/>
    <w:rsid w:val="00F62C2E"/>
    <w:rsid w:val="00F62D74"/>
    <w:rsid w:val="00F62E17"/>
    <w:rsid w:val="00F62F4A"/>
    <w:rsid w:val="00F62FF7"/>
    <w:rsid w:val="00F6312F"/>
    <w:rsid w:val="00F633D9"/>
    <w:rsid w:val="00F63415"/>
    <w:rsid w:val="00F63458"/>
    <w:rsid w:val="00F634E6"/>
    <w:rsid w:val="00F636D5"/>
    <w:rsid w:val="00F63848"/>
    <w:rsid w:val="00F63906"/>
    <w:rsid w:val="00F63914"/>
    <w:rsid w:val="00F63AC5"/>
    <w:rsid w:val="00F63C14"/>
    <w:rsid w:val="00F63DB4"/>
    <w:rsid w:val="00F63EC7"/>
    <w:rsid w:val="00F63F29"/>
    <w:rsid w:val="00F63F7A"/>
    <w:rsid w:val="00F6407E"/>
    <w:rsid w:val="00F6429D"/>
    <w:rsid w:val="00F642A0"/>
    <w:rsid w:val="00F642C2"/>
    <w:rsid w:val="00F6438C"/>
    <w:rsid w:val="00F643B8"/>
    <w:rsid w:val="00F644D6"/>
    <w:rsid w:val="00F644D9"/>
    <w:rsid w:val="00F644E8"/>
    <w:rsid w:val="00F64543"/>
    <w:rsid w:val="00F64719"/>
    <w:rsid w:val="00F64804"/>
    <w:rsid w:val="00F648CE"/>
    <w:rsid w:val="00F6494E"/>
    <w:rsid w:val="00F64A16"/>
    <w:rsid w:val="00F64A5F"/>
    <w:rsid w:val="00F64B53"/>
    <w:rsid w:val="00F64B65"/>
    <w:rsid w:val="00F64D44"/>
    <w:rsid w:val="00F64E6C"/>
    <w:rsid w:val="00F64ED8"/>
    <w:rsid w:val="00F64EDB"/>
    <w:rsid w:val="00F64F2F"/>
    <w:rsid w:val="00F65033"/>
    <w:rsid w:val="00F650FC"/>
    <w:rsid w:val="00F6544F"/>
    <w:rsid w:val="00F6547C"/>
    <w:rsid w:val="00F65631"/>
    <w:rsid w:val="00F6578F"/>
    <w:rsid w:val="00F657BB"/>
    <w:rsid w:val="00F65848"/>
    <w:rsid w:val="00F65A69"/>
    <w:rsid w:val="00F65C62"/>
    <w:rsid w:val="00F65D30"/>
    <w:rsid w:val="00F65D5E"/>
    <w:rsid w:val="00F65E10"/>
    <w:rsid w:val="00F65FA3"/>
    <w:rsid w:val="00F660B9"/>
    <w:rsid w:val="00F660F3"/>
    <w:rsid w:val="00F6624C"/>
    <w:rsid w:val="00F66293"/>
    <w:rsid w:val="00F6635B"/>
    <w:rsid w:val="00F6661F"/>
    <w:rsid w:val="00F6667D"/>
    <w:rsid w:val="00F6677C"/>
    <w:rsid w:val="00F6679C"/>
    <w:rsid w:val="00F667D0"/>
    <w:rsid w:val="00F667D5"/>
    <w:rsid w:val="00F6693F"/>
    <w:rsid w:val="00F66A79"/>
    <w:rsid w:val="00F66BFD"/>
    <w:rsid w:val="00F66C33"/>
    <w:rsid w:val="00F66CCE"/>
    <w:rsid w:val="00F66D66"/>
    <w:rsid w:val="00F66D67"/>
    <w:rsid w:val="00F66DC9"/>
    <w:rsid w:val="00F66DD2"/>
    <w:rsid w:val="00F66DF6"/>
    <w:rsid w:val="00F67042"/>
    <w:rsid w:val="00F672C4"/>
    <w:rsid w:val="00F67304"/>
    <w:rsid w:val="00F673A7"/>
    <w:rsid w:val="00F674A4"/>
    <w:rsid w:val="00F67768"/>
    <w:rsid w:val="00F67851"/>
    <w:rsid w:val="00F678EC"/>
    <w:rsid w:val="00F67919"/>
    <w:rsid w:val="00F6791C"/>
    <w:rsid w:val="00F67A0F"/>
    <w:rsid w:val="00F67AC3"/>
    <w:rsid w:val="00F67C20"/>
    <w:rsid w:val="00F67CA0"/>
    <w:rsid w:val="00F67D01"/>
    <w:rsid w:val="00F67D7F"/>
    <w:rsid w:val="00F67DB4"/>
    <w:rsid w:val="00F67DD3"/>
    <w:rsid w:val="00F67ED8"/>
    <w:rsid w:val="00F67F79"/>
    <w:rsid w:val="00F704B2"/>
    <w:rsid w:val="00F70830"/>
    <w:rsid w:val="00F7092C"/>
    <w:rsid w:val="00F70965"/>
    <w:rsid w:val="00F70B4C"/>
    <w:rsid w:val="00F70C8F"/>
    <w:rsid w:val="00F70CDA"/>
    <w:rsid w:val="00F70D44"/>
    <w:rsid w:val="00F70F08"/>
    <w:rsid w:val="00F70F11"/>
    <w:rsid w:val="00F70FD5"/>
    <w:rsid w:val="00F711E9"/>
    <w:rsid w:val="00F712EA"/>
    <w:rsid w:val="00F71471"/>
    <w:rsid w:val="00F71509"/>
    <w:rsid w:val="00F71550"/>
    <w:rsid w:val="00F715B9"/>
    <w:rsid w:val="00F7161D"/>
    <w:rsid w:val="00F71694"/>
    <w:rsid w:val="00F71718"/>
    <w:rsid w:val="00F7183A"/>
    <w:rsid w:val="00F71AF6"/>
    <w:rsid w:val="00F71B2D"/>
    <w:rsid w:val="00F71BAC"/>
    <w:rsid w:val="00F71DEB"/>
    <w:rsid w:val="00F71EF8"/>
    <w:rsid w:val="00F71F0E"/>
    <w:rsid w:val="00F71F2F"/>
    <w:rsid w:val="00F71F50"/>
    <w:rsid w:val="00F72310"/>
    <w:rsid w:val="00F72617"/>
    <w:rsid w:val="00F72643"/>
    <w:rsid w:val="00F72845"/>
    <w:rsid w:val="00F72994"/>
    <w:rsid w:val="00F72AA8"/>
    <w:rsid w:val="00F72ACA"/>
    <w:rsid w:val="00F72BCC"/>
    <w:rsid w:val="00F72C47"/>
    <w:rsid w:val="00F72D46"/>
    <w:rsid w:val="00F72F6F"/>
    <w:rsid w:val="00F72FA0"/>
    <w:rsid w:val="00F7305F"/>
    <w:rsid w:val="00F730B0"/>
    <w:rsid w:val="00F73127"/>
    <w:rsid w:val="00F73206"/>
    <w:rsid w:val="00F7320F"/>
    <w:rsid w:val="00F7337F"/>
    <w:rsid w:val="00F734A0"/>
    <w:rsid w:val="00F73741"/>
    <w:rsid w:val="00F7399D"/>
    <w:rsid w:val="00F739C7"/>
    <w:rsid w:val="00F73A0C"/>
    <w:rsid w:val="00F73A35"/>
    <w:rsid w:val="00F73B8C"/>
    <w:rsid w:val="00F73DEF"/>
    <w:rsid w:val="00F73E0D"/>
    <w:rsid w:val="00F73F86"/>
    <w:rsid w:val="00F73F92"/>
    <w:rsid w:val="00F74045"/>
    <w:rsid w:val="00F740ED"/>
    <w:rsid w:val="00F742A1"/>
    <w:rsid w:val="00F74397"/>
    <w:rsid w:val="00F74815"/>
    <w:rsid w:val="00F749CB"/>
    <w:rsid w:val="00F74AA0"/>
    <w:rsid w:val="00F74AFB"/>
    <w:rsid w:val="00F74DEC"/>
    <w:rsid w:val="00F74E98"/>
    <w:rsid w:val="00F74EB1"/>
    <w:rsid w:val="00F74F64"/>
    <w:rsid w:val="00F7544A"/>
    <w:rsid w:val="00F75573"/>
    <w:rsid w:val="00F75740"/>
    <w:rsid w:val="00F75807"/>
    <w:rsid w:val="00F7588E"/>
    <w:rsid w:val="00F75991"/>
    <w:rsid w:val="00F759BC"/>
    <w:rsid w:val="00F759D0"/>
    <w:rsid w:val="00F75A07"/>
    <w:rsid w:val="00F75BD2"/>
    <w:rsid w:val="00F75C87"/>
    <w:rsid w:val="00F75CDC"/>
    <w:rsid w:val="00F75D36"/>
    <w:rsid w:val="00F75D4A"/>
    <w:rsid w:val="00F75D9D"/>
    <w:rsid w:val="00F75F00"/>
    <w:rsid w:val="00F7607E"/>
    <w:rsid w:val="00F7617A"/>
    <w:rsid w:val="00F76186"/>
    <w:rsid w:val="00F764D1"/>
    <w:rsid w:val="00F7657E"/>
    <w:rsid w:val="00F766B9"/>
    <w:rsid w:val="00F767C0"/>
    <w:rsid w:val="00F76835"/>
    <w:rsid w:val="00F76851"/>
    <w:rsid w:val="00F76868"/>
    <w:rsid w:val="00F768BB"/>
    <w:rsid w:val="00F768D5"/>
    <w:rsid w:val="00F7693F"/>
    <w:rsid w:val="00F76AF8"/>
    <w:rsid w:val="00F76B36"/>
    <w:rsid w:val="00F76B5D"/>
    <w:rsid w:val="00F76B91"/>
    <w:rsid w:val="00F76D56"/>
    <w:rsid w:val="00F76EC9"/>
    <w:rsid w:val="00F770CF"/>
    <w:rsid w:val="00F77240"/>
    <w:rsid w:val="00F77285"/>
    <w:rsid w:val="00F77386"/>
    <w:rsid w:val="00F77454"/>
    <w:rsid w:val="00F7752C"/>
    <w:rsid w:val="00F77627"/>
    <w:rsid w:val="00F776D8"/>
    <w:rsid w:val="00F777D8"/>
    <w:rsid w:val="00F7786C"/>
    <w:rsid w:val="00F77915"/>
    <w:rsid w:val="00F7794B"/>
    <w:rsid w:val="00F7798C"/>
    <w:rsid w:val="00F779C0"/>
    <w:rsid w:val="00F77AA4"/>
    <w:rsid w:val="00F77AC6"/>
    <w:rsid w:val="00F77B95"/>
    <w:rsid w:val="00F77CED"/>
    <w:rsid w:val="00F77D98"/>
    <w:rsid w:val="00F77ED9"/>
    <w:rsid w:val="00F77EF6"/>
    <w:rsid w:val="00F77F7D"/>
    <w:rsid w:val="00F801D9"/>
    <w:rsid w:val="00F80303"/>
    <w:rsid w:val="00F8033B"/>
    <w:rsid w:val="00F80368"/>
    <w:rsid w:val="00F80462"/>
    <w:rsid w:val="00F8049F"/>
    <w:rsid w:val="00F804C3"/>
    <w:rsid w:val="00F806FA"/>
    <w:rsid w:val="00F80792"/>
    <w:rsid w:val="00F807B2"/>
    <w:rsid w:val="00F80818"/>
    <w:rsid w:val="00F80976"/>
    <w:rsid w:val="00F80996"/>
    <w:rsid w:val="00F80BAE"/>
    <w:rsid w:val="00F80D07"/>
    <w:rsid w:val="00F81301"/>
    <w:rsid w:val="00F813B4"/>
    <w:rsid w:val="00F813E9"/>
    <w:rsid w:val="00F8156F"/>
    <w:rsid w:val="00F817FA"/>
    <w:rsid w:val="00F81A8C"/>
    <w:rsid w:val="00F81AA8"/>
    <w:rsid w:val="00F81BDB"/>
    <w:rsid w:val="00F81D5B"/>
    <w:rsid w:val="00F81F9D"/>
    <w:rsid w:val="00F81FCF"/>
    <w:rsid w:val="00F8207A"/>
    <w:rsid w:val="00F820C0"/>
    <w:rsid w:val="00F820FE"/>
    <w:rsid w:val="00F8212E"/>
    <w:rsid w:val="00F82216"/>
    <w:rsid w:val="00F82581"/>
    <w:rsid w:val="00F82657"/>
    <w:rsid w:val="00F8265C"/>
    <w:rsid w:val="00F8269B"/>
    <w:rsid w:val="00F826B9"/>
    <w:rsid w:val="00F826DC"/>
    <w:rsid w:val="00F82820"/>
    <w:rsid w:val="00F828CA"/>
    <w:rsid w:val="00F82A63"/>
    <w:rsid w:val="00F82A80"/>
    <w:rsid w:val="00F82A99"/>
    <w:rsid w:val="00F82AAF"/>
    <w:rsid w:val="00F82ADD"/>
    <w:rsid w:val="00F82DEE"/>
    <w:rsid w:val="00F82E78"/>
    <w:rsid w:val="00F82EAB"/>
    <w:rsid w:val="00F82F75"/>
    <w:rsid w:val="00F8304F"/>
    <w:rsid w:val="00F831CC"/>
    <w:rsid w:val="00F83211"/>
    <w:rsid w:val="00F83221"/>
    <w:rsid w:val="00F8325A"/>
    <w:rsid w:val="00F8328D"/>
    <w:rsid w:val="00F83377"/>
    <w:rsid w:val="00F833BB"/>
    <w:rsid w:val="00F8351C"/>
    <w:rsid w:val="00F835FE"/>
    <w:rsid w:val="00F83656"/>
    <w:rsid w:val="00F836A3"/>
    <w:rsid w:val="00F836DF"/>
    <w:rsid w:val="00F8373F"/>
    <w:rsid w:val="00F83852"/>
    <w:rsid w:val="00F83A01"/>
    <w:rsid w:val="00F83A9D"/>
    <w:rsid w:val="00F83B15"/>
    <w:rsid w:val="00F83BE2"/>
    <w:rsid w:val="00F83CD9"/>
    <w:rsid w:val="00F83DDF"/>
    <w:rsid w:val="00F83DF5"/>
    <w:rsid w:val="00F84187"/>
    <w:rsid w:val="00F842F2"/>
    <w:rsid w:val="00F843D0"/>
    <w:rsid w:val="00F84449"/>
    <w:rsid w:val="00F84465"/>
    <w:rsid w:val="00F8453E"/>
    <w:rsid w:val="00F84632"/>
    <w:rsid w:val="00F846E3"/>
    <w:rsid w:val="00F84802"/>
    <w:rsid w:val="00F84992"/>
    <w:rsid w:val="00F84A44"/>
    <w:rsid w:val="00F84A8A"/>
    <w:rsid w:val="00F84AAE"/>
    <w:rsid w:val="00F84AC1"/>
    <w:rsid w:val="00F84B50"/>
    <w:rsid w:val="00F84C28"/>
    <w:rsid w:val="00F84D26"/>
    <w:rsid w:val="00F8506B"/>
    <w:rsid w:val="00F8508A"/>
    <w:rsid w:val="00F850FE"/>
    <w:rsid w:val="00F8517C"/>
    <w:rsid w:val="00F85195"/>
    <w:rsid w:val="00F851A5"/>
    <w:rsid w:val="00F853FE"/>
    <w:rsid w:val="00F855D5"/>
    <w:rsid w:val="00F85633"/>
    <w:rsid w:val="00F85662"/>
    <w:rsid w:val="00F85800"/>
    <w:rsid w:val="00F859F7"/>
    <w:rsid w:val="00F85BBE"/>
    <w:rsid w:val="00F85BE3"/>
    <w:rsid w:val="00F85C00"/>
    <w:rsid w:val="00F85E54"/>
    <w:rsid w:val="00F85F05"/>
    <w:rsid w:val="00F85F9C"/>
    <w:rsid w:val="00F85FDF"/>
    <w:rsid w:val="00F8608A"/>
    <w:rsid w:val="00F86152"/>
    <w:rsid w:val="00F86294"/>
    <w:rsid w:val="00F8630A"/>
    <w:rsid w:val="00F8634F"/>
    <w:rsid w:val="00F864AA"/>
    <w:rsid w:val="00F86543"/>
    <w:rsid w:val="00F8667C"/>
    <w:rsid w:val="00F866B7"/>
    <w:rsid w:val="00F867F7"/>
    <w:rsid w:val="00F869D2"/>
    <w:rsid w:val="00F86C1E"/>
    <w:rsid w:val="00F86C8E"/>
    <w:rsid w:val="00F86D57"/>
    <w:rsid w:val="00F86DA4"/>
    <w:rsid w:val="00F86E9E"/>
    <w:rsid w:val="00F87039"/>
    <w:rsid w:val="00F87085"/>
    <w:rsid w:val="00F8746C"/>
    <w:rsid w:val="00F875A3"/>
    <w:rsid w:val="00F87646"/>
    <w:rsid w:val="00F87788"/>
    <w:rsid w:val="00F8785C"/>
    <w:rsid w:val="00F878DA"/>
    <w:rsid w:val="00F8793F"/>
    <w:rsid w:val="00F87951"/>
    <w:rsid w:val="00F879D3"/>
    <w:rsid w:val="00F87AF5"/>
    <w:rsid w:val="00F87E96"/>
    <w:rsid w:val="00F87ED6"/>
    <w:rsid w:val="00F87EDC"/>
    <w:rsid w:val="00F90112"/>
    <w:rsid w:val="00F9025D"/>
    <w:rsid w:val="00F90291"/>
    <w:rsid w:val="00F90322"/>
    <w:rsid w:val="00F90366"/>
    <w:rsid w:val="00F90420"/>
    <w:rsid w:val="00F904BA"/>
    <w:rsid w:val="00F904BB"/>
    <w:rsid w:val="00F9057A"/>
    <w:rsid w:val="00F905AB"/>
    <w:rsid w:val="00F9071F"/>
    <w:rsid w:val="00F908FC"/>
    <w:rsid w:val="00F90A23"/>
    <w:rsid w:val="00F90ACB"/>
    <w:rsid w:val="00F90AE0"/>
    <w:rsid w:val="00F90C4C"/>
    <w:rsid w:val="00F90CB4"/>
    <w:rsid w:val="00F90D6A"/>
    <w:rsid w:val="00F90FAF"/>
    <w:rsid w:val="00F91044"/>
    <w:rsid w:val="00F912C9"/>
    <w:rsid w:val="00F912E3"/>
    <w:rsid w:val="00F91374"/>
    <w:rsid w:val="00F91646"/>
    <w:rsid w:val="00F91723"/>
    <w:rsid w:val="00F9189D"/>
    <w:rsid w:val="00F918C8"/>
    <w:rsid w:val="00F918CE"/>
    <w:rsid w:val="00F918F2"/>
    <w:rsid w:val="00F91AF3"/>
    <w:rsid w:val="00F91C9F"/>
    <w:rsid w:val="00F91EBA"/>
    <w:rsid w:val="00F91EC1"/>
    <w:rsid w:val="00F92065"/>
    <w:rsid w:val="00F923D8"/>
    <w:rsid w:val="00F923F8"/>
    <w:rsid w:val="00F92491"/>
    <w:rsid w:val="00F92503"/>
    <w:rsid w:val="00F92650"/>
    <w:rsid w:val="00F9266A"/>
    <w:rsid w:val="00F927DF"/>
    <w:rsid w:val="00F9297C"/>
    <w:rsid w:val="00F92A8C"/>
    <w:rsid w:val="00F92B95"/>
    <w:rsid w:val="00F92CD7"/>
    <w:rsid w:val="00F92D1D"/>
    <w:rsid w:val="00F92F6B"/>
    <w:rsid w:val="00F9347A"/>
    <w:rsid w:val="00F9351B"/>
    <w:rsid w:val="00F93540"/>
    <w:rsid w:val="00F93671"/>
    <w:rsid w:val="00F936E6"/>
    <w:rsid w:val="00F936F2"/>
    <w:rsid w:val="00F93785"/>
    <w:rsid w:val="00F93A01"/>
    <w:rsid w:val="00F93ABC"/>
    <w:rsid w:val="00F93B5F"/>
    <w:rsid w:val="00F93E39"/>
    <w:rsid w:val="00F93FF0"/>
    <w:rsid w:val="00F94007"/>
    <w:rsid w:val="00F94036"/>
    <w:rsid w:val="00F94200"/>
    <w:rsid w:val="00F943F6"/>
    <w:rsid w:val="00F9443A"/>
    <w:rsid w:val="00F9444A"/>
    <w:rsid w:val="00F94484"/>
    <w:rsid w:val="00F944BE"/>
    <w:rsid w:val="00F945BE"/>
    <w:rsid w:val="00F94771"/>
    <w:rsid w:val="00F947CD"/>
    <w:rsid w:val="00F94831"/>
    <w:rsid w:val="00F94A42"/>
    <w:rsid w:val="00F94A79"/>
    <w:rsid w:val="00F94B24"/>
    <w:rsid w:val="00F94BB5"/>
    <w:rsid w:val="00F94C93"/>
    <w:rsid w:val="00F94CA8"/>
    <w:rsid w:val="00F94D34"/>
    <w:rsid w:val="00F94D88"/>
    <w:rsid w:val="00F94EC8"/>
    <w:rsid w:val="00F94EF2"/>
    <w:rsid w:val="00F94F5A"/>
    <w:rsid w:val="00F94FCC"/>
    <w:rsid w:val="00F9506F"/>
    <w:rsid w:val="00F95090"/>
    <w:rsid w:val="00F95267"/>
    <w:rsid w:val="00F952C4"/>
    <w:rsid w:val="00F95380"/>
    <w:rsid w:val="00F9547F"/>
    <w:rsid w:val="00F955A6"/>
    <w:rsid w:val="00F9565C"/>
    <w:rsid w:val="00F9570F"/>
    <w:rsid w:val="00F9577E"/>
    <w:rsid w:val="00F957CA"/>
    <w:rsid w:val="00F958B6"/>
    <w:rsid w:val="00F9590D"/>
    <w:rsid w:val="00F95986"/>
    <w:rsid w:val="00F959B5"/>
    <w:rsid w:val="00F959C8"/>
    <w:rsid w:val="00F95A0C"/>
    <w:rsid w:val="00F95AC6"/>
    <w:rsid w:val="00F95C82"/>
    <w:rsid w:val="00F95E10"/>
    <w:rsid w:val="00F95E93"/>
    <w:rsid w:val="00F95F86"/>
    <w:rsid w:val="00F95FE1"/>
    <w:rsid w:val="00F960C0"/>
    <w:rsid w:val="00F961A2"/>
    <w:rsid w:val="00F96278"/>
    <w:rsid w:val="00F96382"/>
    <w:rsid w:val="00F96491"/>
    <w:rsid w:val="00F966E9"/>
    <w:rsid w:val="00F96864"/>
    <w:rsid w:val="00F96889"/>
    <w:rsid w:val="00F968C5"/>
    <w:rsid w:val="00F96BF4"/>
    <w:rsid w:val="00F96CDB"/>
    <w:rsid w:val="00F96DBF"/>
    <w:rsid w:val="00F96F2F"/>
    <w:rsid w:val="00F96FC4"/>
    <w:rsid w:val="00F97055"/>
    <w:rsid w:val="00F970B9"/>
    <w:rsid w:val="00F9734C"/>
    <w:rsid w:val="00F9744A"/>
    <w:rsid w:val="00F9762A"/>
    <w:rsid w:val="00F976D0"/>
    <w:rsid w:val="00F9786F"/>
    <w:rsid w:val="00F97963"/>
    <w:rsid w:val="00F97A1D"/>
    <w:rsid w:val="00F97A4A"/>
    <w:rsid w:val="00F97A65"/>
    <w:rsid w:val="00F97A9E"/>
    <w:rsid w:val="00F97AB8"/>
    <w:rsid w:val="00F97B3A"/>
    <w:rsid w:val="00F97BBF"/>
    <w:rsid w:val="00F97D22"/>
    <w:rsid w:val="00F97D37"/>
    <w:rsid w:val="00FA014F"/>
    <w:rsid w:val="00FA0253"/>
    <w:rsid w:val="00FA026C"/>
    <w:rsid w:val="00FA02DB"/>
    <w:rsid w:val="00FA044C"/>
    <w:rsid w:val="00FA04CE"/>
    <w:rsid w:val="00FA04FC"/>
    <w:rsid w:val="00FA0576"/>
    <w:rsid w:val="00FA078F"/>
    <w:rsid w:val="00FA07F1"/>
    <w:rsid w:val="00FA0898"/>
    <w:rsid w:val="00FA0AD1"/>
    <w:rsid w:val="00FA0BFC"/>
    <w:rsid w:val="00FA0C87"/>
    <w:rsid w:val="00FA0CE8"/>
    <w:rsid w:val="00FA0DE4"/>
    <w:rsid w:val="00FA0FB9"/>
    <w:rsid w:val="00FA10A5"/>
    <w:rsid w:val="00FA10F5"/>
    <w:rsid w:val="00FA1239"/>
    <w:rsid w:val="00FA12D7"/>
    <w:rsid w:val="00FA1592"/>
    <w:rsid w:val="00FA1610"/>
    <w:rsid w:val="00FA182B"/>
    <w:rsid w:val="00FA18ED"/>
    <w:rsid w:val="00FA1964"/>
    <w:rsid w:val="00FA19B0"/>
    <w:rsid w:val="00FA1A39"/>
    <w:rsid w:val="00FA1A3E"/>
    <w:rsid w:val="00FA1B08"/>
    <w:rsid w:val="00FA1C27"/>
    <w:rsid w:val="00FA1EBA"/>
    <w:rsid w:val="00FA1EFD"/>
    <w:rsid w:val="00FA2072"/>
    <w:rsid w:val="00FA20C8"/>
    <w:rsid w:val="00FA2221"/>
    <w:rsid w:val="00FA22A2"/>
    <w:rsid w:val="00FA230D"/>
    <w:rsid w:val="00FA2355"/>
    <w:rsid w:val="00FA23D8"/>
    <w:rsid w:val="00FA2412"/>
    <w:rsid w:val="00FA2508"/>
    <w:rsid w:val="00FA25AD"/>
    <w:rsid w:val="00FA261F"/>
    <w:rsid w:val="00FA2694"/>
    <w:rsid w:val="00FA26CD"/>
    <w:rsid w:val="00FA2777"/>
    <w:rsid w:val="00FA2784"/>
    <w:rsid w:val="00FA279E"/>
    <w:rsid w:val="00FA296D"/>
    <w:rsid w:val="00FA2AB3"/>
    <w:rsid w:val="00FA2C09"/>
    <w:rsid w:val="00FA2D8D"/>
    <w:rsid w:val="00FA3194"/>
    <w:rsid w:val="00FA33E1"/>
    <w:rsid w:val="00FA3577"/>
    <w:rsid w:val="00FA3616"/>
    <w:rsid w:val="00FA3935"/>
    <w:rsid w:val="00FA3A8E"/>
    <w:rsid w:val="00FA3B05"/>
    <w:rsid w:val="00FA3CF1"/>
    <w:rsid w:val="00FA3E4E"/>
    <w:rsid w:val="00FA3E8A"/>
    <w:rsid w:val="00FA3EA4"/>
    <w:rsid w:val="00FA3EFA"/>
    <w:rsid w:val="00FA3FC9"/>
    <w:rsid w:val="00FA40C9"/>
    <w:rsid w:val="00FA40F1"/>
    <w:rsid w:val="00FA4289"/>
    <w:rsid w:val="00FA4424"/>
    <w:rsid w:val="00FA4444"/>
    <w:rsid w:val="00FA46FA"/>
    <w:rsid w:val="00FA4802"/>
    <w:rsid w:val="00FA48B4"/>
    <w:rsid w:val="00FA4B6D"/>
    <w:rsid w:val="00FA4BF6"/>
    <w:rsid w:val="00FA4CBC"/>
    <w:rsid w:val="00FA4CD3"/>
    <w:rsid w:val="00FA4D79"/>
    <w:rsid w:val="00FA500A"/>
    <w:rsid w:val="00FA5013"/>
    <w:rsid w:val="00FA5021"/>
    <w:rsid w:val="00FA5030"/>
    <w:rsid w:val="00FA51BA"/>
    <w:rsid w:val="00FA545F"/>
    <w:rsid w:val="00FA5520"/>
    <w:rsid w:val="00FA55A9"/>
    <w:rsid w:val="00FA57D0"/>
    <w:rsid w:val="00FA5879"/>
    <w:rsid w:val="00FA5ADE"/>
    <w:rsid w:val="00FA5C4A"/>
    <w:rsid w:val="00FA5C5E"/>
    <w:rsid w:val="00FA5CA8"/>
    <w:rsid w:val="00FA5CF8"/>
    <w:rsid w:val="00FA5E1C"/>
    <w:rsid w:val="00FA62AE"/>
    <w:rsid w:val="00FA62E6"/>
    <w:rsid w:val="00FA635F"/>
    <w:rsid w:val="00FA63B7"/>
    <w:rsid w:val="00FA6400"/>
    <w:rsid w:val="00FA648F"/>
    <w:rsid w:val="00FA650B"/>
    <w:rsid w:val="00FA6520"/>
    <w:rsid w:val="00FA661B"/>
    <w:rsid w:val="00FA6713"/>
    <w:rsid w:val="00FA6829"/>
    <w:rsid w:val="00FA6960"/>
    <w:rsid w:val="00FA697E"/>
    <w:rsid w:val="00FA69BF"/>
    <w:rsid w:val="00FA6B57"/>
    <w:rsid w:val="00FA6CCF"/>
    <w:rsid w:val="00FA6E24"/>
    <w:rsid w:val="00FA6E42"/>
    <w:rsid w:val="00FA6EE1"/>
    <w:rsid w:val="00FA70F7"/>
    <w:rsid w:val="00FA73A3"/>
    <w:rsid w:val="00FA7501"/>
    <w:rsid w:val="00FA7540"/>
    <w:rsid w:val="00FA758C"/>
    <w:rsid w:val="00FA75F5"/>
    <w:rsid w:val="00FA76D8"/>
    <w:rsid w:val="00FA771E"/>
    <w:rsid w:val="00FA772E"/>
    <w:rsid w:val="00FA77BA"/>
    <w:rsid w:val="00FA7805"/>
    <w:rsid w:val="00FA78AE"/>
    <w:rsid w:val="00FA78E5"/>
    <w:rsid w:val="00FA7A09"/>
    <w:rsid w:val="00FA7BB0"/>
    <w:rsid w:val="00FA7CB7"/>
    <w:rsid w:val="00FA7F98"/>
    <w:rsid w:val="00FB005F"/>
    <w:rsid w:val="00FB018F"/>
    <w:rsid w:val="00FB01D7"/>
    <w:rsid w:val="00FB0366"/>
    <w:rsid w:val="00FB042A"/>
    <w:rsid w:val="00FB0524"/>
    <w:rsid w:val="00FB05C4"/>
    <w:rsid w:val="00FB071B"/>
    <w:rsid w:val="00FB08FB"/>
    <w:rsid w:val="00FB0912"/>
    <w:rsid w:val="00FB094C"/>
    <w:rsid w:val="00FB0A3C"/>
    <w:rsid w:val="00FB0B38"/>
    <w:rsid w:val="00FB0BE5"/>
    <w:rsid w:val="00FB0C0C"/>
    <w:rsid w:val="00FB0D79"/>
    <w:rsid w:val="00FB0E9F"/>
    <w:rsid w:val="00FB0FA5"/>
    <w:rsid w:val="00FB101B"/>
    <w:rsid w:val="00FB12DC"/>
    <w:rsid w:val="00FB12F2"/>
    <w:rsid w:val="00FB17A4"/>
    <w:rsid w:val="00FB17D8"/>
    <w:rsid w:val="00FB1A90"/>
    <w:rsid w:val="00FB1C0D"/>
    <w:rsid w:val="00FB1D9C"/>
    <w:rsid w:val="00FB1DA8"/>
    <w:rsid w:val="00FB1E81"/>
    <w:rsid w:val="00FB1F3C"/>
    <w:rsid w:val="00FB216A"/>
    <w:rsid w:val="00FB217D"/>
    <w:rsid w:val="00FB2284"/>
    <w:rsid w:val="00FB2311"/>
    <w:rsid w:val="00FB23DB"/>
    <w:rsid w:val="00FB23E6"/>
    <w:rsid w:val="00FB270B"/>
    <w:rsid w:val="00FB27ED"/>
    <w:rsid w:val="00FB29D1"/>
    <w:rsid w:val="00FB2A11"/>
    <w:rsid w:val="00FB2A75"/>
    <w:rsid w:val="00FB2AD7"/>
    <w:rsid w:val="00FB2C0C"/>
    <w:rsid w:val="00FB2C2D"/>
    <w:rsid w:val="00FB2E7E"/>
    <w:rsid w:val="00FB2E91"/>
    <w:rsid w:val="00FB32DA"/>
    <w:rsid w:val="00FB35D6"/>
    <w:rsid w:val="00FB3708"/>
    <w:rsid w:val="00FB38DC"/>
    <w:rsid w:val="00FB39ED"/>
    <w:rsid w:val="00FB3A8D"/>
    <w:rsid w:val="00FB3A92"/>
    <w:rsid w:val="00FB3BD4"/>
    <w:rsid w:val="00FB3BD9"/>
    <w:rsid w:val="00FB3C82"/>
    <w:rsid w:val="00FB3CD9"/>
    <w:rsid w:val="00FB3E66"/>
    <w:rsid w:val="00FB3E84"/>
    <w:rsid w:val="00FB3F99"/>
    <w:rsid w:val="00FB401A"/>
    <w:rsid w:val="00FB4110"/>
    <w:rsid w:val="00FB417C"/>
    <w:rsid w:val="00FB44ED"/>
    <w:rsid w:val="00FB4719"/>
    <w:rsid w:val="00FB4736"/>
    <w:rsid w:val="00FB476C"/>
    <w:rsid w:val="00FB4867"/>
    <w:rsid w:val="00FB4902"/>
    <w:rsid w:val="00FB4962"/>
    <w:rsid w:val="00FB4968"/>
    <w:rsid w:val="00FB4A57"/>
    <w:rsid w:val="00FB4BE7"/>
    <w:rsid w:val="00FB4C1E"/>
    <w:rsid w:val="00FB4CE0"/>
    <w:rsid w:val="00FB4DD7"/>
    <w:rsid w:val="00FB4F40"/>
    <w:rsid w:val="00FB4F88"/>
    <w:rsid w:val="00FB513E"/>
    <w:rsid w:val="00FB52E5"/>
    <w:rsid w:val="00FB541D"/>
    <w:rsid w:val="00FB5479"/>
    <w:rsid w:val="00FB54A5"/>
    <w:rsid w:val="00FB5777"/>
    <w:rsid w:val="00FB57F8"/>
    <w:rsid w:val="00FB59B6"/>
    <w:rsid w:val="00FB59CB"/>
    <w:rsid w:val="00FB59DC"/>
    <w:rsid w:val="00FB59E9"/>
    <w:rsid w:val="00FB5A95"/>
    <w:rsid w:val="00FB5B85"/>
    <w:rsid w:val="00FB5D10"/>
    <w:rsid w:val="00FB5DC2"/>
    <w:rsid w:val="00FB60F1"/>
    <w:rsid w:val="00FB6130"/>
    <w:rsid w:val="00FB6198"/>
    <w:rsid w:val="00FB68F1"/>
    <w:rsid w:val="00FB697C"/>
    <w:rsid w:val="00FB6ADA"/>
    <w:rsid w:val="00FB6C21"/>
    <w:rsid w:val="00FB6C9B"/>
    <w:rsid w:val="00FB6D49"/>
    <w:rsid w:val="00FB6DBC"/>
    <w:rsid w:val="00FB7118"/>
    <w:rsid w:val="00FB736E"/>
    <w:rsid w:val="00FB7372"/>
    <w:rsid w:val="00FB758D"/>
    <w:rsid w:val="00FB767F"/>
    <w:rsid w:val="00FB7707"/>
    <w:rsid w:val="00FB78B7"/>
    <w:rsid w:val="00FB795B"/>
    <w:rsid w:val="00FB7BB2"/>
    <w:rsid w:val="00FB7C82"/>
    <w:rsid w:val="00FB7CA4"/>
    <w:rsid w:val="00FB7E12"/>
    <w:rsid w:val="00FC003A"/>
    <w:rsid w:val="00FC011B"/>
    <w:rsid w:val="00FC02A6"/>
    <w:rsid w:val="00FC0392"/>
    <w:rsid w:val="00FC06C7"/>
    <w:rsid w:val="00FC0757"/>
    <w:rsid w:val="00FC0782"/>
    <w:rsid w:val="00FC07E5"/>
    <w:rsid w:val="00FC0924"/>
    <w:rsid w:val="00FC09A8"/>
    <w:rsid w:val="00FC0A9E"/>
    <w:rsid w:val="00FC0C10"/>
    <w:rsid w:val="00FC0CC2"/>
    <w:rsid w:val="00FC10F0"/>
    <w:rsid w:val="00FC1176"/>
    <w:rsid w:val="00FC12A5"/>
    <w:rsid w:val="00FC12F5"/>
    <w:rsid w:val="00FC13F4"/>
    <w:rsid w:val="00FC1449"/>
    <w:rsid w:val="00FC14D7"/>
    <w:rsid w:val="00FC15C2"/>
    <w:rsid w:val="00FC187E"/>
    <w:rsid w:val="00FC19D2"/>
    <w:rsid w:val="00FC1A12"/>
    <w:rsid w:val="00FC1A2A"/>
    <w:rsid w:val="00FC1B17"/>
    <w:rsid w:val="00FC1BF5"/>
    <w:rsid w:val="00FC1C03"/>
    <w:rsid w:val="00FC1D25"/>
    <w:rsid w:val="00FC1EE1"/>
    <w:rsid w:val="00FC1F4C"/>
    <w:rsid w:val="00FC1F74"/>
    <w:rsid w:val="00FC1F7E"/>
    <w:rsid w:val="00FC202A"/>
    <w:rsid w:val="00FC215C"/>
    <w:rsid w:val="00FC218A"/>
    <w:rsid w:val="00FC21F8"/>
    <w:rsid w:val="00FC2306"/>
    <w:rsid w:val="00FC2464"/>
    <w:rsid w:val="00FC2541"/>
    <w:rsid w:val="00FC25F0"/>
    <w:rsid w:val="00FC26EB"/>
    <w:rsid w:val="00FC28AB"/>
    <w:rsid w:val="00FC2A9B"/>
    <w:rsid w:val="00FC2AA9"/>
    <w:rsid w:val="00FC2AE6"/>
    <w:rsid w:val="00FC2B13"/>
    <w:rsid w:val="00FC2B5A"/>
    <w:rsid w:val="00FC2BA6"/>
    <w:rsid w:val="00FC2C47"/>
    <w:rsid w:val="00FC2CB6"/>
    <w:rsid w:val="00FC2E07"/>
    <w:rsid w:val="00FC2E97"/>
    <w:rsid w:val="00FC2F7C"/>
    <w:rsid w:val="00FC3023"/>
    <w:rsid w:val="00FC306C"/>
    <w:rsid w:val="00FC307C"/>
    <w:rsid w:val="00FC3317"/>
    <w:rsid w:val="00FC3382"/>
    <w:rsid w:val="00FC3424"/>
    <w:rsid w:val="00FC3434"/>
    <w:rsid w:val="00FC353B"/>
    <w:rsid w:val="00FC3741"/>
    <w:rsid w:val="00FC3743"/>
    <w:rsid w:val="00FC3755"/>
    <w:rsid w:val="00FC3866"/>
    <w:rsid w:val="00FC39E8"/>
    <w:rsid w:val="00FC3A47"/>
    <w:rsid w:val="00FC3B2F"/>
    <w:rsid w:val="00FC3B3B"/>
    <w:rsid w:val="00FC3B73"/>
    <w:rsid w:val="00FC3C1C"/>
    <w:rsid w:val="00FC3E0A"/>
    <w:rsid w:val="00FC3E43"/>
    <w:rsid w:val="00FC3F00"/>
    <w:rsid w:val="00FC3F98"/>
    <w:rsid w:val="00FC401E"/>
    <w:rsid w:val="00FC402E"/>
    <w:rsid w:val="00FC4236"/>
    <w:rsid w:val="00FC430B"/>
    <w:rsid w:val="00FC4464"/>
    <w:rsid w:val="00FC4518"/>
    <w:rsid w:val="00FC45C4"/>
    <w:rsid w:val="00FC4643"/>
    <w:rsid w:val="00FC4680"/>
    <w:rsid w:val="00FC4681"/>
    <w:rsid w:val="00FC4906"/>
    <w:rsid w:val="00FC4A05"/>
    <w:rsid w:val="00FC4A1E"/>
    <w:rsid w:val="00FC4AA3"/>
    <w:rsid w:val="00FC4B67"/>
    <w:rsid w:val="00FC4C58"/>
    <w:rsid w:val="00FC4C99"/>
    <w:rsid w:val="00FC503A"/>
    <w:rsid w:val="00FC5137"/>
    <w:rsid w:val="00FC52AC"/>
    <w:rsid w:val="00FC52BA"/>
    <w:rsid w:val="00FC5304"/>
    <w:rsid w:val="00FC5388"/>
    <w:rsid w:val="00FC5554"/>
    <w:rsid w:val="00FC557D"/>
    <w:rsid w:val="00FC5887"/>
    <w:rsid w:val="00FC5A24"/>
    <w:rsid w:val="00FC5B2F"/>
    <w:rsid w:val="00FC5C79"/>
    <w:rsid w:val="00FC5C9D"/>
    <w:rsid w:val="00FC5CBB"/>
    <w:rsid w:val="00FC5E13"/>
    <w:rsid w:val="00FC5ED1"/>
    <w:rsid w:val="00FC613E"/>
    <w:rsid w:val="00FC6141"/>
    <w:rsid w:val="00FC61F4"/>
    <w:rsid w:val="00FC6242"/>
    <w:rsid w:val="00FC62C4"/>
    <w:rsid w:val="00FC65A5"/>
    <w:rsid w:val="00FC65DD"/>
    <w:rsid w:val="00FC65DF"/>
    <w:rsid w:val="00FC67AD"/>
    <w:rsid w:val="00FC6925"/>
    <w:rsid w:val="00FC69DF"/>
    <w:rsid w:val="00FC6AAF"/>
    <w:rsid w:val="00FC6C39"/>
    <w:rsid w:val="00FC6D4E"/>
    <w:rsid w:val="00FC6D8E"/>
    <w:rsid w:val="00FC6DCD"/>
    <w:rsid w:val="00FC6E4D"/>
    <w:rsid w:val="00FC6F37"/>
    <w:rsid w:val="00FC6F47"/>
    <w:rsid w:val="00FC73E3"/>
    <w:rsid w:val="00FC7474"/>
    <w:rsid w:val="00FC74B3"/>
    <w:rsid w:val="00FC74D0"/>
    <w:rsid w:val="00FC74E7"/>
    <w:rsid w:val="00FC75C8"/>
    <w:rsid w:val="00FC769D"/>
    <w:rsid w:val="00FC77A7"/>
    <w:rsid w:val="00FC77BF"/>
    <w:rsid w:val="00FC7814"/>
    <w:rsid w:val="00FC7828"/>
    <w:rsid w:val="00FC79D3"/>
    <w:rsid w:val="00FC7B33"/>
    <w:rsid w:val="00FC7B81"/>
    <w:rsid w:val="00FC7D41"/>
    <w:rsid w:val="00FC7D9F"/>
    <w:rsid w:val="00FC7DFD"/>
    <w:rsid w:val="00FC7FB5"/>
    <w:rsid w:val="00FC7FB7"/>
    <w:rsid w:val="00FD0041"/>
    <w:rsid w:val="00FD00C8"/>
    <w:rsid w:val="00FD0337"/>
    <w:rsid w:val="00FD0528"/>
    <w:rsid w:val="00FD0793"/>
    <w:rsid w:val="00FD0A73"/>
    <w:rsid w:val="00FD0CAE"/>
    <w:rsid w:val="00FD0DC0"/>
    <w:rsid w:val="00FD0E4D"/>
    <w:rsid w:val="00FD0F53"/>
    <w:rsid w:val="00FD118D"/>
    <w:rsid w:val="00FD120B"/>
    <w:rsid w:val="00FD12AD"/>
    <w:rsid w:val="00FD12B6"/>
    <w:rsid w:val="00FD12D1"/>
    <w:rsid w:val="00FD1581"/>
    <w:rsid w:val="00FD1629"/>
    <w:rsid w:val="00FD16C5"/>
    <w:rsid w:val="00FD16FC"/>
    <w:rsid w:val="00FD1726"/>
    <w:rsid w:val="00FD1730"/>
    <w:rsid w:val="00FD17EB"/>
    <w:rsid w:val="00FD1812"/>
    <w:rsid w:val="00FD183D"/>
    <w:rsid w:val="00FD1942"/>
    <w:rsid w:val="00FD1B5C"/>
    <w:rsid w:val="00FD1BD2"/>
    <w:rsid w:val="00FD1C42"/>
    <w:rsid w:val="00FD1D53"/>
    <w:rsid w:val="00FD2024"/>
    <w:rsid w:val="00FD2188"/>
    <w:rsid w:val="00FD2322"/>
    <w:rsid w:val="00FD2343"/>
    <w:rsid w:val="00FD2347"/>
    <w:rsid w:val="00FD23C4"/>
    <w:rsid w:val="00FD271B"/>
    <w:rsid w:val="00FD28E7"/>
    <w:rsid w:val="00FD2939"/>
    <w:rsid w:val="00FD2A89"/>
    <w:rsid w:val="00FD2A8D"/>
    <w:rsid w:val="00FD2BA2"/>
    <w:rsid w:val="00FD2CBD"/>
    <w:rsid w:val="00FD2DDF"/>
    <w:rsid w:val="00FD2F00"/>
    <w:rsid w:val="00FD2F9D"/>
    <w:rsid w:val="00FD317C"/>
    <w:rsid w:val="00FD31EE"/>
    <w:rsid w:val="00FD3266"/>
    <w:rsid w:val="00FD3330"/>
    <w:rsid w:val="00FD34C1"/>
    <w:rsid w:val="00FD3568"/>
    <w:rsid w:val="00FD3588"/>
    <w:rsid w:val="00FD3738"/>
    <w:rsid w:val="00FD379E"/>
    <w:rsid w:val="00FD38FA"/>
    <w:rsid w:val="00FD393A"/>
    <w:rsid w:val="00FD3AE0"/>
    <w:rsid w:val="00FD3B5A"/>
    <w:rsid w:val="00FD3BBB"/>
    <w:rsid w:val="00FD3C16"/>
    <w:rsid w:val="00FD3C69"/>
    <w:rsid w:val="00FD3CE4"/>
    <w:rsid w:val="00FD3D29"/>
    <w:rsid w:val="00FD3E55"/>
    <w:rsid w:val="00FD3E7D"/>
    <w:rsid w:val="00FD3FEB"/>
    <w:rsid w:val="00FD400E"/>
    <w:rsid w:val="00FD42D3"/>
    <w:rsid w:val="00FD430B"/>
    <w:rsid w:val="00FD4346"/>
    <w:rsid w:val="00FD441C"/>
    <w:rsid w:val="00FD4470"/>
    <w:rsid w:val="00FD4500"/>
    <w:rsid w:val="00FD4533"/>
    <w:rsid w:val="00FD45D0"/>
    <w:rsid w:val="00FD46E6"/>
    <w:rsid w:val="00FD4795"/>
    <w:rsid w:val="00FD48E3"/>
    <w:rsid w:val="00FD4A55"/>
    <w:rsid w:val="00FD4AB1"/>
    <w:rsid w:val="00FD4B88"/>
    <w:rsid w:val="00FD4BE8"/>
    <w:rsid w:val="00FD4E74"/>
    <w:rsid w:val="00FD4E95"/>
    <w:rsid w:val="00FD4FC2"/>
    <w:rsid w:val="00FD503F"/>
    <w:rsid w:val="00FD50D0"/>
    <w:rsid w:val="00FD50F6"/>
    <w:rsid w:val="00FD5108"/>
    <w:rsid w:val="00FD51C9"/>
    <w:rsid w:val="00FD52BF"/>
    <w:rsid w:val="00FD53AE"/>
    <w:rsid w:val="00FD5405"/>
    <w:rsid w:val="00FD545A"/>
    <w:rsid w:val="00FD55CB"/>
    <w:rsid w:val="00FD564F"/>
    <w:rsid w:val="00FD573C"/>
    <w:rsid w:val="00FD5841"/>
    <w:rsid w:val="00FD5975"/>
    <w:rsid w:val="00FD59CD"/>
    <w:rsid w:val="00FD59EF"/>
    <w:rsid w:val="00FD5B24"/>
    <w:rsid w:val="00FD5B85"/>
    <w:rsid w:val="00FD5DE6"/>
    <w:rsid w:val="00FD5EB1"/>
    <w:rsid w:val="00FD6057"/>
    <w:rsid w:val="00FD61B1"/>
    <w:rsid w:val="00FD61B9"/>
    <w:rsid w:val="00FD637D"/>
    <w:rsid w:val="00FD643F"/>
    <w:rsid w:val="00FD650E"/>
    <w:rsid w:val="00FD6C11"/>
    <w:rsid w:val="00FD6C32"/>
    <w:rsid w:val="00FD6CEF"/>
    <w:rsid w:val="00FD6EE2"/>
    <w:rsid w:val="00FD6FB5"/>
    <w:rsid w:val="00FD7102"/>
    <w:rsid w:val="00FD7285"/>
    <w:rsid w:val="00FD72F6"/>
    <w:rsid w:val="00FD742B"/>
    <w:rsid w:val="00FD7563"/>
    <w:rsid w:val="00FD7601"/>
    <w:rsid w:val="00FD7659"/>
    <w:rsid w:val="00FD76F8"/>
    <w:rsid w:val="00FD7768"/>
    <w:rsid w:val="00FD7A28"/>
    <w:rsid w:val="00FD7A30"/>
    <w:rsid w:val="00FD7C35"/>
    <w:rsid w:val="00FD7CD5"/>
    <w:rsid w:val="00FD7DAA"/>
    <w:rsid w:val="00FD7E6A"/>
    <w:rsid w:val="00FD7EB2"/>
    <w:rsid w:val="00FE00EF"/>
    <w:rsid w:val="00FE0360"/>
    <w:rsid w:val="00FE04A1"/>
    <w:rsid w:val="00FE0728"/>
    <w:rsid w:val="00FE078A"/>
    <w:rsid w:val="00FE07A2"/>
    <w:rsid w:val="00FE0806"/>
    <w:rsid w:val="00FE0A54"/>
    <w:rsid w:val="00FE0AFE"/>
    <w:rsid w:val="00FE0B6A"/>
    <w:rsid w:val="00FE0B7F"/>
    <w:rsid w:val="00FE0C48"/>
    <w:rsid w:val="00FE0D20"/>
    <w:rsid w:val="00FE0D5B"/>
    <w:rsid w:val="00FE0F8A"/>
    <w:rsid w:val="00FE1243"/>
    <w:rsid w:val="00FE132E"/>
    <w:rsid w:val="00FE13DD"/>
    <w:rsid w:val="00FE1600"/>
    <w:rsid w:val="00FE1945"/>
    <w:rsid w:val="00FE1A20"/>
    <w:rsid w:val="00FE1AAC"/>
    <w:rsid w:val="00FE1B3B"/>
    <w:rsid w:val="00FE1C34"/>
    <w:rsid w:val="00FE1D51"/>
    <w:rsid w:val="00FE1DA9"/>
    <w:rsid w:val="00FE1DC8"/>
    <w:rsid w:val="00FE1DE8"/>
    <w:rsid w:val="00FE1DF2"/>
    <w:rsid w:val="00FE1DF6"/>
    <w:rsid w:val="00FE1E9E"/>
    <w:rsid w:val="00FE2038"/>
    <w:rsid w:val="00FE223B"/>
    <w:rsid w:val="00FE2332"/>
    <w:rsid w:val="00FE2559"/>
    <w:rsid w:val="00FE2580"/>
    <w:rsid w:val="00FE269D"/>
    <w:rsid w:val="00FE26A0"/>
    <w:rsid w:val="00FE27F7"/>
    <w:rsid w:val="00FE2929"/>
    <w:rsid w:val="00FE2B8E"/>
    <w:rsid w:val="00FE2C3E"/>
    <w:rsid w:val="00FE2CEB"/>
    <w:rsid w:val="00FE2CF3"/>
    <w:rsid w:val="00FE2D12"/>
    <w:rsid w:val="00FE2D30"/>
    <w:rsid w:val="00FE2DFC"/>
    <w:rsid w:val="00FE2F1D"/>
    <w:rsid w:val="00FE2F36"/>
    <w:rsid w:val="00FE30B7"/>
    <w:rsid w:val="00FE3112"/>
    <w:rsid w:val="00FE3156"/>
    <w:rsid w:val="00FE3231"/>
    <w:rsid w:val="00FE3312"/>
    <w:rsid w:val="00FE352F"/>
    <w:rsid w:val="00FE3548"/>
    <w:rsid w:val="00FE37FB"/>
    <w:rsid w:val="00FE39F9"/>
    <w:rsid w:val="00FE3A4E"/>
    <w:rsid w:val="00FE3A9B"/>
    <w:rsid w:val="00FE3B3F"/>
    <w:rsid w:val="00FE3B69"/>
    <w:rsid w:val="00FE3BE0"/>
    <w:rsid w:val="00FE3D89"/>
    <w:rsid w:val="00FE3F45"/>
    <w:rsid w:val="00FE3F8F"/>
    <w:rsid w:val="00FE3F9E"/>
    <w:rsid w:val="00FE40B4"/>
    <w:rsid w:val="00FE441E"/>
    <w:rsid w:val="00FE446F"/>
    <w:rsid w:val="00FE447D"/>
    <w:rsid w:val="00FE451A"/>
    <w:rsid w:val="00FE4775"/>
    <w:rsid w:val="00FE477D"/>
    <w:rsid w:val="00FE48E0"/>
    <w:rsid w:val="00FE49C1"/>
    <w:rsid w:val="00FE49EF"/>
    <w:rsid w:val="00FE4C06"/>
    <w:rsid w:val="00FE4CC3"/>
    <w:rsid w:val="00FE4CF1"/>
    <w:rsid w:val="00FE4D3C"/>
    <w:rsid w:val="00FE4D46"/>
    <w:rsid w:val="00FE4DC2"/>
    <w:rsid w:val="00FE4DDD"/>
    <w:rsid w:val="00FE4DDF"/>
    <w:rsid w:val="00FE4E72"/>
    <w:rsid w:val="00FE4F2A"/>
    <w:rsid w:val="00FE5089"/>
    <w:rsid w:val="00FE5112"/>
    <w:rsid w:val="00FE5125"/>
    <w:rsid w:val="00FE51D0"/>
    <w:rsid w:val="00FE522A"/>
    <w:rsid w:val="00FE528E"/>
    <w:rsid w:val="00FE5490"/>
    <w:rsid w:val="00FE54B7"/>
    <w:rsid w:val="00FE55B9"/>
    <w:rsid w:val="00FE5670"/>
    <w:rsid w:val="00FE58D4"/>
    <w:rsid w:val="00FE590C"/>
    <w:rsid w:val="00FE5AB3"/>
    <w:rsid w:val="00FE5B35"/>
    <w:rsid w:val="00FE5EE1"/>
    <w:rsid w:val="00FE5F1D"/>
    <w:rsid w:val="00FE5F90"/>
    <w:rsid w:val="00FE61E4"/>
    <w:rsid w:val="00FE6595"/>
    <w:rsid w:val="00FE6662"/>
    <w:rsid w:val="00FE6675"/>
    <w:rsid w:val="00FE6681"/>
    <w:rsid w:val="00FE66F8"/>
    <w:rsid w:val="00FE692C"/>
    <w:rsid w:val="00FE697C"/>
    <w:rsid w:val="00FE6AA1"/>
    <w:rsid w:val="00FE6ADE"/>
    <w:rsid w:val="00FE6B34"/>
    <w:rsid w:val="00FE6B3E"/>
    <w:rsid w:val="00FE6B42"/>
    <w:rsid w:val="00FE6BAD"/>
    <w:rsid w:val="00FE6CA7"/>
    <w:rsid w:val="00FE6D12"/>
    <w:rsid w:val="00FE6D4C"/>
    <w:rsid w:val="00FE6D54"/>
    <w:rsid w:val="00FE6EA7"/>
    <w:rsid w:val="00FE6F6C"/>
    <w:rsid w:val="00FE6F6F"/>
    <w:rsid w:val="00FE7060"/>
    <w:rsid w:val="00FE709C"/>
    <w:rsid w:val="00FE70EC"/>
    <w:rsid w:val="00FE72C0"/>
    <w:rsid w:val="00FE740E"/>
    <w:rsid w:val="00FE7575"/>
    <w:rsid w:val="00FE7665"/>
    <w:rsid w:val="00FE773A"/>
    <w:rsid w:val="00FE7746"/>
    <w:rsid w:val="00FE78CD"/>
    <w:rsid w:val="00FE78FA"/>
    <w:rsid w:val="00FE7998"/>
    <w:rsid w:val="00FE79D3"/>
    <w:rsid w:val="00FE79EE"/>
    <w:rsid w:val="00FE7A11"/>
    <w:rsid w:val="00FE7B49"/>
    <w:rsid w:val="00FE7D50"/>
    <w:rsid w:val="00FE7E3C"/>
    <w:rsid w:val="00FE7F0A"/>
    <w:rsid w:val="00FF017F"/>
    <w:rsid w:val="00FF01AD"/>
    <w:rsid w:val="00FF0266"/>
    <w:rsid w:val="00FF0275"/>
    <w:rsid w:val="00FF02FC"/>
    <w:rsid w:val="00FF05AB"/>
    <w:rsid w:val="00FF05CF"/>
    <w:rsid w:val="00FF05FB"/>
    <w:rsid w:val="00FF062C"/>
    <w:rsid w:val="00FF0662"/>
    <w:rsid w:val="00FF0915"/>
    <w:rsid w:val="00FF0986"/>
    <w:rsid w:val="00FF0AC7"/>
    <w:rsid w:val="00FF0B22"/>
    <w:rsid w:val="00FF0B85"/>
    <w:rsid w:val="00FF0E78"/>
    <w:rsid w:val="00FF0FFC"/>
    <w:rsid w:val="00FF1044"/>
    <w:rsid w:val="00FF1063"/>
    <w:rsid w:val="00FF10AF"/>
    <w:rsid w:val="00FF10F4"/>
    <w:rsid w:val="00FF11E5"/>
    <w:rsid w:val="00FF1306"/>
    <w:rsid w:val="00FF13F6"/>
    <w:rsid w:val="00FF1449"/>
    <w:rsid w:val="00FF14B0"/>
    <w:rsid w:val="00FF1550"/>
    <w:rsid w:val="00FF1672"/>
    <w:rsid w:val="00FF16C0"/>
    <w:rsid w:val="00FF18AB"/>
    <w:rsid w:val="00FF1A37"/>
    <w:rsid w:val="00FF1BD2"/>
    <w:rsid w:val="00FF1C04"/>
    <w:rsid w:val="00FF1C24"/>
    <w:rsid w:val="00FF1D6D"/>
    <w:rsid w:val="00FF1D79"/>
    <w:rsid w:val="00FF1DC7"/>
    <w:rsid w:val="00FF1DC8"/>
    <w:rsid w:val="00FF1E82"/>
    <w:rsid w:val="00FF1F1C"/>
    <w:rsid w:val="00FF1FBE"/>
    <w:rsid w:val="00FF1FF5"/>
    <w:rsid w:val="00FF20F9"/>
    <w:rsid w:val="00FF21C5"/>
    <w:rsid w:val="00FF21FE"/>
    <w:rsid w:val="00FF22C4"/>
    <w:rsid w:val="00FF22E2"/>
    <w:rsid w:val="00FF2302"/>
    <w:rsid w:val="00FF233A"/>
    <w:rsid w:val="00FF234B"/>
    <w:rsid w:val="00FF2393"/>
    <w:rsid w:val="00FF2442"/>
    <w:rsid w:val="00FF24E5"/>
    <w:rsid w:val="00FF251F"/>
    <w:rsid w:val="00FF26D7"/>
    <w:rsid w:val="00FF29F0"/>
    <w:rsid w:val="00FF2CC0"/>
    <w:rsid w:val="00FF304C"/>
    <w:rsid w:val="00FF3135"/>
    <w:rsid w:val="00FF33B9"/>
    <w:rsid w:val="00FF3425"/>
    <w:rsid w:val="00FF3455"/>
    <w:rsid w:val="00FF34A5"/>
    <w:rsid w:val="00FF350A"/>
    <w:rsid w:val="00FF3678"/>
    <w:rsid w:val="00FF36A2"/>
    <w:rsid w:val="00FF3745"/>
    <w:rsid w:val="00FF3927"/>
    <w:rsid w:val="00FF3D0D"/>
    <w:rsid w:val="00FF3D78"/>
    <w:rsid w:val="00FF3EBC"/>
    <w:rsid w:val="00FF4102"/>
    <w:rsid w:val="00FF422A"/>
    <w:rsid w:val="00FF458D"/>
    <w:rsid w:val="00FF45F1"/>
    <w:rsid w:val="00FF471F"/>
    <w:rsid w:val="00FF4911"/>
    <w:rsid w:val="00FF4946"/>
    <w:rsid w:val="00FF4A08"/>
    <w:rsid w:val="00FF4A53"/>
    <w:rsid w:val="00FF4BD5"/>
    <w:rsid w:val="00FF4BFE"/>
    <w:rsid w:val="00FF4CCA"/>
    <w:rsid w:val="00FF4D0A"/>
    <w:rsid w:val="00FF4EE0"/>
    <w:rsid w:val="00FF4F31"/>
    <w:rsid w:val="00FF4F40"/>
    <w:rsid w:val="00FF5011"/>
    <w:rsid w:val="00FF5019"/>
    <w:rsid w:val="00FF50C5"/>
    <w:rsid w:val="00FF522F"/>
    <w:rsid w:val="00FF5260"/>
    <w:rsid w:val="00FF52D1"/>
    <w:rsid w:val="00FF5561"/>
    <w:rsid w:val="00FF5680"/>
    <w:rsid w:val="00FF576E"/>
    <w:rsid w:val="00FF5871"/>
    <w:rsid w:val="00FF596F"/>
    <w:rsid w:val="00FF5A05"/>
    <w:rsid w:val="00FF5ABF"/>
    <w:rsid w:val="00FF5B90"/>
    <w:rsid w:val="00FF5C82"/>
    <w:rsid w:val="00FF5C93"/>
    <w:rsid w:val="00FF5D03"/>
    <w:rsid w:val="00FF5E8B"/>
    <w:rsid w:val="00FF5F0B"/>
    <w:rsid w:val="00FF62EB"/>
    <w:rsid w:val="00FF64FF"/>
    <w:rsid w:val="00FF658D"/>
    <w:rsid w:val="00FF6597"/>
    <w:rsid w:val="00FF65A9"/>
    <w:rsid w:val="00FF65D0"/>
    <w:rsid w:val="00FF663C"/>
    <w:rsid w:val="00FF66EA"/>
    <w:rsid w:val="00FF6809"/>
    <w:rsid w:val="00FF68E3"/>
    <w:rsid w:val="00FF6AA8"/>
    <w:rsid w:val="00FF6B21"/>
    <w:rsid w:val="00FF6CB0"/>
    <w:rsid w:val="00FF6CD3"/>
    <w:rsid w:val="00FF6D64"/>
    <w:rsid w:val="00FF6E6B"/>
    <w:rsid w:val="00FF6FCB"/>
    <w:rsid w:val="00FF7064"/>
    <w:rsid w:val="00FF71D3"/>
    <w:rsid w:val="00FF71EF"/>
    <w:rsid w:val="00FF7229"/>
    <w:rsid w:val="00FF7361"/>
    <w:rsid w:val="00FF74D0"/>
    <w:rsid w:val="00FF7875"/>
    <w:rsid w:val="00FF794E"/>
    <w:rsid w:val="00FF7A76"/>
    <w:rsid w:val="00FF7AB4"/>
    <w:rsid w:val="00FF7BEA"/>
    <w:rsid w:val="00FF7C90"/>
    <w:rsid w:val="00FF7C9C"/>
    <w:rsid w:val="0138D32D"/>
    <w:rsid w:val="014CD706"/>
    <w:rsid w:val="016D8CE0"/>
    <w:rsid w:val="01760F67"/>
    <w:rsid w:val="01B5B892"/>
    <w:rsid w:val="01C592A3"/>
    <w:rsid w:val="01DEA77C"/>
    <w:rsid w:val="01E7366D"/>
    <w:rsid w:val="01F1EB18"/>
    <w:rsid w:val="01FD5304"/>
    <w:rsid w:val="0214CE2E"/>
    <w:rsid w:val="024C04BB"/>
    <w:rsid w:val="025349BF"/>
    <w:rsid w:val="02562DAA"/>
    <w:rsid w:val="0287D5E3"/>
    <w:rsid w:val="029F6AA9"/>
    <w:rsid w:val="02BCBF13"/>
    <w:rsid w:val="02E3115F"/>
    <w:rsid w:val="02F50356"/>
    <w:rsid w:val="03341908"/>
    <w:rsid w:val="033C9D0B"/>
    <w:rsid w:val="0349E66B"/>
    <w:rsid w:val="0349E684"/>
    <w:rsid w:val="03BE96E8"/>
    <w:rsid w:val="03C52941"/>
    <w:rsid w:val="03C662C9"/>
    <w:rsid w:val="03ED0DB9"/>
    <w:rsid w:val="03F29807"/>
    <w:rsid w:val="04167A67"/>
    <w:rsid w:val="04551862"/>
    <w:rsid w:val="048C2E2E"/>
    <w:rsid w:val="0492F9A9"/>
    <w:rsid w:val="04A2F67F"/>
    <w:rsid w:val="04B962D0"/>
    <w:rsid w:val="04C200BF"/>
    <w:rsid w:val="056B2331"/>
    <w:rsid w:val="057BFEFA"/>
    <w:rsid w:val="05A3532D"/>
    <w:rsid w:val="05AB8AB6"/>
    <w:rsid w:val="05AF077A"/>
    <w:rsid w:val="05DA1BCF"/>
    <w:rsid w:val="05EBE44F"/>
    <w:rsid w:val="05F7D757"/>
    <w:rsid w:val="06103DCB"/>
    <w:rsid w:val="067D54CF"/>
    <w:rsid w:val="06969D50"/>
    <w:rsid w:val="06ABF512"/>
    <w:rsid w:val="06BF2909"/>
    <w:rsid w:val="07039318"/>
    <w:rsid w:val="07176AF7"/>
    <w:rsid w:val="072833EE"/>
    <w:rsid w:val="073A321E"/>
    <w:rsid w:val="0754A516"/>
    <w:rsid w:val="075C4325"/>
    <w:rsid w:val="079096B5"/>
    <w:rsid w:val="079DC5E6"/>
    <w:rsid w:val="07B23C57"/>
    <w:rsid w:val="07B3EBDC"/>
    <w:rsid w:val="07B7DFB1"/>
    <w:rsid w:val="07D1EB05"/>
    <w:rsid w:val="07D3FA0D"/>
    <w:rsid w:val="07E10C7B"/>
    <w:rsid w:val="081B3812"/>
    <w:rsid w:val="082E9360"/>
    <w:rsid w:val="0839EF1A"/>
    <w:rsid w:val="0843A20D"/>
    <w:rsid w:val="08521CD4"/>
    <w:rsid w:val="08DE0092"/>
    <w:rsid w:val="09292501"/>
    <w:rsid w:val="092E7DD2"/>
    <w:rsid w:val="09366F5C"/>
    <w:rsid w:val="093C10B4"/>
    <w:rsid w:val="0964C9A0"/>
    <w:rsid w:val="0969051A"/>
    <w:rsid w:val="096AB696"/>
    <w:rsid w:val="09A92917"/>
    <w:rsid w:val="09BE4E75"/>
    <w:rsid w:val="09DE3DDB"/>
    <w:rsid w:val="0A0CFCD0"/>
    <w:rsid w:val="0A142D1C"/>
    <w:rsid w:val="0A38A5A0"/>
    <w:rsid w:val="0A6173C1"/>
    <w:rsid w:val="0A68BE3C"/>
    <w:rsid w:val="0A89AB04"/>
    <w:rsid w:val="0A931A99"/>
    <w:rsid w:val="0A9684FD"/>
    <w:rsid w:val="0A98449D"/>
    <w:rsid w:val="0A9AC4FF"/>
    <w:rsid w:val="0AC0C020"/>
    <w:rsid w:val="0B165A6E"/>
    <w:rsid w:val="0B397A84"/>
    <w:rsid w:val="0B4A1686"/>
    <w:rsid w:val="0BB5F1CA"/>
    <w:rsid w:val="0BC348BF"/>
    <w:rsid w:val="0BC82662"/>
    <w:rsid w:val="0BE95EF1"/>
    <w:rsid w:val="0BEBAA24"/>
    <w:rsid w:val="0C7DD4A3"/>
    <w:rsid w:val="0C9D05DE"/>
    <w:rsid w:val="0CA156FD"/>
    <w:rsid w:val="0CA588A8"/>
    <w:rsid w:val="0CC783F9"/>
    <w:rsid w:val="0CCB4679"/>
    <w:rsid w:val="0CD261A6"/>
    <w:rsid w:val="0D1B8AB0"/>
    <w:rsid w:val="0D213570"/>
    <w:rsid w:val="0D233516"/>
    <w:rsid w:val="0D2868AC"/>
    <w:rsid w:val="0D5D3F8A"/>
    <w:rsid w:val="0D893A72"/>
    <w:rsid w:val="0D93E99D"/>
    <w:rsid w:val="0DDFBF70"/>
    <w:rsid w:val="0DE90008"/>
    <w:rsid w:val="0DEDB2B2"/>
    <w:rsid w:val="0DF0E5F4"/>
    <w:rsid w:val="0E024AC8"/>
    <w:rsid w:val="0E0CCE7A"/>
    <w:rsid w:val="0E21D371"/>
    <w:rsid w:val="0E646106"/>
    <w:rsid w:val="0EB53DF6"/>
    <w:rsid w:val="0ECDBFEC"/>
    <w:rsid w:val="0EE261B8"/>
    <w:rsid w:val="0EEC1DFE"/>
    <w:rsid w:val="0F2BCAE5"/>
    <w:rsid w:val="0F44D89E"/>
    <w:rsid w:val="0F47F237"/>
    <w:rsid w:val="0F532BD7"/>
    <w:rsid w:val="0F5F4736"/>
    <w:rsid w:val="0F89D215"/>
    <w:rsid w:val="0FA0213A"/>
    <w:rsid w:val="0FA5D1A3"/>
    <w:rsid w:val="0FA62AC6"/>
    <w:rsid w:val="0FCA1851"/>
    <w:rsid w:val="0FE340AE"/>
    <w:rsid w:val="1032E236"/>
    <w:rsid w:val="103A80A1"/>
    <w:rsid w:val="1040A062"/>
    <w:rsid w:val="10660478"/>
    <w:rsid w:val="10687E5F"/>
    <w:rsid w:val="10982F57"/>
    <w:rsid w:val="109B446C"/>
    <w:rsid w:val="109FA387"/>
    <w:rsid w:val="10AA5E86"/>
    <w:rsid w:val="10D51777"/>
    <w:rsid w:val="10FAAE5E"/>
    <w:rsid w:val="10FCD051"/>
    <w:rsid w:val="1129B146"/>
    <w:rsid w:val="115F3826"/>
    <w:rsid w:val="116DE74B"/>
    <w:rsid w:val="119FCB06"/>
    <w:rsid w:val="11AF61B9"/>
    <w:rsid w:val="11CBA0F5"/>
    <w:rsid w:val="1228DE0E"/>
    <w:rsid w:val="122A3FCF"/>
    <w:rsid w:val="125B7F1C"/>
    <w:rsid w:val="126F75B9"/>
    <w:rsid w:val="12C015A8"/>
    <w:rsid w:val="12C11507"/>
    <w:rsid w:val="12C551BA"/>
    <w:rsid w:val="12CF12F5"/>
    <w:rsid w:val="12EB439C"/>
    <w:rsid w:val="12FAD5B6"/>
    <w:rsid w:val="13CBD1AC"/>
    <w:rsid w:val="13CEF8DA"/>
    <w:rsid w:val="13EECA7F"/>
    <w:rsid w:val="14149437"/>
    <w:rsid w:val="141AFCDB"/>
    <w:rsid w:val="14241A2E"/>
    <w:rsid w:val="1424E200"/>
    <w:rsid w:val="14338F98"/>
    <w:rsid w:val="14610614"/>
    <w:rsid w:val="147F7AF7"/>
    <w:rsid w:val="148EE9E6"/>
    <w:rsid w:val="14960190"/>
    <w:rsid w:val="14A58231"/>
    <w:rsid w:val="14AEDE86"/>
    <w:rsid w:val="14D6708B"/>
    <w:rsid w:val="14DB9D06"/>
    <w:rsid w:val="14EB7B1B"/>
    <w:rsid w:val="151AFD6D"/>
    <w:rsid w:val="15380E17"/>
    <w:rsid w:val="156CDE1F"/>
    <w:rsid w:val="157657C6"/>
    <w:rsid w:val="157CF0DD"/>
    <w:rsid w:val="158A9964"/>
    <w:rsid w:val="15CEED61"/>
    <w:rsid w:val="15FBA9E3"/>
    <w:rsid w:val="164B9C5E"/>
    <w:rsid w:val="1658E835"/>
    <w:rsid w:val="168E2AEE"/>
    <w:rsid w:val="1694A52B"/>
    <w:rsid w:val="16A43D17"/>
    <w:rsid w:val="16A91426"/>
    <w:rsid w:val="16ED3F69"/>
    <w:rsid w:val="17170B25"/>
    <w:rsid w:val="172D8D02"/>
    <w:rsid w:val="17959BAF"/>
    <w:rsid w:val="17A14957"/>
    <w:rsid w:val="17F913B3"/>
    <w:rsid w:val="1811AA31"/>
    <w:rsid w:val="1829D3F8"/>
    <w:rsid w:val="182F9574"/>
    <w:rsid w:val="18383041"/>
    <w:rsid w:val="18671F43"/>
    <w:rsid w:val="18740BB5"/>
    <w:rsid w:val="1876E8E3"/>
    <w:rsid w:val="18825CC7"/>
    <w:rsid w:val="188498E9"/>
    <w:rsid w:val="18C5F7EA"/>
    <w:rsid w:val="18CDD3E8"/>
    <w:rsid w:val="18F69EE2"/>
    <w:rsid w:val="19018F61"/>
    <w:rsid w:val="193FA7F2"/>
    <w:rsid w:val="19402F5E"/>
    <w:rsid w:val="195B46DD"/>
    <w:rsid w:val="1977D04F"/>
    <w:rsid w:val="19C14459"/>
    <w:rsid w:val="19E32EE8"/>
    <w:rsid w:val="1A3BEEC3"/>
    <w:rsid w:val="1A3CA925"/>
    <w:rsid w:val="1A3D0B6E"/>
    <w:rsid w:val="1A3E1EF9"/>
    <w:rsid w:val="1A56891E"/>
    <w:rsid w:val="1A5C06CF"/>
    <w:rsid w:val="1A8C8A31"/>
    <w:rsid w:val="1A928473"/>
    <w:rsid w:val="1A955274"/>
    <w:rsid w:val="1AA12BFD"/>
    <w:rsid w:val="1AAB4829"/>
    <w:rsid w:val="1ABA8AA9"/>
    <w:rsid w:val="1ABEC421"/>
    <w:rsid w:val="1AE95FA6"/>
    <w:rsid w:val="1AEE1C45"/>
    <w:rsid w:val="1AEF4FEF"/>
    <w:rsid w:val="1B151D3E"/>
    <w:rsid w:val="1B32FD4A"/>
    <w:rsid w:val="1B398793"/>
    <w:rsid w:val="1B468B5F"/>
    <w:rsid w:val="1B486342"/>
    <w:rsid w:val="1B48B37B"/>
    <w:rsid w:val="1B4916A6"/>
    <w:rsid w:val="1B4A1269"/>
    <w:rsid w:val="1B5F6C70"/>
    <w:rsid w:val="1B8193D1"/>
    <w:rsid w:val="1BBD7B52"/>
    <w:rsid w:val="1BE66A6A"/>
    <w:rsid w:val="1BFC9C8D"/>
    <w:rsid w:val="1C4182EF"/>
    <w:rsid w:val="1C4ED721"/>
    <w:rsid w:val="1C5B921D"/>
    <w:rsid w:val="1C8FFC5E"/>
    <w:rsid w:val="1D73FEE9"/>
    <w:rsid w:val="1D95FE81"/>
    <w:rsid w:val="1DAAF75F"/>
    <w:rsid w:val="1DCB661A"/>
    <w:rsid w:val="1E163F61"/>
    <w:rsid w:val="1E1FD178"/>
    <w:rsid w:val="1E2EC298"/>
    <w:rsid w:val="1E670A27"/>
    <w:rsid w:val="1E6EA6CE"/>
    <w:rsid w:val="1E87AE10"/>
    <w:rsid w:val="1EA54A2B"/>
    <w:rsid w:val="1EBDE491"/>
    <w:rsid w:val="1ED8AEB4"/>
    <w:rsid w:val="1EE057E1"/>
    <w:rsid w:val="1F2EDA54"/>
    <w:rsid w:val="1F58EBFD"/>
    <w:rsid w:val="1F70D0BA"/>
    <w:rsid w:val="1FC568F5"/>
    <w:rsid w:val="1FE85B77"/>
    <w:rsid w:val="1FEBF95A"/>
    <w:rsid w:val="20185902"/>
    <w:rsid w:val="203B71A2"/>
    <w:rsid w:val="204D64B4"/>
    <w:rsid w:val="206E57F7"/>
    <w:rsid w:val="20891F09"/>
    <w:rsid w:val="2095E817"/>
    <w:rsid w:val="20A7C4FE"/>
    <w:rsid w:val="20C2B526"/>
    <w:rsid w:val="20C7A56B"/>
    <w:rsid w:val="210E8037"/>
    <w:rsid w:val="211C5AAD"/>
    <w:rsid w:val="214C0B8C"/>
    <w:rsid w:val="2157C454"/>
    <w:rsid w:val="215CA5CF"/>
    <w:rsid w:val="216B9B0C"/>
    <w:rsid w:val="2182D821"/>
    <w:rsid w:val="21A042B6"/>
    <w:rsid w:val="21B05270"/>
    <w:rsid w:val="21BABB8A"/>
    <w:rsid w:val="21CFAC5D"/>
    <w:rsid w:val="21EAFB21"/>
    <w:rsid w:val="21FF1B01"/>
    <w:rsid w:val="221AFE88"/>
    <w:rsid w:val="224E0AE2"/>
    <w:rsid w:val="225F81EE"/>
    <w:rsid w:val="228C7764"/>
    <w:rsid w:val="229F2AD1"/>
    <w:rsid w:val="22A69A88"/>
    <w:rsid w:val="22E02138"/>
    <w:rsid w:val="233E594B"/>
    <w:rsid w:val="233EF1A5"/>
    <w:rsid w:val="234FC7D5"/>
    <w:rsid w:val="2363C451"/>
    <w:rsid w:val="23704BC0"/>
    <w:rsid w:val="23BA3462"/>
    <w:rsid w:val="23BEE81A"/>
    <w:rsid w:val="23C30BF9"/>
    <w:rsid w:val="23C5B855"/>
    <w:rsid w:val="23C71F96"/>
    <w:rsid w:val="23CB88E2"/>
    <w:rsid w:val="240029A9"/>
    <w:rsid w:val="240489A2"/>
    <w:rsid w:val="243403EF"/>
    <w:rsid w:val="24613736"/>
    <w:rsid w:val="247F67B8"/>
    <w:rsid w:val="24E04619"/>
    <w:rsid w:val="25048CE0"/>
    <w:rsid w:val="252C3907"/>
    <w:rsid w:val="254F68F2"/>
    <w:rsid w:val="256477B9"/>
    <w:rsid w:val="2570F1AB"/>
    <w:rsid w:val="259F3DA9"/>
    <w:rsid w:val="25BB5FFA"/>
    <w:rsid w:val="25BD624F"/>
    <w:rsid w:val="25C0DC72"/>
    <w:rsid w:val="25CE3621"/>
    <w:rsid w:val="25CEAC37"/>
    <w:rsid w:val="25D67184"/>
    <w:rsid w:val="25F1B286"/>
    <w:rsid w:val="2605FED5"/>
    <w:rsid w:val="260D6E73"/>
    <w:rsid w:val="2612D8F6"/>
    <w:rsid w:val="26193EE0"/>
    <w:rsid w:val="2636BD9E"/>
    <w:rsid w:val="266F03A2"/>
    <w:rsid w:val="269BFC72"/>
    <w:rsid w:val="26C605B0"/>
    <w:rsid w:val="26C7C786"/>
    <w:rsid w:val="26D0501B"/>
    <w:rsid w:val="27387C6F"/>
    <w:rsid w:val="2781ABBC"/>
    <w:rsid w:val="27968893"/>
    <w:rsid w:val="27C9F5D3"/>
    <w:rsid w:val="27F0EAB5"/>
    <w:rsid w:val="2804E1FF"/>
    <w:rsid w:val="280C440A"/>
    <w:rsid w:val="2821ABDC"/>
    <w:rsid w:val="28371D2E"/>
    <w:rsid w:val="283E9878"/>
    <w:rsid w:val="285E38B4"/>
    <w:rsid w:val="2882F7EF"/>
    <w:rsid w:val="288E5D64"/>
    <w:rsid w:val="28B56699"/>
    <w:rsid w:val="28D41FFF"/>
    <w:rsid w:val="2913F782"/>
    <w:rsid w:val="29586C85"/>
    <w:rsid w:val="2963E5E0"/>
    <w:rsid w:val="29753AA3"/>
    <w:rsid w:val="2978527D"/>
    <w:rsid w:val="298698F7"/>
    <w:rsid w:val="29AE26CE"/>
    <w:rsid w:val="29EC761A"/>
    <w:rsid w:val="2A121A6C"/>
    <w:rsid w:val="2A1374D0"/>
    <w:rsid w:val="2A18943C"/>
    <w:rsid w:val="2A64EBB8"/>
    <w:rsid w:val="2A990D16"/>
    <w:rsid w:val="2AB13F30"/>
    <w:rsid w:val="2AB76ED4"/>
    <w:rsid w:val="2AB82F9C"/>
    <w:rsid w:val="2AC73807"/>
    <w:rsid w:val="2AC97858"/>
    <w:rsid w:val="2AD84865"/>
    <w:rsid w:val="2AEA7B3A"/>
    <w:rsid w:val="2AEB2588"/>
    <w:rsid w:val="2AFB8C1D"/>
    <w:rsid w:val="2B36E644"/>
    <w:rsid w:val="2B766994"/>
    <w:rsid w:val="2B854E01"/>
    <w:rsid w:val="2B88AE54"/>
    <w:rsid w:val="2B8BD2EF"/>
    <w:rsid w:val="2BBC520A"/>
    <w:rsid w:val="2BCB410F"/>
    <w:rsid w:val="2BDA40EC"/>
    <w:rsid w:val="2BDBC5C6"/>
    <w:rsid w:val="2C25A0BA"/>
    <w:rsid w:val="2C2FEB25"/>
    <w:rsid w:val="2C3BAA7F"/>
    <w:rsid w:val="2C5C27EF"/>
    <w:rsid w:val="2C79B50E"/>
    <w:rsid w:val="2C7A6A5D"/>
    <w:rsid w:val="2CBD3D9A"/>
    <w:rsid w:val="2CEE5E69"/>
    <w:rsid w:val="2CF825EA"/>
    <w:rsid w:val="2D11652D"/>
    <w:rsid w:val="2D25EFD8"/>
    <w:rsid w:val="2D323A91"/>
    <w:rsid w:val="2D328C0A"/>
    <w:rsid w:val="2D6BB44B"/>
    <w:rsid w:val="2D8DE172"/>
    <w:rsid w:val="2DD7C4FC"/>
    <w:rsid w:val="2E00F5EC"/>
    <w:rsid w:val="2E3CEFDF"/>
    <w:rsid w:val="2E7B1887"/>
    <w:rsid w:val="2E7DD54F"/>
    <w:rsid w:val="2EA6CEEC"/>
    <w:rsid w:val="2EDCCD5E"/>
    <w:rsid w:val="2EF0BA2F"/>
    <w:rsid w:val="2F10C93D"/>
    <w:rsid w:val="2F3E3521"/>
    <w:rsid w:val="2F4794DC"/>
    <w:rsid w:val="2F7E8935"/>
    <w:rsid w:val="2F9A97FE"/>
    <w:rsid w:val="2F9C114D"/>
    <w:rsid w:val="2FA9B9D4"/>
    <w:rsid w:val="2FFBFC9A"/>
    <w:rsid w:val="3020CDCA"/>
    <w:rsid w:val="30261A12"/>
    <w:rsid w:val="3028711B"/>
    <w:rsid w:val="304EA6A9"/>
    <w:rsid w:val="3063564C"/>
    <w:rsid w:val="3087AE69"/>
    <w:rsid w:val="30E48D56"/>
    <w:rsid w:val="30F40A21"/>
    <w:rsid w:val="312D535F"/>
    <w:rsid w:val="31373B7F"/>
    <w:rsid w:val="3139C460"/>
    <w:rsid w:val="314BF9F3"/>
    <w:rsid w:val="315EE481"/>
    <w:rsid w:val="3173587B"/>
    <w:rsid w:val="317F367D"/>
    <w:rsid w:val="3181027E"/>
    <w:rsid w:val="318CA640"/>
    <w:rsid w:val="31A9E239"/>
    <w:rsid w:val="31B61266"/>
    <w:rsid w:val="31E88E06"/>
    <w:rsid w:val="31EB9054"/>
    <w:rsid w:val="31ED6C48"/>
    <w:rsid w:val="31FC0574"/>
    <w:rsid w:val="32056045"/>
    <w:rsid w:val="32661A50"/>
    <w:rsid w:val="32992072"/>
    <w:rsid w:val="32B676B4"/>
    <w:rsid w:val="32DBE81C"/>
    <w:rsid w:val="32DFFB4C"/>
    <w:rsid w:val="32E732DC"/>
    <w:rsid w:val="32F8E3E2"/>
    <w:rsid w:val="32FB3AD2"/>
    <w:rsid w:val="3304ABA0"/>
    <w:rsid w:val="33155F4E"/>
    <w:rsid w:val="331B761D"/>
    <w:rsid w:val="331DCD82"/>
    <w:rsid w:val="3323D79E"/>
    <w:rsid w:val="3344AA61"/>
    <w:rsid w:val="33516C98"/>
    <w:rsid w:val="336171C1"/>
    <w:rsid w:val="33724EDF"/>
    <w:rsid w:val="337C8DE3"/>
    <w:rsid w:val="339B2B42"/>
    <w:rsid w:val="339E1E3C"/>
    <w:rsid w:val="33C728CF"/>
    <w:rsid w:val="33F781C8"/>
    <w:rsid w:val="33FAAEEB"/>
    <w:rsid w:val="3416BA79"/>
    <w:rsid w:val="345DD492"/>
    <w:rsid w:val="34631FA3"/>
    <w:rsid w:val="3470FE1D"/>
    <w:rsid w:val="3479290C"/>
    <w:rsid w:val="3486FF4C"/>
    <w:rsid w:val="348A0531"/>
    <w:rsid w:val="34BA29C8"/>
    <w:rsid w:val="34EC2C87"/>
    <w:rsid w:val="34FFAA9A"/>
    <w:rsid w:val="35002869"/>
    <w:rsid w:val="35727012"/>
    <w:rsid w:val="35777B2B"/>
    <w:rsid w:val="358BF658"/>
    <w:rsid w:val="359D16A4"/>
    <w:rsid w:val="35AC9D08"/>
    <w:rsid w:val="35BB0F7C"/>
    <w:rsid w:val="35C62A0C"/>
    <w:rsid w:val="35D3A63D"/>
    <w:rsid w:val="35E1686D"/>
    <w:rsid w:val="360A8522"/>
    <w:rsid w:val="36178EFF"/>
    <w:rsid w:val="361C61A6"/>
    <w:rsid w:val="3631F0FD"/>
    <w:rsid w:val="367EA903"/>
    <w:rsid w:val="36995D81"/>
    <w:rsid w:val="36A5D7B7"/>
    <w:rsid w:val="36DB2D5B"/>
    <w:rsid w:val="36EDB86B"/>
    <w:rsid w:val="3712D9D6"/>
    <w:rsid w:val="3730C7A9"/>
    <w:rsid w:val="374D6098"/>
    <w:rsid w:val="375179C8"/>
    <w:rsid w:val="375CEA55"/>
    <w:rsid w:val="3763A7F0"/>
    <w:rsid w:val="3777C806"/>
    <w:rsid w:val="37B3924A"/>
    <w:rsid w:val="37C8D3AF"/>
    <w:rsid w:val="37D4D313"/>
    <w:rsid w:val="38206DB1"/>
    <w:rsid w:val="382E62B2"/>
    <w:rsid w:val="38349683"/>
    <w:rsid w:val="38388443"/>
    <w:rsid w:val="3843B341"/>
    <w:rsid w:val="384B0777"/>
    <w:rsid w:val="38855C51"/>
    <w:rsid w:val="38A2BAC6"/>
    <w:rsid w:val="38F47607"/>
    <w:rsid w:val="39140669"/>
    <w:rsid w:val="391B74A4"/>
    <w:rsid w:val="391E4C74"/>
    <w:rsid w:val="392682AB"/>
    <w:rsid w:val="3945ED08"/>
    <w:rsid w:val="394C1009"/>
    <w:rsid w:val="394DBFEA"/>
    <w:rsid w:val="3968B6E9"/>
    <w:rsid w:val="399822D8"/>
    <w:rsid w:val="399B56FC"/>
    <w:rsid w:val="399CB564"/>
    <w:rsid w:val="39E2A954"/>
    <w:rsid w:val="39E66381"/>
    <w:rsid w:val="39F7ECC0"/>
    <w:rsid w:val="3A0D7E3E"/>
    <w:rsid w:val="3A374DFE"/>
    <w:rsid w:val="3A3D6DBF"/>
    <w:rsid w:val="3A4224ED"/>
    <w:rsid w:val="3A5780B3"/>
    <w:rsid w:val="3A6960F3"/>
    <w:rsid w:val="3A88270C"/>
    <w:rsid w:val="3ADACCFD"/>
    <w:rsid w:val="3B2E79A5"/>
    <w:rsid w:val="3B5E92DB"/>
    <w:rsid w:val="3B66F964"/>
    <w:rsid w:val="3B70B944"/>
    <w:rsid w:val="3B828B93"/>
    <w:rsid w:val="3B8A31F5"/>
    <w:rsid w:val="3BAF05C6"/>
    <w:rsid w:val="3C047893"/>
    <w:rsid w:val="3C0787A5"/>
    <w:rsid w:val="3C0BE1E5"/>
    <w:rsid w:val="3C2C58AB"/>
    <w:rsid w:val="3C3CBE93"/>
    <w:rsid w:val="3C52BB57"/>
    <w:rsid w:val="3C61E621"/>
    <w:rsid w:val="3C8CE632"/>
    <w:rsid w:val="3C925BEC"/>
    <w:rsid w:val="3CB79EB9"/>
    <w:rsid w:val="3CBA328C"/>
    <w:rsid w:val="3CBB47D3"/>
    <w:rsid w:val="3CC3E57F"/>
    <w:rsid w:val="3CCBA0D3"/>
    <w:rsid w:val="3CE97EDD"/>
    <w:rsid w:val="3CF19907"/>
    <w:rsid w:val="3CF505B5"/>
    <w:rsid w:val="3D04CBF5"/>
    <w:rsid w:val="3D15B6A8"/>
    <w:rsid w:val="3D212913"/>
    <w:rsid w:val="3D505F57"/>
    <w:rsid w:val="3D52AF84"/>
    <w:rsid w:val="3D772903"/>
    <w:rsid w:val="3D7FD681"/>
    <w:rsid w:val="3D8EBCCE"/>
    <w:rsid w:val="3D8EBF2C"/>
    <w:rsid w:val="3DA0B893"/>
    <w:rsid w:val="3DC6DBFA"/>
    <w:rsid w:val="3E0CA0B0"/>
    <w:rsid w:val="3E18AD0A"/>
    <w:rsid w:val="3E1C54FF"/>
    <w:rsid w:val="3E27255A"/>
    <w:rsid w:val="3E4B4861"/>
    <w:rsid w:val="3E6BE978"/>
    <w:rsid w:val="3E6D160A"/>
    <w:rsid w:val="3E77A4B5"/>
    <w:rsid w:val="3E8C7272"/>
    <w:rsid w:val="3EAC462A"/>
    <w:rsid w:val="3EDAB45D"/>
    <w:rsid w:val="3EE7467D"/>
    <w:rsid w:val="3F366F0B"/>
    <w:rsid w:val="3F381E2F"/>
    <w:rsid w:val="3F4FCFFC"/>
    <w:rsid w:val="3F8E7AED"/>
    <w:rsid w:val="3FC0A7E7"/>
    <w:rsid w:val="3FD83ADC"/>
    <w:rsid w:val="3FF95B32"/>
    <w:rsid w:val="40050DD9"/>
    <w:rsid w:val="400CE951"/>
    <w:rsid w:val="40129D38"/>
    <w:rsid w:val="402F48D4"/>
    <w:rsid w:val="4047D9B9"/>
    <w:rsid w:val="405129B4"/>
    <w:rsid w:val="405EA436"/>
    <w:rsid w:val="40645026"/>
    <w:rsid w:val="4077C884"/>
    <w:rsid w:val="407E464A"/>
    <w:rsid w:val="40953CC1"/>
    <w:rsid w:val="40A1F599"/>
    <w:rsid w:val="40BA5E45"/>
    <w:rsid w:val="40C614F0"/>
    <w:rsid w:val="40CF633C"/>
    <w:rsid w:val="411375D0"/>
    <w:rsid w:val="412AF1D7"/>
    <w:rsid w:val="412EA5E5"/>
    <w:rsid w:val="4147DA99"/>
    <w:rsid w:val="41504DCC"/>
    <w:rsid w:val="4161FC74"/>
    <w:rsid w:val="4199EE6E"/>
    <w:rsid w:val="423D8F92"/>
    <w:rsid w:val="4243A8BF"/>
    <w:rsid w:val="42AEDF95"/>
    <w:rsid w:val="42B11B31"/>
    <w:rsid w:val="42C42708"/>
    <w:rsid w:val="42DEEFF2"/>
    <w:rsid w:val="42F3A08E"/>
    <w:rsid w:val="42FFE35C"/>
    <w:rsid w:val="430987BF"/>
    <w:rsid w:val="430D76F9"/>
    <w:rsid w:val="43607EAD"/>
    <w:rsid w:val="4365CAF5"/>
    <w:rsid w:val="436672FA"/>
    <w:rsid w:val="436ECFA6"/>
    <w:rsid w:val="4370E288"/>
    <w:rsid w:val="43A2D6BC"/>
    <w:rsid w:val="43C31DA0"/>
    <w:rsid w:val="43EFCCFA"/>
    <w:rsid w:val="4435B8D7"/>
    <w:rsid w:val="444C541A"/>
    <w:rsid w:val="44527B38"/>
    <w:rsid w:val="446B496D"/>
    <w:rsid w:val="447B556D"/>
    <w:rsid w:val="44CE556D"/>
    <w:rsid w:val="44E1377A"/>
    <w:rsid w:val="44E5B749"/>
    <w:rsid w:val="44F5D53E"/>
    <w:rsid w:val="44FC81C6"/>
    <w:rsid w:val="450858F1"/>
    <w:rsid w:val="4522E5EE"/>
    <w:rsid w:val="453E4D0E"/>
    <w:rsid w:val="4544BCDB"/>
    <w:rsid w:val="45585445"/>
    <w:rsid w:val="45772D0B"/>
    <w:rsid w:val="457D326B"/>
    <w:rsid w:val="45F055CC"/>
    <w:rsid w:val="45F9BE60"/>
    <w:rsid w:val="46043B40"/>
    <w:rsid w:val="461DC844"/>
    <w:rsid w:val="46299466"/>
    <w:rsid w:val="464307B3"/>
    <w:rsid w:val="464B6DCB"/>
    <w:rsid w:val="464ED72E"/>
    <w:rsid w:val="465022F7"/>
    <w:rsid w:val="46643168"/>
    <w:rsid w:val="46A1DDDC"/>
    <w:rsid w:val="46A7F980"/>
    <w:rsid w:val="46C656FF"/>
    <w:rsid w:val="46D1353B"/>
    <w:rsid w:val="46EF57EC"/>
    <w:rsid w:val="46F8294B"/>
    <w:rsid w:val="470EF4AA"/>
    <w:rsid w:val="471B2DDB"/>
    <w:rsid w:val="473FC49F"/>
    <w:rsid w:val="4754A593"/>
    <w:rsid w:val="4774FDE8"/>
    <w:rsid w:val="4786E344"/>
    <w:rsid w:val="47951868"/>
    <w:rsid w:val="47968B7F"/>
    <w:rsid w:val="47FA9E1D"/>
    <w:rsid w:val="4804946E"/>
    <w:rsid w:val="48065ABD"/>
    <w:rsid w:val="48518401"/>
    <w:rsid w:val="48C18EA6"/>
    <w:rsid w:val="48F03805"/>
    <w:rsid w:val="49130CC1"/>
    <w:rsid w:val="49203BD9"/>
    <w:rsid w:val="49265102"/>
    <w:rsid w:val="492E705E"/>
    <w:rsid w:val="493888DA"/>
    <w:rsid w:val="4955E9B4"/>
    <w:rsid w:val="496724A4"/>
    <w:rsid w:val="49728C77"/>
    <w:rsid w:val="498FBB80"/>
    <w:rsid w:val="49B7A5E8"/>
    <w:rsid w:val="49B965D5"/>
    <w:rsid w:val="49DB1153"/>
    <w:rsid w:val="49DE9075"/>
    <w:rsid w:val="49FBB922"/>
    <w:rsid w:val="4A01F1C4"/>
    <w:rsid w:val="4A0C0D42"/>
    <w:rsid w:val="4A30135C"/>
    <w:rsid w:val="4A440094"/>
    <w:rsid w:val="4A513B06"/>
    <w:rsid w:val="4A51994B"/>
    <w:rsid w:val="4A5DE712"/>
    <w:rsid w:val="4A63BB7E"/>
    <w:rsid w:val="4A8BC766"/>
    <w:rsid w:val="4AA6476D"/>
    <w:rsid w:val="4AB5ACCB"/>
    <w:rsid w:val="4ABA3FF6"/>
    <w:rsid w:val="4AF1A8A6"/>
    <w:rsid w:val="4AF770F9"/>
    <w:rsid w:val="4B022D0A"/>
    <w:rsid w:val="4B0AE8AA"/>
    <w:rsid w:val="4B1590A2"/>
    <w:rsid w:val="4B1D8946"/>
    <w:rsid w:val="4B211BF2"/>
    <w:rsid w:val="4B21A37A"/>
    <w:rsid w:val="4B2F5BF1"/>
    <w:rsid w:val="4B352C7E"/>
    <w:rsid w:val="4B408123"/>
    <w:rsid w:val="4B61F3B1"/>
    <w:rsid w:val="4B963BAE"/>
    <w:rsid w:val="4BBD35D2"/>
    <w:rsid w:val="4BBDDCFA"/>
    <w:rsid w:val="4BD2B240"/>
    <w:rsid w:val="4C31804E"/>
    <w:rsid w:val="4C3262F9"/>
    <w:rsid w:val="4C4011FB"/>
    <w:rsid w:val="4C447F4B"/>
    <w:rsid w:val="4C6C758E"/>
    <w:rsid w:val="4C73F2F3"/>
    <w:rsid w:val="4C8003AD"/>
    <w:rsid w:val="4CB0EE2D"/>
    <w:rsid w:val="4CCE1C36"/>
    <w:rsid w:val="4D2772CC"/>
    <w:rsid w:val="4D5B7324"/>
    <w:rsid w:val="4D62642F"/>
    <w:rsid w:val="4DCD9984"/>
    <w:rsid w:val="4DECE8E6"/>
    <w:rsid w:val="4E22E9B6"/>
    <w:rsid w:val="4E66070F"/>
    <w:rsid w:val="4E9F6384"/>
    <w:rsid w:val="4EB971AC"/>
    <w:rsid w:val="4F0FF4D1"/>
    <w:rsid w:val="4F118AC6"/>
    <w:rsid w:val="4F12917D"/>
    <w:rsid w:val="4F20BDEC"/>
    <w:rsid w:val="4F62CC98"/>
    <w:rsid w:val="4F77B6C1"/>
    <w:rsid w:val="4F95AE5A"/>
    <w:rsid w:val="4FB5B5E7"/>
    <w:rsid w:val="4FD30D0B"/>
    <w:rsid w:val="50210E06"/>
    <w:rsid w:val="502BD33B"/>
    <w:rsid w:val="50426057"/>
    <w:rsid w:val="505663AA"/>
    <w:rsid w:val="506BC297"/>
    <w:rsid w:val="5094FB11"/>
    <w:rsid w:val="5096AA53"/>
    <w:rsid w:val="509FC845"/>
    <w:rsid w:val="50B10144"/>
    <w:rsid w:val="50B3C32C"/>
    <w:rsid w:val="50C585AB"/>
    <w:rsid w:val="50D7D804"/>
    <w:rsid w:val="50DDCEC8"/>
    <w:rsid w:val="50E652CB"/>
    <w:rsid w:val="5102C141"/>
    <w:rsid w:val="514D7E36"/>
    <w:rsid w:val="514E42FA"/>
    <w:rsid w:val="5178A0E8"/>
    <w:rsid w:val="5196E1DE"/>
    <w:rsid w:val="51983217"/>
    <w:rsid w:val="519CBEE0"/>
    <w:rsid w:val="51B9C84C"/>
    <w:rsid w:val="51BFA0EE"/>
    <w:rsid w:val="51D5CE55"/>
    <w:rsid w:val="51F395B3"/>
    <w:rsid w:val="52034E06"/>
    <w:rsid w:val="52047599"/>
    <w:rsid w:val="520EFFCB"/>
    <w:rsid w:val="521B968E"/>
    <w:rsid w:val="52340EEA"/>
    <w:rsid w:val="5238B7A1"/>
    <w:rsid w:val="527118AF"/>
    <w:rsid w:val="5283244A"/>
    <w:rsid w:val="5297FF02"/>
    <w:rsid w:val="52999D4E"/>
    <w:rsid w:val="52A4557C"/>
    <w:rsid w:val="52D5F596"/>
    <w:rsid w:val="52D61CED"/>
    <w:rsid w:val="52E13B0A"/>
    <w:rsid w:val="52F6F251"/>
    <w:rsid w:val="53093005"/>
    <w:rsid w:val="53179286"/>
    <w:rsid w:val="531DE0FB"/>
    <w:rsid w:val="532A4C38"/>
    <w:rsid w:val="53323C6C"/>
    <w:rsid w:val="53373B2E"/>
    <w:rsid w:val="53419113"/>
    <w:rsid w:val="53472235"/>
    <w:rsid w:val="535F27C7"/>
    <w:rsid w:val="538CE0F6"/>
    <w:rsid w:val="53938D22"/>
    <w:rsid w:val="53C18DB3"/>
    <w:rsid w:val="53D3C58B"/>
    <w:rsid w:val="53DDD64E"/>
    <w:rsid w:val="53E678CF"/>
    <w:rsid w:val="53F7212D"/>
    <w:rsid w:val="54150810"/>
    <w:rsid w:val="541EBB5F"/>
    <w:rsid w:val="54315715"/>
    <w:rsid w:val="545253B7"/>
    <w:rsid w:val="5468665B"/>
    <w:rsid w:val="546AC37D"/>
    <w:rsid w:val="54A04842"/>
    <w:rsid w:val="54A7D026"/>
    <w:rsid w:val="54D1521D"/>
    <w:rsid w:val="54D49F0D"/>
    <w:rsid w:val="54E2BFC5"/>
    <w:rsid w:val="5508286D"/>
    <w:rsid w:val="550F084C"/>
    <w:rsid w:val="556B4A66"/>
    <w:rsid w:val="55840D21"/>
    <w:rsid w:val="5585CA58"/>
    <w:rsid w:val="55BD710C"/>
    <w:rsid w:val="55BF5798"/>
    <w:rsid w:val="55D0593C"/>
    <w:rsid w:val="55E61D02"/>
    <w:rsid w:val="55EB3679"/>
    <w:rsid w:val="55FBA802"/>
    <w:rsid w:val="5630946D"/>
    <w:rsid w:val="563826E9"/>
    <w:rsid w:val="563BC1E8"/>
    <w:rsid w:val="567522F5"/>
    <w:rsid w:val="568EA7A0"/>
    <w:rsid w:val="56F18E4B"/>
    <w:rsid w:val="56F23E09"/>
    <w:rsid w:val="56FABC17"/>
    <w:rsid w:val="5723F05B"/>
    <w:rsid w:val="575ED4B3"/>
    <w:rsid w:val="57998CA8"/>
    <w:rsid w:val="57C58291"/>
    <w:rsid w:val="57D7605A"/>
    <w:rsid w:val="580C3FCF"/>
    <w:rsid w:val="58123FAF"/>
    <w:rsid w:val="58324CFE"/>
    <w:rsid w:val="583E428E"/>
    <w:rsid w:val="584C38B4"/>
    <w:rsid w:val="58587F6A"/>
    <w:rsid w:val="58588CCC"/>
    <w:rsid w:val="585C776C"/>
    <w:rsid w:val="5873A690"/>
    <w:rsid w:val="588DB6B9"/>
    <w:rsid w:val="58B395FD"/>
    <w:rsid w:val="58CA26D2"/>
    <w:rsid w:val="58D40C10"/>
    <w:rsid w:val="58FFE1FF"/>
    <w:rsid w:val="59556B3A"/>
    <w:rsid w:val="59918593"/>
    <w:rsid w:val="59B3E856"/>
    <w:rsid w:val="59B68B76"/>
    <w:rsid w:val="59EF1588"/>
    <w:rsid w:val="59F7EDBE"/>
    <w:rsid w:val="59F922A3"/>
    <w:rsid w:val="5A039850"/>
    <w:rsid w:val="5A14D3C6"/>
    <w:rsid w:val="5A188DC9"/>
    <w:rsid w:val="5A1DB7D9"/>
    <w:rsid w:val="5A7CE94A"/>
    <w:rsid w:val="5A92E997"/>
    <w:rsid w:val="5A9C112B"/>
    <w:rsid w:val="5AC33B23"/>
    <w:rsid w:val="5AC7C317"/>
    <w:rsid w:val="5ADBCB0D"/>
    <w:rsid w:val="5B02D107"/>
    <w:rsid w:val="5B3D3409"/>
    <w:rsid w:val="5B402204"/>
    <w:rsid w:val="5B487EB0"/>
    <w:rsid w:val="5B5C96B2"/>
    <w:rsid w:val="5B74B373"/>
    <w:rsid w:val="5B807ED8"/>
    <w:rsid w:val="5B809761"/>
    <w:rsid w:val="5BCDC798"/>
    <w:rsid w:val="5BD9B722"/>
    <w:rsid w:val="5BE9C309"/>
    <w:rsid w:val="5BEB8971"/>
    <w:rsid w:val="5BF4D0CD"/>
    <w:rsid w:val="5C0D2823"/>
    <w:rsid w:val="5C37E768"/>
    <w:rsid w:val="5C590F7E"/>
    <w:rsid w:val="5C677138"/>
    <w:rsid w:val="5C934CC3"/>
    <w:rsid w:val="5C94A4F3"/>
    <w:rsid w:val="5CA04635"/>
    <w:rsid w:val="5CF42922"/>
    <w:rsid w:val="5D024346"/>
    <w:rsid w:val="5D0AC37D"/>
    <w:rsid w:val="5D157756"/>
    <w:rsid w:val="5D16AEDC"/>
    <w:rsid w:val="5D1D2AAE"/>
    <w:rsid w:val="5D22E192"/>
    <w:rsid w:val="5D234ADC"/>
    <w:rsid w:val="5D29A028"/>
    <w:rsid w:val="5D2CC1B6"/>
    <w:rsid w:val="5D426D7B"/>
    <w:rsid w:val="5D428145"/>
    <w:rsid w:val="5D45375F"/>
    <w:rsid w:val="5D6921FC"/>
    <w:rsid w:val="5D6A6242"/>
    <w:rsid w:val="5D7FA9B5"/>
    <w:rsid w:val="5DCB2D4B"/>
    <w:rsid w:val="5DD7F85B"/>
    <w:rsid w:val="5E108F72"/>
    <w:rsid w:val="5E8A3E82"/>
    <w:rsid w:val="5EEB5648"/>
    <w:rsid w:val="5F62BD5D"/>
    <w:rsid w:val="5F87CE54"/>
    <w:rsid w:val="5FB42308"/>
    <w:rsid w:val="5FBFFD51"/>
    <w:rsid w:val="5FCA8E77"/>
    <w:rsid w:val="5FD4333B"/>
    <w:rsid w:val="5FF46598"/>
    <w:rsid w:val="60022661"/>
    <w:rsid w:val="60244200"/>
    <w:rsid w:val="6024764D"/>
    <w:rsid w:val="602D202B"/>
    <w:rsid w:val="6038F99B"/>
    <w:rsid w:val="605D1753"/>
    <w:rsid w:val="607071FB"/>
    <w:rsid w:val="609AF7B1"/>
    <w:rsid w:val="609D8C7F"/>
    <w:rsid w:val="609FE964"/>
    <w:rsid w:val="60ADCB37"/>
    <w:rsid w:val="60B275F0"/>
    <w:rsid w:val="60B71888"/>
    <w:rsid w:val="60E3D8BA"/>
    <w:rsid w:val="60EECC92"/>
    <w:rsid w:val="60F2FA77"/>
    <w:rsid w:val="613A1518"/>
    <w:rsid w:val="614EBBE3"/>
    <w:rsid w:val="61514B99"/>
    <w:rsid w:val="61556884"/>
    <w:rsid w:val="615DC530"/>
    <w:rsid w:val="616708E4"/>
    <w:rsid w:val="6182874F"/>
    <w:rsid w:val="618A5F87"/>
    <w:rsid w:val="61EB70D2"/>
    <w:rsid w:val="62190D29"/>
    <w:rsid w:val="62330433"/>
    <w:rsid w:val="6234C959"/>
    <w:rsid w:val="623E0B61"/>
    <w:rsid w:val="62600F84"/>
    <w:rsid w:val="627BDB4B"/>
    <w:rsid w:val="6289BAC0"/>
    <w:rsid w:val="629573E2"/>
    <w:rsid w:val="629ED0E3"/>
    <w:rsid w:val="62A04BAE"/>
    <w:rsid w:val="62C40011"/>
    <w:rsid w:val="62D184C3"/>
    <w:rsid w:val="62E97E30"/>
    <w:rsid w:val="630D8C18"/>
    <w:rsid w:val="6314E81B"/>
    <w:rsid w:val="63507973"/>
    <w:rsid w:val="6355BE1B"/>
    <w:rsid w:val="6364CC67"/>
    <w:rsid w:val="6371B120"/>
    <w:rsid w:val="6374FFA5"/>
    <w:rsid w:val="637D8E40"/>
    <w:rsid w:val="639166BE"/>
    <w:rsid w:val="63EEA11D"/>
    <w:rsid w:val="64137F43"/>
    <w:rsid w:val="6413FCB6"/>
    <w:rsid w:val="641A88D7"/>
    <w:rsid w:val="6450C1A6"/>
    <w:rsid w:val="6450C92B"/>
    <w:rsid w:val="647CEBD7"/>
    <w:rsid w:val="6480BBEC"/>
    <w:rsid w:val="648A13EE"/>
    <w:rsid w:val="650C10AF"/>
    <w:rsid w:val="65366450"/>
    <w:rsid w:val="6564D0C8"/>
    <w:rsid w:val="6587954E"/>
    <w:rsid w:val="65960224"/>
    <w:rsid w:val="65A4489E"/>
    <w:rsid w:val="65DE2123"/>
    <w:rsid w:val="65F2D1A4"/>
    <w:rsid w:val="65FA0589"/>
    <w:rsid w:val="661573C1"/>
    <w:rsid w:val="662FFCE4"/>
    <w:rsid w:val="664F331E"/>
    <w:rsid w:val="665C1F90"/>
    <w:rsid w:val="6674298A"/>
    <w:rsid w:val="667E7E8D"/>
    <w:rsid w:val="66939ACE"/>
    <w:rsid w:val="66AA80D2"/>
    <w:rsid w:val="66CC79AC"/>
    <w:rsid w:val="670D6480"/>
    <w:rsid w:val="67230284"/>
    <w:rsid w:val="673B6597"/>
    <w:rsid w:val="675165CB"/>
    <w:rsid w:val="6767607F"/>
    <w:rsid w:val="67A3892B"/>
    <w:rsid w:val="67A6FC15"/>
    <w:rsid w:val="67C7B05A"/>
    <w:rsid w:val="67DC0BE4"/>
    <w:rsid w:val="67DDF788"/>
    <w:rsid w:val="67E10EAA"/>
    <w:rsid w:val="67EA6371"/>
    <w:rsid w:val="67FA5E45"/>
    <w:rsid w:val="68059EF3"/>
    <w:rsid w:val="680F83BC"/>
    <w:rsid w:val="68147BEA"/>
    <w:rsid w:val="682C86B5"/>
    <w:rsid w:val="68311DAE"/>
    <w:rsid w:val="6834E32F"/>
    <w:rsid w:val="6835D099"/>
    <w:rsid w:val="683B3862"/>
    <w:rsid w:val="683FFDBF"/>
    <w:rsid w:val="6848E793"/>
    <w:rsid w:val="684B6C26"/>
    <w:rsid w:val="684C46FC"/>
    <w:rsid w:val="68770C79"/>
    <w:rsid w:val="68995051"/>
    <w:rsid w:val="68BD80D4"/>
    <w:rsid w:val="68C44469"/>
    <w:rsid w:val="68D9487E"/>
    <w:rsid w:val="68EC2AD2"/>
    <w:rsid w:val="68FCA51B"/>
    <w:rsid w:val="690625DC"/>
    <w:rsid w:val="6932F764"/>
    <w:rsid w:val="693BCEFB"/>
    <w:rsid w:val="697FD463"/>
    <w:rsid w:val="69B1C5F6"/>
    <w:rsid w:val="69BA1555"/>
    <w:rsid w:val="69ED6E56"/>
    <w:rsid w:val="69F37D2E"/>
    <w:rsid w:val="69FC918F"/>
    <w:rsid w:val="69FEF18A"/>
    <w:rsid w:val="6A0E54CD"/>
    <w:rsid w:val="6A0F1F16"/>
    <w:rsid w:val="6A3021F0"/>
    <w:rsid w:val="6A3B003C"/>
    <w:rsid w:val="6A416DF3"/>
    <w:rsid w:val="6A76452B"/>
    <w:rsid w:val="6AA031AD"/>
    <w:rsid w:val="6AD26FE4"/>
    <w:rsid w:val="6AECCDFE"/>
    <w:rsid w:val="6AFA8FDC"/>
    <w:rsid w:val="6B05F19A"/>
    <w:rsid w:val="6B424FCD"/>
    <w:rsid w:val="6B51DE84"/>
    <w:rsid w:val="6B65ED0E"/>
    <w:rsid w:val="6B821FDA"/>
    <w:rsid w:val="6B848084"/>
    <w:rsid w:val="6B8842DB"/>
    <w:rsid w:val="6B8C5B34"/>
    <w:rsid w:val="6BCE8D92"/>
    <w:rsid w:val="6BFA1F62"/>
    <w:rsid w:val="6C0D312E"/>
    <w:rsid w:val="6C29AC9A"/>
    <w:rsid w:val="6C45A80B"/>
    <w:rsid w:val="6C755C76"/>
    <w:rsid w:val="6CBA586F"/>
    <w:rsid w:val="6CC4CE91"/>
    <w:rsid w:val="6CC555FD"/>
    <w:rsid w:val="6CE23887"/>
    <w:rsid w:val="6D1E0868"/>
    <w:rsid w:val="6D23171D"/>
    <w:rsid w:val="6D3FE8D4"/>
    <w:rsid w:val="6D47BE0F"/>
    <w:rsid w:val="6D5B80A8"/>
    <w:rsid w:val="6D8235AA"/>
    <w:rsid w:val="6D89AE7D"/>
    <w:rsid w:val="6DF41072"/>
    <w:rsid w:val="6DFD7EE2"/>
    <w:rsid w:val="6E43BEAD"/>
    <w:rsid w:val="6E57FC25"/>
    <w:rsid w:val="6E87019E"/>
    <w:rsid w:val="6E9F86F0"/>
    <w:rsid w:val="6EAD735B"/>
    <w:rsid w:val="6EC71C90"/>
    <w:rsid w:val="6ED262AD"/>
    <w:rsid w:val="6F792A52"/>
    <w:rsid w:val="6FA3A40E"/>
    <w:rsid w:val="6FA5ACD3"/>
    <w:rsid w:val="6FBEA25F"/>
    <w:rsid w:val="6FE079D7"/>
    <w:rsid w:val="70075436"/>
    <w:rsid w:val="7023BF0D"/>
    <w:rsid w:val="70375130"/>
    <w:rsid w:val="704682B1"/>
    <w:rsid w:val="70481B47"/>
    <w:rsid w:val="706302AF"/>
    <w:rsid w:val="70938C06"/>
    <w:rsid w:val="70C70F58"/>
    <w:rsid w:val="70E17990"/>
    <w:rsid w:val="70FE26D2"/>
    <w:rsid w:val="713B41C3"/>
    <w:rsid w:val="71559738"/>
    <w:rsid w:val="71C17E90"/>
    <w:rsid w:val="71D706EF"/>
    <w:rsid w:val="71E0E556"/>
    <w:rsid w:val="721B00C4"/>
    <w:rsid w:val="722148BE"/>
    <w:rsid w:val="7248FB60"/>
    <w:rsid w:val="725B4C42"/>
    <w:rsid w:val="7276C230"/>
    <w:rsid w:val="72A34916"/>
    <w:rsid w:val="72A92F34"/>
    <w:rsid w:val="72A97034"/>
    <w:rsid w:val="72E29D54"/>
    <w:rsid w:val="72E55722"/>
    <w:rsid w:val="731FB4CE"/>
    <w:rsid w:val="7325575F"/>
    <w:rsid w:val="7327AD86"/>
    <w:rsid w:val="7345DBAD"/>
    <w:rsid w:val="7374852F"/>
    <w:rsid w:val="73AF42C6"/>
    <w:rsid w:val="73D6D204"/>
    <w:rsid w:val="741E3EBD"/>
    <w:rsid w:val="74573807"/>
    <w:rsid w:val="745D6987"/>
    <w:rsid w:val="7472B4B3"/>
    <w:rsid w:val="7488D5C3"/>
    <w:rsid w:val="74CE642A"/>
    <w:rsid w:val="74D5BA38"/>
    <w:rsid w:val="74E7997D"/>
    <w:rsid w:val="74F080AB"/>
    <w:rsid w:val="750418FD"/>
    <w:rsid w:val="75126A74"/>
    <w:rsid w:val="75129C4A"/>
    <w:rsid w:val="751A6CCE"/>
    <w:rsid w:val="7524C8A8"/>
    <w:rsid w:val="7549A6CE"/>
    <w:rsid w:val="754D6A30"/>
    <w:rsid w:val="75726F94"/>
    <w:rsid w:val="75878613"/>
    <w:rsid w:val="758DAD31"/>
    <w:rsid w:val="75912A38"/>
    <w:rsid w:val="759A71AD"/>
    <w:rsid w:val="75B5A70B"/>
    <w:rsid w:val="75E975F7"/>
    <w:rsid w:val="75EC40FF"/>
    <w:rsid w:val="75EC83BD"/>
    <w:rsid w:val="761999C8"/>
    <w:rsid w:val="76280B9D"/>
    <w:rsid w:val="765722BF"/>
    <w:rsid w:val="76598202"/>
    <w:rsid w:val="7672CA83"/>
    <w:rsid w:val="7676BBFA"/>
    <w:rsid w:val="7679127D"/>
    <w:rsid w:val="7696C56F"/>
    <w:rsid w:val="769A000E"/>
    <w:rsid w:val="76A7C4DF"/>
    <w:rsid w:val="76C44C35"/>
    <w:rsid w:val="76C635BE"/>
    <w:rsid w:val="76EDA21E"/>
    <w:rsid w:val="76EF34D3"/>
    <w:rsid w:val="76F397E7"/>
    <w:rsid w:val="77010DDC"/>
    <w:rsid w:val="770A9535"/>
    <w:rsid w:val="770B4DF6"/>
    <w:rsid w:val="7722E653"/>
    <w:rsid w:val="7741787B"/>
    <w:rsid w:val="77648AA0"/>
    <w:rsid w:val="77765579"/>
    <w:rsid w:val="7784D95C"/>
    <w:rsid w:val="77F25BA8"/>
    <w:rsid w:val="78261097"/>
    <w:rsid w:val="7836C1F6"/>
    <w:rsid w:val="78415462"/>
    <w:rsid w:val="784F5D73"/>
    <w:rsid w:val="7867D8B3"/>
    <w:rsid w:val="78793137"/>
    <w:rsid w:val="787DAA23"/>
    <w:rsid w:val="788A6DBC"/>
    <w:rsid w:val="789BCAD7"/>
    <w:rsid w:val="78AE3AC5"/>
    <w:rsid w:val="78AEA9D2"/>
    <w:rsid w:val="78CE6FE9"/>
    <w:rsid w:val="78D951CC"/>
    <w:rsid w:val="78DE9618"/>
    <w:rsid w:val="790A067E"/>
    <w:rsid w:val="790E1E27"/>
    <w:rsid w:val="7937FCA1"/>
    <w:rsid w:val="79426FC6"/>
    <w:rsid w:val="7946EB20"/>
    <w:rsid w:val="796E2A17"/>
    <w:rsid w:val="797A9A6E"/>
    <w:rsid w:val="79B36818"/>
    <w:rsid w:val="79BD54F6"/>
    <w:rsid w:val="79BFA22B"/>
    <w:rsid w:val="79C56065"/>
    <w:rsid w:val="79D080F1"/>
    <w:rsid w:val="79E393E2"/>
    <w:rsid w:val="79F0C7D2"/>
    <w:rsid w:val="7A6FE1A2"/>
    <w:rsid w:val="7A86542D"/>
    <w:rsid w:val="7A9E6109"/>
    <w:rsid w:val="7AA71162"/>
    <w:rsid w:val="7AB96B1D"/>
    <w:rsid w:val="7B3CBB84"/>
    <w:rsid w:val="7B6371C4"/>
    <w:rsid w:val="7B65DDD3"/>
    <w:rsid w:val="7B8142C0"/>
    <w:rsid w:val="7B9E4EBB"/>
    <w:rsid w:val="7B9EE538"/>
    <w:rsid w:val="7BA42821"/>
    <w:rsid w:val="7BFD2706"/>
    <w:rsid w:val="7C047699"/>
    <w:rsid w:val="7C23341C"/>
    <w:rsid w:val="7C9AA8DF"/>
    <w:rsid w:val="7CBC8FEE"/>
    <w:rsid w:val="7CCD6C99"/>
    <w:rsid w:val="7D07E0CC"/>
    <w:rsid w:val="7D412B8F"/>
    <w:rsid w:val="7D8C4A02"/>
    <w:rsid w:val="7DA7EF45"/>
    <w:rsid w:val="7DAEFE74"/>
    <w:rsid w:val="7DB7E140"/>
    <w:rsid w:val="7DD5B96E"/>
    <w:rsid w:val="7DE50ABC"/>
    <w:rsid w:val="7DEACD33"/>
    <w:rsid w:val="7DEBFB84"/>
    <w:rsid w:val="7DFD2BC3"/>
    <w:rsid w:val="7E227B9F"/>
    <w:rsid w:val="7E34570A"/>
    <w:rsid w:val="7E3602CE"/>
    <w:rsid w:val="7E665BCB"/>
    <w:rsid w:val="7E8452A1"/>
    <w:rsid w:val="7E846558"/>
    <w:rsid w:val="7ECF7BA2"/>
    <w:rsid w:val="7ED141F1"/>
    <w:rsid w:val="7EDB8FB0"/>
    <w:rsid w:val="7EDF3CCE"/>
    <w:rsid w:val="7EF688F4"/>
    <w:rsid w:val="7EFC147D"/>
    <w:rsid w:val="7F2DD75C"/>
    <w:rsid w:val="7F391689"/>
    <w:rsid w:val="7F53AB26"/>
    <w:rsid w:val="7FAD4183"/>
    <w:rsid w:val="7FB2B0EC"/>
    <w:rsid w:val="7FB2E6F8"/>
    <w:rsid w:val="7FB62B28"/>
    <w:rsid w:val="7FF088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lsdException w:name="heading 8" w:semiHidden="1" w:uiPriority="19" w:unhideWhenUsed="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8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D0E"/>
    <w:pPr>
      <w:spacing w:after="120"/>
    </w:pPr>
    <w:rPr>
      <w:rFonts w:ascii="Segoe UI" w:eastAsiaTheme="minorHAnsi" w:hAnsi="Segoe UI"/>
      <w:sz w:val="19"/>
      <w:lang w:val="en-AU"/>
    </w:rPr>
  </w:style>
  <w:style w:type="paragraph" w:styleId="Heading1">
    <w:name w:val="heading 1"/>
    <w:basedOn w:val="Normal"/>
    <w:next w:val="Normal"/>
    <w:link w:val="Heading1Char"/>
    <w:uiPriority w:val="19"/>
    <w:qFormat/>
    <w:rsid w:val="000F282D"/>
    <w:pPr>
      <w:keepNext/>
      <w:pageBreakBefore/>
      <w:numPr>
        <w:numId w:val="4"/>
      </w:numPr>
      <w:spacing w:after="600" w:line="240" w:lineRule="auto"/>
      <w:outlineLvl w:val="0"/>
    </w:pPr>
    <w:rPr>
      <w:rFonts w:eastAsia="Times New Roman" w:cs="Times New Roman"/>
      <w:b/>
      <w:color w:val="00264D"/>
      <w:sz w:val="36"/>
      <w:szCs w:val="19"/>
      <w:lang w:eastAsia="en-AU"/>
    </w:rPr>
  </w:style>
  <w:style w:type="paragraph" w:styleId="Heading2">
    <w:name w:val="heading 2"/>
    <w:basedOn w:val="Normal"/>
    <w:next w:val="Normal"/>
    <w:link w:val="Heading2Char"/>
    <w:uiPriority w:val="19"/>
    <w:qFormat/>
    <w:rsid w:val="000F282D"/>
    <w:pPr>
      <w:keepNext/>
      <w:numPr>
        <w:ilvl w:val="1"/>
        <w:numId w:val="4"/>
      </w:numPr>
      <w:spacing w:before="480" w:after="180" w:line="380" w:lineRule="exact"/>
      <w:outlineLvl w:val="1"/>
    </w:pPr>
    <w:rPr>
      <w:rFonts w:ascii="Segoe UI Semibold" w:eastAsia="Times New Roman" w:hAnsi="Segoe UI Semibold" w:cs="Times New Roman"/>
      <w:color w:val="00264D"/>
      <w:sz w:val="30"/>
      <w:szCs w:val="19"/>
      <w:lang w:eastAsia="en-AU"/>
    </w:rPr>
  </w:style>
  <w:style w:type="paragraph" w:styleId="Heading3">
    <w:name w:val="heading 3"/>
    <w:basedOn w:val="Normal"/>
    <w:next w:val="Normal"/>
    <w:link w:val="Heading3Char"/>
    <w:uiPriority w:val="19"/>
    <w:qFormat/>
    <w:rsid w:val="00BA3DB6"/>
    <w:pPr>
      <w:keepNext/>
      <w:numPr>
        <w:ilvl w:val="2"/>
        <w:numId w:val="4"/>
      </w:numPr>
      <w:spacing w:before="480" w:after="60"/>
      <w:outlineLvl w:val="2"/>
    </w:pPr>
    <w:rPr>
      <w:rFonts w:ascii="Segoe UI Semibold" w:eastAsia="Times New Roman" w:hAnsi="Segoe UI Semibold" w:cs="Times New Roman"/>
      <w:color w:val="00264D"/>
      <w:sz w:val="26"/>
      <w:szCs w:val="19"/>
      <w:lang w:eastAsia="en-AU"/>
    </w:rPr>
  </w:style>
  <w:style w:type="paragraph" w:styleId="Heading4">
    <w:name w:val="heading 4"/>
    <w:basedOn w:val="Normal"/>
    <w:next w:val="Normal"/>
    <w:link w:val="Heading4Char"/>
    <w:uiPriority w:val="19"/>
    <w:qFormat/>
    <w:rsid w:val="000F282D"/>
    <w:pPr>
      <w:keepNext/>
      <w:spacing w:before="240" w:after="60"/>
      <w:outlineLvl w:val="3"/>
    </w:pPr>
    <w:rPr>
      <w:rFonts w:ascii="Segoe UI Semibold" w:eastAsia="Times New Roman" w:hAnsi="Segoe UI Semibold" w:cs="Times New Roman"/>
      <w:color w:val="00264D" w:themeColor="background2"/>
      <w:sz w:val="22"/>
      <w:szCs w:val="19"/>
      <w:lang w:eastAsia="en-AU"/>
    </w:rPr>
  </w:style>
  <w:style w:type="paragraph" w:styleId="Heading5">
    <w:name w:val="heading 5"/>
    <w:basedOn w:val="Normal"/>
    <w:next w:val="Normal"/>
    <w:link w:val="Heading5Char"/>
    <w:uiPriority w:val="19"/>
    <w:qFormat/>
    <w:rsid w:val="000F282D"/>
    <w:pPr>
      <w:keepNext/>
      <w:numPr>
        <w:ilvl w:val="4"/>
        <w:numId w:val="4"/>
      </w:numPr>
      <w:spacing w:before="240"/>
      <w:outlineLvl w:val="4"/>
    </w:pPr>
    <w:rPr>
      <w:rFonts w:eastAsia="Times New Roman" w:cs="Times New Roman"/>
      <w:b/>
      <w:color w:val="000000" w:themeColor="text1"/>
      <w:sz w:val="20"/>
      <w:szCs w:val="24"/>
      <w:lang w:eastAsia="en-AU"/>
    </w:rPr>
  </w:style>
  <w:style w:type="paragraph" w:styleId="Heading6">
    <w:name w:val="heading 6"/>
    <w:basedOn w:val="Normal"/>
    <w:next w:val="Normal"/>
    <w:link w:val="Heading6Char"/>
    <w:uiPriority w:val="19"/>
    <w:qFormat/>
    <w:rsid w:val="00C76E88"/>
    <w:pPr>
      <w:keepNext/>
      <w:keepLines/>
      <w:numPr>
        <w:ilvl w:val="5"/>
        <w:numId w:val="4"/>
      </w:numPr>
      <w:spacing w:before="200" w:after="60"/>
      <w:outlineLvl w:val="5"/>
    </w:pPr>
    <w:rPr>
      <w:rFonts w:eastAsiaTheme="majorEastAsia" w:cstheme="majorBidi"/>
      <w:b/>
      <w:i/>
      <w:iCs/>
      <w:color w:val="B2B2A2" w:themeColor="accent5" w:themeShade="BF"/>
      <w:szCs w:val="19"/>
      <w:lang w:eastAsia="en-AU"/>
    </w:rPr>
  </w:style>
  <w:style w:type="paragraph" w:styleId="Heading7">
    <w:name w:val="heading 7"/>
    <w:basedOn w:val="Normal"/>
    <w:next w:val="Normal"/>
    <w:link w:val="Heading7Char"/>
    <w:uiPriority w:val="19"/>
    <w:semiHidden/>
    <w:rsid w:val="000137FA"/>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19"/>
    <w:semiHidden/>
    <w:rsid w:val="000137FA"/>
    <w:pPr>
      <w:keepNext/>
      <w:keepLines/>
      <w:spacing w:before="200" w:after="0"/>
      <w:outlineLvl w:val="7"/>
    </w:pPr>
    <w:rPr>
      <w:rFonts w:eastAsiaTheme="majorEastAsia"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usTable">
    <w:name w:val="Nous Table"/>
    <w:basedOn w:val="TableNormal"/>
    <w:uiPriority w:val="99"/>
    <w:rsid w:val="00653916"/>
    <w:pPr>
      <w:spacing w:after="0" w:line="240" w:lineRule="auto"/>
    </w:pPr>
    <w:rPr>
      <w:rFonts w:eastAsia="Times New Roman"/>
      <w:lang w:val="en-AU" w:eastAsia="en-AU"/>
    </w:rPr>
    <w:tblPr>
      <w:tblStyleRowBandSize w:val="1"/>
      <w:jc w:val="center"/>
      <w:tblBorders>
        <w:insideH w:val="single" w:sz="4" w:space="0" w:color="FF888B" w:themeColor="accent1" w:themeTint="99"/>
        <w:insideV w:val="single" w:sz="4" w:space="0" w:color="FF888B" w:themeColor="accent1" w:themeTint="99"/>
      </w:tblBorders>
    </w:tblPr>
    <w:trPr>
      <w:cantSplit/>
      <w:jc w:val="center"/>
    </w:trPr>
    <w:tcPr>
      <w:tcMar>
        <w:top w:w="57" w:type="dxa"/>
        <w:left w:w="57" w:type="dxa"/>
        <w:bottom w:w="57" w:type="dxa"/>
        <w:right w:w="57" w:type="dxa"/>
      </w:tcMar>
      <w:vAlign w:val="center"/>
    </w:tcPr>
    <w:tblStylePr w:type="firstRow">
      <w:pPr>
        <w:keepNext/>
        <w:wordWrap/>
      </w:pPr>
      <w:rPr>
        <w:b w:val="0"/>
        <w:color w:val="FFFFFF" w:themeColor="background1"/>
      </w:rPr>
      <w:tblPr/>
      <w:trPr>
        <w:tblHeader/>
      </w:trPr>
      <w:tcPr>
        <w:shd w:val="clear" w:color="auto" w:fill="FF3A40" w:themeFill="accent1"/>
      </w:tcPr>
    </w:tblStylePr>
    <w:tblStylePr w:type="lastRow">
      <w:tblPr/>
      <w:tcPr>
        <w:tcBorders>
          <w:top w:val="double" w:sz="4" w:space="0" w:color="FF3A40" w:themeColor="accent1"/>
        </w:tcBorders>
      </w:tcPr>
    </w:tblStylePr>
    <w:tblStylePr w:type="firstCol">
      <w:rPr>
        <w:b w:val="0"/>
        <w:color w:val="FFFFFF" w:themeColor="background1"/>
      </w:rPr>
      <w:tblPr/>
      <w:tcPr>
        <w:shd w:val="clear" w:color="auto" w:fill="FF3A40" w:themeFill="accent1"/>
      </w:tcPr>
    </w:tblStylePr>
    <w:tblStylePr w:type="lastCol">
      <w:tblPr/>
      <w:tcPr>
        <w:tcBorders>
          <w:left w:val="double" w:sz="4" w:space="0" w:color="FF3A40" w:themeColor="accent1"/>
        </w:tcBorders>
      </w:tcPr>
    </w:tblStylePr>
  </w:style>
  <w:style w:type="character" w:customStyle="1" w:styleId="Heading1Char">
    <w:name w:val="Heading 1 Char"/>
    <w:basedOn w:val="DefaultParagraphFont"/>
    <w:link w:val="Heading1"/>
    <w:uiPriority w:val="19"/>
    <w:rsid w:val="00365464"/>
    <w:rPr>
      <w:rFonts w:ascii="Segoe UI" w:eastAsia="Times New Roman" w:hAnsi="Segoe UI" w:cs="Times New Roman"/>
      <w:b/>
      <w:color w:val="00264D"/>
      <w:sz w:val="36"/>
      <w:szCs w:val="19"/>
      <w:lang w:val="en-AU" w:eastAsia="en-AU"/>
    </w:rPr>
  </w:style>
  <w:style w:type="character" w:customStyle="1" w:styleId="Heading2Char">
    <w:name w:val="Heading 2 Char"/>
    <w:basedOn w:val="DefaultParagraphFont"/>
    <w:link w:val="Heading2"/>
    <w:uiPriority w:val="19"/>
    <w:rsid w:val="008C19F4"/>
    <w:rPr>
      <w:rFonts w:ascii="Segoe UI Semibold" w:eastAsia="Times New Roman" w:hAnsi="Segoe UI Semibold" w:cs="Times New Roman"/>
      <w:color w:val="00264D"/>
      <w:sz w:val="30"/>
      <w:szCs w:val="19"/>
      <w:lang w:val="en-AU" w:eastAsia="en-AU"/>
    </w:rPr>
  </w:style>
  <w:style w:type="character" w:customStyle="1" w:styleId="Heading3Char">
    <w:name w:val="Heading 3 Char"/>
    <w:basedOn w:val="DefaultParagraphFont"/>
    <w:link w:val="Heading3"/>
    <w:uiPriority w:val="19"/>
    <w:rsid w:val="008C19F4"/>
    <w:rPr>
      <w:rFonts w:ascii="Segoe UI Semibold" w:eastAsia="Times New Roman" w:hAnsi="Segoe UI Semibold" w:cs="Times New Roman"/>
      <w:color w:val="00264D"/>
      <w:sz w:val="26"/>
      <w:szCs w:val="19"/>
      <w:lang w:val="en-AU" w:eastAsia="en-AU"/>
    </w:rPr>
  </w:style>
  <w:style w:type="character" w:customStyle="1" w:styleId="Heading4Char">
    <w:name w:val="Heading 4 Char"/>
    <w:basedOn w:val="DefaultParagraphFont"/>
    <w:link w:val="Heading4"/>
    <w:uiPriority w:val="19"/>
    <w:rsid w:val="008C19F4"/>
    <w:rPr>
      <w:rFonts w:ascii="Segoe UI Semibold" w:eastAsia="Times New Roman" w:hAnsi="Segoe UI Semibold" w:cs="Times New Roman"/>
      <w:color w:val="00264D" w:themeColor="background2"/>
      <w:szCs w:val="19"/>
      <w:lang w:val="en-AU" w:eastAsia="en-AU"/>
    </w:rPr>
  </w:style>
  <w:style w:type="character" w:customStyle="1" w:styleId="Heading5Char">
    <w:name w:val="Heading 5 Char"/>
    <w:basedOn w:val="DefaultParagraphFont"/>
    <w:link w:val="Heading5"/>
    <w:uiPriority w:val="19"/>
    <w:rsid w:val="008C19F4"/>
    <w:rPr>
      <w:rFonts w:ascii="Segoe UI" w:eastAsia="Times New Roman" w:hAnsi="Segoe UI" w:cs="Times New Roman"/>
      <w:b/>
      <w:color w:val="000000" w:themeColor="text1"/>
      <w:sz w:val="20"/>
      <w:szCs w:val="24"/>
      <w:lang w:val="en-AU" w:eastAsia="en-AU"/>
    </w:rPr>
  </w:style>
  <w:style w:type="character" w:customStyle="1" w:styleId="Heading6Char">
    <w:name w:val="Heading 6 Char"/>
    <w:basedOn w:val="DefaultParagraphFont"/>
    <w:link w:val="Heading6"/>
    <w:uiPriority w:val="19"/>
    <w:rsid w:val="00C76E88"/>
    <w:rPr>
      <w:rFonts w:ascii="Segoe UI" w:eastAsiaTheme="majorEastAsia" w:hAnsi="Segoe UI" w:cstheme="majorBidi"/>
      <w:b/>
      <w:i/>
      <w:iCs/>
      <w:color w:val="B2B2A2" w:themeColor="accent5" w:themeShade="BF"/>
      <w:sz w:val="19"/>
      <w:szCs w:val="19"/>
      <w:lang w:val="en-AU" w:eastAsia="en-AU"/>
    </w:rPr>
  </w:style>
  <w:style w:type="paragraph" w:customStyle="1" w:styleId="Bullet">
    <w:name w:val="Bullet"/>
    <w:basedOn w:val="Normal"/>
    <w:link w:val="BulletChar"/>
    <w:uiPriority w:val="2"/>
    <w:qFormat/>
    <w:rsid w:val="000F282D"/>
    <w:pPr>
      <w:suppressAutoHyphens/>
      <w:ind w:left="227" w:hanging="227"/>
    </w:pPr>
    <w:rPr>
      <w:rFonts w:eastAsia="Times New Roman" w:cs="Times New Roman"/>
      <w:szCs w:val="19"/>
      <w:lang w:eastAsia="en-AU"/>
    </w:rPr>
  </w:style>
  <w:style w:type="paragraph" w:customStyle="1" w:styleId="TableNheader">
    <w:name w:val="Table N header"/>
    <w:basedOn w:val="Normal"/>
    <w:uiPriority w:val="2"/>
    <w:qFormat/>
    <w:rsid w:val="000F282D"/>
    <w:pPr>
      <w:spacing w:before="40" w:after="40" w:line="240" w:lineRule="auto"/>
    </w:pPr>
    <w:rPr>
      <w:rFonts w:ascii="Segoe UI Semibold" w:hAnsi="Segoe UI Semibold"/>
      <w:color w:val="00264D" w:themeColor="background2"/>
      <w:sz w:val="18"/>
    </w:rPr>
  </w:style>
  <w:style w:type="paragraph" w:customStyle="1" w:styleId="TableNText">
    <w:name w:val="Table N Text"/>
    <w:basedOn w:val="Normal"/>
    <w:link w:val="TableNTextChar"/>
    <w:uiPriority w:val="2"/>
    <w:qFormat/>
    <w:rsid w:val="000F282D"/>
    <w:pPr>
      <w:spacing w:before="60" w:after="60"/>
    </w:pPr>
    <w:rPr>
      <w:sz w:val="17"/>
    </w:rPr>
  </w:style>
  <w:style w:type="table" w:customStyle="1" w:styleId="NousTableStyletopandsideheading">
    <w:name w:val="Nous Table Style top and side heading"/>
    <w:basedOn w:val="TableNormal"/>
    <w:uiPriority w:val="99"/>
    <w:rsid w:val="00E234F6"/>
    <w:pPr>
      <w:spacing w:after="0" w:line="240" w:lineRule="auto"/>
    </w:pPr>
    <w:tblPr>
      <w:tblBorders>
        <w:insideH w:val="single" w:sz="8" w:space="0" w:color="F9F9F9"/>
      </w:tblBorders>
      <w:tblCellMar>
        <w:top w:w="57" w:type="dxa"/>
        <w:left w:w="85" w:type="dxa"/>
        <w:bottom w:w="57" w:type="dxa"/>
        <w:right w:w="85" w:type="dxa"/>
      </w:tblCellMar>
    </w:tblPr>
    <w:tblStylePr w:type="firstRow">
      <w:pPr>
        <w:jc w:val="left"/>
      </w:pPr>
      <w:rPr>
        <w:rFonts w:ascii="@MS UI Gothic" w:hAnsi="@MS UI Gothic"/>
        <w:b/>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tcPr>
    </w:tblStylePr>
    <w:tblStylePr w:type="firstCol">
      <w:pPr>
        <w:jc w:val="center"/>
      </w:pPr>
      <w:rPr>
        <w:rFonts w:ascii="@MS UI Gothic" w:hAnsi="@MS UI Gothic"/>
        <w:b/>
        <w:color w:val="00264D" w:themeColor="background2"/>
        <w:sz w:val="18"/>
      </w:rPr>
      <w:tblPr/>
      <w:tcPr>
        <w:tcBorders>
          <w:left w:val="nil"/>
        </w:tcBorders>
        <w:shd w:val="clear" w:color="auto" w:fill="E6E6E1" w:themeFill="accent5"/>
      </w:tcPr>
    </w:tblStylePr>
  </w:style>
  <w:style w:type="paragraph" w:styleId="Footer">
    <w:name w:val="footer"/>
    <w:aliases w:val="Foot note"/>
    <w:basedOn w:val="Normal"/>
    <w:link w:val="FooterChar"/>
    <w:uiPriority w:val="89"/>
    <w:unhideWhenUsed/>
    <w:rsid w:val="00865A27"/>
    <w:pPr>
      <w:tabs>
        <w:tab w:val="center" w:pos="4513"/>
        <w:tab w:val="right" w:pos="9026"/>
      </w:tabs>
      <w:spacing w:after="0"/>
    </w:pPr>
    <w:rPr>
      <w:sz w:val="15"/>
    </w:rPr>
  </w:style>
  <w:style w:type="character" w:customStyle="1" w:styleId="FooterChar">
    <w:name w:val="Footer Char"/>
    <w:aliases w:val="Foot note Char"/>
    <w:basedOn w:val="DefaultParagraphFont"/>
    <w:link w:val="Footer"/>
    <w:uiPriority w:val="89"/>
    <w:rsid w:val="00865A27"/>
    <w:rPr>
      <w:rFonts w:ascii="Segoe UI" w:hAnsi="Segoe UI"/>
      <w:sz w:val="15"/>
    </w:rPr>
  </w:style>
  <w:style w:type="paragraph" w:styleId="Caption">
    <w:name w:val="caption"/>
    <w:basedOn w:val="Normal"/>
    <w:next w:val="Normal"/>
    <w:uiPriority w:val="35"/>
    <w:qFormat/>
    <w:rsid w:val="000F282D"/>
    <w:pPr>
      <w:keepNext/>
      <w:spacing w:before="240"/>
    </w:pPr>
    <w:rPr>
      <w:rFonts w:ascii="Segoe UI Semibold" w:hAnsi="Segoe UI Semibold"/>
      <w:bCs/>
      <w:color w:val="00264D" w:themeColor="background2"/>
      <w:szCs w:val="18"/>
    </w:rPr>
  </w:style>
  <w:style w:type="paragraph" w:customStyle="1" w:styleId="TableNBullet">
    <w:name w:val="Table N Bullet"/>
    <w:basedOn w:val="Bullet"/>
    <w:link w:val="TableNBulletChar"/>
    <w:uiPriority w:val="2"/>
    <w:qFormat/>
    <w:rsid w:val="000F282D"/>
    <w:pPr>
      <w:numPr>
        <w:numId w:val="5"/>
      </w:numPr>
      <w:spacing w:before="60" w:after="60"/>
    </w:pPr>
    <w:rPr>
      <w:sz w:val="17"/>
    </w:rPr>
  </w:style>
  <w:style w:type="paragraph" w:customStyle="1" w:styleId="TableNListnumbered">
    <w:name w:val="Table N List (numbered)"/>
    <w:basedOn w:val="TableNBullet"/>
    <w:uiPriority w:val="2"/>
    <w:qFormat/>
    <w:rsid w:val="00865A27"/>
    <w:pPr>
      <w:numPr>
        <w:numId w:val="0"/>
      </w:numPr>
      <w:ind w:left="720" w:hanging="360"/>
    </w:pPr>
  </w:style>
  <w:style w:type="paragraph" w:customStyle="1" w:styleId="xAppendixLevel1">
    <w:name w:val="xAppendix Level 1"/>
    <w:basedOn w:val="Heading1"/>
    <w:next w:val="Normal"/>
    <w:uiPriority w:val="98"/>
    <w:qFormat/>
    <w:rsid w:val="000F282D"/>
    <w:pPr>
      <w:numPr>
        <w:numId w:val="1"/>
      </w:numPr>
    </w:pPr>
    <w:rPr>
      <w:bCs/>
    </w:rPr>
  </w:style>
  <w:style w:type="paragraph" w:customStyle="1" w:styleId="xAppendixLevel2">
    <w:name w:val="xAppendix Level 2"/>
    <w:basedOn w:val="Heading2"/>
    <w:next w:val="Normal"/>
    <w:uiPriority w:val="98"/>
    <w:qFormat/>
    <w:rsid w:val="000F282D"/>
    <w:pPr>
      <w:numPr>
        <w:numId w:val="1"/>
      </w:numPr>
    </w:pPr>
    <w:rPr>
      <w:bCs/>
      <w:sz w:val="34"/>
    </w:rPr>
  </w:style>
  <w:style w:type="paragraph" w:customStyle="1" w:styleId="xAppendixLevel3">
    <w:name w:val="xAppendix Level 3"/>
    <w:basedOn w:val="Heading3"/>
    <w:next w:val="Normal"/>
    <w:uiPriority w:val="98"/>
    <w:qFormat/>
    <w:rsid w:val="000F282D"/>
    <w:pPr>
      <w:numPr>
        <w:numId w:val="1"/>
      </w:numPr>
    </w:pPr>
    <w:rPr>
      <w:bCs/>
    </w:rPr>
  </w:style>
  <w:style w:type="paragraph" w:customStyle="1" w:styleId="Listnumbered">
    <w:name w:val="List (numbered)"/>
    <w:basedOn w:val="Normal"/>
    <w:uiPriority w:val="1"/>
    <w:qFormat/>
    <w:rsid w:val="00294C7F"/>
  </w:style>
  <w:style w:type="paragraph" w:customStyle="1" w:styleId="Source">
    <w:name w:val="Source"/>
    <w:basedOn w:val="Normal"/>
    <w:next w:val="Normal"/>
    <w:link w:val="SourceChar"/>
    <w:uiPriority w:val="39"/>
    <w:rsid w:val="000F282D"/>
    <w:pPr>
      <w:spacing w:before="120" w:after="240"/>
    </w:pPr>
    <w:rPr>
      <w:rFonts w:eastAsia="Times New Roman" w:cs="Times New Roman"/>
      <w:i/>
      <w:sz w:val="17"/>
      <w:szCs w:val="19"/>
      <w:lang w:eastAsia="en-AU"/>
    </w:rPr>
  </w:style>
  <w:style w:type="character" w:customStyle="1" w:styleId="SourceChar">
    <w:name w:val="Source Char"/>
    <w:basedOn w:val="DefaultParagraphFont"/>
    <w:link w:val="Source"/>
    <w:uiPriority w:val="39"/>
    <w:rsid w:val="0020000D"/>
    <w:rPr>
      <w:rFonts w:ascii="Segoe UI" w:eastAsia="Times New Roman" w:hAnsi="Segoe UI" w:cs="Times New Roman"/>
      <w:i/>
      <w:sz w:val="17"/>
      <w:szCs w:val="19"/>
      <w:lang w:val="en-AU" w:eastAsia="en-AU"/>
    </w:rPr>
  </w:style>
  <w:style w:type="paragraph" w:customStyle="1" w:styleId="TableExpBullet">
    <w:name w:val="Table Exp Bullet"/>
    <w:basedOn w:val="TableNBullet"/>
    <w:uiPriority w:val="3"/>
    <w:qFormat/>
    <w:rsid w:val="00865A27"/>
  </w:style>
  <w:style w:type="paragraph" w:customStyle="1" w:styleId="Tableexpheader">
    <w:name w:val="Table exp header"/>
    <w:basedOn w:val="Normal"/>
    <w:uiPriority w:val="3"/>
    <w:qFormat/>
    <w:rsid w:val="000F282D"/>
    <w:pPr>
      <w:spacing w:before="40" w:after="40" w:line="240" w:lineRule="auto"/>
    </w:pPr>
    <w:rPr>
      <w:rFonts w:ascii="Segoe UI Semibold" w:hAnsi="Segoe UI Semibold"/>
      <w:sz w:val="17"/>
    </w:rPr>
  </w:style>
  <w:style w:type="paragraph" w:customStyle="1" w:styleId="TableexpListnumbered">
    <w:name w:val="Table exp List (numbered)"/>
    <w:basedOn w:val="TableNListnumbered"/>
    <w:uiPriority w:val="3"/>
    <w:qFormat/>
    <w:rsid w:val="0029320C"/>
    <w:pPr>
      <w:ind w:left="227" w:hanging="227"/>
    </w:pPr>
    <w:rPr>
      <w:sz w:val="16"/>
    </w:rPr>
  </w:style>
  <w:style w:type="paragraph" w:customStyle="1" w:styleId="TableExpText">
    <w:name w:val="Table Exp Text"/>
    <w:basedOn w:val="TableNText"/>
    <w:uiPriority w:val="3"/>
    <w:qFormat/>
    <w:rsid w:val="0029320C"/>
    <w:rPr>
      <w:sz w:val="16"/>
    </w:rPr>
  </w:style>
  <w:style w:type="character" w:customStyle="1" w:styleId="Heading7Char">
    <w:name w:val="Heading 7 Char"/>
    <w:basedOn w:val="DefaultParagraphFont"/>
    <w:link w:val="Heading7"/>
    <w:uiPriority w:val="19"/>
    <w:semiHidden/>
    <w:rsid w:val="000137FA"/>
    <w:rPr>
      <w:rFonts w:ascii="Segoe UI" w:eastAsiaTheme="majorEastAsia" w:hAnsi="Segoe UI" w:cstheme="majorBidi"/>
      <w:i/>
      <w:iCs/>
      <w:color w:val="404040" w:themeColor="text1" w:themeTint="BF"/>
      <w:sz w:val="19"/>
    </w:rPr>
  </w:style>
  <w:style w:type="paragraph" w:customStyle="1" w:styleId="TableText">
    <w:name w:val="Table Text"/>
    <w:link w:val="TableTextChar"/>
    <w:uiPriority w:val="2"/>
    <w:rsid w:val="00653916"/>
    <w:pPr>
      <w:spacing w:before="40" w:after="40" w:line="240" w:lineRule="auto"/>
    </w:pPr>
    <w:rPr>
      <w:rFonts w:ascii="Segoe UI" w:eastAsia="Times New Roman" w:hAnsi="Segoe UI" w:cs="Times New Roman"/>
      <w:sz w:val="17"/>
      <w:szCs w:val="19"/>
      <w:lang w:val="en-AU" w:eastAsia="en-AU"/>
    </w:rPr>
  </w:style>
  <w:style w:type="paragraph" w:customStyle="1" w:styleId="Tablecolumnheading">
    <w:name w:val="Table column heading"/>
    <w:basedOn w:val="Normal"/>
    <w:link w:val="TablecolumnheadingChar"/>
    <w:uiPriority w:val="2"/>
    <w:rsid w:val="00653916"/>
    <w:pPr>
      <w:keepNext/>
      <w:spacing w:before="40" w:after="40"/>
    </w:pPr>
    <w:rPr>
      <w:rFonts w:ascii="Segoe UI Semibold" w:eastAsia="Times New Roman" w:hAnsi="Segoe UI Semibold" w:cs="Times New Roman"/>
      <w:color w:val="00264D"/>
      <w:sz w:val="18"/>
      <w:szCs w:val="17"/>
      <w:lang w:eastAsia="en-AU"/>
    </w:rPr>
  </w:style>
  <w:style w:type="character" w:customStyle="1" w:styleId="TableTextChar">
    <w:name w:val="Table Text Char"/>
    <w:basedOn w:val="DefaultParagraphFont"/>
    <w:link w:val="TableText"/>
    <w:uiPriority w:val="2"/>
    <w:rsid w:val="00865A27"/>
    <w:rPr>
      <w:rFonts w:ascii="Segoe UI" w:eastAsia="Times New Roman" w:hAnsi="Segoe UI" w:cs="Times New Roman"/>
      <w:sz w:val="17"/>
      <w:szCs w:val="19"/>
      <w:lang w:val="en-AU" w:eastAsia="en-AU"/>
    </w:rPr>
  </w:style>
  <w:style w:type="character" w:customStyle="1" w:styleId="TablecolumnheadingChar">
    <w:name w:val="Table column heading Char"/>
    <w:basedOn w:val="DefaultParagraphFont"/>
    <w:link w:val="Tablecolumnheading"/>
    <w:uiPriority w:val="2"/>
    <w:rsid w:val="00865A27"/>
    <w:rPr>
      <w:rFonts w:ascii="Segoe UI Semibold" w:eastAsia="Times New Roman" w:hAnsi="Segoe UI Semibold" w:cs="Times New Roman"/>
      <w:color w:val="00264D"/>
      <w:sz w:val="18"/>
      <w:szCs w:val="17"/>
      <w:lang w:val="en-AU" w:eastAsia="en-AU"/>
    </w:rPr>
  </w:style>
  <w:style w:type="table" w:customStyle="1" w:styleId="Style1">
    <w:name w:val="Style1"/>
    <w:basedOn w:val="TableNormal"/>
    <w:uiPriority w:val="99"/>
    <w:rsid w:val="00653916"/>
    <w:pPr>
      <w:spacing w:after="0" w:line="240" w:lineRule="auto"/>
    </w:pPr>
    <w:tblPr/>
    <w:tcPr>
      <w:shd w:val="clear" w:color="auto" w:fill="E6E6E1" w:themeFill="accent5"/>
    </w:tcPr>
  </w:style>
  <w:style w:type="paragraph" w:styleId="BalloonText">
    <w:name w:val="Balloon Text"/>
    <w:basedOn w:val="Normal"/>
    <w:link w:val="BalloonTextChar"/>
    <w:uiPriority w:val="99"/>
    <w:semiHidden/>
    <w:unhideWhenUsed/>
    <w:rsid w:val="00037C0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C03"/>
    <w:rPr>
      <w:rFonts w:ascii="Tahoma" w:hAnsi="Tahoma" w:cs="Tahoma"/>
      <w:sz w:val="16"/>
      <w:szCs w:val="16"/>
    </w:rPr>
  </w:style>
  <w:style w:type="paragraph" w:customStyle="1" w:styleId="URL-groupcomau">
    <w:name w:val="URL - group.com.au"/>
    <w:basedOn w:val="Normal"/>
    <w:link w:val="URL-groupcomauChar"/>
    <w:uiPriority w:val="89"/>
    <w:semiHidden/>
    <w:qFormat/>
    <w:rsid w:val="00FD4AB1"/>
    <w:pPr>
      <w:spacing w:after="0"/>
    </w:pPr>
    <w:rPr>
      <w:rFonts w:eastAsia="Times New Roman" w:cs="Times New Roman"/>
      <w:color w:val="2E368F" w:themeColor="text2"/>
      <w:spacing w:val="20"/>
      <w:sz w:val="14"/>
      <w:szCs w:val="19"/>
      <w:lang w:eastAsia="en-AU"/>
    </w:rPr>
  </w:style>
  <w:style w:type="character" w:customStyle="1" w:styleId="URL-groupcomauChar">
    <w:name w:val="URL - group.com.au Char"/>
    <w:basedOn w:val="DefaultParagraphFont"/>
    <w:link w:val="URL-groupcomau"/>
    <w:uiPriority w:val="89"/>
    <w:semiHidden/>
    <w:rsid w:val="00FD4AB1"/>
    <w:rPr>
      <w:rFonts w:ascii="Segoe UI" w:eastAsia="Times New Roman" w:hAnsi="Segoe UI" w:cs="Times New Roman"/>
      <w:color w:val="2E368F" w:themeColor="text2"/>
      <w:spacing w:val="20"/>
      <w:sz w:val="14"/>
      <w:szCs w:val="19"/>
      <w:lang w:val="en-AU" w:eastAsia="en-AU"/>
    </w:rPr>
  </w:style>
  <w:style w:type="paragraph" w:customStyle="1" w:styleId="URL-nous">
    <w:name w:val="URL - nous"/>
    <w:basedOn w:val="Normal"/>
    <w:link w:val="URL-nousChar"/>
    <w:uiPriority w:val="89"/>
    <w:semiHidden/>
    <w:qFormat/>
    <w:rsid w:val="00FD4AB1"/>
    <w:pPr>
      <w:spacing w:after="0"/>
    </w:pPr>
    <w:rPr>
      <w:rFonts w:eastAsia="Times New Roman" w:cs="Times New Roman"/>
      <w:color w:val="FF3A40" w:themeColor="accent1"/>
      <w:spacing w:val="20"/>
      <w:sz w:val="14"/>
      <w:szCs w:val="19"/>
      <w:lang w:eastAsia="en-AU"/>
    </w:rPr>
  </w:style>
  <w:style w:type="character" w:customStyle="1" w:styleId="URL-nousChar">
    <w:name w:val="URL - nous Char"/>
    <w:basedOn w:val="DefaultParagraphFont"/>
    <w:link w:val="URL-nous"/>
    <w:uiPriority w:val="89"/>
    <w:semiHidden/>
    <w:rsid w:val="00FD4AB1"/>
    <w:rPr>
      <w:rFonts w:ascii="Segoe UI" w:eastAsia="Times New Roman" w:hAnsi="Segoe UI" w:cs="Times New Roman"/>
      <w:color w:val="FF3A40" w:themeColor="accent1"/>
      <w:spacing w:val="20"/>
      <w:sz w:val="14"/>
      <w:szCs w:val="19"/>
      <w:lang w:val="en-AU" w:eastAsia="en-AU"/>
    </w:rPr>
  </w:style>
  <w:style w:type="paragraph" w:customStyle="1" w:styleId="ContentsHeading">
    <w:name w:val="Contents Heading"/>
    <w:basedOn w:val="Normal"/>
    <w:uiPriority w:val="19"/>
    <w:rsid w:val="000F282D"/>
    <w:pPr>
      <w:spacing w:before="360" w:after="600" w:line="560" w:lineRule="exact"/>
    </w:pPr>
    <w:rPr>
      <w:rFonts w:eastAsia="Times New Roman" w:cs="Segoe UI"/>
      <w:b/>
      <w:color w:val="00264D"/>
      <w:sz w:val="36"/>
      <w:szCs w:val="36"/>
      <w:lang w:eastAsia="en-AU"/>
    </w:rPr>
  </w:style>
  <w:style w:type="character" w:customStyle="1" w:styleId="BulletChar">
    <w:name w:val="Bullet Char"/>
    <w:basedOn w:val="DefaultParagraphFont"/>
    <w:link w:val="Bullet"/>
    <w:uiPriority w:val="2"/>
    <w:rsid w:val="00E20B2B"/>
    <w:rPr>
      <w:rFonts w:ascii="Segoe UI" w:eastAsia="Times New Roman" w:hAnsi="Segoe UI" w:cs="Times New Roman"/>
      <w:sz w:val="19"/>
      <w:szCs w:val="19"/>
      <w:lang w:val="en-AU" w:eastAsia="en-AU"/>
    </w:rPr>
  </w:style>
  <w:style w:type="paragraph" w:customStyle="1" w:styleId="Sectiondividerheading">
    <w:name w:val="Section divider heading"/>
    <w:basedOn w:val="Normal"/>
    <w:link w:val="SectiondividerheadingChar"/>
    <w:uiPriority w:val="99"/>
    <w:rsid w:val="00A10340"/>
    <w:pPr>
      <w:spacing w:after="0"/>
    </w:pPr>
    <w:rPr>
      <w:rFonts w:eastAsia="Source Sans Pro" w:cs="Segoe UI"/>
      <w:b/>
      <w:bCs/>
      <w:color w:val="F8981D"/>
      <w:sz w:val="56"/>
      <w:szCs w:val="56"/>
      <w:lang w:eastAsia="en-AU"/>
    </w:rPr>
  </w:style>
  <w:style w:type="character" w:customStyle="1" w:styleId="SectiondividerheadingChar">
    <w:name w:val="Section divider heading Char"/>
    <w:basedOn w:val="DefaultParagraphFont"/>
    <w:link w:val="Sectiondividerheading"/>
    <w:uiPriority w:val="99"/>
    <w:rsid w:val="00865A27"/>
    <w:rPr>
      <w:rFonts w:ascii="Segoe UI" w:eastAsia="Source Sans Pro" w:hAnsi="Segoe UI" w:cs="Segoe UI"/>
      <w:b/>
      <w:bCs/>
      <w:color w:val="F8981D"/>
      <w:sz w:val="56"/>
      <w:szCs w:val="56"/>
      <w:lang w:val="en-AU" w:eastAsia="en-AU"/>
    </w:rPr>
  </w:style>
  <w:style w:type="paragraph" w:styleId="TOC2">
    <w:name w:val="toc 2"/>
    <w:basedOn w:val="Normal"/>
    <w:next w:val="Normal"/>
    <w:autoRedefine/>
    <w:uiPriority w:val="39"/>
    <w:unhideWhenUsed/>
    <w:rsid w:val="005F7FD4"/>
    <w:pPr>
      <w:tabs>
        <w:tab w:val="left" w:pos="851"/>
        <w:tab w:val="right" w:leader="dot" w:pos="8920"/>
      </w:tabs>
      <w:spacing w:after="100" w:line="240" w:lineRule="auto"/>
      <w:ind w:left="426"/>
    </w:pPr>
    <w:rPr>
      <w:lang w:val="en-US"/>
    </w:rPr>
  </w:style>
  <w:style w:type="paragraph" w:styleId="TOC1">
    <w:name w:val="toc 1"/>
    <w:basedOn w:val="Normal"/>
    <w:next w:val="Normal"/>
    <w:autoRedefine/>
    <w:uiPriority w:val="39"/>
    <w:unhideWhenUsed/>
    <w:rsid w:val="00F520CF"/>
    <w:pPr>
      <w:tabs>
        <w:tab w:val="left" w:pos="426"/>
        <w:tab w:val="left" w:pos="1134"/>
        <w:tab w:val="right" w:leader="dot" w:pos="8920"/>
      </w:tabs>
      <w:spacing w:before="240" w:after="100" w:line="240" w:lineRule="auto"/>
    </w:pPr>
    <w:rPr>
      <w:b/>
      <w:bCs/>
      <w:noProof/>
      <w:lang w:val="en-US"/>
    </w:rPr>
  </w:style>
  <w:style w:type="character" w:styleId="Hyperlink">
    <w:name w:val="Hyperlink"/>
    <w:basedOn w:val="DefaultParagraphFont"/>
    <w:uiPriority w:val="99"/>
    <w:unhideWhenUsed/>
    <w:qFormat/>
    <w:rsid w:val="000F282D"/>
    <w:rPr>
      <w:color w:val="00264D" w:themeColor="background2"/>
      <w:u w:val="single"/>
    </w:rPr>
  </w:style>
  <w:style w:type="table" w:styleId="TableGrid">
    <w:name w:val="Table Grid"/>
    <w:aliases w:val="Table"/>
    <w:basedOn w:val="TableNormal"/>
    <w:uiPriority w:val="39"/>
    <w:rsid w:val="00547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071DFF"/>
    <w:pPr>
      <w:spacing w:after="0" w:line="240" w:lineRule="auto"/>
    </w:p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insideH w:val="single" w:sz="8" w:space="0" w:color="E6E6E1" w:themeColor="accent5"/>
        <w:insideV w:val="single" w:sz="8" w:space="0" w:color="E6E6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18" w:space="0" w:color="E6E6E1" w:themeColor="accent5"/>
          <w:right w:val="single" w:sz="8" w:space="0" w:color="E6E6E1" w:themeColor="accent5"/>
          <w:insideH w:val="nil"/>
          <w:insideV w:val="single" w:sz="8" w:space="0" w:color="E6E6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insideH w:val="nil"/>
          <w:insideV w:val="single" w:sz="8" w:space="0" w:color="E6E6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shd w:val="clear" w:color="auto" w:fill="F8F8F7" w:themeFill="accent5" w:themeFillTint="3F"/>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shd w:val="clear" w:color="auto" w:fill="F8F8F7" w:themeFill="accent5" w:themeFillTint="3F"/>
      </w:tcPr>
    </w:tblStylePr>
    <w:tblStylePr w:type="band2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insideV w:val="single" w:sz="8" w:space="0" w:color="E6E6E1" w:themeColor="accent5"/>
        </w:tcBorders>
      </w:tcPr>
    </w:tblStylePr>
  </w:style>
  <w:style w:type="table" w:styleId="LightList-Accent5">
    <w:name w:val="Light List Accent 5"/>
    <w:basedOn w:val="TableNormal"/>
    <w:uiPriority w:val="61"/>
    <w:rsid w:val="000F282D"/>
    <w:pPr>
      <w:spacing w:after="0" w:line="240" w:lineRule="auto"/>
    </w:pPr>
    <w:rPr>
      <w:rFonts w:eastAsiaTheme="minorHAnsi"/>
    </w:rPr>
    <w:tblPr>
      <w:tblStyleRowBandSize w:val="1"/>
      <w:tblStyleColBandSize w:val="1"/>
      <w:tblBorders>
        <w:top w:val="single" w:sz="8" w:space="0" w:color="E6E6E1" w:themeColor="accent5"/>
        <w:left w:val="single" w:sz="8" w:space="0" w:color="E6E6E1" w:themeColor="accent5"/>
        <w:bottom w:val="single" w:sz="8" w:space="0" w:color="E6E6E1" w:themeColor="accent5"/>
        <w:right w:val="single" w:sz="8" w:space="0" w:color="E6E6E1" w:themeColor="accent5"/>
      </w:tblBorders>
    </w:tblPr>
    <w:tblStylePr w:type="firstRow">
      <w:pPr>
        <w:spacing w:before="0" w:after="0" w:line="240" w:lineRule="auto"/>
      </w:pPr>
      <w:rPr>
        <w:b/>
        <w:bCs/>
        <w:color w:val="FFFFFF" w:themeColor="background1"/>
      </w:rPr>
      <w:tblPr/>
      <w:tcPr>
        <w:shd w:val="clear" w:color="auto" w:fill="E6E6E1" w:themeFill="accent5"/>
      </w:tcPr>
    </w:tblStylePr>
    <w:tblStylePr w:type="lastRow">
      <w:pPr>
        <w:spacing w:before="0" w:after="0" w:line="240" w:lineRule="auto"/>
      </w:pPr>
      <w:rPr>
        <w:b/>
        <w:bCs/>
      </w:rPr>
      <w:tblPr/>
      <w:tcPr>
        <w:tcBorders>
          <w:top w:val="double" w:sz="6" w:space="0" w:color="E6E6E1" w:themeColor="accent5"/>
          <w:left w:val="single" w:sz="8" w:space="0" w:color="E6E6E1" w:themeColor="accent5"/>
          <w:bottom w:val="single" w:sz="8" w:space="0" w:color="E6E6E1" w:themeColor="accent5"/>
          <w:right w:val="single" w:sz="8" w:space="0" w:color="E6E6E1" w:themeColor="accent5"/>
        </w:tcBorders>
      </w:tcPr>
    </w:tblStylePr>
    <w:tblStylePr w:type="firstCol">
      <w:rPr>
        <w:b/>
        <w:bCs/>
      </w:rPr>
    </w:tblStylePr>
    <w:tblStylePr w:type="lastCol">
      <w:rPr>
        <w:b/>
        <w:bCs/>
      </w:rPr>
    </w:tblStylePr>
    <w:tblStylePr w:type="band1Vert">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tblStylePr w:type="band1Horz">
      <w:tblPr/>
      <w:tcPr>
        <w:tcBorders>
          <w:top w:val="single" w:sz="8" w:space="0" w:color="E6E6E1" w:themeColor="accent5"/>
          <w:left w:val="single" w:sz="8" w:space="0" w:color="E6E6E1" w:themeColor="accent5"/>
          <w:bottom w:val="single" w:sz="8" w:space="0" w:color="E6E6E1" w:themeColor="accent5"/>
          <w:right w:val="single" w:sz="8" w:space="0" w:color="E6E6E1" w:themeColor="accent5"/>
        </w:tcBorders>
      </w:tcPr>
    </w:tblStylePr>
  </w:style>
  <w:style w:type="table" w:styleId="MediumShading1-Accent5">
    <w:name w:val="Medium Shading 1 Accent 5"/>
    <w:basedOn w:val="TableNormal"/>
    <w:uiPriority w:val="63"/>
    <w:rsid w:val="000F282D"/>
    <w:pPr>
      <w:spacing w:after="0" w:line="240" w:lineRule="auto"/>
    </w:pPr>
    <w:rPr>
      <w:rFonts w:eastAsiaTheme="minorHAnsi"/>
    </w:rPr>
    <w:tblPr>
      <w:tblStyleRowBandSize w:val="1"/>
      <w:tblStyleColBandSize w:val="1"/>
      <w:tbl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single" w:sz="8" w:space="0" w:color="ECECE8" w:themeColor="accent5" w:themeTint="BF"/>
      </w:tblBorders>
    </w:tblPr>
    <w:tblStylePr w:type="firstRow">
      <w:pPr>
        <w:spacing w:before="0" w:after="0" w:line="240" w:lineRule="auto"/>
      </w:pPr>
      <w:rPr>
        <w:b/>
        <w:bCs/>
        <w:color w:val="FFFFFF" w:themeColor="background1"/>
      </w:rPr>
      <w:tblPr/>
      <w:tcPr>
        <w:tcBorders>
          <w:top w:val="single" w:sz="8"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shd w:val="clear" w:color="auto" w:fill="E6E6E1" w:themeFill="accent5"/>
      </w:tcPr>
    </w:tblStylePr>
    <w:tblStylePr w:type="lastRow">
      <w:pPr>
        <w:spacing w:before="0" w:after="0" w:line="240" w:lineRule="auto"/>
      </w:pPr>
      <w:rPr>
        <w:b/>
        <w:bCs/>
      </w:rPr>
      <w:tblPr/>
      <w:tcPr>
        <w:tcBorders>
          <w:top w:val="double" w:sz="6" w:space="0" w:color="ECECE8" w:themeColor="accent5" w:themeTint="BF"/>
          <w:left w:val="single" w:sz="8" w:space="0" w:color="ECECE8" w:themeColor="accent5" w:themeTint="BF"/>
          <w:bottom w:val="single" w:sz="8" w:space="0" w:color="ECECE8" w:themeColor="accent5" w:themeTint="BF"/>
          <w:right w:val="single" w:sz="8" w:space="0" w:color="ECEC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8F7" w:themeFill="accent5" w:themeFillTint="3F"/>
      </w:tcPr>
    </w:tblStylePr>
    <w:tblStylePr w:type="band1Horz">
      <w:tblPr/>
      <w:tcPr>
        <w:tcBorders>
          <w:insideH w:val="nil"/>
          <w:insideV w:val="nil"/>
        </w:tcBorders>
        <w:shd w:val="clear" w:color="auto" w:fill="F8F8F7" w:themeFill="accent5" w:themeFillTint="3F"/>
      </w:tcPr>
    </w:tblStylePr>
    <w:tblStylePr w:type="band2Horz">
      <w:tblPr/>
      <w:tcPr>
        <w:tcBorders>
          <w:insideH w:val="nil"/>
          <w:insideV w:val="nil"/>
        </w:tcBorders>
      </w:tcPr>
    </w:tblStylePr>
  </w:style>
  <w:style w:type="character" w:customStyle="1" w:styleId="TableNBulletChar">
    <w:name w:val="Table N Bullet Char"/>
    <w:basedOn w:val="DefaultParagraphFont"/>
    <w:link w:val="TableNBullet"/>
    <w:uiPriority w:val="2"/>
    <w:rsid w:val="0073030E"/>
    <w:rPr>
      <w:rFonts w:ascii="Segoe UI" w:eastAsia="Times New Roman" w:hAnsi="Segoe UI" w:cs="Times New Roman"/>
      <w:sz w:val="17"/>
      <w:szCs w:val="19"/>
      <w:lang w:val="en-AU" w:eastAsia="en-AU"/>
    </w:rPr>
  </w:style>
  <w:style w:type="table" w:customStyle="1" w:styleId="NOUSSideHeader">
    <w:name w:val="NOUS Side Header"/>
    <w:basedOn w:val="TableNormal"/>
    <w:uiPriority w:val="99"/>
    <w:rsid w:val="008C272E"/>
    <w:pPr>
      <w:spacing w:after="0" w:line="240" w:lineRule="auto"/>
      <w:ind w:left="57"/>
    </w:pPr>
    <w:rPr>
      <w:rFonts w:ascii="Segoe UI" w:hAnsi="Segoe UI"/>
      <w:sz w:val="17"/>
    </w:rPr>
    <w:tblPr>
      <w:tblBorders>
        <w:insideH w:val="single" w:sz="8" w:space="0" w:color="E6E6E1" w:themeColor="accent5"/>
      </w:tblBorders>
      <w:tblCellMar>
        <w:top w:w="57" w:type="dxa"/>
        <w:left w:w="85" w:type="dxa"/>
        <w:bottom w:w="57" w:type="dxa"/>
        <w:right w:w="85" w:type="dxa"/>
      </w:tblCellMar>
    </w:tblPr>
    <w:tblStylePr w:type="firstCol">
      <w:pPr>
        <w:wordWrap/>
        <w:jc w:val="center"/>
      </w:pPr>
      <w:rPr>
        <w:rFonts w:ascii="@MS UI Gothic" w:hAnsi="@MS UI Gothic"/>
        <w:b/>
        <w:color w:val="00264D" w:themeColor="background2"/>
        <w:sz w:val="18"/>
      </w:rPr>
      <w:tblPr/>
      <w:tcPr>
        <w:tcBorders>
          <w:top w:val="nil"/>
          <w:left w:val="single" w:sz="24" w:space="0" w:color="F8981D" w:themeColor="accent3"/>
          <w:bottom w:val="nil"/>
          <w:right w:val="nil"/>
          <w:insideH w:val="nil"/>
          <w:insideV w:val="nil"/>
          <w:tl2br w:val="nil"/>
          <w:tr2bl w:val="nil"/>
        </w:tcBorders>
        <w:shd w:val="clear" w:color="auto" w:fill="E6E6E1" w:themeFill="accent5"/>
      </w:tcPr>
    </w:tblStylePr>
  </w:style>
  <w:style w:type="table" w:customStyle="1" w:styleId="NOUS">
    <w:name w:val="NOUS"/>
    <w:basedOn w:val="TableNormal"/>
    <w:uiPriority w:val="99"/>
    <w:rsid w:val="00A83B7C"/>
    <w:pPr>
      <w:spacing w:after="0" w:line="240" w:lineRule="auto"/>
    </w:pPr>
    <w:rPr>
      <w:rFonts w:ascii="Segoe UI" w:hAnsi="Segoe UI"/>
      <w:sz w:val="17"/>
    </w:rPr>
    <w:tblPr>
      <w:tblBorders>
        <w:bottom w:val="single" w:sz="8" w:space="0" w:color="E6E6E1" w:themeColor="accent5"/>
        <w:insideH w:val="single" w:sz="8" w:space="0" w:color="E6E6E1" w:themeColor="accent5"/>
      </w:tblBorders>
      <w:tblCellMar>
        <w:top w:w="57" w:type="dxa"/>
        <w:left w:w="85" w:type="dxa"/>
        <w:bottom w:w="57" w:type="dxa"/>
        <w:right w:w="85" w:type="dxa"/>
      </w:tblCellMar>
    </w:tblPr>
    <w:tblStylePr w:type="firstRow">
      <w:rPr>
        <w:rFonts w:ascii="@MS UI Gothic" w:hAnsi="@MS UI Gothic"/>
        <w:b/>
        <w:color w:val="00264D" w:themeColor="background2"/>
        <w:sz w:val="18"/>
      </w:rPr>
      <w:tblPr/>
      <w:trPr>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style>
  <w:style w:type="character" w:customStyle="1" w:styleId="Heading8Char">
    <w:name w:val="Heading 8 Char"/>
    <w:basedOn w:val="DefaultParagraphFont"/>
    <w:link w:val="Heading8"/>
    <w:uiPriority w:val="19"/>
    <w:semiHidden/>
    <w:rsid w:val="000137FA"/>
    <w:rPr>
      <w:rFonts w:ascii="Segoe UI" w:eastAsiaTheme="majorEastAsia" w:hAnsi="Segoe UI" w:cstheme="majorBidi"/>
      <w:color w:val="404040" w:themeColor="text1" w:themeTint="BF"/>
      <w:sz w:val="20"/>
      <w:szCs w:val="20"/>
    </w:rPr>
  </w:style>
  <w:style w:type="paragraph" w:customStyle="1" w:styleId="Covertitle">
    <w:name w:val="Cover title"/>
    <w:basedOn w:val="Normal"/>
    <w:link w:val="CovertitleChar"/>
    <w:uiPriority w:val="99"/>
    <w:semiHidden/>
    <w:rsid w:val="00865A27"/>
    <w:pPr>
      <w:suppressAutoHyphens/>
      <w:spacing w:after="0" w:line="720" w:lineRule="exact"/>
    </w:pPr>
    <w:rPr>
      <w:rFonts w:eastAsia="Times New Roman" w:cs="Times New Roman"/>
      <w:color w:val="2E368F" w:themeColor="text2"/>
      <w:sz w:val="84"/>
      <w:szCs w:val="19"/>
      <w:lang w:eastAsia="en-AU"/>
    </w:rPr>
  </w:style>
  <w:style w:type="character" w:customStyle="1" w:styleId="CovertitleChar">
    <w:name w:val="Cover title Char"/>
    <w:basedOn w:val="DefaultParagraphFont"/>
    <w:link w:val="Covertitle"/>
    <w:uiPriority w:val="99"/>
    <w:semiHidden/>
    <w:rsid w:val="00865A27"/>
    <w:rPr>
      <w:rFonts w:ascii="Segoe UI" w:eastAsia="Times New Roman" w:hAnsi="Segoe UI" w:cs="Times New Roman"/>
      <w:color w:val="2E368F" w:themeColor="text2"/>
      <w:sz w:val="84"/>
      <w:szCs w:val="19"/>
      <w:lang w:val="en-AU" w:eastAsia="en-AU"/>
    </w:rPr>
  </w:style>
  <w:style w:type="paragraph" w:customStyle="1" w:styleId="CoverPage-Client">
    <w:name w:val="Cover Page - Client"/>
    <w:basedOn w:val="Normal"/>
    <w:link w:val="CoverPage-ClientChar"/>
    <w:uiPriority w:val="99"/>
    <w:semiHidden/>
    <w:rsid w:val="00865A27"/>
    <w:pPr>
      <w:suppressAutoHyphens/>
      <w:spacing w:before="480" w:after="0" w:line="380" w:lineRule="exact"/>
    </w:pPr>
    <w:rPr>
      <w:rFonts w:eastAsia="Times New Roman" w:cs="Times New Roman"/>
      <w:color w:val="2E368F" w:themeColor="text2"/>
      <w:sz w:val="36"/>
      <w:szCs w:val="19"/>
      <w:lang w:eastAsia="en-AU"/>
    </w:rPr>
  </w:style>
  <w:style w:type="character" w:customStyle="1" w:styleId="CoverPage-ClientChar">
    <w:name w:val="Cover Page - Client Char"/>
    <w:basedOn w:val="DefaultParagraphFont"/>
    <w:link w:val="CoverPage-Client"/>
    <w:uiPriority w:val="99"/>
    <w:semiHidden/>
    <w:rsid w:val="00865A27"/>
    <w:rPr>
      <w:rFonts w:ascii="Segoe UI" w:eastAsia="Times New Roman" w:hAnsi="Segoe UI" w:cs="Times New Roman"/>
      <w:color w:val="2E368F" w:themeColor="text2"/>
      <w:sz w:val="36"/>
      <w:szCs w:val="19"/>
      <w:lang w:val="en-AU" w:eastAsia="en-AU"/>
    </w:rPr>
  </w:style>
  <w:style w:type="paragraph" w:customStyle="1" w:styleId="CoverPage-Date">
    <w:name w:val="Cover Page - Date"/>
    <w:basedOn w:val="Normal"/>
    <w:link w:val="CoverPage-DateChar"/>
    <w:uiPriority w:val="99"/>
    <w:semiHidden/>
    <w:rsid w:val="00865A27"/>
    <w:pPr>
      <w:suppressAutoHyphens/>
      <w:spacing w:before="320" w:after="0" w:line="280" w:lineRule="exact"/>
    </w:pPr>
    <w:rPr>
      <w:rFonts w:eastAsia="Times New Roman" w:cs="Times New Roman"/>
      <w:color w:val="00264D" w:themeColor="background2"/>
      <w:sz w:val="24"/>
      <w:szCs w:val="19"/>
      <w:lang w:eastAsia="en-AU"/>
    </w:rPr>
  </w:style>
  <w:style w:type="character" w:customStyle="1" w:styleId="CoverPage-DateChar">
    <w:name w:val="Cover Page - Date Char"/>
    <w:basedOn w:val="DefaultParagraphFont"/>
    <w:link w:val="CoverPage-Date"/>
    <w:uiPriority w:val="99"/>
    <w:semiHidden/>
    <w:rsid w:val="00865A27"/>
    <w:rPr>
      <w:rFonts w:ascii="Segoe UI" w:eastAsia="Times New Roman" w:hAnsi="Segoe UI" w:cs="Times New Roman"/>
      <w:color w:val="00264D" w:themeColor="background2"/>
      <w:sz w:val="24"/>
      <w:szCs w:val="19"/>
      <w:lang w:val="en-AU" w:eastAsia="en-AU"/>
    </w:rPr>
  </w:style>
  <w:style w:type="character" w:styleId="PlaceholderText">
    <w:name w:val="Placeholder Text"/>
    <w:basedOn w:val="DefaultParagraphFont"/>
    <w:uiPriority w:val="99"/>
    <w:semiHidden/>
    <w:rsid w:val="00865A27"/>
    <w:rPr>
      <w:color w:val="808080"/>
    </w:rPr>
  </w:style>
  <w:style w:type="paragraph" w:customStyle="1" w:styleId="BioHeading">
    <w:name w:val="Bio Heading"/>
    <w:basedOn w:val="TableNText"/>
    <w:uiPriority w:val="97"/>
    <w:rsid w:val="000F282D"/>
    <w:pPr>
      <w:spacing w:before="240" w:after="120" w:line="240" w:lineRule="auto"/>
    </w:pPr>
    <w:rPr>
      <w:color w:val="00264D" w:themeColor="background2"/>
      <w:sz w:val="19"/>
      <w:szCs w:val="19"/>
    </w:rPr>
  </w:style>
  <w:style w:type="paragraph" w:styleId="Header">
    <w:name w:val="header"/>
    <w:basedOn w:val="Normal"/>
    <w:link w:val="HeaderChar"/>
    <w:uiPriority w:val="99"/>
    <w:unhideWhenUsed/>
    <w:rsid w:val="001051E0"/>
    <w:pPr>
      <w:tabs>
        <w:tab w:val="center" w:pos="4513"/>
        <w:tab w:val="right" w:pos="9026"/>
      </w:tabs>
      <w:spacing w:after="0"/>
    </w:pPr>
  </w:style>
  <w:style w:type="character" w:customStyle="1" w:styleId="HeaderChar">
    <w:name w:val="Header Char"/>
    <w:basedOn w:val="DefaultParagraphFont"/>
    <w:link w:val="Header"/>
    <w:uiPriority w:val="99"/>
    <w:rsid w:val="001051E0"/>
    <w:rPr>
      <w:rFonts w:ascii="Segoe UI" w:hAnsi="Segoe UI"/>
      <w:sz w:val="19"/>
    </w:rPr>
  </w:style>
  <w:style w:type="paragraph" w:styleId="ListParagraph">
    <w:name w:val="List Paragraph"/>
    <w:basedOn w:val="Normal"/>
    <w:uiPriority w:val="34"/>
    <w:qFormat/>
    <w:rsid w:val="00301A6F"/>
    <w:pPr>
      <w:ind w:left="720"/>
      <w:contextualSpacing/>
    </w:pPr>
  </w:style>
  <w:style w:type="character" w:styleId="CommentReference">
    <w:name w:val="annotation reference"/>
    <w:basedOn w:val="DefaultParagraphFont"/>
    <w:uiPriority w:val="99"/>
    <w:semiHidden/>
    <w:unhideWhenUsed/>
    <w:rsid w:val="000716B5"/>
    <w:rPr>
      <w:sz w:val="16"/>
      <w:szCs w:val="16"/>
    </w:rPr>
  </w:style>
  <w:style w:type="paragraph" w:styleId="CommentText">
    <w:name w:val="annotation text"/>
    <w:basedOn w:val="Normal"/>
    <w:link w:val="CommentTextChar"/>
    <w:uiPriority w:val="99"/>
    <w:unhideWhenUsed/>
    <w:rsid w:val="000F282D"/>
    <w:pPr>
      <w:spacing w:line="240" w:lineRule="auto"/>
    </w:pPr>
    <w:rPr>
      <w:sz w:val="20"/>
      <w:szCs w:val="20"/>
    </w:rPr>
  </w:style>
  <w:style w:type="character" w:customStyle="1" w:styleId="CommentTextChar">
    <w:name w:val="Comment Text Char"/>
    <w:basedOn w:val="DefaultParagraphFont"/>
    <w:link w:val="CommentText"/>
    <w:uiPriority w:val="99"/>
    <w:rsid w:val="000716B5"/>
    <w:rPr>
      <w:rFonts w:ascii="Segoe UI" w:eastAsiaTheme="minorHAnsi" w:hAnsi="Segoe UI"/>
      <w:sz w:val="20"/>
      <w:szCs w:val="20"/>
      <w:lang w:val="en-AU"/>
    </w:rPr>
  </w:style>
  <w:style w:type="paragraph" w:styleId="CommentSubject">
    <w:name w:val="annotation subject"/>
    <w:basedOn w:val="CommentText"/>
    <w:next w:val="CommentText"/>
    <w:link w:val="CommentSubjectChar"/>
    <w:uiPriority w:val="99"/>
    <w:semiHidden/>
    <w:unhideWhenUsed/>
    <w:rsid w:val="000716B5"/>
    <w:rPr>
      <w:b/>
      <w:bCs/>
    </w:rPr>
  </w:style>
  <w:style w:type="character" w:customStyle="1" w:styleId="CommentSubjectChar">
    <w:name w:val="Comment Subject Char"/>
    <w:basedOn w:val="CommentTextChar"/>
    <w:link w:val="CommentSubject"/>
    <w:uiPriority w:val="99"/>
    <w:semiHidden/>
    <w:rsid w:val="000716B5"/>
    <w:rPr>
      <w:rFonts w:ascii="Segoe UI" w:eastAsiaTheme="minorHAnsi" w:hAnsi="Segoe UI"/>
      <w:b/>
      <w:bCs/>
      <w:sz w:val="20"/>
      <w:szCs w:val="20"/>
      <w:lang w:val="en-AU"/>
    </w:rPr>
  </w:style>
  <w:style w:type="paragraph" w:styleId="TOC3">
    <w:name w:val="toc 3"/>
    <w:basedOn w:val="Normal"/>
    <w:next w:val="Normal"/>
    <w:autoRedefine/>
    <w:uiPriority w:val="39"/>
    <w:unhideWhenUsed/>
    <w:rsid w:val="000F54F4"/>
    <w:pPr>
      <w:spacing w:after="100"/>
      <w:ind w:left="380"/>
    </w:pPr>
  </w:style>
  <w:style w:type="paragraph" w:customStyle="1" w:styleId="Longformcallout">
    <w:name w:val="Long form callout"/>
    <w:basedOn w:val="Normal"/>
    <w:uiPriority w:val="20"/>
    <w:qFormat/>
    <w:rsid w:val="000F282D"/>
    <w:pPr>
      <w:spacing w:before="60" w:after="60" w:line="240" w:lineRule="auto"/>
    </w:pPr>
    <w:rPr>
      <w:color w:val="00264D" w:themeColor="background2"/>
      <w:szCs w:val="19"/>
      <w:lang w:eastAsia="en-AU"/>
    </w:rPr>
  </w:style>
  <w:style w:type="paragraph" w:customStyle="1" w:styleId="longformcalloutbullet">
    <w:name w:val="long form call out bullet"/>
    <w:basedOn w:val="Longformcallout"/>
    <w:uiPriority w:val="20"/>
    <w:qFormat/>
    <w:rsid w:val="000F282D"/>
    <w:pPr>
      <w:numPr>
        <w:numId w:val="6"/>
      </w:numPr>
    </w:pPr>
  </w:style>
  <w:style w:type="paragraph" w:customStyle="1" w:styleId="longformcalloutnumber">
    <w:name w:val="long form callout number"/>
    <w:basedOn w:val="longformcalloutbullet"/>
    <w:uiPriority w:val="20"/>
    <w:qFormat/>
    <w:rsid w:val="000F282D"/>
    <w:pPr>
      <w:numPr>
        <w:numId w:val="0"/>
      </w:numPr>
      <w:ind w:left="340" w:hanging="340"/>
    </w:pPr>
  </w:style>
  <w:style w:type="table" w:customStyle="1" w:styleId="NousLongformcallout">
    <w:name w:val="Nous_Long form call out"/>
    <w:basedOn w:val="TableNormal"/>
    <w:uiPriority w:val="99"/>
    <w:rsid w:val="000F282D"/>
    <w:pPr>
      <w:spacing w:after="0" w:line="240" w:lineRule="auto"/>
    </w:pPr>
    <w:rPr>
      <w:rFonts w:eastAsiaTheme="minorHAnsi"/>
      <w:color w:val="00264D" w:themeColor="background2"/>
    </w:rPr>
    <w:tblPr>
      <w:tblBorders>
        <w:left w:val="single" w:sz="18" w:space="0" w:color="F8981D" w:themeColor="accent3"/>
      </w:tblBorders>
      <w:tblCellMar>
        <w:top w:w="113" w:type="dxa"/>
        <w:bottom w:w="113" w:type="dxa"/>
      </w:tblCellMar>
    </w:tblPr>
    <w:tcPr>
      <w:shd w:val="clear" w:color="auto" w:fill="E6E6E1" w:themeFill="accent5"/>
    </w:tcPr>
  </w:style>
  <w:style w:type="character" w:styleId="UnresolvedMention">
    <w:name w:val="Unresolved Mention"/>
    <w:basedOn w:val="DefaultParagraphFont"/>
    <w:uiPriority w:val="99"/>
    <w:semiHidden/>
    <w:unhideWhenUsed/>
    <w:rsid w:val="009A3212"/>
    <w:rPr>
      <w:color w:val="605E5C"/>
      <w:shd w:val="clear" w:color="auto" w:fill="E1DFDD"/>
    </w:rPr>
  </w:style>
  <w:style w:type="character" w:styleId="Mention">
    <w:name w:val="Mention"/>
    <w:basedOn w:val="DefaultParagraphFont"/>
    <w:uiPriority w:val="99"/>
    <w:unhideWhenUsed/>
    <w:rsid w:val="00081BF6"/>
    <w:rPr>
      <w:color w:val="2B579A"/>
      <w:shd w:val="clear" w:color="auto" w:fill="E1DFDD"/>
    </w:rPr>
  </w:style>
  <w:style w:type="paragraph" w:styleId="Revision">
    <w:name w:val="Revision"/>
    <w:hidden/>
    <w:uiPriority w:val="99"/>
    <w:semiHidden/>
    <w:rsid w:val="00C21D37"/>
    <w:pPr>
      <w:spacing w:after="0" w:line="240" w:lineRule="auto"/>
    </w:pPr>
    <w:rPr>
      <w:rFonts w:ascii="Segoe UI" w:hAnsi="Segoe UI"/>
      <w:sz w:val="19"/>
    </w:rPr>
  </w:style>
  <w:style w:type="paragraph" w:styleId="FootnoteText">
    <w:name w:val="footnote text"/>
    <w:basedOn w:val="Normal"/>
    <w:link w:val="FootnoteTextChar"/>
    <w:uiPriority w:val="99"/>
    <w:unhideWhenUsed/>
    <w:rsid w:val="000F282D"/>
    <w:pPr>
      <w:spacing w:after="0" w:line="240" w:lineRule="auto"/>
    </w:pPr>
    <w:rPr>
      <w:sz w:val="15"/>
      <w:szCs w:val="20"/>
    </w:rPr>
  </w:style>
  <w:style w:type="character" w:customStyle="1" w:styleId="FootnoteTextChar">
    <w:name w:val="Footnote Text Char"/>
    <w:basedOn w:val="DefaultParagraphFont"/>
    <w:link w:val="FootnoteText"/>
    <w:uiPriority w:val="99"/>
    <w:rsid w:val="009554B4"/>
    <w:rPr>
      <w:rFonts w:ascii="Segoe UI" w:eastAsiaTheme="minorHAnsi" w:hAnsi="Segoe UI"/>
      <w:sz w:val="15"/>
      <w:szCs w:val="20"/>
      <w:lang w:val="en-AU"/>
    </w:rPr>
  </w:style>
  <w:style w:type="character" w:styleId="FootnoteReference">
    <w:name w:val="footnote reference"/>
    <w:basedOn w:val="DefaultParagraphFont"/>
    <w:uiPriority w:val="99"/>
    <w:semiHidden/>
    <w:unhideWhenUsed/>
    <w:rsid w:val="009554B4"/>
    <w:rPr>
      <w:vertAlign w:val="superscript"/>
    </w:rPr>
  </w:style>
  <w:style w:type="paragraph" w:styleId="BodyText">
    <w:name w:val="Body Text"/>
    <w:basedOn w:val="Normal"/>
    <w:link w:val="BodyTextChar"/>
    <w:uiPriority w:val="1"/>
    <w:semiHidden/>
    <w:unhideWhenUsed/>
    <w:rsid w:val="00796C60"/>
  </w:style>
  <w:style w:type="character" w:customStyle="1" w:styleId="BodyTextChar">
    <w:name w:val="Body Text Char"/>
    <w:basedOn w:val="DefaultParagraphFont"/>
    <w:link w:val="BodyText"/>
    <w:uiPriority w:val="1"/>
    <w:semiHidden/>
    <w:rsid w:val="00796C60"/>
    <w:rPr>
      <w:rFonts w:ascii="Segoe UI" w:hAnsi="Segoe UI"/>
      <w:sz w:val="19"/>
    </w:rPr>
  </w:style>
  <w:style w:type="paragraph" w:customStyle="1" w:styleId="Callout">
    <w:name w:val="Call out"/>
    <w:basedOn w:val="Normal"/>
    <w:uiPriority w:val="98"/>
    <w:qFormat/>
    <w:rsid w:val="000F282D"/>
    <w:pPr>
      <w:pBdr>
        <w:top w:val="single" w:sz="18" w:space="4" w:color="E6E6E1" w:themeColor="accent5"/>
      </w:pBdr>
    </w:pPr>
    <w:rPr>
      <w:rFonts w:ascii="Segoe UI Semilight" w:hAnsi="Segoe UI Semilight"/>
      <w:color w:val="F8981D" w:themeColor="accent3"/>
      <w:kern w:val="24"/>
      <w:sz w:val="22"/>
    </w:rPr>
  </w:style>
  <w:style w:type="paragraph" w:customStyle="1" w:styleId="pf0">
    <w:name w:val="pf0"/>
    <w:basedOn w:val="Normal"/>
    <w:rsid w:val="00012BA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012BA5"/>
    <w:rPr>
      <w:rFonts w:ascii="Segoe UI" w:hAnsi="Segoe UI" w:cs="Segoe UI" w:hint="default"/>
      <w:sz w:val="18"/>
      <w:szCs w:val="18"/>
    </w:rPr>
  </w:style>
  <w:style w:type="paragraph" w:styleId="EndnoteText">
    <w:name w:val="endnote text"/>
    <w:basedOn w:val="Normal"/>
    <w:link w:val="EndnoteTextChar"/>
    <w:uiPriority w:val="99"/>
    <w:semiHidden/>
    <w:unhideWhenUsed/>
    <w:rsid w:val="00012BA5"/>
    <w:pPr>
      <w:spacing w:after="0"/>
    </w:pPr>
    <w:rPr>
      <w:sz w:val="20"/>
      <w:szCs w:val="20"/>
    </w:rPr>
  </w:style>
  <w:style w:type="character" w:customStyle="1" w:styleId="EndnoteTextChar">
    <w:name w:val="Endnote Text Char"/>
    <w:basedOn w:val="DefaultParagraphFont"/>
    <w:link w:val="EndnoteText"/>
    <w:uiPriority w:val="99"/>
    <w:semiHidden/>
    <w:rsid w:val="00012BA5"/>
    <w:rPr>
      <w:rFonts w:ascii="Segoe UI" w:hAnsi="Segoe UI"/>
      <w:sz w:val="20"/>
      <w:szCs w:val="20"/>
    </w:rPr>
  </w:style>
  <w:style w:type="character" w:styleId="EndnoteReference">
    <w:name w:val="endnote reference"/>
    <w:basedOn w:val="DefaultParagraphFont"/>
    <w:uiPriority w:val="99"/>
    <w:semiHidden/>
    <w:unhideWhenUsed/>
    <w:rsid w:val="00012BA5"/>
    <w:rPr>
      <w:vertAlign w:val="superscript"/>
    </w:rPr>
  </w:style>
  <w:style w:type="paragraph" w:styleId="NoSpacing">
    <w:name w:val="No Spacing"/>
    <w:uiPriority w:val="1"/>
    <w:qFormat/>
    <w:rsid w:val="00F85195"/>
    <w:pPr>
      <w:spacing w:after="0" w:line="240" w:lineRule="auto"/>
    </w:pPr>
    <w:rPr>
      <w:kern w:val="2"/>
      <w:sz w:val="24"/>
      <w:szCs w:val="24"/>
      <w:lang w:val="en-AU"/>
      <w14:ligatures w14:val="standardContextual"/>
    </w:rPr>
  </w:style>
  <w:style w:type="character" w:styleId="FollowedHyperlink">
    <w:name w:val="FollowedHyperlink"/>
    <w:basedOn w:val="DefaultParagraphFont"/>
    <w:uiPriority w:val="99"/>
    <w:semiHidden/>
    <w:unhideWhenUsed/>
    <w:rsid w:val="003F7AC3"/>
    <w:rPr>
      <w:color w:val="0048C7" w:themeColor="followedHyperlink"/>
      <w:u w:val="single"/>
    </w:rPr>
  </w:style>
  <w:style w:type="paragraph" w:styleId="NormalWeb">
    <w:name w:val="Normal (Web)"/>
    <w:basedOn w:val="Normal"/>
    <w:uiPriority w:val="99"/>
    <w:semiHidden/>
    <w:unhideWhenUsed/>
    <w:rsid w:val="00A9011B"/>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A9011B"/>
    <w:rPr>
      <w:i/>
      <w:iCs/>
    </w:rPr>
  </w:style>
  <w:style w:type="character" w:customStyle="1" w:styleId="cf11">
    <w:name w:val="cf11"/>
    <w:basedOn w:val="DefaultParagraphFont"/>
    <w:rsid w:val="008428DC"/>
    <w:rPr>
      <w:rFonts w:ascii="Segoe UI" w:hAnsi="Segoe UI" w:cs="Segoe UI" w:hint="default"/>
      <w:i/>
      <w:iCs/>
      <w:color w:val="333333"/>
      <w:sz w:val="18"/>
      <w:szCs w:val="18"/>
      <w:shd w:val="clear" w:color="auto" w:fill="FFFFFF"/>
    </w:rPr>
  </w:style>
  <w:style w:type="character" w:customStyle="1" w:styleId="cf21">
    <w:name w:val="cf21"/>
    <w:basedOn w:val="DefaultParagraphFont"/>
    <w:rsid w:val="008428DC"/>
    <w:rPr>
      <w:rFonts w:ascii="Segoe UI" w:hAnsi="Segoe UI" w:cs="Segoe UI" w:hint="default"/>
      <w:sz w:val="18"/>
      <w:szCs w:val="18"/>
    </w:rPr>
  </w:style>
  <w:style w:type="character" w:customStyle="1" w:styleId="cf31">
    <w:name w:val="cf31"/>
    <w:basedOn w:val="DefaultParagraphFont"/>
    <w:rsid w:val="00431E87"/>
    <w:rPr>
      <w:rFonts w:ascii="Segoe UI" w:hAnsi="Segoe UI" w:cs="Segoe UI" w:hint="default"/>
      <w:b/>
      <w:bCs/>
      <w:sz w:val="18"/>
      <w:szCs w:val="18"/>
    </w:rPr>
  </w:style>
  <w:style w:type="character" w:customStyle="1" w:styleId="cf41">
    <w:name w:val="cf41"/>
    <w:basedOn w:val="DefaultParagraphFont"/>
    <w:rsid w:val="00431E87"/>
    <w:rPr>
      <w:rFonts w:ascii="Segoe UI" w:hAnsi="Segoe UI" w:cs="Segoe UI" w:hint="default"/>
      <w:b/>
      <w:bCs/>
      <w:sz w:val="18"/>
      <w:szCs w:val="18"/>
    </w:rPr>
  </w:style>
  <w:style w:type="character" w:customStyle="1" w:styleId="TableNTextChar">
    <w:name w:val="Table N Text Char"/>
    <w:basedOn w:val="DefaultParagraphFont"/>
    <w:link w:val="TableNText"/>
    <w:uiPriority w:val="2"/>
    <w:rsid w:val="0025595F"/>
    <w:rPr>
      <w:rFonts w:ascii="Segoe UI" w:eastAsiaTheme="minorHAnsi" w:hAnsi="Segoe UI"/>
      <w:sz w:val="17"/>
      <w:lang w:val="en-AU"/>
    </w:rPr>
  </w:style>
  <w:style w:type="paragraph" w:customStyle="1" w:styleId="BIOsubheadingnew">
    <w:name w:val="BIO sub heading_new"/>
    <w:basedOn w:val="Normal"/>
    <w:qFormat/>
    <w:rsid w:val="0025595F"/>
    <w:pPr>
      <w:spacing w:before="180" w:after="60" w:line="257" w:lineRule="auto"/>
      <w:jc w:val="right"/>
    </w:pPr>
    <w:rPr>
      <w:rFonts w:asciiTheme="majorHAnsi" w:hAnsiTheme="majorHAnsi" w:cstheme="majorHAnsi"/>
      <w:noProof/>
      <w:color w:val="00264D" w:themeColor="background2"/>
      <w:sz w:val="20"/>
      <w:szCs w:val="24"/>
    </w:rPr>
  </w:style>
  <w:style w:type="paragraph" w:customStyle="1" w:styleId="CaseStudytitle">
    <w:name w:val="Case Study title"/>
    <w:basedOn w:val="Normal"/>
    <w:qFormat/>
    <w:rsid w:val="0025595F"/>
    <w:rPr>
      <w:rFonts w:asciiTheme="majorHAnsi" w:hAnsiTheme="majorHAnsi"/>
      <w:caps/>
      <w:color w:val="F25E21" w:themeColor="accent2"/>
      <w:sz w:val="24"/>
    </w:rPr>
  </w:style>
  <w:style w:type="paragraph" w:customStyle="1" w:styleId="Sectionintroduction">
    <w:name w:val="Section introduction"/>
    <w:uiPriority w:val="21"/>
    <w:qFormat/>
    <w:rsid w:val="0025595F"/>
    <w:pPr>
      <w:spacing w:before="120" w:after="120"/>
    </w:pPr>
    <w:rPr>
      <w:rFonts w:ascii="Segoe UI Semilight" w:eastAsiaTheme="minorHAnsi" w:hAnsi="Segoe UI Semilight"/>
      <w:color w:val="00264D" w:themeColor="background2"/>
      <w:sz w:val="21"/>
      <w:szCs w:val="21"/>
      <w:lang w:val="en-AU"/>
    </w:rPr>
  </w:style>
  <w:style w:type="paragraph" w:customStyle="1" w:styleId="intoductionbullet">
    <w:name w:val="intoduction bullet"/>
    <w:basedOn w:val="Sectionintroduction"/>
    <w:uiPriority w:val="21"/>
    <w:qFormat/>
    <w:rsid w:val="0025595F"/>
    <w:pPr>
      <w:numPr>
        <w:numId w:val="11"/>
      </w:numPr>
    </w:pPr>
  </w:style>
  <w:style w:type="paragraph" w:customStyle="1" w:styleId="introductionlist">
    <w:name w:val="introduction list"/>
    <w:basedOn w:val="Sectionintroduction"/>
    <w:uiPriority w:val="21"/>
    <w:qFormat/>
    <w:rsid w:val="0025595F"/>
    <w:pPr>
      <w:numPr>
        <w:numId w:val="9"/>
      </w:numPr>
      <w:spacing w:before="60"/>
    </w:pPr>
  </w:style>
  <w:style w:type="numbering" w:customStyle="1" w:styleId="Listnumberedmultilevel">
    <w:name w:val="List (numbered)_multilevel"/>
    <w:uiPriority w:val="99"/>
    <w:rsid w:val="0025595F"/>
    <w:pPr>
      <w:numPr>
        <w:numId w:val="40"/>
      </w:numPr>
    </w:pPr>
  </w:style>
  <w:style w:type="paragraph" w:customStyle="1" w:styleId="NousFooter">
    <w:name w:val="Nous Footer"/>
    <w:basedOn w:val="Normal"/>
    <w:uiPriority w:val="96"/>
    <w:qFormat/>
    <w:rsid w:val="0025595F"/>
    <w:pPr>
      <w:spacing w:after="0"/>
    </w:pPr>
    <w:rPr>
      <w:color w:val="808080" w:themeColor="background1" w:themeShade="80"/>
      <w:sz w:val="15"/>
      <w:szCs w:val="15"/>
      <w:lang w:eastAsia="en-AU"/>
    </w:rPr>
  </w:style>
  <w:style w:type="table" w:customStyle="1" w:styleId="NOUSSideHeader1">
    <w:name w:val="NOUS Side Header1"/>
    <w:basedOn w:val="TableNormal"/>
    <w:next w:val="TableGrid"/>
    <w:uiPriority w:val="39"/>
    <w:rsid w:val="0025595F"/>
    <w:pPr>
      <w:spacing w:after="0" w:line="240" w:lineRule="auto"/>
    </w:pPr>
    <w:rPr>
      <w:rFonts w:ascii="Segoe UI" w:eastAsiaTheme="minorHAnsi" w:hAnsi="Segoe UI"/>
      <w:sz w:val="17"/>
    </w:rPr>
    <w:tblPr>
      <w:tblStyleRowBandSize w:val="1"/>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cPr>
      <w:vAlign w:val="center"/>
    </w:tcPr>
    <w:tblStylePr w:type="firstRow">
      <w:pPr>
        <w:jc w:val="left"/>
      </w:pPr>
      <w:rPr>
        <w:rFonts w:ascii="Segoe UI Semibold" w:hAnsi="Segoe UI Semibold"/>
        <w:b w:val="0"/>
        <w:color w:val="00264D" w:themeColor="background2"/>
        <w:sz w:val="18"/>
      </w:rPr>
      <w:tblPr/>
      <w:trPr>
        <w:cantSplit/>
        <w:tblHeader/>
      </w:trPr>
      <w:tcPr>
        <w:tcBorders>
          <w:top w:val="single" w:sz="24" w:space="0" w:color="F8981D" w:themeColor="accent3"/>
          <w:left w:val="nil"/>
          <w:bottom w:val="nil"/>
          <w:right w:val="nil"/>
          <w:insideH w:val="nil"/>
          <w:insideV w:val="single" w:sz="8" w:space="0" w:color="FFFFFF" w:themeColor="background1"/>
          <w:tl2br w:val="nil"/>
          <w:tr2bl w:val="nil"/>
        </w:tcBorders>
        <w:shd w:val="clear" w:color="auto" w:fill="E6E6E1" w:themeFill="accent5"/>
      </w:tcPr>
    </w:tblStylePr>
    <w:tblStylePr w:type="band1Horz">
      <w:rPr>
        <w:rFonts w:ascii="Segoe UI" w:hAnsi="Segoe UI"/>
        <w:sz w:val="17"/>
      </w:rPr>
    </w:tblStylePr>
    <w:tblStylePr w:type="band2Horz">
      <w:rPr>
        <w:rFonts w:ascii="Segoe UI" w:hAnsi="Segoe UI"/>
        <w:sz w:val="17"/>
      </w:rPr>
    </w:tblStylePr>
  </w:style>
  <w:style w:type="table" w:customStyle="1" w:styleId="NousTableSide">
    <w:name w:val="Nous Table_Side"/>
    <w:basedOn w:val="TableNormal"/>
    <w:uiPriority w:val="99"/>
    <w:rsid w:val="0025595F"/>
    <w:pPr>
      <w:spacing w:after="0" w:line="240" w:lineRule="auto"/>
    </w:pPr>
    <w:rPr>
      <w:rFonts w:ascii="Segoe UI" w:eastAsiaTheme="minorHAnsi" w:hAnsi="Segoe UI"/>
      <w:sz w:val="17"/>
    </w:rPr>
    <w:tblPr>
      <w:tblBorders>
        <w:top w:val="single" w:sz="8" w:space="0" w:color="E6E6E1" w:themeColor="accent5"/>
        <w:bottom w:val="single" w:sz="8" w:space="0" w:color="E6E6E1" w:themeColor="accent5"/>
        <w:insideH w:val="single" w:sz="8" w:space="0" w:color="E6E6E1" w:themeColor="accent5"/>
      </w:tblBorders>
      <w:tblCellMar>
        <w:top w:w="57" w:type="dxa"/>
        <w:left w:w="85" w:type="dxa"/>
        <w:bottom w:w="57" w:type="dxa"/>
        <w:right w:w="85" w:type="dxa"/>
      </w:tblCellMar>
    </w:tblPr>
    <w:tblStylePr w:type="firstCol">
      <w:pPr>
        <w:jc w:val="left"/>
      </w:pPr>
      <w:rPr>
        <w:rFonts w:ascii="Segoe UI Semibold" w:hAnsi="Segoe UI Semibold"/>
        <w:b w:val="0"/>
        <w:color w:val="00264D" w:themeColor="background2"/>
        <w:sz w:val="17"/>
      </w:rPr>
      <w:tblPr/>
      <w:tcPr>
        <w:tcBorders>
          <w:top w:val="single" w:sz="12" w:space="0" w:color="FFFFFF" w:themeColor="background1"/>
          <w:left w:val="single" w:sz="18" w:space="0" w:color="F8981D" w:themeColor="accent3"/>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6E6E1" w:themeFill="accent5"/>
      </w:tcPr>
    </w:tblStylePr>
  </w:style>
  <w:style w:type="table" w:customStyle="1" w:styleId="NousTableTopandside">
    <w:name w:val="Nous Table_Top and side"/>
    <w:basedOn w:val="TableNormal"/>
    <w:uiPriority w:val="99"/>
    <w:rsid w:val="0025595F"/>
    <w:pPr>
      <w:spacing w:after="0" w:line="240" w:lineRule="auto"/>
    </w:pPr>
    <w:rPr>
      <w:rFonts w:eastAsiaTheme="minorHAnsi"/>
    </w:rPr>
    <w:tblPr>
      <w:tblBorders>
        <w:insideH w:val="single" w:sz="8" w:space="0" w:color="F9F9F9"/>
      </w:tblBorders>
      <w:tblCellMar>
        <w:top w:w="57" w:type="dxa"/>
        <w:left w:w="85" w:type="dxa"/>
        <w:bottom w:w="57" w:type="dxa"/>
        <w:right w:w="85" w:type="dxa"/>
      </w:tblCellMar>
    </w:tblPr>
    <w:tblStylePr w:type="firstRow">
      <w:pPr>
        <w:jc w:val="left"/>
      </w:pPr>
      <w:rPr>
        <w:rFonts w:ascii="Segoe UI Semibold" w:hAnsi="Segoe UI Semibold"/>
        <w:b w:val="0"/>
        <w:color w:val="00264D" w:themeColor="background2"/>
        <w:sz w:val="18"/>
      </w:rPr>
      <w:tblPr/>
      <w:tcPr>
        <w:tcBorders>
          <w:top w:val="single" w:sz="24" w:space="0" w:color="F8981D" w:themeColor="accent3"/>
          <w:insideV w:val="single" w:sz="8" w:space="0" w:color="FFFFFF" w:themeColor="background1"/>
        </w:tcBorders>
        <w:shd w:val="clear" w:color="auto" w:fill="E6E6E1" w:themeFill="accent5"/>
        <w:vAlign w:val="center"/>
      </w:tcPr>
    </w:tblStylePr>
    <w:tblStylePr w:type="firstCol">
      <w:pPr>
        <w:jc w:val="left"/>
      </w:pPr>
      <w:rPr>
        <w:rFonts w:ascii="Segoe UI Semibold" w:hAnsi="Segoe UI Semibold"/>
        <w:b w:val="0"/>
        <w:color w:val="00264D" w:themeColor="background2"/>
        <w:sz w:val="18"/>
      </w:rPr>
      <w:tblPr/>
      <w:tcPr>
        <w:tcBorders>
          <w:left w:val="nil"/>
        </w:tcBorders>
        <w:shd w:val="clear" w:color="auto" w:fill="E6E6E1" w:themeFill="accent5"/>
      </w:tcPr>
    </w:tblStylePr>
  </w:style>
  <w:style w:type="table" w:customStyle="1" w:styleId="Sectionintroductiontable">
    <w:name w:val="Section introduction table"/>
    <w:basedOn w:val="TableNormal"/>
    <w:uiPriority w:val="99"/>
    <w:rsid w:val="0025595F"/>
    <w:pPr>
      <w:spacing w:after="0" w:line="240" w:lineRule="auto"/>
    </w:pPr>
    <w:rPr>
      <w:rFonts w:eastAsiaTheme="minorHAnsi"/>
    </w:rPr>
    <w:tblPr>
      <w:tblCellMar>
        <w:top w:w="113" w:type="dxa"/>
        <w:left w:w="0" w:type="dxa"/>
        <w:bottom w:w="113" w:type="dxa"/>
        <w:right w:w="0" w:type="dxa"/>
      </w:tblCellMar>
    </w:tblPr>
    <w:tblStylePr w:type="firstRow">
      <w:pPr>
        <w:wordWrap/>
        <w:spacing w:beforeLines="0" w:before="0" w:beforeAutospacing="0" w:afterLines="0" w:after="0" w:afterAutospacing="0"/>
      </w:pPr>
      <w:rPr>
        <w:rFonts w:ascii="Segoe UI Semilight" w:hAnsi="Segoe UI Semilight"/>
        <w:color w:val="00264D" w:themeColor="background2"/>
        <w:sz w:val="21"/>
      </w:rPr>
      <w:tblPr/>
      <w:tcPr>
        <w:tcBorders>
          <w:top w:val="single" w:sz="8" w:space="0" w:color="00264D" w:themeColor="background2"/>
          <w:left w:val="nil"/>
          <w:bottom w:val="single" w:sz="8" w:space="0" w:color="00264D" w:themeColor="background2"/>
          <w:right w:val="nil"/>
        </w:tcBorders>
      </w:tcPr>
    </w:tblStylePr>
  </w:style>
  <w:style w:type="paragraph" w:customStyle="1" w:styleId="TableExpbullet0">
    <w:name w:val="Table Exp bullet"/>
    <w:basedOn w:val="Normal"/>
    <w:uiPriority w:val="3"/>
    <w:qFormat/>
    <w:rsid w:val="0025595F"/>
    <w:pPr>
      <w:spacing w:before="60" w:after="60"/>
    </w:pPr>
    <w:rPr>
      <w:sz w:val="16"/>
    </w:rPr>
  </w:style>
  <w:style w:type="numbering" w:customStyle="1" w:styleId="TableexpListnumberedmultilevel">
    <w:name w:val="Table exp List (numbered) multilevel"/>
    <w:uiPriority w:val="99"/>
    <w:rsid w:val="0025595F"/>
    <w:pPr>
      <w:numPr>
        <w:numId w:val="2"/>
      </w:numPr>
    </w:pPr>
  </w:style>
  <w:style w:type="paragraph" w:customStyle="1" w:styleId="TableNbiophoto">
    <w:name w:val="Table N bio photo"/>
    <w:basedOn w:val="TableNText"/>
    <w:qFormat/>
    <w:rsid w:val="0025595F"/>
    <w:pPr>
      <w:spacing w:after="0" w:line="257" w:lineRule="auto"/>
    </w:pPr>
  </w:style>
  <w:style w:type="numbering" w:customStyle="1" w:styleId="TableNListnumberedmultilevel">
    <w:name w:val="Table N List (numbered) multilevel"/>
    <w:uiPriority w:val="99"/>
    <w:rsid w:val="0025595F"/>
    <w:pPr>
      <w:numPr>
        <w:numId w:val="10"/>
      </w:numPr>
    </w:pPr>
  </w:style>
  <w:style w:type="character" w:customStyle="1" w:styleId="normaltextrun">
    <w:name w:val="normaltextrun"/>
    <w:basedOn w:val="DefaultParagraphFont"/>
    <w:rsid w:val="00A643CB"/>
  </w:style>
  <w:style w:type="character" w:customStyle="1" w:styleId="eop">
    <w:name w:val="eop"/>
    <w:basedOn w:val="DefaultParagraphFont"/>
    <w:rsid w:val="00A64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273">
      <w:bodyDiv w:val="1"/>
      <w:marLeft w:val="0"/>
      <w:marRight w:val="0"/>
      <w:marTop w:val="0"/>
      <w:marBottom w:val="0"/>
      <w:divBdr>
        <w:top w:val="none" w:sz="0" w:space="0" w:color="auto"/>
        <w:left w:val="none" w:sz="0" w:space="0" w:color="auto"/>
        <w:bottom w:val="none" w:sz="0" w:space="0" w:color="auto"/>
        <w:right w:val="none" w:sz="0" w:space="0" w:color="auto"/>
      </w:divBdr>
    </w:div>
    <w:div w:id="21445081">
      <w:bodyDiv w:val="1"/>
      <w:marLeft w:val="0"/>
      <w:marRight w:val="0"/>
      <w:marTop w:val="0"/>
      <w:marBottom w:val="0"/>
      <w:divBdr>
        <w:top w:val="none" w:sz="0" w:space="0" w:color="auto"/>
        <w:left w:val="none" w:sz="0" w:space="0" w:color="auto"/>
        <w:bottom w:val="none" w:sz="0" w:space="0" w:color="auto"/>
        <w:right w:val="none" w:sz="0" w:space="0" w:color="auto"/>
      </w:divBdr>
      <w:divsChild>
        <w:div w:id="834153285">
          <w:marLeft w:val="0"/>
          <w:marRight w:val="0"/>
          <w:marTop w:val="0"/>
          <w:marBottom w:val="0"/>
          <w:divBdr>
            <w:top w:val="single" w:sz="2" w:space="0" w:color="auto"/>
            <w:left w:val="single" w:sz="2" w:space="0" w:color="auto"/>
            <w:bottom w:val="single" w:sz="2" w:space="0" w:color="auto"/>
            <w:right w:val="single" w:sz="2" w:space="0" w:color="auto"/>
          </w:divBdr>
        </w:div>
      </w:divsChild>
    </w:div>
    <w:div w:id="25955439">
      <w:bodyDiv w:val="1"/>
      <w:marLeft w:val="0"/>
      <w:marRight w:val="0"/>
      <w:marTop w:val="0"/>
      <w:marBottom w:val="0"/>
      <w:divBdr>
        <w:top w:val="none" w:sz="0" w:space="0" w:color="auto"/>
        <w:left w:val="none" w:sz="0" w:space="0" w:color="auto"/>
        <w:bottom w:val="none" w:sz="0" w:space="0" w:color="auto"/>
        <w:right w:val="none" w:sz="0" w:space="0" w:color="auto"/>
      </w:divBdr>
    </w:div>
    <w:div w:id="45689382">
      <w:bodyDiv w:val="1"/>
      <w:marLeft w:val="0"/>
      <w:marRight w:val="0"/>
      <w:marTop w:val="0"/>
      <w:marBottom w:val="0"/>
      <w:divBdr>
        <w:top w:val="none" w:sz="0" w:space="0" w:color="auto"/>
        <w:left w:val="none" w:sz="0" w:space="0" w:color="auto"/>
        <w:bottom w:val="none" w:sz="0" w:space="0" w:color="auto"/>
        <w:right w:val="none" w:sz="0" w:space="0" w:color="auto"/>
      </w:divBdr>
      <w:divsChild>
        <w:div w:id="1754203220">
          <w:marLeft w:val="0"/>
          <w:marRight w:val="0"/>
          <w:marTop w:val="0"/>
          <w:marBottom w:val="0"/>
          <w:divBdr>
            <w:top w:val="none" w:sz="0" w:space="0" w:color="auto"/>
            <w:left w:val="none" w:sz="0" w:space="0" w:color="auto"/>
            <w:bottom w:val="none" w:sz="0" w:space="0" w:color="auto"/>
            <w:right w:val="none" w:sz="0" w:space="0" w:color="auto"/>
          </w:divBdr>
        </w:div>
      </w:divsChild>
    </w:div>
    <w:div w:id="59643214">
      <w:bodyDiv w:val="1"/>
      <w:marLeft w:val="0"/>
      <w:marRight w:val="0"/>
      <w:marTop w:val="0"/>
      <w:marBottom w:val="0"/>
      <w:divBdr>
        <w:top w:val="none" w:sz="0" w:space="0" w:color="auto"/>
        <w:left w:val="none" w:sz="0" w:space="0" w:color="auto"/>
        <w:bottom w:val="none" w:sz="0" w:space="0" w:color="auto"/>
        <w:right w:val="none" w:sz="0" w:space="0" w:color="auto"/>
      </w:divBdr>
    </w:div>
    <w:div w:id="78865326">
      <w:bodyDiv w:val="1"/>
      <w:marLeft w:val="0"/>
      <w:marRight w:val="0"/>
      <w:marTop w:val="0"/>
      <w:marBottom w:val="0"/>
      <w:divBdr>
        <w:top w:val="none" w:sz="0" w:space="0" w:color="auto"/>
        <w:left w:val="none" w:sz="0" w:space="0" w:color="auto"/>
        <w:bottom w:val="none" w:sz="0" w:space="0" w:color="auto"/>
        <w:right w:val="none" w:sz="0" w:space="0" w:color="auto"/>
      </w:divBdr>
    </w:div>
    <w:div w:id="103840980">
      <w:bodyDiv w:val="1"/>
      <w:marLeft w:val="0"/>
      <w:marRight w:val="0"/>
      <w:marTop w:val="0"/>
      <w:marBottom w:val="0"/>
      <w:divBdr>
        <w:top w:val="none" w:sz="0" w:space="0" w:color="auto"/>
        <w:left w:val="none" w:sz="0" w:space="0" w:color="auto"/>
        <w:bottom w:val="none" w:sz="0" w:space="0" w:color="auto"/>
        <w:right w:val="none" w:sz="0" w:space="0" w:color="auto"/>
      </w:divBdr>
    </w:div>
    <w:div w:id="171573747">
      <w:bodyDiv w:val="1"/>
      <w:marLeft w:val="0"/>
      <w:marRight w:val="0"/>
      <w:marTop w:val="0"/>
      <w:marBottom w:val="0"/>
      <w:divBdr>
        <w:top w:val="none" w:sz="0" w:space="0" w:color="auto"/>
        <w:left w:val="none" w:sz="0" w:space="0" w:color="auto"/>
        <w:bottom w:val="none" w:sz="0" w:space="0" w:color="auto"/>
        <w:right w:val="none" w:sz="0" w:space="0" w:color="auto"/>
      </w:divBdr>
    </w:div>
    <w:div w:id="205991663">
      <w:bodyDiv w:val="1"/>
      <w:marLeft w:val="0"/>
      <w:marRight w:val="0"/>
      <w:marTop w:val="0"/>
      <w:marBottom w:val="0"/>
      <w:divBdr>
        <w:top w:val="none" w:sz="0" w:space="0" w:color="auto"/>
        <w:left w:val="none" w:sz="0" w:space="0" w:color="auto"/>
        <w:bottom w:val="none" w:sz="0" w:space="0" w:color="auto"/>
        <w:right w:val="none" w:sz="0" w:space="0" w:color="auto"/>
      </w:divBdr>
    </w:div>
    <w:div w:id="214855626">
      <w:bodyDiv w:val="1"/>
      <w:marLeft w:val="0"/>
      <w:marRight w:val="0"/>
      <w:marTop w:val="0"/>
      <w:marBottom w:val="0"/>
      <w:divBdr>
        <w:top w:val="none" w:sz="0" w:space="0" w:color="auto"/>
        <w:left w:val="none" w:sz="0" w:space="0" w:color="auto"/>
        <w:bottom w:val="none" w:sz="0" w:space="0" w:color="auto"/>
        <w:right w:val="none" w:sz="0" w:space="0" w:color="auto"/>
      </w:divBdr>
    </w:div>
    <w:div w:id="245268248">
      <w:bodyDiv w:val="1"/>
      <w:marLeft w:val="0"/>
      <w:marRight w:val="0"/>
      <w:marTop w:val="0"/>
      <w:marBottom w:val="0"/>
      <w:divBdr>
        <w:top w:val="none" w:sz="0" w:space="0" w:color="auto"/>
        <w:left w:val="none" w:sz="0" w:space="0" w:color="auto"/>
        <w:bottom w:val="none" w:sz="0" w:space="0" w:color="auto"/>
        <w:right w:val="none" w:sz="0" w:space="0" w:color="auto"/>
      </w:divBdr>
    </w:div>
    <w:div w:id="275021069">
      <w:bodyDiv w:val="1"/>
      <w:marLeft w:val="0"/>
      <w:marRight w:val="0"/>
      <w:marTop w:val="0"/>
      <w:marBottom w:val="0"/>
      <w:divBdr>
        <w:top w:val="none" w:sz="0" w:space="0" w:color="auto"/>
        <w:left w:val="none" w:sz="0" w:space="0" w:color="auto"/>
        <w:bottom w:val="none" w:sz="0" w:space="0" w:color="auto"/>
        <w:right w:val="none" w:sz="0" w:space="0" w:color="auto"/>
      </w:divBdr>
    </w:div>
    <w:div w:id="281696792">
      <w:bodyDiv w:val="1"/>
      <w:marLeft w:val="0"/>
      <w:marRight w:val="0"/>
      <w:marTop w:val="0"/>
      <w:marBottom w:val="0"/>
      <w:divBdr>
        <w:top w:val="none" w:sz="0" w:space="0" w:color="auto"/>
        <w:left w:val="none" w:sz="0" w:space="0" w:color="auto"/>
        <w:bottom w:val="none" w:sz="0" w:space="0" w:color="auto"/>
        <w:right w:val="none" w:sz="0" w:space="0" w:color="auto"/>
      </w:divBdr>
    </w:div>
    <w:div w:id="302388287">
      <w:bodyDiv w:val="1"/>
      <w:marLeft w:val="0"/>
      <w:marRight w:val="0"/>
      <w:marTop w:val="0"/>
      <w:marBottom w:val="0"/>
      <w:divBdr>
        <w:top w:val="none" w:sz="0" w:space="0" w:color="auto"/>
        <w:left w:val="none" w:sz="0" w:space="0" w:color="auto"/>
        <w:bottom w:val="none" w:sz="0" w:space="0" w:color="auto"/>
        <w:right w:val="none" w:sz="0" w:space="0" w:color="auto"/>
      </w:divBdr>
    </w:div>
    <w:div w:id="313147835">
      <w:bodyDiv w:val="1"/>
      <w:marLeft w:val="0"/>
      <w:marRight w:val="0"/>
      <w:marTop w:val="0"/>
      <w:marBottom w:val="0"/>
      <w:divBdr>
        <w:top w:val="none" w:sz="0" w:space="0" w:color="auto"/>
        <w:left w:val="none" w:sz="0" w:space="0" w:color="auto"/>
        <w:bottom w:val="none" w:sz="0" w:space="0" w:color="auto"/>
        <w:right w:val="none" w:sz="0" w:space="0" w:color="auto"/>
      </w:divBdr>
      <w:divsChild>
        <w:div w:id="1052117649">
          <w:marLeft w:val="274"/>
          <w:marRight w:val="0"/>
          <w:marTop w:val="0"/>
          <w:marBottom w:val="0"/>
          <w:divBdr>
            <w:top w:val="none" w:sz="0" w:space="0" w:color="auto"/>
            <w:left w:val="none" w:sz="0" w:space="0" w:color="auto"/>
            <w:bottom w:val="none" w:sz="0" w:space="0" w:color="auto"/>
            <w:right w:val="none" w:sz="0" w:space="0" w:color="auto"/>
          </w:divBdr>
        </w:div>
        <w:div w:id="1268007991">
          <w:marLeft w:val="274"/>
          <w:marRight w:val="0"/>
          <w:marTop w:val="0"/>
          <w:marBottom w:val="0"/>
          <w:divBdr>
            <w:top w:val="none" w:sz="0" w:space="0" w:color="auto"/>
            <w:left w:val="none" w:sz="0" w:space="0" w:color="auto"/>
            <w:bottom w:val="none" w:sz="0" w:space="0" w:color="auto"/>
            <w:right w:val="none" w:sz="0" w:space="0" w:color="auto"/>
          </w:divBdr>
        </w:div>
      </w:divsChild>
    </w:div>
    <w:div w:id="351884867">
      <w:bodyDiv w:val="1"/>
      <w:marLeft w:val="0"/>
      <w:marRight w:val="0"/>
      <w:marTop w:val="0"/>
      <w:marBottom w:val="0"/>
      <w:divBdr>
        <w:top w:val="none" w:sz="0" w:space="0" w:color="auto"/>
        <w:left w:val="none" w:sz="0" w:space="0" w:color="auto"/>
        <w:bottom w:val="none" w:sz="0" w:space="0" w:color="auto"/>
        <w:right w:val="none" w:sz="0" w:space="0" w:color="auto"/>
      </w:divBdr>
    </w:div>
    <w:div w:id="352268981">
      <w:bodyDiv w:val="1"/>
      <w:marLeft w:val="0"/>
      <w:marRight w:val="0"/>
      <w:marTop w:val="0"/>
      <w:marBottom w:val="0"/>
      <w:divBdr>
        <w:top w:val="none" w:sz="0" w:space="0" w:color="auto"/>
        <w:left w:val="none" w:sz="0" w:space="0" w:color="auto"/>
        <w:bottom w:val="none" w:sz="0" w:space="0" w:color="auto"/>
        <w:right w:val="none" w:sz="0" w:space="0" w:color="auto"/>
      </w:divBdr>
    </w:div>
    <w:div w:id="376785119">
      <w:bodyDiv w:val="1"/>
      <w:marLeft w:val="0"/>
      <w:marRight w:val="0"/>
      <w:marTop w:val="0"/>
      <w:marBottom w:val="0"/>
      <w:divBdr>
        <w:top w:val="none" w:sz="0" w:space="0" w:color="auto"/>
        <w:left w:val="none" w:sz="0" w:space="0" w:color="auto"/>
        <w:bottom w:val="none" w:sz="0" w:space="0" w:color="auto"/>
        <w:right w:val="none" w:sz="0" w:space="0" w:color="auto"/>
      </w:divBdr>
    </w:div>
    <w:div w:id="395083172">
      <w:bodyDiv w:val="1"/>
      <w:marLeft w:val="0"/>
      <w:marRight w:val="0"/>
      <w:marTop w:val="0"/>
      <w:marBottom w:val="0"/>
      <w:divBdr>
        <w:top w:val="none" w:sz="0" w:space="0" w:color="auto"/>
        <w:left w:val="none" w:sz="0" w:space="0" w:color="auto"/>
        <w:bottom w:val="none" w:sz="0" w:space="0" w:color="auto"/>
        <w:right w:val="none" w:sz="0" w:space="0" w:color="auto"/>
      </w:divBdr>
    </w:div>
    <w:div w:id="398868276">
      <w:bodyDiv w:val="1"/>
      <w:marLeft w:val="0"/>
      <w:marRight w:val="0"/>
      <w:marTop w:val="0"/>
      <w:marBottom w:val="0"/>
      <w:divBdr>
        <w:top w:val="none" w:sz="0" w:space="0" w:color="auto"/>
        <w:left w:val="none" w:sz="0" w:space="0" w:color="auto"/>
        <w:bottom w:val="none" w:sz="0" w:space="0" w:color="auto"/>
        <w:right w:val="none" w:sz="0" w:space="0" w:color="auto"/>
      </w:divBdr>
    </w:div>
    <w:div w:id="427890258">
      <w:bodyDiv w:val="1"/>
      <w:marLeft w:val="0"/>
      <w:marRight w:val="0"/>
      <w:marTop w:val="0"/>
      <w:marBottom w:val="0"/>
      <w:divBdr>
        <w:top w:val="none" w:sz="0" w:space="0" w:color="auto"/>
        <w:left w:val="none" w:sz="0" w:space="0" w:color="auto"/>
        <w:bottom w:val="none" w:sz="0" w:space="0" w:color="auto"/>
        <w:right w:val="none" w:sz="0" w:space="0" w:color="auto"/>
      </w:divBdr>
    </w:div>
    <w:div w:id="460609383">
      <w:bodyDiv w:val="1"/>
      <w:marLeft w:val="0"/>
      <w:marRight w:val="0"/>
      <w:marTop w:val="0"/>
      <w:marBottom w:val="0"/>
      <w:divBdr>
        <w:top w:val="none" w:sz="0" w:space="0" w:color="auto"/>
        <w:left w:val="none" w:sz="0" w:space="0" w:color="auto"/>
        <w:bottom w:val="none" w:sz="0" w:space="0" w:color="auto"/>
        <w:right w:val="none" w:sz="0" w:space="0" w:color="auto"/>
      </w:divBdr>
    </w:div>
    <w:div w:id="490219930">
      <w:bodyDiv w:val="1"/>
      <w:marLeft w:val="0"/>
      <w:marRight w:val="0"/>
      <w:marTop w:val="0"/>
      <w:marBottom w:val="0"/>
      <w:divBdr>
        <w:top w:val="none" w:sz="0" w:space="0" w:color="auto"/>
        <w:left w:val="none" w:sz="0" w:space="0" w:color="auto"/>
        <w:bottom w:val="none" w:sz="0" w:space="0" w:color="auto"/>
        <w:right w:val="none" w:sz="0" w:space="0" w:color="auto"/>
      </w:divBdr>
    </w:div>
    <w:div w:id="511188896">
      <w:bodyDiv w:val="1"/>
      <w:marLeft w:val="0"/>
      <w:marRight w:val="0"/>
      <w:marTop w:val="0"/>
      <w:marBottom w:val="0"/>
      <w:divBdr>
        <w:top w:val="none" w:sz="0" w:space="0" w:color="auto"/>
        <w:left w:val="none" w:sz="0" w:space="0" w:color="auto"/>
        <w:bottom w:val="none" w:sz="0" w:space="0" w:color="auto"/>
        <w:right w:val="none" w:sz="0" w:space="0" w:color="auto"/>
      </w:divBdr>
      <w:divsChild>
        <w:div w:id="1297299881">
          <w:marLeft w:val="0"/>
          <w:marRight w:val="0"/>
          <w:marTop w:val="600"/>
          <w:marBottom w:val="0"/>
          <w:divBdr>
            <w:top w:val="none" w:sz="0" w:space="0" w:color="auto"/>
            <w:left w:val="none" w:sz="0" w:space="0" w:color="auto"/>
            <w:bottom w:val="none" w:sz="0" w:space="0" w:color="auto"/>
            <w:right w:val="none" w:sz="0" w:space="0" w:color="auto"/>
          </w:divBdr>
          <w:divsChild>
            <w:div w:id="929237315">
              <w:marLeft w:val="0"/>
              <w:marRight w:val="0"/>
              <w:marTop w:val="0"/>
              <w:marBottom w:val="0"/>
              <w:divBdr>
                <w:top w:val="none" w:sz="0" w:space="0" w:color="auto"/>
                <w:left w:val="none" w:sz="0" w:space="0" w:color="auto"/>
                <w:bottom w:val="none" w:sz="0" w:space="0" w:color="auto"/>
                <w:right w:val="none" w:sz="0" w:space="0" w:color="auto"/>
              </w:divBdr>
              <w:divsChild>
                <w:div w:id="630095001">
                  <w:marLeft w:val="0"/>
                  <w:marRight w:val="0"/>
                  <w:marTop w:val="0"/>
                  <w:marBottom w:val="0"/>
                  <w:divBdr>
                    <w:top w:val="none" w:sz="0" w:space="0" w:color="auto"/>
                    <w:left w:val="none" w:sz="0" w:space="0" w:color="auto"/>
                    <w:bottom w:val="none" w:sz="0" w:space="0" w:color="auto"/>
                    <w:right w:val="none" w:sz="0" w:space="0" w:color="auto"/>
                  </w:divBdr>
                  <w:divsChild>
                    <w:div w:id="675577279">
                      <w:marLeft w:val="0"/>
                      <w:marRight w:val="0"/>
                      <w:marTop w:val="0"/>
                      <w:marBottom w:val="0"/>
                      <w:divBdr>
                        <w:top w:val="none" w:sz="0" w:space="0" w:color="auto"/>
                        <w:left w:val="none" w:sz="0" w:space="0" w:color="auto"/>
                        <w:bottom w:val="none" w:sz="0" w:space="0" w:color="auto"/>
                        <w:right w:val="none" w:sz="0" w:space="0" w:color="auto"/>
                      </w:divBdr>
                      <w:divsChild>
                        <w:div w:id="1225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266">
      <w:bodyDiv w:val="1"/>
      <w:marLeft w:val="0"/>
      <w:marRight w:val="0"/>
      <w:marTop w:val="0"/>
      <w:marBottom w:val="0"/>
      <w:divBdr>
        <w:top w:val="none" w:sz="0" w:space="0" w:color="auto"/>
        <w:left w:val="none" w:sz="0" w:space="0" w:color="auto"/>
        <w:bottom w:val="none" w:sz="0" w:space="0" w:color="auto"/>
        <w:right w:val="none" w:sz="0" w:space="0" w:color="auto"/>
      </w:divBdr>
      <w:divsChild>
        <w:div w:id="847717846">
          <w:marLeft w:val="0"/>
          <w:marRight w:val="0"/>
          <w:marTop w:val="0"/>
          <w:marBottom w:val="0"/>
          <w:divBdr>
            <w:top w:val="none" w:sz="0" w:space="0" w:color="auto"/>
            <w:left w:val="none" w:sz="0" w:space="0" w:color="auto"/>
            <w:bottom w:val="none" w:sz="0" w:space="0" w:color="auto"/>
            <w:right w:val="none" w:sz="0" w:space="0" w:color="auto"/>
          </w:divBdr>
        </w:div>
      </w:divsChild>
    </w:div>
    <w:div w:id="545457608">
      <w:bodyDiv w:val="1"/>
      <w:marLeft w:val="0"/>
      <w:marRight w:val="0"/>
      <w:marTop w:val="0"/>
      <w:marBottom w:val="0"/>
      <w:divBdr>
        <w:top w:val="none" w:sz="0" w:space="0" w:color="auto"/>
        <w:left w:val="none" w:sz="0" w:space="0" w:color="auto"/>
        <w:bottom w:val="none" w:sz="0" w:space="0" w:color="auto"/>
        <w:right w:val="none" w:sz="0" w:space="0" w:color="auto"/>
      </w:divBdr>
      <w:divsChild>
        <w:div w:id="749011999">
          <w:marLeft w:val="274"/>
          <w:marRight w:val="0"/>
          <w:marTop w:val="0"/>
          <w:marBottom w:val="0"/>
          <w:divBdr>
            <w:top w:val="none" w:sz="0" w:space="0" w:color="auto"/>
            <w:left w:val="none" w:sz="0" w:space="0" w:color="auto"/>
            <w:bottom w:val="none" w:sz="0" w:space="0" w:color="auto"/>
            <w:right w:val="none" w:sz="0" w:space="0" w:color="auto"/>
          </w:divBdr>
        </w:div>
        <w:div w:id="784546001">
          <w:marLeft w:val="274"/>
          <w:marRight w:val="0"/>
          <w:marTop w:val="0"/>
          <w:marBottom w:val="0"/>
          <w:divBdr>
            <w:top w:val="none" w:sz="0" w:space="0" w:color="auto"/>
            <w:left w:val="none" w:sz="0" w:space="0" w:color="auto"/>
            <w:bottom w:val="none" w:sz="0" w:space="0" w:color="auto"/>
            <w:right w:val="none" w:sz="0" w:space="0" w:color="auto"/>
          </w:divBdr>
        </w:div>
        <w:div w:id="2055884169">
          <w:marLeft w:val="274"/>
          <w:marRight w:val="0"/>
          <w:marTop w:val="0"/>
          <w:marBottom w:val="0"/>
          <w:divBdr>
            <w:top w:val="none" w:sz="0" w:space="0" w:color="auto"/>
            <w:left w:val="none" w:sz="0" w:space="0" w:color="auto"/>
            <w:bottom w:val="none" w:sz="0" w:space="0" w:color="auto"/>
            <w:right w:val="none" w:sz="0" w:space="0" w:color="auto"/>
          </w:divBdr>
        </w:div>
      </w:divsChild>
    </w:div>
    <w:div w:id="555891670">
      <w:bodyDiv w:val="1"/>
      <w:marLeft w:val="0"/>
      <w:marRight w:val="0"/>
      <w:marTop w:val="0"/>
      <w:marBottom w:val="0"/>
      <w:divBdr>
        <w:top w:val="none" w:sz="0" w:space="0" w:color="auto"/>
        <w:left w:val="none" w:sz="0" w:space="0" w:color="auto"/>
        <w:bottom w:val="none" w:sz="0" w:space="0" w:color="auto"/>
        <w:right w:val="none" w:sz="0" w:space="0" w:color="auto"/>
      </w:divBdr>
    </w:div>
    <w:div w:id="556167852">
      <w:bodyDiv w:val="1"/>
      <w:marLeft w:val="0"/>
      <w:marRight w:val="0"/>
      <w:marTop w:val="0"/>
      <w:marBottom w:val="0"/>
      <w:divBdr>
        <w:top w:val="none" w:sz="0" w:space="0" w:color="auto"/>
        <w:left w:val="none" w:sz="0" w:space="0" w:color="auto"/>
        <w:bottom w:val="none" w:sz="0" w:space="0" w:color="auto"/>
        <w:right w:val="none" w:sz="0" w:space="0" w:color="auto"/>
      </w:divBdr>
    </w:div>
    <w:div w:id="563878406">
      <w:bodyDiv w:val="1"/>
      <w:marLeft w:val="0"/>
      <w:marRight w:val="0"/>
      <w:marTop w:val="0"/>
      <w:marBottom w:val="0"/>
      <w:divBdr>
        <w:top w:val="none" w:sz="0" w:space="0" w:color="auto"/>
        <w:left w:val="none" w:sz="0" w:space="0" w:color="auto"/>
        <w:bottom w:val="none" w:sz="0" w:space="0" w:color="auto"/>
        <w:right w:val="none" w:sz="0" w:space="0" w:color="auto"/>
      </w:divBdr>
    </w:div>
    <w:div w:id="584416702">
      <w:bodyDiv w:val="1"/>
      <w:marLeft w:val="0"/>
      <w:marRight w:val="0"/>
      <w:marTop w:val="0"/>
      <w:marBottom w:val="0"/>
      <w:divBdr>
        <w:top w:val="none" w:sz="0" w:space="0" w:color="auto"/>
        <w:left w:val="none" w:sz="0" w:space="0" w:color="auto"/>
        <w:bottom w:val="none" w:sz="0" w:space="0" w:color="auto"/>
        <w:right w:val="none" w:sz="0" w:space="0" w:color="auto"/>
      </w:divBdr>
    </w:div>
    <w:div w:id="600458468">
      <w:bodyDiv w:val="1"/>
      <w:marLeft w:val="0"/>
      <w:marRight w:val="0"/>
      <w:marTop w:val="0"/>
      <w:marBottom w:val="0"/>
      <w:divBdr>
        <w:top w:val="none" w:sz="0" w:space="0" w:color="auto"/>
        <w:left w:val="none" w:sz="0" w:space="0" w:color="auto"/>
        <w:bottom w:val="none" w:sz="0" w:space="0" w:color="auto"/>
        <w:right w:val="none" w:sz="0" w:space="0" w:color="auto"/>
      </w:divBdr>
    </w:div>
    <w:div w:id="673843159">
      <w:bodyDiv w:val="1"/>
      <w:marLeft w:val="0"/>
      <w:marRight w:val="0"/>
      <w:marTop w:val="0"/>
      <w:marBottom w:val="0"/>
      <w:divBdr>
        <w:top w:val="none" w:sz="0" w:space="0" w:color="auto"/>
        <w:left w:val="none" w:sz="0" w:space="0" w:color="auto"/>
        <w:bottom w:val="none" w:sz="0" w:space="0" w:color="auto"/>
        <w:right w:val="none" w:sz="0" w:space="0" w:color="auto"/>
      </w:divBdr>
    </w:div>
    <w:div w:id="680355227">
      <w:bodyDiv w:val="1"/>
      <w:marLeft w:val="0"/>
      <w:marRight w:val="0"/>
      <w:marTop w:val="0"/>
      <w:marBottom w:val="0"/>
      <w:divBdr>
        <w:top w:val="none" w:sz="0" w:space="0" w:color="auto"/>
        <w:left w:val="none" w:sz="0" w:space="0" w:color="auto"/>
        <w:bottom w:val="none" w:sz="0" w:space="0" w:color="auto"/>
        <w:right w:val="none" w:sz="0" w:space="0" w:color="auto"/>
      </w:divBdr>
      <w:divsChild>
        <w:div w:id="585769524">
          <w:marLeft w:val="274"/>
          <w:marRight w:val="0"/>
          <w:marTop w:val="0"/>
          <w:marBottom w:val="0"/>
          <w:divBdr>
            <w:top w:val="none" w:sz="0" w:space="0" w:color="auto"/>
            <w:left w:val="none" w:sz="0" w:space="0" w:color="auto"/>
            <w:bottom w:val="none" w:sz="0" w:space="0" w:color="auto"/>
            <w:right w:val="none" w:sz="0" w:space="0" w:color="auto"/>
          </w:divBdr>
        </w:div>
      </w:divsChild>
    </w:div>
    <w:div w:id="683897365">
      <w:bodyDiv w:val="1"/>
      <w:marLeft w:val="0"/>
      <w:marRight w:val="0"/>
      <w:marTop w:val="0"/>
      <w:marBottom w:val="0"/>
      <w:divBdr>
        <w:top w:val="none" w:sz="0" w:space="0" w:color="auto"/>
        <w:left w:val="none" w:sz="0" w:space="0" w:color="auto"/>
        <w:bottom w:val="none" w:sz="0" w:space="0" w:color="auto"/>
        <w:right w:val="none" w:sz="0" w:space="0" w:color="auto"/>
      </w:divBdr>
    </w:div>
    <w:div w:id="701974755">
      <w:bodyDiv w:val="1"/>
      <w:marLeft w:val="0"/>
      <w:marRight w:val="0"/>
      <w:marTop w:val="0"/>
      <w:marBottom w:val="0"/>
      <w:divBdr>
        <w:top w:val="none" w:sz="0" w:space="0" w:color="auto"/>
        <w:left w:val="none" w:sz="0" w:space="0" w:color="auto"/>
        <w:bottom w:val="none" w:sz="0" w:space="0" w:color="auto"/>
        <w:right w:val="none" w:sz="0" w:space="0" w:color="auto"/>
      </w:divBdr>
    </w:div>
    <w:div w:id="717435913">
      <w:bodyDiv w:val="1"/>
      <w:marLeft w:val="0"/>
      <w:marRight w:val="0"/>
      <w:marTop w:val="0"/>
      <w:marBottom w:val="0"/>
      <w:divBdr>
        <w:top w:val="none" w:sz="0" w:space="0" w:color="auto"/>
        <w:left w:val="none" w:sz="0" w:space="0" w:color="auto"/>
        <w:bottom w:val="none" w:sz="0" w:space="0" w:color="auto"/>
        <w:right w:val="none" w:sz="0" w:space="0" w:color="auto"/>
      </w:divBdr>
    </w:div>
    <w:div w:id="730234005">
      <w:bodyDiv w:val="1"/>
      <w:marLeft w:val="0"/>
      <w:marRight w:val="0"/>
      <w:marTop w:val="0"/>
      <w:marBottom w:val="0"/>
      <w:divBdr>
        <w:top w:val="none" w:sz="0" w:space="0" w:color="auto"/>
        <w:left w:val="none" w:sz="0" w:space="0" w:color="auto"/>
        <w:bottom w:val="none" w:sz="0" w:space="0" w:color="auto"/>
        <w:right w:val="none" w:sz="0" w:space="0" w:color="auto"/>
      </w:divBdr>
    </w:div>
    <w:div w:id="763887758">
      <w:bodyDiv w:val="1"/>
      <w:marLeft w:val="0"/>
      <w:marRight w:val="0"/>
      <w:marTop w:val="0"/>
      <w:marBottom w:val="0"/>
      <w:divBdr>
        <w:top w:val="none" w:sz="0" w:space="0" w:color="auto"/>
        <w:left w:val="none" w:sz="0" w:space="0" w:color="auto"/>
        <w:bottom w:val="none" w:sz="0" w:space="0" w:color="auto"/>
        <w:right w:val="none" w:sz="0" w:space="0" w:color="auto"/>
      </w:divBdr>
    </w:div>
    <w:div w:id="824665728">
      <w:bodyDiv w:val="1"/>
      <w:marLeft w:val="0"/>
      <w:marRight w:val="0"/>
      <w:marTop w:val="0"/>
      <w:marBottom w:val="0"/>
      <w:divBdr>
        <w:top w:val="none" w:sz="0" w:space="0" w:color="auto"/>
        <w:left w:val="none" w:sz="0" w:space="0" w:color="auto"/>
        <w:bottom w:val="none" w:sz="0" w:space="0" w:color="auto"/>
        <w:right w:val="none" w:sz="0" w:space="0" w:color="auto"/>
      </w:divBdr>
    </w:div>
    <w:div w:id="868184090">
      <w:bodyDiv w:val="1"/>
      <w:marLeft w:val="0"/>
      <w:marRight w:val="0"/>
      <w:marTop w:val="0"/>
      <w:marBottom w:val="0"/>
      <w:divBdr>
        <w:top w:val="none" w:sz="0" w:space="0" w:color="auto"/>
        <w:left w:val="none" w:sz="0" w:space="0" w:color="auto"/>
        <w:bottom w:val="none" w:sz="0" w:space="0" w:color="auto"/>
        <w:right w:val="none" w:sz="0" w:space="0" w:color="auto"/>
      </w:divBdr>
    </w:div>
    <w:div w:id="921335868">
      <w:bodyDiv w:val="1"/>
      <w:marLeft w:val="0"/>
      <w:marRight w:val="0"/>
      <w:marTop w:val="0"/>
      <w:marBottom w:val="0"/>
      <w:divBdr>
        <w:top w:val="none" w:sz="0" w:space="0" w:color="auto"/>
        <w:left w:val="none" w:sz="0" w:space="0" w:color="auto"/>
        <w:bottom w:val="none" w:sz="0" w:space="0" w:color="auto"/>
        <w:right w:val="none" w:sz="0" w:space="0" w:color="auto"/>
      </w:divBdr>
    </w:div>
    <w:div w:id="948509955">
      <w:bodyDiv w:val="1"/>
      <w:marLeft w:val="0"/>
      <w:marRight w:val="0"/>
      <w:marTop w:val="0"/>
      <w:marBottom w:val="0"/>
      <w:divBdr>
        <w:top w:val="none" w:sz="0" w:space="0" w:color="auto"/>
        <w:left w:val="none" w:sz="0" w:space="0" w:color="auto"/>
        <w:bottom w:val="none" w:sz="0" w:space="0" w:color="auto"/>
        <w:right w:val="none" w:sz="0" w:space="0" w:color="auto"/>
      </w:divBdr>
    </w:div>
    <w:div w:id="986545369">
      <w:bodyDiv w:val="1"/>
      <w:marLeft w:val="0"/>
      <w:marRight w:val="0"/>
      <w:marTop w:val="0"/>
      <w:marBottom w:val="0"/>
      <w:divBdr>
        <w:top w:val="none" w:sz="0" w:space="0" w:color="auto"/>
        <w:left w:val="none" w:sz="0" w:space="0" w:color="auto"/>
        <w:bottom w:val="none" w:sz="0" w:space="0" w:color="auto"/>
        <w:right w:val="none" w:sz="0" w:space="0" w:color="auto"/>
      </w:divBdr>
    </w:div>
    <w:div w:id="990908557">
      <w:bodyDiv w:val="1"/>
      <w:marLeft w:val="0"/>
      <w:marRight w:val="0"/>
      <w:marTop w:val="0"/>
      <w:marBottom w:val="0"/>
      <w:divBdr>
        <w:top w:val="none" w:sz="0" w:space="0" w:color="auto"/>
        <w:left w:val="none" w:sz="0" w:space="0" w:color="auto"/>
        <w:bottom w:val="none" w:sz="0" w:space="0" w:color="auto"/>
        <w:right w:val="none" w:sz="0" w:space="0" w:color="auto"/>
      </w:divBdr>
    </w:div>
    <w:div w:id="1007096302">
      <w:bodyDiv w:val="1"/>
      <w:marLeft w:val="0"/>
      <w:marRight w:val="0"/>
      <w:marTop w:val="0"/>
      <w:marBottom w:val="0"/>
      <w:divBdr>
        <w:top w:val="none" w:sz="0" w:space="0" w:color="auto"/>
        <w:left w:val="none" w:sz="0" w:space="0" w:color="auto"/>
        <w:bottom w:val="none" w:sz="0" w:space="0" w:color="auto"/>
        <w:right w:val="none" w:sz="0" w:space="0" w:color="auto"/>
      </w:divBdr>
      <w:divsChild>
        <w:div w:id="855270575">
          <w:marLeft w:val="0"/>
          <w:marRight w:val="0"/>
          <w:marTop w:val="0"/>
          <w:marBottom w:val="0"/>
          <w:divBdr>
            <w:top w:val="none" w:sz="0" w:space="0" w:color="auto"/>
            <w:left w:val="none" w:sz="0" w:space="0" w:color="auto"/>
            <w:bottom w:val="none" w:sz="0" w:space="0" w:color="auto"/>
            <w:right w:val="none" w:sz="0" w:space="0" w:color="auto"/>
          </w:divBdr>
        </w:div>
      </w:divsChild>
    </w:div>
    <w:div w:id="1122773540">
      <w:bodyDiv w:val="1"/>
      <w:marLeft w:val="0"/>
      <w:marRight w:val="0"/>
      <w:marTop w:val="0"/>
      <w:marBottom w:val="0"/>
      <w:divBdr>
        <w:top w:val="none" w:sz="0" w:space="0" w:color="auto"/>
        <w:left w:val="none" w:sz="0" w:space="0" w:color="auto"/>
        <w:bottom w:val="none" w:sz="0" w:space="0" w:color="auto"/>
        <w:right w:val="none" w:sz="0" w:space="0" w:color="auto"/>
      </w:divBdr>
    </w:div>
    <w:div w:id="1221136704">
      <w:bodyDiv w:val="1"/>
      <w:marLeft w:val="0"/>
      <w:marRight w:val="0"/>
      <w:marTop w:val="0"/>
      <w:marBottom w:val="0"/>
      <w:divBdr>
        <w:top w:val="none" w:sz="0" w:space="0" w:color="auto"/>
        <w:left w:val="none" w:sz="0" w:space="0" w:color="auto"/>
        <w:bottom w:val="none" w:sz="0" w:space="0" w:color="auto"/>
        <w:right w:val="none" w:sz="0" w:space="0" w:color="auto"/>
      </w:divBdr>
    </w:div>
    <w:div w:id="1229267474">
      <w:bodyDiv w:val="1"/>
      <w:marLeft w:val="0"/>
      <w:marRight w:val="0"/>
      <w:marTop w:val="0"/>
      <w:marBottom w:val="0"/>
      <w:divBdr>
        <w:top w:val="none" w:sz="0" w:space="0" w:color="auto"/>
        <w:left w:val="none" w:sz="0" w:space="0" w:color="auto"/>
        <w:bottom w:val="none" w:sz="0" w:space="0" w:color="auto"/>
        <w:right w:val="none" w:sz="0" w:space="0" w:color="auto"/>
      </w:divBdr>
    </w:div>
    <w:div w:id="1236933318">
      <w:bodyDiv w:val="1"/>
      <w:marLeft w:val="0"/>
      <w:marRight w:val="0"/>
      <w:marTop w:val="0"/>
      <w:marBottom w:val="0"/>
      <w:divBdr>
        <w:top w:val="none" w:sz="0" w:space="0" w:color="auto"/>
        <w:left w:val="none" w:sz="0" w:space="0" w:color="auto"/>
        <w:bottom w:val="none" w:sz="0" w:space="0" w:color="auto"/>
        <w:right w:val="none" w:sz="0" w:space="0" w:color="auto"/>
      </w:divBdr>
    </w:div>
    <w:div w:id="1239173865">
      <w:bodyDiv w:val="1"/>
      <w:marLeft w:val="0"/>
      <w:marRight w:val="0"/>
      <w:marTop w:val="0"/>
      <w:marBottom w:val="0"/>
      <w:divBdr>
        <w:top w:val="none" w:sz="0" w:space="0" w:color="auto"/>
        <w:left w:val="none" w:sz="0" w:space="0" w:color="auto"/>
        <w:bottom w:val="none" w:sz="0" w:space="0" w:color="auto"/>
        <w:right w:val="none" w:sz="0" w:space="0" w:color="auto"/>
      </w:divBdr>
    </w:div>
    <w:div w:id="1282105501">
      <w:bodyDiv w:val="1"/>
      <w:marLeft w:val="0"/>
      <w:marRight w:val="0"/>
      <w:marTop w:val="0"/>
      <w:marBottom w:val="0"/>
      <w:divBdr>
        <w:top w:val="none" w:sz="0" w:space="0" w:color="auto"/>
        <w:left w:val="none" w:sz="0" w:space="0" w:color="auto"/>
        <w:bottom w:val="none" w:sz="0" w:space="0" w:color="auto"/>
        <w:right w:val="none" w:sz="0" w:space="0" w:color="auto"/>
      </w:divBdr>
      <w:divsChild>
        <w:div w:id="1156649260">
          <w:marLeft w:val="0"/>
          <w:marRight w:val="0"/>
          <w:marTop w:val="0"/>
          <w:marBottom w:val="0"/>
          <w:divBdr>
            <w:top w:val="none" w:sz="0" w:space="0" w:color="auto"/>
            <w:left w:val="none" w:sz="0" w:space="0" w:color="auto"/>
            <w:bottom w:val="none" w:sz="0" w:space="0" w:color="auto"/>
            <w:right w:val="none" w:sz="0" w:space="0" w:color="auto"/>
          </w:divBdr>
        </w:div>
      </w:divsChild>
    </w:div>
    <w:div w:id="1310095030">
      <w:bodyDiv w:val="1"/>
      <w:marLeft w:val="0"/>
      <w:marRight w:val="0"/>
      <w:marTop w:val="0"/>
      <w:marBottom w:val="0"/>
      <w:divBdr>
        <w:top w:val="none" w:sz="0" w:space="0" w:color="auto"/>
        <w:left w:val="none" w:sz="0" w:space="0" w:color="auto"/>
        <w:bottom w:val="none" w:sz="0" w:space="0" w:color="auto"/>
        <w:right w:val="none" w:sz="0" w:space="0" w:color="auto"/>
      </w:divBdr>
      <w:divsChild>
        <w:div w:id="925380546">
          <w:marLeft w:val="274"/>
          <w:marRight w:val="0"/>
          <w:marTop w:val="0"/>
          <w:marBottom w:val="0"/>
          <w:divBdr>
            <w:top w:val="none" w:sz="0" w:space="0" w:color="auto"/>
            <w:left w:val="none" w:sz="0" w:space="0" w:color="auto"/>
            <w:bottom w:val="none" w:sz="0" w:space="0" w:color="auto"/>
            <w:right w:val="none" w:sz="0" w:space="0" w:color="auto"/>
          </w:divBdr>
        </w:div>
      </w:divsChild>
    </w:div>
    <w:div w:id="1357148148">
      <w:bodyDiv w:val="1"/>
      <w:marLeft w:val="0"/>
      <w:marRight w:val="0"/>
      <w:marTop w:val="0"/>
      <w:marBottom w:val="0"/>
      <w:divBdr>
        <w:top w:val="none" w:sz="0" w:space="0" w:color="auto"/>
        <w:left w:val="none" w:sz="0" w:space="0" w:color="auto"/>
        <w:bottom w:val="none" w:sz="0" w:space="0" w:color="auto"/>
        <w:right w:val="none" w:sz="0" w:space="0" w:color="auto"/>
      </w:divBdr>
      <w:divsChild>
        <w:div w:id="1407414499">
          <w:marLeft w:val="0"/>
          <w:marRight w:val="0"/>
          <w:marTop w:val="0"/>
          <w:marBottom w:val="0"/>
          <w:divBdr>
            <w:top w:val="none" w:sz="0" w:space="0" w:color="auto"/>
            <w:left w:val="none" w:sz="0" w:space="0" w:color="auto"/>
            <w:bottom w:val="none" w:sz="0" w:space="0" w:color="auto"/>
            <w:right w:val="none" w:sz="0" w:space="0" w:color="auto"/>
          </w:divBdr>
          <w:divsChild>
            <w:div w:id="228419413">
              <w:marLeft w:val="0"/>
              <w:marRight w:val="0"/>
              <w:marTop w:val="0"/>
              <w:marBottom w:val="0"/>
              <w:divBdr>
                <w:top w:val="none" w:sz="0" w:space="0" w:color="auto"/>
                <w:left w:val="none" w:sz="0" w:space="0" w:color="auto"/>
                <w:bottom w:val="none" w:sz="0" w:space="0" w:color="auto"/>
                <w:right w:val="none" w:sz="0" w:space="0" w:color="auto"/>
              </w:divBdr>
              <w:divsChild>
                <w:div w:id="1071735201">
                  <w:marLeft w:val="0"/>
                  <w:marRight w:val="0"/>
                  <w:marTop w:val="0"/>
                  <w:marBottom w:val="0"/>
                  <w:divBdr>
                    <w:top w:val="none" w:sz="0" w:space="0" w:color="auto"/>
                    <w:left w:val="none" w:sz="0" w:space="0" w:color="auto"/>
                    <w:bottom w:val="none" w:sz="0" w:space="0" w:color="auto"/>
                    <w:right w:val="none" w:sz="0" w:space="0" w:color="auto"/>
                  </w:divBdr>
                  <w:divsChild>
                    <w:div w:id="12427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435978">
      <w:bodyDiv w:val="1"/>
      <w:marLeft w:val="0"/>
      <w:marRight w:val="0"/>
      <w:marTop w:val="0"/>
      <w:marBottom w:val="0"/>
      <w:divBdr>
        <w:top w:val="none" w:sz="0" w:space="0" w:color="auto"/>
        <w:left w:val="none" w:sz="0" w:space="0" w:color="auto"/>
        <w:bottom w:val="none" w:sz="0" w:space="0" w:color="auto"/>
        <w:right w:val="none" w:sz="0" w:space="0" w:color="auto"/>
      </w:divBdr>
    </w:div>
    <w:div w:id="1413433065">
      <w:bodyDiv w:val="1"/>
      <w:marLeft w:val="0"/>
      <w:marRight w:val="0"/>
      <w:marTop w:val="0"/>
      <w:marBottom w:val="0"/>
      <w:divBdr>
        <w:top w:val="none" w:sz="0" w:space="0" w:color="auto"/>
        <w:left w:val="none" w:sz="0" w:space="0" w:color="auto"/>
        <w:bottom w:val="none" w:sz="0" w:space="0" w:color="auto"/>
        <w:right w:val="none" w:sz="0" w:space="0" w:color="auto"/>
      </w:divBdr>
    </w:div>
    <w:div w:id="1430851282">
      <w:bodyDiv w:val="1"/>
      <w:marLeft w:val="0"/>
      <w:marRight w:val="0"/>
      <w:marTop w:val="0"/>
      <w:marBottom w:val="0"/>
      <w:divBdr>
        <w:top w:val="none" w:sz="0" w:space="0" w:color="auto"/>
        <w:left w:val="none" w:sz="0" w:space="0" w:color="auto"/>
        <w:bottom w:val="none" w:sz="0" w:space="0" w:color="auto"/>
        <w:right w:val="none" w:sz="0" w:space="0" w:color="auto"/>
      </w:divBdr>
    </w:div>
    <w:div w:id="1469007134">
      <w:bodyDiv w:val="1"/>
      <w:marLeft w:val="0"/>
      <w:marRight w:val="0"/>
      <w:marTop w:val="0"/>
      <w:marBottom w:val="0"/>
      <w:divBdr>
        <w:top w:val="none" w:sz="0" w:space="0" w:color="auto"/>
        <w:left w:val="none" w:sz="0" w:space="0" w:color="auto"/>
        <w:bottom w:val="none" w:sz="0" w:space="0" w:color="auto"/>
        <w:right w:val="none" w:sz="0" w:space="0" w:color="auto"/>
      </w:divBdr>
    </w:div>
    <w:div w:id="1509978876">
      <w:bodyDiv w:val="1"/>
      <w:marLeft w:val="0"/>
      <w:marRight w:val="0"/>
      <w:marTop w:val="0"/>
      <w:marBottom w:val="0"/>
      <w:divBdr>
        <w:top w:val="none" w:sz="0" w:space="0" w:color="auto"/>
        <w:left w:val="none" w:sz="0" w:space="0" w:color="auto"/>
        <w:bottom w:val="none" w:sz="0" w:space="0" w:color="auto"/>
        <w:right w:val="none" w:sz="0" w:space="0" w:color="auto"/>
      </w:divBdr>
      <w:divsChild>
        <w:div w:id="323247099">
          <w:marLeft w:val="0"/>
          <w:marRight w:val="0"/>
          <w:marTop w:val="0"/>
          <w:marBottom w:val="0"/>
          <w:divBdr>
            <w:top w:val="none" w:sz="0" w:space="0" w:color="auto"/>
            <w:left w:val="none" w:sz="0" w:space="0" w:color="auto"/>
            <w:bottom w:val="none" w:sz="0" w:space="0" w:color="auto"/>
            <w:right w:val="none" w:sz="0" w:space="0" w:color="auto"/>
          </w:divBdr>
        </w:div>
      </w:divsChild>
    </w:div>
    <w:div w:id="1525438121">
      <w:bodyDiv w:val="1"/>
      <w:marLeft w:val="0"/>
      <w:marRight w:val="0"/>
      <w:marTop w:val="0"/>
      <w:marBottom w:val="0"/>
      <w:divBdr>
        <w:top w:val="none" w:sz="0" w:space="0" w:color="auto"/>
        <w:left w:val="none" w:sz="0" w:space="0" w:color="auto"/>
        <w:bottom w:val="none" w:sz="0" w:space="0" w:color="auto"/>
        <w:right w:val="none" w:sz="0" w:space="0" w:color="auto"/>
      </w:divBdr>
    </w:div>
    <w:div w:id="1537354761">
      <w:bodyDiv w:val="1"/>
      <w:marLeft w:val="0"/>
      <w:marRight w:val="0"/>
      <w:marTop w:val="0"/>
      <w:marBottom w:val="0"/>
      <w:divBdr>
        <w:top w:val="none" w:sz="0" w:space="0" w:color="auto"/>
        <w:left w:val="none" w:sz="0" w:space="0" w:color="auto"/>
        <w:bottom w:val="none" w:sz="0" w:space="0" w:color="auto"/>
        <w:right w:val="none" w:sz="0" w:space="0" w:color="auto"/>
      </w:divBdr>
    </w:div>
    <w:div w:id="1566911293">
      <w:bodyDiv w:val="1"/>
      <w:marLeft w:val="0"/>
      <w:marRight w:val="0"/>
      <w:marTop w:val="0"/>
      <w:marBottom w:val="0"/>
      <w:divBdr>
        <w:top w:val="none" w:sz="0" w:space="0" w:color="auto"/>
        <w:left w:val="none" w:sz="0" w:space="0" w:color="auto"/>
        <w:bottom w:val="none" w:sz="0" w:space="0" w:color="auto"/>
        <w:right w:val="none" w:sz="0" w:space="0" w:color="auto"/>
      </w:divBdr>
    </w:div>
    <w:div w:id="1576476465">
      <w:bodyDiv w:val="1"/>
      <w:marLeft w:val="0"/>
      <w:marRight w:val="0"/>
      <w:marTop w:val="0"/>
      <w:marBottom w:val="0"/>
      <w:divBdr>
        <w:top w:val="none" w:sz="0" w:space="0" w:color="auto"/>
        <w:left w:val="none" w:sz="0" w:space="0" w:color="auto"/>
        <w:bottom w:val="none" w:sz="0" w:space="0" w:color="auto"/>
        <w:right w:val="none" w:sz="0" w:space="0" w:color="auto"/>
      </w:divBdr>
    </w:div>
    <w:div w:id="1616446030">
      <w:bodyDiv w:val="1"/>
      <w:marLeft w:val="0"/>
      <w:marRight w:val="0"/>
      <w:marTop w:val="0"/>
      <w:marBottom w:val="0"/>
      <w:divBdr>
        <w:top w:val="none" w:sz="0" w:space="0" w:color="auto"/>
        <w:left w:val="none" w:sz="0" w:space="0" w:color="auto"/>
        <w:bottom w:val="none" w:sz="0" w:space="0" w:color="auto"/>
        <w:right w:val="none" w:sz="0" w:space="0" w:color="auto"/>
      </w:divBdr>
    </w:div>
    <w:div w:id="1631864624">
      <w:bodyDiv w:val="1"/>
      <w:marLeft w:val="0"/>
      <w:marRight w:val="0"/>
      <w:marTop w:val="0"/>
      <w:marBottom w:val="0"/>
      <w:divBdr>
        <w:top w:val="none" w:sz="0" w:space="0" w:color="auto"/>
        <w:left w:val="none" w:sz="0" w:space="0" w:color="auto"/>
        <w:bottom w:val="none" w:sz="0" w:space="0" w:color="auto"/>
        <w:right w:val="none" w:sz="0" w:space="0" w:color="auto"/>
      </w:divBdr>
    </w:div>
    <w:div w:id="1636721235">
      <w:bodyDiv w:val="1"/>
      <w:marLeft w:val="0"/>
      <w:marRight w:val="0"/>
      <w:marTop w:val="0"/>
      <w:marBottom w:val="0"/>
      <w:divBdr>
        <w:top w:val="none" w:sz="0" w:space="0" w:color="auto"/>
        <w:left w:val="none" w:sz="0" w:space="0" w:color="auto"/>
        <w:bottom w:val="none" w:sz="0" w:space="0" w:color="auto"/>
        <w:right w:val="none" w:sz="0" w:space="0" w:color="auto"/>
      </w:divBdr>
      <w:divsChild>
        <w:div w:id="2125801871">
          <w:marLeft w:val="0"/>
          <w:marRight w:val="0"/>
          <w:marTop w:val="0"/>
          <w:marBottom w:val="0"/>
          <w:divBdr>
            <w:top w:val="none" w:sz="0" w:space="0" w:color="auto"/>
            <w:left w:val="none" w:sz="0" w:space="0" w:color="auto"/>
            <w:bottom w:val="none" w:sz="0" w:space="0" w:color="auto"/>
            <w:right w:val="none" w:sz="0" w:space="0" w:color="auto"/>
          </w:divBdr>
          <w:divsChild>
            <w:div w:id="874579201">
              <w:marLeft w:val="0"/>
              <w:marRight w:val="0"/>
              <w:marTop w:val="0"/>
              <w:marBottom w:val="0"/>
              <w:divBdr>
                <w:top w:val="none" w:sz="0" w:space="0" w:color="auto"/>
                <w:left w:val="none" w:sz="0" w:space="0" w:color="auto"/>
                <w:bottom w:val="none" w:sz="0" w:space="0" w:color="auto"/>
                <w:right w:val="none" w:sz="0" w:space="0" w:color="auto"/>
              </w:divBdr>
            </w:div>
            <w:div w:id="18349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0402">
      <w:bodyDiv w:val="1"/>
      <w:marLeft w:val="0"/>
      <w:marRight w:val="0"/>
      <w:marTop w:val="0"/>
      <w:marBottom w:val="0"/>
      <w:divBdr>
        <w:top w:val="none" w:sz="0" w:space="0" w:color="auto"/>
        <w:left w:val="none" w:sz="0" w:space="0" w:color="auto"/>
        <w:bottom w:val="none" w:sz="0" w:space="0" w:color="auto"/>
        <w:right w:val="none" w:sz="0" w:space="0" w:color="auto"/>
      </w:divBdr>
    </w:div>
    <w:div w:id="1730808927">
      <w:bodyDiv w:val="1"/>
      <w:marLeft w:val="0"/>
      <w:marRight w:val="0"/>
      <w:marTop w:val="0"/>
      <w:marBottom w:val="0"/>
      <w:divBdr>
        <w:top w:val="none" w:sz="0" w:space="0" w:color="auto"/>
        <w:left w:val="none" w:sz="0" w:space="0" w:color="auto"/>
        <w:bottom w:val="none" w:sz="0" w:space="0" w:color="auto"/>
        <w:right w:val="none" w:sz="0" w:space="0" w:color="auto"/>
      </w:divBdr>
    </w:div>
    <w:div w:id="1843467968">
      <w:bodyDiv w:val="1"/>
      <w:marLeft w:val="0"/>
      <w:marRight w:val="0"/>
      <w:marTop w:val="0"/>
      <w:marBottom w:val="0"/>
      <w:divBdr>
        <w:top w:val="none" w:sz="0" w:space="0" w:color="auto"/>
        <w:left w:val="none" w:sz="0" w:space="0" w:color="auto"/>
        <w:bottom w:val="none" w:sz="0" w:space="0" w:color="auto"/>
        <w:right w:val="none" w:sz="0" w:space="0" w:color="auto"/>
      </w:divBdr>
    </w:div>
    <w:div w:id="1847474711">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6722282">
      <w:bodyDiv w:val="1"/>
      <w:marLeft w:val="0"/>
      <w:marRight w:val="0"/>
      <w:marTop w:val="0"/>
      <w:marBottom w:val="0"/>
      <w:divBdr>
        <w:top w:val="none" w:sz="0" w:space="0" w:color="auto"/>
        <w:left w:val="none" w:sz="0" w:space="0" w:color="auto"/>
        <w:bottom w:val="none" w:sz="0" w:space="0" w:color="auto"/>
        <w:right w:val="none" w:sz="0" w:space="0" w:color="auto"/>
      </w:divBdr>
      <w:divsChild>
        <w:div w:id="676426973">
          <w:marLeft w:val="0"/>
          <w:marRight w:val="0"/>
          <w:marTop w:val="0"/>
          <w:marBottom w:val="0"/>
          <w:divBdr>
            <w:top w:val="none" w:sz="0" w:space="0" w:color="auto"/>
            <w:left w:val="none" w:sz="0" w:space="0" w:color="auto"/>
            <w:bottom w:val="none" w:sz="0" w:space="0" w:color="auto"/>
            <w:right w:val="none" w:sz="0" w:space="0" w:color="auto"/>
          </w:divBdr>
        </w:div>
      </w:divsChild>
    </w:div>
    <w:div w:id="1902251653">
      <w:bodyDiv w:val="1"/>
      <w:marLeft w:val="0"/>
      <w:marRight w:val="0"/>
      <w:marTop w:val="0"/>
      <w:marBottom w:val="0"/>
      <w:divBdr>
        <w:top w:val="none" w:sz="0" w:space="0" w:color="auto"/>
        <w:left w:val="none" w:sz="0" w:space="0" w:color="auto"/>
        <w:bottom w:val="none" w:sz="0" w:space="0" w:color="auto"/>
        <w:right w:val="none" w:sz="0" w:space="0" w:color="auto"/>
      </w:divBdr>
    </w:div>
    <w:div w:id="1976596740">
      <w:bodyDiv w:val="1"/>
      <w:marLeft w:val="0"/>
      <w:marRight w:val="0"/>
      <w:marTop w:val="0"/>
      <w:marBottom w:val="0"/>
      <w:divBdr>
        <w:top w:val="none" w:sz="0" w:space="0" w:color="auto"/>
        <w:left w:val="none" w:sz="0" w:space="0" w:color="auto"/>
        <w:bottom w:val="none" w:sz="0" w:space="0" w:color="auto"/>
        <w:right w:val="none" w:sz="0" w:space="0" w:color="auto"/>
      </w:divBdr>
    </w:div>
    <w:div w:id="2002653587">
      <w:bodyDiv w:val="1"/>
      <w:marLeft w:val="0"/>
      <w:marRight w:val="0"/>
      <w:marTop w:val="0"/>
      <w:marBottom w:val="0"/>
      <w:divBdr>
        <w:top w:val="none" w:sz="0" w:space="0" w:color="auto"/>
        <w:left w:val="none" w:sz="0" w:space="0" w:color="auto"/>
        <w:bottom w:val="none" w:sz="0" w:space="0" w:color="auto"/>
        <w:right w:val="none" w:sz="0" w:space="0" w:color="auto"/>
      </w:divBdr>
    </w:div>
    <w:div w:id="2021159537">
      <w:bodyDiv w:val="1"/>
      <w:marLeft w:val="0"/>
      <w:marRight w:val="0"/>
      <w:marTop w:val="0"/>
      <w:marBottom w:val="0"/>
      <w:divBdr>
        <w:top w:val="none" w:sz="0" w:space="0" w:color="auto"/>
        <w:left w:val="none" w:sz="0" w:space="0" w:color="auto"/>
        <w:bottom w:val="none" w:sz="0" w:space="0" w:color="auto"/>
        <w:right w:val="none" w:sz="0" w:space="0" w:color="auto"/>
      </w:divBdr>
    </w:div>
    <w:div w:id="2034500153">
      <w:bodyDiv w:val="1"/>
      <w:marLeft w:val="0"/>
      <w:marRight w:val="0"/>
      <w:marTop w:val="0"/>
      <w:marBottom w:val="0"/>
      <w:divBdr>
        <w:top w:val="none" w:sz="0" w:space="0" w:color="auto"/>
        <w:left w:val="none" w:sz="0" w:space="0" w:color="auto"/>
        <w:bottom w:val="none" w:sz="0" w:space="0" w:color="auto"/>
        <w:right w:val="none" w:sz="0" w:space="0" w:color="auto"/>
      </w:divBdr>
    </w:div>
    <w:div w:id="2037845073">
      <w:bodyDiv w:val="1"/>
      <w:marLeft w:val="0"/>
      <w:marRight w:val="0"/>
      <w:marTop w:val="0"/>
      <w:marBottom w:val="0"/>
      <w:divBdr>
        <w:top w:val="none" w:sz="0" w:space="0" w:color="auto"/>
        <w:left w:val="none" w:sz="0" w:space="0" w:color="auto"/>
        <w:bottom w:val="none" w:sz="0" w:space="0" w:color="auto"/>
        <w:right w:val="none" w:sz="0" w:space="0" w:color="auto"/>
      </w:divBdr>
    </w:div>
    <w:div w:id="2134517725">
      <w:bodyDiv w:val="1"/>
      <w:marLeft w:val="0"/>
      <w:marRight w:val="0"/>
      <w:marTop w:val="0"/>
      <w:marBottom w:val="0"/>
      <w:divBdr>
        <w:top w:val="none" w:sz="0" w:space="0" w:color="auto"/>
        <w:left w:val="none" w:sz="0" w:space="0" w:color="auto"/>
        <w:bottom w:val="none" w:sz="0" w:space="0" w:color="auto"/>
        <w:right w:val="none" w:sz="0" w:space="0" w:color="auto"/>
      </w:divBdr>
    </w:div>
    <w:div w:id="2142766920">
      <w:bodyDiv w:val="1"/>
      <w:marLeft w:val="0"/>
      <w:marRight w:val="0"/>
      <w:marTop w:val="0"/>
      <w:marBottom w:val="0"/>
      <w:divBdr>
        <w:top w:val="none" w:sz="0" w:space="0" w:color="auto"/>
        <w:left w:val="none" w:sz="0" w:space="0" w:color="auto"/>
        <w:bottom w:val="none" w:sz="0" w:space="0" w:color="auto"/>
        <w:right w:val="none" w:sz="0" w:space="0" w:color="auto"/>
      </w:divBdr>
      <w:divsChild>
        <w:div w:id="828407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sv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svg"/><Relationship Id="rId52"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sv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oter" Target="footer3.xml"/></Relationships>
</file>

<file path=word/_rels/footnotes.xml.rels><?xml version="1.0" encoding="UTF-8" standalone="yes"?>
<Relationships xmlns="http://schemas.openxmlformats.org/package/2006/relationships"><Relationship Id="rId117" Type="http://schemas.openxmlformats.org/officeDocument/2006/relationships/hyperlink" Target="https://www.theglobeandmail.com/canada/british-columbia/article-private-donation-helps-attract-teachers-to-rural-bc-with-10000-cash/" TargetMode="External"/><Relationship Id="rId21" Type="http://schemas.openxmlformats.org/officeDocument/2006/relationships/hyperlink" Target="https://www.gob.cl/en/news/the-school-inclusion-law-10-key-points/" TargetMode="External"/><Relationship Id="rId42" Type="http://schemas.openxmlformats.org/officeDocument/2006/relationships/hyperlink" Target="https://ncee.org/country/hong-kong/" TargetMode="External"/><Relationship Id="rId63" Type="http://schemas.openxmlformats.org/officeDocument/2006/relationships/hyperlink" Target="https://journals.sagepub.com/doi/10.1177/1474904115592489" TargetMode="External"/><Relationship Id="rId84" Type="http://schemas.openxmlformats.org/officeDocument/2006/relationships/hyperlink" Target="https://www.aeaweb.org/articles?id=10.1257/aer.20151422" TargetMode="External"/><Relationship Id="rId138" Type="http://schemas.openxmlformats.org/officeDocument/2006/relationships/hyperlink" Target="https://www.vu.edu.au/sites/default/files/educational-opportunity-in-australia-2020.pdf" TargetMode="External"/><Relationship Id="rId159" Type="http://schemas.openxmlformats.org/officeDocument/2006/relationships/hyperlink" Target="https://bera-journals.onlinelibrary.wiley.com/doi/full/10.1002/berj.3593" TargetMode="External"/><Relationship Id="rId107" Type="http://schemas.openxmlformats.org/officeDocument/2006/relationships/hyperlink" Target="https://www.oecd.org/education/school/attractingdevelopingandretainingeffectiveteachers-finalreportteachersmatter.htm" TargetMode="External"/><Relationship Id="rId11" Type="http://schemas.openxmlformats.org/officeDocument/2006/relationships/hyperlink" Target="https://files.eric.ed.gov/fulltext/ED556320.pdf" TargetMode="External"/><Relationship Id="rId32" Type="http://schemas.openxmlformats.org/officeDocument/2006/relationships/hyperlink" Target="https://journals.sagepub.com/doi/full/10.1177/0002716217732033" TargetMode="External"/><Relationship Id="rId53" Type="http://schemas.openxmlformats.org/officeDocument/2006/relationships/hyperlink" Target="https://www.oecd.org/pisa/publications/PISA2018_CN_NZL.pdf" TargetMode="External"/><Relationship Id="rId74" Type="http://schemas.openxmlformats.org/officeDocument/2006/relationships/hyperlink" Target="https://www.sciencedirect.com/science/article/abs/pii/S0899825621000671" TargetMode="External"/><Relationship Id="rId128" Type="http://schemas.openxmlformats.org/officeDocument/2006/relationships/hyperlink" Target="http://ies.ed.gov/ncee" TargetMode="External"/><Relationship Id="rId149" Type="http://schemas.openxmlformats.org/officeDocument/2006/relationships/hyperlink" Target="https://www.bigpicture.org.au/schools/big-picture-school-distinguishers-0" TargetMode="External"/><Relationship Id="rId5" Type="http://schemas.openxmlformats.org/officeDocument/2006/relationships/hyperlink" Target="https://onlinelibrary.wiley.com/doi/full/10.1111/j.1756-5391.2009.01032.x" TargetMode="External"/><Relationship Id="rId95" Type="http://schemas.openxmlformats.org/officeDocument/2006/relationships/hyperlink" Target="https://www.oecd.org/education/school/50293148.pdf" TargetMode="External"/><Relationship Id="rId160" Type="http://schemas.openxmlformats.org/officeDocument/2006/relationships/hyperlink" Target="https://www.frontiersin.org/articles/10.3389/feduc.2019.00003/full" TargetMode="External"/><Relationship Id="rId22" Type="http://schemas.openxmlformats.org/officeDocument/2006/relationships/hyperlink" Target="https://tspace.library.utoronto.ca/bitstream/1807/123895/1/RIES%20-%20Technical%20Report%20-%20Socio-Economic%20Segregation.pdf" TargetMode="External"/><Relationship Id="rId43" Type="http://schemas.openxmlformats.org/officeDocument/2006/relationships/hyperlink" Target="https://www.edb.gov.hk/en/edu-system/primary-secondary/applicable-to-primary-secondary/direct-subsidy-scheme/info-sch.html" TargetMode="External"/><Relationship Id="rId64" Type="http://schemas.openxmlformats.org/officeDocument/2006/relationships/hyperlink" Target="https://link.springer.com/chapter/10.1007/978-3-030-59031-4_7" TargetMode="External"/><Relationship Id="rId118" Type="http://schemas.openxmlformats.org/officeDocument/2006/relationships/hyperlink" Target="https://www.teachnz.govt.nz/assets/Uploads/Voluntary-Bonding-Scheme/ELS-0261-VBS-Application-Guide.pdf" TargetMode="External"/><Relationship Id="rId139" Type="http://schemas.openxmlformats.org/officeDocument/2006/relationships/hyperlink" Target="https://research.acer.edu.au/cgi/viewcontent.cgi?article=1005&amp;context=policyinsights" TargetMode="External"/><Relationship Id="rId85" Type="http://schemas.openxmlformats.org/officeDocument/2006/relationships/hyperlink" Target="http://www.nber.org/papers/w30308" TargetMode="External"/><Relationship Id="rId150" Type="http://schemas.openxmlformats.org/officeDocument/2006/relationships/hyperlink" Target="https://www.bigpicture.org.au/what-international-big-picture-learning-credential" TargetMode="External"/><Relationship Id="rId12" Type="http://schemas.openxmlformats.org/officeDocument/2006/relationships/hyperlink" Target="https://www.oecd-ilibrary.org/docserver/b5fd1b8f-en.pdf?expires=1698026286&amp;id=id&amp;accname=guest&amp;checksum=D1F0F7133C6F7822F83AF3172B7D1F27" TargetMode="External"/><Relationship Id="rId33" Type="http://schemas.openxmlformats.org/officeDocument/2006/relationships/hyperlink" Target="https://www.utpjournals.press/doi/full/10.3138/cpp.2019-039" TargetMode="External"/><Relationship Id="rId108" Type="http://schemas.openxmlformats.org/officeDocument/2006/relationships/hyperlink" Target="https://www.rand.org/pubs/research_reports/RRA181-1.html" TargetMode="External"/><Relationship Id="rId129" Type="http://schemas.openxmlformats.org/officeDocument/2006/relationships/hyperlink" Target="https://www.mathematica.org/publications/evaluation-of-the-teacher-incentive-fund-final-report-on-implementation-and-impacts" TargetMode="External"/><Relationship Id="rId54" Type="http://schemas.openxmlformats.org/officeDocument/2006/relationships/hyperlink" Target="https://www.ppta.org.nz/publication-library/annual-conference-papers-2017-2018/document/299;" TargetMode="External"/><Relationship Id="rId70" Type="http://schemas.openxmlformats.org/officeDocument/2006/relationships/hyperlink" Target="https://doi.org/10.3102/00346543231195816" TargetMode="External"/><Relationship Id="rId75" Type="http://schemas.openxmlformats.org/officeDocument/2006/relationships/hyperlink" Target="https://www.bristol.ac.uk/media-library/sites/cmpo/migrated/documents/wp244.pdf" TargetMode="External"/><Relationship Id="rId91" Type="http://schemas.openxmlformats.org/officeDocument/2006/relationships/hyperlink" Target="https://www.ipp.eu/publication/reforme-daffelnet-lycee-a-paris-quels-effets-sur-la-mixite-sociale-et-scolaire/" TargetMode="External"/><Relationship Id="rId96" Type="http://schemas.openxmlformats.org/officeDocument/2006/relationships/hyperlink" Target="https://www.aeuvic.asn.au/new-oecd-report-highlights-unmet-need-australias-public-schools" TargetMode="External"/><Relationship Id="rId140" Type="http://schemas.openxmlformats.org/officeDocument/2006/relationships/hyperlink" Target="https://amsi.org.au/?publications=the-state-of-mathematical-sciences-2020-7th-discipline-profile-of-mathematics-and-statistics-in-australia" TargetMode="External"/><Relationship Id="rId145" Type="http://schemas.openxmlformats.org/officeDocument/2006/relationships/hyperlink" Target="https://unsw.press/books/waiting-for-gonski/" TargetMode="External"/><Relationship Id="rId161" Type="http://schemas.openxmlformats.org/officeDocument/2006/relationships/hyperlink" Target="https://nasenjournals.onlinelibrary.wiley.com/doi/10.1111/1467-8578.12396" TargetMode="External"/><Relationship Id="rId166" Type="http://schemas.openxmlformats.org/officeDocument/2006/relationships/hyperlink" Target="https://nousgroup.sharepoint.com/sites/TS18412/Shared%20Documents/General/Deliverables/10.1080/03057925.2014.905103" TargetMode="External"/><Relationship Id="rId1" Type="http://schemas.openxmlformats.org/officeDocument/2006/relationships/hyperlink" Target="https://link.springer.com/chapter/10.1007/978-1-4020-5916-2_27" TargetMode="External"/><Relationship Id="rId6" Type="http://schemas.openxmlformats.org/officeDocument/2006/relationships/hyperlink" Target="https://www.unisa.edu.au/contentassets/09c08546060243cda62e35c3c6ae073b/barrymcgaw_presentation_aug06.pdf" TargetMode="External"/><Relationship Id="rId23" Type="http://schemas.openxmlformats.org/officeDocument/2006/relationships/hyperlink" Target="https://www.oecd.org/pisa/publications/PISA2018_CN_HKG.pdf" TargetMode="External"/><Relationship Id="rId28" Type="http://schemas.openxmlformats.org/officeDocument/2006/relationships/hyperlink" Target="https://www150.statcan.gc.ca/n1/en/pub/81-599-x/81-599-x2022002-eng.pdf?st=d01G0u9D" TargetMode="External"/><Relationship Id="rId49" Type="http://schemas.openxmlformats.org/officeDocument/2006/relationships/hyperlink" Target="https://eric.ed.gov/?id=EJ1082855" TargetMode="External"/><Relationship Id="rId114" Type="http://schemas.openxmlformats.org/officeDocument/2006/relationships/hyperlink" Target="https://www.gov.uk/guidance/early-career-payments-guidance-for-teachers-and-schools" TargetMode="External"/><Relationship Id="rId119" Type="http://schemas.openxmlformats.org/officeDocument/2006/relationships/hyperlink" Target="https://www.teachnz.govt.nz/finding-a-teaching-job/voluntary-bonding-scheme/" TargetMode="External"/><Relationship Id="rId44" Type="http://schemas.openxmlformats.org/officeDocument/2006/relationships/hyperlink" Target="https://www.legco.gov.hk/yr00-01/english/panels/ed/papers/264e02.pdf" TargetMode="External"/><Relationship Id="rId60" Type="http://schemas.openxmlformats.org/officeDocument/2006/relationships/hyperlink" Target="https://www.oecd-ilibrary.org/sites/958d7736-en/index.html?itemId=/content/component/958d7736-en" TargetMode="External"/><Relationship Id="rId65" Type="http://schemas.openxmlformats.org/officeDocument/2006/relationships/hyperlink" Target="https://www.nber.org/system/files/working_papers/w23550/w23550.pdf" TargetMode="External"/><Relationship Id="rId81" Type="http://schemas.openxmlformats.org/officeDocument/2006/relationships/hyperlink" Target="https://onlinelibrary.wiley.com/doi/10.1002/pam.21748" TargetMode="External"/><Relationship Id="rId86" Type="http://schemas.openxmlformats.org/officeDocument/2006/relationships/hyperlink" Target="https://www.ipp.eu/wp-content/uploads/2023/02/Note_IPP_88.pdf" TargetMode="External"/><Relationship Id="rId130" Type="http://schemas.openxmlformats.org/officeDocument/2006/relationships/hyperlink" Target="https://www.sciencedirect.com/science/article/abs/pii/S0272775719300676" TargetMode="External"/><Relationship Id="rId135" Type="http://schemas.openxmlformats.org/officeDocument/2006/relationships/hyperlink" Target="https://www.nber.org/papers/w31359" TargetMode="External"/><Relationship Id="rId151" Type="http://schemas.openxmlformats.org/officeDocument/2006/relationships/hyperlink" Target="https://www.bigpicture.org.au/bpla-nsw-data-story" TargetMode="External"/><Relationship Id="rId156" Type="http://schemas.openxmlformats.org/officeDocument/2006/relationships/hyperlink" Target="https://unitedlearning.org.uk/about-us/welcome-to-united-learning" TargetMode="External"/><Relationship Id="rId13" Type="http://schemas.openxmlformats.org/officeDocument/2006/relationships/hyperlink" Target="https://www.oecd-ilibrary.org/docserver/b5fd1b8f-en.pdf?expires=1698026286&amp;id=id&amp;accname=guest&amp;checksum=D1F0F7133C6F7822F83AF3172B7D1F27" TargetMode="External"/><Relationship Id="rId18" Type="http://schemas.openxmlformats.org/officeDocument/2006/relationships/hyperlink" Target="https://www.ocsta.on.ca/catholic-schools-in-ontario/" TargetMode="External"/><Relationship Id="rId39" Type="http://schemas.openxmlformats.org/officeDocument/2006/relationships/hyperlink" Target="https://www.education.govt.nz/school/funding-and-financials/fees-charges-and-donations/" TargetMode="External"/><Relationship Id="rId109" Type="http://schemas.openxmlformats.org/officeDocument/2006/relationships/hyperlink" Target="https://research.acer.edu.au/cgi/viewcontent.cgi?article=1007&amp;context=learning_processes" TargetMode="External"/><Relationship Id="rId34" Type="http://schemas.openxmlformats.org/officeDocument/2006/relationships/hyperlink" Target="https://theconversation.com/global-education-rankings-may-overlook-poor-graduation-rates-127170" TargetMode="External"/><Relationship Id="rId50" Type="http://schemas.openxmlformats.org/officeDocument/2006/relationships/hyperlink" Target="https://nzcatholic.org.nz/2019/02/11/ethnic-mix-changing-in-catholic-schools/" TargetMode="External"/><Relationship Id="rId55" Type="http://schemas.openxmlformats.org/officeDocument/2006/relationships/hyperlink" Target="https://www.stuff.co.nz/national/education/128392315/stateintegrated-schools-preserving-elitism-or-providing-diversity" TargetMode="External"/><Relationship Id="rId76" Type="http://schemas.openxmlformats.org/officeDocument/2006/relationships/hyperlink" Target="https://tcf.org/content/report/chicago-public-schools/" TargetMode="External"/><Relationship Id="rId97" Type="http://schemas.openxmlformats.org/officeDocument/2006/relationships/hyperlink" Target="https://www.gov.uk/government/publications/pupil-premium/pupil-premium" TargetMode="External"/><Relationship Id="rId104" Type="http://schemas.openxmlformats.org/officeDocument/2006/relationships/hyperlink" Target="https://www.aeuvic.asn.au/new-oecd-report-highlights-unmet-need-australias-public-schools" TargetMode="External"/><Relationship Id="rId120" Type="http://schemas.openxmlformats.org/officeDocument/2006/relationships/hyperlink" Target="https://files.eric.ed.gov/fulltext/ED587438.pdf" TargetMode="External"/><Relationship Id="rId125" Type="http://schemas.openxmlformats.org/officeDocument/2006/relationships/hyperlink" Target="https://oese.ed.gov/teacher-incentive-fund/" TargetMode="External"/><Relationship Id="rId141" Type="http://schemas.openxmlformats.org/officeDocument/2006/relationships/hyperlink" Target="https://theconversation.com/why-markets-cant-deliver-excellence-and-equity-in-schools-25711" TargetMode="External"/><Relationship Id="rId146" Type="http://schemas.openxmlformats.org/officeDocument/2006/relationships/hyperlink" Target="https://nousgroup.sharepoint.com/sites/TS18412/Shared%20Documents/General/Deliverables/:%20https:/rethinkingassessment.com/rethinking-blogs/new-metrics-for-success/" TargetMode="External"/><Relationship Id="rId167" Type="http://schemas.openxmlformats.org/officeDocument/2006/relationships/hyperlink" Target="https://www.nber.org/papers/w23550" TargetMode="External"/><Relationship Id="rId7" Type="http://schemas.openxmlformats.org/officeDocument/2006/relationships/hyperlink" Target="https://www.oecd-ilibrary.org/docserver/b5fd1b8f-en.pdf?expires=1698027744&amp;id=id&amp;accname=guest&amp;checksum=02957AD535C0A0693F9E3535EEFD53CE" TargetMode="External"/><Relationship Id="rId71" Type="http://schemas.openxmlformats.org/officeDocument/2006/relationships/hyperlink" Target="https://files.eric.ed.gov/fulltext/EJ1045657.pdf" TargetMode="External"/><Relationship Id="rId92" Type="http://schemas.openxmlformats.org/officeDocument/2006/relationships/hyperlink" Target="https://www.tandfonline.com/doi/full/10.1080/03050068.2022.2055297" TargetMode="External"/><Relationship Id="rId162" Type="http://schemas.openxmlformats.org/officeDocument/2006/relationships/hyperlink" Target="https://ouci.dntb.gov.ua/en/works/lmwXP2n7/" TargetMode="External"/><Relationship Id="rId2" Type="http://schemas.openxmlformats.org/officeDocument/2006/relationships/hyperlink" Target="https://apo.org.au/node/26252" TargetMode="External"/><Relationship Id="rId29" Type="http://schemas.openxmlformats.org/officeDocument/2006/relationships/hyperlink" Target="https://www.oecd.org/pisa/publications/PISA2018_CN_HKG.pdf" TargetMode="External"/><Relationship Id="rId24" Type="http://schemas.openxmlformats.org/officeDocument/2006/relationships/hyperlink" Target="https://www.fraserinstitute.org/sites/default/files/what-international-tests-PISA-tell-us-about-education-in-canada.pdf" TargetMode="External"/><Relationship Id="rId40" Type="http://schemas.openxmlformats.org/officeDocument/2006/relationships/hyperlink" Target="https://www.legislation.govt.nz/act/public/1975/0129/7.0/DLM437585.html" TargetMode="External"/><Relationship Id="rId45" Type="http://schemas.openxmlformats.org/officeDocument/2006/relationships/hyperlink" Target="https://eric.ed.gov/?id=EJ1082855" TargetMode="External"/><Relationship Id="rId66" Type="http://schemas.openxmlformats.org/officeDocument/2006/relationships/hyperlink" Target="https://doi.org/10.3102/0002831217724116" TargetMode="External"/><Relationship Id="rId87" Type="http://schemas.openxmlformats.org/officeDocument/2006/relationships/hyperlink" Target="https://shs.hal.science/halshs-02539802/document" TargetMode="External"/><Relationship Id="rId110" Type="http://schemas.openxmlformats.org/officeDocument/2006/relationships/hyperlink" Target="https://www.oecd.org/education/school/attractingdevelopingandretainingeffectiveteachers-finalreportteachersmatter.htm" TargetMode="External"/><Relationship Id="rId115" Type="http://schemas.openxmlformats.org/officeDocument/2006/relationships/hyperlink" Target="https://www.edcan.ca/articles/community-based-teacher-education/" TargetMode="External"/><Relationship Id="rId131" Type="http://schemas.openxmlformats.org/officeDocument/2006/relationships/hyperlink" Target="https://www.sciencedirect.com/science/article/abs/pii/S0272775719300676" TargetMode="External"/><Relationship Id="rId136" Type="http://schemas.openxmlformats.org/officeDocument/2006/relationships/hyperlink" Target="https://nousgroup.sharepoint.com/sites/TS18412/Shared%20Documents/General/Deliverables/educsci10100262" TargetMode="External"/><Relationship Id="rId157" Type="http://schemas.openxmlformats.org/officeDocument/2006/relationships/hyperlink" Target="https://www.americanprogress.org/wp-content/uploads/sites/2/2013/05/ShanghaiReport-2.pdf" TargetMode="External"/><Relationship Id="rId61" Type="http://schemas.openxmlformats.org/officeDocument/2006/relationships/hyperlink" Target="https://www.oecd-ilibrary.org/sites/5a0ce712-en/index.html?itemId=/content/component/5a0ce712-en" TargetMode="External"/><Relationship Id="rId82" Type="http://schemas.openxmlformats.org/officeDocument/2006/relationships/hyperlink" Target="https://www.sciencedirect.com/science/article/pii/S0047272721000360" TargetMode="External"/><Relationship Id="rId152" Type="http://schemas.openxmlformats.org/officeDocument/2006/relationships/hyperlink" Target="https://ero.govt.nz/sites/default/files/2021-11/Te%20Aho%20o%20te%20Kura%20Pounamu%20Education%20Review%20Report%205%20November%202021.pdf" TargetMode="External"/><Relationship Id="rId19" Type="http://schemas.openxmlformats.org/officeDocument/2006/relationships/hyperlink" Target="https://www.brookings.edu/articles/5-lessons-from-recent-educational-reforms-in-chile/" TargetMode="External"/><Relationship Id="rId14" Type="http://schemas.openxmlformats.org/officeDocument/2006/relationships/hyperlink" Target="https://www.atlanticcouncil.org/content-series/latamsource/chile-best-education-system/" TargetMode="External"/><Relationship Id="rId30" Type="http://schemas.openxmlformats.org/officeDocument/2006/relationships/hyperlink" Target="https://publications.iadb.org/en/consequences-educational-voucher-reform-chile" TargetMode="External"/><Relationship Id="rId35" Type="http://schemas.openxmlformats.org/officeDocument/2006/relationships/hyperlink" Target="https://blogs.worldbank.org/latinamerica/what-are-the-main-results-pisa-2018-latin-america" TargetMode="External"/><Relationship Id="rId56" Type="http://schemas.openxmlformats.org/officeDocument/2006/relationships/hyperlink" Target="https://www.stuff.co.nz/dominion-post/news/94231092/special-characters-the-statefunded-schools-that-ask-pupils-for-5000-and-more" TargetMode="External"/><Relationship Id="rId77" Type="http://schemas.openxmlformats.org/officeDocument/2006/relationships/hyperlink" Target="https://doi.org/10.3102/00346543231195816" TargetMode="External"/><Relationship Id="rId100" Type="http://schemas.openxmlformats.org/officeDocument/2006/relationships/hyperlink" Target="https://assets.publishing.service.gov.uk/government/uploads/system/uploads/attachment_data/file/1156633/PIRLS_2021_-_national_report_for_England__May_2023.pdf" TargetMode="External"/><Relationship Id="rId105" Type="http://schemas.openxmlformats.org/officeDocument/2006/relationships/hyperlink" Target="https://doi.org/10.1787/9789264044715-en" TargetMode="External"/><Relationship Id="rId126" Type="http://schemas.openxmlformats.org/officeDocument/2006/relationships/hyperlink" Target="https://oese.ed.gov/offices/office-of-discretionary-grants-support-services/effective-educator-development-programs/teacher-and-school-leader-incentive-program/" TargetMode="External"/><Relationship Id="rId147" Type="http://schemas.openxmlformats.org/officeDocument/2006/relationships/hyperlink" Target="https://education.unimelb.edu.au/__data/assets/pdf_file/0007/3938029/Talking-Teaching-S4E4-transcript.pdf" TargetMode="External"/><Relationship Id="rId168" Type="http://schemas.openxmlformats.org/officeDocument/2006/relationships/hyperlink" Target="https://onlinelibrary.wiley.com/doi/epdf/10.1111/j.1467-842X.1999.tb01240.x" TargetMode="External"/><Relationship Id="rId8" Type="http://schemas.openxmlformats.org/officeDocument/2006/relationships/hyperlink" Target="https://doi.org/10.1787/9789264247598-7-en" TargetMode="External"/><Relationship Id="rId51" Type="http://schemas.openxmlformats.org/officeDocument/2006/relationships/hyperlink" Target="https://doi.org/10.1787/b5fd1b8f-en" TargetMode="External"/><Relationship Id="rId72" Type="http://schemas.openxmlformats.org/officeDocument/2006/relationships/hyperlink" Target="https://villejuste.com/wp-content/uploads/2022/04/School_mixing_intelligent_school_zoning_report.pdf" TargetMode="External"/><Relationship Id="rId93" Type="http://schemas.openxmlformats.org/officeDocument/2006/relationships/hyperlink" Target="https://www.gie.unsw.edu.au/sites/default/files/documents/Equity%20Survey%20Technical%20Report%20Final%2019%20July.pdf" TargetMode="External"/><Relationship Id="rId98" Type="http://schemas.openxmlformats.org/officeDocument/2006/relationships/hyperlink" Target="https://ncee.org/country/hong-kong/" TargetMode="External"/><Relationship Id="rId121" Type="http://schemas.openxmlformats.org/officeDocument/2006/relationships/hyperlink" Target="http://en.moe.gov.cn/documents/laws_policies/202309/t20230901_1077834.html" TargetMode="External"/><Relationship Id="rId142" Type="http://schemas.openxmlformats.org/officeDocument/2006/relationships/hyperlink" Target="https://www.education.gov.au/quality-schools-package/resources/looking-future-report-review-senior-secondary-pathways-work-further-education-and-training" TargetMode="External"/><Relationship Id="rId163" Type="http://schemas.openxmlformats.org/officeDocument/2006/relationships/hyperlink" Target="https://www.oecd.org/pisa/PISA%202018%20Insights%20and%20Interpretations%20FINAL%20PDF.pdf" TargetMode="External"/><Relationship Id="rId3" Type="http://schemas.openxmlformats.org/officeDocument/2006/relationships/hyperlink" Target="https://www.vu.edu.au/sites/default/files/educational-opportunity-in-australia-2020.pdf" TargetMode="External"/><Relationship Id="rId25" Type="http://schemas.openxmlformats.org/officeDocument/2006/relationships/hyperlink" Target="https://nousgroup.sharepoint.com/sites/TS18412/Shared%20Documents/General/Deliverables/Socio-Economic%20Segregation%20Between%20Schools%20in%20Canada&#8217;" TargetMode="External"/><Relationship Id="rId46" Type="http://schemas.openxmlformats.org/officeDocument/2006/relationships/hyperlink" Target="https://www.tandfonline.com/doi/full/10.1080/15582159.2019.1610687" TargetMode="External"/><Relationship Id="rId67" Type="http://schemas.openxmlformats.org/officeDocument/2006/relationships/hyperlink" Target="https://doi.org/10.1787/eag-2010-29-en" TargetMode="External"/><Relationship Id="rId116" Type="http://schemas.openxmlformats.org/officeDocument/2006/relationships/hyperlink" Target="https://yukon.ca/en/pay-benefits-pension" TargetMode="External"/><Relationship Id="rId137" Type="http://schemas.openxmlformats.org/officeDocument/2006/relationships/hyperlink" Target="https://www.sciencedirect.com/science/article/abs/pii/S0272775719300676" TargetMode="External"/><Relationship Id="rId158" Type="http://schemas.openxmlformats.org/officeDocument/2006/relationships/hyperlink" Target="https://files.eric.ed.gov/fulltext/ED556320.pdf" TargetMode="External"/><Relationship Id="rId20" Type="http://schemas.openxmlformats.org/officeDocument/2006/relationships/hyperlink" Target="https://www.gob.cl/en/news/the-school-inclusion-law-10-key-points/" TargetMode="External"/><Relationship Id="rId41" Type="http://schemas.openxmlformats.org/officeDocument/2006/relationships/hyperlink" Target="https://www.educationcounts.govt.nz/find-school/donations-summary" TargetMode="External"/><Relationship Id="rId62" Type="http://schemas.openxmlformats.org/officeDocument/2006/relationships/hyperlink" Target="https://bera-journals.onlinelibrary.wiley.com/doi/full/10.1002/berj.3746" TargetMode="External"/><Relationship Id="rId83" Type="http://schemas.openxmlformats.org/officeDocument/2006/relationships/hyperlink" Target="https://www.jstor.org/stable/41038793" TargetMode="External"/><Relationship Id="rId88" Type="http://schemas.openxmlformats.org/officeDocument/2006/relationships/hyperlink" Target="http://www.nber.org/papers/w30308" TargetMode="External"/><Relationship Id="rId111" Type="http://schemas.openxmlformats.org/officeDocument/2006/relationships/hyperlink" Target="https://library.villanova.edu/Find/Record/1258147/TOC" TargetMode="External"/><Relationship Id="rId132" Type="http://schemas.openxmlformats.org/officeDocument/2006/relationships/hyperlink" Target="https://www.sciencedirect.com/science/article/abs/pii/S0272775719300676" TargetMode="External"/><Relationship Id="rId153" Type="http://schemas.openxmlformats.org/officeDocument/2006/relationships/hyperlink" Target="https://www.tandfonline.com/doi/full/10.1080/13632434.2021.1872525" TargetMode="External"/><Relationship Id="rId15" Type="http://schemas.openxmlformats.org/officeDocument/2006/relationships/hyperlink" Target="https://www.brookings.edu/articles/latin-american-countries-pay-attention-to-global-assessments-of-student-learning/" TargetMode="External"/><Relationship Id="rId36" Type="http://schemas.openxmlformats.org/officeDocument/2006/relationships/hyperlink" Target="https://www.oecd.org/pisa/publications/PISA2018_CN_CHL.pdf" TargetMode="External"/><Relationship Id="rId57" Type="http://schemas.openxmlformats.org/officeDocument/2006/relationships/hyperlink" Target="https://www.vu.edu.au/sites/default/files/cires-policy-brief-02-2021.pdf" TargetMode="External"/><Relationship Id="rId106" Type="http://schemas.openxmlformats.org/officeDocument/2006/relationships/hyperlink" Target="https://www.oecd.org/education/school/attractingdevelopingandretainingeffectiveteachers-finalreportteachersmatter.htm" TargetMode="External"/><Relationship Id="rId127" Type="http://schemas.openxmlformats.org/officeDocument/2006/relationships/hyperlink" Target="https://studentaid.gov/manage-loans/forgiveness-cancellation/teacher" TargetMode="External"/><Relationship Id="rId10" Type="http://schemas.openxmlformats.org/officeDocument/2006/relationships/hyperlink" Target="https://link.springer.com/chapter/10.1007/978-3-031-36147-0_8" TargetMode="External"/><Relationship Id="rId31" Type="http://schemas.openxmlformats.org/officeDocument/2006/relationships/hyperlink" Target="https://christopherneilson.github.io/work/documents/Neilson_SEPVouchers.pdf" TargetMode="External"/><Relationship Id="rId52" Type="http://schemas.openxmlformats.org/officeDocument/2006/relationships/hyperlink" Target="https://www.oecd.org/pisa/publications/PISA2018_CN_AUS.pdf" TargetMode="External"/><Relationship Id="rId73" Type="http://schemas.openxmlformats.org/officeDocument/2006/relationships/hyperlink" Target="https://villejuste.com/wp-content/uploads/2022/04/School_mixing_intelligent_school_zoning_report.pdf" TargetMode="External"/><Relationship Id="rId78" Type="http://schemas.openxmlformats.org/officeDocument/2006/relationships/hyperlink" Target="https://pricetheory.uchicago.edu/levitt/Papers/schoolchoicelottery.pdf" TargetMode="External"/><Relationship Id="rId94" Type="http://schemas.openxmlformats.org/officeDocument/2006/relationships/hyperlink" Target="https://research.acer.edu.au/cgi/viewcontent.cgi?article=1024&amp;context=aer" TargetMode="External"/><Relationship Id="rId99" Type="http://schemas.openxmlformats.org/officeDocument/2006/relationships/hyperlink" Target="https://www.tandfonline.com/doi/full/10.1080/02671522.2019.1677759" TargetMode="External"/><Relationship Id="rId101" Type="http://schemas.openxmlformats.org/officeDocument/2006/relationships/hyperlink" Target="https://www.tandfonline.com/doi/epdf/10.1080/00131911.2023.2234661?needAccess=true" TargetMode="External"/><Relationship Id="rId122" Type="http://schemas.openxmlformats.org/officeDocument/2006/relationships/hyperlink" Target="https://files.eric.ed.gov/fulltext/ED587438.pdf" TargetMode="External"/><Relationship Id="rId143" Type="http://schemas.openxmlformats.org/officeDocument/2006/relationships/hyperlink" Target="https://www.oecd-ilibrary.org/education/markets-in-education_5km4pskmkr27-en" TargetMode="External"/><Relationship Id="rId148" Type="http://schemas.openxmlformats.org/officeDocument/2006/relationships/hyperlink" Target="https://www.ncsehe.edu.au/equity-perspective-student-learner-profiles/" TargetMode="External"/><Relationship Id="rId164" Type="http://schemas.openxmlformats.org/officeDocument/2006/relationships/hyperlink" Target="https://www.oecd.org/pisa/publications/PISA2018_CN_GBR.pdf" TargetMode="External"/><Relationship Id="rId169" Type="http://schemas.openxmlformats.org/officeDocument/2006/relationships/hyperlink" Target="https://www.aitsl.edu.au/docs/default-source/comms/cultural-competency/aitsl_indigenous-cultural-competency_final-report.pdf" TargetMode="External"/><Relationship Id="rId4" Type="http://schemas.openxmlformats.org/officeDocument/2006/relationships/hyperlink" Target="https://www.oecd-ilibrary.org/education/pisa-2018-results-volume-ii_b5fd1b8f-en" TargetMode="External"/><Relationship Id="rId9" Type="http://schemas.openxmlformats.org/officeDocument/2006/relationships/hyperlink" Target="https://journals.sagepub.com/doi/10.1177/1474904118813075" TargetMode="External"/><Relationship Id="rId26" Type="http://schemas.openxmlformats.org/officeDocument/2006/relationships/hyperlink" Target="https://www.conferenceboard.ca/product/school-dropouts-in-quebec-ten-years-of-marking-time-despite-the-money-spent/" TargetMode="External"/><Relationship Id="rId47" Type="http://schemas.openxmlformats.org/officeDocument/2006/relationships/hyperlink" Target="https://www.edb.gov.hk/en/edu-system/primary-secondary/applicable-to-primary-secondary/direct-subsidy-scheme/info-sch.html" TargetMode="External"/><Relationship Id="rId68" Type="http://schemas.openxmlformats.org/officeDocument/2006/relationships/hyperlink" Target="https://doi.org/10.3102/00346543231195816" TargetMode="External"/><Relationship Id="rId89" Type="http://schemas.openxmlformats.org/officeDocument/2006/relationships/hyperlink" Target="https://files.eric.ed.gov/fulltext/ED606648.pdf" TargetMode="External"/><Relationship Id="rId112" Type="http://schemas.openxmlformats.org/officeDocument/2006/relationships/hyperlink" Target="https://www.oecd.org/education/school/attractingdevelopingandretainingeffectiveteachers-finalreportteachersmatter.htm" TargetMode="External"/><Relationship Id="rId133" Type="http://schemas.openxmlformats.org/officeDocument/2006/relationships/hyperlink" Target="https://assets.publishing.service.gov.uk/government/uploads/system/uploads/attachment_data/file/1104047/Teaching_and_Leadership_Innovation_Fund__TLIF__Fund-level_evaluation.pdf" TargetMode="External"/><Relationship Id="rId154" Type="http://schemas.openxmlformats.org/officeDocument/2006/relationships/hyperlink" Target="https://www.gov.uk/government/publications/opportunity-for-all-strong-schools-with-great-teachers-for-your-child" TargetMode="External"/><Relationship Id="rId16" Type="http://schemas.openxmlformats.org/officeDocument/2006/relationships/hyperlink" Target="https://www.oecd-ilibrary.org/docserver/e13bef63-en.pdf?expires=1698028120&amp;id=id&amp;accname=guest&amp;checksum=46DE236706ECDEDA0A234A617AFAB052" TargetMode="External"/><Relationship Id="rId37" Type="http://schemas.openxmlformats.org/officeDocument/2006/relationships/hyperlink" Target="https://www.educationcounts.govt.nz/statistics/school-rolls." TargetMode="External"/><Relationship Id="rId58" Type="http://schemas.openxmlformats.org/officeDocument/2006/relationships/hyperlink" Target="https://education.nsw.gov.au/public-schools/selective-high-schools-and-opportunity-classes/general-information/equity-placement-model" TargetMode="External"/><Relationship Id="rId79" Type="http://schemas.openxmlformats.org/officeDocument/2006/relationships/hyperlink" Target="https://www.nber.org/papers/w12145" TargetMode="External"/><Relationship Id="rId102" Type="http://schemas.openxmlformats.org/officeDocument/2006/relationships/hyperlink" Target="https://ncee.org/country/hong-kong/" TargetMode="External"/><Relationship Id="rId123" Type="http://schemas.openxmlformats.org/officeDocument/2006/relationships/hyperlink" Target="https://global.chinadaily.com.cn/a/202204/15/WS6258c8c6a310fd2b29e5721a.html" TargetMode="External"/><Relationship Id="rId144" Type="http://schemas.openxmlformats.org/officeDocument/2006/relationships/hyperlink" Target="https://insidestory.org.au/inside-australias-first-virtual-school/" TargetMode="External"/><Relationship Id="rId90" Type="http://schemas.openxmlformats.org/officeDocument/2006/relationships/hyperlink" Target="https://www.ipp.eu/publication/peut-on-concilier-ouverture-sociale-et-excellence-scolaire-un-premier-bilan-de-lintegration-des-lycees-henri-iv-et-louis-le-grand-a-la-procedure-affelnet/" TargetMode="External"/><Relationship Id="rId165" Type="http://schemas.openxmlformats.org/officeDocument/2006/relationships/hyperlink" Target="https://www.tandfonline.com/doi/full/10.1080/13632434.2021.1872525" TargetMode="External"/><Relationship Id="rId27" Type="http://schemas.openxmlformats.org/officeDocument/2006/relationships/hyperlink" Target="https://www150.statcan.gc.ca/n1/en/pub/81-599-x/81-599-x2022002-eng.pdf?st=d01G0u9D" TargetMode="External"/><Relationship Id="rId48" Type="http://schemas.openxmlformats.org/officeDocument/2006/relationships/hyperlink" Target="https://www.legco.gov.hk/yr00-01/english/panels/ed/papers/264e02.pdf" TargetMode="External"/><Relationship Id="rId69" Type="http://schemas.openxmlformats.org/officeDocument/2006/relationships/hyperlink" Target="https://www.sciencedirect.com/science/article/abs/pii/S0049089X16300060" TargetMode="External"/><Relationship Id="rId113" Type="http://schemas.openxmlformats.org/officeDocument/2006/relationships/hyperlink" Target="https://www.oecd-ilibrary.org/education/equity-and-quality-in-education_9789264130852-en" TargetMode="External"/><Relationship Id="rId134" Type="http://schemas.openxmlformats.org/officeDocument/2006/relationships/hyperlink" Target="https://www.nber.org/papers/w31359" TargetMode="External"/><Relationship Id="rId80" Type="http://schemas.openxmlformats.org/officeDocument/2006/relationships/hyperlink" Target="https://doi.org/10.17899/on_ed.2021.11.4" TargetMode="External"/><Relationship Id="rId155" Type="http://schemas.openxmlformats.org/officeDocument/2006/relationships/hyperlink" Target="https://assets.publishing.service.gov.uk/government/uploads/system/uploads/attachment_data/file/917070/School_Improvement_in_Multi-School_groups_-_FINAL_10122018.pdf" TargetMode="External"/><Relationship Id="rId17" Type="http://schemas.openxmlformats.org/officeDocument/2006/relationships/hyperlink" Target="https://static1.squarespace.com/static/5b06c8abe17ba31ac307c5fe/t/624eeb8444fc16051305e6c6/1649339269270/RIES+-+Technical+Report+-+Socio-Economic+Segregation.pdf." TargetMode="External"/><Relationship Id="rId38" Type="http://schemas.openxmlformats.org/officeDocument/2006/relationships/hyperlink" Target="https://www.nzceo.org.nz/resource-items/attendance-dues-rates-2/" TargetMode="External"/><Relationship Id="rId59" Type="http://schemas.openxmlformats.org/officeDocument/2006/relationships/hyperlink" Target="https://cpd.org.au/wp-content/uploads/2018/07/Institutionalised-Separation-Report-13-July.pdf" TargetMode="External"/><Relationship Id="rId103" Type="http://schemas.openxmlformats.org/officeDocument/2006/relationships/hyperlink" Target="https://www.oecd.org/education/school/50293148.pdf" TargetMode="External"/><Relationship Id="rId124" Type="http://schemas.openxmlformats.org/officeDocument/2006/relationships/hyperlink" Target="https://files.eric.ed.gov/fulltext/ED58743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efault Theme">
  <a:themeElements>
    <a:clrScheme name="New Brand">
      <a:dk1>
        <a:sysClr val="windowText" lastClr="000000"/>
      </a:dk1>
      <a:lt1>
        <a:sysClr val="window" lastClr="FFFFFF"/>
      </a:lt1>
      <a:dk2>
        <a:srgbClr val="2E368F"/>
      </a:dk2>
      <a:lt2>
        <a:srgbClr val="00264D"/>
      </a:lt2>
      <a:accent1>
        <a:srgbClr val="FF3A40"/>
      </a:accent1>
      <a:accent2>
        <a:srgbClr val="F25E21"/>
      </a:accent2>
      <a:accent3>
        <a:srgbClr val="F8981D"/>
      </a:accent3>
      <a:accent4>
        <a:srgbClr val="FED13B"/>
      </a:accent4>
      <a:accent5>
        <a:srgbClr val="E6E6E1"/>
      </a:accent5>
      <a:accent6>
        <a:srgbClr val="25B3E0"/>
      </a:accent6>
      <a:hlink>
        <a:srgbClr val="0048C7"/>
      </a:hlink>
      <a:folHlink>
        <a:srgbClr val="0048C7"/>
      </a:folHlink>
    </a:clrScheme>
    <a:fontScheme name="Nous Font">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accent3"/>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25400" cap="rnd">
          <a:solidFill>
            <a:schemeClr val="accent3"/>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75B17F-0DB6-4FF5-A0B5-36D245B956A8}">
  <ds:schemaRefs>
    <ds:schemaRef ds:uri="http://schemas.openxmlformats.org/officeDocument/2006/bibliography"/>
  </ds:schemaRefs>
</ds:datastoreItem>
</file>

<file path=customXml/itemProps3.xml><?xml version="1.0" encoding="utf-8"?>
<ds:datastoreItem xmlns:ds="http://schemas.openxmlformats.org/officeDocument/2006/customXml" ds:itemID="{10AD878B-DD6F-4972-BBC4-FA75A1212586}"/>
</file>

<file path=customXml/itemProps4.xml><?xml version="1.0" encoding="utf-8"?>
<ds:datastoreItem xmlns:ds="http://schemas.openxmlformats.org/officeDocument/2006/customXml" ds:itemID="{340F7350-E4B2-4343-9F29-E0841112467E}"/>
</file>

<file path=customXml/itemProps5.xml><?xml version="1.0" encoding="utf-8"?>
<ds:datastoreItem xmlns:ds="http://schemas.openxmlformats.org/officeDocument/2006/customXml" ds:itemID="{97325A1F-49AB-4511-A248-6926B24FA748}"/>
</file>

<file path=docProps/app.xml><?xml version="1.0" encoding="utf-8"?>
<Properties xmlns="http://schemas.openxmlformats.org/officeDocument/2006/extended-properties" xmlns:vt="http://schemas.openxmlformats.org/officeDocument/2006/docPropsVTypes">
  <Template>Normal</Template>
  <TotalTime>0</TotalTime>
  <Pages>70</Pages>
  <Words>25679</Words>
  <Characters>146375</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171711</CharactersWithSpaces>
  <SharedDoc>false</SharedDoc>
  <HLinks>
    <vt:vector size="1206" baseType="variant">
      <vt:variant>
        <vt:i4>1441849</vt:i4>
      </vt:variant>
      <vt:variant>
        <vt:i4>164</vt:i4>
      </vt:variant>
      <vt:variant>
        <vt:i4>0</vt:i4>
      </vt:variant>
      <vt:variant>
        <vt:i4>5</vt:i4>
      </vt:variant>
      <vt:variant>
        <vt:lpwstr/>
      </vt:variant>
      <vt:variant>
        <vt:lpwstr>_Toc149052471</vt:lpwstr>
      </vt:variant>
      <vt:variant>
        <vt:i4>1441849</vt:i4>
      </vt:variant>
      <vt:variant>
        <vt:i4>158</vt:i4>
      </vt:variant>
      <vt:variant>
        <vt:i4>0</vt:i4>
      </vt:variant>
      <vt:variant>
        <vt:i4>5</vt:i4>
      </vt:variant>
      <vt:variant>
        <vt:lpwstr/>
      </vt:variant>
      <vt:variant>
        <vt:lpwstr>_Toc149052470</vt:lpwstr>
      </vt:variant>
      <vt:variant>
        <vt:i4>1507385</vt:i4>
      </vt:variant>
      <vt:variant>
        <vt:i4>152</vt:i4>
      </vt:variant>
      <vt:variant>
        <vt:i4>0</vt:i4>
      </vt:variant>
      <vt:variant>
        <vt:i4>5</vt:i4>
      </vt:variant>
      <vt:variant>
        <vt:lpwstr/>
      </vt:variant>
      <vt:variant>
        <vt:lpwstr>_Toc149052469</vt:lpwstr>
      </vt:variant>
      <vt:variant>
        <vt:i4>1507385</vt:i4>
      </vt:variant>
      <vt:variant>
        <vt:i4>146</vt:i4>
      </vt:variant>
      <vt:variant>
        <vt:i4>0</vt:i4>
      </vt:variant>
      <vt:variant>
        <vt:i4>5</vt:i4>
      </vt:variant>
      <vt:variant>
        <vt:lpwstr/>
      </vt:variant>
      <vt:variant>
        <vt:lpwstr>_Toc149052468</vt:lpwstr>
      </vt:variant>
      <vt:variant>
        <vt:i4>1507385</vt:i4>
      </vt:variant>
      <vt:variant>
        <vt:i4>140</vt:i4>
      </vt:variant>
      <vt:variant>
        <vt:i4>0</vt:i4>
      </vt:variant>
      <vt:variant>
        <vt:i4>5</vt:i4>
      </vt:variant>
      <vt:variant>
        <vt:lpwstr/>
      </vt:variant>
      <vt:variant>
        <vt:lpwstr>_Toc149052467</vt:lpwstr>
      </vt:variant>
      <vt:variant>
        <vt:i4>1507385</vt:i4>
      </vt:variant>
      <vt:variant>
        <vt:i4>134</vt:i4>
      </vt:variant>
      <vt:variant>
        <vt:i4>0</vt:i4>
      </vt:variant>
      <vt:variant>
        <vt:i4>5</vt:i4>
      </vt:variant>
      <vt:variant>
        <vt:lpwstr/>
      </vt:variant>
      <vt:variant>
        <vt:lpwstr>_Toc149052466</vt:lpwstr>
      </vt:variant>
      <vt:variant>
        <vt:i4>1507385</vt:i4>
      </vt:variant>
      <vt:variant>
        <vt:i4>128</vt:i4>
      </vt:variant>
      <vt:variant>
        <vt:i4>0</vt:i4>
      </vt:variant>
      <vt:variant>
        <vt:i4>5</vt:i4>
      </vt:variant>
      <vt:variant>
        <vt:lpwstr/>
      </vt:variant>
      <vt:variant>
        <vt:lpwstr>_Toc149052465</vt:lpwstr>
      </vt:variant>
      <vt:variant>
        <vt:i4>1507385</vt:i4>
      </vt:variant>
      <vt:variant>
        <vt:i4>122</vt:i4>
      </vt:variant>
      <vt:variant>
        <vt:i4>0</vt:i4>
      </vt:variant>
      <vt:variant>
        <vt:i4>5</vt:i4>
      </vt:variant>
      <vt:variant>
        <vt:lpwstr/>
      </vt:variant>
      <vt:variant>
        <vt:lpwstr>_Toc149052464</vt:lpwstr>
      </vt:variant>
      <vt:variant>
        <vt:i4>1507385</vt:i4>
      </vt:variant>
      <vt:variant>
        <vt:i4>116</vt:i4>
      </vt:variant>
      <vt:variant>
        <vt:i4>0</vt:i4>
      </vt:variant>
      <vt:variant>
        <vt:i4>5</vt:i4>
      </vt:variant>
      <vt:variant>
        <vt:lpwstr/>
      </vt:variant>
      <vt:variant>
        <vt:lpwstr>_Toc149052463</vt:lpwstr>
      </vt:variant>
      <vt:variant>
        <vt:i4>1507385</vt:i4>
      </vt:variant>
      <vt:variant>
        <vt:i4>110</vt:i4>
      </vt:variant>
      <vt:variant>
        <vt:i4>0</vt:i4>
      </vt:variant>
      <vt:variant>
        <vt:i4>5</vt:i4>
      </vt:variant>
      <vt:variant>
        <vt:lpwstr/>
      </vt:variant>
      <vt:variant>
        <vt:lpwstr>_Toc149052462</vt:lpwstr>
      </vt:variant>
      <vt:variant>
        <vt:i4>1507385</vt:i4>
      </vt:variant>
      <vt:variant>
        <vt:i4>104</vt:i4>
      </vt:variant>
      <vt:variant>
        <vt:i4>0</vt:i4>
      </vt:variant>
      <vt:variant>
        <vt:i4>5</vt:i4>
      </vt:variant>
      <vt:variant>
        <vt:lpwstr/>
      </vt:variant>
      <vt:variant>
        <vt:lpwstr>_Toc149052461</vt:lpwstr>
      </vt:variant>
      <vt:variant>
        <vt:i4>1507385</vt:i4>
      </vt:variant>
      <vt:variant>
        <vt:i4>98</vt:i4>
      </vt:variant>
      <vt:variant>
        <vt:i4>0</vt:i4>
      </vt:variant>
      <vt:variant>
        <vt:i4>5</vt:i4>
      </vt:variant>
      <vt:variant>
        <vt:lpwstr/>
      </vt:variant>
      <vt:variant>
        <vt:lpwstr>_Toc149052460</vt:lpwstr>
      </vt:variant>
      <vt:variant>
        <vt:i4>1310777</vt:i4>
      </vt:variant>
      <vt:variant>
        <vt:i4>92</vt:i4>
      </vt:variant>
      <vt:variant>
        <vt:i4>0</vt:i4>
      </vt:variant>
      <vt:variant>
        <vt:i4>5</vt:i4>
      </vt:variant>
      <vt:variant>
        <vt:lpwstr/>
      </vt:variant>
      <vt:variant>
        <vt:lpwstr>_Toc149052459</vt:lpwstr>
      </vt:variant>
      <vt:variant>
        <vt:i4>1310777</vt:i4>
      </vt:variant>
      <vt:variant>
        <vt:i4>86</vt:i4>
      </vt:variant>
      <vt:variant>
        <vt:i4>0</vt:i4>
      </vt:variant>
      <vt:variant>
        <vt:i4>5</vt:i4>
      </vt:variant>
      <vt:variant>
        <vt:lpwstr/>
      </vt:variant>
      <vt:variant>
        <vt:lpwstr>_Toc149052458</vt:lpwstr>
      </vt:variant>
      <vt:variant>
        <vt:i4>1310777</vt:i4>
      </vt:variant>
      <vt:variant>
        <vt:i4>80</vt:i4>
      </vt:variant>
      <vt:variant>
        <vt:i4>0</vt:i4>
      </vt:variant>
      <vt:variant>
        <vt:i4>5</vt:i4>
      </vt:variant>
      <vt:variant>
        <vt:lpwstr/>
      </vt:variant>
      <vt:variant>
        <vt:lpwstr>_Toc149052457</vt:lpwstr>
      </vt:variant>
      <vt:variant>
        <vt:i4>1310777</vt:i4>
      </vt:variant>
      <vt:variant>
        <vt:i4>74</vt:i4>
      </vt:variant>
      <vt:variant>
        <vt:i4>0</vt:i4>
      </vt:variant>
      <vt:variant>
        <vt:i4>5</vt:i4>
      </vt:variant>
      <vt:variant>
        <vt:lpwstr/>
      </vt:variant>
      <vt:variant>
        <vt:lpwstr>_Toc149052456</vt:lpwstr>
      </vt:variant>
      <vt:variant>
        <vt:i4>1310777</vt:i4>
      </vt:variant>
      <vt:variant>
        <vt:i4>68</vt:i4>
      </vt:variant>
      <vt:variant>
        <vt:i4>0</vt:i4>
      </vt:variant>
      <vt:variant>
        <vt:i4>5</vt:i4>
      </vt:variant>
      <vt:variant>
        <vt:lpwstr/>
      </vt:variant>
      <vt:variant>
        <vt:lpwstr>_Toc149052455</vt:lpwstr>
      </vt:variant>
      <vt:variant>
        <vt:i4>1310777</vt:i4>
      </vt:variant>
      <vt:variant>
        <vt:i4>62</vt:i4>
      </vt:variant>
      <vt:variant>
        <vt:i4>0</vt:i4>
      </vt:variant>
      <vt:variant>
        <vt:i4>5</vt:i4>
      </vt:variant>
      <vt:variant>
        <vt:lpwstr/>
      </vt:variant>
      <vt:variant>
        <vt:lpwstr>_Toc149052454</vt:lpwstr>
      </vt:variant>
      <vt:variant>
        <vt:i4>1310777</vt:i4>
      </vt:variant>
      <vt:variant>
        <vt:i4>56</vt:i4>
      </vt:variant>
      <vt:variant>
        <vt:i4>0</vt:i4>
      </vt:variant>
      <vt:variant>
        <vt:i4>5</vt:i4>
      </vt:variant>
      <vt:variant>
        <vt:lpwstr/>
      </vt:variant>
      <vt:variant>
        <vt:lpwstr>_Toc149052453</vt:lpwstr>
      </vt:variant>
      <vt:variant>
        <vt:i4>1310777</vt:i4>
      </vt:variant>
      <vt:variant>
        <vt:i4>50</vt:i4>
      </vt:variant>
      <vt:variant>
        <vt:i4>0</vt:i4>
      </vt:variant>
      <vt:variant>
        <vt:i4>5</vt:i4>
      </vt:variant>
      <vt:variant>
        <vt:lpwstr/>
      </vt:variant>
      <vt:variant>
        <vt:lpwstr>_Toc149052452</vt:lpwstr>
      </vt:variant>
      <vt:variant>
        <vt:i4>1310777</vt:i4>
      </vt:variant>
      <vt:variant>
        <vt:i4>44</vt:i4>
      </vt:variant>
      <vt:variant>
        <vt:i4>0</vt:i4>
      </vt:variant>
      <vt:variant>
        <vt:i4>5</vt:i4>
      </vt:variant>
      <vt:variant>
        <vt:lpwstr/>
      </vt:variant>
      <vt:variant>
        <vt:lpwstr>_Toc149052451</vt:lpwstr>
      </vt:variant>
      <vt:variant>
        <vt:i4>1310777</vt:i4>
      </vt:variant>
      <vt:variant>
        <vt:i4>38</vt:i4>
      </vt:variant>
      <vt:variant>
        <vt:i4>0</vt:i4>
      </vt:variant>
      <vt:variant>
        <vt:i4>5</vt:i4>
      </vt:variant>
      <vt:variant>
        <vt:lpwstr/>
      </vt:variant>
      <vt:variant>
        <vt:lpwstr>_Toc149052450</vt:lpwstr>
      </vt:variant>
      <vt:variant>
        <vt:i4>1376313</vt:i4>
      </vt:variant>
      <vt:variant>
        <vt:i4>32</vt:i4>
      </vt:variant>
      <vt:variant>
        <vt:i4>0</vt:i4>
      </vt:variant>
      <vt:variant>
        <vt:i4>5</vt:i4>
      </vt:variant>
      <vt:variant>
        <vt:lpwstr/>
      </vt:variant>
      <vt:variant>
        <vt:lpwstr>_Toc149052449</vt:lpwstr>
      </vt:variant>
      <vt:variant>
        <vt:i4>1376313</vt:i4>
      </vt:variant>
      <vt:variant>
        <vt:i4>26</vt:i4>
      </vt:variant>
      <vt:variant>
        <vt:i4>0</vt:i4>
      </vt:variant>
      <vt:variant>
        <vt:i4>5</vt:i4>
      </vt:variant>
      <vt:variant>
        <vt:lpwstr/>
      </vt:variant>
      <vt:variant>
        <vt:lpwstr>_Toc149052448</vt:lpwstr>
      </vt:variant>
      <vt:variant>
        <vt:i4>1376313</vt:i4>
      </vt:variant>
      <vt:variant>
        <vt:i4>20</vt:i4>
      </vt:variant>
      <vt:variant>
        <vt:i4>0</vt:i4>
      </vt:variant>
      <vt:variant>
        <vt:i4>5</vt:i4>
      </vt:variant>
      <vt:variant>
        <vt:lpwstr/>
      </vt:variant>
      <vt:variant>
        <vt:lpwstr>_Toc149052447</vt:lpwstr>
      </vt:variant>
      <vt:variant>
        <vt:i4>1376313</vt:i4>
      </vt:variant>
      <vt:variant>
        <vt:i4>14</vt:i4>
      </vt:variant>
      <vt:variant>
        <vt:i4>0</vt:i4>
      </vt:variant>
      <vt:variant>
        <vt:i4>5</vt:i4>
      </vt:variant>
      <vt:variant>
        <vt:lpwstr/>
      </vt:variant>
      <vt:variant>
        <vt:lpwstr>_Toc149052446</vt:lpwstr>
      </vt:variant>
      <vt:variant>
        <vt:i4>1376313</vt:i4>
      </vt:variant>
      <vt:variant>
        <vt:i4>8</vt:i4>
      </vt:variant>
      <vt:variant>
        <vt:i4>0</vt:i4>
      </vt:variant>
      <vt:variant>
        <vt:i4>5</vt:i4>
      </vt:variant>
      <vt:variant>
        <vt:lpwstr/>
      </vt:variant>
      <vt:variant>
        <vt:lpwstr>_Toc149052445</vt:lpwstr>
      </vt:variant>
      <vt:variant>
        <vt:i4>1376313</vt:i4>
      </vt:variant>
      <vt:variant>
        <vt:i4>2</vt:i4>
      </vt:variant>
      <vt:variant>
        <vt:i4>0</vt:i4>
      </vt:variant>
      <vt:variant>
        <vt:i4>5</vt:i4>
      </vt:variant>
      <vt:variant>
        <vt:lpwstr/>
      </vt:variant>
      <vt:variant>
        <vt:lpwstr>_Toc149052444</vt:lpwstr>
      </vt:variant>
      <vt:variant>
        <vt:i4>2359405</vt:i4>
      </vt:variant>
      <vt:variant>
        <vt:i4>507</vt:i4>
      </vt:variant>
      <vt:variant>
        <vt:i4>0</vt:i4>
      </vt:variant>
      <vt:variant>
        <vt:i4>5</vt:i4>
      </vt:variant>
      <vt:variant>
        <vt:lpwstr>https://www.aitsl.edu.au/docs/default-source/comms/cultural-competency/aitsl_indigenous-cultural-competency_final-report.pdf</vt:lpwstr>
      </vt:variant>
      <vt:variant>
        <vt:lpwstr/>
      </vt:variant>
      <vt:variant>
        <vt:i4>8126500</vt:i4>
      </vt:variant>
      <vt:variant>
        <vt:i4>504</vt:i4>
      </vt:variant>
      <vt:variant>
        <vt:i4>0</vt:i4>
      </vt:variant>
      <vt:variant>
        <vt:i4>5</vt:i4>
      </vt:variant>
      <vt:variant>
        <vt:lpwstr>https://onlinelibrary.wiley.com/doi/epdf/10.1111/j.1467-842X.1999.tb01240.x</vt:lpwstr>
      </vt:variant>
      <vt:variant>
        <vt:lpwstr/>
      </vt:variant>
      <vt:variant>
        <vt:i4>3801150</vt:i4>
      </vt:variant>
      <vt:variant>
        <vt:i4>501</vt:i4>
      </vt:variant>
      <vt:variant>
        <vt:i4>0</vt:i4>
      </vt:variant>
      <vt:variant>
        <vt:i4>5</vt:i4>
      </vt:variant>
      <vt:variant>
        <vt:lpwstr>https://www.nber.org/papers/w23550</vt:lpwstr>
      </vt:variant>
      <vt:variant>
        <vt:lpwstr/>
      </vt:variant>
      <vt:variant>
        <vt:i4>4980807</vt:i4>
      </vt:variant>
      <vt:variant>
        <vt:i4>498</vt:i4>
      </vt:variant>
      <vt:variant>
        <vt:i4>0</vt:i4>
      </vt:variant>
      <vt:variant>
        <vt:i4>5</vt:i4>
      </vt:variant>
      <vt:variant>
        <vt:lpwstr>https://nousgroup.sharepoint.com/sites/TS18412/Shared Documents/General/Deliverables/10.1080/03057925.2014.905103</vt:lpwstr>
      </vt:variant>
      <vt:variant>
        <vt:lpwstr/>
      </vt:variant>
      <vt:variant>
        <vt:i4>2556024</vt:i4>
      </vt:variant>
      <vt:variant>
        <vt:i4>495</vt:i4>
      </vt:variant>
      <vt:variant>
        <vt:i4>0</vt:i4>
      </vt:variant>
      <vt:variant>
        <vt:i4>5</vt:i4>
      </vt:variant>
      <vt:variant>
        <vt:lpwstr>https://www.tandfonline.com/doi/full/10.1080/13632434.2021.1872525</vt:lpwstr>
      </vt:variant>
      <vt:variant>
        <vt:lpwstr/>
      </vt:variant>
      <vt:variant>
        <vt:i4>5046289</vt:i4>
      </vt:variant>
      <vt:variant>
        <vt:i4>492</vt:i4>
      </vt:variant>
      <vt:variant>
        <vt:i4>0</vt:i4>
      </vt:variant>
      <vt:variant>
        <vt:i4>5</vt:i4>
      </vt:variant>
      <vt:variant>
        <vt:lpwstr>https://www.oecd.org/pisa/publications/PISA2018_CN_GBR.pdf</vt:lpwstr>
      </vt:variant>
      <vt:variant>
        <vt:lpwstr/>
      </vt:variant>
      <vt:variant>
        <vt:i4>3801125</vt:i4>
      </vt:variant>
      <vt:variant>
        <vt:i4>489</vt:i4>
      </vt:variant>
      <vt:variant>
        <vt:i4>0</vt:i4>
      </vt:variant>
      <vt:variant>
        <vt:i4>5</vt:i4>
      </vt:variant>
      <vt:variant>
        <vt:lpwstr>https://www.oecd.org/pisa/PISA 2018 Insights and Interpretations FINAL PDF.pdf</vt:lpwstr>
      </vt:variant>
      <vt:variant>
        <vt:lpwstr/>
      </vt:variant>
      <vt:variant>
        <vt:i4>6422584</vt:i4>
      </vt:variant>
      <vt:variant>
        <vt:i4>486</vt:i4>
      </vt:variant>
      <vt:variant>
        <vt:i4>0</vt:i4>
      </vt:variant>
      <vt:variant>
        <vt:i4>5</vt:i4>
      </vt:variant>
      <vt:variant>
        <vt:lpwstr>https://ouci.dntb.gov.ua/en/works/lmwXP2n7/</vt:lpwstr>
      </vt:variant>
      <vt:variant>
        <vt:lpwstr/>
      </vt:variant>
      <vt:variant>
        <vt:i4>1507356</vt:i4>
      </vt:variant>
      <vt:variant>
        <vt:i4>483</vt:i4>
      </vt:variant>
      <vt:variant>
        <vt:i4>0</vt:i4>
      </vt:variant>
      <vt:variant>
        <vt:i4>5</vt:i4>
      </vt:variant>
      <vt:variant>
        <vt:lpwstr>https://nasenjournals.onlinelibrary.wiley.com/doi/10.1111/1467-8578.12396</vt:lpwstr>
      </vt:variant>
      <vt:variant>
        <vt:lpwstr/>
      </vt:variant>
      <vt:variant>
        <vt:i4>4063339</vt:i4>
      </vt:variant>
      <vt:variant>
        <vt:i4>480</vt:i4>
      </vt:variant>
      <vt:variant>
        <vt:i4>0</vt:i4>
      </vt:variant>
      <vt:variant>
        <vt:i4>5</vt:i4>
      </vt:variant>
      <vt:variant>
        <vt:lpwstr>https://www.frontiersin.org/articles/10.3389/feduc.2019.00003/full</vt:lpwstr>
      </vt:variant>
      <vt:variant>
        <vt:lpwstr/>
      </vt:variant>
      <vt:variant>
        <vt:i4>1900630</vt:i4>
      </vt:variant>
      <vt:variant>
        <vt:i4>477</vt:i4>
      </vt:variant>
      <vt:variant>
        <vt:i4>0</vt:i4>
      </vt:variant>
      <vt:variant>
        <vt:i4>5</vt:i4>
      </vt:variant>
      <vt:variant>
        <vt:lpwstr>https://bera-journals.onlinelibrary.wiley.com/doi/full/10.1002/berj.3593</vt:lpwstr>
      </vt:variant>
      <vt:variant>
        <vt:lpwstr/>
      </vt:variant>
      <vt:variant>
        <vt:i4>4128869</vt:i4>
      </vt:variant>
      <vt:variant>
        <vt:i4>474</vt:i4>
      </vt:variant>
      <vt:variant>
        <vt:i4>0</vt:i4>
      </vt:variant>
      <vt:variant>
        <vt:i4>5</vt:i4>
      </vt:variant>
      <vt:variant>
        <vt:lpwstr>https://files.eric.ed.gov/fulltext/ED556320.pdf</vt:lpwstr>
      </vt:variant>
      <vt:variant>
        <vt:lpwstr/>
      </vt:variant>
      <vt:variant>
        <vt:i4>4718618</vt:i4>
      </vt:variant>
      <vt:variant>
        <vt:i4>471</vt:i4>
      </vt:variant>
      <vt:variant>
        <vt:i4>0</vt:i4>
      </vt:variant>
      <vt:variant>
        <vt:i4>5</vt:i4>
      </vt:variant>
      <vt:variant>
        <vt:lpwstr>https://www.americanprogress.org/wp-content/uploads/sites/2/2013/05/ShanghaiReport-2.pdf</vt:lpwstr>
      </vt:variant>
      <vt:variant>
        <vt:lpwstr/>
      </vt:variant>
      <vt:variant>
        <vt:i4>5636110</vt:i4>
      </vt:variant>
      <vt:variant>
        <vt:i4>468</vt:i4>
      </vt:variant>
      <vt:variant>
        <vt:i4>0</vt:i4>
      </vt:variant>
      <vt:variant>
        <vt:i4>5</vt:i4>
      </vt:variant>
      <vt:variant>
        <vt:lpwstr>https://unitedlearning.org.uk/about-us/welcome-to-united-learning</vt:lpwstr>
      </vt:variant>
      <vt:variant>
        <vt:lpwstr/>
      </vt:variant>
      <vt:variant>
        <vt:i4>5898318</vt:i4>
      </vt:variant>
      <vt:variant>
        <vt:i4>465</vt:i4>
      </vt:variant>
      <vt:variant>
        <vt:i4>0</vt:i4>
      </vt:variant>
      <vt:variant>
        <vt:i4>5</vt:i4>
      </vt:variant>
      <vt:variant>
        <vt:lpwstr>https://assets.publishing.service.gov.uk/government/uploads/system/uploads/attachment_data/file/917070/School_Improvement_in_Multi-School_groups_-_FINAL_10122018.pdf</vt:lpwstr>
      </vt:variant>
      <vt:variant>
        <vt:lpwstr/>
      </vt:variant>
      <vt:variant>
        <vt:i4>4522073</vt:i4>
      </vt:variant>
      <vt:variant>
        <vt:i4>462</vt:i4>
      </vt:variant>
      <vt:variant>
        <vt:i4>0</vt:i4>
      </vt:variant>
      <vt:variant>
        <vt:i4>5</vt:i4>
      </vt:variant>
      <vt:variant>
        <vt:lpwstr>https://www.gov.uk/government/publications/opportunity-for-all-strong-schools-with-great-teachers-for-your-child</vt:lpwstr>
      </vt:variant>
      <vt:variant>
        <vt:lpwstr/>
      </vt:variant>
      <vt:variant>
        <vt:i4>2556024</vt:i4>
      </vt:variant>
      <vt:variant>
        <vt:i4>459</vt:i4>
      </vt:variant>
      <vt:variant>
        <vt:i4>0</vt:i4>
      </vt:variant>
      <vt:variant>
        <vt:i4>5</vt:i4>
      </vt:variant>
      <vt:variant>
        <vt:lpwstr>https://www.tandfonline.com/doi/full/10.1080/13632434.2021.1872525</vt:lpwstr>
      </vt:variant>
      <vt:variant>
        <vt:lpwstr/>
      </vt:variant>
      <vt:variant>
        <vt:i4>4259926</vt:i4>
      </vt:variant>
      <vt:variant>
        <vt:i4>456</vt:i4>
      </vt:variant>
      <vt:variant>
        <vt:i4>0</vt:i4>
      </vt:variant>
      <vt:variant>
        <vt:i4>5</vt:i4>
      </vt:variant>
      <vt:variant>
        <vt:lpwstr>https://ero.govt.nz/sites/default/files/2021-11/Te Aho o te Kura Pounamu Education Review Report 5 November 2021.pdf</vt:lpwstr>
      </vt:variant>
      <vt:variant>
        <vt:lpwstr/>
      </vt:variant>
      <vt:variant>
        <vt:i4>5701708</vt:i4>
      </vt:variant>
      <vt:variant>
        <vt:i4>453</vt:i4>
      </vt:variant>
      <vt:variant>
        <vt:i4>0</vt:i4>
      </vt:variant>
      <vt:variant>
        <vt:i4>5</vt:i4>
      </vt:variant>
      <vt:variant>
        <vt:lpwstr>https://www.bigpicture.org.au/bpla-nsw-data-story</vt:lpwstr>
      </vt:variant>
      <vt:variant>
        <vt:lpwstr/>
      </vt:variant>
      <vt:variant>
        <vt:i4>4587597</vt:i4>
      </vt:variant>
      <vt:variant>
        <vt:i4>450</vt:i4>
      </vt:variant>
      <vt:variant>
        <vt:i4>0</vt:i4>
      </vt:variant>
      <vt:variant>
        <vt:i4>5</vt:i4>
      </vt:variant>
      <vt:variant>
        <vt:lpwstr>https://www.bigpicture.org.au/what-international-big-picture-learning-credential</vt:lpwstr>
      </vt:variant>
      <vt:variant>
        <vt:lpwstr/>
      </vt:variant>
      <vt:variant>
        <vt:i4>655382</vt:i4>
      </vt:variant>
      <vt:variant>
        <vt:i4>447</vt:i4>
      </vt:variant>
      <vt:variant>
        <vt:i4>0</vt:i4>
      </vt:variant>
      <vt:variant>
        <vt:i4>5</vt:i4>
      </vt:variant>
      <vt:variant>
        <vt:lpwstr>https://www.bigpicture.org.au/schools/big-picture-school-distinguishers-0</vt:lpwstr>
      </vt:variant>
      <vt:variant>
        <vt:lpwstr/>
      </vt:variant>
      <vt:variant>
        <vt:i4>3342390</vt:i4>
      </vt:variant>
      <vt:variant>
        <vt:i4>444</vt:i4>
      </vt:variant>
      <vt:variant>
        <vt:i4>0</vt:i4>
      </vt:variant>
      <vt:variant>
        <vt:i4>5</vt:i4>
      </vt:variant>
      <vt:variant>
        <vt:lpwstr>https://www.ncsehe.edu.au/equity-perspective-student-learner-profiles/</vt:lpwstr>
      </vt:variant>
      <vt:variant>
        <vt:lpwstr/>
      </vt:variant>
      <vt:variant>
        <vt:i4>6488073</vt:i4>
      </vt:variant>
      <vt:variant>
        <vt:i4>441</vt:i4>
      </vt:variant>
      <vt:variant>
        <vt:i4>0</vt:i4>
      </vt:variant>
      <vt:variant>
        <vt:i4>5</vt:i4>
      </vt:variant>
      <vt:variant>
        <vt:lpwstr>https://education.unimelb.edu.au/__data/assets/pdf_file/0007/3938029/Talking-Teaching-S4E4-transcript.pdf</vt:lpwstr>
      </vt:variant>
      <vt:variant>
        <vt:lpwstr/>
      </vt:variant>
      <vt:variant>
        <vt:i4>5701652</vt:i4>
      </vt:variant>
      <vt:variant>
        <vt:i4>438</vt:i4>
      </vt:variant>
      <vt:variant>
        <vt:i4>0</vt:i4>
      </vt:variant>
      <vt:variant>
        <vt:i4>5</vt:i4>
      </vt:variant>
      <vt:variant>
        <vt:lpwstr>https://nousgroup.sharepoint.com/sites/TS18412/Shared Documents/General/Deliverables/: https:/rethinkingassessment.com/rethinking-blogs/new-metrics-for-success/</vt:lpwstr>
      </vt:variant>
      <vt:variant>
        <vt:lpwstr/>
      </vt:variant>
      <vt:variant>
        <vt:i4>5832716</vt:i4>
      </vt:variant>
      <vt:variant>
        <vt:i4>435</vt:i4>
      </vt:variant>
      <vt:variant>
        <vt:i4>0</vt:i4>
      </vt:variant>
      <vt:variant>
        <vt:i4>5</vt:i4>
      </vt:variant>
      <vt:variant>
        <vt:lpwstr>https://unsw.press/books/waiting-for-gonski/</vt:lpwstr>
      </vt:variant>
      <vt:variant>
        <vt:lpwstr/>
      </vt:variant>
      <vt:variant>
        <vt:i4>8192057</vt:i4>
      </vt:variant>
      <vt:variant>
        <vt:i4>432</vt:i4>
      </vt:variant>
      <vt:variant>
        <vt:i4>0</vt:i4>
      </vt:variant>
      <vt:variant>
        <vt:i4>5</vt:i4>
      </vt:variant>
      <vt:variant>
        <vt:lpwstr>https://insidestory.org.au/inside-australias-first-virtual-school/</vt:lpwstr>
      </vt:variant>
      <vt:variant>
        <vt:lpwstr/>
      </vt:variant>
      <vt:variant>
        <vt:i4>1769574</vt:i4>
      </vt:variant>
      <vt:variant>
        <vt:i4>429</vt:i4>
      </vt:variant>
      <vt:variant>
        <vt:i4>0</vt:i4>
      </vt:variant>
      <vt:variant>
        <vt:i4>5</vt:i4>
      </vt:variant>
      <vt:variant>
        <vt:lpwstr>https://www.oecd-ilibrary.org/education/markets-in-education_5km4pskmkr27-en</vt:lpwstr>
      </vt:variant>
      <vt:variant>
        <vt:lpwstr/>
      </vt:variant>
      <vt:variant>
        <vt:i4>1769476</vt:i4>
      </vt:variant>
      <vt:variant>
        <vt:i4>426</vt:i4>
      </vt:variant>
      <vt:variant>
        <vt:i4>0</vt:i4>
      </vt:variant>
      <vt:variant>
        <vt:i4>5</vt:i4>
      </vt:variant>
      <vt:variant>
        <vt:lpwstr>https://www.education.gov.au/quality-schools-package/resources/looking-future-report-review-senior-secondary-pathways-work-further-education-and-training</vt:lpwstr>
      </vt:variant>
      <vt:variant>
        <vt:lpwstr/>
      </vt:variant>
      <vt:variant>
        <vt:i4>7733355</vt:i4>
      </vt:variant>
      <vt:variant>
        <vt:i4>423</vt:i4>
      </vt:variant>
      <vt:variant>
        <vt:i4>0</vt:i4>
      </vt:variant>
      <vt:variant>
        <vt:i4>5</vt:i4>
      </vt:variant>
      <vt:variant>
        <vt:lpwstr>https://theconversation.com/why-markets-cant-deliver-excellence-and-equity-in-schools-25711</vt:lpwstr>
      </vt:variant>
      <vt:variant>
        <vt:lpwstr/>
      </vt:variant>
      <vt:variant>
        <vt:i4>3735651</vt:i4>
      </vt:variant>
      <vt:variant>
        <vt:i4>420</vt:i4>
      </vt:variant>
      <vt:variant>
        <vt:i4>0</vt:i4>
      </vt:variant>
      <vt:variant>
        <vt:i4>5</vt:i4>
      </vt:variant>
      <vt:variant>
        <vt:lpwstr>https://amsi.org.au/?publications=the-state-of-mathematical-sciences-2020-7th-discipline-profile-of-mathematics-and-statistics-in-australia</vt:lpwstr>
      </vt:variant>
      <vt:variant>
        <vt:lpwstr/>
      </vt:variant>
      <vt:variant>
        <vt:i4>1572946</vt:i4>
      </vt:variant>
      <vt:variant>
        <vt:i4>417</vt:i4>
      </vt:variant>
      <vt:variant>
        <vt:i4>0</vt:i4>
      </vt:variant>
      <vt:variant>
        <vt:i4>5</vt:i4>
      </vt:variant>
      <vt:variant>
        <vt:lpwstr>https://research.acer.edu.au/cgi/viewcontent.cgi?article=1005&amp;context=policyinsights</vt:lpwstr>
      </vt:variant>
      <vt:variant>
        <vt:lpwstr/>
      </vt:variant>
      <vt:variant>
        <vt:i4>6357035</vt:i4>
      </vt:variant>
      <vt:variant>
        <vt:i4>414</vt:i4>
      </vt:variant>
      <vt:variant>
        <vt:i4>0</vt:i4>
      </vt:variant>
      <vt:variant>
        <vt:i4>5</vt:i4>
      </vt:variant>
      <vt:variant>
        <vt:lpwstr>https://www.vu.edu.au/sites/default/files/educational-opportunity-in-australia-2020.pdf</vt:lpwstr>
      </vt:variant>
      <vt:variant>
        <vt:lpwstr/>
      </vt:variant>
      <vt:variant>
        <vt:i4>6094866</vt:i4>
      </vt:variant>
      <vt:variant>
        <vt:i4>411</vt:i4>
      </vt:variant>
      <vt:variant>
        <vt:i4>0</vt:i4>
      </vt:variant>
      <vt:variant>
        <vt:i4>5</vt:i4>
      </vt:variant>
      <vt:variant>
        <vt:lpwstr>https://core.ac.uk/download/pdf/81694583.pdf</vt:lpwstr>
      </vt:variant>
      <vt:variant>
        <vt:lpwstr/>
      </vt:variant>
      <vt:variant>
        <vt:i4>3080290</vt:i4>
      </vt:variant>
      <vt:variant>
        <vt:i4>408</vt:i4>
      </vt:variant>
      <vt:variant>
        <vt:i4>0</vt:i4>
      </vt:variant>
      <vt:variant>
        <vt:i4>5</vt:i4>
      </vt:variant>
      <vt:variant>
        <vt:lpwstr>https://www.sciencedirect.com/science/article/abs/pii/S0272775719300676</vt:lpwstr>
      </vt:variant>
      <vt:variant>
        <vt:lpwstr/>
      </vt:variant>
      <vt:variant>
        <vt:i4>4849685</vt:i4>
      </vt:variant>
      <vt:variant>
        <vt:i4>405</vt:i4>
      </vt:variant>
      <vt:variant>
        <vt:i4>0</vt:i4>
      </vt:variant>
      <vt:variant>
        <vt:i4>5</vt:i4>
      </vt:variant>
      <vt:variant>
        <vt:lpwstr>https://nousgroup.sharepoint.com/sites/TS18412/Shared Documents/General/Deliverables/educsci10100262</vt:lpwstr>
      </vt:variant>
      <vt:variant>
        <vt:lpwstr/>
      </vt:variant>
      <vt:variant>
        <vt:i4>3407932</vt:i4>
      </vt:variant>
      <vt:variant>
        <vt:i4>402</vt:i4>
      </vt:variant>
      <vt:variant>
        <vt:i4>0</vt:i4>
      </vt:variant>
      <vt:variant>
        <vt:i4>5</vt:i4>
      </vt:variant>
      <vt:variant>
        <vt:lpwstr>https://www.nber.org/papers/w31359</vt:lpwstr>
      </vt:variant>
      <vt:variant>
        <vt:lpwstr/>
      </vt:variant>
      <vt:variant>
        <vt:i4>3407932</vt:i4>
      </vt:variant>
      <vt:variant>
        <vt:i4>399</vt:i4>
      </vt:variant>
      <vt:variant>
        <vt:i4>0</vt:i4>
      </vt:variant>
      <vt:variant>
        <vt:i4>5</vt:i4>
      </vt:variant>
      <vt:variant>
        <vt:lpwstr>https://www.nber.org/papers/w31359</vt:lpwstr>
      </vt:variant>
      <vt:variant>
        <vt:lpwstr/>
      </vt:variant>
      <vt:variant>
        <vt:i4>7340140</vt:i4>
      </vt:variant>
      <vt:variant>
        <vt:i4>396</vt:i4>
      </vt:variant>
      <vt:variant>
        <vt:i4>0</vt:i4>
      </vt:variant>
      <vt:variant>
        <vt:i4>5</vt:i4>
      </vt:variant>
      <vt:variant>
        <vt:lpwstr>https://assets.publishing.service.gov.uk/government/uploads/system/uploads/attachment_data/file/1104047/Teaching_and_Leadership_Innovation_Fund__TLIF__Fund-level_evaluation.pdf</vt:lpwstr>
      </vt:variant>
      <vt:variant>
        <vt:lpwstr/>
      </vt:variant>
      <vt:variant>
        <vt:i4>3080290</vt:i4>
      </vt:variant>
      <vt:variant>
        <vt:i4>393</vt:i4>
      </vt:variant>
      <vt:variant>
        <vt:i4>0</vt:i4>
      </vt:variant>
      <vt:variant>
        <vt:i4>5</vt:i4>
      </vt:variant>
      <vt:variant>
        <vt:lpwstr>https://www.sciencedirect.com/science/article/abs/pii/S0272775719300676</vt:lpwstr>
      </vt:variant>
      <vt:variant>
        <vt:lpwstr/>
      </vt:variant>
      <vt:variant>
        <vt:i4>3080290</vt:i4>
      </vt:variant>
      <vt:variant>
        <vt:i4>390</vt:i4>
      </vt:variant>
      <vt:variant>
        <vt:i4>0</vt:i4>
      </vt:variant>
      <vt:variant>
        <vt:i4>5</vt:i4>
      </vt:variant>
      <vt:variant>
        <vt:lpwstr>https://www.sciencedirect.com/science/article/abs/pii/S0272775719300676</vt:lpwstr>
      </vt:variant>
      <vt:variant>
        <vt:lpwstr/>
      </vt:variant>
      <vt:variant>
        <vt:i4>3080290</vt:i4>
      </vt:variant>
      <vt:variant>
        <vt:i4>387</vt:i4>
      </vt:variant>
      <vt:variant>
        <vt:i4>0</vt:i4>
      </vt:variant>
      <vt:variant>
        <vt:i4>5</vt:i4>
      </vt:variant>
      <vt:variant>
        <vt:lpwstr>https://www.sciencedirect.com/science/article/abs/pii/S0272775719300676</vt:lpwstr>
      </vt:variant>
      <vt:variant>
        <vt:lpwstr/>
      </vt:variant>
      <vt:variant>
        <vt:i4>5832792</vt:i4>
      </vt:variant>
      <vt:variant>
        <vt:i4>384</vt:i4>
      </vt:variant>
      <vt:variant>
        <vt:i4>0</vt:i4>
      </vt:variant>
      <vt:variant>
        <vt:i4>5</vt:i4>
      </vt:variant>
      <vt:variant>
        <vt:lpwstr>https://www.mathematica.org/publications/evaluation-of-the-teacher-incentive-fund-final-report-on-implementation-and-impacts</vt:lpwstr>
      </vt:variant>
      <vt:variant>
        <vt:lpwstr/>
      </vt:variant>
      <vt:variant>
        <vt:i4>3932220</vt:i4>
      </vt:variant>
      <vt:variant>
        <vt:i4>381</vt:i4>
      </vt:variant>
      <vt:variant>
        <vt:i4>0</vt:i4>
      </vt:variant>
      <vt:variant>
        <vt:i4>5</vt:i4>
      </vt:variant>
      <vt:variant>
        <vt:lpwstr>http://ies.ed.gov/ncee</vt:lpwstr>
      </vt:variant>
      <vt:variant>
        <vt:lpwstr/>
      </vt:variant>
      <vt:variant>
        <vt:i4>5570582</vt:i4>
      </vt:variant>
      <vt:variant>
        <vt:i4>378</vt:i4>
      </vt:variant>
      <vt:variant>
        <vt:i4>0</vt:i4>
      </vt:variant>
      <vt:variant>
        <vt:i4>5</vt:i4>
      </vt:variant>
      <vt:variant>
        <vt:lpwstr>https://studentaid.gov/manage-loans/forgiveness-cancellation/teacher</vt:lpwstr>
      </vt:variant>
      <vt:variant>
        <vt:lpwstr/>
      </vt:variant>
      <vt:variant>
        <vt:i4>6225934</vt:i4>
      </vt:variant>
      <vt:variant>
        <vt:i4>375</vt:i4>
      </vt:variant>
      <vt:variant>
        <vt:i4>0</vt:i4>
      </vt:variant>
      <vt:variant>
        <vt:i4>5</vt:i4>
      </vt:variant>
      <vt:variant>
        <vt:lpwstr>https://oese.ed.gov/offices/office-of-discretionary-grants-support-services/effective-educator-development-programs/teacher-and-school-leader-incentive-program/</vt:lpwstr>
      </vt:variant>
      <vt:variant>
        <vt:lpwstr/>
      </vt:variant>
      <vt:variant>
        <vt:i4>6357096</vt:i4>
      </vt:variant>
      <vt:variant>
        <vt:i4>372</vt:i4>
      </vt:variant>
      <vt:variant>
        <vt:i4>0</vt:i4>
      </vt:variant>
      <vt:variant>
        <vt:i4>5</vt:i4>
      </vt:variant>
      <vt:variant>
        <vt:lpwstr>https://oese.ed.gov/teacher-incentive-fund/</vt:lpwstr>
      </vt:variant>
      <vt:variant>
        <vt:lpwstr/>
      </vt:variant>
      <vt:variant>
        <vt:i4>4128871</vt:i4>
      </vt:variant>
      <vt:variant>
        <vt:i4>369</vt:i4>
      </vt:variant>
      <vt:variant>
        <vt:i4>0</vt:i4>
      </vt:variant>
      <vt:variant>
        <vt:i4>5</vt:i4>
      </vt:variant>
      <vt:variant>
        <vt:lpwstr>https://files.eric.ed.gov/fulltext/ED587438.pdf</vt:lpwstr>
      </vt:variant>
      <vt:variant>
        <vt:lpwstr/>
      </vt:variant>
      <vt:variant>
        <vt:i4>4718616</vt:i4>
      </vt:variant>
      <vt:variant>
        <vt:i4>366</vt:i4>
      </vt:variant>
      <vt:variant>
        <vt:i4>0</vt:i4>
      </vt:variant>
      <vt:variant>
        <vt:i4>5</vt:i4>
      </vt:variant>
      <vt:variant>
        <vt:lpwstr>https://global.chinadaily.com.cn/a/202204/15/WS6258c8c6a310fd2b29e5721a.html</vt:lpwstr>
      </vt:variant>
      <vt:variant>
        <vt:lpwstr/>
      </vt:variant>
      <vt:variant>
        <vt:i4>4128871</vt:i4>
      </vt:variant>
      <vt:variant>
        <vt:i4>363</vt:i4>
      </vt:variant>
      <vt:variant>
        <vt:i4>0</vt:i4>
      </vt:variant>
      <vt:variant>
        <vt:i4>5</vt:i4>
      </vt:variant>
      <vt:variant>
        <vt:lpwstr>https://files.eric.ed.gov/fulltext/ED587438.pdf</vt:lpwstr>
      </vt:variant>
      <vt:variant>
        <vt:lpwstr/>
      </vt:variant>
      <vt:variant>
        <vt:i4>6488187</vt:i4>
      </vt:variant>
      <vt:variant>
        <vt:i4>360</vt:i4>
      </vt:variant>
      <vt:variant>
        <vt:i4>0</vt:i4>
      </vt:variant>
      <vt:variant>
        <vt:i4>5</vt:i4>
      </vt:variant>
      <vt:variant>
        <vt:lpwstr>http://en.moe.gov.cn/documents/laws_policies/202309/t20230901_1077834.html</vt:lpwstr>
      </vt:variant>
      <vt:variant>
        <vt:lpwstr/>
      </vt:variant>
      <vt:variant>
        <vt:i4>4128871</vt:i4>
      </vt:variant>
      <vt:variant>
        <vt:i4>357</vt:i4>
      </vt:variant>
      <vt:variant>
        <vt:i4>0</vt:i4>
      </vt:variant>
      <vt:variant>
        <vt:i4>5</vt:i4>
      </vt:variant>
      <vt:variant>
        <vt:lpwstr>https://files.eric.ed.gov/fulltext/ED587438.pdf</vt:lpwstr>
      </vt:variant>
      <vt:variant>
        <vt:lpwstr/>
      </vt:variant>
      <vt:variant>
        <vt:i4>1</vt:i4>
      </vt:variant>
      <vt:variant>
        <vt:i4>354</vt:i4>
      </vt:variant>
      <vt:variant>
        <vt:i4>0</vt:i4>
      </vt:variant>
      <vt:variant>
        <vt:i4>5</vt:i4>
      </vt:variant>
      <vt:variant>
        <vt:lpwstr>https://www.teachnz.govt.nz/finding-a-teaching-job/voluntary-bonding-scheme/</vt:lpwstr>
      </vt:variant>
      <vt:variant>
        <vt:lpwstr/>
      </vt:variant>
      <vt:variant>
        <vt:i4>2687077</vt:i4>
      </vt:variant>
      <vt:variant>
        <vt:i4>351</vt:i4>
      </vt:variant>
      <vt:variant>
        <vt:i4>0</vt:i4>
      </vt:variant>
      <vt:variant>
        <vt:i4>5</vt:i4>
      </vt:variant>
      <vt:variant>
        <vt:lpwstr>https://www.teachnz.govt.nz/assets/Uploads/Voluntary-Bonding-Scheme/ELS-0261-VBS-Application-Guide.pdf</vt:lpwstr>
      </vt:variant>
      <vt:variant>
        <vt:lpwstr/>
      </vt:variant>
      <vt:variant>
        <vt:i4>1966085</vt:i4>
      </vt:variant>
      <vt:variant>
        <vt:i4>348</vt:i4>
      </vt:variant>
      <vt:variant>
        <vt:i4>0</vt:i4>
      </vt:variant>
      <vt:variant>
        <vt:i4>5</vt:i4>
      </vt:variant>
      <vt:variant>
        <vt:lpwstr>https://www.theglobeandmail.com/canada/british-columbia/article-private-donation-helps-attract-teachers-to-rural-bc-with-10000-cash/</vt:lpwstr>
      </vt:variant>
      <vt:variant>
        <vt:lpwstr/>
      </vt:variant>
      <vt:variant>
        <vt:i4>4259933</vt:i4>
      </vt:variant>
      <vt:variant>
        <vt:i4>345</vt:i4>
      </vt:variant>
      <vt:variant>
        <vt:i4>0</vt:i4>
      </vt:variant>
      <vt:variant>
        <vt:i4>5</vt:i4>
      </vt:variant>
      <vt:variant>
        <vt:lpwstr>https://yukon.ca/en/pay-benefits-pension</vt:lpwstr>
      </vt:variant>
      <vt:variant>
        <vt:lpwstr/>
      </vt:variant>
      <vt:variant>
        <vt:i4>6225927</vt:i4>
      </vt:variant>
      <vt:variant>
        <vt:i4>342</vt:i4>
      </vt:variant>
      <vt:variant>
        <vt:i4>0</vt:i4>
      </vt:variant>
      <vt:variant>
        <vt:i4>5</vt:i4>
      </vt:variant>
      <vt:variant>
        <vt:lpwstr>https://www.edcan.ca/articles/community-based-teacher-education/</vt:lpwstr>
      </vt:variant>
      <vt:variant>
        <vt:lpwstr/>
      </vt:variant>
      <vt:variant>
        <vt:i4>2949173</vt:i4>
      </vt:variant>
      <vt:variant>
        <vt:i4>339</vt:i4>
      </vt:variant>
      <vt:variant>
        <vt:i4>0</vt:i4>
      </vt:variant>
      <vt:variant>
        <vt:i4>5</vt:i4>
      </vt:variant>
      <vt:variant>
        <vt:lpwstr>https://www.gov.uk/guidance/early-career-payments-guidance-for-teachers-and-schools</vt:lpwstr>
      </vt:variant>
      <vt:variant>
        <vt:lpwstr/>
      </vt:variant>
      <vt:variant>
        <vt:i4>2424832</vt:i4>
      </vt:variant>
      <vt:variant>
        <vt:i4>336</vt:i4>
      </vt:variant>
      <vt:variant>
        <vt:i4>0</vt:i4>
      </vt:variant>
      <vt:variant>
        <vt:i4>5</vt:i4>
      </vt:variant>
      <vt:variant>
        <vt:lpwstr>https://www.oecd-ilibrary.org/education/equity-and-quality-in-education_9789264130852-en</vt:lpwstr>
      </vt:variant>
      <vt:variant>
        <vt:lpwstr/>
      </vt:variant>
      <vt:variant>
        <vt:i4>1769498</vt:i4>
      </vt:variant>
      <vt:variant>
        <vt:i4>333</vt:i4>
      </vt:variant>
      <vt:variant>
        <vt:i4>0</vt:i4>
      </vt:variant>
      <vt:variant>
        <vt:i4>5</vt:i4>
      </vt:variant>
      <vt:variant>
        <vt:lpwstr>https://www.oecd.org/education/school/attractingdevelopingandretainingeffectiveteachers-finalreportteachersmatter.htm</vt:lpwstr>
      </vt:variant>
      <vt:variant>
        <vt:lpwstr/>
      </vt:variant>
      <vt:variant>
        <vt:i4>1114124</vt:i4>
      </vt:variant>
      <vt:variant>
        <vt:i4>330</vt:i4>
      </vt:variant>
      <vt:variant>
        <vt:i4>0</vt:i4>
      </vt:variant>
      <vt:variant>
        <vt:i4>5</vt:i4>
      </vt:variant>
      <vt:variant>
        <vt:lpwstr>https://library.villanova.edu/Find/Record/1258147/TOC</vt:lpwstr>
      </vt:variant>
      <vt:variant>
        <vt:lpwstr/>
      </vt:variant>
      <vt:variant>
        <vt:i4>1769498</vt:i4>
      </vt:variant>
      <vt:variant>
        <vt:i4>327</vt:i4>
      </vt:variant>
      <vt:variant>
        <vt:i4>0</vt:i4>
      </vt:variant>
      <vt:variant>
        <vt:i4>5</vt:i4>
      </vt:variant>
      <vt:variant>
        <vt:lpwstr>https://www.oecd.org/education/school/attractingdevelopingandretainingeffectiveteachers-finalreportteachersmatter.htm</vt:lpwstr>
      </vt:variant>
      <vt:variant>
        <vt:lpwstr/>
      </vt:variant>
      <vt:variant>
        <vt:i4>1572979</vt:i4>
      </vt:variant>
      <vt:variant>
        <vt:i4>324</vt:i4>
      </vt:variant>
      <vt:variant>
        <vt:i4>0</vt:i4>
      </vt:variant>
      <vt:variant>
        <vt:i4>5</vt:i4>
      </vt:variant>
      <vt:variant>
        <vt:lpwstr>https://research.acer.edu.au/cgi/viewcontent.cgi?article=1007&amp;context=learning_processes</vt:lpwstr>
      </vt:variant>
      <vt:variant>
        <vt:lpwstr/>
      </vt:variant>
      <vt:variant>
        <vt:i4>5308514</vt:i4>
      </vt:variant>
      <vt:variant>
        <vt:i4>321</vt:i4>
      </vt:variant>
      <vt:variant>
        <vt:i4>0</vt:i4>
      </vt:variant>
      <vt:variant>
        <vt:i4>5</vt:i4>
      </vt:variant>
      <vt:variant>
        <vt:lpwstr>https://www.rand.org/pubs/research_reports/RRA181-1.html</vt:lpwstr>
      </vt:variant>
      <vt:variant>
        <vt:lpwstr/>
      </vt:variant>
      <vt:variant>
        <vt:i4>1769498</vt:i4>
      </vt:variant>
      <vt:variant>
        <vt:i4>318</vt:i4>
      </vt:variant>
      <vt:variant>
        <vt:i4>0</vt:i4>
      </vt:variant>
      <vt:variant>
        <vt:i4>5</vt:i4>
      </vt:variant>
      <vt:variant>
        <vt:lpwstr>https://www.oecd.org/education/school/attractingdevelopingandretainingeffectiveteachers-finalreportteachersmatter.htm</vt:lpwstr>
      </vt:variant>
      <vt:variant>
        <vt:lpwstr/>
      </vt:variant>
      <vt:variant>
        <vt:i4>1769498</vt:i4>
      </vt:variant>
      <vt:variant>
        <vt:i4>315</vt:i4>
      </vt:variant>
      <vt:variant>
        <vt:i4>0</vt:i4>
      </vt:variant>
      <vt:variant>
        <vt:i4>5</vt:i4>
      </vt:variant>
      <vt:variant>
        <vt:lpwstr>https://www.oecd.org/education/school/attractingdevelopingandretainingeffectiveteachers-finalreportteachersmatter.htm</vt:lpwstr>
      </vt:variant>
      <vt:variant>
        <vt:lpwstr/>
      </vt:variant>
      <vt:variant>
        <vt:i4>5570574</vt:i4>
      </vt:variant>
      <vt:variant>
        <vt:i4>312</vt:i4>
      </vt:variant>
      <vt:variant>
        <vt:i4>0</vt:i4>
      </vt:variant>
      <vt:variant>
        <vt:i4>5</vt:i4>
      </vt:variant>
      <vt:variant>
        <vt:lpwstr>https://doi.org/10.1787/9789264044715-en</vt:lpwstr>
      </vt:variant>
      <vt:variant>
        <vt:lpwstr/>
      </vt:variant>
      <vt:variant>
        <vt:i4>1572937</vt:i4>
      </vt:variant>
      <vt:variant>
        <vt:i4>309</vt:i4>
      </vt:variant>
      <vt:variant>
        <vt:i4>0</vt:i4>
      </vt:variant>
      <vt:variant>
        <vt:i4>5</vt:i4>
      </vt:variant>
      <vt:variant>
        <vt:lpwstr>https://www.aeuvic.asn.au/new-oecd-report-highlights-unmet-need-australias-public-schools</vt:lpwstr>
      </vt:variant>
      <vt:variant>
        <vt:lpwstr/>
      </vt:variant>
      <vt:variant>
        <vt:i4>7995430</vt:i4>
      </vt:variant>
      <vt:variant>
        <vt:i4>306</vt:i4>
      </vt:variant>
      <vt:variant>
        <vt:i4>0</vt:i4>
      </vt:variant>
      <vt:variant>
        <vt:i4>5</vt:i4>
      </vt:variant>
      <vt:variant>
        <vt:lpwstr>https://www.oecd.org/education/school/50293148.pdf</vt:lpwstr>
      </vt:variant>
      <vt:variant>
        <vt:lpwstr/>
      </vt:variant>
      <vt:variant>
        <vt:i4>2556009</vt:i4>
      </vt:variant>
      <vt:variant>
        <vt:i4>303</vt:i4>
      </vt:variant>
      <vt:variant>
        <vt:i4>0</vt:i4>
      </vt:variant>
      <vt:variant>
        <vt:i4>5</vt:i4>
      </vt:variant>
      <vt:variant>
        <vt:lpwstr>https://ncee.org/country/hong-kong/</vt:lpwstr>
      </vt:variant>
      <vt:variant>
        <vt:lpwstr/>
      </vt:variant>
      <vt:variant>
        <vt:i4>8192058</vt:i4>
      </vt:variant>
      <vt:variant>
        <vt:i4>300</vt:i4>
      </vt:variant>
      <vt:variant>
        <vt:i4>0</vt:i4>
      </vt:variant>
      <vt:variant>
        <vt:i4>5</vt:i4>
      </vt:variant>
      <vt:variant>
        <vt:lpwstr>https://www.tandfonline.com/doi/epdf/10.1080/00131911.2023.2234661?needAccess=true</vt:lpwstr>
      </vt:variant>
      <vt:variant>
        <vt:lpwstr/>
      </vt:variant>
      <vt:variant>
        <vt:i4>1245213</vt:i4>
      </vt:variant>
      <vt:variant>
        <vt:i4>297</vt:i4>
      </vt:variant>
      <vt:variant>
        <vt:i4>0</vt:i4>
      </vt:variant>
      <vt:variant>
        <vt:i4>5</vt:i4>
      </vt:variant>
      <vt:variant>
        <vt:lpwstr>https://assets.publishing.service.gov.uk/government/uploads/system/uploads/attachment_data/file/1156633/PIRLS_2021_-_national_report_for_England__May_2023.pdf</vt:lpwstr>
      </vt:variant>
      <vt:variant>
        <vt:lpwstr/>
      </vt:variant>
      <vt:variant>
        <vt:i4>2228341</vt:i4>
      </vt:variant>
      <vt:variant>
        <vt:i4>294</vt:i4>
      </vt:variant>
      <vt:variant>
        <vt:i4>0</vt:i4>
      </vt:variant>
      <vt:variant>
        <vt:i4>5</vt:i4>
      </vt:variant>
      <vt:variant>
        <vt:lpwstr>https://www.tandfonline.com/doi/full/10.1080/02671522.2019.1677759</vt:lpwstr>
      </vt:variant>
      <vt:variant>
        <vt:lpwstr/>
      </vt:variant>
      <vt:variant>
        <vt:i4>2556009</vt:i4>
      </vt:variant>
      <vt:variant>
        <vt:i4>291</vt:i4>
      </vt:variant>
      <vt:variant>
        <vt:i4>0</vt:i4>
      </vt:variant>
      <vt:variant>
        <vt:i4>5</vt:i4>
      </vt:variant>
      <vt:variant>
        <vt:lpwstr>https://ncee.org/country/hong-kong/</vt:lpwstr>
      </vt:variant>
      <vt:variant>
        <vt:lpwstr/>
      </vt:variant>
      <vt:variant>
        <vt:i4>4128867</vt:i4>
      </vt:variant>
      <vt:variant>
        <vt:i4>288</vt:i4>
      </vt:variant>
      <vt:variant>
        <vt:i4>0</vt:i4>
      </vt:variant>
      <vt:variant>
        <vt:i4>5</vt:i4>
      </vt:variant>
      <vt:variant>
        <vt:lpwstr>https://www.gov.uk/government/publications/pupil-premium/pupil-premium</vt:lpwstr>
      </vt:variant>
      <vt:variant>
        <vt:lpwstr/>
      </vt:variant>
      <vt:variant>
        <vt:i4>1572937</vt:i4>
      </vt:variant>
      <vt:variant>
        <vt:i4>285</vt:i4>
      </vt:variant>
      <vt:variant>
        <vt:i4>0</vt:i4>
      </vt:variant>
      <vt:variant>
        <vt:i4>5</vt:i4>
      </vt:variant>
      <vt:variant>
        <vt:lpwstr>https://www.aeuvic.asn.au/new-oecd-report-highlights-unmet-need-australias-public-schools</vt:lpwstr>
      </vt:variant>
      <vt:variant>
        <vt:lpwstr/>
      </vt:variant>
      <vt:variant>
        <vt:i4>7995430</vt:i4>
      </vt:variant>
      <vt:variant>
        <vt:i4>282</vt:i4>
      </vt:variant>
      <vt:variant>
        <vt:i4>0</vt:i4>
      </vt:variant>
      <vt:variant>
        <vt:i4>5</vt:i4>
      </vt:variant>
      <vt:variant>
        <vt:lpwstr>https://www.oecd.org/education/school/50293148.pdf</vt:lpwstr>
      </vt:variant>
      <vt:variant>
        <vt:lpwstr/>
      </vt:variant>
      <vt:variant>
        <vt:i4>1835076</vt:i4>
      </vt:variant>
      <vt:variant>
        <vt:i4>279</vt:i4>
      </vt:variant>
      <vt:variant>
        <vt:i4>0</vt:i4>
      </vt:variant>
      <vt:variant>
        <vt:i4>5</vt:i4>
      </vt:variant>
      <vt:variant>
        <vt:lpwstr>https://research.acer.edu.au/cgi/viewcontent.cgi?article=1024&amp;context=aer</vt:lpwstr>
      </vt:variant>
      <vt:variant>
        <vt:lpwstr/>
      </vt:variant>
      <vt:variant>
        <vt:i4>3801193</vt:i4>
      </vt:variant>
      <vt:variant>
        <vt:i4>276</vt:i4>
      </vt:variant>
      <vt:variant>
        <vt:i4>0</vt:i4>
      </vt:variant>
      <vt:variant>
        <vt:i4>5</vt:i4>
      </vt:variant>
      <vt:variant>
        <vt:lpwstr>https://www.gie.unsw.edu.au/sites/default/files/documents/Equity Survey Technical Report Final 19 July.pdf</vt:lpwstr>
      </vt:variant>
      <vt:variant>
        <vt:lpwstr/>
      </vt:variant>
      <vt:variant>
        <vt:i4>2097266</vt:i4>
      </vt:variant>
      <vt:variant>
        <vt:i4>273</vt:i4>
      </vt:variant>
      <vt:variant>
        <vt:i4>0</vt:i4>
      </vt:variant>
      <vt:variant>
        <vt:i4>5</vt:i4>
      </vt:variant>
      <vt:variant>
        <vt:lpwstr>https://www.tandfonline.com/doi/full/10.1080/03050068.2022.2055297</vt:lpwstr>
      </vt:variant>
      <vt:variant>
        <vt:lpwstr/>
      </vt:variant>
      <vt:variant>
        <vt:i4>2162739</vt:i4>
      </vt:variant>
      <vt:variant>
        <vt:i4>270</vt:i4>
      </vt:variant>
      <vt:variant>
        <vt:i4>0</vt:i4>
      </vt:variant>
      <vt:variant>
        <vt:i4>5</vt:i4>
      </vt:variant>
      <vt:variant>
        <vt:lpwstr>https://www.ipp.eu/publication/reforme-daffelnet-lycee-a-paris-quels-effets-sur-la-mixite-sociale-et-scolaire/</vt:lpwstr>
      </vt:variant>
      <vt:variant>
        <vt:lpwstr/>
      </vt:variant>
      <vt:variant>
        <vt:i4>393290</vt:i4>
      </vt:variant>
      <vt:variant>
        <vt:i4>267</vt:i4>
      </vt:variant>
      <vt:variant>
        <vt:i4>0</vt:i4>
      </vt:variant>
      <vt:variant>
        <vt:i4>5</vt:i4>
      </vt:variant>
      <vt:variant>
        <vt:lpwstr>https://www.ipp.eu/publication/peut-on-concilier-ouverture-sociale-et-excellence-scolaire-un-premier-bilan-de-lintegration-des-lycees-henri-iv-et-louis-le-grand-a-la-procedure-affelnet/</vt:lpwstr>
      </vt:variant>
      <vt:variant>
        <vt:lpwstr/>
      </vt:variant>
      <vt:variant>
        <vt:i4>3801197</vt:i4>
      </vt:variant>
      <vt:variant>
        <vt:i4>264</vt:i4>
      </vt:variant>
      <vt:variant>
        <vt:i4>0</vt:i4>
      </vt:variant>
      <vt:variant>
        <vt:i4>5</vt:i4>
      </vt:variant>
      <vt:variant>
        <vt:lpwstr>https://files.eric.ed.gov/fulltext/ED606648.pdf</vt:lpwstr>
      </vt:variant>
      <vt:variant>
        <vt:lpwstr/>
      </vt:variant>
      <vt:variant>
        <vt:i4>5439509</vt:i4>
      </vt:variant>
      <vt:variant>
        <vt:i4>261</vt:i4>
      </vt:variant>
      <vt:variant>
        <vt:i4>0</vt:i4>
      </vt:variant>
      <vt:variant>
        <vt:i4>5</vt:i4>
      </vt:variant>
      <vt:variant>
        <vt:lpwstr>http://www.nber.org/papers/w30308</vt:lpwstr>
      </vt:variant>
      <vt:variant>
        <vt:lpwstr/>
      </vt:variant>
      <vt:variant>
        <vt:i4>1769499</vt:i4>
      </vt:variant>
      <vt:variant>
        <vt:i4>258</vt:i4>
      </vt:variant>
      <vt:variant>
        <vt:i4>0</vt:i4>
      </vt:variant>
      <vt:variant>
        <vt:i4>5</vt:i4>
      </vt:variant>
      <vt:variant>
        <vt:lpwstr>https://shs.hal.science/halshs-02539802/document</vt:lpwstr>
      </vt:variant>
      <vt:variant>
        <vt:lpwstr/>
      </vt:variant>
      <vt:variant>
        <vt:i4>4849739</vt:i4>
      </vt:variant>
      <vt:variant>
        <vt:i4>255</vt:i4>
      </vt:variant>
      <vt:variant>
        <vt:i4>0</vt:i4>
      </vt:variant>
      <vt:variant>
        <vt:i4>5</vt:i4>
      </vt:variant>
      <vt:variant>
        <vt:lpwstr>https://www.ipp.eu/wp-content/uploads/2023/02/Note_IPP_88.pdf</vt:lpwstr>
      </vt:variant>
      <vt:variant>
        <vt:lpwstr/>
      </vt:variant>
      <vt:variant>
        <vt:i4>5439509</vt:i4>
      </vt:variant>
      <vt:variant>
        <vt:i4>252</vt:i4>
      </vt:variant>
      <vt:variant>
        <vt:i4>0</vt:i4>
      </vt:variant>
      <vt:variant>
        <vt:i4>5</vt:i4>
      </vt:variant>
      <vt:variant>
        <vt:lpwstr>http://www.nber.org/papers/w30308</vt:lpwstr>
      </vt:variant>
      <vt:variant>
        <vt:lpwstr/>
      </vt:variant>
      <vt:variant>
        <vt:i4>7405671</vt:i4>
      </vt:variant>
      <vt:variant>
        <vt:i4>249</vt:i4>
      </vt:variant>
      <vt:variant>
        <vt:i4>0</vt:i4>
      </vt:variant>
      <vt:variant>
        <vt:i4>5</vt:i4>
      </vt:variant>
      <vt:variant>
        <vt:lpwstr>https://www.aeaweb.org/articles?id=10.1257/aer.20151422</vt:lpwstr>
      </vt:variant>
      <vt:variant>
        <vt:lpwstr/>
      </vt:variant>
      <vt:variant>
        <vt:i4>5308480</vt:i4>
      </vt:variant>
      <vt:variant>
        <vt:i4>246</vt:i4>
      </vt:variant>
      <vt:variant>
        <vt:i4>0</vt:i4>
      </vt:variant>
      <vt:variant>
        <vt:i4>5</vt:i4>
      </vt:variant>
      <vt:variant>
        <vt:lpwstr>https://www.jstor.org/stable/41038793</vt:lpwstr>
      </vt:variant>
      <vt:variant>
        <vt:lpwstr/>
      </vt:variant>
      <vt:variant>
        <vt:i4>6422650</vt:i4>
      </vt:variant>
      <vt:variant>
        <vt:i4>243</vt:i4>
      </vt:variant>
      <vt:variant>
        <vt:i4>0</vt:i4>
      </vt:variant>
      <vt:variant>
        <vt:i4>5</vt:i4>
      </vt:variant>
      <vt:variant>
        <vt:lpwstr>https://www.sciencedirect.com/science/article/pii/S0047272721000360</vt:lpwstr>
      </vt:variant>
      <vt:variant>
        <vt:lpwstr/>
      </vt:variant>
      <vt:variant>
        <vt:i4>4325471</vt:i4>
      </vt:variant>
      <vt:variant>
        <vt:i4>240</vt:i4>
      </vt:variant>
      <vt:variant>
        <vt:i4>0</vt:i4>
      </vt:variant>
      <vt:variant>
        <vt:i4>5</vt:i4>
      </vt:variant>
      <vt:variant>
        <vt:lpwstr>https://onlinelibrary.wiley.com/doi/10.1002/pam.21748</vt:lpwstr>
      </vt:variant>
      <vt:variant>
        <vt:lpwstr/>
      </vt:variant>
      <vt:variant>
        <vt:i4>7471168</vt:i4>
      </vt:variant>
      <vt:variant>
        <vt:i4>237</vt:i4>
      </vt:variant>
      <vt:variant>
        <vt:i4>0</vt:i4>
      </vt:variant>
      <vt:variant>
        <vt:i4>5</vt:i4>
      </vt:variant>
      <vt:variant>
        <vt:lpwstr>https://doi.org/10.17899/on_ed.2021.11.4</vt:lpwstr>
      </vt:variant>
      <vt:variant>
        <vt:lpwstr/>
      </vt:variant>
      <vt:variant>
        <vt:i4>3670078</vt:i4>
      </vt:variant>
      <vt:variant>
        <vt:i4>234</vt:i4>
      </vt:variant>
      <vt:variant>
        <vt:i4>0</vt:i4>
      </vt:variant>
      <vt:variant>
        <vt:i4>5</vt:i4>
      </vt:variant>
      <vt:variant>
        <vt:lpwstr>https://www.nber.org/papers/w12145</vt:lpwstr>
      </vt:variant>
      <vt:variant>
        <vt:lpwstr/>
      </vt:variant>
      <vt:variant>
        <vt:i4>6684732</vt:i4>
      </vt:variant>
      <vt:variant>
        <vt:i4>231</vt:i4>
      </vt:variant>
      <vt:variant>
        <vt:i4>0</vt:i4>
      </vt:variant>
      <vt:variant>
        <vt:i4>5</vt:i4>
      </vt:variant>
      <vt:variant>
        <vt:lpwstr>https://pricetheory.uchicago.edu/levitt/Papers/schoolchoicelottery.pdf</vt:lpwstr>
      </vt:variant>
      <vt:variant>
        <vt:lpwstr/>
      </vt:variant>
      <vt:variant>
        <vt:i4>1376346</vt:i4>
      </vt:variant>
      <vt:variant>
        <vt:i4>228</vt:i4>
      </vt:variant>
      <vt:variant>
        <vt:i4>0</vt:i4>
      </vt:variant>
      <vt:variant>
        <vt:i4>5</vt:i4>
      </vt:variant>
      <vt:variant>
        <vt:lpwstr>https://doi.org/10.3102/00346543231195816</vt:lpwstr>
      </vt:variant>
      <vt:variant>
        <vt:lpwstr/>
      </vt:variant>
      <vt:variant>
        <vt:i4>3670053</vt:i4>
      </vt:variant>
      <vt:variant>
        <vt:i4>225</vt:i4>
      </vt:variant>
      <vt:variant>
        <vt:i4>0</vt:i4>
      </vt:variant>
      <vt:variant>
        <vt:i4>5</vt:i4>
      </vt:variant>
      <vt:variant>
        <vt:lpwstr>https://tcf.org/content/report/chicago-public-schools/</vt:lpwstr>
      </vt:variant>
      <vt:variant>
        <vt:lpwstr/>
      </vt:variant>
      <vt:variant>
        <vt:i4>8126524</vt:i4>
      </vt:variant>
      <vt:variant>
        <vt:i4>222</vt:i4>
      </vt:variant>
      <vt:variant>
        <vt:i4>0</vt:i4>
      </vt:variant>
      <vt:variant>
        <vt:i4>5</vt:i4>
      </vt:variant>
      <vt:variant>
        <vt:lpwstr>https://www.bristol.ac.uk/media-library/sites/cmpo/migrated/documents/wp244.pdf</vt:lpwstr>
      </vt:variant>
      <vt:variant>
        <vt:lpwstr/>
      </vt:variant>
      <vt:variant>
        <vt:i4>3014767</vt:i4>
      </vt:variant>
      <vt:variant>
        <vt:i4>219</vt:i4>
      </vt:variant>
      <vt:variant>
        <vt:i4>0</vt:i4>
      </vt:variant>
      <vt:variant>
        <vt:i4>5</vt:i4>
      </vt:variant>
      <vt:variant>
        <vt:lpwstr>https://www.sciencedirect.com/science/article/abs/pii/S0899825621000671</vt:lpwstr>
      </vt:variant>
      <vt:variant>
        <vt:lpwstr/>
      </vt:variant>
      <vt:variant>
        <vt:i4>7798809</vt:i4>
      </vt:variant>
      <vt:variant>
        <vt:i4>216</vt:i4>
      </vt:variant>
      <vt:variant>
        <vt:i4>0</vt:i4>
      </vt:variant>
      <vt:variant>
        <vt:i4>5</vt:i4>
      </vt:variant>
      <vt:variant>
        <vt:lpwstr>https://villejuste.com/wp-content/uploads/2022/04/School_mixing_intelligent_school_zoning_report.pdf</vt:lpwstr>
      </vt:variant>
      <vt:variant>
        <vt:lpwstr/>
      </vt:variant>
      <vt:variant>
        <vt:i4>7798809</vt:i4>
      </vt:variant>
      <vt:variant>
        <vt:i4>213</vt:i4>
      </vt:variant>
      <vt:variant>
        <vt:i4>0</vt:i4>
      </vt:variant>
      <vt:variant>
        <vt:i4>5</vt:i4>
      </vt:variant>
      <vt:variant>
        <vt:lpwstr>https://villejuste.com/wp-content/uploads/2022/04/School_mixing_intelligent_school_zoning_report.pdf</vt:lpwstr>
      </vt:variant>
      <vt:variant>
        <vt:lpwstr/>
      </vt:variant>
      <vt:variant>
        <vt:i4>5636183</vt:i4>
      </vt:variant>
      <vt:variant>
        <vt:i4>210</vt:i4>
      </vt:variant>
      <vt:variant>
        <vt:i4>0</vt:i4>
      </vt:variant>
      <vt:variant>
        <vt:i4>5</vt:i4>
      </vt:variant>
      <vt:variant>
        <vt:lpwstr>https://files.eric.ed.gov/fulltext/EJ1045657.pdf</vt:lpwstr>
      </vt:variant>
      <vt:variant>
        <vt:lpwstr/>
      </vt:variant>
      <vt:variant>
        <vt:i4>1376346</vt:i4>
      </vt:variant>
      <vt:variant>
        <vt:i4>207</vt:i4>
      </vt:variant>
      <vt:variant>
        <vt:i4>0</vt:i4>
      </vt:variant>
      <vt:variant>
        <vt:i4>5</vt:i4>
      </vt:variant>
      <vt:variant>
        <vt:lpwstr>https://doi.org/10.3102/00346543231195816</vt:lpwstr>
      </vt:variant>
      <vt:variant>
        <vt:lpwstr/>
      </vt:variant>
      <vt:variant>
        <vt:i4>4391001</vt:i4>
      </vt:variant>
      <vt:variant>
        <vt:i4>204</vt:i4>
      </vt:variant>
      <vt:variant>
        <vt:i4>0</vt:i4>
      </vt:variant>
      <vt:variant>
        <vt:i4>5</vt:i4>
      </vt:variant>
      <vt:variant>
        <vt:lpwstr>https://www.sciencedirect.com/science/article/abs/pii/S0049089X16300060</vt:lpwstr>
      </vt:variant>
      <vt:variant>
        <vt:lpwstr>:~:text=Third%2C%20irregularly%2Dshaped%20attendance%20zones,and%20scale%20of%20residential%20segregation.</vt:lpwstr>
      </vt:variant>
      <vt:variant>
        <vt:i4>1376346</vt:i4>
      </vt:variant>
      <vt:variant>
        <vt:i4>201</vt:i4>
      </vt:variant>
      <vt:variant>
        <vt:i4>0</vt:i4>
      </vt:variant>
      <vt:variant>
        <vt:i4>5</vt:i4>
      </vt:variant>
      <vt:variant>
        <vt:lpwstr>https://doi.org/10.3102/00346543231195816</vt:lpwstr>
      </vt:variant>
      <vt:variant>
        <vt:lpwstr/>
      </vt:variant>
      <vt:variant>
        <vt:i4>2490410</vt:i4>
      </vt:variant>
      <vt:variant>
        <vt:i4>198</vt:i4>
      </vt:variant>
      <vt:variant>
        <vt:i4>0</vt:i4>
      </vt:variant>
      <vt:variant>
        <vt:i4>5</vt:i4>
      </vt:variant>
      <vt:variant>
        <vt:lpwstr>https://doi.org/10.1787/eag-2010-29-en</vt:lpwstr>
      </vt:variant>
      <vt:variant>
        <vt:lpwstr/>
      </vt:variant>
      <vt:variant>
        <vt:i4>1048659</vt:i4>
      </vt:variant>
      <vt:variant>
        <vt:i4>195</vt:i4>
      </vt:variant>
      <vt:variant>
        <vt:i4>0</vt:i4>
      </vt:variant>
      <vt:variant>
        <vt:i4>5</vt:i4>
      </vt:variant>
      <vt:variant>
        <vt:lpwstr>https://doi.org/10.3102/0002831217724116</vt:lpwstr>
      </vt:variant>
      <vt:variant>
        <vt:lpwstr/>
      </vt:variant>
      <vt:variant>
        <vt:i4>262267</vt:i4>
      </vt:variant>
      <vt:variant>
        <vt:i4>192</vt:i4>
      </vt:variant>
      <vt:variant>
        <vt:i4>0</vt:i4>
      </vt:variant>
      <vt:variant>
        <vt:i4>5</vt:i4>
      </vt:variant>
      <vt:variant>
        <vt:lpwstr>https://www.nber.org/system/files/working_papers/w23550/w23550.pdf</vt:lpwstr>
      </vt:variant>
      <vt:variant>
        <vt:lpwstr/>
      </vt:variant>
      <vt:variant>
        <vt:i4>589861</vt:i4>
      </vt:variant>
      <vt:variant>
        <vt:i4>189</vt:i4>
      </vt:variant>
      <vt:variant>
        <vt:i4>0</vt:i4>
      </vt:variant>
      <vt:variant>
        <vt:i4>5</vt:i4>
      </vt:variant>
      <vt:variant>
        <vt:lpwstr>https://link.springer.com/chapter/10.1007/978-3-030-59031-4_7</vt:lpwstr>
      </vt:variant>
      <vt:variant>
        <vt:lpwstr>:~:text=The%20reforms%20implemented%20between%201999,how%20successful%20these%20changes%20were.</vt:lpwstr>
      </vt:variant>
      <vt:variant>
        <vt:i4>458764</vt:i4>
      </vt:variant>
      <vt:variant>
        <vt:i4>186</vt:i4>
      </vt:variant>
      <vt:variant>
        <vt:i4>0</vt:i4>
      </vt:variant>
      <vt:variant>
        <vt:i4>5</vt:i4>
      </vt:variant>
      <vt:variant>
        <vt:lpwstr>https://journals.sagepub.com/doi/10.1177/1474904115592489</vt:lpwstr>
      </vt:variant>
      <vt:variant>
        <vt:lpwstr/>
      </vt:variant>
      <vt:variant>
        <vt:i4>1704027</vt:i4>
      </vt:variant>
      <vt:variant>
        <vt:i4>183</vt:i4>
      </vt:variant>
      <vt:variant>
        <vt:i4>0</vt:i4>
      </vt:variant>
      <vt:variant>
        <vt:i4>5</vt:i4>
      </vt:variant>
      <vt:variant>
        <vt:lpwstr>https://bera-journals.onlinelibrary.wiley.com/doi/full/10.1002/berj.3746</vt:lpwstr>
      </vt:variant>
      <vt:variant>
        <vt:lpwstr/>
      </vt:variant>
      <vt:variant>
        <vt:i4>5177356</vt:i4>
      </vt:variant>
      <vt:variant>
        <vt:i4>180</vt:i4>
      </vt:variant>
      <vt:variant>
        <vt:i4>0</vt:i4>
      </vt:variant>
      <vt:variant>
        <vt:i4>5</vt:i4>
      </vt:variant>
      <vt:variant>
        <vt:lpwstr>https://www.oecd-ilibrary.org/sites/5a0ce712-en/index.html?itemId=/content/component/5a0ce712-en</vt:lpwstr>
      </vt:variant>
      <vt:variant>
        <vt:lpwstr/>
      </vt:variant>
      <vt:variant>
        <vt:i4>4980751</vt:i4>
      </vt:variant>
      <vt:variant>
        <vt:i4>177</vt:i4>
      </vt:variant>
      <vt:variant>
        <vt:i4>0</vt:i4>
      </vt:variant>
      <vt:variant>
        <vt:i4>5</vt:i4>
      </vt:variant>
      <vt:variant>
        <vt:lpwstr>https://www.oecd-ilibrary.org/sites/958d7736-en/index.html?itemId=/content/component/958d7736-en</vt:lpwstr>
      </vt:variant>
      <vt:variant>
        <vt:lpwstr/>
      </vt:variant>
      <vt:variant>
        <vt:i4>5242974</vt:i4>
      </vt:variant>
      <vt:variant>
        <vt:i4>174</vt:i4>
      </vt:variant>
      <vt:variant>
        <vt:i4>0</vt:i4>
      </vt:variant>
      <vt:variant>
        <vt:i4>5</vt:i4>
      </vt:variant>
      <vt:variant>
        <vt:lpwstr>https://cpd.org.au/wp-content/uploads/2018/07/Institutionalised-Separation-Report-13-July.pdf</vt:lpwstr>
      </vt:variant>
      <vt:variant>
        <vt:lpwstr/>
      </vt:variant>
      <vt:variant>
        <vt:i4>1769537</vt:i4>
      </vt:variant>
      <vt:variant>
        <vt:i4>171</vt:i4>
      </vt:variant>
      <vt:variant>
        <vt:i4>0</vt:i4>
      </vt:variant>
      <vt:variant>
        <vt:i4>5</vt:i4>
      </vt:variant>
      <vt:variant>
        <vt:lpwstr>https://education.nsw.gov.au/public-schools/selective-high-schools-and-opportunity-classes/general-information/equity-placement-model</vt:lpwstr>
      </vt:variant>
      <vt:variant>
        <vt:lpwstr/>
      </vt:variant>
      <vt:variant>
        <vt:i4>1900635</vt:i4>
      </vt:variant>
      <vt:variant>
        <vt:i4>168</vt:i4>
      </vt:variant>
      <vt:variant>
        <vt:i4>0</vt:i4>
      </vt:variant>
      <vt:variant>
        <vt:i4>5</vt:i4>
      </vt:variant>
      <vt:variant>
        <vt:lpwstr>https://www.vu.edu.au/sites/default/files/cires-policy-brief-02-2021.pdf</vt:lpwstr>
      </vt:variant>
      <vt:variant>
        <vt:lpwstr/>
      </vt:variant>
      <vt:variant>
        <vt:i4>1376262</vt:i4>
      </vt:variant>
      <vt:variant>
        <vt:i4>165</vt:i4>
      </vt:variant>
      <vt:variant>
        <vt:i4>0</vt:i4>
      </vt:variant>
      <vt:variant>
        <vt:i4>5</vt:i4>
      </vt:variant>
      <vt:variant>
        <vt:lpwstr>https://www.stuff.co.nz/dominion-post/news/94231092/special-characters-the-statefunded-schools-that-ask-pupils-for-5000-and-more</vt:lpwstr>
      </vt:variant>
      <vt:variant>
        <vt:lpwstr/>
      </vt:variant>
      <vt:variant>
        <vt:i4>7340083</vt:i4>
      </vt:variant>
      <vt:variant>
        <vt:i4>162</vt:i4>
      </vt:variant>
      <vt:variant>
        <vt:i4>0</vt:i4>
      </vt:variant>
      <vt:variant>
        <vt:i4>5</vt:i4>
      </vt:variant>
      <vt:variant>
        <vt:lpwstr>https://www.stuff.co.nz/national/education/128392315/stateintegrated-schools-preserving-elitism-or-providing-diversity</vt:lpwstr>
      </vt:variant>
      <vt:variant>
        <vt:lpwstr/>
      </vt:variant>
      <vt:variant>
        <vt:i4>5636096</vt:i4>
      </vt:variant>
      <vt:variant>
        <vt:i4>159</vt:i4>
      </vt:variant>
      <vt:variant>
        <vt:i4>0</vt:i4>
      </vt:variant>
      <vt:variant>
        <vt:i4>5</vt:i4>
      </vt:variant>
      <vt:variant>
        <vt:lpwstr>https://www.ppta.org.nz/publication-library/annual-conference-papers-2017-2018/document/299;</vt:lpwstr>
      </vt:variant>
      <vt:variant>
        <vt:lpwstr/>
      </vt:variant>
      <vt:variant>
        <vt:i4>5898249</vt:i4>
      </vt:variant>
      <vt:variant>
        <vt:i4>156</vt:i4>
      </vt:variant>
      <vt:variant>
        <vt:i4>0</vt:i4>
      </vt:variant>
      <vt:variant>
        <vt:i4>5</vt:i4>
      </vt:variant>
      <vt:variant>
        <vt:lpwstr>https://www.oecd.org/pisa/publications/PISA2018_CN_NZL.pdf</vt:lpwstr>
      </vt:variant>
      <vt:variant>
        <vt:lpwstr/>
      </vt:variant>
      <vt:variant>
        <vt:i4>4849670</vt:i4>
      </vt:variant>
      <vt:variant>
        <vt:i4>153</vt:i4>
      </vt:variant>
      <vt:variant>
        <vt:i4>0</vt:i4>
      </vt:variant>
      <vt:variant>
        <vt:i4>5</vt:i4>
      </vt:variant>
      <vt:variant>
        <vt:lpwstr>https://www.oecd.org/pisa/publications/PISA2018_CN_AUS.pdf</vt:lpwstr>
      </vt:variant>
      <vt:variant>
        <vt:lpwstr/>
      </vt:variant>
      <vt:variant>
        <vt:i4>2818170</vt:i4>
      </vt:variant>
      <vt:variant>
        <vt:i4>150</vt:i4>
      </vt:variant>
      <vt:variant>
        <vt:i4>0</vt:i4>
      </vt:variant>
      <vt:variant>
        <vt:i4>5</vt:i4>
      </vt:variant>
      <vt:variant>
        <vt:lpwstr>https://doi.org/10.1787/b5fd1b8f-en</vt:lpwstr>
      </vt:variant>
      <vt:variant>
        <vt:lpwstr/>
      </vt:variant>
      <vt:variant>
        <vt:i4>4390991</vt:i4>
      </vt:variant>
      <vt:variant>
        <vt:i4>147</vt:i4>
      </vt:variant>
      <vt:variant>
        <vt:i4>0</vt:i4>
      </vt:variant>
      <vt:variant>
        <vt:i4>5</vt:i4>
      </vt:variant>
      <vt:variant>
        <vt:lpwstr>https://nzcatholic.org.nz/2019/02/11/ethnic-mix-changing-in-catholic-schools/</vt:lpwstr>
      </vt:variant>
      <vt:variant>
        <vt:lpwstr/>
      </vt:variant>
      <vt:variant>
        <vt:i4>2752632</vt:i4>
      </vt:variant>
      <vt:variant>
        <vt:i4>144</vt:i4>
      </vt:variant>
      <vt:variant>
        <vt:i4>0</vt:i4>
      </vt:variant>
      <vt:variant>
        <vt:i4>5</vt:i4>
      </vt:variant>
      <vt:variant>
        <vt:lpwstr>https://eric.ed.gov/?id=EJ1082855</vt:lpwstr>
      </vt:variant>
      <vt:variant>
        <vt:lpwstr>:~:text=Direct%20subsidy%20scheme%20(DSS)%20schools,%2C%20staffing%2C%20and%20student%20admission.</vt:lpwstr>
      </vt:variant>
      <vt:variant>
        <vt:i4>983111</vt:i4>
      </vt:variant>
      <vt:variant>
        <vt:i4>141</vt:i4>
      </vt:variant>
      <vt:variant>
        <vt:i4>0</vt:i4>
      </vt:variant>
      <vt:variant>
        <vt:i4>5</vt:i4>
      </vt:variant>
      <vt:variant>
        <vt:lpwstr>https://www.legco.gov.hk/yr00-01/english/panels/ed/papers/264e02.pdf</vt:lpwstr>
      </vt:variant>
      <vt:variant>
        <vt:lpwstr/>
      </vt:variant>
      <vt:variant>
        <vt:i4>8323131</vt:i4>
      </vt:variant>
      <vt:variant>
        <vt:i4>138</vt:i4>
      </vt:variant>
      <vt:variant>
        <vt:i4>0</vt:i4>
      </vt:variant>
      <vt:variant>
        <vt:i4>5</vt:i4>
      </vt:variant>
      <vt:variant>
        <vt:lpwstr>https://www.edb.gov.hk/en/edu-system/primary-secondary/applicable-to-primary-secondary/direct-subsidy-scheme/info-sch.html</vt:lpwstr>
      </vt:variant>
      <vt:variant>
        <vt:lpwstr/>
      </vt:variant>
      <vt:variant>
        <vt:i4>2949240</vt:i4>
      </vt:variant>
      <vt:variant>
        <vt:i4>135</vt:i4>
      </vt:variant>
      <vt:variant>
        <vt:i4>0</vt:i4>
      </vt:variant>
      <vt:variant>
        <vt:i4>5</vt:i4>
      </vt:variant>
      <vt:variant>
        <vt:lpwstr>https://www.tandfonline.com/doi/full/10.1080/15582159.2019.1610687</vt:lpwstr>
      </vt:variant>
      <vt:variant>
        <vt:lpwstr/>
      </vt:variant>
      <vt:variant>
        <vt:i4>2752632</vt:i4>
      </vt:variant>
      <vt:variant>
        <vt:i4>132</vt:i4>
      </vt:variant>
      <vt:variant>
        <vt:i4>0</vt:i4>
      </vt:variant>
      <vt:variant>
        <vt:i4>5</vt:i4>
      </vt:variant>
      <vt:variant>
        <vt:lpwstr>https://eric.ed.gov/?id=EJ1082855</vt:lpwstr>
      </vt:variant>
      <vt:variant>
        <vt:lpwstr>:~:text=Direct%20subsidy%20scheme%20(DSS)%20schools,%2C%20staffing%2C%20and%20student%20admission.</vt:lpwstr>
      </vt:variant>
      <vt:variant>
        <vt:i4>983111</vt:i4>
      </vt:variant>
      <vt:variant>
        <vt:i4>129</vt:i4>
      </vt:variant>
      <vt:variant>
        <vt:i4>0</vt:i4>
      </vt:variant>
      <vt:variant>
        <vt:i4>5</vt:i4>
      </vt:variant>
      <vt:variant>
        <vt:lpwstr>https://www.legco.gov.hk/yr00-01/english/panels/ed/papers/264e02.pdf</vt:lpwstr>
      </vt:variant>
      <vt:variant>
        <vt:lpwstr/>
      </vt:variant>
      <vt:variant>
        <vt:i4>8323131</vt:i4>
      </vt:variant>
      <vt:variant>
        <vt:i4>126</vt:i4>
      </vt:variant>
      <vt:variant>
        <vt:i4>0</vt:i4>
      </vt:variant>
      <vt:variant>
        <vt:i4>5</vt:i4>
      </vt:variant>
      <vt:variant>
        <vt:lpwstr>https://www.edb.gov.hk/en/edu-system/primary-secondary/applicable-to-primary-secondary/direct-subsidy-scheme/info-sch.html</vt:lpwstr>
      </vt:variant>
      <vt:variant>
        <vt:lpwstr/>
      </vt:variant>
      <vt:variant>
        <vt:i4>2556009</vt:i4>
      </vt:variant>
      <vt:variant>
        <vt:i4>123</vt:i4>
      </vt:variant>
      <vt:variant>
        <vt:i4>0</vt:i4>
      </vt:variant>
      <vt:variant>
        <vt:i4>5</vt:i4>
      </vt:variant>
      <vt:variant>
        <vt:lpwstr>https://ncee.org/country/hong-kong/</vt:lpwstr>
      </vt:variant>
      <vt:variant>
        <vt:lpwstr/>
      </vt:variant>
      <vt:variant>
        <vt:i4>5898329</vt:i4>
      </vt:variant>
      <vt:variant>
        <vt:i4>120</vt:i4>
      </vt:variant>
      <vt:variant>
        <vt:i4>0</vt:i4>
      </vt:variant>
      <vt:variant>
        <vt:i4>5</vt:i4>
      </vt:variant>
      <vt:variant>
        <vt:lpwstr>https://www.educationcounts.govt.nz/find-school/donations-summary</vt:lpwstr>
      </vt:variant>
      <vt:variant>
        <vt:lpwstr/>
      </vt:variant>
      <vt:variant>
        <vt:i4>6815863</vt:i4>
      </vt:variant>
      <vt:variant>
        <vt:i4>117</vt:i4>
      </vt:variant>
      <vt:variant>
        <vt:i4>0</vt:i4>
      </vt:variant>
      <vt:variant>
        <vt:i4>5</vt:i4>
      </vt:variant>
      <vt:variant>
        <vt:lpwstr>https://www.legislation.govt.nz/act/public/1975/0129/7.0/DLM437585.html</vt:lpwstr>
      </vt:variant>
      <vt:variant>
        <vt:lpwstr/>
      </vt:variant>
      <vt:variant>
        <vt:i4>6815862</vt:i4>
      </vt:variant>
      <vt:variant>
        <vt:i4>114</vt:i4>
      </vt:variant>
      <vt:variant>
        <vt:i4>0</vt:i4>
      </vt:variant>
      <vt:variant>
        <vt:i4>5</vt:i4>
      </vt:variant>
      <vt:variant>
        <vt:lpwstr>https://www.education.govt.nz/school/funding-and-financials/fees-charges-and-donations/</vt:lpwstr>
      </vt:variant>
      <vt:variant>
        <vt:lpwstr/>
      </vt:variant>
      <vt:variant>
        <vt:i4>458780</vt:i4>
      </vt:variant>
      <vt:variant>
        <vt:i4>111</vt:i4>
      </vt:variant>
      <vt:variant>
        <vt:i4>0</vt:i4>
      </vt:variant>
      <vt:variant>
        <vt:i4>5</vt:i4>
      </vt:variant>
      <vt:variant>
        <vt:lpwstr>https://www.nzceo.org.nz/resource-items/attendance-dues-rates-2/</vt:lpwstr>
      </vt:variant>
      <vt:variant>
        <vt:lpwstr/>
      </vt:variant>
      <vt:variant>
        <vt:i4>6225999</vt:i4>
      </vt:variant>
      <vt:variant>
        <vt:i4>108</vt:i4>
      </vt:variant>
      <vt:variant>
        <vt:i4>0</vt:i4>
      </vt:variant>
      <vt:variant>
        <vt:i4>5</vt:i4>
      </vt:variant>
      <vt:variant>
        <vt:lpwstr>https://www.educationcounts.govt.nz/statistics/school-rolls.</vt:lpwstr>
      </vt:variant>
      <vt:variant>
        <vt:lpwstr/>
      </vt:variant>
      <vt:variant>
        <vt:i4>5701659</vt:i4>
      </vt:variant>
      <vt:variant>
        <vt:i4>105</vt:i4>
      </vt:variant>
      <vt:variant>
        <vt:i4>0</vt:i4>
      </vt:variant>
      <vt:variant>
        <vt:i4>5</vt:i4>
      </vt:variant>
      <vt:variant>
        <vt:lpwstr>https://www.oecd.org/pisa/publications/PISA2018_CN_CHL.pdf</vt:lpwstr>
      </vt:variant>
      <vt:variant>
        <vt:lpwstr/>
      </vt:variant>
      <vt:variant>
        <vt:i4>2097262</vt:i4>
      </vt:variant>
      <vt:variant>
        <vt:i4>102</vt:i4>
      </vt:variant>
      <vt:variant>
        <vt:i4>0</vt:i4>
      </vt:variant>
      <vt:variant>
        <vt:i4>5</vt:i4>
      </vt:variant>
      <vt:variant>
        <vt:lpwstr>https://blogs.worldbank.org/latinamerica/what-are-the-main-results-pisa-2018-latin-america</vt:lpwstr>
      </vt:variant>
      <vt:variant>
        <vt:lpwstr/>
      </vt:variant>
      <vt:variant>
        <vt:i4>7733362</vt:i4>
      </vt:variant>
      <vt:variant>
        <vt:i4>99</vt:i4>
      </vt:variant>
      <vt:variant>
        <vt:i4>0</vt:i4>
      </vt:variant>
      <vt:variant>
        <vt:i4>5</vt:i4>
      </vt:variant>
      <vt:variant>
        <vt:lpwstr>https://theconversation.com/global-education-rankings-may-overlook-poor-graduation-rates-127170</vt:lpwstr>
      </vt:variant>
      <vt:variant>
        <vt:lpwstr/>
      </vt:variant>
      <vt:variant>
        <vt:i4>6291580</vt:i4>
      </vt:variant>
      <vt:variant>
        <vt:i4>96</vt:i4>
      </vt:variant>
      <vt:variant>
        <vt:i4>0</vt:i4>
      </vt:variant>
      <vt:variant>
        <vt:i4>5</vt:i4>
      </vt:variant>
      <vt:variant>
        <vt:lpwstr>https://www.utpjournals.press/doi/full/10.3138/cpp.2019-039</vt:lpwstr>
      </vt:variant>
      <vt:variant>
        <vt:lpwstr/>
      </vt:variant>
      <vt:variant>
        <vt:i4>2162730</vt:i4>
      </vt:variant>
      <vt:variant>
        <vt:i4>93</vt:i4>
      </vt:variant>
      <vt:variant>
        <vt:i4>0</vt:i4>
      </vt:variant>
      <vt:variant>
        <vt:i4>5</vt:i4>
      </vt:variant>
      <vt:variant>
        <vt:lpwstr>https://journals.sagepub.com/doi/full/10.1177/0002716217732033</vt:lpwstr>
      </vt:variant>
      <vt:variant>
        <vt:lpwstr/>
      </vt:variant>
      <vt:variant>
        <vt:i4>5046330</vt:i4>
      </vt:variant>
      <vt:variant>
        <vt:i4>90</vt:i4>
      </vt:variant>
      <vt:variant>
        <vt:i4>0</vt:i4>
      </vt:variant>
      <vt:variant>
        <vt:i4>5</vt:i4>
      </vt:variant>
      <vt:variant>
        <vt:lpwstr>https://christopherneilson.github.io/work/documents/Neilson_SEPVouchers.pdf</vt:lpwstr>
      </vt:variant>
      <vt:variant>
        <vt:lpwstr/>
      </vt:variant>
      <vt:variant>
        <vt:i4>3407974</vt:i4>
      </vt:variant>
      <vt:variant>
        <vt:i4>87</vt:i4>
      </vt:variant>
      <vt:variant>
        <vt:i4>0</vt:i4>
      </vt:variant>
      <vt:variant>
        <vt:i4>5</vt:i4>
      </vt:variant>
      <vt:variant>
        <vt:lpwstr>https://publications.iadb.org/en/consequences-educational-voucher-reform-chile</vt:lpwstr>
      </vt:variant>
      <vt:variant>
        <vt:lpwstr/>
      </vt:variant>
      <vt:variant>
        <vt:i4>5701656</vt:i4>
      </vt:variant>
      <vt:variant>
        <vt:i4>84</vt:i4>
      </vt:variant>
      <vt:variant>
        <vt:i4>0</vt:i4>
      </vt:variant>
      <vt:variant>
        <vt:i4>5</vt:i4>
      </vt:variant>
      <vt:variant>
        <vt:lpwstr>https://www.oecd.org/pisa/publications/PISA2018_CN_HKG.pdf</vt:lpwstr>
      </vt:variant>
      <vt:variant>
        <vt:lpwstr/>
      </vt:variant>
      <vt:variant>
        <vt:i4>2752548</vt:i4>
      </vt:variant>
      <vt:variant>
        <vt:i4>81</vt:i4>
      </vt:variant>
      <vt:variant>
        <vt:i4>0</vt:i4>
      </vt:variant>
      <vt:variant>
        <vt:i4>5</vt:i4>
      </vt:variant>
      <vt:variant>
        <vt:lpwstr>https://www150.statcan.gc.ca/n1/en/pub/81-599-x/81-599-x2022002-eng.pdf?st=d01G0u9D</vt:lpwstr>
      </vt:variant>
      <vt:variant>
        <vt:lpwstr/>
      </vt:variant>
      <vt:variant>
        <vt:i4>2752548</vt:i4>
      </vt:variant>
      <vt:variant>
        <vt:i4>78</vt:i4>
      </vt:variant>
      <vt:variant>
        <vt:i4>0</vt:i4>
      </vt:variant>
      <vt:variant>
        <vt:i4>5</vt:i4>
      </vt:variant>
      <vt:variant>
        <vt:lpwstr>https://www150.statcan.gc.ca/n1/en/pub/81-599-x/81-599-x2022002-eng.pdf?st=d01G0u9D</vt:lpwstr>
      </vt:variant>
      <vt:variant>
        <vt:lpwstr/>
      </vt:variant>
      <vt:variant>
        <vt:i4>8192049</vt:i4>
      </vt:variant>
      <vt:variant>
        <vt:i4>75</vt:i4>
      </vt:variant>
      <vt:variant>
        <vt:i4>0</vt:i4>
      </vt:variant>
      <vt:variant>
        <vt:i4>5</vt:i4>
      </vt:variant>
      <vt:variant>
        <vt:lpwstr>https://www.conferenceboard.ca/product/school-dropouts-in-quebec-ten-years-of-marking-time-despite-the-money-spent/</vt:lpwstr>
      </vt:variant>
      <vt:variant>
        <vt:lpwstr/>
      </vt:variant>
      <vt:variant>
        <vt:i4>542179450</vt:i4>
      </vt:variant>
      <vt:variant>
        <vt:i4>72</vt:i4>
      </vt:variant>
      <vt:variant>
        <vt:i4>0</vt:i4>
      </vt:variant>
      <vt:variant>
        <vt:i4>5</vt:i4>
      </vt:variant>
      <vt:variant>
        <vt:lpwstr>https://nousgroup.sharepoint.com/sites/TS18412/Shared Documents/General/Deliverables/Socio-Economic Segregation Between Schools in Canada’</vt:lpwstr>
      </vt:variant>
      <vt:variant>
        <vt:lpwstr/>
      </vt:variant>
      <vt:variant>
        <vt:i4>2162789</vt:i4>
      </vt:variant>
      <vt:variant>
        <vt:i4>69</vt:i4>
      </vt:variant>
      <vt:variant>
        <vt:i4>0</vt:i4>
      </vt:variant>
      <vt:variant>
        <vt:i4>5</vt:i4>
      </vt:variant>
      <vt:variant>
        <vt:lpwstr>https://www.fraserinstitute.org/sites/default/files/what-international-tests-PISA-tell-us-about-education-in-canada.pdf</vt:lpwstr>
      </vt:variant>
      <vt:variant>
        <vt:lpwstr/>
      </vt:variant>
      <vt:variant>
        <vt:i4>5701656</vt:i4>
      </vt:variant>
      <vt:variant>
        <vt:i4>66</vt:i4>
      </vt:variant>
      <vt:variant>
        <vt:i4>0</vt:i4>
      </vt:variant>
      <vt:variant>
        <vt:i4>5</vt:i4>
      </vt:variant>
      <vt:variant>
        <vt:lpwstr>https://www.oecd.org/pisa/publications/PISA2018_CN_HKG.pdf</vt:lpwstr>
      </vt:variant>
      <vt:variant>
        <vt:lpwstr/>
      </vt:variant>
      <vt:variant>
        <vt:i4>6750313</vt:i4>
      </vt:variant>
      <vt:variant>
        <vt:i4>63</vt:i4>
      </vt:variant>
      <vt:variant>
        <vt:i4>0</vt:i4>
      </vt:variant>
      <vt:variant>
        <vt:i4>5</vt:i4>
      </vt:variant>
      <vt:variant>
        <vt:lpwstr>https://tspace.library.utoronto.ca/bitstream/1807/123895/1/RIES - Technical Report - Socio-Economic Segregation.pdf</vt:lpwstr>
      </vt:variant>
      <vt:variant>
        <vt:lpwstr/>
      </vt:variant>
      <vt:variant>
        <vt:i4>7209009</vt:i4>
      </vt:variant>
      <vt:variant>
        <vt:i4>60</vt:i4>
      </vt:variant>
      <vt:variant>
        <vt:i4>0</vt:i4>
      </vt:variant>
      <vt:variant>
        <vt:i4>5</vt:i4>
      </vt:variant>
      <vt:variant>
        <vt:lpwstr>https://www.gob.cl/en/news/the-school-inclusion-law-10-key-points/</vt:lpwstr>
      </vt:variant>
      <vt:variant>
        <vt:lpwstr/>
      </vt:variant>
      <vt:variant>
        <vt:i4>7209009</vt:i4>
      </vt:variant>
      <vt:variant>
        <vt:i4>57</vt:i4>
      </vt:variant>
      <vt:variant>
        <vt:i4>0</vt:i4>
      </vt:variant>
      <vt:variant>
        <vt:i4>5</vt:i4>
      </vt:variant>
      <vt:variant>
        <vt:lpwstr>https://www.gob.cl/en/news/the-school-inclusion-law-10-key-points/</vt:lpwstr>
      </vt:variant>
      <vt:variant>
        <vt:lpwstr/>
      </vt:variant>
      <vt:variant>
        <vt:i4>3932217</vt:i4>
      </vt:variant>
      <vt:variant>
        <vt:i4>54</vt:i4>
      </vt:variant>
      <vt:variant>
        <vt:i4>0</vt:i4>
      </vt:variant>
      <vt:variant>
        <vt:i4>5</vt:i4>
      </vt:variant>
      <vt:variant>
        <vt:lpwstr>https://www.brookings.edu/articles/5-lessons-from-recent-educational-reforms-in-chile/</vt:lpwstr>
      </vt:variant>
      <vt:variant>
        <vt:lpwstr/>
      </vt:variant>
      <vt:variant>
        <vt:i4>6225924</vt:i4>
      </vt:variant>
      <vt:variant>
        <vt:i4>51</vt:i4>
      </vt:variant>
      <vt:variant>
        <vt:i4>0</vt:i4>
      </vt:variant>
      <vt:variant>
        <vt:i4>5</vt:i4>
      </vt:variant>
      <vt:variant>
        <vt:lpwstr>https://www.ocsta.on.ca/catholic-schools-in-ontario/</vt:lpwstr>
      </vt:variant>
      <vt:variant>
        <vt:lpwstr/>
      </vt:variant>
      <vt:variant>
        <vt:i4>3211375</vt:i4>
      </vt:variant>
      <vt:variant>
        <vt:i4>48</vt:i4>
      </vt:variant>
      <vt:variant>
        <vt:i4>0</vt:i4>
      </vt:variant>
      <vt:variant>
        <vt:i4>5</vt:i4>
      </vt:variant>
      <vt:variant>
        <vt:lpwstr>https://static1.squarespace.com/static/5b06c8abe17ba31ac307c5fe/t/624eeb8444fc16051305e6c6/1649339269270/RIES+-+Technical+Report+-+Socio-Economic+Segregation.pdf.</vt:lpwstr>
      </vt:variant>
      <vt:variant>
        <vt:lpwstr/>
      </vt:variant>
      <vt:variant>
        <vt:i4>2031629</vt:i4>
      </vt:variant>
      <vt:variant>
        <vt:i4>45</vt:i4>
      </vt:variant>
      <vt:variant>
        <vt:i4>0</vt:i4>
      </vt:variant>
      <vt:variant>
        <vt:i4>5</vt:i4>
      </vt:variant>
      <vt:variant>
        <vt:lpwstr>https://www.oecd-ilibrary.org/docserver/e13bef63-en.pdf?expires=1698028120&amp;id=id&amp;accname=guest&amp;checksum=46DE236706ECDEDA0A234A617AFAB052</vt:lpwstr>
      </vt:variant>
      <vt:variant>
        <vt:lpwstr/>
      </vt:variant>
      <vt:variant>
        <vt:i4>1835023</vt:i4>
      </vt:variant>
      <vt:variant>
        <vt:i4>42</vt:i4>
      </vt:variant>
      <vt:variant>
        <vt:i4>0</vt:i4>
      </vt:variant>
      <vt:variant>
        <vt:i4>5</vt:i4>
      </vt:variant>
      <vt:variant>
        <vt:lpwstr>https://www.brookings.edu/articles/latin-american-countries-pay-attention-to-global-assessments-of-student-learning/</vt:lpwstr>
      </vt:variant>
      <vt:variant>
        <vt:lpwstr/>
      </vt:variant>
      <vt:variant>
        <vt:i4>5374033</vt:i4>
      </vt:variant>
      <vt:variant>
        <vt:i4>39</vt:i4>
      </vt:variant>
      <vt:variant>
        <vt:i4>0</vt:i4>
      </vt:variant>
      <vt:variant>
        <vt:i4>5</vt:i4>
      </vt:variant>
      <vt:variant>
        <vt:lpwstr>https://www.atlanticcouncil.org/content-series/latamsource/chile-best-education-system/</vt:lpwstr>
      </vt:variant>
      <vt:variant>
        <vt:lpwstr>:~:text=Chile's%20performance%20has%20also%20been,complete%20a%20full%20secondary%20education.</vt:lpwstr>
      </vt:variant>
      <vt:variant>
        <vt:i4>5177431</vt:i4>
      </vt:variant>
      <vt:variant>
        <vt:i4>36</vt:i4>
      </vt:variant>
      <vt:variant>
        <vt:i4>0</vt:i4>
      </vt:variant>
      <vt:variant>
        <vt:i4>5</vt:i4>
      </vt:variant>
      <vt:variant>
        <vt:lpwstr>https://www.oecd-ilibrary.org/docserver/b5fd1b8f-en.pdf?expires=1698026286&amp;id=id&amp;accname=guest&amp;checksum=D1F0F7133C6F7822F83AF3172B7D1F27</vt:lpwstr>
      </vt:variant>
      <vt:variant>
        <vt:lpwstr/>
      </vt:variant>
      <vt:variant>
        <vt:i4>5177431</vt:i4>
      </vt:variant>
      <vt:variant>
        <vt:i4>33</vt:i4>
      </vt:variant>
      <vt:variant>
        <vt:i4>0</vt:i4>
      </vt:variant>
      <vt:variant>
        <vt:i4>5</vt:i4>
      </vt:variant>
      <vt:variant>
        <vt:lpwstr>https://www.oecd-ilibrary.org/docserver/b5fd1b8f-en.pdf?expires=1698026286&amp;id=id&amp;accname=guest&amp;checksum=D1F0F7133C6F7822F83AF3172B7D1F27</vt:lpwstr>
      </vt:variant>
      <vt:variant>
        <vt:lpwstr/>
      </vt:variant>
      <vt:variant>
        <vt:i4>4128869</vt:i4>
      </vt:variant>
      <vt:variant>
        <vt:i4>30</vt:i4>
      </vt:variant>
      <vt:variant>
        <vt:i4>0</vt:i4>
      </vt:variant>
      <vt:variant>
        <vt:i4>5</vt:i4>
      </vt:variant>
      <vt:variant>
        <vt:lpwstr>https://files.eric.ed.gov/fulltext/ED556320.pdf</vt:lpwstr>
      </vt:variant>
      <vt:variant>
        <vt:lpwstr/>
      </vt:variant>
      <vt:variant>
        <vt:i4>6422596</vt:i4>
      </vt:variant>
      <vt:variant>
        <vt:i4>27</vt:i4>
      </vt:variant>
      <vt:variant>
        <vt:i4>0</vt:i4>
      </vt:variant>
      <vt:variant>
        <vt:i4>5</vt:i4>
      </vt:variant>
      <vt:variant>
        <vt:lpwstr>https://link.springer.com/chapter/10.1007/978-3-031-36147-0_8</vt:lpwstr>
      </vt:variant>
      <vt:variant>
        <vt:lpwstr/>
      </vt:variant>
      <vt:variant>
        <vt:i4>262157</vt:i4>
      </vt:variant>
      <vt:variant>
        <vt:i4>24</vt:i4>
      </vt:variant>
      <vt:variant>
        <vt:i4>0</vt:i4>
      </vt:variant>
      <vt:variant>
        <vt:i4>5</vt:i4>
      </vt:variant>
      <vt:variant>
        <vt:lpwstr>https://journals.sagepub.com/doi/10.1177/1474904118813075</vt:lpwstr>
      </vt:variant>
      <vt:variant>
        <vt:lpwstr/>
      </vt:variant>
      <vt:variant>
        <vt:i4>7405622</vt:i4>
      </vt:variant>
      <vt:variant>
        <vt:i4>21</vt:i4>
      </vt:variant>
      <vt:variant>
        <vt:i4>0</vt:i4>
      </vt:variant>
      <vt:variant>
        <vt:i4>5</vt:i4>
      </vt:variant>
      <vt:variant>
        <vt:lpwstr>https://doi.org/10.1787/9789264247598-7-en</vt:lpwstr>
      </vt:variant>
      <vt:variant>
        <vt:lpwstr/>
      </vt:variant>
      <vt:variant>
        <vt:i4>4390921</vt:i4>
      </vt:variant>
      <vt:variant>
        <vt:i4>18</vt:i4>
      </vt:variant>
      <vt:variant>
        <vt:i4>0</vt:i4>
      </vt:variant>
      <vt:variant>
        <vt:i4>5</vt:i4>
      </vt:variant>
      <vt:variant>
        <vt:lpwstr>https://www.oecd-ilibrary.org/docserver/b5fd1b8f-en.pdf?expires=1698027744&amp;id=id&amp;accname=guest&amp;checksum=02957AD535C0A0693F9E3535EEFD53CE</vt:lpwstr>
      </vt:variant>
      <vt:variant>
        <vt:lpwstr/>
      </vt:variant>
      <vt:variant>
        <vt:i4>3735592</vt:i4>
      </vt:variant>
      <vt:variant>
        <vt:i4>15</vt:i4>
      </vt:variant>
      <vt:variant>
        <vt:i4>0</vt:i4>
      </vt:variant>
      <vt:variant>
        <vt:i4>5</vt:i4>
      </vt:variant>
      <vt:variant>
        <vt:lpwstr>https://www.unisa.edu.au/contentassets/09c08546060243cda62e35c3c6ae073b/barrymcgaw_presentation_aug06.pdf</vt:lpwstr>
      </vt:variant>
      <vt:variant>
        <vt:lpwstr/>
      </vt:variant>
      <vt:variant>
        <vt:i4>8257645</vt:i4>
      </vt:variant>
      <vt:variant>
        <vt:i4>12</vt:i4>
      </vt:variant>
      <vt:variant>
        <vt:i4>0</vt:i4>
      </vt:variant>
      <vt:variant>
        <vt:i4>5</vt:i4>
      </vt:variant>
      <vt:variant>
        <vt:lpwstr>https://onlinelibrary.wiley.com/doi/full/10.1111/j.1756-5391.2009.01032.x</vt:lpwstr>
      </vt:variant>
      <vt:variant>
        <vt:lpwstr>:~:text=The%20evidence%20with%20respect%20to,and%20high%2Dability%20student%20achievement.</vt:lpwstr>
      </vt:variant>
      <vt:variant>
        <vt:i4>2031650</vt:i4>
      </vt:variant>
      <vt:variant>
        <vt:i4>9</vt:i4>
      </vt:variant>
      <vt:variant>
        <vt:i4>0</vt:i4>
      </vt:variant>
      <vt:variant>
        <vt:i4>5</vt:i4>
      </vt:variant>
      <vt:variant>
        <vt:lpwstr>https://www.oecd-ilibrary.org/education/pisa-2018-results-volume-ii_b5fd1b8f-en</vt:lpwstr>
      </vt:variant>
      <vt:variant>
        <vt:lpwstr/>
      </vt:variant>
      <vt:variant>
        <vt:i4>6357035</vt:i4>
      </vt:variant>
      <vt:variant>
        <vt:i4>6</vt:i4>
      </vt:variant>
      <vt:variant>
        <vt:i4>0</vt:i4>
      </vt:variant>
      <vt:variant>
        <vt:i4>5</vt:i4>
      </vt:variant>
      <vt:variant>
        <vt:lpwstr>https://www.vu.edu.au/sites/default/files/educational-opportunity-in-australia-2020.pdf</vt:lpwstr>
      </vt:variant>
      <vt:variant>
        <vt:lpwstr/>
      </vt:variant>
      <vt:variant>
        <vt:i4>4194306</vt:i4>
      </vt:variant>
      <vt:variant>
        <vt:i4>3</vt:i4>
      </vt:variant>
      <vt:variant>
        <vt:i4>0</vt:i4>
      </vt:variant>
      <vt:variant>
        <vt:i4>5</vt:i4>
      </vt:variant>
      <vt:variant>
        <vt:lpwstr>https://apo.org.au/node/26252</vt:lpwstr>
      </vt:variant>
      <vt:variant>
        <vt:lpwstr/>
      </vt:variant>
      <vt:variant>
        <vt:i4>5046374</vt:i4>
      </vt:variant>
      <vt:variant>
        <vt:i4>0</vt:i4>
      </vt:variant>
      <vt:variant>
        <vt:i4>0</vt:i4>
      </vt:variant>
      <vt:variant>
        <vt:i4>5</vt:i4>
      </vt:variant>
      <vt:variant>
        <vt:lpwstr>https://link.springer.com/chapter/10.1007/978-1-4020-5916-2_27</vt:lpwstr>
      </vt:variant>
      <vt:variant>
        <vt:lpwstr/>
      </vt:variant>
      <vt:variant>
        <vt:i4>262187</vt:i4>
      </vt:variant>
      <vt:variant>
        <vt:i4>6</vt:i4>
      </vt:variant>
      <vt:variant>
        <vt:i4>0</vt:i4>
      </vt:variant>
      <vt:variant>
        <vt:i4>5</vt:i4>
      </vt:variant>
      <vt:variant>
        <vt:lpwstr>mailto:Catherine.Langron@education.gov.au</vt:lpwstr>
      </vt:variant>
      <vt:variant>
        <vt:lpwstr/>
      </vt:variant>
      <vt:variant>
        <vt:i4>262187</vt:i4>
      </vt:variant>
      <vt:variant>
        <vt:i4>3</vt:i4>
      </vt:variant>
      <vt:variant>
        <vt:i4>0</vt:i4>
      </vt:variant>
      <vt:variant>
        <vt:i4>5</vt:i4>
      </vt:variant>
      <vt:variant>
        <vt:lpwstr>mailto:Catherine.Langron@education.gov.au</vt:lpwstr>
      </vt:variant>
      <vt:variant>
        <vt:lpwstr/>
      </vt:variant>
      <vt:variant>
        <vt:i4>7274571</vt:i4>
      </vt:variant>
      <vt:variant>
        <vt:i4>0</vt:i4>
      </vt:variant>
      <vt:variant>
        <vt:i4>0</vt:i4>
      </vt:variant>
      <vt:variant>
        <vt:i4>5</vt:i4>
      </vt:variant>
      <vt:variant>
        <vt:lpwstr>mailto:Lisa.Cantlon@education.gov.au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2023-12-08T04:32:00Z</dcterms:created>
  <dcterms:modified xsi:type="dcterms:W3CDTF">2023-12-08T05:33:00Z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2023-12-08T04:33:45Z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6e121f4a-38c7-41f6-a893-dcc57003d4c9</vt:lpwstr>
  </property>
  <property fmtid="{D5CDD505-2E9C-101B-9397-08002B2CF9AE}" pid="8" name="MSIP_Label_79d889eb-932f-4752-8739-64d25806ef64_ContentBits">
    <vt:lpwstr>0</vt:lpwstr>
  </property>
  <property fmtid="{D5CDD505-2E9C-101B-9397-08002B2CF9AE}" pid="9" name="xd_ProgID">
    <vt:lpwstr/>
  </property>
  <property fmtid="{D5CDD505-2E9C-101B-9397-08002B2CF9AE}" pid="10" name="MediaServiceImageTags">
    <vt:lpwstr/>
  </property>
  <property fmtid="{D5CDD505-2E9C-101B-9397-08002B2CF9AE}" pid="11" name="ContentTypeId">
    <vt:lpwstr>0x0101008B9FFAAC2203D942B1D4C76771736A48</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