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0E98" w14:textId="77777777" w:rsidR="00756EB9" w:rsidRDefault="00756EB9" w:rsidP="00E3754F">
      <w:pPr>
        <w:pStyle w:val="Heading1Normal"/>
      </w:pPr>
      <w:r>
        <w:t>Supporting mid-career pathways</w:t>
      </w:r>
    </w:p>
    <w:p w14:paraId="25E0CA2B" w14:textId="77777777" w:rsidR="00756EB9" w:rsidRDefault="00756EB9" w:rsidP="00756EB9"/>
    <w:p w14:paraId="3BB88B25" w14:textId="77777777" w:rsidR="00756EB9" w:rsidRDefault="00756EB9" w:rsidP="009C089E">
      <w:pPr>
        <w:pStyle w:val="Heading1"/>
      </w:pPr>
      <w:r>
        <w:t>Context</w:t>
      </w:r>
    </w:p>
    <w:p w14:paraId="31BED4C5" w14:textId="3709A1EE" w:rsidR="00756EB9" w:rsidRDefault="00756EB9" w:rsidP="00756EB9">
      <w:r>
        <w:t>Increasing the number of mid-</w:t>
      </w:r>
      <w:proofErr w:type="gramStart"/>
      <w:r>
        <w:t>career</w:t>
      </w:r>
      <w:proofErr w:type="gramEnd"/>
      <w:r w:rsidR="007A01CE">
        <w:t xml:space="preserve"> ITE entrants</w:t>
      </w:r>
      <w:r>
        <w:t xml:space="preserve"> </w:t>
      </w:r>
      <w:r w:rsidR="007A01CE">
        <w:t>can help to address teacher shortages and improve diversity in the teaching profession</w:t>
      </w:r>
      <w:r>
        <w:t xml:space="preserve">. But mid-career cohorts face different barriers than their school leaver counterparts when it comes to entering ITE courses, transitioning to classroom teaching and remaining in the teaching profession. </w:t>
      </w:r>
    </w:p>
    <w:p w14:paraId="00F56A9A" w14:textId="2A92413D" w:rsidR="00756EB9" w:rsidRDefault="00756EB9" w:rsidP="00756EB9">
      <w:r>
        <w:t xml:space="preserve">The </w:t>
      </w:r>
      <w:r w:rsidR="00BC5D8C" w:rsidRPr="00BC5D8C">
        <w:rPr>
          <w:bCs/>
          <w:iCs/>
        </w:rPr>
        <w:t>Quality Initial Teacher Education (QITE)</w:t>
      </w:r>
      <w:r w:rsidR="00BC5D8C">
        <w:t xml:space="preserve"> </w:t>
      </w:r>
      <w:r>
        <w:t xml:space="preserve">review made several recommendations regarding attracting mid-career </w:t>
      </w:r>
      <w:r w:rsidR="00A20F71">
        <w:t>cohorts</w:t>
      </w:r>
      <w:r>
        <w:t xml:space="preserve"> into teaching</w:t>
      </w:r>
      <w:r w:rsidR="00A20F71">
        <w:t>, including:</w:t>
      </w:r>
    </w:p>
    <w:p w14:paraId="62075209" w14:textId="676BDEE7" w:rsidR="00756EB9" w:rsidRDefault="00756EB9">
      <w:pPr>
        <w:pStyle w:val="ListParagraph"/>
        <w:numPr>
          <w:ilvl w:val="0"/>
          <w:numId w:val="33"/>
        </w:numPr>
      </w:pPr>
      <w:r>
        <w:t xml:space="preserve">Evidence-based incentives </w:t>
      </w:r>
      <w:r w:rsidR="00A20F71">
        <w:t>for</w:t>
      </w:r>
      <w:r>
        <w:t xml:space="preserve"> </w:t>
      </w:r>
      <w:r w:rsidR="006118DA">
        <w:t>mid-career cohorts</w:t>
      </w:r>
      <w:r>
        <w:t xml:space="preserve"> in relevant fields of demand, to help them overcome barriers to entering the teaching profession. </w:t>
      </w:r>
    </w:p>
    <w:p w14:paraId="4DE31709" w14:textId="77777777" w:rsidR="00756EB9" w:rsidRDefault="00756EB9">
      <w:pPr>
        <w:pStyle w:val="ListParagraph"/>
        <w:numPr>
          <w:ilvl w:val="0"/>
          <w:numId w:val="33"/>
        </w:numPr>
      </w:pPr>
      <w:r>
        <w:t xml:space="preserve">Accelerated entry of high-quality mid-career candidates into teaching should continue by supporting innovative employment-based pathways; and expanding existing alternative pathways at both federal and state / territory levels. </w:t>
      </w:r>
    </w:p>
    <w:p w14:paraId="02B1DE3F" w14:textId="0543CC9E" w:rsidR="00756EB9" w:rsidRDefault="00756EB9" w:rsidP="00756EB9">
      <w:r w:rsidRPr="005947E5">
        <w:t xml:space="preserve">Bespoke </w:t>
      </w:r>
      <w:r>
        <w:t xml:space="preserve">programs targeted at </w:t>
      </w:r>
      <w:r w:rsidR="006118DA">
        <w:t>mid-career cohorts</w:t>
      </w:r>
      <w:r>
        <w:t xml:space="preserve"> now exist in most Australian jurisdictions</w:t>
      </w:r>
      <w:r w:rsidR="001A7BB4">
        <w:t xml:space="preserve">. </w:t>
      </w:r>
      <w:r>
        <w:t>Most of these programs are still</w:t>
      </w:r>
      <w:r w:rsidRPr="005947E5">
        <w:t xml:space="preserve"> in their infancy in Australia</w:t>
      </w:r>
      <w:r>
        <w:t>, with</w:t>
      </w:r>
      <w:r w:rsidRPr="005947E5">
        <w:t xml:space="preserve"> evidence about their effectiveness still emerging.</w:t>
      </w:r>
    </w:p>
    <w:p w14:paraId="566A1D0C" w14:textId="3E1EDC7C" w:rsidR="00655D49" w:rsidRDefault="00FA75B8" w:rsidP="00FA75B8">
      <w:pPr>
        <w:tabs>
          <w:tab w:val="left" w:pos="7089"/>
        </w:tabs>
      </w:pPr>
      <w:r>
        <w:t>If successful, ongoing reform efforts – including those through the National Teacher Workforce Action Plan – also have the potential to incentivise the entry and retention of mid-career teachers (</w:t>
      </w:r>
      <w:proofErr w:type="gramStart"/>
      <w:r>
        <w:t>e.g.</w:t>
      </w:r>
      <w:proofErr w:type="gramEnd"/>
      <w:r>
        <w:t xml:space="preserve"> improving teacher pay progression; relieving workload pressure; raising the status of the teaching profession). </w:t>
      </w:r>
    </w:p>
    <w:p w14:paraId="528348E9" w14:textId="77777777" w:rsidR="00655D49" w:rsidRDefault="00655D49" w:rsidP="00FA75B8">
      <w:pPr>
        <w:tabs>
          <w:tab w:val="left" w:pos="7089"/>
        </w:tabs>
      </w:pPr>
    </w:p>
    <w:p w14:paraId="3A95DEE4" w14:textId="1A8C8A2A" w:rsidR="006C1238" w:rsidRDefault="006C1238" w:rsidP="00C04422">
      <w:pPr>
        <w:pStyle w:val="Heading1"/>
      </w:pPr>
      <w:r>
        <w:t>Scope and approach</w:t>
      </w:r>
    </w:p>
    <w:p w14:paraId="41082D75" w14:textId="5085D35F" w:rsidR="00884DEC" w:rsidRDefault="009A72D0" w:rsidP="00884DEC">
      <w:r>
        <w:t xml:space="preserve">This paper focuses on </w:t>
      </w:r>
      <w:r w:rsidR="00B5453B">
        <w:t xml:space="preserve">improving </w:t>
      </w:r>
      <w:r w:rsidR="0091718D">
        <w:t>pathways</w:t>
      </w:r>
      <w:r w:rsidR="00454592">
        <w:t xml:space="preserve"> for mid-career </w:t>
      </w:r>
      <w:r w:rsidR="002C1B34">
        <w:t>cohorts</w:t>
      </w:r>
      <w:r w:rsidR="002C1B34">
        <w:t xml:space="preserve"> </w:t>
      </w:r>
      <w:r w:rsidR="00884DEC">
        <w:t xml:space="preserve">by exploring the following key </w:t>
      </w:r>
      <w:r w:rsidR="0091718D">
        <w:t>questions:</w:t>
      </w:r>
    </w:p>
    <w:p w14:paraId="536AE140" w14:textId="4DAECE73" w:rsidR="00E22571" w:rsidRDefault="0091718D" w:rsidP="00E22571">
      <w:pPr>
        <w:pStyle w:val="ListParagraph"/>
        <w:numPr>
          <w:ilvl w:val="0"/>
          <w:numId w:val="42"/>
        </w:numPr>
      </w:pPr>
      <w:r>
        <w:t>What are</w:t>
      </w:r>
      <w:r w:rsidR="00E22571">
        <w:t xml:space="preserve"> potential mid-career </w:t>
      </w:r>
      <w:r w:rsidR="003A49EC">
        <w:t>cohorts for ITE?</w:t>
      </w:r>
    </w:p>
    <w:p w14:paraId="23E20F75" w14:textId="7E8B7B7F" w:rsidR="00E22571" w:rsidRDefault="003A49EC" w:rsidP="00E22571">
      <w:pPr>
        <w:pStyle w:val="ListParagraph"/>
        <w:numPr>
          <w:ilvl w:val="0"/>
          <w:numId w:val="42"/>
        </w:numPr>
      </w:pPr>
      <w:r>
        <w:t>What are the b</w:t>
      </w:r>
      <w:r w:rsidR="00E22571">
        <w:t xml:space="preserve">arriers to attracting mid-career </w:t>
      </w:r>
      <w:r>
        <w:t>cohorts</w:t>
      </w:r>
      <w:r w:rsidR="00E22571">
        <w:t xml:space="preserve"> into </w:t>
      </w:r>
      <w:r w:rsidR="00CE45C5">
        <w:t>ITE and ensuring that they become effective teachers?</w:t>
      </w:r>
    </w:p>
    <w:p w14:paraId="28739BCE" w14:textId="1BD196D8" w:rsidR="005A46C7" w:rsidRDefault="00CE45C5" w:rsidP="00E22571">
      <w:pPr>
        <w:pStyle w:val="ListParagraph"/>
        <w:numPr>
          <w:ilvl w:val="0"/>
          <w:numId w:val="42"/>
        </w:numPr>
      </w:pPr>
      <w:r>
        <w:t>What i</w:t>
      </w:r>
      <w:r w:rsidR="005A46C7">
        <w:t xml:space="preserve">ncentives </w:t>
      </w:r>
      <w:r>
        <w:t xml:space="preserve">may be </w:t>
      </w:r>
      <w:r w:rsidR="005A46C7">
        <w:t xml:space="preserve">attractive </w:t>
      </w:r>
      <w:r w:rsidR="001E000B">
        <w:t>to mid-career changer</w:t>
      </w:r>
      <w:r w:rsidR="00AB004A">
        <w:t>s</w:t>
      </w:r>
      <w:r>
        <w:t>?</w:t>
      </w:r>
    </w:p>
    <w:p w14:paraId="08CCFA80" w14:textId="19DB5A82" w:rsidR="009A72D0" w:rsidRDefault="00CE45C5" w:rsidP="00C04422">
      <w:pPr>
        <w:pStyle w:val="ListParagraph"/>
        <w:numPr>
          <w:ilvl w:val="0"/>
          <w:numId w:val="42"/>
        </w:numPr>
      </w:pPr>
      <w:r>
        <w:t>What are the</w:t>
      </w:r>
      <w:r w:rsidR="00470659">
        <w:t xml:space="preserve"> system opportunities to attract</w:t>
      </w:r>
      <w:r w:rsidR="00315D65">
        <w:t>ing</w:t>
      </w:r>
      <w:r w:rsidR="00470659">
        <w:t xml:space="preserve"> mid-career </w:t>
      </w:r>
      <w:r>
        <w:t>cohorts into ITE</w:t>
      </w:r>
      <w:r w:rsidR="00470659">
        <w:t xml:space="preserve"> and </w:t>
      </w:r>
      <w:r w:rsidR="00315D65">
        <w:t>ensuring that they become effective teachers?</w:t>
      </w:r>
    </w:p>
    <w:p w14:paraId="6618128A" w14:textId="77777777" w:rsidR="00F103A8" w:rsidRDefault="00F103A8" w:rsidP="00F103A8">
      <w:r>
        <w:lastRenderedPageBreak/>
        <w:t>This paper focuses on mid-career cohorts, noting that the overall ITE cohort is becoming older.</w:t>
      </w:r>
      <w:r>
        <w:rPr>
          <w:rStyle w:val="FootnoteReference"/>
        </w:rPr>
        <w:footnoteReference w:id="2"/>
      </w:r>
      <w:r>
        <w:t xml:space="preserve"> This means that reforms aimed at supporting mid-career changers may have spill over benefits for the entire ITE student cohort. </w:t>
      </w:r>
    </w:p>
    <w:p w14:paraId="76FF74D9" w14:textId="6AEA0A1D" w:rsidR="009A72D0" w:rsidRDefault="009A72D0" w:rsidP="00C04422">
      <w:r>
        <w:t>Analysis in this paper is informed by:</w:t>
      </w:r>
    </w:p>
    <w:p w14:paraId="30ECC18C" w14:textId="00F9D2F8" w:rsidR="009A72D0" w:rsidRDefault="009A72D0" w:rsidP="009A72D0">
      <w:pPr>
        <w:pStyle w:val="ListParagraph"/>
        <w:numPr>
          <w:ilvl w:val="0"/>
          <w:numId w:val="40"/>
        </w:numPr>
      </w:pPr>
      <w:r>
        <w:t>Stakeholder consultation with ITE providers, education departments, teacher regulatory authorities and peak sector organisations</w:t>
      </w:r>
      <w:r w:rsidR="00655D49">
        <w:t>.</w:t>
      </w:r>
    </w:p>
    <w:p w14:paraId="6A87EBC5" w14:textId="04F91D58" w:rsidR="009A72D0" w:rsidRDefault="009A72D0" w:rsidP="009A72D0">
      <w:pPr>
        <w:pStyle w:val="ListParagraph"/>
        <w:numPr>
          <w:ilvl w:val="0"/>
          <w:numId w:val="40"/>
        </w:numPr>
      </w:pPr>
      <w:r>
        <w:t>A review of existing academic and grey literature on mid-career pathways.</w:t>
      </w:r>
    </w:p>
    <w:p w14:paraId="461853E2" w14:textId="77777777" w:rsidR="00655D49" w:rsidRPr="00C04422" w:rsidRDefault="00655D49" w:rsidP="00655D49">
      <w:pPr>
        <w:pStyle w:val="ListParagraph"/>
        <w:numPr>
          <w:ilvl w:val="0"/>
          <w:numId w:val="0"/>
        </w:numPr>
        <w:ind w:left="720"/>
      </w:pPr>
    </w:p>
    <w:p w14:paraId="49FA3B41" w14:textId="77777777" w:rsidR="00756EB9" w:rsidRDefault="00756EB9" w:rsidP="009C089E">
      <w:pPr>
        <w:pStyle w:val="Heading1"/>
      </w:pPr>
      <w:r>
        <w:t xml:space="preserve">Emerging findings </w:t>
      </w:r>
    </w:p>
    <w:p w14:paraId="1FC01417" w14:textId="478F6B54" w:rsidR="00756EB9" w:rsidRDefault="006118DA" w:rsidP="00756EB9">
      <w:r>
        <w:t>Mid-career cohorts</w:t>
      </w:r>
      <w:r w:rsidR="00756EB9">
        <w:t xml:space="preserve"> have a lot to offer to schools, as well as the system overall, and there are likely many </w:t>
      </w:r>
      <w:r w:rsidR="00012E55">
        <w:br/>
      </w:r>
      <w:r>
        <w:t>mid-career cohorts</w:t>
      </w:r>
      <w:r w:rsidR="00756EB9">
        <w:t xml:space="preserve"> that would consider transitioning to teaching. But there are hard and soft barriers to the attraction, </w:t>
      </w:r>
      <w:proofErr w:type="gramStart"/>
      <w:r w:rsidR="00756EB9">
        <w:t>development</w:t>
      </w:r>
      <w:proofErr w:type="gramEnd"/>
      <w:r w:rsidR="00756EB9">
        <w:t xml:space="preserve"> and retention of mid-career cohorts in ITE and teaching that must be overcome. </w:t>
      </w:r>
    </w:p>
    <w:p w14:paraId="26CF8A47" w14:textId="77777777" w:rsidR="00756EB9" w:rsidRDefault="00756EB9" w:rsidP="009C089E">
      <w:pPr>
        <w:pStyle w:val="Heading2"/>
      </w:pPr>
      <w:r>
        <w:t>The potential for mid-career teachers</w:t>
      </w:r>
    </w:p>
    <w:p w14:paraId="19245054" w14:textId="77777777" w:rsidR="00756EB9" w:rsidRDefault="00756EB9" w:rsidP="009C089E">
      <w:pPr>
        <w:pStyle w:val="Heading3"/>
        <w:rPr>
          <w:b w:val="0"/>
        </w:rPr>
      </w:pPr>
      <w:r>
        <w:t>Motivations for transitioning to teaching</w:t>
      </w:r>
    </w:p>
    <w:p w14:paraId="212A672E" w14:textId="1F057994" w:rsidR="00756EB9" w:rsidRDefault="006118DA" w:rsidP="00756EB9">
      <w:r>
        <w:t>Mid-career cohorts</w:t>
      </w:r>
      <w:r w:rsidR="00756EB9">
        <w:t xml:space="preserve"> may choose to transition into teaching due to intrinsic or extrinsic motivations:</w:t>
      </w:r>
    </w:p>
    <w:p w14:paraId="72C5202E" w14:textId="32750CA5" w:rsidR="00756EB9" w:rsidRDefault="00756EB9">
      <w:pPr>
        <w:pStyle w:val="ListParagraph"/>
        <w:numPr>
          <w:ilvl w:val="0"/>
          <w:numId w:val="20"/>
        </w:numPr>
      </w:pPr>
      <w:r w:rsidRPr="0CFD6784">
        <w:rPr>
          <w:i/>
        </w:rPr>
        <w:t>Intrinsic motivations</w:t>
      </w:r>
      <w:r>
        <w:t xml:space="preserve"> are altruistic in nature and can include a desire to serve </w:t>
      </w:r>
      <w:proofErr w:type="gramStart"/>
      <w:r>
        <w:t>society;</w:t>
      </w:r>
      <w:proofErr w:type="gramEnd"/>
      <w:r>
        <w:t xml:space="preserve"> and a sense of care and commitment.</w:t>
      </w:r>
    </w:p>
    <w:p w14:paraId="0F708810" w14:textId="6973B295" w:rsidR="00756EB9" w:rsidRDefault="00756EB9">
      <w:pPr>
        <w:pStyle w:val="ListParagraph"/>
        <w:numPr>
          <w:ilvl w:val="0"/>
          <w:numId w:val="20"/>
        </w:numPr>
      </w:pPr>
      <w:r w:rsidRPr="0CFD6784">
        <w:rPr>
          <w:i/>
        </w:rPr>
        <w:t>Extrinsic motivations</w:t>
      </w:r>
      <w:r>
        <w:t xml:space="preserve"> may include perceptions about teaching as a secure career, and family-work balance. Labour market related factors can impact on these motivations (</w:t>
      </w:r>
      <w:proofErr w:type="gramStart"/>
      <w:r>
        <w:t>e.g.</w:t>
      </w:r>
      <w:proofErr w:type="gramEnd"/>
      <w:r>
        <w:t xml:space="preserve"> they may be less powerful in times of low unemployment).</w:t>
      </w:r>
      <w:r w:rsidR="00D22840">
        <w:rPr>
          <w:rStyle w:val="FootnoteReference"/>
        </w:rPr>
        <w:footnoteReference w:id="3"/>
      </w:r>
    </w:p>
    <w:p w14:paraId="0A743F57" w14:textId="6ECD58E2" w:rsidR="000701DD" w:rsidRDefault="00F80C20" w:rsidP="000701DD">
      <w:r>
        <w:t>There is little research indicating how</w:t>
      </w:r>
      <w:r w:rsidR="00573470">
        <w:t xml:space="preserve"> many </w:t>
      </w:r>
      <w:r w:rsidR="006118DA">
        <w:t xml:space="preserve">mid-career </w:t>
      </w:r>
      <w:r w:rsidR="004959A6">
        <w:t>individuals</w:t>
      </w:r>
      <w:r w:rsidR="00573470">
        <w:t xml:space="preserve"> would be open to a career in teaching</w:t>
      </w:r>
      <w:r>
        <w:t xml:space="preserve">. </w:t>
      </w:r>
      <w:r w:rsidR="00FB75F2">
        <w:t xml:space="preserve">A survey of </w:t>
      </w:r>
      <w:r w:rsidR="006118DA">
        <w:t xml:space="preserve">mid-career </w:t>
      </w:r>
      <w:r w:rsidR="004959A6">
        <w:t>individuals</w:t>
      </w:r>
      <w:r w:rsidR="00FB75F2">
        <w:t xml:space="preserve"> by </w:t>
      </w:r>
      <w:r w:rsidR="009D27F3">
        <w:t>the Behavioural Economics Team of the Australian Government (BETA)</w:t>
      </w:r>
      <w:r w:rsidR="00FB75F2">
        <w:t xml:space="preserve"> found that one in ten were planning a career transition to teaching, and that one in three were open to the idea</w:t>
      </w:r>
      <w:r w:rsidR="00C51E18">
        <w:t>.</w:t>
      </w:r>
      <w:r w:rsidR="00177F61">
        <w:rPr>
          <w:rStyle w:val="FootnoteReference"/>
        </w:rPr>
        <w:footnoteReference w:id="4"/>
      </w:r>
    </w:p>
    <w:p w14:paraId="6DFA544A" w14:textId="77777777" w:rsidR="008B2360" w:rsidRDefault="008B2360" w:rsidP="008B2360">
      <w:pPr>
        <w:pStyle w:val="Heading3"/>
        <w:rPr>
          <w:b w:val="0"/>
        </w:rPr>
      </w:pPr>
      <w:r w:rsidRPr="1A855BBA">
        <w:t>Benefits of engaging mid-career cohorts</w:t>
      </w:r>
    </w:p>
    <w:p w14:paraId="08761E83" w14:textId="28004582" w:rsidR="00AF1E9C" w:rsidRDefault="00AF1E9C" w:rsidP="00AF1E9C">
      <w:r>
        <w:t xml:space="preserve">Many mid-career </w:t>
      </w:r>
      <w:r w:rsidR="005F7E5D">
        <w:t>individual</w:t>
      </w:r>
      <w:r>
        <w:t>s bring considerable professional and life experience to teaching, contributing to the quality of the teaching workforce. They may have had successful careers in other fields, including in leadership roles. Many bring strong skills working with children. Many that transition will incur a pay cut, which may mean they are ‘doing it for the right reasons’ (which may explain why many career-change teachers elect to work in low-SES schools).</w:t>
      </w:r>
      <w:r w:rsidRPr="1A855BBA">
        <w:rPr>
          <w:rStyle w:val="FootnoteReference"/>
        </w:rPr>
        <w:footnoteReference w:id="5"/>
      </w:r>
      <w:r>
        <w:t xml:space="preserve"> </w:t>
      </w:r>
    </w:p>
    <w:p w14:paraId="367D34B3" w14:textId="4E399B5A" w:rsidR="00AF1E9C" w:rsidRDefault="00AF1E9C" w:rsidP="00AF1E9C">
      <w:r>
        <w:lastRenderedPageBreak/>
        <w:t xml:space="preserve">However, while </w:t>
      </w:r>
      <w:r w:rsidR="006118DA">
        <w:t>mid-career cohorts</w:t>
      </w:r>
      <w:r>
        <w:t xml:space="preserve"> have a significant contribution to make to the teaching profession, they are not a panacea for overall supply challenges. Further, not all </w:t>
      </w:r>
      <w:r w:rsidR="006118DA">
        <w:t>mid-career cohorts</w:t>
      </w:r>
      <w:r>
        <w:t xml:space="preserve"> that undertake ITE courses will make the transition into classroom teaching or stay in classroom teaching.</w:t>
      </w:r>
    </w:p>
    <w:p w14:paraId="378099E3" w14:textId="0499709D" w:rsidR="008B2360" w:rsidRDefault="008B2360" w:rsidP="008B2360">
      <w:r>
        <w:t xml:space="preserve">Inducing additional </w:t>
      </w:r>
      <w:r w:rsidR="006118DA">
        <w:t>mid-career cohorts</w:t>
      </w:r>
      <w:r>
        <w:t xml:space="preserve"> to transition into teaching can </w:t>
      </w:r>
      <w:r w:rsidR="00B4106A">
        <w:t xml:space="preserve">contribute to </w:t>
      </w:r>
      <w:r>
        <w:t>address</w:t>
      </w:r>
      <w:r w:rsidR="00B4106A">
        <w:t>ing</w:t>
      </w:r>
      <w:r>
        <w:t xml:space="preserve"> </w:t>
      </w:r>
      <w:r w:rsidR="00013193">
        <w:t>specific</w:t>
      </w:r>
      <w:r w:rsidR="0051243B">
        <w:t xml:space="preserve"> workforce challenges</w:t>
      </w:r>
      <w:r w:rsidR="00C7075B">
        <w:t>, including:</w:t>
      </w:r>
    </w:p>
    <w:p w14:paraId="797CD9AC" w14:textId="4DEE7FAA" w:rsidR="008B2360" w:rsidRDefault="0051243B" w:rsidP="008B2360">
      <w:pPr>
        <w:pStyle w:val="ListParagraph"/>
        <w:numPr>
          <w:ilvl w:val="0"/>
          <w:numId w:val="18"/>
        </w:numPr>
      </w:pPr>
      <w:r w:rsidRPr="006E2996">
        <w:rPr>
          <w:i/>
        </w:rPr>
        <w:t>Improving workforce</w:t>
      </w:r>
      <w:r w:rsidR="008B2360" w:rsidRPr="006E2996">
        <w:rPr>
          <w:i/>
        </w:rPr>
        <w:t xml:space="preserve"> diversity </w:t>
      </w:r>
      <w:r w:rsidRPr="006E2996">
        <w:rPr>
          <w:i/>
        </w:rPr>
        <w:t>and inclusion</w:t>
      </w:r>
      <w:r w:rsidR="008B2360" w:rsidRPr="006E2996">
        <w:rPr>
          <w:i/>
        </w:rPr>
        <w:t>.</w:t>
      </w:r>
      <w:r w:rsidR="008B2360">
        <w:t xml:space="preserve"> Efforts to attract </w:t>
      </w:r>
      <w:r w:rsidR="006118DA">
        <w:t>mid-career cohorts</w:t>
      </w:r>
      <w:r w:rsidR="008B2360">
        <w:t xml:space="preserve"> can improve overall diversity of the teaching profession (</w:t>
      </w:r>
      <w:proofErr w:type="gramStart"/>
      <w:r w:rsidR="008B2360">
        <w:t>e.g.</w:t>
      </w:r>
      <w:proofErr w:type="gramEnd"/>
      <w:r w:rsidR="008B2360">
        <w:t xml:space="preserve"> Aboriginal and Torres Strait Islander peoples; those from a culturally and linguistically diverse background). </w:t>
      </w:r>
    </w:p>
    <w:p w14:paraId="0B9156AD" w14:textId="2DAE7A06" w:rsidR="0051243B" w:rsidRDefault="00CA6D49" w:rsidP="00CA6D49">
      <w:pPr>
        <w:pStyle w:val="ListParagraph"/>
        <w:numPr>
          <w:ilvl w:val="0"/>
          <w:numId w:val="18"/>
        </w:numPr>
      </w:pPr>
      <w:r w:rsidRPr="006E2996">
        <w:rPr>
          <w:i/>
        </w:rPr>
        <w:t>Addressing specific supply challenges</w:t>
      </w:r>
      <w:r w:rsidR="0051243B" w:rsidRPr="006E2996">
        <w:rPr>
          <w:i/>
        </w:rPr>
        <w:t>.</w:t>
      </w:r>
      <w:r w:rsidR="0051243B">
        <w:t xml:space="preserve"> Professionals can boost teaching supply in subject areas where there are particular shortages, especially in secondary schools (</w:t>
      </w:r>
      <w:proofErr w:type="gramStart"/>
      <w:r w:rsidR="0051243B">
        <w:t>e.g.</w:t>
      </w:r>
      <w:proofErr w:type="gramEnd"/>
      <w:r w:rsidR="0051243B">
        <w:t xml:space="preserve"> mathematics; science; design and technology; and languages).</w:t>
      </w:r>
      <w:r w:rsidR="0051243B" w:rsidRPr="1A855BBA">
        <w:rPr>
          <w:rStyle w:val="FootnoteReference"/>
        </w:rPr>
        <w:footnoteReference w:id="6"/>
      </w:r>
      <w:r w:rsidR="0051243B">
        <w:t xml:space="preserve"> Attracting </w:t>
      </w:r>
      <w:r w:rsidR="006118DA">
        <w:t>mid-career cohorts</w:t>
      </w:r>
      <w:r w:rsidR="0051243B">
        <w:t xml:space="preserve"> from regional and remote areas to enter the teaching profession can </w:t>
      </w:r>
      <w:r w:rsidR="00B4106A">
        <w:t xml:space="preserve">also </w:t>
      </w:r>
      <w:r w:rsidR="0051243B">
        <w:t xml:space="preserve">boost supply in geographic areas facing teacher shortages (e.g. a ‘grow your own’ approach, as used in the Riverina Hub Program). </w:t>
      </w:r>
    </w:p>
    <w:p w14:paraId="75A6C241" w14:textId="51FE3923" w:rsidR="0051243B" w:rsidRPr="008C37C6" w:rsidRDefault="008C37C6" w:rsidP="008B2360">
      <w:pPr>
        <w:pStyle w:val="ListParagraph"/>
        <w:numPr>
          <w:ilvl w:val="0"/>
          <w:numId w:val="18"/>
        </w:numPr>
        <w:rPr>
          <w:b/>
          <w:bCs/>
        </w:rPr>
      </w:pPr>
      <w:r w:rsidRPr="006E2996">
        <w:rPr>
          <w:i/>
        </w:rPr>
        <w:t>Improving the flexibility of resilience of the education workforce.</w:t>
      </w:r>
      <w:r w:rsidRPr="008C37C6">
        <w:rPr>
          <w:b/>
          <w:bCs/>
        </w:rPr>
        <w:t xml:space="preserve"> </w:t>
      </w:r>
      <w:r w:rsidR="000E12B0">
        <w:t xml:space="preserve">This can be achieved by upskilling </w:t>
      </w:r>
      <w:r w:rsidR="009923D1">
        <w:t xml:space="preserve">and </w:t>
      </w:r>
      <w:r w:rsidR="0022272B">
        <w:br/>
      </w:r>
      <w:r w:rsidR="002977FB">
        <w:t>cross-</w:t>
      </w:r>
      <w:r w:rsidR="009923D1">
        <w:t xml:space="preserve">skilling professionals </w:t>
      </w:r>
      <w:r w:rsidR="00916FB1">
        <w:t xml:space="preserve">already </w:t>
      </w:r>
      <w:r w:rsidR="009923D1">
        <w:t>working in schools</w:t>
      </w:r>
      <w:r w:rsidR="00916FB1">
        <w:t xml:space="preserve"> to take up teaching roles</w:t>
      </w:r>
      <w:r w:rsidR="002977FB">
        <w:t>, or train to take on different teaching roles (</w:t>
      </w:r>
      <w:proofErr w:type="gramStart"/>
      <w:r w:rsidR="002977FB">
        <w:t>e.g.</w:t>
      </w:r>
      <w:proofErr w:type="gramEnd"/>
      <w:r w:rsidR="002977FB">
        <w:t xml:space="preserve"> teaching different levels or subjects). </w:t>
      </w:r>
    </w:p>
    <w:p w14:paraId="28B2F726" w14:textId="458CC35B" w:rsidR="007A3FD0" w:rsidRPr="00AF1E9C" w:rsidRDefault="00756EB9" w:rsidP="00AF1E9C">
      <w:r>
        <w:t xml:space="preserve">There are many diverse cohorts of </w:t>
      </w:r>
      <w:r w:rsidR="006118DA">
        <w:t xml:space="preserve">mid-career </w:t>
      </w:r>
      <w:r w:rsidR="00E62A09">
        <w:t>individual</w:t>
      </w:r>
      <w:r w:rsidR="006118DA">
        <w:t>s</w:t>
      </w:r>
      <w:r>
        <w:t xml:space="preserve"> that might consider transitioning to teaching and could add value to the teaching workforce. One way to segment these cohorts is by the specific rationale for inducing the cohort into teaching (</w:t>
      </w:r>
      <w:r w:rsidRPr="7051A917">
        <w:rPr>
          <w:u w:val="single"/>
        </w:rPr>
        <w:t>Table 1</w:t>
      </w:r>
      <w:r>
        <w:t xml:space="preserve">). These cohorts are not mutually exclusive. </w:t>
      </w:r>
    </w:p>
    <w:p w14:paraId="08E03695" w14:textId="0131E8F0" w:rsidR="00756EB9" w:rsidRPr="00F57FD1" w:rsidRDefault="00756EB9" w:rsidP="00756EB9">
      <w:pPr>
        <w:rPr>
          <w:b/>
          <w:i/>
          <w:iCs/>
        </w:rPr>
      </w:pPr>
      <w:r w:rsidRPr="00F57FD1">
        <w:rPr>
          <w:b/>
          <w:bCs/>
          <w:i/>
          <w:iCs/>
        </w:rPr>
        <w:t xml:space="preserve">Table </w:t>
      </w:r>
      <w:r w:rsidR="00F57FD1">
        <w:rPr>
          <w:b/>
          <w:bCs/>
          <w:i/>
          <w:iCs/>
        </w:rPr>
        <w:t>1</w:t>
      </w:r>
      <w:r w:rsidRPr="00F57FD1">
        <w:rPr>
          <w:b/>
          <w:bCs/>
          <w:i/>
          <w:iCs/>
        </w:rPr>
        <w:t xml:space="preserve"> – Potential mid-career cohorts</w:t>
      </w:r>
    </w:p>
    <w:tbl>
      <w:tblPr>
        <w:tblStyle w:val="TableGrid"/>
        <w:tblW w:w="0" w:type="auto"/>
        <w:tblLook w:val="04A0" w:firstRow="1" w:lastRow="0" w:firstColumn="1" w:lastColumn="0" w:noHBand="0" w:noVBand="1"/>
      </w:tblPr>
      <w:tblGrid>
        <w:gridCol w:w="3256"/>
        <w:gridCol w:w="6372"/>
      </w:tblGrid>
      <w:tr w:rsidR="00756EB9" w14:paraId="192DEC7E" w14:textId="77777777">
        <w:tc>
          <w:tcPr>
            <w:tcW w:w="3256" w:type="dxa"/>
          </w:tcPr>
          <w:p w14:paraId="1C9A9D71" w14:textId="77777777" w:rsidR="00756EB9" w:rsidRPr="004066F8" w:rsidRDefault="00756EB9">
            <w:r w:rsidRPr="2F9FFDDB">
              <w:rPr>
                <w:b/>
                <w:bCs/>
              </w:rPr>
              <w:t>Cohort type</w:t>
            </w:r>
          </w:p>
        </w:tc>
        <w:tc>
          <w:tcPr>
            <w:tcW w:w="6372" w:type="dxa"/>
          </w:tcPr>
          <w:p w14:paraId="7296AB13" w14:textId="77777777" w:rsidR="00756EB9" w:rsidRPr="004066F8" w:rsidRDefault="00756EB9">
            <w:pPr>
              <w:rPr>
                <w:b/>
                <w:bCs/>
              </w:rPr>
            </w:pPr>
            <w:r w:rsidRPr="004066F8">
              <w:rPr>
                <w:b/>
                <w:bCs/>
              </w:rPr>
              <w:t xml:space="preserve">Examples </w:t>
            </w:r>
          </w:p>
        </w:tc>
      </w:tr>
      <w:tr w:rsidR="00756EB9" w14:paraId="5F5CE667" w14:textId="77777777">
        <w:tc>
          <w:tcPr>
            <w:tcW w:w="3256" w:type="dxa"/>
          </w:tcPr>
          <w:p w14:paraId="11D66987" w14:textId="77777777" w:rsidR="00756EB9" w:rsidRDefault="00756EB9">
            <w:r>
              <w:t>Cohorts that contribute to broader workforce diversity and inclusion</w:t>
            </w:r>
          </w:p>
        </w:tc>
        <w:tc>
          <w:tcPr>
            <w:tcW w:w="6372" w:type="dxa"/>
          </w:tcPr>
          <w:p w14:paraId="699B2C05" w14:textId="77777777" w:rsidR="00756EB9" w:rsidRDefault="00756EB9" w:rsidP="009A497B">
            <w:pPr>
              <w:pStyle w:val="ListParagraph"/>
              <w:numPr>
                <w:ilvl w:val="0"/>
                <w:numId w:val="15"/>
              </w:numPr>
            </w:pPr>
            <w:r>
              <w:t>Aboriginal and Torres Strait Islander peoples</w:t>
            </w:r>
          </w:p>
          <w:p w14:paraId="00F49CB4" w14:textId="77777777" w:rsidR="00756EB9" w:rsidRDefault="00756EB9" w:rsidP="009A497B">
            <w:pPr>
              <w:pStyle w:val="ListParagraph"/>
              <w:numPr>
                <w:ilvl w:val="0"/>
                <w:numId w:val="15"/>
              </w:numPr>
            </w:pPr>
            <w:r>
              <w:t>Culturally and linguistically diverse (CALD) individuals</w:t>
            </w:r>
          </w:p>
          <w:p w14:paraId="432C538C" w14:textId="77777777" w:rsidR="00756EB9" w:rsidRDefault="00756EB9" w:rsidP="009A497B">
            <w:pPr>
              <w:pStyle w:val="ListParagraph"/>
              <w:numPr>
                <w:ilvl w:val="0"/>
                <w:numId w:val="15"/>
              </w:numPr>
            </w:pPr>
            <w:r>
              <w:t>People with disability</w:t>
            </w:r>
          </w:p>
          <w:p w14:paraId="168DF782" w14:textId="77777777" w:rsidR="00756EB9" w:rsidRPr="00DD1FD7" w:rsidRDefault="00756EB9" w:rsidP="009A497B">
            <w:pPr>
              <w:pStyle w:val="ListParagraph"/>
              <w:numPr>
                <w:ilvl w:val="0"/>
                <w:numId w:val="15"/>
              </w:numPr>
            </w:pPr>
            <w:r>
              <w:t>Workers over the age of 40</w:t>
            </w:r>
          </w:p>
        </w:tc>
      </w:tr>
      <w:tr w:rsidR="00756EB9" w14:paraId="2CBB1407" w14:textId="77777777">
        <w:tc>
          <w:tcPr>
            <w:tcW w:w="3256" w:type="dxa"/>
          </w:tcPr>
          <w:p w14:paraId="09FFF5C2" w14:textId="77777777" w:rsidR="00756EB9" w:rsidRDefault="00756EB9">
            <w:r>
              <w:t>Cohorts open to / facing career transitions</w:t>
            </w:r>
          </w:p>
        </w:tc>
        <w:tc>
          <w:tcPr>
            <w:tcW w:w="6372" w:type="dxa"/>
          </w:tcPr>
          <w:p w14:paraId="3B83BC03" w14:textId="77777777" w:rsidR="00756EB9" w:rsidRDefault="00756EB9" w:rsidP="00F57FD1">
            <w:pPr>
              <w:pStyle w:val="ListParagraph"/>
              <w:numPr>
                <w:ilvl w:val="0"/>
                <w:numId w:val="15"/>
              </w:numPr>
            </w:pPr>
            <w:r>
              <w:t xml:space="preserve">Individuals transitioning back to the workforce after having children / taking on other caring responsibilities </w:t>
            </w:r>
          </w:p>
          <w:p w14:paraId="47D0A332" w14:textId="77777777" w:rsidR="00756EB9" w:rsidRDefault="00756EB9" w:rsidP="00F57FD1">
            <w:pPr>
              <w:pStyle w:val="ListParagraph"/>
              <w:numPr>
                <w:ilvl w:val="0"/>
                <w:numId w:val="15"/>
              </w:numPr>
            </w:pPr>
            <w:r>
              <w:t>Individuals returning from overseas (e.g. having worked as abroad as a language teacher)</w:t>
            </w:r>
          </w:p>
          <w:p w14:paraId="2A11826B" w14:textId="77777777" w:rsidR="00756EB9" w:rsidRDefault="00756EB9" w:rsidP="00F57FD1">
            <w:pPr>
              <w:pStyle w:val="ListParagraph"/>
              <w:numPr>
                <w:ilvl w:val="0"/>
                <w:numId w:val="15"/>
              </w:numPr>
            </w:pPr>
            <w:r>
              <w:t>Individuals transitioning out of specific industries (e.g. professional sports people, the Australian Defence Force)</w:t>
            </w:r>
          </w:p>
          <w:p w14:paraId="7CC500C2" w14:textId="77777777" w:rsidR="00756EB9" w:rsidRPr="00116755" w:rsidRDefault="00756EB9" w:rsidP="00F57FD1">
            <w:pPr>
              <w:pStyle w:val="ListParagraph"/>
              <w:numPr>
                <w:ilvl w:val="0"/>
                <w:numId w:val="15"/>
              </w:numPr>
            </w:pPr>
            <w:r>
              <w:t>Individuals in industries facing uncertainty</w:t>
            </w:r>
          </w:p>
        </w:tc>
      </w:tr>
      <w:tr w:rsidR="00756EB9" w14:paraId="265993C7" w14:textId="77777777">
        <w:tc>
          <w:tcPr>
            <w:tcW w:w="3256" w:type="dxa"/>
          </w:tcPr>
          <w:p w14:paraId="1FFC2CA2" w14:textId="77777777" w:rsidR="00756EB9" w:rsidRDefault="00756EB9">
            <w:r>
              <w:lastRenderedPageBreak/>
              <w:t>Cohorts that can address specific supply challenges</w:t>
            </w:r>
          </w:p>
        </w:tc>
        <w:tc>
          <w:tcPr>
            <w:tcW w:w="6372" w:type="dxa"/>
          </w:tcPr>
          <w:p w14:paraId="2848FF65" w14:textId="77777777" w:rsidR="00756EB9" w:rsidRDefault="00756EB9" w:rsidP="00F57FD1">
            <w:pPr>
              <w:pStyle w:val="ListParagraph"/>
              <w:numPr>
                <w:ilvl w:val="0"/>
                <w:numId w:val="15"/>
              </w:numPr>
            </w:pPr>
            <w:r>
              <w:t>Individuals in regional / remote areas</w:t>
            </w:r>
          </w:p>
          <w:p w14:paraId="137A968B" w14:textId="77777777" w:rsidR="00756EB9" w:rsidRDefault="00756EB9" w:rsidP="00F57FD1">
            <w:pPr>
              <w:pStyle w:val="ListParagraph"/>
              <w:numPr>
                <w:ilvl w:val="0"/>
                <w:numId w:val="15"/>
              </w:numPr>
            </w:pPr>
            <w:r>
              <w:t>Workers in STEM jobs</w:t>
            </w:r>
          </w:p>
          <w:p w14:paraId="60EE0598" w14:textId="77777777" w:rsidR="00756EB9" w:rsidRPr="00D83B70" w:rsidRDefault="00756EB9" w:rsidP="00F57FD1">
            <w:pPr>
              <w:pStyle w:val="ListParagraph"/>
              <w:numPr>
                <w:ilvl w:val="0"/>
                <w:numId w:val="15"/>
              </w:numPr>
            </w:pPr>
            <w:r>
              <w:t xml:space="preserve">Workers in trades </w:t>
            </w:r>
          </w:p>
        </w:tc>
      </w:tr>
      <w:tr w:rsidR="00756EB9" w14:paraId="27830117" w14:textId="77777777">
        <w:tc>
          <w:tcPr>
            <w:tcW w:w="3256" w:type="dxa"/>
          </w:tcPr>
          <w:p w14:paraId="558700EC" w14:textId="77777777" w:rsidR="00756EB9" w:rsidRDefault="00756EB9">
            <w:r>
              <w:t xml:space="preserve">Cohorts already within the education system </w:t>
            </w:r>
          </w:p>
        </w:tc>
        <w:tc>
          <w:tcPr>
            <w:tcW w:w="6372" w:type="dxa"/>
          </w:tcPr>
          <w:p w14:paraId="373B5073" w14:textId="77777777" w:rsidR="00756EB9" w:rsidRDefault="00756EB9" w:rsidP="009A497B">
            <w:pPr>
              <w:pStyle w:val="ListParagraph"/>
              <w:numPr>
                <w:ilvl w:val="0"/>
                <w:numId w:val="16"/>
              </w:numPr>
            </w:pPr>
            <w:r>
              <w:t xml:space="preserve">Paraprofessionals </w:t>
            </w:r>
          </w:p>
          <w:p w14:paraId="798A2923" w14:textId="77777777" w:rsidR="00756EB9" w:rsidRDefault="00756EB9" w:rsidP="009A497B">
            <w:pPr>
              <w:pStyle w:val="ListParagraph"/>
              <w:numPr>
                <w:ilvl w:val="0"/>
                <w:numId w:val="16"/>
              </w:numPr>
            </w:pPr>
            <w:r>
              <w:t>Teachers wanting to cross-qualify (e.g. Primary Teachers reskilling as Secondary teachers; art teachers reskilling as maths teachers)</w:t>
            </w:r>
          </w:p>
          <w:p w14:paraId="445909FE" w14:textId="77777777" w:rsidR="00756EB9" w:rsidRDefault="00756EB9" w:rsidP="009A497B">
            <w:pPr>
              <w:pStyle w:val="ListParagraph"/>
              <w:numPr>
                <w:ilvl w:val="0"/>
                <w:numId w:val="16"/>
              </w:numPr>
            </w:pPr>
            <w:r>
              <w:t>University lecturers / employees / PhD graduates</w:t>
            </w:r>
          </w:p>
          <w:p w14:paraId="26E12CDE" w14:textId="77777777" w:rsidR="00756EB9" w:rsidRPr="00B15F8B" w:rsidRDefault="00756EB9" w:rsidP="009A497B">
            <w:pPr>
              <w:pStyle w:val="ListParagraph"/>
              <w:numPr>
                <w:ilvl w:val="0"/>
                <w:numId w:val="16"/>
              </w:numPr>
            </w:pPr>
            <w:r>
              <w:t>VET Trainers and Assessors</w:t>
            </w:r>
          </w:p>
        </w:tc>
      </w:tr>
    </w:tbl>
    <w:p w14:paraId="67CD8AEC" w14:textId="77777777" w:rsidR="00756EB9" w:rsidRDefault="00756EB9" w:rsidP="009C089E">
      <w:pPr>
        <w:pStyle w:val="Heading2"/>
      </w:pPr>
      <w:r>
        <w:t>Barriers to engaging mid-career cohorts in ITE and teaching</w:t>
      </w:r>
    </w:p>
    <w:p w14:paraId="53576915" w14:textId="6F0F0208" w:rsidR="00756EB9" w:rsidRPr="009361E1" w:rsidRDefault="006118DA" w:rsidP="00756EB9">
      <w:r>
        <w:t>Mid-career cohorts</w:t>
      </w:r>
      <w:r w:rsidR="00756EB9">
        <w:t xml:space="preserve"> considering a transition to teaching face ‘hard barriers’ (i.e., structural) and ‘soft barriers’ (</w:t>
      </w:r>
      <w:proofErr w:type="gramStart"/>
      <w:r w:rsidR="00756EB9">
        <w:t>i.e.</w:t>
      </w:r>
      <w:proofErr w:type="gramEnd"/>
      <w:r w:rsidR="00756EB9">
        <w:t xml:space="preserve"> based on beliefs). These barriers can prevent </w:t>
      </w:r>
      <w:r>
        <w:t>mid-career cohorts</w:t>
      </w:r>
      <w:r w:rsidR="00756EB9">
        <w:t xml:space="preserve"> entering ITE, transitioning to teaching following their ITE degrees, or remaining in teaching.  </w:t>
      </w:r>
    </w:p>
    <w:p w14:paraId="5B67334D" w14:textId="77777777" w:rsidR="00756EB9" w:rsidRPr="00670CDD" w:rsidRDefault="00756EB9" w:rsidP="009C089E">
      <w:pPr>
        <w:pStyle w:val="Heading3"/>
        <w:rPr>
          <w:b w:val="0"/>
        </w:rPr>
      </w:pPr>
      <w:r w:rsidRPr="2F9FFDDB">
        <w:t>Hard barriers</w:t>
      </w:r>
    </w:p>
    <w:p w14:paraId="212807A9" w14:textId="77777777" w:rsidR="00756EB9" w:rsidRPr="004E1898" w:rsidRDefault="00756EB9" w:rsidP="009C089E">
      <w:pPr>
        <w:pStyle w:val="NoSpacing"/>
        <w:rPr>
          <w:b/>
          <w:bCs/>
        </w:rPr>
      </w:pPr>
      <w:r w:rsidRPr="004E1898">
        <w:rPr>
          <w:b/>
          <w:bCs/>
        </w:rPr>
        <w:t>Financial</w:t>
      </w:r>
    </w:p>
    <w:p w14:paraId="17BAAD72" w14:textId="37A8F366" w:rsidR="00756EB9" w:rsidRDefault="00CA5692" w:rsidP="00756EB9">
      <w:r>
        <w:t>Research and stakeholder consultations</w:t>
      </w:r>
      <w:r w:rsidR="009272E9">
        <w:t xml:space="preserve"> suggest th</w:t>
      </w:r>
      <w:r w:rsidR="00A612FF">
        <w:t>at f</w:t>
      </w:r>
      <w:r w:rsidR="00756EB9">
        <w:t xml:space="preserve">inancial barriers are the most significant barrier to entry for </w:t>
      </w:r>
      <w:r w:rsidR="00540329">
        <w:br/>
      </w:r>
      <w:r w:rsidR="006118DA">
        <w:t>mid-career cohorts</w:t>
      </w:r>
      <w:r w:rsidR="00A612FF">
        <w:t>.</w:t>
      </w:r>
      <w:r w:rsidR="00A612FF">
        <w:rPr>
          <w:rStyle w:val="FootnoteReference"/>
        </w:rPr>
        <w:footnoteReference w:id="7"/>
      </w:r>
      <w:r w:rsidR="00756EB9">
        <w:t xml:space="preserve"> </w:t>
      </w:r>
      <w:r w:rsidR="006118DA">
        <w:t>Mid-career cohorts</w:t>
      </w:r>
      <w:r w:rsidR="00756EB9">
        <w:t xml:space="preserve"> generally have greater personal and financial responsibilities than their school-leaver counterparts (</w:t>
      </w:r>
      <w:proofErr w:type="gramStart"/>
      <w:r w:rsidR="00756EB9">
        <w:t>e.g.</w:t>
      </w:r>
      <w:proofErr w:type="gramEnd"/>
      <w:r w:rsidR="00756EB9">
        <w:t xml:space="preserve"> many have caring responsibilities for children or parents; and financial obligations such as mortgages). Specific financial barriers</w:t>
      </w:r>
      <w:r w:rsidR="003467A3">
        <w:t xml:space="preserve"> they face</w:t>
      </w:r>
      <w:r w:rsidR="00756EB9">
        <w:t xml:space="preserve"> include:</w:t>
      </w:r>
    </w:p>
    <w:p w14:paraId="6F9CBA17" w14:textId="77777777" w:rsidR="00756EB9" w:rsidRDefault="00756EB9">
      <w:pPr>
        <w:pStyle w:val="ListParagraph"/>
        <w:numPr>
          <w:ilvl w:val="0"/>
          <w:numId w:val="25"/>
        </w:numPr>
      </w:pPr>
      <w:r w:rsidRPr="00FD5ECA">
        <w:rPr>
          <w:i/>
        </w:rPr>
        <w:t>Loss of income during the period of the ITE degree.</w:t>
      </w:r>
      <w:r w:rsidRPr="5A2CD093">
        <w:rPr>
          <w:i/>
        </w:rPr>
        <w:t xml:space="preserve"> </w:t>
      </w:r>
      <w:r>
        <w:t>This can be most acute during practicums, when students are required to undertake full-time placements without pay to fulfil their study obligations, thus making it difficult to balance other employment.</w:t>
      </w:r>
    </w:p>
    <w:p w14:paraId="6A9BEFBA" w14:textId="596DD6CF" w:rsidR="00756EB9" w:rsidRDefault="00756EB9">
      <w:pPr>
        <w:pStyle w:val="ListParagraph"/>
        <w:numPr>
          <w:ilvl w:val="0"/>
          <w:numId w:val="24"/>
        </w:numPr>
      </w:pPr>
      <w:r w:rsidRPr="2D3E4E86">
        <w:rPr>
          <w:i/>
        </w:rPr>
        <w:t xml:space="preserve">A switch to teaching usually represents a pay cut. </w:t>
      </w:r>
      <w:r>
        <w:t xml:space="preserve">For most </w:t>
      </w:r>
      <w:r w:rsidR="006118DA">
        <w:t>mid-career cohorts</w:t>
      </w:r>
      <w:r>
        <w:t xml:space="preserve"> who are working full time, a transition to teaching is a shift to a lower paid job (as teacher pay upon entry to the profession is relatively competitive with other graduate professions, but </w:t>
      </w:r>
      <w:r w:rsidR="001C6EF2">
        <w:t xml:space="preserve">generally </w:t>
      </w:r>
      <w:r>
        <w:t xml:space="preserve">levels off </w:t>
      </w:r>
      <w:r w:rsidR="001C6EF2">
        <w:t>over time</w:t>
      </w:r>
      <w:r>
        <w:t xml:space="preserve">). </w:t>
      </w:r>
    </w:p>
    <w:p w14:paraId="7B4897A5" w14:textId="77777777" w:rsidR="00756EB9" w:rsidRPr="009361E1" w:rsidRDefault="00756EB9">
      <w:pPr>
        <w:pStyle w:val="ListParagraph"/>
        <w:numPr>
          <w:ilvl w:val="0"/>
          <w:numId w:val="24"/>
        </w:numPr>
        <w:rPr>
          <w:i/>
        </w:rPr>
      </w:pPr>
      <w:r w:rsidRPr="2D3E4E86">
        <w:rPr>
          <w:i/>
        </w:rPr>
        <w:t xml:space="preserve">Requirement to pay course fees / incur student debt. </w:t>
      </w:r>
    </w:p>
    <w:p w14:paraId="2AEE966B" w14:textId="77777777" w:rsidR="00756EB9" w:rsidRDefault="00756EB9" w:rsidP="00756EB9">
      <w:pPr>
        <w:rPr>
          <w:b/>
          <w:bCs/>
        </w:rPr>
      </w:pPr>
      <w:r>
        <w:rPr>
          <w:b/>
          <w:bCs/>
        </w:rPr>
        <w:t>Course length</w:t>
      </w:r>
    </w:p>
    <w:p w14:paraId="1E0D5BEB" w14:textId="246B428A" w:rsidR="00756EB9" w:rsidRPr="00AD7D65" w:rsidRDefault="00756EB9" w:rsidP="00756EB9">
      <w:r>
        <w:t xml:space="preserve">Closely related to loss of income while studying is the length of post-graduate teaching pathways. A mid-career changer with an undergraduate degree usually requires </w:t>
      </w:r>
      <w:proofErr w:type="spellStart"/>
      <w:r>
        <w:t>at</w:t>
      </w:r>
      <w:proofErr w:type="spellEnd"/>
      <w:r>
        <w:t xml:space="preserve"> minimum a two-year </w:t>
      </w:r>
      <w:proofErr w:type="gramStart"/>
      <w:r>
        <w:t>Masters of Teaching</w:t>
      </w:r>
      <w:proofErr w:type="gramEnd"/>
      <w:r>
        <w:t xml:space="preserve"> to qualify as a teacher. The QITE review confirmed that the length of the ITE course – and the </w:t>
      </w:r>
      <w:proofErr w:type="gramStart"/>
      <w:r>
        <w:t>period of time</w:t>
      </w:r>
      <w:proofErr w:type="gramEnd"/>
      <w:r>
        <w:t xml:space="preserve"> that the student must forego income – was a significant barrier to attracting </w:t>
      </w:r>
      <w:r w:rsidR="006118DA">
        <w:t>mid-career cohorts</w:t>
      </w:r>
      <w:r>
        <w:t xml:space="preserve"> into ITE. In a choice experiment of </w:t>
      </w:r>
      <w:r w:rsidR="006118DA">
        <w:t xml:space="preserve">mid-career </w:t>
      </w:r>
      <w:r w:rsidR="000708AB">
        <w:t>individual</w:t>
      </w:r>
      <w:r w:rsidR="006118DA">
        <w:t>s</w:t>
      </w:r>
      <w:r>
        <w:t xml:space="preserve"> </w:t>
      </w:r>
      <w:r>
        <w:lastRenderedPageBreak/>
        <w:t>conducted by BETA, the ability to undertake a condensed one-year course was seen as equally attractive as a $20,000 increase in top pay (though not all survey participants were aware of the two-year requirement).</w:t>
      </w:r>
      <w:r w:rsidR="006D5F86">
        <w:rPr>
          <w:rStyle w:val="FootnoteReference"/>
        </w:rPr>
        <w:footnoteReference w:id="8"/>
      </w:r>
    </w:p>
    <w:p w14:paraId="018C0012" w14:textId="77777777" w:rsidR="00756EB9" w:rsidRDefault="00756EB9" w:rsidP="00756EB9">
      <w:pPr>
        <w:rPr>
          <w:b/>
          <w:bCs/>
        </w:rPr>
      </w:pPr>
      <w:r w:rsidRPr="792B23B6">
        <w:rPr>
          <w:b/>
          <w:bCs/>
        </w:rPr>
        <w:t>Inflexibility of ITE delivery</w:t>
      </w:r>
    </w:p>
    <w:p w14:paraId="674EA906" w14:textId="6A76F0DD" w:rsidR="005D134C" w:rsidRDefault="00756EB9" w:rsidP="00756EB9">
      <w:r>
        <w:t xml:space="preserve">The inflexibility of ITE requirements can act as a hard barrier to </w:t>
      </w:r>
      <w:r w:rsidR="006118DA">
        <w:t>mid-career cohorts</w:t>
      </w:r>
      <w:r>
        <w:t xml:space="preserve"> entering, and remaining in, ITE. </w:t>
      </w:r>
      <w:r w:rsidR="00823F86">
        <w:t>While many programs of</w:t>
      </w:r>
      <w:r w:rsidR="00E426B1">
        <w:t>fer flexibility</w:t>
      </w:r>
      <w:r w:rsidR="00C3231F">
        <w:t xml:space="preserve"> for university-based components (</w:t>
      </w:r>
      <w:proofErr w:type="gramStart"/>
      <w:r w:rsidR="00C3231F">
        <w:t>e.g.</w:t>
      </w:r>
      <w:proofErr w:type="gramEnd"/>
      <w:r w:rsidR="00C3231F">
        <w:t xml:space="preserve"> </w:t>
      </w:r>
      <w:r w:rsidR="009D51FF">
        <w:t>the ability to study part-time or online</w:t>
      </w:r>
      <w:r w:rsidR="008F669F">
        <w:t>; ability to undertake intensive subjects at certain times</w:t>
      </w:r>
      <w:r w:rsidR="009D51FF">
        <w:t>)</w:t>
      </w:r>
      <w:r w:rsidR="00E426B1">
        <w:t xml:space="preserve">, this is not the case across the board. </w:t>
      </w:r>
      <w:r w:rsidR="002C773C">
        <w:t xml:space="preserve">This can create challenges for </w:t>
      </w:r>
      <w:r w:rsidR="006118DA">
        <w:t>mid-career cohorts</w:t>
      </w:r>
      <w:r w:rsidR="002C773C">
        <w:t xml:space="preserve"> with </w:t>
      </w:r>
      <w:r w:rsidR="00534202">
        <w:t>competing responsibilities.</w:t>
      </w:r>
      <w:r w:rsidR="00883115">
        <w:t xml:space="preserve"> </w:t>
      </w:r>
    </w:p>
    <w:p w14:paraId="72EB60C4" w14:textId="0C682673" w:rsidR="00756EB9" w:rsidRDefault="009D51FF" w:rsidP="00756EB9">
      <w:r>
        <w:t xml:space="preserve">The need to undertake full-time in person practicum placements is </w:t>
      </w:r>
      <w:r w:rsidR="00215CE9">
        <w:t>often the least flexible</w:t>
      </w:r>
      <w:r>
        <w:t xml:space="preserve"> component of ITE. P</w:t>
      </w:r>
      <w:r w:rsidR="00756EB9">
        <w:t>lacements can be difficult to manage in conjunction with part-time work (</w:t>
      </w:r>
      <w:proofErr w:type="gramStart"/>
      <w:r w:rsidR="00756EB9">
        <w:t>e.g.</w:t>
      </w:r>
      <w:proofErr w:type="gramEnd"/>
      <w:r w:rsidR="00756EB9">
        <w:t xml:space="preserve"> some students struggle to get time off from their jobs to complete the requirements, or may face logistical challenges if assigned practicum placements further from home). </w:t>
      </w:r>
    </w:p>
    <w:p w14:paraId="4AEC422E" w14:textId="77777777" w:rsidR="00756EB9" w:rsidRPr="00832E91" w:rsidRDefault="00756EB9" w:rsidP="00756EB9">
      <w:pPr>
        <w:rPr>
          <w:b/>
          <w:bCs/>
        </w:rPr>
      </w:pPr>
      <w:r w:rsidRPr="00832E91">
        <w:rPr>
          <w:b/>
          <w:bCs/>
        </w:rPr>
        <w:t xml:space="preserve">Lack of recognition of prior experience </w:t>
      </w:r>
    </w:p>
    <w:p w14:paraId="64B3B134" w14:textId="44ED7C60" w:rsidR="00756EB9" w:rsidRDefault="006118DA" w:rsidP="00756EB9">
      <w:r>
        <w:t>Mid-career cohorts</w:t>
      </w:r>
      <w:r w:rsidR="00756EB9">
        <w:t xml:space="preserve"> may bring with them valuable professional knowledge and skills from their previous careers and personal lives. However, often these skills are not formally acknowledged. This is true both at: </w:t>
      </w:r>
    </w:p>
    <w:p w14:paraId="5CA21791" w14:textId="77777777" w:rsidR="00756EB9" w:rsidRDefault="00756EB9">
      <w:pPr>
        <w:pStyle w:val="ListParagraph"/>
        <w:numPr>
          <w:ilvl w:val="0"/>
          <w:numId w:val="21"/>
        </w:numPr>
      </w:pPr>
      <w:r w:rsidRPr="3D962CD2">
        <w:rPr>
          <w:i/>
        </w:rPr>
        <w:t>The point of entry into an ITE degree</w:t>
      </w:r>
      <w:r>
        <w:t xml:space="preserve"> – pre-existing skills and knowledge are not formally recognised in a way that reduces the ITE requirements on the student. </w:t>
      </w:r>
    </w:p>
    <w:p w14:paraId="4C569EC5" w14:textId="77777777" w:rsidR="00611901" w:rsidRDefault="00756EB9" w:rsidP="008F669F">
      <w:pPr>
        <w:pStyle w:val="ListParagraph"/>
        <w:numPr>
          <w:ilvl w:val="0"/>
          <w:numId w:val="21"/>
        </w:numPr>
      </w:pPr>
      <w:r w:rsidRPr="627FFA94">
        <w:rPr>
          <w:i/>
        </w:rPr>
        <w:t>The point of transitioning to teaching</w:t>
      </w:r>
      <w:r>
        <w:t xml:space="preserve"> – regardless of pre-existing professional success, individuals commence as graduate teachers at the bottom of the pay scale.</w:t>
      </w:r>
    </w:p>
    <w:p w14:paraId="64C33E31" w14:textId="06A43205" w:rsidR="008F669F" w:rsidRDefault="00BA34D5" w:rsidP="00611901">
      <w:r>
        <w:t>Barriers relating to lack of recognition of prior experience are often also true of mid-career transitions to other professions, not specific to teaching.</w:t>
      </w:r>
    </w:p>
    <w:p w14:paraId="2ADE4A7C" w14:textId="77777777" w:rsidR="00756EB9" w:rsidRDefault="00756EB9" w:rsidP="004E1898">
      <w:pPr>
        <w:pStyle w:val="Heading3"/>
      </w:pPr>
      <w:r w:rsidRPr="7B638267">
        <w:t>Soft barriers</w:t>
      </w:r>
    </w:p>
    <w:p w14:paraId="2CDC42A7" w14:textId="77777777" w:rsidR="00756EB9" w:rsidRDefault="00756EB9" w:rsidP="00756EB9">
      <w:pPr>
        <w:rPr>
          <w:b/>
          <w:bCs/>
        </w:rPr>
      </w:pPr>
      <w:r>
        <w:rPr>
          <w:b/>
          <w:bCs/>
        </w:rPr>
        <w:t>Negative perceptions of ITE and the teaching profession</w:t>
      </w:r>
    </w:p>
    <w:p w14:paraId="18F5BEB6" w14:textId="738A8215" w:rsidR="00756EB9" w:rsidRDefault="006118DA" w:rsidP="00756EB9">
      <w:r>
        <w:t>Mid-career cohorts</w:t>
      </w:r>
      <w:r w:rsidR="00756EB9">
        <w:t xml:space="preserve"> may be deterred from considering a transition to teaching due to negative perceptions about the profession and ITE</w:t>
      </w:r>
      <w:r w:rsidR="007C259B">
        <w:t>.</w:t>
      </w:r>
      <w:r w:rsidR="00756EB9">
        <w:t xml:space="preserve"> </w:t>
      </w:r>
      <w:r w:rsidR="00F93A1E">
        <w:t>Negative</w:t>
      </w:r>
      <w:r w:rsidR="007C259B">
        <w:t xml:space="preserve"> perception</w:t>
      </w:r>
      <w:r w:rsidR="00F93A1E">
        <w:t>s include</w:t>
      </w:r>
      <w:r w:rsidR="00756EB9">
        <w:t xml:space="preserve"> that teaching:</w:t>
      </w:r>
    </w:p>
    <w:p w14:paraId="26A20EE1" w14:textId="77777777" w:rsidR="00756EB9" w:rsidRDefault="00756EB9">
      <w:pPr>
        <w:pStyle w:val="ListParagraph"/>
        <w:numPr>
          <w:ilvl w:val="0"/>
          <w:numId w:val="22"/>
        </w:numPr>
      </w:pPr>
      <w:r>
        <w:t>is not a respected profession</w:t>
      </w:r>
    </w:p>
    <w:p w14:paraId="3221A182" w14:textId="77777777" w:rsidR="00756EB9" w:rsidRDefault="00756EB9">
      <w:pPr>
        <w:pStyle w:val="ListParagraph"/>
        <w:numPr>
          <w:ilvl w:val="0"/>
          <w:numId w:val="22"/>
        </w:numPr>
      </w:pPr>
      <w:r>
        <w:t>lacks opportunities for career progression</w:t>
      </w:r>
    </w:p>
    <w:p w14:paraId="4F3DD4EA" w14:textId="77777777" w:rsidR="00756EB9" w:rsidRDefault="00756EB9">
      <w:pPr>
        <w:pStyle w:val="ListParagraph"/>
        <w:numPr>
          <w:ilvl w:val="0"/>
          <w:numId w:val="22"/>
        </w:numPr>
      </w:pPr>
      <w:r>
        <w:t>is less challenging than other career pathways</w:t>
      </w:r>
    </w:p>
    <w:p w14:paraId="121DE2F0" w14:textId="77777777" w:rsidR="00756EB9" w:rsidRDefault="00756EB9">
      <w:pPr>
        <w:pStyle w:val="ListParagraph"/>
        <w:numPr>
          <w:ilvl w:val="0"/>
          <w:numId w:val="22"/>
        </w:numPr>
      </w:pPr>
      <w:r>
        <w:t>is relatively low paid and includes demanding work outside of school hours.</w:t>
      </w:r>
      <w:r>
        <w:rPr>
          <w:rStyle w:val="FootnoteReference"/>
        </w:rPr>
        <w:footnoteReference w:id="9"/>
      </w:r>
      <w:r>
        <w:t xml:space="preserve"> </w:t>
      </w:r>
    </w:p>
    <w:p w14:paraId="1F97C112" w14:textId="0CB80CAA" w:rsidR="00756EB9" w:rsidRDefault="004C3E25" w:rsidP="00756EB9">
      <w:r>
        <w:t>S</w:t>
      </w:r>
      <w:r w:rsidR="00756EB9">
        <w:t xml:space="preserve">tress and pressure associated with the teaching profession </w:t>
      </w:r>
      <w:r>
        <w:t>reportedly increased</w:t>
      </w:r>
      <w:r w:rsidR="00756EB9">
        <w:t xml:space="preserve"> during the COVID-19 pandemic</w:t>
      </w:r>
      <w:r w:rsidR="00624F51">
        <w:t xml:space="preserve"> (o</w:t>
      </w:r>
      <w:r w:rsidR="000E5668">
        <w:t>ne study found that</w:t>
      </w:r>
      <w:r w:rsidR="00C45CFC">
        <w:t xml:space="preserve"> over 90% of teachers agree</w:t>
      </w:r>
      <w:r w:rsidR="000E5668">
        <w:t>d</w:t>
      </w:r>
      <w:r w:rsidR="00C45CFC">
        <w:t xml:space="preserve"> that their workload had become more demanding during this time, increasing their stress levels</w:t>
      </w:r>
      <w:r w:rsidR="00624F51">
        <w:t>)</w:t>
      </w:r>
      <w:r w:rsidR="00756EB9">
        <w:t>.</w:t>
      </w:r>
      <w:r w:rsidR="00A1737E">
        <w:rPr>
          <w:rStyle w:val="FootnoteReference"/>
        </w:rPr>
        <w:footnoteReference w:id="10"/>
      </w:r>
      <w:r w:rsidR="00756EB9">
        <w:t xml:space="preserve"> </w:t>
      </w:r>
    </w:p>
    <w:p w14:paraId="1BD685A4" w14:textId="77777777" w:rsidR="00756EB9" w:rsidRDefault="00756EB9" w:rsidP="00756EB9">
      <w:pPr>
        <w:rPr>
          <w:b/>
          <w:bCs/>
        </w:rPr>
      </w:pPr>
      <w:r>
        <w:rPr>
          <w:b/>
          <w:bCs/>
        </w:rPr>
        <w:lastRenderedPageBreak/>
        <w:t>Specific transition challenges faced by mid-career cohorts</w:t>
      </w:r>
    </w:p>
    <w:p w14:paraId="0FD19D9A" w14:textId="63570A63" w:rsidR="00756EB9" w:rsidRDefault="00756EB9" w:rsidP="00756EB9">
      <w:r>
        <w:t xml:space="preserve">Mid-career </w:t>
      </w:r>
      <w:r w:rsidR="000658F7">
        <w:t>individual</w:t>
      </w:r>
      <w:r>
        <w:t>s may face specific challenges during the transition into the teaching profession</w:t>
      </w:r>
      <w:r w:rsidR="00AC3F86">
        <w:t xml:space="preserve"> (</w:t>
      </w:r>
      <w:r w:rsidR="00A85007">
        <w:t>which is also the case for</w:t>
      </w:r>
      <w:r w:rsidR="00AC3F86">
        <w:t xml:space="preserve"> other professions)</w:t>
      </w:r>
      <w:r>
        <w:t>. Examples include:</w:t>
      </w:r>
    </w:p>
    <w:p w14:paraId="7797D92F" w14:textId="097C0C36" w:rsidR="00756EB9" w:rsidRDefault="00756EB9">
      <w:pPr>
        <w:pStyle w:val="ListParagraph"/>
        <w:numPr>
          <w:ilvl w:val="0"/>
          <w:numId w:val="23"/>
        </w:numPr>
        <w:rPr>
          <w:b/>
        </w:rPr>
      </w:pPr>
      <w:r w:rsidRPr="5CECB46C">
        <w:rPr>
          <w:i/>
        </w:rPr>
        <w:t xml:space="preserve">Difficulty with ‘going back to square one’ as a student. </w:t>
      </w:r>
      <w:r>
        <w:t xml:space="preserve">Many mid-career </w:t>
      </w:r>
      <w:r w:rsidR="000658F7">
        <w:t>individual</w:t>
      </w:r>
      <w:r>
        <w:t xml:space="preserve">s may struggle to become a learner </w:t>
      </w:r>
      <w:proofErr w:type="gramStart"/>
      <w:r>
        <w:t>again, or</w:t>
      </w:r>
      <w:proofErr w:type="gramEnd"/>
      <w:r>
        <w:t xml:space="preserve"> may take time to adjust to their new identity as a student. They may also experience greater frustration about when they perceive that there is a misalignment between theory and practice.</w:t>
      </w:r>
      <w:r>
        <w:rPr>
          <w:rStyle w:val="FootnoteReference"/>
        </w:rPr>
        <w:footnoteReference w:id="11"/>
      </w:r>
      <w:r>
        <w:t xml:space="preserve"> Students may also struggle to apply their existing skills and knowledge in the ITE context. </w:t>
      </w:r>
    </w:p>
    <w:p w14:paraId="1773E1C7" w14:textId="079499BC" w:rsidR="00756EB9" w:rsidRDefault="00756EB9">
      <w:pPr>
        <w:pStyle w:val="ListParagraph"/>
        <w:numPr>
          <w:ilvl w:val="0"/>
          <w:numId w:val="23"/>
        </w:numPr>
      </w:pPr>
      <w:r w:rsidRPr="5C6C47AB">
        <w:rPr>
          <w:i/>
        </w:rPr>
        <w:t xml:space="preserve">Difficulty working in schools. </w:t>
      </w:r>
      <w:r w:rsidR="006118DA">
        <w:t xml:space="preserve">Mid-career </w:t>
      </w:r>
      <w:r w:rsidR="000658F7">
        <w:t>individual</w:t>
      </w:r>
      <w:r w:rsidR="006118DA">
        <w:t>s</w:t>
      </w:r>
      <w:r>
        <w:t xml:space="preserve"> can find it difficult to ‘start at the bottom of the ladder’ as graduate teachers. </w:t>
      </w:r>
      <w:r w:rsidR="006118DA">
        <w:t xml:space="preserve">Mid-career </w:t>
      </w:r>
      <w:r w:rsidR="000658F7">
        <w:t>individual</w:t>
      </w:r>
      <w:r w:rsidR="006118DA">
        <w:t>s</w:t>
      </w:r>
      <w:r>
        <w:t xml:space="preserve"> can feel their skills and knowledge are not appreciated by other teachers or school leadership. Many find it discouraging when their prior experience is not appreciated or put to good use. Consultations confirmed that while many schools have a culture of valuing previous professional experience and supporting contributions to leadership at every level, this is not the case across the board.  </w:t>
      </w:r>
    </w:p>
    <w:p w14:paraId="53A952F4" w14:textId="77777777" w:rsidR="00756EB9" w:rsidRDefault="00756EB9">
      <w:pPr>
        <w:pStyle w:val="ListParagraph"/>
        <w:numPr>
          <w:ilvl w:val="0"/>
          <w:numId w:val="23"/>
        </w:numPr>
      </w:pPr>
      <w:r w:rsidRPr="00AA18A9">
        <w:rPr>
          <w:i/>
        </w:rPr>
        <w:t>Challenges inherent in the teaching job itself</w:t>
      </w:r>
      <w:r>
        <w:t>. Teaching is an intellectually difficult, physically taxing profession involving a heavy workload and – increasingly – requires work to be completed outside of school hours. These day-to-day realities can come as a surprise to candidates that chose to transition due to the perception that teaching provides work / life balance.</w:t>
      </w:r>
      <w:r>
        <w:rPr>
          <w:rStyle w:val="FootnoteReference"/>
        </w:rPr>
        <w:footnoteReference w:id="12"/>
      </w:r>
      <w:r>
        <w:t xml:space="preserve"> </w:t>
      </w:r>
    </w:p>
    <w:p w14:paraId="3B0632E0" w14:textId="134E588B" w:rsidR="00B46BF5" w:rsidRDefault="00883115" w:rsidP="005E4120">
      <w:pPr>
        <w:pStyle w:val="ListParagraph"/>
        <w:numPr>
          <w:ilvl w:val="0"/>
          <w:numId w:val="23"/>
        </w:numPr>
      </w:pPr>
      <w:r>
        <w:rPr>
          <w:i/>
        </w:rPr>
        <w:t>Lack of locational flexibility.</w:t>
      </w:r>
      <w:r>
        <w:t xml:space="preserve"> </w:t>
      </w:r>
      <w:r w:rsidR="00082C96">
        <w:t xml:space="preserve">Many mid-career </w:t>
      </w:r>
      <w:r w:rsidR="000658F7">
        <w:t xml:space="preserve">cohorts </w:t>
      </w:r>
      <w:r w:rsidR="00082C96">
        <w:t>face greater constraints than</w:t>
      </w:r>
      <w:r w:rsidR="00B103ED">
        <w:t xml:space="preserve"> </w:t>
      </w:r>
      <w:r w:rsidR="00172FB6">
        <w:t>school leaver counterparts</w:t>
      </w:r>
      <w:r w:rsidR="008E0F7A">
        <w:t xml:space="preserve"> to relocate</w:t>
      </w:r>
      <w:r w:rsidR="00CD1945">
        <w:t xml:space="preserve"> (</w:t>
      </w:r>
      <w:proofErr w:type="gramStart"/>
      <w:r w:rsidR="00CD1945">
        <w:t>e.g.</w:t>
      </w:r>
      <w:proofErr w:type="gramEnd"/>
      <w:r w:rsidR="00CD1945">
        <w:t xml:space="preserve"> due to </w:t>
      </w:r>
      <w:r w:rsidR="00B875EC">
        <w:t>caring responsibilities</w:t>
      </w:r>
      <w:r w:rsidR="00431D51">
        <w:t>)</w:t>
      </w:r>
      <w:r w:rsidR="008E0F7A">
        <w:t>, creating additional challenges around transitioning to ongoing job roles.</w:t>
      </w:r>
    </w:p>
    <w:p w14:paraId="21E0354E" w14:textId="77777777" w:rsidR="00756EB9" w:rsidRDefault="00756EB9" w:rsidP="00756EB9">
      <w:pPr>
        <w:pBdr>
          <w:top w:val="single" w:sz="4" w:space="1" w:color="auto"/>
          <w:left w:val="single" w:sz="4" w:space="4" w:color="auto"/>
          <w:bottom w:val="single" w:sz="4" w:space="1" w:color="auto"/>
          <w:right w:val="single" w:sz="4" w:space="4" w:color="auto"/>
        </w:pBdr>
        <w:rPr>
          <w:i/>
          <w:iCs/>
        </w:rPr>
      </w:pPr>
      <w:r>
        <w:rPr>
          <w:i/>
          <w:iCs/>
        </w:rPr>
        <w:t>Stakeholder consultation questions:</w:t>
      </w:r>
    </w:p>
    <w:p w14:paraId="3169C2EF" w14:textId="5B79ACA9" w:rsidR="00756EB9" w:rsidRDefault="00756EB9" w:rsidP="009A497B">
      <w:pPr>
        <w:pStyle w:val="ListParagraph"/>
        <w:numPr>
          <w:ilvl w:val="0"/>
          <w:numId w:val="13"/>
        </w:numPr>
        <w:pBdr>
          <w:top w:val="single" w:sz="4" w:space="1" w:color="auto"/>
          <w:left w:val="single" w:sz="4" w:space="4" w:color="auto"/>
          <w:bottom w:val="single" w:sz="4" w:space="1" w:color="auto"/>
          <w:right w:val="single" w:sz="4" w:space="4" w:color="auto"/>
        </w:pBdr>
      </w:pPr>
      <w:r>
        <w:t xml:space="preserve">Are these the right </w:t>
      </w:r>
      <w:r w:rsidR="00B46BF5">
        <w:t xml:space="preserve">mid-career </w:t>
      </w:r>
      <w:r>
        <w:t>cohorts to focus on? Are there other cohorts we haven’t identified?</w:t>
      </w:r>
    </w:p>
    <w:p w14:paraId="41681D3F" w14:textId="77777777" w:rsidR="00756EB9" w:rsidRDefault="00756EB9" w:rsidP="009A497B">
      <w:pPr>
        <w:pStyle w:val="ListParagraph"/>
        <w:numPr>
          <w:ilvl w:val="0"/>
          <w:numId w:val="13"/>
        </w:numPr>
        <w:pBdr>
          <w:top w:val="single" w:sz="4" w:space="1" w:color="auto"/>
          <w:left w:val="single" w:sz="4" w:space="4" w:color="auto"/>
          <w:bottom w:val="single" w:sz="4" w:space="1" w:color="auto"/>
          <w:right w:val="single" w:sz="4" w:space="4" w:color="auto"/>
        </w:pBdr>
      </w:pPr>
      <w:r>
        <w:t>Do you agree with this characterisation of the key barriers? Are there other barriers we haven’t identified?</w:t>
      </w:r>
    </w:p>
    <w:p w14:paraId="62A4B9AC" w14:textId="241050FE" w:rsidR="008C45DF" w:rsidRDefault="00756EB9" w:rsidP="00435D48">
      <w:pPr>
        <w:pStyle w:val="ListParagraph"/>
        <w:numPr>
          <w:ilvl w:val="0"/>
          <w:numId w:val="13"/>
        </w:numPr>
        <w:pBdr>
          <w:top w:val="single" w:sz="4" w:space="1" w:color="auto"/>
          <w:left w:val="single" w:sz="4" w:space="4" w:color="auto"/>
          <w:bottom w:val="single" w:sz="4" w:space="1" w:color="auto"/>
          <w:right w:val="single" w:sz="4" w:space="4" w:color="auto"/>
        </w:pBdr>
      </w:pPr>
      <w:r>
        <w:t>Can you describe how these barriers might change or become more acute for specific mid-career cohorts?</w:t>
      </w:r>
    </w:p>
    <w:p w14:paraId="24350D74" w14:textId="77777777" w:rsidR="00B46BF5" w:rsidRDefault="00B46BF5" w:rsidP="005E4120">
      <w:pPr>
        <w:pStyle w:val="Heading2"/>
        <w:numPr>
          <w:ilvl w:val="0"/>
          <w:numId w:val="0"/>
        </w:numPr>
      </w:pPr>
    </w:p>
    <w:p w14:paraId="1B45E52D" w14:textId="36CC9CB6" w:rsidR="00756EB9" w:rsidRDefault="00756EB9" w:rsidP="004E1898">
      <w:pPr>
        <w:pStyle w:val="Heading2"/>
      </w:pPr>
      <w:r>
        <w:t>Existing mid-career pathways</w:t>
      </w:r>
    </w:p>
    <w:p w14:paraId="6375BED8" w14:textId="77777777" w:rsidR="00756EB9" w:rsidRDefault="00756EB9" w:rsidP="004E1898">
      <w:pPr>
        <w:pStyle w:val="Heading3"/>
      </w:pPr>
      <w:r>
        <w:t>Mid-career pathways in Australia</w:t>
      </w:r>
    </w:p>
    <w:p w14:paraId="676CE149" w14:textId="2CCA8D66" w:rsidR="00E87BD8" w:rsidRDefault="00756EB9" w:rsidP="00E87BD8">
      <w:pPr>
        <w:tabs>
          <w:tab w:val="left" w:pos="7089"/>
        </w:tabs>
      </w:pPr>
      <w:r>
        <w:t xml:space="preserve">Bespoke programs aimed at attracting </w:t>
      </w:r>
      <w:r w:rsidR="006118DA">
        <w:t>mid-career cohorts</w:t>
      </w:r>
      <w:r>
        <w:t xml:space="preserve"> to teaching have emerged over recent years</w:t>
      </w:r>
      <w:r w:rsidR="00F7156F">
        <w:t>, and now exist in most jurisdictions</w:t>
      </w:r>
      <w:r>
        <w:t xml:space="preserve">. </w:t>
      </w:r>
      <w:r w:rsidR="00E87BD8">
        <w:t>Governments, ITE providers and schools all have distinct roles to play in delivering pathways aimed at mid-career candidates:</w:t>
      </w:r>
    </w:p>
    <w:p w14:paraId="570B8CC1" w14:textId="0653975F" w:rsidR="00E87BD8" w:rsidRDefault="00E87BD8">
      <w:pPr>
        <w:pStyle w:val="ListParagraph"/>
        <w:numPr>
          <w:ilvl w:val="0"/>
          <w:numId w:val="37"/>
        </w:numPr>
      </w:pPr>
      <w:r>
        <w:lastRenderedPageBreak/>
        <w:t xml:space="preserve">ITE providers have a critical role to play in promoting and delivering tailored ITE </w:t>
      </w:r>
      <w:r w:rsidR="009042A8">
        <w:t>courses</w:t>
      </w:r>
      <w:r>
        <w:t xml:space="preserve"> </w:t>
      </w:r>
      <w:r w:rsidR="00751A9E">
        <w:t xml:space="preserve">to </w:t>
      </w:r>
      <w:r w:rsidR="00F018E5">
        <w:t>attract</w:t>
      </w:r>
      <w:r>
        <w:t xml:space="preserve"> </w:t>
      </w:r>
      <w:r w:rsidR="00BA78CF">
        <w:br/>
      </w:r>
      <w:r w:rsidR="006118DA">
        <w:t>mid-career cohorts</w:t>
      </w:r>
      <w:r>
        <w:t xml:space="preserve">. This may include developing innovative models of </w:t>
      </w:r>
      <w:proofErr w:type="gramStart"/>
      <w:r>
        <w:t>delivery, and</w:t>
      </w:r>
      <w:proofErr w:type="gramEnd"/>
      <w:r>
        <w:t xml:space="preserve"> working with regulators to ensure </w:t>
      </w:r>
      <w:r w:rsidR="00F018E5">
        <w:t xml:space="preserve">these receive </w:t>
      </w:r>
      <w:r w:rsidR="00352DC9">
        <w:t xml:space="preserve">necessary </w:t>
      </w:r>
      <w:r w:rsidR="00F018E5">
        <w:t>approval</w:t>
      </w:r>
      <w:r w:rsidR="00352DC9">
        <w:t>s</w:t>
      </w:r>
      <w:r w:rsidR="00F018E5">
        <w:t xml:space="preserve">. </w:t>
      </w:r>
      <w:r>
        <w:t xml:space="preserve"> </w:t>
      </w:r>
    </w:p>
    <w:p w14:paraId="71239CC8" w14:textId="042683A7" w:rsidR="00E87BD8" w:rsidRDefault="00A47F31">
      <w:pPr>
        <w:pStyle w:val="ListParagraph"/>
        <w:numPr>
          <w:ilvl w:val="0"/>
          <w:numId w:val="37"/>
        </w:numPr>
      </w:pPr>
      <w:r>
        <w:t xml:space="preserve">State and territory governments </w:t>
      </w:r>
      <w:r w:rsidR="009042A8">
        <w:t>play a role in initiating and funding bespoke programs</w:t>
      </w:r>
      <w:r w:rsidR="00156580">
        <w:t xml:space="preserve"> that are delivered in partnership with one or more ITE providers. Typically state and territory governments will do so where additional incentives are required to attract </w:t>
      </w:r>
      <w:r w:rsidR="00D41B3C">
        <w:t xml:space="preserve">candidates in line with particular policy objectives (e.g. fulfilling </w:t>
      </w:r>
      <w:r w:rsidR="00BA2822">
        <w:t xml:space="preserve">specific </w:t>
      </w:r>
      <w:r w:rsidR="00352DC9">
        <w:t xml:space="preserve">teacher </w:t>
      </w:r>
      <w:r w:rsidR="00BA2822">
        <w:t xml:space="preserve">supply </w:t>
      </w:r>
      <w:r w:rsidR="00352DC9">
        <w:t>shortage</w:t>
      </w:r>
      <w:r w:rsidR="00BA2822">
        <w:t xml:space="preserve">s). </w:t>
      </w:r>
    </w:p>
    <w:p w14:paraId="3B173EEB" w14:textId="57F51A24" w:rsidR="00BA2822" w:rsidRDefault="0053629B">
      <w:pPr>
        <w:pStyle w:val="ListParagraph"/>
        <w:numPr>
          <w:ilvl w:val="0"/>
          <w:numId w:val="37"/>
        </w:numPr>
      </w:pPr>
      <w:r>
        <w:t>The Australian Government</w:t>
      </w:r>
      <w:r w:rsidR="00BA2822">
        <w:t xml:space="preserve"> </w:t>
      </w:r>
      <w:r w:rsidR="00A214D7">
        <w:t xml:space="preserve">can also play a role supporting bespoke pathways. </w:t>
      </w:r>
      <w:r>
        <w:t>For example, it currently supports the High Achieving Teachers program, which funds employment-based pathways</w:t>
      </w:r>
      <w:r w:rsidR="00D95BEF">
        <w:t xml:space="preserve"> that – in part – target mid-career cohorts</w:t>
      </w:r>
      <w:r>
        <w:t xml:space="preserve">. </w:t>
      </w:r>
    </w:p>
    <w:p w14:paraId="7E42883C" w14:textId="4B611445" w:rsidR="00E87BD8" w:rsidRDefault="00E87BD8">
      <w:pPr>
        <w:pStyle w:val="ListParagraph"/>
        <w:numPr>
          <w:ilvl w:val="0"/>
          <w:numId w:val="29"/>
        </w:numPr>
        <w:tabs>
          <w:tab w:val="left" w:pos="7089"/>
        </w:tabs>
      </w:pPr>
      <w:r>
        <w:t xml:space="preserve">Schools </w:t>
      </w:r>
      <w:r w:rsidR="008D1823">
        <w:t xml:space="preserve">also </w:t>
      </w:r>
      <w:r w:rsidR="002369D0">
        <w:t xml:space="preserve">have a key role to play supporting mid-career pathways </w:t>
      </w:r>
      <w:r w:rsidR="008B3E97">
        <w:t>(</w:t>
      </w:r>
      <w:proofErr w:type="gramStart"/>
      <w:r w:rsidR="008B3E97">
        <w:t>e.g.</w:t>
      </w:r>
      <w:proofErr w:type="gramEnd"/>
      <w:r w:rsidR="008B3E97">
        <w:t xml:space="preserve"> by </w:t>
      </w:r>
      <w:r w:rsidR="00B44604">
        <w:t xml:space="preserve">working with ITE providers to </w:t>
      </w:r>
      <w:r w:rsidR="00CA661E">
        <w:t xml:space="preserve">facilitate high-quality practicum placements / employment opportunities). </w:t>
      </w:r>
      <w:r>
        <w:t xml:space="preserve">Ensuring that school leaders and lead teachers are equipped to support the specific needs of </w:t>
      </w:r>
      <w:r w:rsidR="006118DA">
        <w:t>mid-career cohorts</w:t>
      </w:r>
      <w:r>
        <w:t xml:space="preserve"> is critical to enabling this. </w:t>
      </w:r>
    </w:p>
    <w:p w14:paraId="53D78739" w14:textId="77777777" w:rsidR="008E1CB1" w:rsidRDefault="008E1CB1" w:rsidP="008E1CB1">
      <w:pPr>
        <w:pStyle w:val="ListParagraph"/>
        <w:numPr>
          <w:ilvl w:val="0"/>
          <w:numId w:val="0"/>
        </w:numPr>
        <w:tabs>
          <w:tab w:val="left" w:pos="7089"/>
        </w:tabs>
        <w:ind w:left="720"/>
      </w:pPr>
    </w:p>
    <w:p w14:paraId="58AC2518" w14:textId="5A981733" w:rsidR="00756EB9" w:rsidRPr="00533E45" w:rsidRDefault="00756EB9" w:rsidP="00756EB9">
      <w:pPr>
        <w:tabs>
          <w:tab w:val="left" w:pos="7089"/>
        </w:tabs>
        <w:rPr>
          <w:i/>
          <w:iCs/>
          <w:u w:val="single"/>
        </w:rPr>
      </w:pPr>
      <w:r w:rsidRPr="00533E45">
        <w:rPr>
          <w:i/>
          <w:iCs/>
          <w:u w:val="single"/>
        </w:rPr>
        <w:t>Case study: Teach for Australia’s Leadership Development Program</w:t>
      </w:r>
    </w:p>
    <w:p w14:paraId="5F17EC66" w14:textId="29AAC18B" w:rsidR="00756EB9" w:rsidRPr="00533E45" w:rsidRDefault="00756EB9" w:rsidP="00756EB9">
      <w:pPr>
        <w:tabs>
          <w:tab w:val="left" w:pos="7089"/>
        </w:tabs>
        <w:rPr>
          <w:i/>
          <w:iCs/>
        </w:rPr>
      </w:pPr>
      <w:r w:rsidRPr="00533E45">
        <w:rPr>
          <w:i/>
          <w:iCs/>
        </w:rPr>
        <w:t xml:space="preserve">Teach for Australia’s Leadership Development Program is Australia’s longest-running employment-based pathway to teaching. This </w:t>
      </w:r>
      <w:r>
        <w:rPr>
          <w:i/>
          <w:iCs/>
        </w:rPr>
        <w:t xml:space="preserve">two-year </w:t>
      </w:r>
      <w:r w:rsidRPr="00533E45">
        <w:rPr>
          <w:i/>
          <w:iCs/>
        </w:rPr>
        <w:t xml:space="preserve">program is open to mid-career entrants, though many TFA Associates undertake the program immediately following conclusion of an undergraduate degree. TFA Associates complete a six-week residential program, then commence a paid teaching placement </w:t>
      </w:r>
      <w:r>
        <w:rPr>
          <w:i/>
          <w:iCs/>
        </w:rPr>
        <w:t xml:space="preserve">with a 0.8 load </w:t>
      </w:r>
      <w:r w:rsidRPr="00533E45">
        <w:rPr>
          <w:i/>
          <w:iCs/>
        </w:rPr>
        <w:t xml:space="preserve">in a low SES school. </w:t>
      </w:r>
      <w:r>
        <w:rPr>
          <w:i/>
          <w:iCs/>
        </w:rPr>
        <w:t xml:space="preserve">Associates graduate with a Masters of Teaching. </w:t>
      </w:r>
      <w:r w:rsidRPr="00533E45">
        <w:rPr>
          <w:i/>
          <w:iCs/>
        </w:rPr>
        <w:t>Given the intensity of the work / study load, Associates are heavily supported</w:t>
      </w:r>
      <w:r w:rsidR="00CB2539">
        <w:rPr>
          <w:i/>
          <w:iCs/>
        </w:rPr>
        <w:t>, including</w:t>
      </w:r>
      <w:r w:rsidRPr="00533E45">
        <w:rPr>
          <w:i/>
          <w:iCs/>
        </w:rPr>
        <w:t xml:space="preserve"> through coaching and mentoring</w:t>
      </w:r>
      <w:r>
        <w:rPr>
          <w:i/>
          <w:iCs/>
        </w:rPr>
        <w:t>.</w:t>
      </w:r>
      <w:r w:rsidRPr="00533E45">
        <w:rPr>
          <w:i/>
          <w:iCs/>
        </w:rPr>
        <w:t xml:space="preserve"> </w:t>
      </w:r>
    </w:p>
    <w:p w14:paraId="33D4E75D" w14:textId="5ADC5BD7" w:rsidR="00756EB9" w:rsidRDefault="003271C8" w:rsidP="004E1898">
      <w:pPr>
        <w:pStyle w:val="Heading3"/>
      </w:pPr>
      <w:r>
        <w:t>K</w:t>
      </w:r>
      <w:r w:rsidR="00756EB9">
        <w:t>ey characteristics</w:t>
      </w:r>
      <w:r>
        <w:t xml:space="preserve"> of mid-career p</w:t>
      </w:r>
      <w:r w:rsidR="000209A4">
        <w:t>rogram</w:t>
      </w:r>
      <w:r>
        <w:t>s</w:t>
      </w:r>
    </w:p>
    <w:p w14:paraId="76AC2B9C" w14:textId="4ADB6990" w:rsidR="003271C8" w:rsidRDefault="00E27B95" w:rsidP="00E27B95">
      <w:pPr>
        <w:pStyle w:val="NoSpacing"/>
      </w:pPr>
      <w:r>
        <w:t xml:space="preserve">Pathways that successfully target mid-career cohorts have key characteristics. Individual pathways will combine a number of these characteristics, depending on target cohort and context. </w:t>
      </w:r>
    </w:p>
    <w:p w14:paraId="6F76DE90" w14:textId="1F988E25" w:rsidR="004F2FF3" w:rsidRPr="004F2FF3" w:rsidRDefault="004F2FF3" w:rsidP="00E27B95">
      <w:pPr>
        <w:pStyle w:val="NoSpacing"/>
        <w:rPr>
          <w:b/>
          <w:bCs/>
        </w:rPr>
      </w:pPr>
      <w:r w:rsidRPr="004F2FF3">
        <w:rPr>
          <w:b/>
          <w:bCs/>
        </w:rPr>
        <w:t>Shorter course length</w:t>
      </w:r>
    </w:p>
    <w:p w14:paraId="2AD02073" w14:textId="711C7E7D" w:rsidR="002534E1" w:rsidRDefault="00464CF2" w:rsidP="00464CF2">
      <w:r>
        <w:t xml:space="preserve">Postgraduate programs aimed at attracting </w:t>
      </w:r>
      <w:r w:rsidR="006118DA">
        <w:t>mid-career cohorts</w:t>
      </w:r>
      <w:r>
        <w:t xml:space="preserve"> into ITE often do so by offering a shorter course length.</w:t>
      </w:r>
      <w:r>
        <w:rPr>
          <w:rStyle w:val="FootnoteReference"/>
        </w:rPr>
        <w:footnoteReference w:id="13"/>
      </w:r>
      <w:r>
        <w:t xml:space="preserve"> </w:t>
      </w:r>
      <w:r w:rsidR="000C299E">
        <w:t xml:space="preserve">Shorter courses are attractive to </w:t>
      </w:r>
      <w:r w:rsidR="006118DA">
        <w:t>mid-career cohorts</w:t>
      </w:r>
      <w:r w:rsidR="00E826CD">
        <w:t xml:space="preserve"> because they </w:t>
      </w:r>
      <w:r w:rsidR="00392251">
        <w:t xml:space="preserve">reduce </w:t>
      </w:r>
      <w:r w:rsidR="00B212F1">
        <w:t xml:space="preserve">the </w:t>
      </w:r>
      <w:r w:rsidR="00392251">
        <w:t>amount of time out of the workforce</w:t>
      </w:r>
      <w:r w:rsidR="005C070C">
        <w:t xml:space="preserve"> </w:t>
      </w:r>
      <w:r w:rsidR="00B212F1">
        <w:t xml:space="preserve">and </w:t>
      </w:r>
      <w:r w:rsidR="001E6838">
        <w:t>loss of income</w:t>
      </w:r>
      <w:r w:rsidR="00392251">
        <w:t>.</w:t>
      </w:r>
      <w:r w:rsidR="00D242C7">
        <w:t xml:space="preserve"> </w:t>
      </w:r>
      <w:r w:rsidR="006100C0">
        <w:t xml:space="preserve">To meet this demand, many ITE providers around Australia offer accelerated programs, in which </w:t>
      </w:r>
      <w:r w:rsidR="003242AA">
        <w:t>the</w:t>
      </w:r>
      <w:r w:rsidR="00412EC7">
        <w:t xml:space="preserve"> student can undertake the content of a</w:t>
      </w:r>
      <w:r w:rsidR="00D95AE4">
        <w:t xml:space="preserve"> two-year ITE course in a shorter </w:t>
      </w:r>
      <w:proofErr w:type="gramStart"/>
      <w:r w:rsidR="00D95AE4">
        <w:t>period of time</w:t>
      </w:r>
      <w:proofErr w:type="gramEnd"/>
      <w:r w:rsidR="00D95AE4">
        <w:t xml:space="preserve"> </w:t>
      </w:r>
      <w:r w:rsidR="00A72C83">
        <w:t xml:space="preserve">– </w:t>
      </w:r>
      <w:r w:rsidR="00D95AE4">
        <w:t>usually, 18 months</w:t>
      </w:r>
      <w:r w:rsidR="00A72C83">
        <w:t xml:space="preserve"> (see </w:t>
      </w:r>
      <w:r w:rsidR="003E0892">
        <w:t>A</w:t>
      </w:r>
      <w:r w:rsidR="00A72C83">
        <w:t xml:space="preserve">ccelerated </w:t>
      </w:r>
      <w:r w:rsidR="003E0892">
        <w:t>Pathways</w:t>
      </w:r>
      <w:r w:rsidR="00A72C83">
        <w:t xml:space="preserve"> below).</w:t>
      </w:r>
    </w:p>
    <w:p w14:paraId="0751A7AC" w14:textId="76071018" w:rsidR="004F2FF3" w:rsidRPr="005B4398" w:rsidRDefault="005B4398" w:rsidP="00E27B95">
      <w:pPr>
        <w:pStyle w:val="NoSpacing"/>
        <w:rPr>
          <w:b/>
          <w:bCs/>
        </w:rPr>
      </w:pPr>
      <w:r w:rsidRPr="005B4398">
        <w:rPr>
          <w:b/>
          <w:bCs/>
        </w:rPr>
        <w:t>Flexibility</w:t>
      </w:r>
    </w:p>
    <w:p w14:paraId="390ED850" w14:textId="041789B4" w:rsidR="005B4398" w:rsidRDefault="00C57E55" w:rsidP="00E27B95">
      <w:pPr>
        <w:pStyle w:val="NoSpacing"/>
      </w:pPr>
      <w:r>
        <w:t xml:space="preserve">While many providers offer accelerated courses, the intensity of such courses mean they will not be suitable for all types of </w:t>
      </w:r>
      <w:r w:rsidR="006118DA">
        <w:t>mid-career cohorts</w:t>
      </w:r>
      <w:r>
        <w:t xml:space="preserve">. Many students – </w:t>
      </w:r>
      <w:proofErr w:type="gramStart"/>
      <w:r>
        <w:t>e.g.</w:t>
      </w:r>
      <w:proofErr w:type="gramEnd"/>
      <w:r>
        <w:t xml:space="preserve"> those with caring responsibilities / those seeking to upskill over time while </w:t>
      </w:r>
      <w:r>
        <w:lastRenderedPageBreak/>
        <w:t>remaining in existing paraprofessional jobs – may require a more flexible part-time model.</w:t>
      </w:r>
      <w:r w:rsidR="00587A38">
        <w:t xml:space="preserve"> </w:t>
      </w:r>
      <w:r w:rsidR="000F14AE">
        <w:t xml:space="preserve">Providers </w:t>
      </w:r>
      <w:r w:rsidR="00587A38">
        <w:t xml:space="preserve">use different approaches </w:t>
      </w:r>
      <w:r w:rsidR="00410C95">
        <w:t>to</w:t>
      </w:r>
      <w:r w:rsidR="000F14AE">
        <w:t xml:space="preserve"> maximise flexibility </w:t>
      </w:r>
      <w:r w:rsidR="00587A38">
        <w:t xml:space="preserve">in their existing programs </w:t>
      </w:r>
      <w:r w:rsidR="000F14AE">
        <w:t xml:space="preserve">by offering part-time study options; </w:t>
      </w:r>
      <w:r w:rsidR="00D20922">
        <w:t>allowing students to study online or blend online and in-person learn</w:t>
      </w:r>
      <w:r w:rsidR="00D20922">
        <w:t>i</w:t>
      </w:r>
      <w:r w:rsidR="00D20922">
        <w:t xml:space="preserve">ng; </w:t>
      </w:r>
      <w:r w:rsidR="00A26FD1">
        <w:t xml:space="preserve">providing opportunities to </w:t>
      </w:r>
      <w:r w:rsidR="00455948">
        <w:t>finish the course over a longer perio</w:t>
      </w:r>
      <w:r w:rsidR="00455948">
        <w:t xml:space="preserve">d </w:t>
      </w:r>
      <w:r w:rsidR="00455948">
        <w:t>of time</w:t>
      </w:r>
      <w:r w:rsidR="00AA6D34">
        <w:t>; and ensuring students have access to institutional supports</w:t>
      </w:r>
      <w:r w:rsidR="00D916EF">
        <w:t xml:space="preserve"> (</w:t>
      </w:r>
      <w:proofErr w:type="gramStart"/>
      <w:r w:rsidR="00D916EF">
        <w:t>e.g.</w:t>
      </w:r>
      <w:proofErr w:type="gramEnd"/>
      <w:r w:rsidR="00D916EF">
        <w:t xml:space="preserve"> </w:t>
      </w:r>
      <w:r w:rsidR="00482808">
        <w:t>support to develop digital literacy skills)</w:t>
      </w:r>
      <w:r w:rsidR="00455948">
        <w:t xml:space="preserve">. </w:t>
      </w:r>
      <w:r w:rsidR="00A26FD1">
        <w:t xml:space="preserve"> </w:t>
      </w:r>
    </w:p>
    <w:p w14:paraId="4D2732F2" w14:textId="7DF9DE8B" w:rsidR="004F2FF3" w:rsidRPr="00994C85" w:rsidRDefault="00994C85" w:rsidP="00E27B95">
      <w:pPr>
        <w:pStyle w:val="NoSpacing"/>
        <w:rPr>
          <w:b/>
          <w:bCs/>
        </w:rPr>
      </w:pPr>
      <w:r w:rsidRPr="00994C85">
        <w:rPr>
          <w:b/>
          <w:bCs/>
        </w:rPr>
        <w:t>Opportunities for paid employment during the course</w:t>
      </w:r>
    </w:p>
    <w:p w14:paraId="19279B78" w14:textId="1D1439D2" w:rsidR="004F2FF3" w:rsidRDefault="00F27590" w:rsidP="00E27B95">
      <w:pPr>
        <w:pStyle w:val="NoSpacing"/>
      </w:pPr>
      <w:r>
        <w:t xml:space="preserve">There are many examples in Australia of mid-career pathways that offer students the opportunity to undertake </w:t>
      </w:r>
      <w:r w:rsidR="00592256">
        <w:t>relevant paid employment while completing their ITE course</w:t>
      </w:r>
      <w:r w:rsidR="005D2566">
        <w:t xml:space="preserve">, in order to address the loss of income barrier. </w:t>
      </w:r>
      <w:r w:rsidR="00E513DF">
        <w:t xml:space="preserve">Such </w:t>
      </w:r>
      <w:r w:rsidR="005F7BAE">
        <w:t xml:space="preserve">approaches can involve </w:t>
      </w:r>
      <w:r w:rsidR="00E773D7">
        <w:t>either working as a part-time paraprofessional throughout the ITE course; or working</w:t>
      </w:r>
      <w:r w:rsidR="000B2DF7">
        <w:t xml:space="preserve"> as a teacher in a paid capacity towards the end of the ITE course. </w:t>
      </w:r>
    </w:p>
    <w:p w14:paraId="3FCA038C" w14:textId="4C479993" w:rsidR="005A1980" w:rsidRPr="00413AC7" w:rsidRDefault="00413AC7" w:rsidP="00E27B95">
      <w:pPr>
        <w:pStyle w:val="NoSpacing"/>
        <w:rPr>
          <w:b/>
          <w:bCs/>
        </w:rPr>
      </w:pPr>
      <w:r w:rsidRPr="00413AC7">
        <w:rPr>
          <w:b/>
          <w:bCs/>
        </w:rPr>
        <w:t>Provision of financial incentives</w:t>
      </w:r>
    </w:p>
    <w:p w14:paraId="4964A763" w14:textId="53DC6788" w:rsidR="00413AC7" w:rsidRDefault="00413AC7" w:rsidP="00413AC7">
      <w:pPr>
        <w:tabs>
          <w:tab w:val="left" w:pos="7089"/>
        </w:tabs>
      </w:pPr>
      <w:r>
        <w:t>Direct financial incentives can also lower the cost of transitioning to teaching.</w:t>
      </w:r>
      <w:r w:rsidR="004F0F85">
        <w:rPr>
          <w:rStyle w:val="FootnoteReference"/>
        </w:rPr>
        <w:footnoteReference w:id="14"/>
      </w:r>
      <w:r>
        <w:t xml:space="preserve"> State government-supported pathways often include incentives such as:</w:t>
      </w:r>
    </w:p>
    <w:p w14:paraId="35767002" w14:textId="77777777" w:rsidR="00413AC7" w:rsidRDefault="00413AC7">
      <w:pPr>
        <w:pStyle w:val="ListParagraph"/>
        <w:numPr>
          <w:ilvl w:val="0"/>
          <w:numId w:val="19"/>
        </w:numPr>
        <w:tabs>
          <w:tab w:val="left" w:pos="7089"/>
        </w:tabs>
      </w:pPr>
      <w:r>
        <w:t>Scholarships and bursaries</w:t>
      </w:r>
    </w:p>
    <w:p w14:paraId="1BB3DDE9" w14:textId="77777777" w:rsidR="00413AC7" w:rsidRDefault="00413AC7">
      <w:pPr>
        <w:pStyle w:val="ListParagraph"/>
        <w:numPr>
          <w:ilvl w:val="0"/>
          <w:numId w:val="19"/>
        </w:numPr>
        <w:tabs>
          <w:tab w:val="left" w:pos="7089"/>
        </w:tabs>
      </w:pPr>
      <w:r>
        <w:t>Training allowances and stipends</w:t>
      </w:r>
    </w:p>
    <w:p w14:paraId="5E54FDAC" w14:textId="77777777" w:rsidR="00413AC7" w:rsidRDefault="00413AC7">
      <w:pPr>
        <w:pStyle w:val="ListParagraph"/>
        <w:numPr>
          <w:ilvl w:val="0"/>
          <w:numId w:val="19"/>
        </w:numPr>
        <w:tabs>
          <w:tab w:val="left" w:pos="7089"/>
        </w:tabs>
      </w:pPr>
      <w:r>
        <w:t>Course contribution fees or subsidised course fees</w:t>
      </w:r>
    </w:p>
    <w:p w14:paraId="7D949B01" w14:textId="77777777" w:rsidR="00413AC7" w:rsidRDefault="00413AC7">
      <w:pPr>
        <w:pStyle w:val="ListParagraph"/>
        <w:numPr>
          <w:ilvl w:val="0"/>
          <w:numId w:val="19"/>
        </w:numPr>
        <w:tabs>
          <w:tab w:val="left" w:pos="7089"/>
        </w:tabs>
      </w:pPr>
      <w:r>
        <w:t>Completion bonuses</w:t>
      </w:r>
    </w:p>
    <w:p w14:paraId="490B684E" w14:textId="77777777" w:rsidR="00413AC7" w:rsidRDefault="00413AC7" w:rsidP="00413AC7">
      <w:pPr>
        <w:tabs>
          <w:tab w:val="left" w:pos="7089"/>
        </w:tabs>
      </w:pPr>
      <w:r>
        <w:t>The value of these financial incentives varies significantly between programs, but in some cases will total in the tens of thousands of dollars per student.</w:t>
      </w:r>
      <w:r>
        <w:rPr>
          <w:rStyle w:val="FootnoteReference"/>
        </w:rPr>
        <w:footnoteReference w:id="15"/>
      </w:r>
      <w:r>
        <w:t xml:space="preserve"> </w:t>
      </w:r>
    </w:p>
    <w:p w14:paraId="05B561AC" w14:textId="77777777" w:rsidR="00F109FE" w:rsidRDefault="00F109FE" w:rsidP="00F109FE">
      <w:pPr>
        <w:tabs>
          <w:tab w:val="left" w:pos="7089"/>
        </w:tabs>
      </w:pPr>
      <w:r>
        <w:t>While financial incentives are designed to reduce the cost of switching, they will not fully offset that cost for most career changers. For this reason, it is important that they are coupled with other approaches (e.g. appealing to intrinsic motivations).</w:t>
      </w:r>
    </w:p>
    <w:p w14:paraId="0ABE80EC" w14:textId="7AB8D41B" w:rsidR="00413AC7" w:rsidRPr="00B556BE" w:rsidRDefault="00B556BE" w:rsidP="00E27B95">
      <w:pPr>
        <w:pStyle w:val="NoSpacing"/>
        <w:rPr>
          <w:b/>
          <w:bCs/>
        </w:rPr>
      </w:pPr>
      <w:r w:rsidRPr="00B556BE">
        <w:rPr>
          <w:b/>
          <w:bCs/>
        </w:rPr>
        <w:t>Guarantees of employment</w:t>
      </w:r>
    </w:p>
    <w:p w14:paraId="564FB620" w14:textId="515CB7A0" w:rsidR="00B556BE" w:rsidRDefault="00B556BE" w:rsidP="00B556BE">
      <w:pPr>
        <w:tabs>
          <w:tab w:val="left" w:pos="7089"/>
        </w:tabs>
      </w:pPr>
      <w:r>
        <w:t>Some state government</w:t>
      </w:r>
      <w:r w:rsidR="00791AAC">
        <w:t>s</w:t>
      </w:r>
      <w:r>
        <w:t xml:space="preserve"> guarantee employment in government schools following completion of programs. </w:t>
      </w:r>
      <w:r w:rsidR="00791AAC">
        <w:t>Most often,</w:t>
      </w:r>
      <w:r>
        <w:t xml:space="preserve"> </w:t>
      </w:r>
      <w:r>
        <w:t xml:space="preserve">this is a general guarantee of employment somewhere in the state; </w:t>
      </w:r>
      <w:r w:rsidR="006202EA">
        <w:t xml:space="preserve">in other programs, a </w:t>
      </w:r>
      <w:r w:rsidR="00791AAC">
        <w:t xml:space="preserve">particular </w:t>
      </w:r>
      <w:r w:rsidR="006202EA">
        <w:t>region might be specified. Offers of employment</w:t>
      </w:r>
      <w:r>
        <w:t xml:space="preserve"> can provide increased certainty / </w:t>
      </w:r>
      <w:r w:rsidR="006202EA">
        <w:t>lower</w:t>
      </w:r>
      <w:r>
        <w:t xml:space="preserve"> the risk associated with a career transition</w:t>
      </w:r>
      <w:r w:rsidR="00791AAC">
        <w:t xml:space="preserve"> for mid-career changers</w:t>
      </w:r>
      <w:r>
        <w:t xml:space="preserve">. </w:t>
      </w:r>
    </w:p>
    <w:p w14:paraId="025CD2E0" w14:textId="28766E49" w:rsidR="00EE2C08" w:rsidRPr="00EE2C08" w:rsidRDefault="00EE2C08" w:rsidP="00EE2C08">
      <w:pPr>
        <w:rPr>
          <w:b/>
          <w:bCs/>
        </w:rPr>
      </w:pPr>
      <w:r w:rsidRPr="00EE2C08">
        <w:rPr>
          <w:b/>
          <w:bCs/>
        </w:rPr>
        <w:t>Additional coaching / mentoring support</w:t>
      </w:r>
    </w:p>
    <w:p w14:paraId="726CE30F" w14:textId="281B7634" w:rsidR="00B556BE" w:rsidRDefault="00EE2C08" w:rsidP="00EE2C08">
      <w:r>
        <w:t xml:space="preserve">Providing additional coaching and mentoring support is also a key characteristic to attract – and as importantly, to retain – </w:t>
      </w:r>
      <w:r w:rsidR="006118DA">
        <w:t>mid-career cohorts</w:t>
      </w:r>
      <w:r>
        <w:t xml:space="preserve"> into ITE and teaching. Many bespoke programs offer students additional coaching and mentoring </w:t>
      </w:r>
      <w:proofErr w:type="gramStart"/>
      <w:r>
        <w:t>support, and</w:t>
      </w:r>
      <w:proofErr w:type="gramEnd"/>
      <w:r>
        <w:t xml:space="preserve"> build the time for the student to undertake these activities into the design of the pathway. </w:t>
      </w:r>
    </w:p>
    <w:p w14:paraId="1E92CE76" w14:textId="77777777" w:rsidR="004F39E4" w:rsidRDefault="004F39E4" w:rsidP="00EE2C08"/>
    <w:p w14:paraId="5AC56B4B" w14:textId="756D7517" w:rsidR="000209A4" w:rsidRPr="003271C8" w:rsidRDefault="000209A4" w:rsidP="000209A4">
      <w:pPr>
        <w:pStyle w:val="Heading3"/>
      </w:pPr>
      <w:r>
        <w:lastRenderedPageBreak/>
        <w:t>Types of mid-career programs</w:t>
      </w:r>
    </w:p>
    <w:p w14:paraId="09BC9A41" w14:textId="201D1577" w:rsidR="00756EB9" w:rsidRDefault="00935595" w:rsidP="00756EB9">
      <w:pPr>
        <w:tabs>
          <w:tab w:val="left" w:pos="7089"/>
        </w:tabs>
      </w:pPr>
      <w:r>
        <w:t xml:space="preserve">Mapping of existing mid-career programs in Australia </w:t>
      </w:r>
      <w:r w:rsidR="00D05B2B">
        <w:t>shows</w:t>
      </w:r>
      <w:r>
        <w:t xml:space="preserve"> that </w:t>
      </w:r>
      <w:r w:rsidR="00CF381F">
        <w:t xml:space="preserve">three main </w:t>
      </w:r>
      <w:r w:rsidR="00756EB9">
        <w:t xml:space="preserve">types of </w:t>
      </w:r>
      <w:r w:rsidR="00CF381F">
        <w:t xml:space="preserve">mid-career </w:t>
      </w:r>
      <w:r w:rsidR="00756EB9">
        <w:t>pathway</w:t>
      </w:r>
      <w:r w:rsidR="00CF381F">
        <w:t xml:space="preserve"> have emerged</w:t>
      </w:r>
      <w:r w:rsidR="00756EB9">
        <w:t>:</w:t>
      </w:r>
    </w:p>
    <w:p w14:paraId="0F9ECDC1" w14:textId="12B2DFD8" w:rsidR="00A72C83" w:rsidRPr="00A72C83" w:rsidRDefault="00756EB9" w:rsidP="00A72C83">
      <w:pPr>
        <w:tabs>
          <w:tab w:val="left" w:pos="7089"/>
        </w:tabs>
        <w:ind w:left="357" w:hanging="357"/>
        <w:rPr>
          <w:b/>
          <w:bCs/>
        </w:rPr>
      </w:pPr>
      <w:r w:rsidRPr="004E1898">
        <w:rPr>
          <w:b/>
          <w:bCs/>
        </w:rPr>
        <w:t xml:space="preserve">Accelerated pathways </w:t>
      </w:r>
    </w:p>
    <w:p w14:paraId="1AF289E2" w14:textId="5C255C61" w:rsidR="00A72C83" w:rsidRDefault="00A72C83" w:rsidP="00A72C83">
      <w:pPr>
        <w:tabs>
          <w:tab w:val="left" w:pos="7089"/>
        </w:tabs>
      </w:pPr>
      <w:r>
        <w:t>Accelerated pathways condense the time required to complete a Masters of Teaching. Typically, such courses are completed in around 18 months, but they can be completed in as little as 1.3 years.</w:t>
      </w:r>
      <w:r>
        <w:rPr>
          <w:rStyle w:val="FootnoteReference"/>
        </w:rPr>
        <w:footnoteReference w:id="16"/>
      </w:r>
      <w:r>
        <w:t xml:space="preserve"> Accelerated ITE courses are already offered by ITE providers throughout Australia. Under such models, the content of the course itself is not cut down or altered, but is condensed into a shorter time-frame – often requiring students to undertake a summer trimester. Consultations with ITE providers indicated that there is little scope to further shorten this timeframe without changes to the ITE course accreditation standards. These accelerated programs are already intense for students, and providers face a scheduling challenge to fit theoretical and practicum requirements within these timeframes. </w:t>
      </w:r>
    </w:p>
    <w:p w14:paraId="4AEB7B5A" w14:textId="77777777" w:rsidR="00756EB9" w:rsidRPr="00533E45" w:rsidRDefault="00756EB9" w:rsidP="004E1898">
      <w:pPr>
        <w:pStyle w:val="Heading3"/>
        <w:numPr>
          <w:ilvl w:val="0"/>
          <w:numId w:val="0"/>
        </w:numPr>
        <w:ind w:left="567" w:hanging="567"/>
        <w:rPr>
          <w:rFonts w:asciiTheme="minorHAnsi" w:hAnsiTheme="minorHAnsi"/>
          <w:b w:val="0"/>
          <w:i/>
          <w:iCs/>
          <w:color w:val="000000" w:themeColor="text1"/>
          <w:u w:val="single"/>
        </w:rPr>
      </w:pPr>
      <w:r w:rsidRPr="00533E45">
        <w:rPr>
          <w:rFonts w:asciiTheme="minorHAnsi" w:hAnsiTheme="minorHAnsi"/>
          <w:b w:val="0"/>
          <w:i/>
          <w:iCs/>
          <w:color w:val="000000" w:themeColor="text1"/>
          <w:u w:val="single"/>
        </w:rPr>
        <w:t>Case Study: University of Newcastle Masters of Teaching (Secondary) – Fast Track</w:t>
      </w:r>
    </w:p>
    <w:p w14:paraId="46E80370" w14:textId="77777777" w:rsidR="00756EB9" w:rsidRPr="00533E45" w:rsidRDefault="00756EB9" w:rsidP="00756EB9">
      <w:pPr>
        <w:rPr>
          <w:i/>
          <w:iCs/>
        </w:rPr>
      </w:pPr>
      <w:r w:rsidRPr="00533E45">
        <w:rPr>
          <w:i/>
          <w:iCs/>
        </w:rPr>
        <w:t xml:space="preserve">The University of Newcastle Masters of Teaching (Secondary) allows students to study in trimesters, fast-tracking what is usually a 2-year degree into 18 months. As such, the content is delivered over a compressed period, but is not otherwise different. Practicum requirements are built into the 18-month period. The course includes simulated learning environments </w:t>
      </w:r>
      <w:proofErr w:type="spellStart"/>
      <w:r w:rsidRPr="00533E45">
        <w:rPr>
          <w:i/>
          <w:iCs/>
        </w:rPr>
        <w:t>SimTeach</w:t>
      </w:r>
      <w:proofErr w:type="spellEnd"/>
      <w:r w:rsidRPr="00533E45">
        <w:rPr>
          <w:i/>
          <w:iCs/>
        </w:rPr>
        <w:t xml:space="preserve">, </w:t>
      </w:r>
      <w:proofErr w:type="spellStart"/>
      <w:r w:rsidRPr="00533E45">
        <w:rPr>
          <w:i/>
          <w:iCs/>
        </w:rPr>
        <w:t>SimSchool</w:t>
      </w:r>
      <w:proofErr w:type="spellEnd"/>
      <w:r w:rsidRPr="00533E45">
        <w:rPr>
          <w:i/>
          <w:iCs/>
        </w:rPr>
        <w:t xml:space="preserve"> and </w:t>
      </w:r>
      <w:proofErr w:type="spellStart"/>
      <w:r w:rsidRPr="00533E45">
        <w:rPr>
          <w:i/>
          <w:iCs/>
        </w:rPr>
        <w:t>SimCave</w:t>
      </w:r>
      <w:proofErr w:type="spellEnd"/>
      <w:r w:rsidRPr="00533E45">
        <w:rPr>
          <w:i/>
          <w:iCs/>
        </w:rPr>
        <w:t xml:space="preserve">, designed as safe, interactive spaces for students to practice before entering the classroom.  </w:t>
      </w:r>
    </w:p>
    <w:p w14:paraId="4DD8AE10" w14:textId="77777777" w:rsidR="00756EB9" w:rsidRPr="004E1898" w:rsidRDefault="00756EB9" w:rsidP="004E1898">
      <w:pPr>
        <w:pStyle w:val="Heading3"/>
        <w:numPr>
          <w:ilvl w:val="0"/>
          <w:numId w:val="0"/>
        </w:numPr>
        <w:tabs>
          <w:tab w:val="num" w:pos="284"/>
        </w:tabs>
        <w:ind w:left="567" w:hanging="567"/>
        <w:rPr>
          <w:rFonts w:asciiTheme="minorHAnsi" w:hAnsiTheme="minorHAnsi"/>
          <w:bCs/>
          <w:color w:val="000000" w:themeColor="text1"/>
        </w:rPr>
      </w:pPr>
      <w:r w:rsidRPr="004E1898">
        <w:rPr>
          <w:rFonts w:asciiTheme="minorHAnsi" w:hAnsiTheme="minorHAnsi"/>
          <w:bCs/>
          <w:color w:val="000000" w:themeColor="text1"/>
        </w:rPr>
        <w:t>Earn as you learn (teacher) pathways</w:t>
      </w:r>
    </w:p>
    <w:p w14:paraId="0C9A7581" w14:textId="536CC5AB" w:rsidR="00756EB9" w:rsidRDefault="00756EB9" w:rsidP="00756EB9">
      <w:r>
        <w:t>Earn as you learn (teacher) pathways involve ITE students being paid to teach unsupervised during the period of study. Theoretical ITE content is generally front-loaded, with paid teaching occurring later in the course. Students will typically be assigned less than a full teaching load, to allow for time to complete their studies / access supports such as coaching and mentoring. Teach for Australia</w:t>
      </w:r>
      <w:r w:rsidR="008C45DF">
        <w:t>’s Leadership Development Program</w:t>
      </w:r>
      <w:r>
        <w:t xml:space="preserve"> is the longest running earn as you learn teacher pathway in Australia, but such programs also exist at a state level employing different regulatory approaches. Enabling students to earn money for teaching while studying addresses the loss of income barrier for part of the degree, while also contributing to teacher supply. </w:t>
      </w:r>
    </w:p>
    <w:p w14:paraId="1C9A999A" w14:textId="0B47B9BB" w:rsidR="00756EB9" w:rsidRPr="003F42F9" w:rsidRDefault="00756EB9" w:rsidP="00756EB9">
      <w:pPr>
        <w:rPr>
          <w:i/>
          <w:iCs/>
          <w:u w:val="single"/>
        </w:rPr>
      </w:pPr>
      <w:r w:rsidRPr="003F42F9">
        <w:rPr>
          <w:i/>
          <w:iCs/>
          <w:u w:val="single"/>
        </w:rPr>
        <w:t>Case study: Queensland, Turn to Teaching</w:t>
      </w:r>
    </w:p>
    <w:p w14:paraId="72036436" w14:textId="77777777" w:rsidR="00756EB9" w:rsidRDefault="00756EB9" w:rsidP="00756EB9">
      <w:pPr>
        <w:rPr>
          <w:i/>
          <w:iCs/>
        </w:rPr>
      </w:pPr>
      <w:r w:rsidRPr="003F42F9">
        <w:rPr>
          <w:i/>
          <w:iCs/>
        </w:rPr>
        <w:t>The Queensland Government</w:t>
      </w:r>
      <w:r>
        <w:rPr>
          <w:i/>
          <w:iCs/>
        </w:rPr>
        <w:t>-</w:t>
      </w:r>
      <w:r w:rsidRPr="003F42F9">
        <w:rPr>
          <w:i/>
          <w:iCs/>
        </w:rPr>
        <w:t xml:space="preserve">funded Turn to Teaching program targets cohorts in high-demand subjects and locations. It provides students with a $20,000 scholarship during the first year, as well as benefits for relocation / </w:t>
      </w:r>
      <w:r>
        <w:rPr>
          <w:i/>
          <w:iCs/>
        </w:rPr>
        <w:t xml:space="preserve">working in </w:t>
      </w:r>
      <w:r w:rsidRPr="003F42F9">
        <w:rPr>
          <w:i/>
          <w:iCs/>
        </w:rPr>
        <w:t>rural and remote location</w:t>
      </w:r>
      <w:r>
        <w:rPr>
          <w:i/>
          <w:iCs/>
        </w:rPr>
        <w:t>s</w:t>
      </w:r>
      <w:r w:rsidRPr="003F42F9">
        <w:rPr>
          <w:i/>
          <w:iCs/>
        </w:rPr>
        <w:t xml:space="preserve">. During the second year, students gain Permission </w:t>
      </w:r>
      <w:r w:rsidRPr="3C24D916">
        <w:rPr>
          <w:i/>
          <w:iCs/>
        </w:rPr>
        <w:t>to</w:t>
      </w:r>
      <w:r w:rsidRPr="003F42F9">
        <w:rPr>
          <w:i/>
          <w:iCs/>
        </w:rPr>
        <w:t xml:space="preserve"> Teach and </w:t>
      </w:r>
      <w:r>
        <w:rPr>
          <w:i/>
          <w:iCs/>
        </w:rPr>
        <w:t xml:space="preserve">teach a </w:t>
      </w:r>
      <w:r w:rsidRPr="003F42F9">
        <w:rPr>
          <w:i/>
          <w:iCs/>
        </w:rPr>
        <w:t>50 per cent load</w:t>
      </w:r>
      <w:r>
        <w:rPr>
          <w:i/>
          <w:iCs/>
        </w:rPr>
        <w:t xml:space="preserve"> in a government school</w:t>
      </w:r>
      <w:r w:rsidRPr="003F42F9">
        <w:rPr>
          <w:i/>
          <w:iCs/>
        </w:rPr>
        <w:t xml:space="preserve">. Students have access to a supervising teacher, mentor and community of practice to share their experiences. Following the program, students receive an offer of permanent employment as a teacher in a priority subject area or region. </w:t>
      </w:r>
    </w:p>
    <w:p w14:paraId="7C805DF1" w14:textId="77777777" w:rsidR="0065099B" w:rsidRPr="003F42F9" w:rsidRDefault="0065099B" w:rsidP="00756EB9">
      <w:pPr>
        <w:rPr>
          <w:i/>
          <w:iCs/>
        </w:rPr>
      </w:pPr>
    </w:p>
    <w:p w14:paraId="07285F76" w14:textId="77777777" w:rsidR="00756EB9" w:rsidRPr="004E1898" w:rsidRDefault="00756EB9" w:rsidP="004E1898">
      <w:pPr>
        <w:pStyle w:val="NoSpacing"/>
        <w:rPr>
          <w:b/>
          <w:bCs/>
        </w:rPr>
      </w:pPr>
      <w:r w:rsidRPr="004E1898">
        <w:rPr>
          <w:b/>
          <w:bCs/>
        </w:rPr>
        <w:lastRenderedPageBreak/>
        <w:t>Earn as you learn (paraprofessional) pathways</w:t>
      </w:r>
    </w:p>
    <w:p w14:paraId="32E2DE73" w14:textId="678AFBEE" w:rsidR="00756EB9" w:rsidRDefault="00756EB9" w:rsidP="00756EB9">
      <w:r>
        <w:t xml:space="preserve">In other employment-based pathways, ITE students work </w:t>
      </w:r>
      <w:r w:rsidR="001E7E9E">
        <w:t xml:space="preserve">part-time </w:t>
      </w:r>
      <w:r>
        <w:t>as a paraprofessional in a school while completing their course</w:t>
      </w:r>
      <w:r w:rsidR="00C37387">
        <w:t xml:space="preserve"> (</w:t>
      </w:r>
      <w:proofErr w:type="gramStart"/>
      <w:r w:rsidR="00C37387">
        <w:t>e.g.</w:t>
      </w:r>
      <w:proofErr w:type="gramEnd"/>
      <w:r w:rsidR="00C37387">
        <w:t xml:space="preserve"> teacher aide; education support officer)</w:t>
      </w:r>
      <w:r>
        <w:t>. These pathways also enable career changers to earn money while studying, in a role that is relevant to the ITE qualification. However, employing students as paraprofessionals, rather than teachers, means they are not taking on the significant responsibility of teaching unsupervised before they finish their studies. Because of this, such employment can also start from an earlier point during the course (i.e. there is less pressure to front-load theoretical content so that the student is prepared to teach unsupervised).</w:t>
      </w:r>
    </w:p>
    <w:p w14:paraId="447CBE8A" w14:textId="77777777" w:rsidR="00756EB9" w:rsidRPr="00217729" w:rsidRDefault="00756EB9" w:rsidP="00756EB9">
      <w:pPr>
        <w:rPr>
          <w:i/>
          <w:iCs/>
          <w:u w:val="single"/>
        </w:rPr>
      </w:pPr>
      <w:r w:rsidRPr="00217729">
        <w:rPr>
          <w:i/>
          <w:iCs/>
          <w:u w:val="single"/>
        </w:rPr>
        <w:t>Case Study: NSW Mid-Career Transition to Teaching – employment based</w:t>
      </w:r>
    </w:p>
    <w:p w14:paraId="00A68908" w14:textId="4DCB2755" w:rsidR="00756EB9" w:rsidRPr="00217729" w:rsidRDefault="00756EB9" w:rsidP="00756EB9">
      <w:pPr>
        <w:rPr>
          <w:i/>
          <w:iCs/>
        </w:rPr>
      </w:pPr>
      <w:r w:rsidRPr="00217729">
        <w:rPr>
          <w:i/>
          <w:iCs/>
        </w:rPr>
        <w:t xml:space="preserve">The NSW State Government funds the Mid-Career Transition to Teaching program to encourage </w:t>
      </w:r>
      <w:r w:rsidR="006118DA">
        <w:rPr>
          <w:i/>
          <w:iCs/>
        </w:rPr>
        <w:t>mid-career cohorts</w:t>
      </w:r>
      <w:r w:rsidRPr="00217729">
        <w:rPr>
          <w:i/>
          <w:iCs/>
        </w:rPr>
        <w:t xml:space="preserve"> to enter teaching. It is explicitly targeted at professionals with significant prior experience in high demand subject areas such as maths, science and technology and applied sciences, and who might be willing to work in rural and remote areas. Participants receive: </w:t>
      </w:r>
    </w:p>
    <w:p w14:paraId="0FE3A3AB" w14:textId="77777777" w:rsidR="00756EB9" w:rsidRPr="00217729" w:rsidRDefault="00756EB9">
      <w:pPr>
        <w:pStyle w:val="ListParagraph"/>
        <w:numPr>
          <w:ilvl w:val="0"/>
          <w:numId w:val="17"/>
        </w:numPr>
        <w:rPr>
          <w:i/>
          <w:iCs/>
        </w:rPr>
      </w:pPr>
      <w:r w:rsidRPr="00217729">
        <w:rPr>
          <w:i/>
          <w:iCs/>
        </w:rPr>
        <w:t>A $30,000 training allowance and $30,000 study completion bonus</w:t>
      </w:r>
    </w:p>
    <w:p w14:paraId="2B0A8D99" w14:textId="77777777" w:rsidR="00756EB9" w:rsidRPr="00217729" w:rsidRDefault="00756EB9">
      <w:pPr>
        <w:pStyle w:val="ListParagraph"/>
        <w:numPr>
          <w:ilvl w:val="0"/>
          <w:numId w:val="17"/>
        </w:numPr>
        <w:rPr>
          <w:i/>
          <w:iCs/>
        </w:rPr>
      </w:pPr>
      <w:r w:rsidRPr="00217729">
        <w:rPr>
          <w:i/>
          <w:iCs/>
        </w:rPr>
        <w:t>Paid part-time employment as a paraprofessional while studying</w:t>
      </w:r>
    </w:p>
    <w:p w14:paraId="4EE6E795" w14:textId="77777777" w:rsidR="00756EB9" w:rsidRPr="00217729" w:rsidRDefault="00756EB9">
      <w:pPr>
        <w:pStyle w:val="ListParagraph"/>
        <w:numPr>
          <w:ilvl w:val="0"/>
          <w:numId w:val="17"/>
        </w:numPr>
        <w:rPr>
          <w:i/>
          <w:iCs/>
        </w:rPr>
      </w:pPr>
      <w:r w:rsidRPr="00217729">
        <w:rPr>
          <w:i/>
          <w:iCs/>
        </w:rPr>
        <w:t>A permanent teaching position in a NSW public school upon completion of studies</w:t>
      </w:r>
    </w:p>
    <w:p w14:paraId="0B4F1BC8" w14:textId="77777777" w:rsidR="00756EB9" w:rsidRDefault="00756EB9" w:rsidP="00756EB9">
      <w:pPr>
        <w:rPr>
          <w:i/>
          <w:iCs/>
        </w:rPr>
      </w:pPr>
      <w:r w:rsidRPr="00217729">
        <w:rPr>
          <w:i/>
          <w:iCs/>
        </w:rPr>
        <w:t>Candidates are also supported by a school-based mentor, receive executive mentoring and membership in the In-School Initial Teacher Education (INSITE) Network.</w:t>
      </w:r>
    </w:p>
    <w:p w14:paraId="3DEED67C" w14:textId="40E1485F" w:rsidR="00986D05" w:rsidRDefault="00986D05" w:rsidP="00281D66">
      <w:pPr>
        <w:pStyle w:val="Heading3"/>
      </w:pPr>
      <w:r>
        <w:t xml:space="preserve">Barriers to </w:t>
      </w:r>
      <w:r w:rsidR="007A23E9">
        <w:t>delivering mid-career pathways</w:t>
      </w:r>
    </w:p>
    <w:p w14:paraId="5E97F215" w14:textId="77777777" w:rsidR="00157D4A" w:rsidRDefault="00C04708" w:rsidP="00D5473C">
      <w:pPr>
        <w:pStyle w:val="NoSpacing"/>
        <w:rPr>
          <w:lang w:val="en-GB"/>
        </w:rPr>
      </w:pPr>
      <w:r>
        <w:rPr>
          <w:lang w:val="en-GB"/>
        </w:rPr>
        <w:t>ITE providers and governments face barriers in implementing bespoke mid-career pathways</w:t>
      </w:r>
      <w:r w:rsidR="00157D4A">
        <w:rPr>
          <w:lang w:val="en-GB"/>
        </w:rPr>
        <w:t>:</w:t>
      </w:r>
    </w:p>
    <w:p w14:paraId="372691E8" w14:textId="5D1F6AB5" w:rsidR="000446DA" w:rsidRDefault="00C04708" w:rsidP="00157D4A">
      <w:pPr>
        <w:pStyle w:val="NoSpacing"/>
        <w:numPr>
          <w:ilvl w:val="0"/>
          <w:numId w:val="49"/>
        </w:numPr>
        <w:rPr>
          <w:lang w:val="en-GB"/>
        </w:rPr>
      </w:pPr>
      <w:r>
        <w:rPr>
          <w:lang w:val="en-GB"/>
        </w:rPr>
        <w:t xml:space="preserve">For ITE providers, it can involve changing delivery methods (including </w:t>
      </w:r>
      <w:r w:rsidR="00EC15A0">
        <w:rPr>
          <w:lang w:val="en-GB"/>
        </w:rPr>
        <w:t xml:space="preserve">scheduling that may be different from other courses; and, in the case of employment-based pathways, the need to build or deepen </w:t>
      </w:r>
      <w:r w:rsidR="00776677">
        <w:rPr>
          <w:lang w:val="en-GB"/>
        </w:rPr>
        <w:t>school partnerships).</w:t>
      </w:r>
      <w:r w:rsidR="00EC15A0">
        <w:rPr>
          <w:lang w:val="en-GB"/>
        </w:rPr>
        <w:t xml:space="preserve"> </w:t>
      </w:r>
    </w:p>
    <w:p w14:paraId="62C54700" w14:textId="77777777" w:rsidR="00465F5D" w:rsidRDefault="00EC15A0" w:rsidP="00157D4A">
      <w:pPr>
        <w:pStyle w:val="NoSpacing"/>
        <w:numPr>
          <w:ilvl w:val="0"/>
          <w:numId w:val="49"/>
        </w:numPr>
        <w:rPr>
          <w:lang w:val="en-GB"/>
        </w:rPr>
      </w:pPr>
      <w:r>
        <w:rPr>
          <w:lang w:val="en-GB"/>
        </w:rPr>
        <w:t>Mid-career pathways are costly to deliver (</w:t>
      </w:r>
      <w:proofErr w:type="gramStart"/>
      <w:r>
        <w:rPr>
          <w:lang w:val="en-GB"/>
        </w:rPr>
        <w:t>e.g.</w:t>
      </w:r>
      <w:proofErr w:type="gramEnd"/>
      <w:r>
        <w:rPr>
          <w:lang w:val="en-GB"/>
        </w:rPr>
        <w:t xml:space="preserve"> paying financial incentives; increasing administrative costs). </w:t>
      </w:r>
    </w:p>
    <w:p w14:paraId="4F6515F9" w14:textId="77777777" w:rsidR="00A1744B" w:rsidRDefault="00EC15A0" w:rsidP="00157D4A">
      <w:pPr>
        <w:pStyle w:val="NoSpacing"/>
        <w:numPr>
          <w:ilvl w:val="0"/>
          <w:numId w:val="49"/>
        </w:numPr>
        <w:rPr>
          <w:lang w:val="en-GB"/>
        </w:rPr>
      </w:pPr>
      <w:r>
        <w:rPr>
          <w:lang w:val="en-GB"/>
        </w:rPr>
        <w:t>Developing innovative models can require</w:t>
      </w:r>
      <w:r w:rsidR="00B56868">
        <w:rPr>
          <w:lang w:val="en-GB"/>
        </w:rPr>
        <w:t xml:space="preserve"> </w:t>
      </w:r>
      <w:r w:rsidR="004101B2">
        <w:rPr>
          <w:lang w:val="en-GB"/>
        </w:rPr>
        <w:t>deep engagement with regulators to ensure programs are still eligible to receive necessary approvals.</w:t>
      </w:r>
    </w:p>
    <w:p w14:paraId="459C0544" w14:textId="77777777" w:rsidR="00A1744B" w:rsidRDefault="00EC15A0" w:rsidP="00157D4A">
      <w:pPr>
        <w:pStyle w:val="NoSpacing"/>
        <w:numPr>
          <w:ilvl w:val="0"/>
          <w:numId w:val="49"/>
        </w:numPr>
        <w:rPr>
          <w:lang w:val="en-GB"/>
        </w:rPr>
      </w:pPr>
      <w:r>
        <w:rPr>
          <w:lang w:val="en-GB"/>
        </w:rPr>
        <w:t>As mid-career pathways are still in their infancy in Australia</w:t>
      </w:r>
      <w:r w:rsidR="004101B2">
        <w:rPr>
          <w:lang w:val="en-GB"/>
        </w:rPr>
        <w:t xml:space="preserve">, and many approaches are still being piloted, providers and governments </w:t>
      </w:r>
      <w:r w:rsidR="00602CA9">
        <w:rPr>
          <w:lang w:val="en-GB"/>
        </w:rPr>
        <w:t>do not have an extensive evidence base to draw on for project design / to ensure quality is maintained.</w:t>
      </w:r>
      <w:r w:rsidR="004101B2">
        <w:rPr>
          <w:lang w:val="en-GB"/>
        </w:rPr>
        <w:t xml:space="preserve"> </w:t>
      </w:r>
    </w:p>
    <w:p w14:paraId="32651FB2" w14:textId="14AFBC83" w:rsidR="00147012" w:rsidRDefault="00602CA9" w:rsidP="00281D66">
      <w:pPr>
        <w:pStyle w:val="NoSpacing"/>
        <w:numPr>
          <w:ilvl w:val="0"/>
          <w:numId w:val="49"/>
        </w:numPr>
        <w:rPr>
          <w:lang w:val="en-GB"/>
        </w:rPr>
      </w:pPr>
      <w:r>
        <w:rPr>
          <w:lang w:val="en-GB"/>
        </w:rPr>
        <w:t>There is often no guarantee that there will be sufficient demand to fill all places made available (</w:t>
      </w:r>
      <w:r w:rsidR="00AC47F1">
        <w:rPr>
          <w:lang w:val="en-GB"/>
        </w:rPr>
        <w:t>stakeholder told us that numerous</w:t>
      </w:r>
      <w:r>
        <w:rPr>
          <w:lang w:val="en-GB"/>
        </w:rPr>
        <w:t xml:space="preserve"> bespoke mid-career programs having lower than expected uptake by students). </w:t>
      </w:r>
      <w:r w:rsidR="00EC15A0">
        <w:rPr>
          <w:lang w:val="en-GB"/>
        </w:rPr>
        <w:t xml:space="preserve"> </w:t>
      </w:r>
    </w:p>
    <w:p w14:paraId="74E97EF3" w14:textId="22FE8743" w:rsidR="00756EB9" w:rsidRDefault="00756EB9" w:rsidP="009C089E">
      <w:pPr>
        <w:pStyle w:val="Heading1"/>
      </w:pPr>
      <w:r>
        <w:lastRenderedPageBreak/>
        <w:t>System opportunities to support high quality mid-career pathways</w:t>
      </w:r>
    </w:p>
    <w:p w14:paraId="0AE8C8D7" w14:textId="02B44452" w:rsidR="00E40300" w:rsidRPr="00E40300" w:rsidRDefault="00B557C1" w:rsidP="001F6FDB">
      <w:pPr>
        <w:pStyle w:val="Heading2"/>
      </w:pPr>
      <w:r>
        <w:t>System-level coordination and regulatory changes</w:t>
      </w:r>
    </w:p>
    <w:p w14:paraId="6ACD393C" w14:textId="37551F5E" w:rsidR="00CA7B3A" w:rsidRDefault="00F55673" w:rsidP="00756EB9">
      <w:r>
        <w:t xml:space="preserve">There are several </w:t>
      </w:r>
      <w:r w:rsidR="002466F9">
        <w:t xml:space="preserve">opportunities to </w:t>
      </w:r>
      <w:r w:rsidR="00EC7D55">
        <w:t xml:space="preserve">support </w:t>
      </w:r>
      <w:r>
        <w:t>m</w:t>
      </w:r>
      <w:r w:rsidR="00CA7B3A">
        <w:t xml:space="preserve">id-career pathways by </w:t>
      </w:r>
      <w:r w:rsidR="00DF36E8">
        <w:t>changing regulatory settings</w:t>
      </w:r>
      <w:r w:rsidR="00EC7D55">
        <w:t xml:space="preserve"> </w:t>
      </w:r>
      <w:r w:rsidR="002C3EB4">
        <w:t>and working</w:t>
      </w:r>
      <w:r w:rsidR="008A4892">
        <w:t xml:space="preserve"> to bring stakeholders together at a system level</w:t>
      </w:r>
      <w:r w:rsidR="00DF36E8">
        <w:t>.</w:t>
      </w:r>
      <w:r w:rsidR="00CA7B3A">
        <w:t xml:space="preserve"> </w:t>
      </w:r>
    </w:p>
    <w:p w14:paraId="68D09A06" w14:textId="73D7DC55" w:rsidR="00756EB9" w:rsidRPr="00791AAA" w:rsidRDefault="00756EB9" w:rsidP="00756EB9">
      <w:r>
        <w:t xml:space="preserve">Current teacher shortages have led to renewed interest in reintroducing a one-year </w:t>
      </w:r>
      <w:r w:rsidR="00CF3F1C">
        <w:t>qualification</w:t>
      </w:r>
      <w:r>
        <w:t xml:space="preserve"> for at least some </w:t>
      </w:r>
      <w:r w:rsidR="005430AB">
        <w:br/>
      </w:r>
      <w:r>
        <w:t>mid-career candidates. The federal Productivity Commission has recommended that jurisdictions reintroduce a one-year qualification for secondary teaching for ‘well-qualified individuals in subject areas of high demand’.</w:t>
      </w:r>
      <w:r>
        <w:rPr>
          <w:rStyle w:val="FootnoteReference"/>
        </w:rPr>
        <w:footnoteReference w:id="17"/>
      </w:r>
      <w:r>
        <w:t xml:space="preserve"> </w:t>
      </w:r>
      <w:r w:rsidR="0040012D">
        <w:t xml:space="preserve">Efforts to </w:t>
      </w:r>
      <w:r w:rsidR="003C5356">
        <w:t xml:space="preserve">further </w:t>
      </w:r>
      <w:r w:rsidR="0040012D">
        <w:t xml:space="preserve">shorten the length of ITE courses </w:t>
      </w:r>
      <w:r w:rsidR="003C5356">
        <w:t>(</w:t>
      </w:r>
      <w:proofErr w:type="gramStart"/>
      <w:r w:rsidR="003C5356">
        <w:t>i.e.</w:t>
      </w:r>
      <w:proofErr w:type="gramEnd"/>
      <w:r w:rsidR="003C5356">
        <w:t xml:space="preserve"> to less than 1</w:t>
      </w:r>
      <w:r w:rsidR="003E0C7E">
        <w:t>.3</w:t>
      </w:r>
      <w:r w:rsidR="003C5356">
        <w:t xml:space="preserve"> </w:t>
      </w:r>
      <w:r w:rsidR="003E0C7E">
        <w:t>year</w:t>
      </w:r>
      <w:r w:rsidR="003C5356">
        <w:t>s)</w:t>
      </w:r>
      <w:r w:rsidR="006C27FF">
        <w:t xml:space="preserve"> would likely </w:t>
      </w:r>
      <w:r w:rsidR="007B3E0D">
        <w:t>require changes to regulatory st</w:t>
      </w:r>
      <w:r w:rsidR="00776CDA">
        <w:t xml:space="preserve">andards (e.g. </w:t>
      </w:r>
      <w:r w:rsidR="00932147">
        <w:t xml:space="preserve">changes to </w:t>
      </w:r>
      <w:r w:rsidR="00776CDA">
        <w:t xml:space="preserve">the </w:t>
      </w:r>
      <w:r w:rsidR="00776CDA" w:rsidRPr="00932147">
        <w:rPr>
          <w:i/>
        </w:rPr>
        <w:t>AITSL Accreditation of Initial Teacher Education Programs in Australia: Standards and Procedures</w:t>
      </w:r>
      <w:r w:rsidR="00791AAA">
        <w:rPr>
          <w:i/>
          <w:iCs/>
        </w:rPr>
        <w:t>)</w:t>
      </w:r>
      <w:r w:rsidR="00791AAA">
        <w:t xml:space="preserve">. This may involve trade-off decisions </w:t>
      </w:r>
      <w:r w:rsidR="009B382A">
        <w:t xml:space="preserve">about </w:t>
      </w:r>
      <w:r w:rsidR="00E63C22">
        <w:t xml:space="preserve">what content those courses focus on. </w:t>
      </w:r>
    </w:p>
    <w:p w14:paraId="55924658" w14:textId="77777777" w:rsidR="00D603CB" w:rsidRDefault="00053371" w:rsidP="00122BA5">
      <w:r>
        <w:t xml:space="preserve">Changes to regulatory standards could also facilitate a more systematised, widespread approach to </w:t>
      </w:r>
      <w:r w:rsidR="00C95AD3">
        <w:t>allowing students to t</w:t>
      </w:r>
      <w:r w:rsidR="00F03320">
        <w:t xml:space="preserve">ake up paid teaching roles during their ITE courses. </w:t>
      </w:r>
      <w:r w:rsidR="005E63E1" w:rsidRPr="004B6D0D">
        <w:t xml:space="preserve">Several jurisdictions already have arrangements allowing students to be paid to teach unsupervised during their ITE </w:t>
      </w:r>
      <w:r w:rsidR="009470B5">
        <w:t>course</w:t>
      </w:r>
      <w:r w:rsidR="005E63E1" w:rsidRPr="004B6D0D">
        <w:t xml:space="preserve"> (</w:t>
      </w:r>
      <w:proofErr w:type="gramStart"/>
      <w:r w:rsidR="005E63E1" w:rsidRPr="004B6D0D">
        <w:t>e.g.</w:t>
      </w:r>
      <w:proofErr w:type="gramEnd"/>
      <w:r w:rsidR="005E63E1" w:rsidRPr="004B6D0D">
        <w:t xml:space="preserve"> through Permission to Teach arrangements in Victoria; Limited Authority to Teach in Tasmania). Jurisdictions have put these arrangements in place to address workforce shortages</w:t>
      </w:r>
      <w:r w:rsidR="005E63E1">
        <w:t xml:space="preserve"> or support specific pathways such as TFA. Implementing such arrangements can involve</w:t>
      </w:r>
      <w:r w:rsidR="00D603CB">
        <w:t>:</w:t>
      </w:r>
    </w:p>
    <w:p w14:paraId="0C6E5DD5" w14:textId="294596E7" w:rsidR="006A45CD" w:rsidRDefault="00D603CB" w:rsidP="00D603CB">
      <w:pPr>
        <w:pStyle w:val="ListParagraph"/>
        <w:numPr>
          <w:ilvl w:val="0"/>
          <w:numId w:val="35"/>
        </w:numPr>
      </w:pPr>
      <w:r>
        <w:t>E</w:t>
      </w:r>
      <w:r w:rsidR="005E63E1">
        <w:t xml:space="preserve">ngaging with </w:t>
      </w:r>
      <w:r w:rsidR="000A5707">
        <w:t>regulators</w:t>
      </w:r>
      <w:r w:rsidR="005E63E1">
        <w:t xml:space="preserve"> to secure approvals, or coming up with practical workarounds to ensure students are able to fulfil their ITE requirements (</w:t>
      </w:r>
      <w:proofErr w:type="gramStart"/>
      <w:r w:rsidR="005E63E1">
        <w:t>e.g.</w:t>
      </w:r>
      <w:proofErr w:type="gramEnd"/>
      <w:r w:rsidR="005E63E1">
        <w:t xml:space="preserve"> finding ways for paid teaching placements to be counted towards practicum requirements to fulfil course requirements).</w:t>
      </w:r>
    </w:p>
    <w:p w14:paraId="16FB987C" w14:textId="430E9897" w:rsidR="00122BA5" w:rsidRDefault="00122BA5" w:rsidP="00D603CB">
      <w:pPr>
        <w:pStyle w:val="ListParagraph"/>
        <w:numPr>
          <w:ilvl w:val="0"/>
          <w:numId w:val="35"/>
        </w:numPr>
      </w:pPr>
      <w:r>
        <w:t xml:space="preserve">If system stakeholders agree there is value in allowing ITE students to undertake paid teaching work during their course, </w:t>
      </w:r>
      <w:r w:rsidR="000A5707">
        <w:t>working</w:t>
      </w:r>
      <w:r>
        <w:t xml:space="preserve"> with regulators and across jurisdictions</w:t>
      </w:r>
      <w:r w:rsidR="000A5707">
        <w:t xml:space="preserve"> to:</w:t>
      </w:r>
    </w:p>
    <w:p w14:paraId="5268816F" w14:textId="127C4176" w:rsidR="00C81D48" w:rsidRDefault="0019667B" w:rsidP="006A45CD">
      <w:pPr>
        <w:pStyle w:val="ListParagraph"/>
        <w:numPr>
          <w:ilvl w:val="1"/>
          <w:numId w:val="35"/>
        </w:numPr>
      </w:pPr>
      <w:r>
        <w:t>Set</w:t>
      </w:r>
      <w:r w:rsidR="00C81D48">
        <w:t xml:space="preserve"> clear standards for ITE students teaching unsupervised in a paid capacity</w:t>
      </w:r>
      <w:r w:rsidR="00F35491">
        <w:t>.</w:t>
      </w:r>
    </w:p>
    <w:p w14:paraId="4D159308" w14:textId="41C213F9" w:rsidR="00122BA5" w:rsidRDefault="00122BA5" w:rsidP="006A45CD">
      <w:pPr>
        <w:pStyle w:val="ListParagraph"/>
        <w:numPr>
          <w:ilvl w:val="1"/>
          <w:numId w:val="35"/>
        </w:numPr>
      </w:pPr>
      <w:r>
        <w:t>Promot</w:t>
      </w:r>
      <w:r w:rsidR="0019667B">
        <w:t>e</w:t>
      </w:r>
      <w:r>
        <w:t xml:space="preserve"> consistency between jurisdictions</w:t>
      </w:r>
      <w:r w:rsidR="00F35491">
        <w:t>.</w:t>
      </w:r>
    </w:p>
    <w:p w14:paraId="1E33469D" w14:textId="4D850B27" w:rsidR="009E4E07" w:rsidRDefault="00122BA5" w:rsidP="006A45CD">
      <w:pPr>
        <w:pStyle w:val="ListParagraph"/>
        <w:numPr>
          <w:ilvl w:val="1"/>
          <w:numId w:val="35"/>
        </w:numPr>
      </w:pPr>
      <w:r>
        <w:t>Develop safeguards to ens</w:t>
      </w:r>
      <w:r w:rsidR="0019667B">
        <w:t>ure quality is maintained</w:t>
      </w:r>
      <w:r w:rsidR="00F35491">
        <w:t>.</w:t>
      </w:r>
    </w:p>
    <w:p w14:paraId="77D61DE6" w14:textId="77777777" w:rsidR="008A0CBD" w:rsidRDefault="0051716D" w:rsidP="000F1B07">
      <w:r>
        <w:t>There are also system opportunities</w:t>
      </w:r>
      <w:r w:rsidR="000F1B07">
        <w:t xml:space="preserve"> to embed employment opportunities for </w:t>
      </w:r>
      <w:r w:rsidR="006118DA">
        <w:t>mid-career cohorts</w:t>
      </w:r>
      <w:r w:rsidR="000F1B07">
        <w:t>. For example, government could work with other system-level actors (</w:t>
      </w:r>
      <w:proofErr w:type="gramStart"/>
      <w:r w:rsidR="000F1B07">
        <w:t>e.g.</w:t>
      </w:r>
      <w:proofErr w:type="gramEnd"/>
      <w:r w:rsidR="000F1B07">
        <w:t xml:space="preserve"> ITE providers and employers) to</w:t>
      </w:r>
      <w:r w:rsidR="008A0CBD">
        <w:t>:</w:t>
      </w:r>
    </w:p>
    <w:p w14:paraId="1CDAAB7E" w14:textId="7963CD20" w:rsidR="000F1B07" w:rsidRDefault="008A0CBD" w:rsidP="008A0CBD">
      <w:pPr>
        <w:pStyle w:val="ListParagraph"/>
        <w:numPr>
          <w:ilvl w:val="0"/>
          <w:numId w:val="34"/>
        </w:numPr>
      </w:pPr>
      <w:r>
        <w:t>D</w:t>
      </w:r>
      <w:r w:rsidR="000F1B07">
        <w:t>evelop mechanisms to enable placements of ITE students as paraprofessionals / teachers outside the context of bespoke programs. This could involve:</w:t>
      </w:r>
    </w:p>
    <w:p w14:paraId="0BF1C869" w14:textId="77777777" w:rsidR="000F1B07" w:rsidRDefault="000F1B07" w:rsidP="00DA26D9">
      <w:pPr>
        <w:pStyle w:val="ListParagraph"/>
        <w:numPr>
          <w:ilvl w:val="1"/>
          <w:numId w:val="34"/>
        </w:numPr>
      </w:pPr>
      <w:r>
        <w:t>Developing MOUs between ITE providers and employers to set clear expectations around how to support ITE students taking on such roles during their ITE courses</w:t>
      </w:r>
    </w:p>
    <w:p w14:paraId="1651FB52" w14:textId="77777777" w:rsidR="00DA26D9" w:rsidRDefault="000F1B07" w:rsidP="000F1B07">
      <w:pPr>
        <w:pStyle w:val="ListParagraph"/>
        <w:numPr>
          <w:ilvl w:val="1"/>
          <w:numId w:val="34"/>
        </w:numPr>
      </w:pPr>
      <w:r>
        <w:t>Streamlining application processes for matching ITE students to paraprofessional / teacher roles</w:t>
      </w:r>
      <w:r w:rsidR="00DA26D9">
        <w:t>\</w:t>
      </w:r>
    </w:p>
    <w:p w14:paraId="600FD201" w14:textId="7AC64A0A" w:rsidR="000F1B07" w:rsidRDefault="00DA26D9" w:rsidP="00DA26D9">
      <w:pPr>
        <w:pStyle w:val="ListParagraph"/>
        <w:numPr>
          <w:ilvl w:val="0"/>
          <w:numId w:val="34"/>
        </w:numPr>
      </w:pPr>
      <w:r>
        <w:lastRenderedPageBreak/>
        <w:t>O</w:t>
      </w:r>
      <w:r w:rsidR="000F1B07">
        <w:t xml:space="preserve">ffer </w:t>
      </w:r>
      <w:r w:rsidR="006118DA">
        <w:t>mid-career cohorts</w:t>
      </w:r>
      <w:r w:rsidR="000F1B07">
        <w:t xml:space="preserve"> employment guarantees in a broader range of contexts (</w:t>
      </w:r>
      <w:proofErr w:type="gramStart"/>
      <w:r w:rsidR="000F1B07">
        <w:t>e.g.</w:t>
      </w:r>
      <w:proofErr w:type="gramEnd"/>
      <w:r w:rsidR="000F1B07">
        <w:t xml:space="preserve"> outside the context of bespoke programs). </w:t>
      </w:r>
    </w:p>
    <w:p w14:paraId="704EF9F3" w14:textId="77777777" w:rsidR="0016294C" w:rsidRDefault="0016294C" w:rsidP="0016294C">
      <w:pPr>
        <w:pStyle w:val="Heading2"/>
      </w:pPr>
      <w:r>
        <w:t>Developing and disseminating evidence, best-practice guidance and supports</w:t>
      </w:r>
    </w:p>
    <w:p w14:paraId="20D7E51A" w14:textId="3998687C" w:rsidR="0016294C" w:rsidRDefault="0016294C" w:rsidP="0016294C">
      <w:r>
        <w:t>Mid-career programs are in their infancy and evidence on their effectiveness is still emerging. T</w:t>
      </w:r>
      <w:r w:rsidR="006338BA">
        <w:t xml:space="preserve">here is a system opportunity </w:t>
      </w:r>
      <w:r>
        <w:t>to enable the development of future mid-career pathways by:</w:t>
      </w:r>
    </w:p>
    <w:p w14:paraId="157CD9CF" w14:textId="77777777" w:rsidR="0016294C" w:rsidRDefault="0016294C" w:rsidP="0016294C">
      <w:pPr>
        <w:pStyle w:val="ListParagraph"/>
        <w:numPr>
          <w:ilvl w:val="0"/>
          <w:numId w:val="36"/>
        </w:numPr>
      </w:pPr>
      <w:r>
        <w:t>Identifying the critical features for successful design and implementation, based on understanding of the major barriers.</w:t>
      </w:r>
    </w:p>
    <w:p w14:paraId="71BC98FD" w14:textId="77777777" w:rsidR="0016294C" w:rsidRDefault="0016294C" w:rsidP="0016294C">
      <w:pPr>
        <w:pStyle w:val="ListParagraph"/>
        <w:numPr>
          <w:ilvl w:val="0"/>
          <w:numId w:val="36"/>
        </w:numPr>
      </w:pPr>
      <w:r>
        <w:t>Identifying and testing promising features that may not currently have a solid evidence base (</w:t>
      </w:r>
      <w:proofErr w:type="gramStart"/>
      <w:r>
        <w:t>e.g.</w:t>
      </w:r>
      <w:proofErr w:type="gramEnd"/>
      <w:r>
        <w:t xml:space="preserve"> pilots).</w:t>
      </w:r>
    </w:p>
    <w:p w14:paraId="6B4603FD" w14:textId="77777777" w:rsidR="0016294C" w:rsidRDefault="0016294C" w:rsidP="0016294C">
      <w:pPr>
        <w:pStyle w:val="ListParagraph"/>
        <w:numPr>
          <w:ilvl w:val="0"/>
          <w:numId w:val="36"/>
        </w:numPr>
      </w:pPr>
      <w:r>
        <w:t>Identifying the specific mid-career cohorts and whether critical features need to be adjusted for context.</w:t>
      </w:r>
    </w:p>
    <w:p w14:paraId="7813F845" w14:textId="77777777" w:rsidR="0016294C" w:rsidRDefault="0016294C" w:rsidP="0016294C">
      <w:r>
        <w:t xml:space="preserve">This role could involve supporting research into the effectiveness of mid-career programs; disseminating evidence; and developing best-practice guidance. </w:t>
      </w:r>
    </w:p>
    <w:p w14:paraId="3128568B" w14:textId="77777777" w:rsidR="0016294C" w:rsidRDefault="0016294C" w:rsidP="0016294C">
      <w:r>
        <w:t>There is also an opportunity to strengthen school-level supports. This could include:</w:t>
      </w:r>
    </w:p>
    <w:p w14:paraId="738CE67D" w14:textId="77777777" w:rsidR="0016294C" w:rsidRDefault="0016294C" w:rsidP="0016294C">
      <w:pPr>
        <w:pStyle w:val="ListParagraph"/>
        <w:numPr>
          <w:ilvl w:val="0"/>
          <w:numId w:val="43"/>
        </w:numPr>
      </w:pPr>
      <w:r>
        <w:t>Supports specifically aimed at mid-career teachers, such as peer mentoring; and encouraging the development of specific communities of practice.</w:t>
      </w:r>
    </w:p>
    <w:p w14:paraId="14A3F086" w14:textId="2E49D7C9" w:rsidR="0016294C" w:rsidRDefault="0016294C" w:rsidP="0016294C">
      <w:pPr>
        <w:pStyle w:val="ListParagraph"/>
        <w:numPr>
          <w:ilvl w:val="0"/>
          <w:numId w:val="43"/>
        </w:numPr>
      </w:pPr>
      <w:r>
        <w:t>Supports aimed at other in-school actors, such as</w:t>
      </w:r>
      <w:r w:rsidRPr="00FF2384">
        <w:t xml:space="preserve"> </w:t>
      </w:r>
      <w:r>
        <w:t>training for principals and other school leaders on creating a school culture that values diversity and seeks to maximise benefits from teachers’ previous professional background (</w:t>
      </w:r>
      <w:proofErr w:type="gramStart"/>
      <w:r>
        <w:t>e.g.</w:t>
      </w:r>
      <w:proofErr w:type="gramEnd"/>
      <w:r>
        <w:t xml:space="preserve"> mid-career individuals with business backgrounds contributing to effective school administration; or providing career advice to secondary students that is informed by real world experience).</w:t>
      </w:r>
    </w:p>
    <w:p w14:paraId="23C6F066" w14:textId="69E516AE" w:rsidR="009E4E07" w:rsidRDefault="008B4647" w:rsidP="001F6FDB">
      <w:pPr>
        <w:pStyle w:val="Heading2"/>
      </w:pPr>
      <w:r>
        <w:t>Promoting</w:t>
      </w:r>
      <w:r w:rsidR="009D48A7">
        <w:t xml:space="preserve"> innovation in program targeting and delivery</w:t>
      </w:r>
    </w:p>
    <w:p w14:paraId="22C136A2" w14:textId="6A8320A9" w:rsidR="001226B9" w:rsidRDefault="00781470" w:rsidP="0048435A">
      <w:pPr>
        <w:tabs>
          <w:tab w:val="left" w:pos="7089"/>
        </w:tabs>
      </w:pPr>
      <w:r>
        <w:t xml:space="preserve">There is a system level opportunity to </w:t>
      </w:r>
      <w:r w:rsidR="00BD665F">
        <w:t>encourage</w:t>
      </w:r>
      <w:r w:rsidR="00115F19">
        <w:t xml:space="preserve"> further</w:t>
      </w:r>
      <w:r w:rsidR="00BD665F">
        <w:t xml:space="preserve"> innovation in how ITE courses are targeted and delivered</w:t>
      </w:r>
      <w:r w:rsidR="007F1721">
        <w:t xml:space="preserve"> to </w:t>
      </w:r>
      <w:r w:rsidR="006118DA">
        <w:t>mid-career cohorts</w:t>
      </w:r>
      <w:r w:rsidR="00CE01F8">
        <w:t xml:space="preserve">. </w:t>
      </w:r>
    </w:p>
    <w:p w14:paraId="17201983" w14:textId="3976EF25" w:rsidR="00F973E1" w:rsidRDefault="009D48A7" w:rsidP="0048435A">
      <w:pPr>
        <w:tabs>
          <w:tab w:val="left" w:pos="7089"/>
        </w:tabs>
      </w:pPr>
      <w:r>
        <w:t xml:space="preserve">This could involve exploring options for coordinated </w:t>
      </w:r>
      <w:r w:rsidR="00B026FA">
        <w:t xml:space="preserve">system </w:t>
      </w:r>
      <w:r>
        <w:t xml:space="preserve">efforts </w:t>
      </w:r>
      <w:r w:rsidR="000E36A7">
        <w:t>on</w:t>
      </w:r>
      <w:r>
        <w:t xml:space="preserve"> </w:t>
      </w:r>
      <w:r w:rsidR="004525AD">
        <w:t xml:space="preserve">ITE </w:t>
      </w:r>
      <w:r w:rsidR="000E36A7">
        <w:t>promotion</w:t>
      </w:r>
      <w:r w:rsidR="004525AD">
        <w:t xml:space="preserve"> – for example</w:t>
      </w:r>
      <w:r w:rsidR="00F973E1">
        <w:t>:</w:t>
      </w:r>
    </w:p>
    <w:p w14:paraId="0A5626A8" w14:textId="77777777" w:rsidR="008B4647" w:rsidRDefault="008B4647" w:rsidP="008B4647">
      <w:pPr>
        <w:pStyle w:val="ListParagraph"/>
        <w:numPr>
          <w:ilvl w:val="0"/>
          <w:numId w:val="38"/>
        </w:numPr>
        <w:tabs>
          <w:tab w:val="left" w:pos="7089"/>
        </w:tabs>
      </w:pPr>
      <w:r>
        <w:t>Better highlighting career progression opportunities in teaching, including:</w:t>
      </w:r>
    </w:p>
    <w:p w14:paraId="2615B195" w14:textId="77777777" w:rsidR="008B4647" w:rsidRPr="0013482F" w:rsidRDefault="008B4647" w:rsidP="00D7122B">
      <w:pPr>
        <w:pStyle w:val="ListParagraph"/>
        <w:numPr>
          <w:ilvl w:val="1"/>
          <w:numId w:val="34"/>
        </w:numPr>
      </w:pPr>
      <w:r>
        <w:t>Taking on school leadership roles (e.g. head of department)</w:t>
      </w:r>
    </w:p>
    <w:p w14:paraId="294A5D99" w14:textId="77777777" w:rsidR="008B4647" w:rsidRPr="0013482F" w:rsidRDefault="008B4647" w:rsidP="00D7122B">
      <w:pPr>
        <w:pStyle w:val="ListParagraph"/>
        <w:numPr>
          <w:ilvl w:val="1"/>
          <w:numId w:val="34"/>
        </w:numPr>
      </w:pPr>
      <w:r>
        <w:t>Progression to HALT status</w:t>
      </w:r>
    </w:p>
    <w:p w14:paraId="24F58077" w14:textId="77777777" w:rsidR="008B4647" w:rsidRPr="0013482F" w:rsidRDefault="008B4647" w:rsidP="00D7122B">
      <w:pPr>
        <w:pStyle w:val="ListParagraph"/>
        <w:numPr>
          <w:ilvl w:val="1"/>
          <w:numId w:val="34"/>
        </w:numPr>
      </w:pPr>
      <w:r>
        <w:t>Joint appointments with ITE providers</w:t>
      </w:r>
    </w:p>
    <w:p w14:paraId="794E0C73" w14:textId="77777777" w:rsidR="008B4647" w:rsidRDefault="008B4647" w:rsidP="00D7122B">
      <w:pPr>
        <w:pStyle w:val="ListParagraph"/>
        <w:numPr>
          <w:ilvl w:val="1"/>
          <w:numId w:val="34"/>
        </w:numPr>
      </w:pPr>
      <w:r>
        <w:t>Expert secondments to education departments</w:t>
      </w:r>
    </w:p>
    <w:p w14:paraId="6A711750" w14:textId="4F65AE55" w:rsidR="00F973E1" w:rsidRDefault="00CE3FA7">
      <w:pPr>
        <w:pStyle w:val="ListParagraph"/>
        <w:numPr>
          <w:ilvl w:val="0"/>
          <w:numId w:val="38"/>
        </w:numPr>
        <w:tabs>
          <w:tab w:val="left" w:pos="7089"/>
        </w:tabs>
      </w:pPr>
      <w:r>
        <w:t xml:space="preserve">Better promoting schools as dynamic workplaces where mid-career changes can experience agency, intellectual </w:t>
      </w:r>
      <w:proofErr w:type="gramStart"/>
      <w:r>
        <w:t>challenge</w:t>
      </w:r>
      <w:proofErr w:type="gramEnd"/>
      <w:r>
        <w:t xml:space="preserve"> and development of deep expertise</w:t>
      </w:r>
      <w:r w:rsidR="008B4647">
        <w:t>.</w:t>
      </w:r>
    </w:p>
    <w:p w14:paraId="2FCA5BAD" w14:textId="5158399A" w:rsidR="00756EB9" w:rsidRDefault="00756EB9" w:rsidP="00756EB9">
      <w:r>
        <w:t xml:space="preserve">There may </w:t>
      </w:r>
      <w:r w:rsidR="00A57E43">
        <w:t xml:space="preserve">also </w:t>
      </w:r>
      <w:r>
        <w:t xml:space="preserve">be opportunities to </w:t>
      </w:r>
      <w:r w:rsidR="00CE3FA7">
        <w:t xml:space="preserve">encourage ITE providers to </w:t>
      </w:r>
      <w:r w:rsidR="00274808">
        <w:t>explore greater innovation</w:t>
      </w:r>
      <w:r>
        <w:t xml:space="preserve"> </w:t>
      </w:r>
      <w:proofErr w:type="gramStart"/>
      <w:r>
        <w:t>with regard to</w:t>
      </w:r>
      <w:proofErr w:type="gramEnd"/>
      <w:r w:rsidR="0028101D">
        <w:t xml:space="preserve"> the following</w:t>
      </w:r>
      <w:r>
        <w:t>:</w:t>
      </w:r>
      <w:r w:rsidR="00CC70CA">
        <w:rPr>
          <w:rStyle w:val="FootnoteReference"/>
        </w:rPr>
        <w:footnoteReference w:id="18"/>
      </w:r>
      <w:r>
        <w:t xml:space="preserve"> </w:t>
      </w:r>
    </w:p>
    <w:p w14:paraId="012BC4E8" w14:textId="72586705" w:rsidR="00756EB9" w:rsidRDefault="00756EB9">
      <w:pPr>
        <w:pStyle w:val="ListParagraph"/>
        <w:numPr>
          <w:ilvl w:val="0"/>
          <w:numId w:val="27"/>
        </w:numPr>
      </w:pPr>
      <w:r w:rsidRPr="792B23B6">
        <w:rPr>
          <w:i/>
          <w:iCs/>
        </w:rPr>
        <w:lastRenderedPageBreak/>
        <w:t>Course delivery</w:t>
      </w:r>
      <w:r w:rsidR="00611E74">
        <w:rPr>
          <w:i/>
          <w:iCs/>
        </w:rPr>
        <w:t xml:space="preserve">, </w:t>
      </w:r>
      <w:proofErr w:type="gramStart"/>
      <w:r w:rsidRPr="792B23B6">
        <w:rPr>
          <w:i/>
          <w:iCs/>
        </w:rPr>
        <w:t>duration</w:t>
      </w:r>
      <w:proofErr w:type="gramEnd"/>
      <w:r w:rsidR="00611E74">
        <w:rPr>
          <w:i/>
          <w:iCs/>
        </w:rPr>
        <w:t xml:space="preserve"> and flexibility</w:t>
      </w:r>
      <w:r>
        <w:t xml:space="preserve"> – e.g., maximising use of online</w:t>
      </w:r>
      <w:r w:rsidR="002B7AD7">
        <w:t xml:space="preserve">, hybrid and part-time </w:t>
      </w:r>
      <w:r>
        <w:t xml:space="preserve">arrangements; scheduling of intensive courses at convenient times for priority cohorts; integrating professional experience requirements into employment-based pathways. </w:t>
      </w:r>
    </w:p>
    <w:p w14:paraId="072DAF95" w14:textId="494BF3EF" w:rsidR="00756EB9" w:rsidRDefault="00146E9E">
      <w:pPr>
        <w:pStyle w:val="ListParagraph"/>
        <w:numPr>
          <w:ilvl w:val="0"/>
          <w:numId w:val="27"/>
        </w:numPr>
      </w:pPr>
      <w:r>
        <w:rPr>
          <w:i/>
        </w:rPr>
        <w:t>Encouraging</w:t>
      </w:r>
      <w:r w:rsidR="00756EB9" w:rsidRPr="6923BA38">
        <w:rPr>
          <w:i/>
        </w:rPr>
        <w:t xml:space="preserve"> the transition to teaching</w:t>
      </w:r>
      <w:r w:rsidR="00756EB9">
        <w:t xml:space="preserve"> – </w:t>
      </w:r>
      <w:proofErr w:type="gramStart"/>
      <w:r w:rsidR="00756EB9">
        <w:t>e.g.</w:t>
      </w:r>
      <w:proofErr w:type="gramEnd"/>
      <w:r w:rsidR="00756EB9">
        <w:t xml:space="preserve"> providing bridging courses that transition into ITE degrees to allow students to ‘try before you buy’; opportunities for observation</w:t>
      </w:r>
      <w:r w:rsidR="00282D20">
        <w:t xml:space="preserve"> and classroom simulation prior to ITE. </w:t>
      </w:r>
    </w:p>
    <w:p w14:paraId="5F3027C7" w14:textId="6D33E308" w:rsidR="008340D1" w:rsidRDefault="00DC102D" w:rsidP="001F6FDB">
      <w:pPr>
        <w:pStyle w:val="Heading2"/>
      </w:pPr>
      <w:r>
        <w:t xml:space="preserve">Prioritising </w:t>
      </w:r>
      <w:r w:rsidR="00B620D8">
        <w:t>mid-career</w:t>
      </w:r>
      <w:r>
        <w:t xml:space="preserve"> pathways through other government levers</w:t>
      </w:r>
    </w:p>
    <w:p w14:paraId="219C55F6" w14:textId="31577F86" w:rsidR="00A84D58" w:rsidRDefault="00CF194C" w:rsidP="00A84D58">
      <w:pPr>
        <w:tabs>
          <w:tab w:val="left" w:pos="7089"/>
        </w:tabs>
      </w:pPr>
      <w:r>
        <w:t>T</w:t>
      </w:r>
      <w:r w:rsidR="001F0580">
        <w:t xml:space="preserve">here may be opportunities </w:t>
      </w:r>
      <w:r w:rsidR="005A52FC">
        <w:t xml:space="preserve">to </w:t>
      </w:r>
      <w:r w:rsidR="001F0580">
        <w:t xml:space="preserve">prioritise </w:t>
      </w:r>
      <w:r>
        <w:t>mid-career pathways</w:t>
      </w:r>
      <w:r w:rsidR="007C7BBB">
        <w:t xml:space="preserve"> through other government levers. This could involve</w:t>
      </w:r>
      <w:r w:rsidR="00A84D58">
        <w:t xml:space="preserve"> </w:t>
      </w:r>
      <w:r>
        <w:t xml:space="preserve">indirect </w:t>
      </w:r>
      <w:r w:rsidR="00A84D58">
        <w:t xml:space="preserve">financial incentives that government could offer to </w:t>
      </w:r>
      <w:r w:rsidR="006118DA">
        <w:t>mid-career cohorts</w:t>
      </w:r>
      <w:r w:rsidR="004C5271">
        <w:t xml:space="preserve"> entering teaching</w:t>
      </w:r>
      <w:r w:rsidR="00A84D58">
        <w:t xml:space="preserve">, </w:t>
      </w:r>
      <w:r>
        <w:t>for example:</w:t>
      </w:r>
    </w:p>
    <w:p w14:paraId="059A8627" w14:textId="377F2E1E" w:rsidR="00A84D58" w:rsidRDefault="00A84D58" w:rsidP="00A84D58">
      <w:pPr>
        <w:pStyle w:val="ListParagraph"/>
        <w:numPr>
          <w:ilvl w:val="0"/>
          <w:numId w:val="14"/>
        </w:numPr>
        <w:tabs>
          <w:tab w:val="left" w:pos="7089"/>
        </w:tabs>
      </w:pPr>
      <w:r>
        <w:t xml:space="preserve">Increasing the HELP loan limit amount for students studying ITE leading to registration (as is currently the case for students studying medicine, </w:t>
      </w:r>
      <w:proofErr w:type="gramStart"/>
      <w:r>
        <w:t>dentistry</w:t>
      </w:r>
      <w:proofErr w:type="gramEnd"/>
      <w:r>
        <w:t xml:space="preserve"> and veterinary science)</w:t>
      </w:r>
      <w:r w:rsidR="00CF2B2A">
        <w:t>.</w:t>
      </w:r>
    </w:p>
    <w:p w14:paraId="14193A19" w14:textId="2518F6D6" w:rsidR="00A84D58" w:rsidRDefault="00A84D58" w:rsidP="00A84D58">
      <w:pPr>
        <w:pStyle w:val="ListParagraph"/>
        <w:numPr>
          <w:ilvl w:val="0"/>
          <w:numId w:val="14"/>
        </w:numPr>
        <w:tabs>
          <w:tab w:val="left" w:pos="7089"/>
        </w:tabs>
      </w:pPr>
      <w:r>
        <w:t xml:space="preserve">Waivers of indexation on accumulated HELP debt and reduction of accumulated HELP debt for </w:t>
      </w:r>
      <w:r w:rsidR="006118DA">
        <w:t xml:space="preserve">mid-career </w:t>
      </w:r>
      <w:r w:rsidR="00B46299">
        <w:t>individual</w:t>
      </w:r>
      <w:r w:rsidR="006118DA">
        <w:t>s</w:t>
      </w:r>
      <w:r>
        <w:t xml:space="preserve"> who teach </w:t>
      </w:r>
      <w:proofErr w:type="gramStart"/>
      <w:r>
        <w:t>in particular schools</w:t>
      </w:r>
      <w:proofErr w:type="gramEnd"/>
      <w:r>
        <w:t xml:space="preserve"> (currently issued for teachers in very remote areas of Australia)</w:t>
      </w:r>
      <w:r w:rsidR="00CF2B2A">
        <w:t>.</w:t>
      </w:r>
    </w:p>
    <w:p w14:paraId="26D67FD7" w14:textId="49C24396" w:rsidR="00A84D58" w:rsidRDefault="00A84D58" w:rsidP="00A84D58">
      <w:pPr>
        <w:pStyle w:val="ListParagraph"/>
        <w:numPr>
          <w:ilvl w:val="0"/>
          <w:numId w:val="14"/>
        </w:numPr>
        <w:tabs>
          <w:tab w:val="left" w:pos="7089"/>
        </w:tabs>
      </w:pPr>
      <w:r>
        <w:t xml:space="preserve">Supporting ITE students by making changes to </w:t>
      </w:r>
      <w:proofErr w:type="spellStart"/>
      <w:r>
        <w:t>Austudy</w:t>
      </w:r>
      <w:proofErr w:type="spellEnd"/>
      <w:r w:rsidR="00CF2B2A">
        <w:t>.</w:t>
      </w:r>
    </w:p>
    <w:p w14:paraId="16FA3C74" w14:textId="55303A54" w:rsidR="00A84D58" w:rsidRPr="005D299E" w:rsidRDefault="00A84D58" w:rsidP="00A84D58">
      <w:r w:rsidRPr="005D299E">
        <w:t xml:space="preserve">There may also be opportunities for government to </w:t>
      </w:r>
      <w:r w:rsidR="003608E5">
        <w:t xml:space="preserve">work with other departments to </w:t>
      </w:r>
      <w:r w:rsidRPr="005D299E">
        <w:t>promote teaching pathways to specific groups through employment-related levers</w:t>
      </w:r>
      <w:r>
        <w:t>, for example:</w:t>
      </w:r>
    </w:p>
    <w:p w14:paraId="18EDF27A" w14:textId="77777777" w:rsidR="00A84D58" w:rsidRPr="005D299E" w:rsidRDefault="00A84D58">
      <w:pPr>
        <w:pStyle w:val="ListParagraph"/>
        <w:numPr>
          <w:ilvl w:val="0"/>
          <w:numId w:val="26"/>
        </w:numPr>
      </w:pPr>
      <w:r w:rsidRPr="005D299E">
        <w:t xml:space="preserve">Support programs aimed at enabling members of the Australian Defence Force to transition to civilian careers; </w:t>
      </w:r>
    </w:p>
    <w:p w14:paraId="3B0B594C" w14:textId="2F113462" w:rsidR="00A84D58" w:rsidRDefault="00A84D58">
      <w:pPr>
        <w:pStyle w:val="ListParagraph"/>
        <w:numPr>
          <w:ilvl w:val="0"/>
          <w:numId w:val="26"/>
        </w:numPr>
      </w:pPr>
      <w:r w:rsidRPr="005D299E">
        <w:t xml:space="preserve">Government employment initiatives (e.g. retraining initiatives in areas undergoing economic transition). </w:t>
      </w:r>
    </w:p>
    <w:p w14:paraId="13C7CA9E" w14:textId="77777777" w:rsidR="0016294C" w:rsidRDefault="0016294C" w:rsidP="0016294C">
      <w:pPr>
        <w:pStyle w:val="ListParagraph"/>
        <w:numPr>
          <w:ilvl w:val="0"/>
          <w:numId w:val="0"/>
        </w:numPr>
        <w:ind w:left="770"/>
      </w:pPr>
    </w:p>
    <w:p w14:paraId="55BB2A3C" w14:textId="77777777" w:rsidR="008340D1" w:rsidRDefault="008340D1" w:rsidP="008340D1">
      <w:pPr>
        <w:pBdr>
          <w:top w:val="single" w:sz="4" w:space="1" w:color="auto"/>
          <w:left w:val="single" w:sz="4" w:space="4" w:color="auto"/>
          <w:bottom w:val="single" w:sz="4" w:space="1" w:color="auto"/>
          <w:right w:val="single" w:sz="4" w:space="4" w:color="auto"/>
        </w:pBdr>
        <w:rPr>
          <w:i/>
          <w:iCs/>
        </w:rPr>
      </w:pPr>
      <w:r>
        <w:rPr>
          <w:i/>
          <w:iCs/>
        </w:rPr>
        <w:t>Stakeholder consultation questions:</w:t>
      </w:r>
    </w:p>
    <w:p w14:paraId="08501DC3" w14:textId="77777777" w:rsidR="008340D1" w:rsidRDefault="008340D1" w:rsidP="008340D1">
      <w:pPr>
        <w:pStyle w:val="ListParagraph"/>
        <w:numPr>
          <w:ilvl w:val="0"/>
          <w:numId w:val="13"/>
        </w:numPr>
        <w:pBdr>
          <w:top w:val="single" w:sz="4" w:space="1" w:color="auto"/>
          <w:left w:val="single" w:sz="4" w:space="4" w:color="auto"/>
          <w:bottom w:val="single" w:sz="4" w:space="1" w:color="auto"/>
          <w:right w:val="single" w:sz="4" w:space="4" w:color="auto"/>
        </w:pBdr>
      </w:pPr>
      <w:r>
        <w:t>Which of these opportunities should the sector prioritise? Why?</w:t>
      </w:r>
    </w:p>
    <w:p w14:paraId="04926CC7" w14:textId="77777777" w:rsidR="008340D1" w:rsidRDefault="008340D1" w:rsidP="008340D1">
      <w:pPr>
        <w:pStyle w:val="ListParagraph"/>
        <w:numPr>
          <w:ilvl w:val="0"/>
          <w:numId w:val="13"/>
        </w:numPr>
        <w:pBdr>
          <w:top w:val="single" w:sz="4" w:space="1" w:color="auto"/>
          <w:left w:val="single" w:sz="4" w:space="4" w:color="auto"/>
          <w:bottom w:val="single" w:sz="4" w:space="1" w:color="auto"/>
          <w:right w:val="single" w:sz="4" w:space="4" w:color="auto"/>
        </w:pBdr>
      </w:pPr>
      <w:r>
        <w:t xml:space="preserve">What are the risks associated with these opportunities? </w:t>
      </w:r>
    </w:p>
    <w:p w14:paraId="1304A120" w14:textId="22EF08B3" w:rsidR="004A6F48" w:rsidRPr="008340D1" w:rsidRDefault="008340D1" w:rsidP="008340D1">
      <w:pPr>
        <w:pStyle w:val="ListParagraph"/>
        <w:numPr>
          <w:ilvl w:val="0"/>
          <w:numId w:val="13"/>
        </w:numPr>
        <w:pBdr>
          <w:top w:val="single" w:sz="4" w:space="1" w:color="auto"/>
          <w:left w:val="single" w:sz="4" w:space="4" w:color="auto"/>
          <w:bottom w:val="single" w:sz="4" w:space="1" w:color="auto"/>
          <w:right w:val="single" w:sz="4" w:space="4" w:color="auto"/>
        </w:pBdr>
      </w:pPr>
      <w:r>
        <w:t>Are there other opportunities we haven’t identified?</w:t>
      </w:r>
    </w:p>
    <w:p w14:paraId="1A7CCA5F" w14:textId="77777777" w:rsidR="0016294C" w:rsidRDefault="0016294C" w:rsidP="0016294C">
      <w:pPr>
        <w:pStyle w:val="Heading1"/>
        <w:numPr>
          <w:ilvl w:val="0"/>
          <w:numId w:val="0"/>
        </w:numPr>
        <w:ind w:left="567"/>
      </w:pPr>
    </w:p>
    <w:p w14:paraId="64A01AC3" w14:textId="72B4BB27" w:rsidR="00756EB9" w:rsidRDefault="00756EB9" w:rsidP="009C089E">
      <w:pPr>
        <w:pStyle w:val="Heading1"/>
      </w:pPr>
      <w:r>
        <w:t xml:space="preserve">Key considerations to support mid-career pathways </w:t>
      </w:r>
    </w:p>
    <w:p w14:paraId="603D505C" w14:textId="18E17098" w:rsidR="00262B2D" w:rsidRDefault="00262B2D" w:rsidP="00C4262B">
      <w:pPr>
        <w:pStyle w:val="Heading2"/>
      </w:pPr>
      <w:r>
        <w:t>Cost</w:t>
      </w:r>
      <w:r w:rsidR="00402262">
        <w:t xml:space="preserve"> and supply</w:t>
      </w:r>
    </w:p>
    <w:p w14:paraId="1EBF001F" w14:textId="7F2DD3FA" w:rsidR="00756EB9" w:rsidRDefault="005E492D" w:rsidP="00756EB9">
      <w:pPr>
        <w:rPr>
          <w:color w:val="auto"/>
        </w:rPr>
      </w:pPr>
      <w:r>
        <w:rPr>
          <w:color w:val="auto"/>
        </w:rPr>
        <w:t>Supporting mid-career pathways can involve different levels of cost:</w:t>
      </w:r>
    </w:p>
    <w:p w14:paraId="2074712B" w14:textId="6A237ADC" w:rsidR="00756EB9" w:rsidRDefault="00756EB9">
      <w:pPr>
        <w:pStyle w:val="ListParagraph"/>
        <w:numPr>
          <w:ilvl w:val="0"/>
          <w:numId w:val="30"/>
        </w:numPr>
        <w:rPr>
          <w:color w:val="auto"/>
        </w:rPr>
      </w:pPr>
      <w:r>
        <w:rPr>
          <w:color w:val="auto"/>
        </w:rPr>
        <w:t xml:space="preserve">Bespoke programs that involve intensive support and financial incentives </w:t>
      </w:r>
      <w:r w:rsidR="00067FAF">
        <w:rPr>
          <w:color w:val="auto"/>
        </w:rPr>
        <w:t xml:space="preserve">for students </w:t>
      </w:r>
      <w:r>
        <w:rPr>
          <w:color w:val="auto"/>
        </w:rPr>
        <w:t>are costly to deliver</w:t>
      </w:r>
      <w:r w:rsidR="000104D4">
        <w:rPr>
          <w:color w:val="auto"/>
        </w:rPr>
        <w:t>.</w:t>
      </w:r>
    </w:p>
    <w:p w14:paraId="2E26322C" w14:textId="0524A2E0" w:rsidR="00756EB9" w:rsidRDefault="00756EB9">
      <w:pPr>
        <w:pStyle w:val="ListParagraph"/>
        <w:numPr>
          <w:ilvl w:val="0"/>
          <w:numId w:val="30"/>
        </w:numPr>
        <w:rPr>
          <w:color w:val="auto"/>
        </w:rPr>
      </w:pPr>
      <w:r>
        <w:rPr>
          <w:color w:val="auto"/>
        </w:rPr>
        <w:lastRenderedPageBreak/>
        <w:t xml:space="preserve">Some </w:t>
      </w:r>
      <w:r w:rsidR="002A58A8">
        <w:rPr>
          <w:color w:val="auto"/>
        </w:rPr>
        <w:t xml:space="preserve">general </w:t>
      </w:r>
      <w:r>
        <w:rPr>
          <w:color w:val="auto"/>
        </w:rPr>
        <w:t xml:space="preserve">system-level </w:t>
      </w:r>
      <w:r w:rsidR="00AD74B6">
        <w:rPr>
          <w:color w:val="auto"/>
        </w:rPr>
        <w:t>opportunitie</w:t>
      </w:r>
      <w:r>
        <w:rPr>
          <w:color w:val="auto"/>
        </w:rPr>
        <w:t>s</w:t>
      </w:r>
      <w:r w:rsidR="00160100">
        <w:rPr>
          <w:color w:val="auto"/>
        </w:rPr>
        <w:t xml:space="preserve"> </w:t>
      </w:r>
      <w:r w:rsidR="00503829">
        <w:rPr>
          <w:color w:val="auto"/>
        </w:rPr>
        <w:t xml:space="preserve">to support mid-career pathways </w:t>
      </w:r>
      <w:r w:rsidR="00BD4407">
        <w:rPr>
          <w:color w:val="auto"/>
        </w:rPr>
        <w:t>may have lower costs</w:t>
      </w:r>
      <w:r w:rsidR="00160100">
        <w:rPr>
          <w:color w:val="auto"/>
        </w:rPr>
        <w:t xml:space="preserve"> </w:t>
      </w:r>
      <w:r w:rsidR="00B176CB">
        <w:rPr>
          <w:color w:val="auto"/>
        </w:rPr>
        <w:t>(</w:t>
      </w:r>
      <w:proofErr w:type="gramStart"/>
      <w:r w:rsidR="00160100">
        <w:rPr>
          <w:color w:val="auto"/>
        </w:rPr>
        <w:t>e.g.</w:t>
      </w:r>
      <w:proofErr w:type="gramEnd"/>
      <w:r w:rsidR="00160100">
        <w:rPr>
          <w:color w:val="auto"/>
        </w:rPr>
        <w:t xml:space="preserve"> the costs of </w:t>
      </w:r>
      <w:r w:rsidR="00C85141">
        <w:rPr>
          <w:color w:val="auto"/>
        </w:rPr>
        <w:t>administering</w:t>
      </w:r>
      <w:r w:rsidR="00160100">
        <w:rPr>
          <w:color w:val="auto"/>
        </w:rPr>
        <w:t xml:space="preserve"> MOUs</w:t>
      </w:r>
      <w:r w:rsidR="00BD4407">
        <w:rPr>
          <w:color w:val="auto"/>
        </w:rPr>
        <w:t xml:space="preserve">) or higher costs (e.g. </w:t>
      </w:r>
      <w:r w:rsidR="00B176CB">
        <w:rPr>
          <w:color w:val="auto"/>
        </w:rPr>
        <w:t xml:space="preserve">costs to </w:t>
      </w:r>
      <w:r w:rsidR="007A2060">
        <w:rPr>
          <w:color w:val="auto"/>
        </w:rPr>
        <w:t>departments of education</w:t>
      </w:r>
      <w:r w:rsidR="00B176CB">
        <w:rPr>
          <w:color w:val="auto"/>
        </w:rPr>
        <w:t xml:space="preserve"> in issuing employment guarantees</w:t>
      </w:r>
      <w:r w:rsidR="00160100">
        <w:rPr>
          <w:color w:val="auto"/>
        </w:rPr>
        <w:t>)</w:t>
      </w:r>
      <w:r w:rsidR="007A2060">
        <w:rPr>
          <w:color w:val="auto"/>
        </w:rPr>
        <w:t>.</w:t>
      </w:r>
      <w:r w:rsidR="00160100">
        <w:rPr>
          <w:color w:val="auto"/>
        </w:rPr>
        <w:t xml:space="preserve"> </w:t>
      </w:r>
    </w:p>
    <w:p w14:paraId="10BBC166" w14:textId="3A671434" w:rsidR="00756EB9" w:rsidRPr="00C46DB6" w:rsidRDefault="00D72803" w:rsidP="00756EB9">
      <w:pPr>
        <w:rPr>
          <w:color w:val="auto"/>
        </w:rPr>
      </w:pPr>
      <w:r>
        <w:rPr>
          <w:color w:val="auto"/>
        </w:rPr>
        <w:t>These different costs have implications</w:t>
      </w:r>
      <w:r w:rsidR="0088333B">
        <w:rPr>
          <w:color w:val="auto"/>
        </w:rPr>
        <w:t xml:space="preserve"> for the size of the cohort </w:t>
      </w:r>
      <w:r w:rsidR="00C07F80">
        <w:rPr>
          <w:color w:val="auto"/>
        </w:rPr>
        <w:t>a pathway</w:t>
      </w:r>
      <w:r w:rsidR="0088333B">
        <w:rPr>
          <w:color w:val="auto"/>
        </w:rPr>
        <w:t xml:space="preserve"> can target</w:t>
      </w:r>
      <w:r w:rsidR="00C07F80">
        <w:rPr>
          <w:color w:val="auto"/>
        </w:rPr>
        <w:t xml:space="preserve"> and its ability to contribute to addressing supply issues.</w:t>
      </w:r>
      <w:r w:rsidR="0088333B">
        <w:rPr>
          <w:color w:val="auto"/>
        </w:rPr>
        <w:t xml:space="preserve"> </w:t>
      </w:r>
      <w:r w:rsidR="009735D5">
        <w:t xml:space="preserve">Less expensive system-level interventions have the potential to impact larger numbers of students. </w:t>
      </w:r>
      <w:r w:rsidR="009735D5">
        <w:rPr>
          <w:color w:val="auto"/>
        </w:rPr>
        <w:t>Conversely, a</w:t>
      </w:r>
      <w:r w:rsidR="00756EB9" w:rsidRPr="50AADA64">
        <w:rPr>
          <w:color w:val="auto"/>
        </w:rPr>
        <w:t>s</w:t>
      </w:r>
      <w:r w:rsidR="00756EB9">
        <w:rPr>
          <w:color w:val="auto"/>
        </w:rPr>
        <w:t xml:space="preserve"> bespoke programs are expensive, government</w:t>
      </w:r>
      <w:r w:rsidR="00807D47">
        <w:rPr>
          <w:color w:val="auto"/>
        </w:rPr>
        <w:t>s</w:t>
      </w:r>
      <w:r w:rsidR="008D5B25">
        <w:rPr>
          <w:color w:val="auto"/>
        </w:rPr>
        <w:t xml:space="preserve"> </w:t>
      </w:r>
      <w:r w:rsidR="00756EB9">
        <w:rPr>
          <w:color w:val="auto"/>
        </w:rPr>
        <w:t xml:space="preserve">generally target them at </w:t>
      </w:r>
      <w:r w:rsidR="00934F2C">
        <w:rPr>
          <w:color w:val="auto"/>
        </w:rPr>
        <w:t xml:space="preserve">smaller, </w:t>
      </w:r>
      <w:r w:rsidR="00756EB9">
        <w:rPr>
          <w:color w:val="auto"/>
        </w:rPr>
        <w:t xml:space="preserve">specific groups </w:t>
      </w:r>
      <w:r w:rsidR="00A03333">
        <w:rPr>
          <w:color w:val="auto"/>
        </w:rPr>
        <w:t xml:space="preserve">in line with </w:t>
      </w:r>
      <w:r w:rsidR="00756EB9">
        <w:rPr>
          <w:color w:val="auto"/>
        </w:rPr>
        <w:t xml:space="preserve">specific eligibility criteria. </w:t>
      </w:r>
      <w:r w:rsidR="00756EB9">
        <w:t xml:space="preserve">This targeting may: </w:t>
      </w:r>
    </w:p>
    <w:p w14:paraId="0DF70E4B" w14:textId="4D00CC1A" w:rsidR="00756EB9" w:rsidRDefault="00756EB9">
      <w:pPr>
        <w:pStyle w:val="ListParagraph"/>
        <w:numPr>
          <w:ilvl w:val="0"/>
          <w:numId w:val="31"/>
        </w:numPr>
      </w:pPr>
      <w:r>
        <w:t>Align with a particular policy objective (e.g. programs aimed at increasing the diversity of the workforce by increasing the number of Aboriginal and Torres Strait Islander or Culturally and Linguistically Diverse teachers)</w:t>
      </w:r>
    </w:p>
    <w:p w14:paraId="59EC1B7A" w14:textId="210C32E1" w:rsidR="00756EB9" w:rsidRDefault="00756EB9">
      <w:pPr>
        <w:pStyle w:val="ListParagraph"/>
        <w:numPr>
          <w:ilvl w:val="0"/>
          <w:numId w:val="31"/>
        </w:numPr>
      </w:pPr>
      <w:r>
        <w:t xml:space="preserve">Address particular supply issues (e.g. programs aimed at individuals willing to teach in regional areas; and those wishing to teach in high-demand subjects such as STEM). </w:t>
      </w:r>
    </w:p>
    <w:p w14:paraId="51E6F50E" w14:textId="77777777" w:rsidR="00756EB9" w:rsidRDefault="00756EB9" w:rsidP="00756EB9">
      <w:r>
        <w:t>The QITE review endorsed the approach of targeting incentives at particular priority cohorts.</w:t>
      </w:r>
      <w:r>
        <w:rPr>
          <w:rStyle w:val="FootnoteReference"/>
        </w:rPr>
        <w:footnoteReference w:id="19"/>
      </w:r>
      <w:r>
        <w:t xml:space="preserve"> Ensuring targeted programs are designed appropriately for the intended cohort and context is key to uptake and effectiveness.</w:t>
      </w:r>
    </w:p>
    <w:p w14:paraId="1CA423AF" w14:textId="1FBA9BB6" w:rsidR="00E55D0C" w:rsidRDefault="00E55D0C" w:rsidP="00C4262B">
      <w:pPr>
        <w:pStyle w:val="Heading2"/>
      </w:pPr>
      <w:r>
        <w:t>Quality and supply</w:t>
      </w:r>
    </w:p>
    <w:p w14:paraId="7905F499" w14:textId="606D26E9" w:rsidR="00C1382A" w:rsidRDefault="00C1382A" w:rsidP="00C1382A">
      <w:pPr>
        <w:tabs>
          <w:tab w:val="left" w:pos="7089"/>
        </w:tabs>
      </w:pPr>
      <w:r>
        <w:t>Differing costs between mid-career pathways means there is a</w:t>
      </w:r>
      <w:r w:rsidR="00262B2D">
        <w:t>lso a</w:t>
      </w:r>
      <w:r>
        <w:t xml:space="preserve"> </w:t>
      </w:r>
      <w:r w:rsidR="00C6575E">
        <w:t>trade-off</w:t>
      </w:r>
      <w:r>
        <w:t xml:space="preserve"> between quality and supply:</w:t>
      </w:r>
    </w:p>
    <w:p w14:paraId="74859C32" w14:textId="4080BC01" w:rsidR="00C1382A" w:rsidRDefault="00C1382A">
      <w:pPr>
        <w:pStyle w:val="ListParagraph"/>
        <w:numPr>
          <w:ilvl w:val="0"/>
          <w:numId w:val="32"/>
        </w:numPr>
        <w:tabs>
          <w:tab w:val="left" w:pos="7089"/>
        </w:tabs>
      </w:pPr>
      <w:r>
        <w:t xml:space="preserve">Bespoke models which provide a high level of support to ITE students and allow a gradual increase of responsibilities over time </w:t>
      </w:r>
      <w:r w:rsidR="002B6292">
        <w:t>are associated with improved</w:t>
      </w:r>
      <w:r>
        <w:t xml:space="preserve"> teacher quality. But because these models are </w:t>
      </w:r>
      <w:r w:rsidR="00611008">
        <w:t xml:space="preserve">the most </w:t>
      </w:r>
      <w:r>
        <w:t xml:space="preserve">expensive to deliver, their potential to address overall supply challenges in the short term is limited. </w:t>
      </w:r>
    </w:p>
    <w:p w14:paraId="44C62BDD" w14:textId="711A4C1D" w:rsidR="00C1382A" w:rsidRDefault="00C1382A">
      <w:pPr>
        <w:pStyle w:val="ListParagraph"/>
        <w:numPr>
          <w:ilvl w:val="0"/>
          <w:numId w:val="32"/>
        </w:numPr>
        <w:tabs>
          <w:tab w:val="left" w:pos="7089"/>
        </w:tabs>
      </w:pPr>
      <w:r>
        <w:t xml:space="preserve">Pathways that </w:t>
      </w:r>
      <w:r w:rsidR="00BA5B90">
        <w:t>shorten</w:t>
      </w:r>
      <w:r>
        <w:t xml:space="preserve"> the length of</w:t>
      </w:r>
      <w:r>
        <w:t xml:space="preserve"> ITE </w:t>
      </w:r>
      <w:proofErr w:type="gramStart"/>
      <w:r>
        <w:t>programs, or</w:t>
      </w:r>
      <w:proofErr w:type="gramEnd"/>
      <w:r>
        <w:t xml:space="preserve"> make it easier for ITE students to undertake paid work </w:t>
      </w:r>
      <w:r w:rsidR="00B46658">
        <w:t xml:space="preserve">as a teacher </w:t>
      </w:r>
      <w:r>
        <w:t>during their course</w:t>
      </w:r>
      <w:r w:rsidR="00BA5B90">
        <w:t>,</w:t>
      </w:r>
      <w:r>
        <w:t xml:space="preserve"> can address immediate supply challenges – but unless sufficient support is provided to ITE students, these pathways risk a reduction in teacher quality (as well as a risk of lower retention due to burn out). </w:t>
      </w:r>
    </w:p>
    <w:p w14:paraId="470E06FF" w14:textId="70F7ADC2" w:rsidR="00E55D0C" w:rsidRDefault="00E55D0C" w:rsidP="00C4262B">
      <w:pPr>
        <w:pStyle w:val="Heading2"/>
      </w:pPr>
      <w:r>
        <w:t>Balancing cost, quality and supply</w:t>
      </w:r>
    </w:p>
    <w:p w14:paraId="6100A007" w14:textId="77777777" w:rsidR="003F099C" w:rsidRDefault="002C04F0" w:rsidP="001138AA">
      <w:pPr>
        <w:tabs>
          <w:tab w:val="left" w:pos="7089"/>
        </w:tabs>
      </w:pPr>
      <w:r>
        <w:t xml:space="preserve">Considering </w:t>
      </w:r>
      <w:r w:rsidR="00931BCD">
        <w:t xml:space="preserve">options for </w:t>
      </w:r>
      <w:r w:rsidR="00CA7DDE">
        <w:t xml:space="preserve">interventions to support mid-career pathways will involve a balancing of cost, </w:t>
      </w:r>
      <w:proofErr w:type="gramStart"/>
      <w:r w:rsidR="00CA7DDE">
        <w:t>quality</w:t>
      </w:r>
      <w:proofErr w:type="gramEnd"/>
      <w:r w:rsidR="00CA7DDE">
        <w:t xml:space="preserve"> and supply. </w:t>
      </w:r>
    </w:p>
    <w:p w14:paraId="222DF960" w14:textId="77777777" w:rsidR="00D37F70" w:rsidRDefault="00AF4DC1" w:rsidP="00C20CC7">
      <w:pPr>
        <w:tabs>
          <w:tab w:val="left" w:pos="7089"/>
        </w:tabs>
      </w:pPr>
      <w:r>
        <w:t>For</w:t>
      </w:r>
      <w:r w:rsidR="00823F3B">
        <w:t xml:space="preserve"> example</w:t>
      </w:r>
      <w:r>
        <w:t>, e</w:t>
      </w:r>
      <w:r w:rsidR="00CE4D90" w:rsidRPr="003F268C">
        <w:t>arn</w:t>
      </w:r>
      <w:r w:rsidR="00CE4D90" w:rsidRPr="003F268C">
        <w:t xml:space="preserve"> as you learn pathways in which mid-career </w:t>
      </w:r>
      <w:r w:rsidR="00012ABB" w:rsidRPr="003F268C">
        <w:t>cohort</w:t>
      </w:r>
      <w:r w:rsidR="00CE4D90" w:rsidRPr="003F268C">
        <w:t xml:space="preserve">s </w:t>
      </w:r>
      <w:r w:rsidR="00A15914" w:rsidRPr="003F268C">
        <w:t xml:space="preserve">work in schools as either teachers or paraprofessionals </w:t>
      </w:r>
      <w:r w:rsidR="00012ABB" w:rsidRPr="003F268C">
        <w:t xml:space="preserve">are similar interventions, but have different implications for balancing cost, </w:t>
      </w:r>
      <w:proofErr w:type="gramStart"/>
      <w:r w:rsidR="00012ABB" w:rsidRPr="003F268C">
        <w:t>quality</w:t>
      </w:r>
      <w:proofErr w:type="gramEnd"/>
      <w:r w:rsidR="00012ABB" w:rsidRPr="003F268C">
        <w:t xml:space="preserve"> and supply</w:t>
      </w:r>
      <w:r w:rsidR="00D37F70">
        <w:t>:</w:t>
      </w:r>
    </w:p>
    <w:p w14:paraId="433E2EF6" w14:textId="238D9341" w:rsidR="00101A76" w:rsidRDefault="00101A76" w:rsidP="005A1E20">
      <w:pPr>
        <w:pStyle w:val="ListParagraph"/>
        <w:numPr>
          <w:ilvl w:val="0"/>
          <w:numId w:val="48"/>
        </w:numPr>
        <w:tabs>
          <w:tab w:val="left" w:pos="7089"/>
        </w:tabs>
      </w:pPr>
      <w:r w:rsidRPr="00DE266F">
        <w:rPr>
          <w:i/>
          <w:iCs/>
        </w:rPr>
        <w:t>Quality:</w:t>
      </w:r>
      <w:r>
        <w:t xml:space="preserve"> </w:t>
      </w:r>
      <w:r w:rsidR="00EC03EB">
        <w:t>Paraprofessional pathways enable students to gain experience working in a school</w:t>
      </w:r>
      <w:r w:rsidR="00B63529">
        <w:t xml:space="preserve">, </w:t>
      </w:r>
      <w:r w:rsidR="000D2F0A">
        <w:t xml:space="preserve">deepening their learning experience, </w:t>
      </w:r>
      <w:r w:rsidR="00B63529">
        <w:t xml:space="preserve">but </w:t>
      </w:r>
      <w:r w:rsidR="00EC03EB">
        <w:t>without the significant responsibility that comes from teaching unsupervised</w:t>
      </w:r>
      <w:r w:rsidR="000D2F0A">
        <w:t xml:space="preserve"> prior to finishing the ITE course</w:t>
      </w:r>
      <w:r w:rsidR="00EC03EB">
        <w:t xml:space="preserve">. </w:t>
      </w:r>
      <w:r w:rsidR="00807191">
        <w:t>Stakeholders warned that teacher pathways that involve unsupervised teaching during the ITE course</w:t>
      </w:r>
      <w:r w:rsidR="007A55CD">
        <w:t xml:space="preserve"> can </w:t>
      </w:r>
      <w:r w:rsidR="00BC34CA">
        <w:t xml:space="preserve">negatively </w:t>
      </w:r>
      <w:r w:rsidR="007A55CD">
        <w:t xml:space="preserve">affect teacher quality if students do not receive appropriate supports / are given too high a </w:t>
      </w:r>
      <w:r w:rsidR="00274176">
        <w:t>workload</w:t>
      </w:r>
      <w:r w:rsidR="007A55CD">
        <w:t xml:space="preserve">. </w:t>
      </w:r>
    </w:p>
    <w:p w14:paraId="03074456" w14:textId="41C963B4" w:rsidR="007053A6" w:rsidRDefault="00340CC1" w:rsidP="00055A91">
      <w:pPr>
        <w:pStyle w:val="ListParagraph"/>
        <w:numPr>
          <w:ilvl w:val="0"/>
          <w:numId w:val="48"/>
        </w:numPr>
        <w:tabs>
          <w:tab w:val="left" w:pos="7089"/>
        </w:tabs>
      </w:pPr>
      <w:r w:rsidRPr="002B7000">
        <w:rPr>
          <w:i/>
        </w:rPr>
        <w:lastRenderedPageBreak/>
        <w:t>Su</w:t>
      </w:r>
      <w:r w:rsidR="000F7D8B" w:rsidRPr="002B7000">
        <w:rPr>
          <w:i/>
        </w:rPr>
        <w:t>pply:</w:t>
      </w:r>
      <w:r w:rsidR="000F7D8B">
        <w:t xml:space="preserve"> </w:t>
      </w:r>
      <w:r w:rsidR="00055A91">
        <w:t xml:space="preserve">Both </w:t>
      </w:r>
      <w:r w:rsidR="00055A91" w:rsidRPr="003F268C">
        <w:t xml:space="preserve">models have similar benefits for students (the ability to earn money while studying </w:t>
      </w:r>
      <w:r w:rsidR="007053A6">
        <w:t>by</w:t>
      </w:r>
      <w:r w:rsidR="00055A91" w:rsidRPr="003F268C">
        <w:t xml:space="preserve"> work</w:t>
      </w:r>
      <w:r w:rsidR="007053A6">
        <w:t>ing</w:t>
      </w:r>
      <w:r w:rsidR="00055A91" w:rsidRPr="003F268C">
        <w:t xml:space="preserve"> in a </w:t>
      </w:r>
      <w:r w:rsidR="007053A6">
        <w:t xml:space="preserve">role that is </w:t>
      </w:r>
      <w:r w:rsidR="00055A91" w:rsidRPr="003F268C">
        <w:t xml:space="preserve">relevant </w:t>
      </w:r>
      <w:r w:rsidR="007053A6">
        <w:t>to the ITE course)</w:t>
      </w:r>
      <w:r w:rsidR="000F7D8B">
        <w:t xml:space="preserve">, meaning both are likely to </w:t>
      </w:r>
      <w:r w:rsidR="00E66AC8">
        <w:t>be effective at attracting</w:t>
      </w:r>
      <w:r w:rsidR="000F7D8B">
        <w:t xml:space="preserve"> mid-career </w:t>
      </w:r>
      <w:r w:rsidR="00E66AC8">
        <w:t>cohorts.</w:t>
      </w:r>
      <w:r w:rsidR="000F7D8B">
        <w:t xml:space="preserve"> </w:t>
      </w:r>
      <w:r w:rsidR="00A06088">
        <w:t xml:space="preserve">Teaching models </w:t>
      </w:r>
      <w:r w:rsidR="00BC34CA">
        <w:t>are attractive because they</w:t>
      </w:r>
      <w:r w:rsidR="00A06088">
        <w:t xml:space="preserve"> </w:t>
      </w:r>
      <w:r w:rsidR="00A06088">
        <w:t>can</w:t>
      </w:r>
      <w:r w:rsidR="00A06088">
        <w:t xml:space="preserve"> directly fill </w:t>
      </w:r>
      <w:r w:rsidR="00C31E5E">
        <w:t xml:space="preserve">teacher </w:t>
      </w:r>
      <w:r w:rsidR="00A06088">
        <w:t>workforce gaps</w:t>
      </w:r>
      <w:r w:rsidR="00A846DF">
        <w:t xml:space="preserve">, addressing urgent supply challenges. </w:t>
      </w:r>
      <w:r w:rsidR="001C4965">
        <w:t xml:space="preserve">(Though </w:t>
      </w:r>
      <w:r w:rsidR="00C31E5E">
        <w:t>stakeholders warned</w:t>
      </w:r>
      <w:r w:rsidR="001C4965">
        <w:t xml:space="preserve"> </w:t>
      </w:r>
      <w:r w:rsidR="001C4965">
        <w:t>heightened expectations on students mean they</w:t>
      </w:r>
      <w:r w:rsidR="003626BB">
        <w:t xml:space="preserve"> </w:t>
      </w:r>
      <w:r w:rsidR="00C31E5E">
        <w:t xml:space="preserve">may </w:t>
      </w:r>
      <w:r w:rsidR="00C0496C">
        <w:t>be more likely to burn out</w:t>
      </w:r>
      <w:r w:rsidR="00882811">
        <w:t xml:space="preserve">, which can impact retention in the long run). </w:t>
      </w:r>
    </w:p>
    <w:p w14:paraId="4B207764" w14:textId="1003EE2A" w:rsidR="00D37F70" w:rsidRDefault="00882811" w:rsidP="00C20CC7">
      <w:pPr>
        <w:pStyle w:val="ListParagraph"/>
        <w:numPr>
          <w:ilvl w:val="0"/>
          <w:numId w:val="48"/>
        </w:numPr>
        <w:tabs>
          <w:tab w:val="left" w:pos="7089"/>
        </w:tabs>
      </w:pPr>
      <w:r w:rsidRPr="00EB00B5">
        <w:rPr>
          <w:i/>
          <w:iCs/>
        </w:rPr>
        <w:t>Cost:</w:t>
      </w:r>
      <w:r>
        <w:t xml:space="preserve"> </w:t>
      </w:r>
      <w:r w:rsidR="005601CA" w:rsidRPr="003F268C">
        <w:t xml:space="preserve">Paraprofessional </w:t>
      </w:r>
      <w:r w:rsidR="00D57D01">
        <w:t>pathways do</w:t>
      </w:r>
      <w:r w:rsidR="005601CA" w:rsidRPr="003F268C">
        <w:t xml:space="preserve"> not </w:t>
      </w:r>
      <w:r w:rsidR="000C3721">
        <w:t>need to provide</w:t>
      </w:r>
      <w:r w:rsidR="005601CA" w:rsidRPr="003F268C">
        <w:t xml:space="preserve"> the same degree of professional support</w:t>
      </w:r>
      <w:r w:rsidR="000C3721">
        <w:t xml:space="preserve"> that is required where students are teaching unsupervised</w:t>
      </w:r>
      <w:r w:rsidR="005601CA" w:rsidRPr="003F268C">
        <w:t>, meaning these programs may be able to be delivered at a lower overall cost.</w:t>
      </w:r>
      <w:r w:rsidR="00F92922">
        <w:t xml:space="preserve"> </w:t>
      </w:r>
    </w:p>
    <w:p w14:paraId="19A8CEA5" w14:textId="642D9D5D" w:rsidR="00756EB9" w:rsidRPr="00891E95" w:rsidRDefault="00194C69" w:rsidP="00982BDA">
      <w:pPr>
        <w:tabs>
          <w:tab w:val="left" w:pos="7089"/>
        </w:tabs>
      </w:pPr>
      <w:r>
        <w:t xml:space="preserve">It </w:t>
      </w:r>
      <w:r w:rsidR="00E2508C">
        <w:t>is also</w:t>
      </w:r>
      <w:r>
        <w:t xml:space="preserve"> possible</w:t>
      </w:r>
      <w:r>
        <w:t xml:space="preserve"> to</w:t>
      </w:r>
      <w:r w:rsidR="00756EB9">
        <w:t xml:space="preserve"> combine aspects of different models, rather than </w:t>
      </w:r>
      <w:r w:rsidR="00105B16">
        <w:t>viewing</w:t>
      </w:r>
      <w:r w:rsidR="00756EB9">
        <w:t xml:space="preserve"> them as discrete alternatives. For example, jurisdictions seeking to return to a </w:t>
      </w:r>
      <w:r w:rsidR="00105B16">
        <w:t>shorter</w:t>
      </w:r>
      <w:r w:rsidR="00756EB9">
        <w:t xml:space="preserve"> ITE qualification could consider retaining the</w:t>
      </w:r>
      <w:r w:rsidR="00105B16">
        <w:t xml:space="preserve"> requirement for a</w:t>
      </w:r>
      <w:r w:rsidR="00756EB9">
        <w:t xml:space="preserve"> two-year </w:t>
      </w:r>
      <w:proofErr w:type="spellStart"/>
      <w:r w:rsidR="00756EB9">
        <w:t>Masters</w:t>
      </w:r>
      <w:proofErr w:type="spellEnd"/>
      <w:r w:rsidR="00756EB9">
        <w:t xml:space="preserve"> degree but structure its delivery in a way that allows coursework to be completed during the first year, with a second year as a paid pre-service teacher (ideally, </w:t>
      </w:r>
      <w:r w:rsidR="00786C43">
        <w:t xml:space="preserve">with the student </w:t>
      </w:r>
      <w:r w:rsidR="00756EB9">
        <w:t xml:space="preserve">taking on less than a full course load, to allow time to meet practicum requirements and benefit from mentoring and other transitional support). This would retain the core benefit of ensuring </w:t>
      </w:r>
      <w:r w:rsidR="006118DA">
        <w:t>mid-career cohorts</w:t>
      </w:r>
      <w:r w:rsidR="00756EB9">
        <w:t xml:space="preserve"> transitioning to teaching only have to spend one year out of the workforce, while embedding greater supports for students to maintain quality and preparedness (assuming appropriate supports are provided).</w:t>
      </w:r>
    </w:p>
    <w:sectPr w:rsidR="00756EB9" w:rsidRPr="00891E95" w:rsidSect="003C0FE1">
      <w:headerReference w:type="default" r:id="rId11"/>
      <w:footerReference w:type="default" r:id="rId12"/>
      <w:headerReference w:type="first" r:id="rId13"/>
      <w:footerReference w:type="first" r:id="rId14"/>
      <w:pgSz w:w="11906" w:h="16838" w:code="9"/>
      <w:pgMar w:top="720" w:right="1134" w:bottom="72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FEBC" w14:textId="77777777" w:rsidR="00B115AF" w:rsidRDefault="00B115AF" w:rsidP="00A13F5D">
      <w:r>
        <w:separator/>
      </w:r>
    </w:p>
    <w:p w14:paraId="0DAE2E9E" w14:textId="77777777" w:rsidR="00B115AF" w:rsidRDefault="00B115AF"/>
    <w:p w14:paraId="6E3F1F57" w14:textId="77777777" w:rsidR="00B115AF" w:rsidRDefault="00B115AF"/>
    <w:p w14:paraId="06A23270" w14:textId="77777777" w:rsidR="00B115AF" w:rsidRDefault="00B115AF"/>
  </w:endnote>
  <w:endnote w:type="continuationSeparator" w:id="0">
    <w:p w14:paraId="1699F4C3" w14:textId="77777777" w:rsidR="00B115AF" w:rsidRDefault="00B115AF" w:rsidP="00A13F5D">
      <w:r>
        <w:continuationSeparator/>
      </w:r>
    </w:p>
    <w:p w14:paraId="2B4F9629" w14:textId="77777777" w:rsidR="00B115AF" w:rsidRDefault="00B115AF"/>
    <w:p w14:paraId="27407B03" w14:textId="77777777" w:rsidR="00B115AF" w:rsidRDefault="00B115AF"/>
    <w:p w14:paraId="6FBBECF1" w14:textId="77777777" w:rsidR="00B115AF" w:rsidRDefault="00B115AF"/>
  </w:endnote>
  <w:endnote w:type="continuationNotice" w:id="1">
    <w:p w14:paraId="4EFB56C2" w14:textId="77777777" w:rsidR="00B115AF" w:rsidRDefault="00B11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badi">
    <w:panose1 w:val="020B0604020104020204"/>
    <w:charset w:val="00"/>
    <w:family w:val="swiss"/>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843"/>
      <w:gridCol w:w="7795"/>
    </w:tblGrid>
    <w:tr w:rsidR="003C3561" w:rsidRPr="00776420" w14:paraId="0DADA5C4" w14:textId="77777777" w:rsidTr="005E30A8">
      <w:trPr>
        <w:trHeight w:val="340"/>
      </w:trPr>
      <w:tc>
        <w:tcPr>
          <w:tcW w:w="956" w:type="pct"/>
          <w:vAlign w:val="bottom"/>
        </w:tcPr>
        <w:p w14:paraId="31FE90B6" w14:textId="77777777" w:rsidR="003C3561" w:rsidRPr="002C5F08" w:rsidRDefault="003C3561" w:rsidP="00B20B55">
          <w:pPr>
            <w:pStyle w:val="FooterHeading"/>
          </w:pPr>
          <w:r>
            <w:rPr>
              <w:noProof/>
              <w:lang w:val="en-US"/>
            </w:rPr>
            <w:drawing>
              <wp:inline distT="0" distB="0" distL="0" distR="0" wp14:anchorId="3453E0AA" wp14:editId="10DEB8B2">
                <wp:extent cx="553846" cy="90000"/>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3846" cy="90000"/>
                        </a:xfrm>
                        <a:prstGeom prst="rect">
                          <a:avLst/>
                        </a:prstGeom>
                        <a:noFill/>
                        <a:ln w="9525">
                          <a:noFill/>
                          <a:miter lim="800000"/>
                          <a:headEnd/>
                          <a:tailEnd/>
                        </a:ln>
                      </pic:spPr>
                    </pic:pic>
                  </a:graphicData>
                </a:graphic>
              </wp:inline>
            </w:drawing>
          </w:r>
        </w:p>
      </w:tc>
      <w:tc>
        <w:tcPr>
          <w:tcW w:w="4044" w:type="pct"/>
          <w:vAlign w:val="bottom"/>
        </w:tcPr>
        <w:p w14:paraId="0E026A1D" w14:textId="35BAAF6D" w:rsidR="003C3561" w:rsidRPr="00776420" w:rsidRDefault="0026605D" w:rsidP="00B20B55">
          <w:pPr>
            <w:pStyle w:val="FooterHeading"/>
            <w:jc w:val="right"/>
            <w:rPr>
              <w:b/>
            </w:rPr>
          </w:pPr>
          <w:sdt>
            <w:sdtPr>
              <w:rPr>
                <w:caps/>
              </w:rPr>
              <w:alias w:val="Title"/>
              <w:tag w:val=""/>
              <w:id w:val="-866679459"/>
              <w:dataBinding w:prefixMappings="xmlns:ns0='http://purl.org/dc/elements/1.1/' xmlns:ns1='http://schemas.openxmlformats.org/package/2006/metadata/core-properties' " w:xpath="/ns1:coreProperties[1]/ns0:title[1]" w:storeItemID="{6C3C8BC8-F283-45AE-878A-BAB7291924A1}"/>
              <w:text/>
            </w:sdtPr>
            <w:sdtEndPr/>
            <w:sdtContent>
              <w:r w:rsidR="00DC400D">
                <w:rPr>
                  <w:caps/>
                </w:rPr>
                <w:t>SUPPORTING Mid-Career pathways</w:t>
              </w:r>
            </w:sdtContent>
          </w:sdt>
          <w:r w:rsidR="003C3561">
            <w:rPr>
              <w:b/>
            </w:rPr>
            <w:t xml:space="preserve">  </w:t>
          </w:r>
          <w:r w:rsidR="003C3561" w:rsidRPr="002C5F08">
            <w:t>|</w:t>
          </w:r>
          <w:r w:rsidR="003C3561">
            <w:t xml:space="preserve"> </w:t>
          </w:r>
          <w:r w:rsidR="003C3561" w:rsidRPr="002C5F08">
            <w:t xml:space="preserve"> </w:t>
          </w:r>
          <w:r w:rsidR="003C3561" w:rsidRPr="002C5F08">
            <w:fldChar w:fldCharType="begin"/>
          </w:r>
          <w:r w:rsidR="003C3561" w:rsidRPr="002C5F08">
            <w:instrText xml:space="preserve"> PAGE  \* Arabic </w:instrText>
          </w:r>
          <w:r w:rsidR="003C3561" w:rsidRPr="002C5F08">
            <w:fldChar w:fldCharType="separate"/>
          </w:r>
          <w:r w:rsidR="003C3561" w:rsidRPr="002C5F08">
            <w:t>2</w:t>
          </w:r>
          <w:r w:rsidR="003C3561" w:rsidRPr="002C5F08">
            <w:fldChar w:fldCharType="end"/>
          </w:r>
        </w:p>
      </w:tc>
    </w:tr>
  </w:tbl>
  <w:p w14:paraId="59BD11C4" w14:textId="77777777" w:rsidR="003C3561" w:rsidRPr="001A73D7" w:rsidRDefault="003C3561" w:rsidP="001A73D7">
    <w:pPr>
      <w:pStyle w:val="NormalSingle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638"/>
    </w:tblGrid>
    <w:tr w:rsidR="003C3561" w14:paraId="76E8E16C" w14:textId="77777777" w:rsidTr="008F700F">
      <w:trPr>
        <w:trHeight w:val="567"/>
      </w:trPr>
      <w:tc>
        <w:tcPr>
          <w:tcW w:w="5000" w:type="pct"/>
        </w:tcPr>
        <w:p w14:paraId="6AFD7B1F" w14:textId="77777777" w:rsidR="003C3561" w:rsidRDefault="003C3561" w:rsidP="008F700F">
          <w:pPr>
            <w:pStyle w:val="FooterHeading"/>
            <w:jc w:val="center"/>
          </w:pPr>
          <w:r w:rsidRPr="00E501B2">
            <w:rPr>
              <w:rFonts w:ascii="Arial Narrow" w:eastAsia="Cambria" w:hAnsi="Arial Narrow" w:cs="Times New Roman"/>
              <w:noProof/>
              <w:color w:val="auto"/>
              <w:sz w:val="24"/>
              <w:szCs w:val="24"/>
              <w:lang w:val="en-US"/>
            </w:rPr>
            <w:drawing>
              <wp:inline distT="0" distB="0" distL="0" distR="0" wp14:anchorId="3A369361" wp14:editId="5AC0B2B3">
                <wp:extent cx="1524000" cy="2476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24000" cy="247650"/>
                        </a:xfrm>
                        <a:prstGeom prst="rect">
                          <a:avLst/>
                        </a:prstGeom>
                        <a:noFill/>
                        <a:ln w="9525">
                          <a:noFill/>
                          <a:miter lim="800000"/>
                          <a:headEnd/>
                          <a:tailEnd/>
                        </a:ln>
                      </pic:spPr>
                    </pic:pic>
                  </a:graphicData>
                </a:graphic>
              </wp:inline>
            </w:drawing>
          </w:r>
        </w:p>
        <w:p w14:paraId="19694781" w14:textId="77777777" w:rsidR="003C3561" w:rsidRDefault="003C3561" w:rsidP="008F700F">
          <w:pPr>
            <w:pStyle w:val="FooterHeading"/>
            <w:jc w:val="center"/>
          </w:pPr>
          <w:r>
            <w:rPr>
              <w:noProof/>
              <w:lang w:val="en-US"/>
            </w:rPr>
            <mc:AlternateContent>
              <mc:Choice Requires="wps">
                <w:drawing>
                  <wp:inline distT="0" distB="0" distL="0" distR="0" wp14:anchorId="2D945B4A" wp14:editId="2F7EECB1">
                    <wp:extent cx="360045" cy="0"/>
                    <wp:effectExtent l="0" t="0" r="0" b="0"/>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3C3C3B"/>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noFill/>
                                </a14:hiddenFill>
                              </a:ext>
                            </a:extLst>
                          </wps:spPr>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DF15611">
                  <v:shapetype id="_x0000_t32" coordsize="21600,21600" o:oned="t" filled="f" o:spt="32" path="m,l21600,21600e" w14:anchorId="25B0CAA7">
                    <v:path fillok="f" arrowok="t" o:connecttype="none"/>
                    <o:lock v:ext="edit" shapetype="t"/>
                  </v:shapetype>
                  <v:shape id="AutoShape 6" style="width:28.35pt;height:0;visibility:visible;mso-wrap-style:square;mso-left-percent:-10001;mso-top-percent:-10001;mso-position-horizontal:absolute;mso-position-horizontal-relative:char;mso-position-vertical:absolute;mso-position-vertical-relative:line;mso-left-percent:-10001;mso-top-percent:-10001" o:spid="_x0000_s1026" strokecolor="#3c3c3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">
                    <w10:anchorlock/>
                  </v:shape>
                </w:pict>
              </mc:Fallback>
            </mc:AlternateContent>
          </w:r>
        </w:p>
      </w:tc>
    </w:tr>
    <w:tr w:rsidR="003C3561" w14:paraId="3FFE3794" w14:textId="77777777" w:rsidTr="008F700F">
      <w:tc>
        <w:tcPr>
          <w:tcW w:w="5000" w:type="pct"/>
        </w:tcPr>
        <w:p w14:paraId="5F1CE9F6" w14:textId="77777777" w:rsidR="003C3561" w:rsidRDefault="003C3561" w:rsidP="008F700F">
          <w:pPr>
            <w:pStyle w:val="CoverAddress"/>
          </w:pPr>
          <w:bookmarkStart w:id="0" w:name="_Hlk514803165"/>
        </w:p>
        <w:p w14:paraId="73487AC6" w14:textId="77777777" w:rsidR="003C3561" w:rsidRDefault="003C3561" w:rsidP="008F700F">
          <w:pPr>
            <w:pStyle w:val="CoverAddress"/>
          </w:pPr>
        </w:p>
        <w:p w14:paraId="3E9AFA29" w14:textId="77777777" w:rsidR="003C3561" w:rsidRDefault="003C3561" w:rsidP="008F700F">
          <w:pPr>
            <w:pStyle w:val="CoverAddress"/>
          </w:pPr>
          <w:r w:rsidRPr="00E501B2">
            <w:t>Level 1, 155 Queen Street, Melbourne 3000 Victoria</w:t>
          </w:r>
        </w:p>
        <w:p w14:paraId="5A7BD707" w14:textId="77777777" w:rsidR="003C3561" w:rsidRPr="00E501B2" w:rsidRDefault="003C3561" w:rsidP="008F700F">
          <w:pPr>
            <w:pStyle w:val="CoverAddress"/>
          </w:pPr>
        </w:p>
        <w:p w14:paraId="5BF5031B" w14:textId="77777777" w:rsidR="003C3561" w:rsidRDefault="003C3561" w:rsidP="008F700F">
          <w:pPr>
            <w:pStyle w:val="CoverAddress"/>
          </w:pPr>
          <w:r w:rsidRPr="00E501B2">
            <w:t xml:space="preserve">T: +61 3 9211 0015  F: +61 3 9949 9768  E: </w:t>
          </w:r>
          <w:hyperlink r:id="rId2" w:history="1">
            <w:r w:rsidRPr="00E501B2">
              <w:rPr>
                <w:rStyle w:val="Hyperlink"/>
              </w:rPr>
              <w:t>enquiries@dandolo.com.au</w:t>
            </w:r>
          </w:hyperlink>
        </w:p>
        <w:p w14:paraId="6184FB4C" w14:textId="77777777" w:rsidR="003C3561" w:rsidRDefault="003C3561" w:rsidP="008F700F">
          <w:pPr>
            <w:pStyle w:val="CoverAddress"/>
          </w:pPr>
        </w:p>
        <w:p w14:paraId="45A9804E" w14:textId="77777777" w:rsidR="003C3561" w:rsidRPr="00E501B2" w:rsidRDefault="0026605D" w:rsidP="008F700F">
          <w:pPr>
            <w:pStyle w:val="CoverAddress"/>
          </w:pPr>
          <w:hyperlink r:id="rId3" w:history="1">
            <w:r w:rsidR="003C3561" w:rsidRPr="00E501B2">
              <w:rPr>
                <w:rStyle w:val="Hyperlink"/>
              </w:rPr>
              <w:t>www.dandolo.com.au</w:t>
            </w:r>
          </w:hyperlink>
        </w:p>
        <w:p w14:paraId="12AC072E" w14:textId="77777777" w:rsidR="003C3561" w:rsidRPr="00E501B2" w:rsidRDefault="003C3561" w:rsidP="008F700F">
          <w:pPr>
            <w:pStyle w:val="CoverAddress"/>
          </w:pPr>
        </w:p>
        <w:p w14:paraId="6C9C3731" w14:textId="77777777" w:rsidR="003C3561" w:rsidRPr="00E501B2" w:rsidRDefault="003C3561" w:rsidP="008F700F">
          <w:pPr>
            <w:pStyle w:val="CoverAddress"/>
          </w:pPr>
          <w:r w:rsidRPr="00E501B2">
            <w:t>ABN 48 757 017 061</w:t>
          </w:r>
        </w:p>
      </w:tc>
    </w:tr>
    <w:bookmarkEnd w:id="0"/>
  </w:tbl>
  <w:p w14:paraId="16A70E72" w14:textId="77777777" w:rsidR="003C3561" w:rsidRPr="00F94A96" w:rsidRDefault="003C3561" w:rsidP="00E50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E79A" w14:textId="77777777" w:rsidR="00B115AF" w:rsidRDefault="00B115AF" w:rsidP="00261151">
      <w:pPr>
        <w:pStyle w:val="FootnoteText"/>
      </w:pPr>
      <w:r w:rsidRPr="00491B5D">
        <w:rPr>
          <w:color w:val="931B2F" w:themeColor="background2"/>
        </w:rPr>
        <w:separator/>
      </w:r>
    </w:p>
  </w:footnote>
  <w:footnote w:type="continuationSeparator" w:id="0">
    <w:p w14:paraId="5C9AB014" w14:textId="77777777" w:rsidR="00B115AF" w:rsidRDefault="00B115AF" w:rsidP="00261151">
      <w:pPr>
        <w:pStyle w:val="FootnoteText"/>
      </w:pPr>
      <w:r>
        <w:continuationSeparator/>
      </w:r>
    </w:p>
  </w:footnote>
  <w:footnote w:type="continuationNotice" w:id="1">
    <w:p w14:paraId="05108F9A" w14:textId="77777777" w:rsidR="00B115AF" w:rsidRDefault="00B115AF" w:rsidP="00192391">
      <w:pPr>
        <w:pStyle w:val="FootnoteText"/>
      </w:pPr>
    </w:p>
  </w:footnote>
  <w:footnote w:id="2">
    <w:p w14:paraId="448C186A" w14:textId="77777777" w:rsidR="00F103A8" w:rsidRPr="007B0E3A" w:rsidRDefault="00F103A8" w:rsidP="00F103A8">
      <w:pPr>
        <w:pStyle w:val="FootnoteText"/>
        <w:rPr>
          <w:lang w:val="en-AU"/>
        </w:rPr>
      </w:pPr>
      <w:r>
        <w:rPr>
          <w:rStyle w:val="FootnoteReference"/>
        </w:rPr>
        <w:footnoteRef/>
      </w:r>
      <w:r>
        <w:t xml:space="preserve"> </w:t>
      </w:r>
      <w:r>
        <w:rPr>
          <w:lang w:val="en-AU"/>
        </w:rPr>
        <w:t xml:space="preserve">Australian Government DoE (2022), </w:t>
      </w:r>
      <w:r w:rsidRPr="31E65174">
        <w:rPr>
          <w:i/>
          <w:iCs/>
          <w:lang w:val="en-AU"/>
        </w:rPr>
        <w:t xml:space="preserve">Next steps: report of the quality of Initial Teacher Education review </w:t>
      </w:r>
      <w:r w:rsidRPr="31E65174">
        <w:rPr>
          <w:lang w:val="en-AU"/>
        </w:rPr>
        <w:t>(QITE)</w:t>
      </w:r>
    </w:p>
  </w:footnote>
  <w:footnote w:id="3">
    <w:p w14:paraId="22585D29" w14:textId="04E0E680" w:rsidR="00D22840" w:rsidRPr="00336C5E" w:rsidRDefault="00D22840" w:rsidP="00D22840">
      <w:pPr>
        <w:pStyle w:val="FootnoteText"/>
        <w:rPr>
          <w:lang w:val="en-AU"/>
        </w:rPr>
      </w:pPr>
      <w:r>
        <w:rPr>
          <w:rStyle w:val="FootnoteReference"/>
        </w:rPr>
        <w:footnoteRef/>
      </w:r>
      <w:r>
        <w:t xml:space="preserve"> </w:t>
      </w:r>
      <w:r w:rsidRPr="0446AEC4">
        <w:rPr>
          <w:lang w:val="en-AU"/>
        </w:rPr>
        <w:t>Melbourne Graduate School of Education (2021)</w:t>
      </w:r>
      <w:r>
        <w:rPr>
          <w:lang w:val="en-AU"/>
        </w:rPr>
        <w:t xml:space="preserve">, </w:t>
      </w:r>
      <w:r w:rsidRPr="0A44488B">
        <w:rPr>
          <w:i/>
          <w:iCs/>
        </w:rPr>
        <w:t>Career changers: keeping career change teachers in the profession</w:t>
      </w:r>
      <w:r w:rsidRPr="0446AEC4">
        <w:rPr>
          <w:i/>
          <w:iCs/>
        </w:rPr>
        <w:t>,</w:t>
      </w:r>
      <w:r w:rsidRPr="0446AEC4">
        <w:rPr>
          <w:i/>
        </w:rPr>
        <w:t xml:space="preserve"> </w:t>
      </w:r>
      <w:r>
        <w:t>p.</w:t>
      </w:r>
      <w:r>
        <w:t>14-</w:t>
      </w:r>
      <w:r>
        <w:t>15</w:t>
      </w:r>
    </w:p>
  </w:footnote>
  <w:footnote w:id="4">
    <w:p w14:paraId="7B3AFE70" w14:textId="549CDA85" w:rsidR="00177F61" w:rsidRPr="00177F61" w:rsidRDefault="00177F61">
      <w:pPr>
        <w:pStyle w:val="FootnoteText"/>
        <w:rPr>
          <w:lang w:val="en-AU"/>
        </w:rPr>
      </w:pPr>
      <w:r>
        <w:rPr>
          <w:rStyle w:val="FootnoteReference"/>
        </w:rPr>
        <w:footnoteRef/>
      </w:r>
      <w:r>
        <w:t xml:space="preserve"> </w:t>
      </w:r>
      <w:r>
        <w:rPr>
          <w:lang w:val="en-AU"/>
        </w:rPr>
        <w:t>BETA</w:t>
      </w:r>
      <w:r w:rsidR="0446AEC4">
        <w:rPr>
          <w:lang w:val="en-AU"/>
        </w:rPr>
        <w:t xml:space="preserve"> (2022),</w:t>
      </w:r>
      <w:r>
        <w:rPr>
          <w:lang w:val="en-AU"/>
        </w:rPr>
        <w:t xml:space="preserve"> </w:t>
      </w:r>
      <w:r w:rsidRPr="00177F61">
        <w:rPr>
          <w:i/>
          <w:iCs/>
          <w:lang w:val="en-AU"/>
        </w:rPr>
        <w:t>Attracting high-achieving teaching candidates</w:t>
      </w:r>
      <w:r>
        <w:rPr>
          <w:lang w:val="en-AU"/>
        </w:rPr>
        <w:t xml:space="preserve">, </w:t>
      </w:r>
      <w:r w:rsidR="0446AEC4">
        <w:rPr>
          <w:lang w:val="en-AU"/>
        </w:rPr>
        <w:t>p.12</w:t>
      </w:r>
    </w:p>
  </w:footnote>
  <w:footnote w:id="5">
    <w:p w14:paraId="7C5B77D6" w14:textId="3FA7B0A2" w:rsidR="00AF1E9C" w:rsidRDefault="00AF1E9C" w:rsidP="00AF1E9C">
      <w:pPr>
        <w:pStyle w:val="FootnoteText"/>
        <w:rPr>
          <w:lang w:val="en-AU"/>
        </w:rPr>
      </w:pPr>
      <w:r w:rsidRPr="1A855BBA">
        <w:rPr>
          <w:rStyle w:val="FootnoteReference"/>
        </w:rPr>
        <w:footnoteRef/>
      </w:r>
      <w:r>
        <w:t xml:space="preserve"> </w:t>
      </w:r>
      <w:r w:rsidR="0446AEC4" w:rsidRPr="0446AEC4">
        <w:rPr>
          <w:lang w:val="en-AU"/>
        </w:rPr>
        <w:t>Melbourne Graduate School of Education (2021),</w:t>
      </w:r>
      <w:r w:rsidRPr="1A855BBA">
        <w:rPr>
          <w:lang w:val="en-AU"/>
        </w:rPr>
        <w:t xml:space="preserve"> </w:t>
      </w:r>
      <w:r w:rsidRPr="1A855BBA">
        <w:rPr>
          <w:i/>
          <w:iCs/>
        </w:rPr>
        <w:t>Career changers: keeping career change teachers in the profession</w:t>
      </w:r>
      <w:r w:rsidRPr="0446AEC4">
        <w:rPr>
          <w:i/>
        </w:rPr>
        <w:t>.</w:t>
      </w:r>
      <w:r>
        <w:t xml:space="preserve"> p.15</w:t>
      </w:r>
    </w:p>
  </w:footnote>
  <w:footnote w:id="6">
    <w:p w14:paraId="61B6E6F0" w14:textId="5388AD9E" w:rsidR="0051243B" w:rsidRDefault="0051243B" w:rsidP="0051243B">
      <w:pPr>
        <w:pStyle w:val="FootnoteText"/>
        <w:rPr>
          <w:lang w:val="en-AU"/>
        </w:rPr>
      </w:pPr>
      <w:r w:rsidRPr="1A855BBA">
        <w:rPr>
          <w:rStyle w:val="FootnoteReference"/>
        </w:rPr>
        <w:footnoteRef/>
      </w:r>
      <w:r>
        <w:t xml:space="preserve"> BETA</w:t>
      </w:r>
      <w:r w:rsidR="0446AEC4">
        <w:t xml:space="preserve"> (2022),</w:t>
      </w:r>
      <w:r>
        <w:t xml:space="preserve"> </w:t>
      </w:r>
      <w:r w:rsidRPr="008B699A">
        <w:rPr>
          <w:i/>
          <w:iCs/>
          <w:lang w:val="en-AU"/>
        </w:rPr>
        <w:t>Attracting high-achieving teaching candidates</w:t>
      </w:r>
      <w:r>
        <w:rPr>
          <w:lang w:val="en-AU"/>
        </w:rPr>
        <w:t>. p.4</w:t>
      </w:r>
    </w:p>
  </w:footnote>
  <w:footnote w:id="7">
    <w:p w14:paraId="072AB0B3" w14:textId="5ACD919B" w:rsidR="00A612FF" w:rsidRPr="00A612FF" w:rsidRDefault="00A612FF">
      <w:pPr>
        <w:pStyle w:val="FootnoteText"/>
        <w:rPr>
          <w:lang w:val="en-AU"/>
        </w:rPr>
      </w:pPr>
      <w:r>
        <w:rPr>
          <w:rStyle w:val="FootnoteReference"/>
        </w:rPr>
        <w:footnoteRef/>
      </w:r>
      <w:r w:rsidR="0446AEC4">
        <w:t xml:space="preserve"> BETA (2022), </w:t>
      </w:r>
      <w:r w:rsidR="0446AEC4" w:rsidRPr="0446AEC4">
        <w:rPr>
          <w:i/>
          <w:iCs/>
          <w:lang w:val="en-AU"/>
        </w:rPr>
        <w:t xml:space="preserve">Attracting high-achieving teaching candidates, </w:t>
      </w:r>
      <w:r w:rsidR="0446AEC4" w:rsidRPr="0446AEC4">
        <w:rPr>
          <w:lang w:val="en-AU"/>
        </w:rPr>
        <w:t>p.10</w:t>
      </w:r>
    </w:p>
  </w:footnote>
  <w:footnote w:id="8">
    <w:p w14:paraId="1C4BCF42" w14:textId="77777777" w:rsidR="006D5F86" w:rsidRPr="00524AF5" w:rsidRDefault="006D5F86" w:rsidP="006D5F86">
      <w:pPr>
        <w:pStyle w:val="FootnoteText"/>
        <w:rPr>
          <w:lang w:val="en-AU"/>
        </w:rPr>
      </w:pPr>
      <w:r>
        <w:rPr>
          <w:rStyle w:val="FootnoteReference"/>
        </w:rPr>
        <w:footnoteRef/>
      </w:r>
      <w:r>
        <w:t xml:space="preserve"> BETA (2022), </w:t>
      </w:r>
      <w:r w:rsidRPr="0446AEC4">
        <w:rPr>
          <w:i/>
          <w:iCs/>
          <w:lang w:val="en-AU"/>
        </w:rPr>
        <w:t>Attracting high-achieving teaching candidates,</w:t>
      </w:r>
      <w:r w:rsidRPr="0446AEC4">
        <w:rPr>
          <w:lang w:val="en-AU"/>
        </w:rPr>
        <w:t xml:space="preserve"> </w:t>
      </w:r>
      <w:r>
        <w:rPr>
          <w:lang w:val="en-AU"/>
        </w:rPr>
        <w:t>p.14</w:t>
      </w:r>
    </w:p>
  </w:footnote>
  <w:footnote w:id="9">
    <w:p w14:paraId="082C2FF7" w14:textId="1AFB5CCD" w:rsidR="00756EB9" w:rsidRPr="00B926AF" w:rsidRDefault="00756EB9" w:rsidP="00756EB9">
      <w:pPr>
        <w:pStyle w:val="FootnoteText"/>
        <w:rPr>
          <w:lang w:val="en-AU"/>
        </w:rPr>
      </w:pPr>
      <w:r>
        <w:rPr>
          <w:rStyle w:val="FootnoteReference"/>
        </w:rPr>
        <w:footnoteRef/>
      </w:r>
      <w:r>
        <w:t xml:space="preserve"> BETA</w:t>
      </w:r>
      <w:r w:rsidR="0446AEC4">
        <w:t xml:space="preserve"> (2022), </w:t>
      </w:r>
      <w:r w:rsidR="0446AEC4" w:rsidRPr="0446AEC4">
        <w:rPr>
          <w:i/>
          <w:iCs/>
          <w:lang w:val="en-AU"/>
        </w:rPr>
        <w:t>Attracting high-achieving teaching candidates,</w:t>
      </w:r>
      <w:r w:rsidR="0446AEC4">
        <w:rPr>
          <w:lang w:val="en-AU"/>
        </w:rPr>
        <w:t xml:space="preserve"> p.5</w:t>
      </w:r>
      <w:r w:rsidR="00763B0A">
        <w:rPr>
          <w:lang w:val="en-AU"/>
        </w:rPr>
        <w:t>; Heffernan et al</w:t>
      </w:r>
      <w:r w:rsidR="0446AEC4">
        <w:rPr>
          <w:lang w:val="en-AU"/>
        </w:rPr>
        <w:t>. (</w:t>
      </w:r>
      <w:r w:rsidR="00763B0A">
        <w:rPr>
          <w:lang w:val="en-AU"/>
        </w:rPr>
        <w:t>2019</w:t>
      </w:r>
      <w:r w:rsidR="0446AEC4">
        <w:rPr>
          <w:lang w:val="en-AU"/>
        </w:rPr>
        <w:t>)</w:t>
      </w:r>
      <w:r w:rsidR="00F44210">
        <w:rPr>
          <w:lang w:val="en-AU"/>
        </w:rPr>
        <w:t xml:space="preserve"> </w:t>
      </w:r>
      <w:r w:rsidR="00F44210" w:rsidRPr="00A1737E">
        <w:rPr>
          <w:i/>
          <w:lang w:val="en-AU"/>
        </w:rPr>
        <w:t>Perceptions of teachers and teaching in Australia</w:t>
      </w:r>
      <w:r w:rsidR="00A1737E" w:rsidRPr="00A1737E">
        <w:rPr>
          <w:i/>
          <w:iCs/>
          <w:lang w:val="en-AU"/>
        </w:rPr>
        <w:t>,</w:t>
      </w:r>
      <w:r w:rsidR="00A1737E">
        <w:rPr>
          <w:lang w:val="en-AU"/>
        </w:rPr>
        <w:t xml:space="preserve"> p18. </w:t>
      </w:r>
    </w:p>
  </w:footnote>
  <w:footnote w:id="10">
    <w:p w14:paraId="1D1C9F82" w14:textId="19D04CB8" w:rsidR="00A1737E" w:rsidRPr="00A1737E" w:rsidRDefault="00A1737E">
      <w:pPr>
        <w:pStyle w:val="FootnoteText"/>
        <w:rPr>
          <w:lang w:val="en-AU"/>
        </w:rPr>
      </w:pPr>
      <w:r>
        <w:rPr>
          <w:rStyle w:val="FootnoteReference"/>
        </w:rPr>
        <w:footnoteRef/>
      </w:r>
      <w:r>
        <w:t xml:space="preserve"> </w:t>
      </w:r>
      <w:proofErr w:type="spellStart"/>
      <w:r>
        <w:rPr>
          <w:lang w:val="en-AU"/>
        </w:rPr>
        <w:t>Bllet</w:t>
      </w:r>
      <w:proofErr w:type="spellEnd"/>
      <w:r>
        <w:rPr>
          <w:lang w:val="en-AU"/>
        </w:rPr>
        <w:t xml:space="preserve"> et al</w:t>
      </w:r>
      <w:r w:rsidR="0446AEC4">
        <w:rPr>
          <w:lang w:val="en-AU"/>
        </w:rPr>
        <w:t>. (</w:t>
      </w:r>
      <w:r>
        <w:rPr>
          <w:lang w:val="en-AU"/>
        </w:rPr>
        <w:t>2022</w:t>
      </w:r>
      <w:r w:rsidR="0446AEC4">
        <w:rPr>
          <w:lang w:val="en-AU"/>
        </w:rPr>
        <w:t>),</w:t>
      </w:r>
      <w:r>
        <w:rPr>
          <w:lang w:val="en-AU"/>
        </w:rPr>
        <w:t xml:space="preserve"> </w:t>
      </w:r>
      <w:r w:rsidRPr="002E12C0">
        <w:rPr>
          <w:i/>
          <w:lang w:val="en-AU"/>
        </w:rPr>
        <w:t>Australian teacher stress, well-being, self-efficacy, and safety during the COVID-19 pandemic</w:t>
      </w:r>
      <w:r>
        <w:rPr>
          <w:lang w:val="en-AU"/>
        </w:rPr>
        <w:t xml:space="preserve">, </w:t>
      </w:r>
      <w:r w:rsidR="0446AEC4">
        <w:rPr>
          <w:lang w:val="en-AU"/>
        </w:rPr>
        <w:t>p.17</w:t>
      </w:r>
    </w:p>
  </w:footnote>
  <w:footnote w:id="11">
    <w:p w14:paraId="2238C62A" w14:textId="68ECA4F9" w:rsidR="00756EB9" w:rsidRPr="007B068F" w:rsidRDefault="00756EB9" w:rsidP="00756EB9">
      <w:pPr>
        <w:pStyle w:val="FootnoteText"/>
        <w:rPr>
          <w:lang w:val="en-AU"/>
        </w:rPr>
      </w:pPr>
      <w:r>
        <w:rPr>
          <w:rStyle w:val="FootnoteReference"/>
        </w:rPr>
        <w:footnoteRef/>
      </w:r>
      <w:r w:rsidR="0446AEC4">
        <w:t xml:space="preserve"> </w:t>
      </w:r>
      <w:proofErr w:type="spellStart"/>
      <w:r w:rsidR="0446AEC4">
        <w:rPr>
          <w:lang w:val="en-AU"/>
        </w:rPr>
        <w:t>Varadharajan</w:t>
      </w:r>
      <w:proofErr w:type="spellEnd"/>
      <w:r w:rsidR="0446AEC4">
        <w:rPr>
          <w:lang w:val="en-AU"/>
        </w:rPr>
        <w:t xml:space="preserve"> (2018), </w:t>
      </w:r>
      <w:r w:rsidR="0446AEC4" w:rsidRPr="0446AEC4">
        <w:rPr>
          <w:i/>
          <w:iCs/>
          <w:lang w:val="en-AU"/>
        </w:rPr>
        <w:t>Navigating and negotiating: Career changers in teacher education programs</w:t>
      </w:r>
      <w:r w:rsidR="0446AEC4">
        <w:rPr>
          <w:lang w:val="en-AU"/>
        </w:rPr>
        <w:t xml:space="preserve">, p.115 </w:t>
      </w:r>
    </w:p>
  </w:footnote>
  <w:footnote w:id="12">
    <w:p w14:paraId="7716EBE8" w14:textId="19D3A316" w:rsidR="00756EB9" w:rsidRPr="00C83393" w:rsidRDefault="00756EB9" w:rsidP="00756EB9">
      <w:pPr>
        <w:pStyle w:val="FootnoteText"/>
        <w:rPr>
          <w:lang w:val="en-AU"/>
        </w:rPr>
      </w:pPr>
      <w:r>
        <w:rPr>
          <w:rStyle w:val="FootnoteReference"/>
        </w:rPr>
        <w:footnoteRef/>
      </w:r>
      <w:r>
        <w:t xml:space="preserve"> </w:t>
      </w:r>
      <w:r>
        <w:rPr>
          <w:lang w:val="en-AU"/>
        </w:rPr>
        <w:t>Bauer et al</w:t>
      </w:r>
      <w:r w:rsidR="0446AEC4">
        <w:rPr>
          <w:lang w:val="en-AU"/>
        </w:rPr>
        <w:t>. (</w:t>
      </w:r>
      <w:r>
        <w:rPr>
          <w:lang w:val="en-AU"/>
        </w:rPr>
        <w:t>2017</w:t>
      </w:r>
      <w:r w:rsidR="0446AEC4">
        <w:rPr>
          <w:lang w:val="en-AU"/>
        </w:rPr>
        <w:t xml:space="preserve">), </w:t>
      </w:r>
      <w:r w:rsidR="0446AEC4" w:rsidRPr="0446AEC4">
        <w:rPr>
          <w:i/>
          <w:iCs/>
          <w:lang w:val="en-AU"/>
        </w:rPr>
        <w:t>Mature age professionals: factors influencing their decision to make a career change into teaching</w:t>
      </w:r>
      <w:r w:rsidRPr="0446AEC4">
        <w:rPr>
          <w:i/>
          <w:lang w:val="en-AU"/>
        </w:rPr>
        <w:t xml:space="preserve">, </w:t>
      </w:r>
      <w:r>
        <w:rPr>
          <w:lang w:val="en-AU"/>
        </w:rPr>
        <w:t>p</w:t>
      </w:r>
      <w:r w:rsidR="0446AEC4">
        <w:rPr>
          <w:lang w:val="en-AU"/>
        </w:rPr>
        <w:t>.</w:t>
      </w:r>
      <w:r>
        <w:rPr>
          <w:lang w:val="en-AU"/>
        </w:rPr>
        <w:t>191</w:t>
      </w:r>
    </w:p>
  </w:footnote>
  <w:footnote w:id="13">
    <w:p w14:paraId="252E2D4D" w14:textId="1C12E1E1" w:rsidR="00464CF2" w:rsidRPr="00A13F9E" w:rsidRDefault="00464CF2" w:rsidP="00464CF2">
      <w:pPr>
        <w:pStyle w:val="FootnoteText"/>
        <w:rPr>
          <w:lang w:val="en-AU"/>
        </w:rPr>
      </w:pPr>
      <w:r>
        <w:rPr>
          <w:rStyle w:val="FootnoteReference"/>
        </w:rPr>
        <w:footnoteRef/>
      </w:r>
      <w:r w:rsidR="0446AEC4">
        <w:t xml:space="preserve"> BETA (2022), </w:t>
      </w:r>
      <w:r w:rsidR="0446AEC4" w:rsidRPr="0446AEC4">
        <w:rPr>
          <w:i/>
          <w:iCs/>
          <w:lang w:val="en-AU"/>
        </w:rPr>
        <w:t>Attracting high-achieving teaching candidates</w:t>
      </w:r>
      <w:r w:rsidR="0446AEC4">
        <w:rPr>
          <w:lang w:val="en-AU"/>
        </w:rPr>
        <w:t>, p.10</w:t>
      </w:r>
    </w:p>
  </w:footnote>
  <w:footnote w:id="14">
    <w:p w14:paraId="497CB7C7" w14:textId="05090768" w:rsidR="004F0F85" w:rsidRPr="004F0F85" w:rsidRDefault="004F0F85">
      <w:pPr>
        <w:pStyle w:val="FootnoteText"/>
        <w:rPr>
          <w:lang w:val="en-AU"/>
        </w:rPr>
      </w:pPr>
      <w:r>
        <w:rPr>
          <w:rStyle w:val="FootnoteReference"/>
        </w:rPr>
        <w:footnoteRef/>
      </w:r>
      <w:r w:rsidR="0446AEC4">
        <w:t xml:space="preserve"> BETA (2022), </w:t>
      </w:r>
      <w:r w:rsidR="0446AEC4" w:rsidRPr="0446AEC4">
        <w:rPr>
          <w:i/>
          <w:iCs/>
          <w:lang w:val="en-AU"/>
        </w:rPr>
        <w:t>Attracting high-achieving teaching candidates,</w:t>
      </w:r>
      <w:r w:rsidR="0446AEC4">
        <w:rPr>
          <w:lang w:val="en-AU"/>
        </w:rPr>
        <w:t xml:space="preserve"> p.10</w:t>
      </w:r>
    </w:p>
  </w:footnote>
  <w:footnote w:id="15">
    <w:p w14:paraId="55AD4463" w14:textId="77777777" w:rsidR="00413AC7" w:rsidRPr="00584CD0" w:rsidRDefault="00413AC7" w:rsidP="00413AC7">
      <w:pPr>
        <w:pStyle w:val="FootnoteText"/>
        <w:rPr>
          <w:lang w:val="en-AU"/>
        </w:rPr>
      </w:pPr>
      <w:r>
        <w:rPr>
          <w:rStyle w:val="FootnoteReference"/>
        </w:rPr>
        <w:footnoteRef/>
      </w:r>
      <w:r>
        <w:t xml:space="preserve"> </w:t>
      </w:r>
      <w:r>
        <w:rPr>
          <w:lang w:val="en-AU"/>
        </w:rPr>
        <w:t>For example, the NSW Mid-Career Transition to teaching includes a $30,000 one-off training allowance, and a $30,000 study completion bonus.</w:t>
      </w:r>
    </w:p>
  </w:footnote>
  <w:footnote w:id="16">
    <w:p w14:paraId="727EB8B6" w14:textId="77777777" w:rsidR="00A72C83" w:rsidRPr="0055715A" w:rsidRDefault="00A72C83" w:rsidP="00A72C83">
      <w:pPr>
        <w:pStyle w:val="FootnoteText"/>
        <w:rPr>
          <w:lang w:val="en-AU"/>
        </w:rPr>
      </w:pPr>
      <w:r>
        <w:rPr>
          <w:rStyle w:val="FootnoteReference"/>
        </w:rPr>
        <w:footnoteRef/>
      </w:r>
      <w:r>
        <w:t xml:space="preserve"> </w:t>
      </w:r>
      <w:r>
        <w:rPr>
          <w:lang w:val="en-AU"/>
        </w:rPr>
        <w:t>UNSW Masters of Teaching</w:t>
      </w:r>
    </w:p>
  </w:footnote>
  <w:footnote w:id="17">
    <w:p w14:paraId="52D8ABC3" w14:textId="626AD733" w:rsidR="00756EB9" w:rsidRPr="00451951" w:rsidRDefault="00756EB9" w:rsidP="00756EB9">
      <w:pPr>
        <w:pStyle w:val="FootnoteText"/>
        <w:rPr>
          <w:lang w:val="en-AU"/>
        </w:rPr>
      </w:pPr>
      <w:r>
        <w:rPr>
          <w:rStyle w:val="FootnoteReference"/>
        </w:rPr>
        <w:footnoteRef/>
      </w:r>
      <w:r>
        <w:t xml:space="preserve"> </w:t>
      </w:r>
      <w:r w:rsidR="6B1A2011">
        <w:t xml:space="preserve">Australian Government </w:t>
      </w:r>
      <w:r w:rsidR="4435092F">
        <w:rPr>
          <w:lang w:val="en-AU"/>
        </w:rPr>
        <w:t>Productivity</w:t>
      </w:r>
      <w:r>
        <w:rPr>
          <w:lang w:val="en-AU"/>
        </w:rPr>
        <w:t xml:space="preserve"> Commission</w:t>
      </w:r>
      <w:r w:rsidR="4435092F">
        <w:rPr>
          <w:lang w:val="en-AU"/>
        </w:rPr>
        <w:t xml:space="preserve"> (</w:t>
      </w:r>
      <w:r w:rsidR="42895EBD">
        <w:rPr>
          <w:lang w:val="en-AU"/>
        </w:rPr>
        <w:t>2023),</w:t>
      </w:r>
      <w:r>
        <w:rPr>
          <w:lang w:val="en-AU"/>
        </w:rPr>
        <w:t xml:space="preserve"> </w:t>
      </w:r>
      <w:r>
        <w:rPr>
          <w:i/>
          <w:iCs/>
          <w:lang w:val="en-AU"/>
        </w:rPr>
        <w:t>Review of the National School Reform Agreement</w:t>
      </w:r>
      <w:r>
        <w:rPr>
          <w:lang w:val="en-AU"/>
        </w:rPr>
        <w:t>. p. 42</w:t>
      </w:r>
    </w:p>
  </w:footnote>
  <w:footnote w:id="18">
    <w:p w14:paraId="40A69C57" w14:textId="16700425" w:rsidR="00CC70CA" w:rsidRPr="00CC70CA" w:rsidRDefault="00CC70CA">
      <w:pPr>
        <w:pStyle w:val="FootnoteText"/>
        <w:rPr>
          <w:lang w:val="en-AU"/>
        </w:rPr>
      </w:pPr>
      <w:r>
        <w:rPr>
          <w:rStyle w:val="FootnoteReference"/>
        </w:rPr>
        <w:footnoteRef/>
      </w:r>
      <w:r>
        <w:t xml:space="preserve"> </w:t>
      </w:r>
      <w:r>
        <w:rPr>
          <w:lang w:val="en-AU"/>
        </w:rPr>
        <w:t>Note: These are suggest</w:t>
      </w:r>
      <w:r w:rsidR="00215BDF">
        <w:rPr>
          <w:lang w:val="en-AU"/>
        </w:rPr>
        <w:t xml:space="preserve">ed </w:t>
      </w:r>
      <w:r w:rsidR="31DA701E">
        <w:rPr>
          <w:lang w:val="en-AU"/>
        </w:rPr>
        <w:t>innovations</w:t>
      </w:r>
      <w:r w:rsidR="00215BDF">
        <w:rPr>
          <w:lang w:val="en-AU"/>
        </w:rPr>
        <w:t xml:space="preserve"> rather than </w:t>
      </w:r>
      <w:r w:rsidR="00C1429E">
        <w:rPr>
          <w:lang w:val="en-AU"/>
        </w:rPr>
        <w:t>evidence-based approaches</w:t>
      </w:r>
      <w:r w:rsidR="007542CF">
        <w:rPr>
          <w:lang w:val="en-AU"/>
        </w:rPr>
        <w:t xml:space="preserve">; they could be piloted to determine effectiveness and ensure they do not compromise teacher quality. </w:t>
      </w:r>
    </w:p>
  </w:footnote>
  <w:footnote w:id="19">
    <w:p w14:paraId="7E1E9F48" w14:textId="1C2B085C" w:rsidR="00756EB9" w:rsidRPr="00375ECF" w:rsidRDefault="00756EB9" w:rsidP="00756EB9">
      <w:pPr>
        <w:pStyle w:val="FootnoteText"/>
        <w:rPr>
          <w:lang w:val="en-AU"/>
        </w:rPr>
      </w:pPr>
      <w:r>
        <w:rPr>
          <w:rStyle w:val="FootnoteReference"/>
        </w:rPr>
        <w:footnoteRef/>
      </w:r>
      <w:r w:rsidR="31DA701E">
        <w:t xml:space="preserve"> </w:t>
      </w:r>
      <w:r w:rsidR="31DA701E" w:rsidRPr="31DA701E">
        <w:rPr>
          <w:lang w:val="en-AU"/>
        </w:rPr>
        <w:t>Australian Government DoE</w:t>
      </w:r>
      <w:r w:rsidR="4B618F07" w:rsidRPr="31DA701E">
        <w:rPr>
          <w:lang w:val="en-AU"/>
        </w:rPr>
        <w:t xml:space="preserve"> </w:t>
      </w:r>
      <w:r w:rsidR="35309517" w:rsidRPr="31DA701E">
        <w:rPr>
          <w:lang w:val="en-AU"/>
        </w:rPr>
        <w:t>(2022),</w:t>
      </w:r>
      <w:r w:rsidR="31DA701E" w:rsidRPr="31DA701E">
        <w:rPr>
          <w:lang w:val="en-AU"/>
        </w:rPr>
        <w:t xml:space="preserve"> </w:t>
      </w:r>
      <w:r w:rsidR="31DA701E" w:rsidRPr="31DA701E">
        <w:rPr>
          <w:i/>
          <w:iCs/>
          <w:lang w:val="en-AU"/>
        </w:rPr>
        <w:t xml:space="preserve">Next steps: report of the quality of Initial Teacher Education review </w:t>
      </w:r>
      <w:r w:rsidR="31DA701E" w:rsidRPr="31DA701E">
        <w:rPr>
          <w:lang w:val="en-AU"/>
        </w:rPr>
        <w:t>(QITE)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9978"/>
    </w:tblGrid>
    <w:tr w:rsidR="003C3561" w14:paraId="00B92D0B" w14:textId="77777777" w:rsidTr="0016178E">
      <w:tc>
        <w:tcPr>
          <w:tcW w:w="9978" w:type="dxa"/>
        </w:tcPr>
        <w:p w14:paraId="7CBD2ECB" w14:textId="77777777" w:rsidR="003C3561" w:rsidRDefault="003C3561">
          <w:pPr>
            <w:pStyle w:val="Header"/>
          </w:pPr>
        </w:p>
      </w:tc>
    </w:tr>
  </w:tbl>
  <w:p w14:paraId="5B01A5E2" w14:textId="77777777" w:rsidR="003C3561" w:rsidRDefault="003C3561" w:rsidP="001A73D7">
    <w:pPr>
      <w:pStyle w:val="NormalSingle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A9EF" w14:textId="77777777" w:rsidR="003C3561" w:rsidRDefault="003C3561" w:rsidP="00FC4A9C">
    <w:pPr>
      <w:pStyle w:val="TableText"/>
    </w:pPr>
    <w:r w:rsidRPr="00F03EA7">
      <w:rPr>
        <w:noProof/>
        <w:lang w:val="en-US"/>
      </w:rPr>
      <mc:AlternateContent>
        <mc:Choice Requires="wpg">
          <w:drawing>
            <wp:anchor distT="0" distB="0" distL="114300" distR="114300" simplePos="0" relativeHeight="251658240" behindDoc="1" locked="1" layoutInCell="1" allowOverlap="1" wp14:anchorId="4B603D76" wp14:editId="4622A591">
              <wp:simplePos x="0" y="0"/>
              <wp:positionH relativeFrom="margin">
                <wp:posOffset>-720090</wp:posOffset>
              </wp:positionH>
              <wp:positionV relativeFrom="page">
                <wp:posOffset>9525</wp:posOffset>
              </wp:positionV>
              <wp:extent cx="7666990" cy="8201025"/>
              <wp:effectExtent l="0" t="0" r="0" b="9525"/>
              <wp:wrapNone/>
              <wp:docPr id="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66990" cy="8201025"/>
                        <a:chOff x="-168" y="0"/>
                        <a:chExt cx="12074" cy="12915"/>
                      </a:xfrm>
                    </wpg:grpSpPr>
                    <wps:wsp>
                      <wps:cNvPr id="9" name="AutoShape 29"/>
                      <wps:cNvSpPr>
                        <a:spLocks noChangeArrowheads="1" noTextEdit="1"/>
                      </wps:cNvSpPr>
                      <wps:spPr bwMode="auto">
                        <a:xfrm>
                          <a:off x="0" y="0"/>
                          <a:ext cx="11906" cy="12915"/>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s:wsp>
                      <wps:cNvPr id="10" name="Rectangle 30"/>
                      <wps:cNvSpPr>
                        <a:spLocks noChangeArrowheads="1"/>
                      </wps:cNvSpPr>
                      <wps:spPr bwMode="auto">
                        <a:xfrm>
                          <a:off x="-168" y="0"/>
                          <a:ext cx="11906" cy="12915"/>
                        </a:xfrm>
                        <a:prstGeom prst="rect">
                          <a:avLst/>
                        </a:prstGeom>
                        <a:solidFill>
                          <a:srgbClr val="E4E5E3"/>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0">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D574404">
            <v:group id="Group 28" style="position:absolute;margin-left:-56.7pt;margin-top:.75pt;width:603.7pt;height:645.75pt;z-index:-251658240;mso-position-horizontal-relative:margin;mso-position-vertical-relative:page" coordsize="12074,12915" coordorigin="-168" o:spid="_x0000_s1026" w14:anchorId="25A87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">
              <v:rect id="AutoShape 29" style="position:absolute;width:11906;height:12915;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o:lock v:ext="edit" text="t"/>
              </v:rect>
              <v:rect id="Rectangle 30" style="position:absolute;left:-168;width:11906;height:12915;visibility:visible;mso-wrap-style:square;v-text-anchor:top" o:spid="_x0000_s1028" fillcolor="#e4e5e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">
                <v:textbox inset=",7.2pt,,7.2pt"/>
              </v:rect>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42A"/>
    <w:multiLevelType w:val="multilevel"/>
    <w:tmpl w:val="45762C70"/>
    <w:styleLink w:val="HeadingsNumbered"/>
    <w:lvl w:ilvl="0">
      <w:start w:val="1"/>
      <w:numFmt w:val="bullet"/>
      <w:lvlText w:val=""/>
      <w:lvlJc w:val="left"/>
      <w:pPr>
        <w:ind w:left="360" w:hanging="360"/>
      </w:pPr>
      <w:rPr>
        <w:rFonts w:ascii="Symbol" w:hAnsi="Symbol"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b w:val="0"/>
        <w:i w:val="0"/>
      </w:rPr>
    </w:lvl>
    <w:lvl w:ilvl="3">
      <w:start w:val="1"/>
      <w:numFmt w:val="lowerLetter"/>
      <w:lvlText w:val="%4."/>
      <w:lvlJc w:val="left"/>
      <w:pPr>
        <w:tabs>
          <w:tab w:val="num" w:pos="284"/>
        </w:tabs>
        <w:ind w:left="284" w:hanging="284"/>
      </w:pPr>
      <w:rPr>
        <w:rFonts w:hint="default"/>
        <w:color w:val="000000" w:themeColor="text1"/>
      </w:rPr>
    </w:lvl>
    <w:lvl w:ilvl="4">
      <w:start w:val="1"/>
      <w:numFmt w:val="decimal"/>
      <w:lvlRestart w:val="3"/>
      <w:lvlText w:val="%5."/>
      <w:lvlJc w:val="left"/>
      <w:pPr>
        <w:tabs>
          <w:tab w:val="num" w:pos="284"/>
        </w:tabs>
        <w:ind w:left="284" w:hanging="284"/>
      </w:pPr>
      <w:rPr>
        <w:rFonts w:hint="default"/>
        <w:color w:val="000000" w:themeColor="text1"/>
      </w:rPr>
    </w:lvl>
    <w:lvl w:ilvl="5">
      <w:start w:val="1"/>
      <w:numFmt w:val="bullet"/>
      <w:lvlRestart w:val="3"/>
      <w:lvlText w:val=""/>
      <w:lvlJc w:val="left"/>
      <w:pPr>
        <w:tabs>
          <w:tab w:val="num" w:pos="284"/>
        </w:tabs>
        <w:ind w:left="284" w:hanging="284"/>
      </w:pPr>
      <w:rPr>
        <w:rFonts w:ascii="Wingdings" w:hAnsi="Wingdings" w:hint="default"/>
        <w:color w:val="000000" w:themeColor="text1"/>
      </w:rPr>
    </w:lvl>
    <w:lvl w:ilvl="6">
      <w:start w:val="1"/>
      <w:numFmt w:val="bullet"/>
      <w:lvlText w:val="○"/>
      <w:lvlJc w:val="left"/>
      <w:pPr>
        <w:ind w:left="567" w:hanging="283"/>
      </w:pPr>
      <w:rPr>
        <w:rFonts w:ascii="Abadi" w:hAnsi="Abadi" w:hint="default"/>
        <w:color w:val="000000" w:themeColor="text1"/>
      </w:rPr>
    </w:lvl>
    <w:lvl w:ilvl="7">
      <w:start w:val="1"/>
      <w:numFmt w:val="bullet"/>
      <w:lvlText w:val="−"/>
      <w:lvlJc w:val="left"/>
      <w:pPr>
        <w:tabs>
          <w:tab w:val="num" w:pos="851"/>
        </w:tabs>
        <w:ind w:left="851" w:hanging="284"/>
      </w:pPr>
      <w:rPr>
        <w:rFonts w:ascii="Times New Roman" w:hAnsi="Times New Roman" w:cs="Times New Roman" w:hint="default"/>
        <w:color w:val="4D4D4D" w:themeColor="text2"/>
      </w:rPr>
    </w:lvl>
    <w:lvl w:ilvl="8">
      <w:start w:val="1"/>
      <w:numFmt w:val="bullet"/>
      <w:lvlText w:val=""/>
      <w:lvlJc w:val="left"/>
      <w:pPr>
        <w:tabs>
          <w:tab w:val="num" w:pos="1134"/>
        </w:tabs>
        <w:ind w:left="1134" w:hanging="283"/>
      </w:pPr>
      <w:rPr>
        <w:rFonts w:ascii="Wingdings" w:hAnsi="Wingdings" w:hint="default"/>
        <w:color w:val="000000" w:themeColor="text1"/>
      </w:rPr>
    </w:lvl>
  </w:abstractNum>
  <w:abstractNum w:abstractNumId="1" w15:restartNumberingAfterBreak="0">
    <w:nsid w:val="0BB2B940"/>
    <w:multiLevelType w:val="hybridMultilevel"/>
    <w:tmpl w:val="FFFFFFFF"/>
    <w:lvl w:ilvl="0" w:tplc="67B4BC96">
      <w:start w:val="1"/>
      <w:numFmt w:val="bullet"/>
      <w:lvlText w:val=""/>
      <w:lvlJc w:val="left"/>
      <w:pPr>
        <w:ind w:left="720" w:hanging="360"/>
      </w:pPr>
      <w:rPr>
        <w:rFonts w:ascii="Symbol" w:hAnsi="Symbol" w:hint="default"/>
      </w:rPr>
    </w:lvl>
    <w:lvl w:ilvl="1" w:tplc="61C65620">
      <w:start w:val="1"/>
      <w:numFmt w:val="bullet"/>
      <w:lvlText w:val="o"/>
      <w:lvlJc w:val="left"/>
      <w:pPr>
        <w:ind w:left="1440" w:hanging="360"/>
      </w:pPr>
      <w:rPr>
        <w:rFonts w:ascii="Courier New" w:hAnsi="Courier New" w:hint="default"/>
      </w:rPr>
    </w:lvl>
    <w:lvl w:ilvl="2" w:tplc="79E252E4">
      <w:start w:val="1"/>
      <w:numFmt w:val="bullet"/>
      <w:lvlText w:val=""/>
      <w:lvlJc w:val="left"/>
      <w:pPr>
        <w:ind w:left="2160" w:hanging="360"/>
      </w:pPr>
      <w:rPr>
        <w:rFonts w:ascii="Wingdings" w:hAnsi="Wingdings" w:hint="default"/>
      </w:rPr>
    </w:lvl>
    <w:lvl w:ilvl="3" w:tplc="82D82882">
      <w:start w:val="1"/>
      <w:numFmt w:val="bullet"/>
      <w:lvlText w:val=""/>
      <w:lvlJc w:val="left"/>
      <w:pPr>
        <w:ind w:left="2880" w:hanging="360"/>
      </w:pPr>
      <w:rPr>
        <w:rFonts w:ascii="Symbol" w:hAnsi="Symbol" w:hint="default"/>
      </w:rPr>
    </w:lvl>
    <w:lvl w:ilvl="4" w:tplc="49C68A4E">
      <w:start w:val="1"/>
      <w:numFmt w:val="bullet"/>
      <w:lvlText w:val="o"/>
      <w:lvlJc w:val="left"/>
      <w:pPr>
        <w:ind w:left="3600" w:hanging="360"/>
      </w:pPr>
      <w:rPr>
        <w:rFonts w:ascii="Courier New" w:hAnsi="Courier New" w:hint="default"/>
      </w:rPr>
    </w:lvl>
    <w:lvl w:ilvl="5" w:tplc="36688392">
      <w:start w:val="1"/>
      <w:numFmt w:val="bullet"/>
      <w:lvlText w:val=""/>
      <w:lvlJc w:val="left"/>
      <w:pPr>
        <w:ind w:left="4320" w:hanging="360"/>
      </w:pPr>
      <w:rPr>
        <w:rFonts w:ascii="Wingdings" w:hAnsi="Wingdings" w:hint="default"/>
      </w:rPr>
    </w:lvl>
    <w:lvl w:ilvl="6" w:tplc="FD0AF636">
      <w:start w:val="1"/>
      <w:numFmt w:val="bullet"/>
      <w:lvlText w:val=""/>
      <w:lvlJc w:val="left"/>
      <w:pPr>
        <w:ind w:left="5040" w:hanging="360"/>
      </w:pPr>
      <w:rPr>
        <w:rFonts w:ascii="Symbol" w:hAnsi="Symbol" w:hint="default"/>
      </w:rPr>
    </w:lvl>
    <w:lvl w:ilvl="7" w:tplc="10DAD72C">
      <w:start w:val="1"/>
      <w:numFmt w:val="bullet"/>
      <w:lvlText w:val="o"/>
      <w:lvlJc w:val="left"/>
      <w:pPr>
        <w:ind w:left="5760" w:hanging="360"/>
      </w:pPr>
      <w:rPr>
        <w:rFonts w:ascii="Courier New" w:hAnsi="Courier New" w:hint="default"/>
      </w:rPr>
    </w:lvl>
    <w:lvl w:ilvl="8" w:tplc="6F78A854">
      <w:start w:val="1"/>
      <w:numFmt w:val="bullet"/>
      <w:lvlText w:val=""/>
      <w:lvlJc w:val="left"/>
      <w:pPr>
        <w:ind w:left="6480" w:hanging="360"/>
      </w:pPr>
      <w:rPr>
        <w:rFonts w:ascii="Wingdings" w:hAnsi="Wingdings" w:hint="default"/>
      </w:rPr>
    </w:lvl>
  </w:abstractNum>
  <w:abstractNum w:abstractNumId="2" w15:restartNumberingAfterBreak="0">
    <w:nsid w:val="0ECA0125"/>
    <w:multiLevelType w:val="multilevel"/>
    <w:tmpl w:val="3A005AA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3" w15:restartNumberingAfterBreak="0">
    <w:nsid w:val="14ED4E14"/>
    <w:multiLevelType w:val="hybridMultilevel"/>
    <w:tmpl w:val="FFFFFFFF"/>
    <w:lvl w:ilvl="0" w:tplc="73169EE6">
      <w:start w:val="1"/>
      <w:numFmt w:val="bullet"/>
      <w:lvlText w:val=""/>
      <w:lvlJc w:val="left"/>
      <w:pPr>
        <w:ind w:left="720" w:hanging="360"/>
      </w:pPr>
      <w:rPr>
        <w:rFonts w:ascii="Symbol" w:hAnsi="Symbol" w:hint="default"/>
      </w:rPr>
    </w:lvl>
    <w:lvl w:ilvl="1" w:tplc="79228E22">
      <w:start w:val="1"/>
      <w:numFmt w:val="bullet"/>
      <w:lvlText w:val="o"/>
      <w:lvlJc w:val="left"/>
      <w:pPr>
        <w:ind w:left="1440" w:hanging="360"/>
      </w:pPr>
      <w:rPr>
        <w:rFonts w:ascii="Courier New" w:hAnsi="Courier New" w:hint="default"/>
      </w:rPr>
    </w:lvl>
    <w:lvl w:ilvl="2" w:tplc="26060506">
      <w:start w:val="1"/>
      <w:numFmt w:val="bullet"/>
      <w:lvlText w:val=""/>
      <w:lvlJc w:val="left"/>
      <w:pPr>
        <w:ind w:left="2160" w:hanging="360"/>
      </w:pPr>
      <w:rPr>
        <w:rFonts w:ascii="Wingdings" w:hAnsi="Wingdings" w:hint="default"/>
      </w:rPr>
    </w:lvl>
    <w:lvl w:ilvl="3" w:tplc="08B69724">
      <w:start w:val="1"/>
      <w:numFmt w:val="bullet"/>
      <w:lvlText w:val=""/>
      <w:lvlJc w:val="left"/>
      <w:pPr>
        <w:ind w:left="2880" w:hanging="360"/>
      </w:pPr>
      <w:rPr>
        <w:rFonts w:ascii="Symbol" w:hAnsi="Symbol" w:hint="default"/>
      </w:rPr>
    </w:lvl>
    <w:lvl w:ilvl="4" w:tplc="B920B602">
      <w:start w:val="1"/>
      <w:numFmt w:val="bullet"/>
      <w:lvlText w:val="o"/>
      <w:lvlJc w:val="left"/>
      <w:pPr>
        <w:ind w:left="3600" w:hanging="360"/>
      </w:pPr>
      <w:rPr>
        <w:rFonts w:ascii="Courier New" w:hAnsi="Courier New" w:hint="default"/>
      </w:rPr>
    </w:lvl>
    <w:lvl w:ilvl="5" w:tplc="F4260E26">
      <w:start w:val="1"/>
      <w:numFmt w:val="bullet"/>
      <w:lvlText w:val=""/>
      <w:lvlJc w:val="left"/>
      <w:pPr>
        <w:ind w:left="4320" w:hanging="360"/>
      </w:pPr>
      <w:rPr>
        <w:rFonts w:ascii="Wingdings" w:hAnsi="Wingdings" w:hint="default"/>
      </w:rPr>
    </w:lvl>
    <w:lvl w:ilvl="6" w:tplc="463E184E">
      <w:start w:val="1"/>
      <w:numFmt w:val="bullet"/>
      <w:lvlText w:val=""/>
      <w:lvlJc w:val="left"/>
      <w:pPr>
        <w:ind w:left="5040" w:hanging="360"/>
      </w:pPr>
      <w:rPr>
        <w:rFonts w:ascii="Symbol" w:hAnsi="Symbol" w:hint="default"/>
      </w:rPr>
    </w:lvl>
    <w:lvl w:ilvl="7" w:tplc="AC98D802">
      <w:start w:val="1"/>
      <w:numFmt w:val="bullet"/>
      <w:lvlText w:val="o"/>
      <w:lvlJc w:val="left"/>
      <w:pPr>
        <w:ind w:left="5760" w:hanging="360"/>
      </w:pPr>
      <w:rPr>
        <w:rFonts w:ascii="Courier New" w:hAnsi="Courier New" w:hint="default"/>
      </w:rPr>
    </w:lvl>
    <w:lvl w:ilvl="8" w:tplc="5920BAB4">
      <w:start w:val="1"/>
      <w:numFmt w:val="bullet"/>
      <w:lvlText w:val=""/>
      <w:lvlJc w:val="left"/>
      <w:pPr>
        <w:ind w:left="6480" w:hanging="360"/>
      </w:pPr>
      <w:rPr>
        <w:rFonts w:ascii="Wingdings" w:hAnsi="Wingdings" w:hint="default"/>
      </w:rPr>
    </w:lvl>
  </w:abstractNum>
  <w:abstractNum w:abstractNumId="4" w15:restartNumberingAfterBreak="0">
    <w:nsid w:val="159D6E2B"/>
    <w:multiLevelType w:val="hybridMultilevel"/>
    <w:tmpl w:val="6258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76299"/>
    <w:multiLevelType w:val="hybridMultilevel"/>
    <w:tmpl w:val="FFFFFFFF"/>
    <w:lvl w:ilvl="0" w:tplc="3168C5DE">
      <w:start w:val="1"/>
      <w:numFmt w:val="bullet"/>
      <w:lvlText w:val=""/>
      <w:lvlJc w:val="left"/>
      <w:pPr>
        <w:ind w:left="720" w:hanging="360"/>
      </w:pPr>
      <w:rPr>
        <w:rFonts w:ascii="Symbol" w:hAnsi="Symbol" w:hint="default"/>
      </w:rPr>
    </w:lvl>
    <w:lvl w:ilvl="1" w:tplc="4E26616E">
      <w:start w:val="1"/>
      <w:numFmt w:val="bullet"/>
      <w:lvlText w:val="o"/>
      <w:lvlJc w:val="left"/>
      <w:pPr>
        <w:ind w:left="1440" w:hanging="360"/>
      </w:pPr>
      <w:rPr>
        <w:rFonts w:ascii="Courier New" w:hAnsi="Courier New" w:hint="default"/>
      </w:rPr>
    </w:lvl>
    <w:lvl w:ilvl="2" w:tplc="550E5DA8">
      <w:start w:val="1"/>
      <w:numFmt w:val="bullet"/>
      <w:lvlText w:val=""/>
      <w:lvlJc w:val="left"/>
      <w:pPr>
        <w:ind w:left="2160" w:hanging="360"/>
      </w:pPr>
      <w:rPr>
        <w:rFonts w:ascii="Wingdings" w:hAnsi="Wingdings" w:hint="default"/>
      </w:rPr>
    </w:lvl>
    <w:lvl w:ilvl="3" w:tplc="89CE4092">
      <w:start w:val="1"/>
      <w:numFmt w:val="bullet"/>
      <w:lvlText w:val=""/>
      <w:lvlJc w:val="left"/>
      <w:pPr>
        <w:ind w:left="2880" w:hanging="360"/>
      </w:pPr>
      <w:rPr>
        <w:rFonts w:ascii="Symbol" w:hAnsi="Symbol" w:hint="default"/>
      </w:rPr>
    </w:lvl>
    <w:lvl w:ilvl="4" w:tplc="99E46F94">
      <w:start w:val="1"/>
      <w:numFmt w:val="bullet"/>
      <w:lvlText w:val="o"/>
      <w:lvlJc w:val="left"/>
      <w:pPr>
        <w:ind w:left="3600" w:hanging="360"/>
      </w:pPr>
      <w:rPr>
        <w:rFonts w:ascii="Courier New" w:hAnsi="Courier New" w:hint="default"/>
      </w:rPr>
    </w:lvl>
    <w:lvl w:ilvl="5" w:tplc="017648A0">
      <w:start w:val="1"/>
      <w:numFmt w:val="bullet"/>
      <w:lvlText w:val=""/>
      <w:lvlJc w:val="left"/>
      <w:pPr>
        <w:ind w:left="4320" w:hanging="360"/>
      </w:pPr>
      <w:rPr>
        <w:rFonts w:ascii="Wingdings" w:hAnsi="Wingdings" w:hint="default"/>
      </w:rPr>
    </w:lvl>
    <w:lvl w:ilvl="6" w:tplc="77AA2310">
      <w:start w:val="1"/>
      <w:numFmt w:val="bullet"/>
      <w:lvlText w:val=""/>
      <w:lvlJc w:val="left"/>
      <w:pPr>
        <w:ind w:left="5040" w:hanging="360"/>
      </w:pPr>
      <w:rPr>
        <w:rFonts w:ascii="Symbol" w:hAnsi="Symbol" w:hint="default"/>
      </w:rPr>
    </w:lvl>
    <w:lvl w:ilvl="7" w:tplc="785E4F72">
      <w:start w:val="1"/>
      <w:numFmt w:val="bullet"/>
      <w:lvlText w:val="o"/>
      <w:lvlJc w:val="left"/>
      <w:pPr>
        <w:ind w:left="5760" w:hanging="360"/>
      </w:pPr>
      <w:rPr>
        <w:rFonts w:ascii="Courier New" w:hAnsi="Courier New" w:hint="default"/>
      </w:rPr>
    </w:lvl>
    <w:lvl w:ilvl="8" w:tplc="30C0C050">
      <w:start w:val="1"/>
      <w:numFmt w:val="bullet"/>
      <w:lvlText w:val=""/>
      <w:lvlJc w:val="left"/>
      <w:pPr>
        <w:ind w:left="6480" w:hanging="360"/>
      </w:pPr>
      <w:rPr>
        <w:rFonts w:ascii="Wingdings" w:hAnsi="Wingdings" w:hint="default"/>
      </w:rPr>
    </w:lvl>
  </w:abstractNum>
  <w:abstractNum w:abstractNumId="6" w15:restartNumberingAfterBreak="0">
    <w:nsid w:val="19870020"/>
    <w:multiLevelType w:val="multilevel"/>
    <w:tmpl w:val="3A005AA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7" w15:restartNumberingAfterBreak="0">
    <w:nsid w:val="1AD07484"/>
    <w:multiLevelType w:val="hybridMultilevel"/>
    <w:tmpl w:val="FFFFFFFF"/>
    <w:lvl w:ilvl="0" w:tplc="31F4DEB2">
      <w:start w:val="1"/>
      <w:numFmt w:val="bullet"/>
      <w:lvlText w:val=""/>
      <w:lvlJc w:val="left"/>
      <w:pPr>
        <w:ind w:left="720" w:hanging="360"/>
      </w:pPr>
      <w:rPr>
        <w:rFonts w:ascii="Symbol" w:hAnsi="Symbol" w:hint="default"/>
      </w:rPr>
    </w:lvl>
    <w:lvl w:ilvl="1" w:tplc="10F034F2">
      <w:start w:val="1"/>
      <w:numFmt w:val="bullet"/>
      <w:lvlText w:val="o"/>
      <w:lvlJc w:val="left"/>
      <w:pPr>
        <w:ind w:left="1440" w:hanging="360"/>
      </w:pPr>
      <w:rPr>
        <w:rFonts w:ascii="Courier New" w:hAnsi="Courier New" w:hint="default"/>
      </w:rPr>
    </w:lvl>
    <w:lvl w:ilvl="2" w:tplc="9886E6F8">
      <w:start w:val="1"/>
      <w:numFmt w:val="bullet"/>
      <w:lvlText w:val=""/>
      <w:lvlJc w:val="left"/>
      <w:pPr>
        <w:ind w:left="2160" w:hanging="360"/>
      </w:pPr>
      <w:rPr>
        <w:rFonts w:ascii="Wingdings" w:hAnsi="Wingdings" w:hint="default"/>
      </w:rPr>
    </w:lvl>
    <w:lvl w:ilvl="3" w:tplc="3B4E790E">
      <w:start w:val="1"/>
      <w:numFmt w:val="bullet"/>
      <w:lvlText w:val=""/>
      <w:lvlJc w:val="left"/>
      <w:pPr>
        <w:ind w:left="2880" w:hanging="360"/>
      </w:pPr>
      <w:rPr>
        <w:rFonts w:ascii="Symbol" w:hAnsi="Symbol" w:hint="default"/>
      </w:rPr>
    </w:lvl>
    <w:lvl w:ilvl="4" w:tplc="7332DA98">
      <w:start w:val="1"/>
      <w:numFmt w:val="bullet"/>
      <w:lvlText w:val="o"/>
      <w:lvlJc w:val="left"/>
      <w:pPr>
        <w:ind w:left="3600" w:hanging="360"/>
      </w:pPr>
      <w:rPr>
        <w:rFonts w:ascii="Courier New" w:hAnsi="Courier New" w:hint="default"/>
      </w:rPr>
    </w:lvl>
    <w:lvl w:ilvl="5" w:tplc="917A7CBA">
      <w:start w:val="1"/>
      <w:numFmt w:val="bullet"/>
      <w:lvlText w:val=""/>
      <w:lvlJc w:val="left"/>
      <w:pPr>
        <w:ind w:left="4320" w:hanging="360"/>
      </w:pPr>
      <w:rPr>
        <w:rFonts w:ascii="Wingdings" w:hAnsi="Wingdings" w:hint="default"/>
      </w:rPr>
    </w:lvl>
    <w:lvl w:ilvl="6" w:tplc="81D8BF84">
      <w:start w:val="1"/>
      <w:numFmt w:val="bullet"/>
      <w:lvlText w:val=""/>
      <w:lvlJc w:val="left"/>
      <w:pPr>
        <w:ind w:left="5040" w:hanging="360"/>
      </w:pPr>
      <w:rPr>
        <w:rFonts w:ascii="Symbol" w:hAnsi="Symbol" w:hint="default"/>
      </w:rPr>
    </w:lvl>
    <w:lvl w:ilvl="7" w:tplc="D2BE700A">
      <w:start w:val="1"/>
      <w:numFmt w:val="bullet"/>
      <w:lvlText w:val="o"/>
      <w:lvlJc w:val="left"/>
      <w:pPr>
        <w:ind w:left="5760" w:hanging="360"/>
      </w:pPr>
      <w:rPr>
        <w:rFonts w:ascii="Courier New" w:hAnsi="Courier New" w:hint="default"/>
      </w:rPr>
    </w:lvl>
    <w:lvl w:ilvl="8" w:tplc="95FC4CB8">
      <w:start w:val="1"/>
      <w:numFmt w:val="bullet"/>
      <w:lvlText w:val=""/>
      <w:lvlJc w:val="left"/>
      <w:pPr>
        <w:ind w:left="6480" w:hanging="360"/>
      </w:pPr>
      <w:rPr>
        <w:rFonts w:ascii="Wingdings" w:hAnsi="Wingdings" w:hint="default"/>
      </w:rPr>
    </w:lvl>
  </w:abstractNum>
  <w:abstractNum w:abstractNumId="8" w15:restartNumberingAfterBreak="0">
    <w:nsid w:val="1B3A46C7"/>
    <w:multiLevelType w:val="hybridMultilevel"/>
    <w:tmpl w:val="E6BE8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07CC7"/>
    <w:multiLevelType w:val="multilevel"/>
    <w:tmpl w:val="3A005AA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10" w15:restartNumberingAfterBreak="0">
    <w:nsid w:val="200C2C6C"/>
    <w:multiLevelType w:val="hybridMultilevel"/>
    <w:tmpl w:val="D73C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83D36"/>
    <w:multiLevelType w:val="hybridMultilevel"/>
    <w:tmpl w:val="24EE2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E27AA"/>
    <w:multiLevelType w:val="multilevel"/>
    <w:tmpl w:val="3A005AA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13" w15:restartNumberingAfterBreak="0">
    <w:nsid w:val="25A9069B"/>
    <w:multiLevelType w:val="multilevel"/>
    <w:tmpl w:val="5A168E46"/>
    <w:styleLink w:val="HeadingsNumbered0"/>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lowerLetter"/>
      <w:lvlText w:val="%4."/>
      <w:lvlJc w:val="left"/>
      <w:pPr>
        <w:tabs>
          <w:tab w:val="num" w:pos="284"/>
        </w:tabs>
        <w:ind w:left="284" w:hanging="284"/>
      </w:pPr>
      <w:rPr>
        <w:rFonts w:hint="default"/>
        <w:color w:val="000000" w:themeColor="text1"/>
      </w:rPr>
    </w:lvl>
    <w:lvl w:ilvl="4">
      <w:start w:val="1"/>
      <w:numFmt w:val="decimal"/>
      <w:lvlRestart w:val="3"/>
      <w:lvlText w:val="%5."/>
      <w:lvlJc w:val="left"/>
      <w:pPr>
        <w:tabs>
          <w:tab w:val="num" w:pos="284"/>
        </w:tabs>
        <w:ind w:left="284" w:hanging="284"/>
      </w:pPr>
      <w:rPr>
        <w:rFonts w:hint="default"/>
        <w:color w:val="000000" w:themeColor="text1"/>
      </w:rPr>
    </w:lvl>
    <w:lvl w:ilvl="5">
      <w:start w:val="1"/>
      <w:numFmt w:val="bullet"/>
      <w:lvlRestart w:val="3"/>
      <w:lvlText w:val=""/>
      <w:lvlJc w:val="left"/>
      <w:pPr>
        <w:tabs>
          <w:tab w:val="num" w:pos="284"/>
        </w:tabs>
        <w:ind w:left="284" w:hanging="284"/>
      </w:pPr>
      <w:rPr>
        <w:rFonts w:ascii="Wingdings" w:hAnsi="Wingdings" w:hint="default"/>
        <w:color w:val="000000" w:themeColor="text1"/>
      </w:rPr>
    </w:lvl>
    <w:lvl w:ilvl="6">
      <w:start w:val="1"/>
      <w:numFmt w:val="bullet"/>
      <w:lvlText w:val="○"/>
      <w:lvlJc w:val="left"/>
      <w:pPr>
        <w:ind w:left="567" w:hanging="283"/>
      </w:pPr>
      <w:rPr>
        <w:rFonts w:ascii="Abadi" w:hAnsi="Abadi" w:hint="default"/>
        <w:color w:val="000000" w:themeColor="text1"/>
      </w:rPr>
    </w:lvl>
    <w:lvl w:ilvl="7">
      <w:start w:val="1"/>
      <w:numFmt w:val="bullet"/>
      <w:lvlText w:val="−"/>
      <w:lvlJc w:val="left"/>
      <w:pPr>
        <w:tabs>
          <w:tab w:val="num" w:pos="851"/>
        </w:tabs>
        <w:ind w:left="851" w:hanging="284"/>
      </w:pPr>
      <w:rPr>
        <w:rFonts w:ascii="Times New Roman" w:hAnsi="Times New Roman" w:cs="Times New Roman" w:hint="default"/>
        <w:color w:val="4D4D4D" w:themeColor="text2"/>
      </w:rPr>
    </w:lvl>
    <w:lvl w:ilvl="8">
      <w:start w:val="1"/>
      <w:numFmt w:val="bullet"/>
      <w:lvlText w:val=""/>
      <w:lvlJc w:val="left"/>
      <w:pPr>
        <w:tabs>
          <w:tab w:val="num" w:pos="1134"/>
        </w:tabs>
        <w:ind w:left="1134" w:hanging="283"/>
      </w:pPr>
      <w:rPr>
        <w:rFonts w:ascii="Wingdings" w:hAnsi="Wingdings" w:hint="default"/>
        <w:color w:val="000000" w:themeColor="text1"/>
      </w:rPr>
    </w:lvl>
  </w:abstractNum>
  <w:abstractNum w:abstractNumId="14" w15:restartNumberingAfterBreak="0">
    <w:nsid w:val="25CF27A3"/>
    <w:multiLevelType w:val="multilevel"/>
    <w:tmpl w:val="9E6E64A4"/>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15" w15:restartNumberingAfterBreak="0">
    <w:nsid w:val="2A1D6517"/>
    <w:multiLevelType w:val="multilevel"/>
    <w:tmpl w:val="3770469C"/>
    <w:numStyleLink w:val="NumberedList"/>
  </w:abstractNum>
  <w:abstractNum w:abstractNumId="16" w15:restartNumberingAfterBreak="0">
    <w:nsid w:val="2F551305"/>
    <w:multiLevelType w:val="hybridMultilevel"/>
    <w:tmpl w:val="FFFFFFFF"/>
    <w:lvl w:ilvl="0" w:tplc="4DA05834">
      <w:start w:val="1"/>
      <w:numFmt w:val="bullet"/>
      <w:lvlText w:val=""/>
      <w:lvlJc w:val="left"/>
      <w:pPr>
        <w:ind w:left="720" w:hanging="360"/>
      </w:pPr>
      <w:rPr>
        <w:rFonts w:ascii="Symbol" w:hAnsi="Symbol" w:hint="default"/>
      </w:rPr>
    </w:lvl>
    <w:lvl w:ilvl="1" w:tplc="5C5A690A">
      <w:start w:val="1"/>
      <w:numFmt w:val="bullet"/>
      <w:lvlText w:val="o"/>
      <w:lvlJc w:val="left"/>
      <w:pPr>
        <w:ind w:left="1440" w:hanging="360"/>
      </w:pPr>
      <w:rPr>
        <w:rFonts w:ascii="Courier New" w:hAnsi="Courier New" w:hint="default"/>
      </w:rPr>
    </w:lvl>
    <w:lvl w:ilvl="2" w:tplc="43021D9E">
      <w:start w:val="1"/>
      <w:numFmt w:val="bullet"/>
      <w:lvlText w:val=""/>
      <w:lvlJc w:val="left"/>
      <w:pPr>
        <w:ind w:left="2160" w:hanging="360"/>
      </w:pPr>
      <w:rPr>
        <w:rFonts w:ascii="Wingdings" w:hAnsi="Wingdings" w:hint="default"/>
      </w:rPr>
    </w:lvl>
    <w:lvl w:ilvl="3" w:tplc="9ACA9C4A">
      <w:start w:val="1"/>
      <w:numFmt w:val="bullet"/>
      <w:lvlText w:val=""/>
      <w:lvlJc w:val="left"/>
      <w:pPr>
        <w:ind w:left="2880" w:hanging="360"/>
      </w:pPr>
      <w:rPr>
        <w:rFonts w:ascii="Symbol" w:hAnsi="Symbol" w:hint="default"/>
      </w:rPr>
    </w:lvl>
    <w:lvl w:ilvl="4" w:tplc="522E04EA">
      <w:start w:val="1"/>
      <w:numFmt w:val="bullet"/>
      <w:lvlText w:val="o"/>
      <w:lvlJc w:val="left"/>
      <w:pPr>
        <w:ind w:left="3600" w:hanging="360"/>
      </w:pPr>
      <w:rPr>
        <w:rFonts w:ascii="Courier New" w:hAnsi="Courier New" w:hint="default"/>
      </w:rPr>
    </w:lvl>
    <w:lvl w:ilvl="5" w:tplc="C106A1FE">
      <w:start w:val="1"/>
      <w:numFmt w:val="bullet"/>
      <w:lvlText w:val=""/>
      <w:lvlJc w:val="left"/>
      <w:pPr>
        <w:ind w:left="4320" w:hanging="360"/>
      </w:pPr>
      <w:rPr>
        <w:rFonts w:ascii="Wingdings" w:hAnsi="Wingdings" w:hint="default"/>
      </w:rPr>
    </w:lvl>
    <w:lvl w:ilvl="6" w:tplc="2766DEE2">
      <w:start w:val="1"/>
      <w:numFmt w:val="bullet"/>
      <w:lvlText w:val=""/>
      <w:lvlJc w:val="left"/>
      <w:pPr>
        <w:ind w:left="5040" w:hanging="360"/>
      </w:pPr>
      <w:rPr>
        <w:rFonts w:ascii="Symbol" w:hAnsi="Symbol" w:hint="default"/>
      </w:rPr>
    </w:lvl>
    <w:lvl w:ilvl="7" w:tplc="2DF0CAB6">
      <w:start w:val="1"/>
      <w:numFmt w:val="bullet"/>
      <w:lvlText w:val="o"/>
      <w:lvlJc w:val="left"/>
      <w:pPr>
        <w:ind w:left="5760" w:hanging="360"/>
      </w:pPr>
      <w:rPr>
        <w:rFonts w:ascii="Courier New" w:hAnsi="Courier New" w:hint="default"/>
      </w:rPr>
    </w:lvl>
    <w:lvl w:ilvl="8" w:tplc="25826E70">
      <w:start w:val="1"/>
      <w:numFmt w:val="bullet"/>
      <w:lvlText w:val=""/>
      <w:lvlJc w:val="left"/>
      <w:pPr>
        <w:ind w:left="6480" w:hanging="360"/>
      </w:pPr>
      <w:rPr>
        <w:rFonts w:ascii="Wingdings" w:hAnsi="Wingdings" w:hint="default"/>
      </w:rPr>
    </w:lvl>
  </w:abstractNum>
  <w:abstractNum w:abstractNumId="17" w15:restartNumberingAfterBreak="0">
    <w:nsid w:val="333A6AF6"/>
    <w:multiLevelType w:val="multilevel"/>
    <w:tmpl w:val="2C1CBBBA"/>
    <w:numStyleLink w:val="AlphaList"/>
  </w:abstractNum>
  <w:abstractNum w:abstractNumId="18" w15:restartNumberingAfterBreak="0">
    <w:nsid w:val="348E7087"/>
    <w:multiLevelType w:val="hybridMultilevel"/>
    <w:tmpl w:val="E3B41A26"/>
    <w:lvl w:ilvl="0" w:tplc="4F46C6AA">
      <w:start w:val="432"/>
      <w:numFmt w:val="bullet"/>
      <w:pStyle w:val="ListParagraph"/>
      <w:lvlText w:val="-"/>
      <w:lvlJc w:val="left"/>
      <w:pPr>
        <w:ind w:left="360" w:hanging="360"/>
      </w:pPr>
      <w:rPr>
        <w:rFonts w:ascii="Century Gothic" w:eastAsia="Century Gothic" w:hAnsi="Century Gothic" w:cs="Century Gothic" w:hint="default"/>
      </w:rPr>
    </w:lvl>
    <w:lvl w:ilvl="1" w:tplc="24BEDC88">
      <w:start w:val="1"/>
      <w:numFmt w:val="bullet"/>
      <w:lvlText w:val="o"/>
      <w:lvlJc w:val="left"/>
      <w:pPr>
        <w:ind w:left="1080" w:hanging="360"/>
      </w:pPr>
      <w:rPr>
        <w:rFonts w:ascii="Courier New" w:hAnsi="Courier New" w:cs="Courier New" w:hint="default"/>
      </w:rPr>
    </w:lvl>
    <w:lvl w:ilvl="2" w:tplc="CEDAF8F8" w:tentative="1">
      <w:start w:val="1"/>
      <w:numFmt w:val="bullet"/>
      <w:lvlText w:val=""/>
      <w:lvlJc w:val="left"/>
      <w:pPr>
        <w:ind w:left="1800" w:hanging="360"/>
      </w:pPr>
      <w:rPr>
        <w:rFonts w:ascii="Wingdings" w:hAnsi="Wingdings" w:hint="default"/>
      </w:rPr>
    </w:lvl>
    <w:lvl w:ilvl="3" w:tplc="F5C40EDC" w:tentative="1">
      <w:start w:val="1"/>
      <w:numFmt w:val="bullet"/>
      <w:lvlText w:val=""/>
      <w:lvlJc w:val="left"/>
      <w:pPr>
        <w:ind w:left="2520" w:hanging="360"/>
      </w:pPr>
      <w:rPr>
        <w:rFonts w:ascii="Symbol" w:hAnsi="Symbol" w:hint="default"/>
      </w:rPr>
    </w:lvl>
    <w:lvl w:ilvl="4" w:tplc="4BFC66B2" w:tentative="1">
      <w:start w:val="1"/>
      <w:numFmt w:val="bullet"/>
      <w:lvlText w:val="o"/>
      <w:lvlJc w:val="left"/>
      <w:pPr>
        <w:ind w:left="3240" w:hanging="360"/>
      </w:pPr>
      <w:rPr>
        <w:rFonts w:ascii="Courier New" w:hAnsi="Courier New" w:cs="Courier New" w:hint="default"/>
      </w:rPr>
    </w:lvl>
    <w:lvl w:ilvl="5" w:tplc="538ECAF8" w:tentative="1">
      <w:start w:val="1"/>
      <w:numFmt w:val="bullet"/>
      <w:lvlText w:val=""/>
      <w:lvlJc w:val="left"/>
      <w:pPr>
        <w:ind w:left="3960" w:hanging="360"/>
      </w:pPr>
      <w:rPr>
        <w:rFonts w:ascii="Wingdings" w:hAnsi="Wingdings" w:hint="default"/>
      </w:rPr>
    </w:lvl>
    <w:lvl w:ilvl="6" w:tplc="4B94F122" w:tentative="1">
      <w:start w:val="1"/>
      <w:numFmt w:val="bullet"/>
      <w:lvlText w:val=""/>
      <w:lvlJc w:val="left"/>
      <w:pPr>
        <w:ind w:left="4680" w:hanging="360"/>
      </w:pPr>
      <w:rPr>
        <w:rFonts w:ascii="Symbol" w:hAnsi="Symbol" w:hint="default"/>
      </w:rPr>
    </w:lvl>
    <w:lvl w:ilvl="7" w:tplc="39643C16" w:tentative="1">
      <w:start w:val="1"/>
      <w:numFmt w:val="bullet"/>
      <w:lvlText w:val="o"/>
      <w:lvlJc w:val="left"/>
      <w:pPr>
        <w:ind w:left="5400" w:hanging="360"/>
      </w:pPr>
      <w:rPr>
        <w:rFonts w:ascii="Courier New" w:hAnsi="Courier New" w:cs="Courier New" w:hint="default"/>
      </w:rPr>
    </w:lvl>
    <w:lvl w:ilvl="8" w:tplc="A1CA4C78" w:tentative="1">
      <w:start w:val="1"/>
      <w:numFmt w:val="bullet"/>
      <w:lvlText w:val=""/>
      <w:lvlJc w:val="left"/>
      <w:pPr>
        <w:ind w:left="6120" w:hanging="360"/>
      </w:pPr>
      <w:rPr>
        <w:rFonts w:ascii="Wingdings" w:hAnsi="Wingdings" w:hint="default"/>
      </w:rPr>
    </w:lvl>
  </w:abstractNum>
  <w:abstractNum w:abstractNumId="19" w15:restartNumberingAfterBreak="0">
    <w:nsid w:val="36E52E63"/>
    <w:multiLevelType w:val="multilevel"/>
    <w:tmpl w:val="3A005AA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0" w15:restartNumberingAfterBreak="0">
    <w:nsid w:val="380F4848"/>
    <w:multiLevelType w:val="multilevel"/>
    <w:tmpl w:val="3A005AA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1" w15:restartNumberingAfterBreak="0">
    <w:nsid w:val="39715D98"/>
    <w:multiLevelType w:val="hybridMultilevel"/>
    <w:tmpl w:val="9258A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F45C4F"/>
    <w:multiLevelType w:val="multilevel"/>
    <w:tmpl w:val="F95E14A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none"/>
      <w:suff w:val="nothing"/>
      <w:lvlText w:val=""/>
      <w:lvlJc w:val="left"/>
      <w:pPr>
        <w:ind w:left="794" w:firstLine="0"/>
      </w:pPr>
      <w:rPr>
        <w:rFonts w:hint="default"/>
      </w:rPr>
    </w:lvl>
    <w:lvl w:ilvl="4">
      <w:start w:val="1"/>
      <w:numFmt w:val="lowerLetter"/>
      <w:lvlText w:val="(%5)"/>
      <w:lvlJc w:val="left"/>
      <w:pPr>
        <w:tabs>
          <w:tab w:val="num" w:pos="1191"/>
        </w:tabs>
        <w:ind w:left="1191" w:hanging="397"/>
      </w:pPr>
      <w:rPr>
        <w:rFonts w:hint="default"/>
      </w:rPr>
    </w:lvl>
    <w:lvl w:ilvl="5">
      <w:start w:val="1"/>
      <w:numFmt w:val="lowerRoman"/>
      <w:lvlText w:val="(%6)"/>
      <w:lvlJc w:val="left"/>
      <w:pPr>
        <w:tabs>
          <w:tab w:val="num" w:pos="1588"/>
        </w:tabs>
        <w:ind w:left="1588" w:hanging="397"/>
      </w:pPr>
      <w:rPr>
        <w:rFonts w:hint="default"/>
      </w:rPr>
    </w:lvl>
    <w:lvl w:ilvl="6">
      <w:start w:val="1"/>
      <w:numFmt w:val="upperLetter"/>
      <w:lvlText w:val="%7."/>
      <w:lvlJc w:val="left"/>
      <w:pPr>
        <w:tabs>
          <w:tab w:val="num" w:pos="1985"/>
        </w:tabs>
        <w:ind w:left="1985" w:hanging="397"/>
      </w:pPr>
      <w:rPr>
        <w:rFonts w:hint="default"/>
      </w:rPr>
    </w:lvl>
    <w:lvl w:ilvl="7">
      <w:start w:val="1"/>
      <w:numFmt w:val="decimal"/>
      <w:pStyle w:val="List4"/>
      <w:lvlText w:val="(%8)"/>
      <w:lvlJc w:val="left"/>
      <w:pPr>
        <w:tabs>
          <w:tab w:val="num" w:pos="2381"/>
        </w:tabs>
        <w:ind w:left="2381" w:hanging="396"/>
      </w:pPr>
      <w:rPr>
        <w:rFonts w:hint="default"/>
      </w:rPr>
    </w:lvl>
    <w:lvl w:ilvl="8">
      <w:start w:val="1"/>
      <w:numFmt w:val="none"/>
      <w:suff w:val="nothing"/>
      <w:lvlText w:val=""/>
      <w:lvlJc w:val="left"/>
      <w:pPr>
        <w:ind w:left="2381" w:firstLine="0"/>
      </w:pPr>
      <w:rPr>
        <w:rFonts w:hint="default"/>
      </w:rPr>
    </w:lvl>
  </w:abstractNum>
  <w:abstractNum w:abstractNumId="23" w15:restartNumberingAfterBreak="0">
    <w:nsid w:val="3D78656B"/>
    <w:multiLevelType w:val="hybridMultilevel"/>
    <w:tmpl w:val="2D1C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A413FB"/>
    <w:multiLevelType w:val="hybridMultilevel"/>
    <w:tmpl w:val="7FCA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E0125"/>
    <w:multiLevelType w:val="multilevel"/>
    <w:tmpl w:val="36A6E752"/>
    <w:styleLink w:val="Bullets"/>
    <w:lvl w:ilvl="0">
      <w:start w:val="1"/>
      <w:numFmt w:val="bullet"/>
      <w:pStyle w:val="ListBullet"/>
      <w:lvlText w:val=""/>
      <w:lvlJc w:val="left"/>
      <w:pPr>
        <w:ind w:left="357" w:hanging="357"/>
      </w:pPr>
      <w:rPr>
        <w:rFonts w:ascii="Wingdings" w:hAnsi="Wingdings" w:hint="default"/>
        <w:color w:val="000000" w:themeColor="text1"/>
      </w:rPr>
    </w:lvl>
    <w:lvl w:ilvl="1">
      <w:start w:val="1"/>
      <w:numFmt w:val="bullet"/>
      <w:pStyle w:val="ListBullet2"/>
      <w:lvlText w:val="○"/>
      <w:lvlJc w:val="left"/>
      <w:pPr>
        <w:tabs>
          <w:tab w:val="num" w:pos="714"/>
        </w:tabs>
        <w:ind w:left="714" w:hanging="357"/>
      </w:pPr>
      <w:rPr>
        <w:rFonts w:ascii="Abadi" w:hAnsi="Abadi" w:hint="default"/>
        <w:color w:val="000000" w:themeColor="text1"/>
      </w:rPr>
    </w:lvl>
    <w:lvl w:ilvl="2">
      <w:start w:val="1"/>
      <w:numFmt w:val="bullet"/>
      <w:pStyle w:val="ListBullet3"/>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6" w15:restartNumberingAfterBreak="0">
    <w:nsid w:val="45B45BEF"/>
    <w:multiLevelType w:val="multilevel"/>
    <w:tmpl w:val="3A005AA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7" w15:restartNumberingAfterBreak="0">
    <w:nsid w:val="45DD6A17"/>
    <w:multiLevelType w:val="multilevel"/>
    <w:tmpl w:val="3A005AA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8" w15:restartNumberingAfterBreak="0">
    <w:nsid w:val="47C46371"/>
    <w:multiLevelType w:val="hybridMultilevel"/>
    <w:tmpl w:val="89A4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A52E75"/>
    <w:multiLevelType w:val="multilevel"/>
    <w:tmpl w:val="3770469C"/>
    <w:styleLink w:val="NumberedList"/>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1" w:hanging="357"/>
      </w:pPr>
      <w:rPr>
        <w:rFonts w:hint="default"/>
      </w:rPr>
    </w:lvl>
    <w:lvl w:ilvl="3">
      <w:start w:val="1"/>
      <w:numFmt w:val="none"/>
      <w:pStyle w:val="ListNumber4"/>
      <w:lvlText w:val=""/>
      <w:lvlJc w:val="left"/>
      <w:pPr>
        <w:tabs>
          <w:tab w:val="num" w:pos="1429"/>
        </w:tabs>
        <w:ind w:left="1428" w:hanging="357"/>
      </w:pPr>
      <w:rPr>
        <w:rFonts w:hint="default"/>
      </w:rPr>
    </w:lvl>
    <w:lvl w:ilvl="4">
      <w:start w:val="1"/>
      <w:numFmt w:val="none"/>
      <w:pStyle w:val="ListNumber5"/>
      <w:lvlText w:val=""/>
      <w:lvlJc w:val="left"/>
      <w:pPr>
        <w:tabs>
          <w:tab w:val="num" w:pos="1786"/>
        </w:tabs>
        <w:ind w:left="1785" w:hanging="357"/>
      </w:pPr>
      <w:rPr>
        <w:rFonts w:hint="default"/>
      </w:rPr>
    </w:lvl>
    <w:lvl w:ilvl="5">
      <w:start w:val="1"/>
      <w:numFmt w:val="none"/>
      <w:lvlText w:val=""/>
      <w:lvlJc w:val="left"/>
      <w:pPr>
        <w:tabs>
          <w:tab w:val="num" w:pos="2143"/>
        </w:tabs>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0" w15:restartNumberingAfterBreak="0">
    <w:nsid w:val="4F204247"/>
    <w:multiLevelType w:val="multilevel"/>
    <w:tmpl w:val="3F90F17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ListBullet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3563FE3"/>
    <w:multiLevelType w:val="hybridMultilevel"/>
    <w:tmpl w:val="5B6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061B59"/>
    <w:multiLevelType w:val="hybridMultilevel"/>
    <w:tmpl w:val="8A0ED568"/>
    <w:lvl w:ilvl="0" w:tplc="1B002E82">
      <w:numFmt w:val="bullet"/>
      <w:lvlText w:val=""/>
      <w:lvlJc w:val="left"/>
      <w:pPr>
        <w:ind w:left="360" w:hanging="360"/>
      </w:pPr>
      <w:rPr>
        <w:rFonts w:ascii="Symbol" w:eastAsia="Century Gothic"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6B351E"/>
    <w:multiLevelType w:val="hybridMultilevel"/>
    <w:tmpl w:val="5D08834A"/>
    <w:lvl w:ilvl="0" w:tplc="08090003">
      <w:start w:val="1"/>
      <w:numFmt w:val="bullet"/>
      <w:lvlText w:val="o"/>
      <w:lvlJc w:val="left"/>
      <w:pPr>
        <w:ind w:left="1074" w:hanging="360"/>
      </w:pPr>
      <w:rPr>
        <w:rFonts w:ascii="Courier New" w:hAnsi="Courier New" w:cs="Courier New" w:hint="default"/>
      </w:rPr>
    </w:lvl>
    <w:lvl w:ilvl="1" w:tplc="FFFFFFFF">
      <w:start w:val="1"/>
      <w:numFmt w:val="bullet"/>
      <w:lvlText w:val="o"/>
      <w:lvlJc w:val="left"/>
      <w:pPr>
        <w:ind w:left="1794" w:hanging="360"/>
      </w:pPr>
      <w:rPr>
        <w:rFonts w:ascii="Courier New" w:hAnsi="Courier New" w:hint="default"/>
      </w:rPr>
    </w:lvl>
    <w:lvl w:ilvl="2" w:tplc="FFFFFFFF">
      <w:start w:val="1"/>
      <w:numFmt w:val="bullet"/>
      <w:lvlText w:val=""/>
      <w:lvlJc w:val="left"/>
      <w:pPr>
        <w:ind w:left="2514" w:hanging="360"/>
      </w:pPr>
      <w:rPr>
        <w:rFonts w:ascii="Wingdings" w:hAnsi="Wingdings" w:hint="default"/>
      </w:rPr>
    </w:lvl>
    <w:lvl w:ilvl="3" w:tplc="FFFFFFFF">
      <w:start w:val="1"/>
      <w:numFmt w:val="bullet"/>
      <w:lvlText w:val=""/>
      <w:lvlJc w:val="left"/>
      <w:pPr>
        <w:ind w:left="3234" w:hanging="360"/>
      </w:pPr>
      <w:rPr>
        <w:rFonts w:ascii="Symbol" w:hAnsi="Symbol" w:hint="default"/>
      </w:rPr>
    </w:lvl>
    <w:lvl w:ilvl="4" w:tplc="FFFFFFFF">
      <w:start w:val="1"/>
      <w:numFmt w:val="bullet"/>
      <w:lvlText w:val="o"/>
      <w:lvlJc w:val="left"/>
      <w:pPr>
        <w:ind w:left="3954" w:hanging="360"/>
      </w:pPr>
      <w:rPr>
        <w:rFonts w:ascii="Courier New" w:hAnsi="Courier New" w:hint="default"/>
      </w:rPr>
    </w:lvl>
    <w:lvl w:ilvl="5" w:tplc="FFFFFFFF">
      <w:start w:val="1"/>
      <w:numFmt w:val="bullet"/>
      <w:lvlText w:val=""/>
      <w:lvlJc w:val="left"/>
      <w:pPr>
        <w:ind w:left="4674" w:hanging="360"/>
      </w:pPr>
      <w:rPr>
        <w:rFonts w:ascii="Wingdings" w:hAnsi="Wingdings" w:hint="default"/>
      </w:rPr>
    </w:lvl>
    <w:lvl w:ilvl="6" w:tplc="FFFFFFFF">
      <w:start w:val="1"/>
      <w:numFmt w:val="bullet"/>
      <w:lvlText w:val=""/>
      <w:lvlJc w:val="left"/>
      <w:pPr>
        <w:ind w:left="5394" w:hanging="360"/>
      </w:pPr>
      <w:rPr>
        <w:rFonts w:ascii="Symbol" w:hAnsi="Symbol" w:hint="default"/>
      </w:rPr>
    </w:lvl>
    <w:lvl w:ilvl="7" w:tplc="FFFFFFFF">
      <w:start w:val="1"/>
      <w:numFmt w:val="bullet"/>
      <w:lvlText w:val="o"/>
      <w:lvlJc w:val="left"/>
      <w:pPr>
        <w:ind w:left="6114" w:hanging="360"/>
      </w:pPr>
      <w:rPr>
        <w:rFonts w:ascii="Courier New" w:hAnsi="Courier New" w:hint="default"/>
      </w:rPr>
    </w:lvl>
    <w:lvl w:ilvl="8" w:tplc="FFFFFFFF">
      <w:start w:val="1"/>
      <w:numFmt w:val="bullet"/>
      <w:lvlText w:val=""/>
      <w:lvlJc w:val="left"/>
      <w:pPr>
        <w:ind w:left="6834" w:hanging="360"/>
      </w:pPr>
      <w:rPr>
        <w:rFonts w:ascii="Wingdings" w:hAnsi="Wingdings" w:hint="default"/>
      </w:rPr>
    </w:lvl>
  </w:abstractNum>
  <w:abstractNum w:abstractNumId="34" w15:restartNumberingAfterBreak="0">
    <w:nsid w:val="5CA27513"/>
    <w:multiLevelType w:val="hybridMultilevel"/>
    <w:tmpl w:val="6144F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4D5278"/>
    <w:multiLevelType w:val="multilevel"/>
    <w:tmpl w:val="3A005AA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36" w15:restartNumberingAfterBreak="0">
    <w:nsid w:val="627D1F93"/>
    <w:multiLevelType w:val="multilevel"/>
    <w:tmpl w:val="2C1CBBBA"/>
    <w:styleLink w:val="AlphaList"/>
    <w:lvl w:ilvl="0">
      <w:start w:val="1"/>
      <w:numFmt w:val="lowerLetter"/>
      <w:pStyle w:val="List"/>
      <w:lvlText w:val="%1."/>
      <w:lvlJc w:val="left"/>
      <w:pPr>
        <w:ind w:left="357" w:hanging="357"/>
      </w:pPr>
      <w:rPr>
        <w:rFonts w:hint="default"/>
      </w:rPr>
    </w:lvl>
    <w:lvl w:ilvl="1">
      <w:start w:val="1"/>
      <w:numFmt w:val="lowerRoman"/>
      <w:pStyle w:val="List2"/>
      <w:lvlText w:val="%2."/>
      <w:lvlJc w:val="left"/>
      <w:pPr>
        <w:ind w:left="714" w:hanging="357"/>
      </w:pPr>
      <w:rPr>
        <w:rFonts w:hint="default"/>
      </w:rPr>
    </w:lvl>
    <w:lvl w:ilvl="2">
      <w:start w:val="1"/>
      <w:numFmt w:val="decimal"/>
      <w:pStyle w:val="List3"/>
      <w:lvlText w:val="%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7" w15:restartNumberingAfterBreak="0">
    <w:nsid w:val="62CE4DD4"/>
    <w:multiLevelType w:val="multilevel"/>
    <w:tmpl w:val="36A6E752"/>
    <w:numStyleLink w:val="Bullets"/>
  </w:abstractNum>
  <w:abstractNum w:abstractNumId="38" w15:restartNumberingAfterBreak="0">
    <w:nsid w:val="635F03CD"/>
    <w:multiLevelType w:val="hybridMultilevel"/>
    <w:tmpl w:val="F6C4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BE684B"/>
    <w:multiLevelType w:val="hybridMultilevel"/>
    <w:tmpl w:val="C9D6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285CE6"/>
    <w:multiLevelType w:val="multilevel"/>
    <w:tmpl w:val="45762C70"/>
    <w:lvl w:ilvl="0">
      <w:start w:val="1"/>
      <w:numFmt w:val="bullet"/>
      <w:lvlText w:val=""/>
      <w:lvlJc w:val="left"/>
      <w:pPr>
        <w:ind w:left="360" w:hanging="360"/>
      </w:pPr>
      <w:rPr>
        <w:rFonts w:ascii="Symbol" w:hAnsi="Symbol"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tabs>
          <w:tab w:val="num" w:pos="284"/>
        </w:tabs>
        <w:ind w:left="284" w:hanging="284"/>
      </w:pPr>
      <w:rPr>
        <w:rFonts w:hint="default"/>
        <w:color w:val="000000" w:themeColor="text1"/>
      </w:rPr>
    </w:lvl>
    <w:lvl w:ilvl="4">
      <w:start w:val="1"/>
      <w:numFmt w:val="decimal"/>
      <w:lvlRestart w:val="3"/>
      <w:lvlText w:val="%5."/>
      <w:lvlJc w:val="left"/>
      <w:pPr>
        <w:tabs>
          <w:tab w:val="num" w:pos="284"/>
        </w:tabs>
        <w:ind w:left="284" w:hanging="284"/>
      </w:pPr>
      <w:rPr>
        <w:rFonts w:hint="default"/>
        <w:color w:val="000000" w:themeColor="text1"/>
      </w:rPr>
    </w:lvl>
    <w:lvl w:ilvl="5">
      <w:start w:val="1"/>
      <w:numFmt w:val="bullet"/>
      <w:lvlRestart w:val="3"/>
      <w:lvlText w:val=""/>
      <w:lvlJc w:val="left"/>
      <w:pPr>
        <w:tabs>
          <w:tab w:val="num" w:pos="284"/>
        </w:tabs>
        <w:ind w:left="284" w:hanging="284"/>
      </w:pPr>
      <w:rPr>
        <w:rFonts w:ascii="Wingdings" w:hAnsi="Wingdings" w:hint="default"/>
        <w:color w:val="000000" w:themeColor="text1"/>
      </w:rPr>
    </w:lvl>
    <w:lvl w:ilvl="6">
      <w:start w:val="1"/>
      <w:numFmt w:val="bullet"/>
      <w:lvlText w:val="○"/>
      <w:lvlJc w:val="left"/>
      <w:pPr>
        <w:ind w:left="567" w:hanging="283"/>
      </w:pPr>
      <w:rPr>
        <w:rFonts w:ascii="Abadi" w:hAnsi="Abadi" w:hint="default"/>
        <w:color w:val="000000" w:themeColor="text1"/>
      </w:rPr>
    </w:lvl>
    <w:lvl w:ilvl="7">
      <w:start w:val="1"/>
      <w:numFmt w:val="bullet"/>
      <w:lvlText w:val="−"/>
      <w:lvlJc w:val="left"/>
      <w:pPr>
        <w:tabs>
          <w:tab w:val="num" w:pos="851"/>
        </w:tabs>
        <w:ind w:left="851" w:hanging="284"/>
      </w:pPr>
      <w:rPr>
        <w:rFonts w:ascii="Times New Roman" w:hAnsi="Times New Roman" w:cs="Times New Roman" w:hint="default"/>
        <w:color w:val="4D4D4D" w:themeColor="text2"/>
      </w:rPr>
    </w:lvl>
    <w:lvl w:ilvl="8">
      <w:start w:val="1"/>
      <w:numFmt w:val="bullet"/>
      <w:lvlText w:val=""/>
      <w:lvlJc w:val="left"/>
      <w:pPr>
        <w:tabs>
          <w:tab w:val="num" w:pos="1134"/>
        </w:tabs>
        <w:ind w:left="1134" w:hanging="283"/>
      </w:pPr>
      <w:rPr>
        <w:rFonts w:ascii="Wingdings" w:hAnsi="Wingdings" w:hint="default"/>
        <w:color w:val="000000" w:themeColor="text1"/>
      </w:rPr>
    </w:lvl>
  </w:abstractNum>
  <w:abstractNum w:abstractNumId="41" w15:restartNumberingAfterBreak="0">
    <w:nsid w:val="66DF43A5"/>
    <w:multiLevelType w:val="hybridMultilevel"/>
    <w:tmpl w:val="BD2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3F765D"/>
    <w:multiLevelType w:val="hybridMultilevel"/>
    <w:tmpl w:val="FFFFFFFF"/>
    <w:lvl w:ilvl="0" w:tplc="0B8EB6B4">
      <w:start w:val="1"/>
      <w:numFmt w:val="bullet"/>
      <w:lvlText w:val=""/>
      <w:lvlJc w:val="left"/>
      <w:pPr>
        <w:ind w:left="720" w:hanging="360"/>
      </w:pPr>
      <w:rPr>
        <w:rFonts w:ascii="Symbol" w:hAnsi="Symbol" w:hint="default"/>
      </w:rPr>
    </w:lvl>
    <w:lvl w:ilvl="1" w:tplc="A82872E0">
      <w:start w:val="1"/>
      <w:numFmt w:val="bullet"/>
      <w:lvlText w:val="o"/>
      <w:lvlJc w:val="left"/>
      <w:pPr>
        <w:ind w:left="1440" w:hanging="360"/>
      </w:pPr>
      <w:rPr>
        <w:rFonts w:ascii="Courier New" w:hAnsi="Courier New" w:hint="default"/>
      </w:rPr>
    </w:lvl>
    <w:lvl w:ilvl="2" w:tplc="687A8C9E">
      <w:start w:val="1"/>
      <w:numFmt w:val="bullet"/>
      <w:lvlText w:val=""/>
      <w:lvlJc w:val="left"/>
      <w:pPr>
        <w:ind w:left="2160" w:hanging="360"/>
      </w:pPr>
      <w:rPr>
        <w:rFonts w:ascii="Wingdings" w:hAnsi="Wingdings" w:hint="default"/>
      </w:rPr>
    </w:lvl>
    <w:lvl w:ilvl="3" w:tplc="21725922">
      <w:start w:val="1"/>
      <w:numFmt w:val="bullet"/>
      <w:lvlText w:val=""/>
      <w:lvlJc w:val="left"/>
      <w:pPr>
        <w:ind w:left="2880" w:hanging="360"/>
      </w:pPr>
      <w:rPr>
        <w:rFonts w:ascii="Symbol" w:hAnsi="Symbol" w:hint="default"/>
      </w:rPr>
    </w:lvl>
    <w:lvl w:ilvl="4" w:tplc="C4E05EBC">
      <w:start w:val="1"/>
      <w:numFmt w:val="bullet"/>
      <w:lvlText w:val="o"/>
      <w:lvlJc w:val="left"/>
      <w:pPr>
        <w:ind w:left="3600" w:hanging="360"/>
      </w:pPr>
      <w:rPr>
        <w:rFonts w:ascii="Courier New" w:hAnsi="Courier New" w:hint="default"/>
      </w:rPr>
    </w:lvl>
    <w:lvl w:ilvl="5" w:tplc="EDD0C276">
      <w:start w:val="1"/>
      <w:numFmt w:val="bullet"/>
      <w:lvlText w:val=""/>
      <w:lvlJc w:val="left"/>
      <w:pPr>
        <w:ind w:left="4320" w:hanging="360"/>
      </w:pPr>
      <w:rPr>
        <w:rFonts w:ascii="Wingdings" w:hAnsi="Wingdings" w:hint="default"/>
      </w:rPr>
    </w:lvl>
    <w:lvl w:ilvl="6" w:tplc="C6B82A98">
      <w:start w:val="1"/>
      <w:numFmt w:val="bullet"/>
      <w:lvlText w:val=""/>
      <w:lvlJc w:val="left"/>
      <w:pPr>
        <w:ind w:left="5040" w:hanging="360"/>
      </w:pPr>
      <w:rPr>
        <w:rFonts w:ascii="Symbol" w:hAnsi="Symbol" w:hint="default"/>
      </w:rPr>
    </w:lvl>
    <w:lvl w:ilvl="7" w:tplc="7C30BD2C">
      <w:start w:val="1"/>
      <w:numFmt w:val="bullet"/>
      <w:lvlText w:val="o"/>
      <w:lvlJc w:val="left"/>
      <w:pPr>
        <w:ind w:left="5760" w:hanging="360"/>
      </w:pPr>
      <w:rPr>
        <w:rFonts w:ascii="Courier New" w:hAnsi="Courier New" w:hint="default"/>
      </w:rPr>
    </w:lvl>
    <w:lvl w:ilvl="8" w:tplc="E862754C">
      <w:start w:val="1"/>
      <w:numFmt w:val="bullet"/>
      <w:lvlText w:val=""/>
      <w:lvlJc w:val="left"/>
      <w:pPr>
        <w:ind w:left="6480" w:hanging="360"/>
      </w:pPr>
      <w:rPr>
        <w:rFonts w:ascii="Wingdings" w:hAnsi="Wingdings" w:hint="default"/>
      </w:rPr>
    </w:lvl>
  </w:abstractNum>
  <w:abstractNum w:abstractNumId="43" w15:restartNumberingAfterBreak="0">
    <w:nsid w:val="68653F27"/>
    <w:multiLevelType w:val="hybridMultilevel"/>
    <w:tmpl w:val="DD58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F13E25"/>
    <w:multiLevelType w:val="hybridMultilevel"/>
    <w:tmpl w:val="AD9E1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2D357B"/>
    <w:multiLevelType w:val="hybridMultilevel"/>
    <w:tmpl w:val="C3C632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6" w15:restartNumberingAfterBreak="0">
    <w:nsid w:val="7B194B5F"/>
    <w:multiLevelType w:val="multilevel"/>
    <w:tmpl w:val="3A005AA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47" w15:restartNumberingAfterBreak="0">
    <w:nsid w:val="7F570CFC"/>
    <w:multiLevelType w:val="multilevel"/>
    <w:tmpl w:val="3A005AA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48" w15:restartNumberingAfterBreak="0">
    <w:nsid w:val="7FEA0018"/>
    <w:multiLevelType w:val="multilevel"/>
    <w:tmpl w:val="3A005AA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tabs>
          <w:tab w:val="num" w:pos="714"/>
        </w:tabs>
        <w:ind w:left="714" w:hanging="357"/>
      </w:pPr>
      <w:rPr>
        <w:rFonts w:ascii="Abadi" w:hAnsi="Abadi" w:hint="default"/>
        <w:color w:val="000000" w:themeColor="text1"/>
      </w:rPr>
    </w:lvl>
    <w:lvl w:ilvl="2">
      <w:start w:val="1"/>
      <w:numFmt w:val="bullet"/>
      <w:lvlText w:val="−"/>
      <w:lvlJc w:val="left"/>
      <w:pPr>
        <w:tabs>
          <w:tab w:val="num" w:pos="1072"/>
        </w:tabs>
        <w:ind w:left="1071" w:hanging="357"/>
      </w:pPr>
      <w:rPr>
        <w:rFonts w:hint="default"/>
        <w:color w:val="4D4D4D" w:themeColor="text2"/>
      </w:rPr>
    </w:lvl>
    <w:lvl w:ilvl="3">
      <w:start w:val="1"/>
      <w:numFmt w:val="bullet"/>
      <w:lvlText w:val="−"/>
      <w:lvlJc w:val="left"/>
      <w:pPr>
        <w:tabs>
          <w:tab w:val="num" w:pos="1429"/>
        </w:tabs>
        <w:ind w:left="1428" w:hanging="357"/>
      </w:pPr>
      <w:rPr>
        <w:rFonts w:ascii="Calibri" w:hAnsi="Calibri" w:hint="default"/>
        <w:color w:val="4D4D4D" w:themeColor="text2"/>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num w:numId="1" w16cid:durableId="1537698966">
    <w:abstractNumId w:val="18"/>
  </w:num>
  <w:num w:numId="2" w16cid:durableId="391268443">
    <w:abstractNumId w:val="25"/>
  </w:num>
  <w:num w:numId="3" w16cid:durableId="1441290964">
    <w:abstractNumId w:val="14"/>
  </w:num>
  <w:num w:numId="4" w16cid:durableId="1054890344">
    <w:abstractNumId w:val="29"/>
  </w:num>
  <w:num w:numId="5" w16cid:durableId="1412046580">
    <w:abstractNumId w:val="30"/>
  </w:num>
  <w:num w:numId="6" w16cid:durableId="702244124">
    <w:abstractNumId w:val="36"/>
  </w:num>
  <w:num w:numId="7" w16cid:durableId="696153541">
    <w:abstractNumId w:val="0"/>
  </w:num>
  <w:num w:numId="8" w16cid:durableId="996151947">
    <w:abstractNumId w:val="22"/>
  </w:num>
  <w:num w:numId="9" w16cid:durableId="742142142">
    <w:abstractNumId w:val="13"/>
  </w:num>
  <w:num w:numId="10" w16cid:durableId="144123832">
    <w:abstractNumId w:val="37"/>
  </w:num>
  <w:num w:numId="11" w16cid:durableId="1520701207">
    <w:abstractNumId w:val="15"/>
  </w:num>
  <w:num w:numId="12" w16cid:durableId="1090194669">
    <w:abstractNumId w:val="17"/>
  </w:num>
  <w:num w:numId="13" w16cid:durableId="472992707">
    <w:abstractNumId w:val="32"/>
  </w:num>
  <w:num w:numId="14" w16cid:durableId="1057126947">
    <w:abstractNumId w:val="34"/>
  </w:num>
  <w:num w:numId="15" w16cid:durableId="1571578894">
    <w:abstractNumId w:val="26"/>
  </w:num>
  <w:num w:numId="16" w16cid:durableId="923295714">
    <w:abstractNumId w:val="35"/>
  </w:num>
  <w:num w:numId="17" w16cid:durableId="572348667">
    <w:abstractNumId w:val="6"/>
  </w:num>
  <w:num w:numId="18" w16cid:durableId="1660037661">
    <w:abstractNumId w:val="3"/>
  </w:num>
  <w:num w:numId="19" w16cid:durableId="1662149872">
    <w:abstractNumId w:val="7"/>
  </w:num>
  <w:num w:numId="20" w16cid:durableId="1188132496">
    <w:abstractNumId w:val="16"/>
  </w:num>
  <w:num w:numId="21" w16cid:durableId="1444302770">
    <w:abstractNumId w:val="42"/>
  </w:num>
  <w:num w:numId="22" w16cid:durableId="692612035">
    <w:abstractNumId w:val="1"/>
  </w:num>
  <w:num w:numId="23" w16cid:durableId="1907840803">
    <w:abstractNumId w:val="5"/>
  </w:num>
  <w:num w:numId="24" w16cid:durableId="790441786">
    <w:abstractNumId w:val="2"/>
  </w:num>
  <w:num w:numId="25" w16cid:durableId="259488796">
    <w:abstractNumId w:val="12"/>
  </w:num>
  <w:num w:numId="26" w16cid:durableId="749350388">
    <w:abstractNumId w:val="20"/>
  </w:num>
  <w:num w:numId="27" w16cid:durableId="1163668354">
    <w:abstractNumId w:val="47"/>
  </w:num>
  <w:num w:numId="28" w16cid:durableId="1905138559">
    <w:abstractNumId w:val="9"/>
  </w:num>
  <w:num w:numId="29" w16cid:durableId="215246052">
    <w:abstractNumId w:val="19"/>
  </w:num>
  <w:num w:numId="30" w16cid:durableId="1563565650">
    <w:abstractNumId w:val="48"/>
  </w:num>
  <w:num w:numId="31" w16cid:durableId="1795126848">
    <w:abstractNumId w:val="27"/>
  </w:num>
  <w:num w:numId="32" w16cid:durableId="1183665753">
    <w:abstractNumId w:val="46"/>
  </w:num>
  <w:num w:numId="33" w16cid:durableId="525795528">
    <w:abstractNumId w:val="40"/>
  </w:num>
  <w:num w:numId="34" w16cid:durableId="926765478">
    <w:abstractNumId w:val="8"/>
  </w:num>
  <w:num w:numId="35" w16cid:durableId="495733242">
    <w:abstractNumId w:val="21"/>
  </w:num>
  <w:num w:numId="36" w16cid:durableId="1165784405">
    <w:abstractNumId w:val="4"/>
  </w:num>
  <w:num w:numId="37" w16cid:durableId="1514802342">
    <w:abstractNumId w:val="41"/>
  </w:num>
  <w:num w:numId="38" w16cid:durableId="487983636">
    <w:abstractNumId w:val="31"/>
  </w:num>
  <w:num w:numId="39" w16cid:durableId="1813675087">
    <w:abstractNumId w:val="33"/>
  </w:num>
  <w:num w:numId="40" w16cid:durableId="1562902596">
    <w:abstractNumId w:val="38"/>
  </w:num>
  <w:num w:numId="41" w16cid:durableId="354427965">
    <w:abstractNumId w:val="44"/>
  </w:num>
  <w:num w:numId="42" w16cid:durableId="1736005359">
    <w:abstractNumId w:val="10"/>
  </w:num>
  <w:num w:numId="43" w16cid:durableId="1507984662">
    <w:abstractNumId w:val="45"/>
  </w:num>
  <w:num w:numId="44" w16cid:durableId="557937699">
    <w:abstractNumId w:val="39"/>
  </w:num>
  <w:num w:numId="45" w16cid:durableId="2129931962">
    <w:abstractNumId w:val="28"/>
  </w:num>
  <w:num w:numId="46" w16cid:durableId="1846356577">
    <w:abstractNumId w:val="11"/>
  </w:num>
  <w:num w:numId="47" w16cid:durableId="377047699">
    <w:abstractNumId w:val="24"/>
  </w:num>
  <w:num w:numId="48" w16cid:durableId="1307734655">
    <w:abstractNumId w:val="23"/>
  </w:num>
  <w:num w:numId="49" w16cid:durableId="1956908818">
    <w:abstractNumId w:val="43"/>
  </w:num>
  <w:num w:numId="50" w16cid:durableId="2013487400">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AC"/>
    <w:rsid w:val="0000013F"/>
    <w:rsid w:val="00002A1A"/>
    <w:rsid w:val="00003499"/>
    <w:rsid w:val="0000554B"/>
    <w:rsid w:val="00006135"/>
    <w:rsid w:val="000104D4"/>
    <w:rsid w:val="00010B0A"/>
    <w:rsid w:val="00011D8C"/>
    <w:rsid w:val="00012ABB"/>
    <w:rsid w:val="00012E55"/>
    <w:rsid w:val="00013193"/>
    <w:rsid w:val="00013DF3"/>
    <w:rsid w:val="00013EEC"/>
    <w:rsid w:val="000209A4"/>
    <w:rsid w:val="00021AF5"/>
    <w:rsid w:val="000226DB"/>
    <w:rsid w:val="00022889"/>
    <w:rsid w:val="0002408D"/>
    <w:rsid w:val="000271C8"/>
    <w:rsid w:val="000273C4"/>
    <w:rsid w:val="00030E2C"/>
    <w:rsid w:val="000321E5"/>
    <w:rsid w:val="00035EF2"/>
    <w:rsid w:val="00036D42"/>
    <w:rsid w:val="0003789C"/>
    <w:rsid w:val="00037A1E"/>
    <w:rsid w:val="000424A0"/>
    <w:rsid w:val="000429AA"/>
    <w:rsid w:val="00042A2D"/>
    <w:rsid w:val="0004431E"/>
    <w:rsid w:val="00044667"/>
    <w:rsid w:val="000446DA"/>
    <w:rsid w:val="00044FA2"/>
    <w:rsid w:val="00045CE5"/>
    <w:rsid w:val="00046EB9"/>
    <w:rsid w:val="0005177C"/>
    <w:rsid w:val="0005310B"/>
    <w:rsid w:val="00053371"/>
    <w:rsid w:val="00055A91"/>
    <w:rsid w:val="00055F24"/>
    <w:rsid w:val="00056C1D"/>
    <w:rsid w:val="000600EC"/>
    <w:rsid w:val="00060478"/>
    <w:rsid w:val="00061362"/>
    <w:rsid w:val="000613FB"/>
    <w:rsid w:val="00062086"/>
    <w:rsid w:val="0006219B"/>
    <w:rsid w:val="00062488"/>
    <w:rsid w:val="00062763"/>
    <w:rsid w:val="000642FA"/>
    <w:rsid w:val="000658F7"/>
    <w:rsid w:val="00066FD6"/>
    <w:rsid w:val="00067FAF"/>
    <w:rsid w:val="000701DD"/>
    <w:rsid w:val="000708AB"/>
    <w:rsid w:val="0007197B"/>
    <w:rsid w:val="000722E8"/>
    <w:rsid w:val="00073431"/>
    <w:rsid w:val="00074076"/>
    <w:rsid w:val="0007479C"/>
    <w:rsid w:val="00075E24"/>
    <w:rsid w:val="0007673A"/>
    <w:rsid w:val="0008066E"/>
    <w:rsid w:val="00082C4D"/>
    <w:rsid w:val="00082C96"/>
    <w:rsid w:val="000843B7"/>
    <w:rsid w:val="00087A56"/>
    <w:rsid w:val="00090370"/>
    <w:rsid w:val="000906BA"/>
    <w:rsid w:val="000913B7"/>
    <w:rsid w:val="000936A2"/>
    <w:rsid w:val="000936CA"/>
    <w:rsid w:val="00094390"/>
    <w:rsid w:val="00095353"/>
    <w:rsid w:val="0009643B"/>
    <w:rsid w:val="00096652"/>
    <w:rsid w:val="000A2CA3"/>
    <w:rsid w:val="000A465A"/>
    <w:rsid w:val="000A5707"/>
    <w:rsid w:val="000A704B"/>
    <w:rsid w:val="000A7EDD"/>
    <w:rsid w:val="000B0652"/>
    <w:rsid w:val="000B16EC"/>
    <w:rsid w:val="000B1C18"/>
    <w:rsid w:val="000B24F1"/>
    <w:rsid w:val="000B2DF7"/>
    <w:rsid w:val="000B3C00"/>
    <w:rsid w:val="000B50C2"/>
    <w:rsid w:val="000B6436"/>
    <w:rsid w:val="000B6AE9"/>
    <w:rsid w:val="000B71D5"/>
    <w:rsid w:val="000B73B5"/>
    <w:rsid w:val="000B770D"/>
    <w:rsid w:val="000C299E"/>
    <w:rsid w:val="000C3721"/>
    <w:rsid w:val="000C3986"/>
    <w:rsid w:val="000C4BDE"/>
    <w:rsid w:val="000C5678"/>
    <w:rsid w:val="000C6207"/>
    <w:rsid w:val="000C6441"/>
    <w:rsid w:val="000C65AD"/>
    <w:rsid w:val="000D0C22"/>
    <w:rsid w:val="000D1353"/>
    <w:rsid w:val="000D2B12"/>
    <w:rsid w:val="000D2F0A"/>
    <w:rsid w:val="000D32C2"/>
    <w:rsid w:val="000D3AA8"/>
    <w:rsid w:val="000D4065"/>
    <w:rsid w:val="000D6416"/>
    <w:rsid w:val="000D6494"/>
    <w:rsid w:val="000D68C6"/>
    <w:rsid w:val="000D71A3"/>
    <w:rsid w:val="000D7536"/>
    <w:rsid w:val="000E0878"/>
    <w:rsid w:val="000E0F9A"/>
    <w:rsid w:val="000E12B0"/>
    <w:rsid w:val="000E2112"/>
    <w:rsid w:val="000E2FD8"/>
    <w:rsid w:val="000E36A7"/>
    <w:rsid w:val="000E3A6A"/>
    <w:rsid w:val="000E5668"/>
    <w:rsid w:val="000E6619"/>
    <w:rsid w:val="000E6877"/>
    <w:rsid w:val="000F0F9E"/>
    <w:rsid w:val="000F104B"/>
    <w:rsid w:val="000F116E"/>
    <w:rsid w:val="000F14AE"/>
    <w:rsid w:val="000F1B07"/>
    <w:rsid w:val="000F211E"/>
    <w:rsid w:val="000F2CE0"/>
    <w:rsid w:val="000F3E5D"/>
    <w:rsid w:val="000F48A5"/>
    <w:rsid w:val="000F4EF0"/>
    <w:rsid w:val="000F569E"/>
    <w:rsid w:val="000F6BED"/>
    <w:rsid w:val="000F7AF2"/>
    <w:rsid w:val="000F7C3A"/>
    <w:rsid w:val="000F7D8B"/>
    <w:rsid w:val="00101A76"/>
    <w:rsid w:val="00101FC4"/>
    <w:rsid w:val="001038F2"/>
    <w:rsid w:val="00105035"/>
    <w:rsid w:val="00105B16"/>
    <w:rsid w:val="00106175"/>
    <w:rsid w:val="00106327"/>
    <w:rsid w:val="00106682"/>
    <w:rsid w:val="00106BB8"/>
    <w:rsid w:val="00107E57"/>
    <w:rsid w:val="0011199F"/>
    <w:rsid w:val="001124E5"/>
    <w:rsid w:val="00112D13"/>
    <w:rsid w:val="001138AA"/>
    <w:rsid w:val="001142FB"/>
    <w:rsid w:val="00115F19"/>
    <w:rsid w:val="00122444"/>
    <w:rsid w:val="00122554"/>
    <w:rsid w:val="00122593"/>
    <w:rsid w:val="001226B9"/>
    <w:rsid w:val="00122BA5"/>
    <w:rsid w:val="00123521"/>
    <w:rsid w:val="00123CDF"/>
    <w:rsid w:val="00125121"/>
    <w:rsid w:val="00125B48"/>
    <w:rsid w:val="00126B19"/>
    <w:rsid w:val="001333D0"/>
    <w:rsid w:val="001352F1"/>
    <w:rsid w:val="00135D45"/>
    <w:rsid w:val="00136C88"/>
    <w:rsid w:val="0014318A"/>
    <w:rsid w:val="00143BA2"/>
    <w:rsid w:val="001462A2"/>
    <w:rsid w:val="0014670C"/>
    <w:rsid w:val="00146E9E"/>
    <w:rsid w:val="00146EFF"/>
    <w:rsid w:val="00147012"/>
    <w:rsid w:val="00147315"/>
    <w:rsid w:val="00150610"/>
    <w:rsid w:val="001506A1"/>
    <w:rsid w:val="001507AF"/>
    <w:rsid w:val="00150F1A"/>
    <w:rsid w:val="001515CE"/>
    <w:rsid w:val="00151BD4"/>
    <w:rsid w:val="00151D32"/>
    <w:rsid w:val="001522E5"/>
    <w:rsid w:val="001523BE"/>
    <w:rsid w:val="00152770"/>
    <w:rsid w:val="00152DC2"/>
    <w:rsid w:val="00155C4A"/>
    <w:rsid w:val="001562FB"/>
    <w:rsid w:val="00156580"/>
    <w:rsid w:val="001565CA"/>
    <w:rsid w:val="00156A95"/>
    <w:rsid w:val="00157D4A"/>
    <w:rsid w:val="00160100"/>
    <w:rsid w:val="0016068D"/>
    <w:rsid w:val="001608F7"/>
    <w:rsid w:val="0016178E"/>
    <w:rsid w:val="0016294C"/>
    <w:rsid w:val="001634A4"/>
    <w:rsid w:val="00165015"/>
    <w:rsid w:val="00166118"/>
    <w:rsid w:val="00172FB6"/>
    <w:rsid w:val="00173955"/>
    <w:rsid w:val="00173DA3"/>
    <w:rsid w:val="00173FCA"/>
    <w:rsid w:val="001772B2"/>
    <w:rsid w:val="00177F61"/>
    <w:rsid w:val="001804F4"/>
    <w:rsid w:val="00180E19"/>
    <w:rsid w:val="001817B4"/>
    <w:rsid w:val="00183080"/>
    <w:rsid w:val="001830BD"/>
    <w:rsid w:val="00183A54"/>
    <w:rsid w:val="001855DD"/>
    <w:rsid w:val="00186509"/>
    <w:rsid w:val="00187F22"/>
    <w:rsid w:val="00191F73"/>
    <w:rsid w:val="00192391"/>
    <w:rsid w:val="00192549"/>
    <w:rsid w:val="00193452"/>
    <w:rsid w:val="00194AD1"/>
    <w:rsid w:val="00194C69"/>
    <w:rsid w:val="001956B6"/>
    <w:rsid w:val="00195B3A"/>
    <w:rsid w:val="0019667B"/>
    <w:rsid w:val="00196FF8"/>
    <w:rsid w:val="001A1BE4"/>
    <w:rsid w:val="001A2D13"/>
    <w:rsid w:val="001A408C"/>
    <w:rsid w:val="001A4D75"/>
    <w:rsid w:val="001A54DF"/>
    <w:rsid w:val="001A6A3D"/>
    <w:rsid w:val="001A73D7"/>
    <w:rsid w:val="001A7BB4"/>
    <w:rsid w:val="001B2EE3"/>
    <w:rsid w:val="001B2F8C"/>
    <w:rsid w:val="001B3C74"/>
    <w:rsid w:val="001B5CBC"/>
    <w:rsid w:val="001B5D24"/>
    <w:rsid w:val="001B5EB6"/>
    <w:rsid w:val="001B6911"/>
    <w:rsid w:val="001C02FE"/>
    <w:rsid w:val="001C092D"/>
    <w:rsid w:val="001C107B"/>
    <w:rsid w:val="001C26F3"/>
    <w:rsid w:val="001C297C"/>
    <w:rsid w:val="001C4965"/>
    <w:rsid w:val="001C5B32"/>
    <w:rsid w:val="001C6EF2"/>
    <w:rsid w:val="001C712F"/>
    <w:rsid w:val="001D09BB"/>
    <w:rsid w:val="001D09F3"/>
    <w:rsid w:val="001D3ADE"/>
    <w:rsid w:val="001D617E"/>
    <w:rsid w:val="001D6ACD"/>
    <w:rsid w:val="001D7123"/>
    <w:rsid w:val="001E000B"/>
    <w:rsid w:val="001E0535"/>
    <w:rsid w:val="001E0551"/>
    <w:rsid w:val="001E28B7"/>
    <w:rsid w:val="001E2BCD"/>
    <w:rsid w:val="001E44DE"/>
    <w:rsid w:val="001E4720"/>
    <w:rsid w:val="001E60E7"/>
    <w:rsid w:val="001E6838"/>
    <w:rsid w:val="001E6D6E"/>
    <w:rsid w:val="001E7E9E"/>
    <w:rsid w:val="001F0182"/>
    <w:rsid w:val="001F044C"/>
    <w:rsid w:val="001F04F2"/>
    <w:rsid w:val="001F0580"/>
    <w:rsid w:val="001F070D"/>
    <w:rsid w:val="001F0A2F"/>
    <w:rsid w:val="001F0BE3"/>
    <w:rsid w:val="001F0F0E"/>
    <w:rsid w:val="001F32FC"/>
    <w:rsid w:val="001F3EC4"/>
    <w:rsid w:val="001F3EFA"/>
    <w:rsid w:val="001F6FDB"/>
    <w:rsid w:val="001F7679"/>
    <w:rsid w:val="0020171C"/>
    <w:rsid w:val="002027FE"/>
    <w:rsid w:val="00202A93"/>
    <w:rsid w:val="0020351E"/>
    <w:rsid w:val="00205B93"/>
    <w:rsid w:val="0021455E"/>
    <w:rsid w:val="002145B4"/>
    <w:rsid w:val="00214B5F"/>
    <w:rsid w:val="002157E0"/>
    <w:rsid w:val="00215BDF"/>
    <w:rsid w:val="00215CE9"/>
    <w:rsid w:val="00217E26"/>
    <w:rsid w:val="00221E3E"/>
    <w:rsid w:val="0022272B"/>
    <w:rsid w:val="00224D99"/>
    <w:rsid w:val="00230D8C"/>
    <w:rsid w:val="00233C7E"/>
    <w:rsid w:val="00233D60"/>
    <w:rsid w:val="00233F93"/>
    <w:rsid w:val="00235A28"/>
    <w:rsid w:val="002369D0"/>
    <w:rsid w:val="00241817"/>
    <w:rsid w:val="0024493A"/>
    <w:rsid w:val="00245B7E"/>
    <w:rsid w:val="002466F9"/>
    <w:rsid w:val="0025153B"/>
    <w:rsid w:val="002534E1"/>
    <w:rsid w:val="0025351C"/>
    <w:rsid w:val="00253AF8"/>
    <w:rsid w:val="002549F1"/>
    <w:rsid w:val="00256EBE"/>
    <w:rsid w:val="00257491"/>
    <w:rsid w:val="00257E4F"/>
    <w:rsid w:val="00257EED"/>
    <w:rsid w:val="00261151"/>
    <w:rsid w:val="00261280"/>
    <w:rsid w:val="00261713"/>
    <w:rsid w:val="00261E90"/>
    <w:rsid w:val="002623FF"/>
    <w:rsid w:val="00262B2D"/>
    <w:rsid w:val="00263448"/>
    <w:rsid w:val="00265A17"/>
    <w:rsid w:val="0026605D"/>
    <w:rsid w:val="00266BB4"/>
    <w:rsid w:val="0026709E"/>
    <w:rsid w:val="00267132"/>
    <w:rsid w:val="00267FAF"/>
    <w:rsid w:val="002702DC"/>
    <w:rsid w:val="002709F9"/>
    <w:rsid w:val="0027179E"/>
    <w:rsid w:val="00271B8C"/>
    <w:rsid w:val="0027288A"/>
    <w:rsid w:val="00274176"/>
    <w:rsid w:val="00274808"/>
    <w:rsid w:val="00274A00"/>
    <w:rsid w:val="0027596B"/>
    <w:rsid w:val="00276B93"/>
    <w:rsid w:val="0027714C"/>
    <w:rsid w:val="0028101D"/>
    <w:rsid w:val="00281D66"/>
    <w:rsid w:val="00282220"/>
    <w:rsid w:val="002828FC"/>
    <w:rsid w:val="00282D20"/>
    <w:rsid w:val="00284C2E"/>
    <w:rsid w:val="002913E4"/>
    <w:rsid w:val="002959DC"/>
    <w:rsid w:val="002977FB"/>
    <w:rsid w:val="00297CDF"/>
    <w:rsid w:val="002A0183"/>
    <w:rsid w:val="002A0400"/>
    <w:rsid w:val="002A0457"/>
    <w:rsid w:val="002A048D"/>
    <w:rsid w:val="002A0A09"/>
    <w:rsid w:val="002A58A8"/>
    <w:rsid w:val="002A636C"/>
    <w:rsid w:val="002A6716"/>
    <w:rsid w:val="002A6964"/>
    <w:rsid w:val="002B0CBB"/>
    <w:rsid w:val="002B1C7C"/>
    <w:rsid w:val="002B2803"/>
    <w:rsid w:val="002B4A40"/>
    <w:rsid w:val="002B4A79"/>
    <w:rsid w:val="002B551F"/>
    <w:rsid w:val="002B6292"/>
    <w:rsid w:val="002B6CEB"/>
    <w:rsid w:val="002B7000"/>
    <w:rsid w:val="002B7AD7"/>
    <w:rsid w:val="002C0433"/>
    <w:rsid w:val="002C0459"/>
    <w:rsid w:val="002C04F0"/>
    <w:rsid w:val="002C0507"/>
    <w:rsid w:val="002C096A"/>
    <w:rsid w:val="002C16A7"/>
    <w:rsid w:val="002C16D0"/>
    <w:rsid w:val="002C1B34"/>
    <w:rsid w:val="002C241A"/>
    <w:rsid w:val="002C3EB4"/>
    <w:rsid w:val="002C5F08"/>
    <w:rsid w:val="002C757F"/>
    <w:rsid w:val="002C773C"/>
    <w:rsid w:val="002C7AFF"/>
    <w:rsid w:val="002C7BCD"/>
    <w:rsid w:val="002D108D"/>
    <w:rsid w:val="002D2D14"/>
    <w:rsid w:val="002D3E55"/>
    <w:rsid w:val="002D4A05"/>
    <w:rsid w:val="002D500A"/>
    <w:rsid w:val="002D5DE9"/>
    <w:rsid w:val="002D632A"/>
    <w:rsid w:val="002D6A44"/>
    <w:rsid w:val="002D7D03"/>
    <w:rsid w:val="002D7D07"/>
    <w:rsid w:val="002E12C0"/>
    <w:rsid w:val="002E1D85"/>
    <w:rsid w:val="002E2858"/>
    <w:rsid w:val="002E2B58"/>
    <w:rsid w:val="002E37C1"/>
    <w:rsid w:val="002E47B2"/>
    <w:rsid w:val="002E5ED9"/>
    <w:rsid w:val="002F0583"/>
    <w:rsid w:val="002F0F39"/>
    <w:rsid w:val="002F1DD8"/>
    <w:rsid w:val="002F21B8"/>
    <w:rsid w:val="002F3BE8"/>
    <w:rsid w:val="002F4C98"/>
    <w:rsid w:val="002F546A"/>
    <w:rsid w:val="002F630D"/>
    <w:rsid w:val="002F64E5"/>
    <w:rsid w:val="002F6BB8"/>
    <w:rsid w:val="003013CF"/>
    <w:rsid w:val="003025BD"/>
    <w:rsid w:val="00302A9B"/>
    <w:rsid w:val="00302B81"/>
    <w:rsid w:val="00302D06"/>
    <w:rsid w:val="00305D0E"/>
    <w:rsid w:val="00307773"/>
    <w:rsid w:val="00307BA7"/>
    <w:rsid w:val="003103F6"/>
    <w:rsid w:val="00310E3A"/>
    <w:rsid w:val="00311055"/>
    <w:rsid w:val="003112D2"/>
    <w:rsid w:val="00311D9C"/>
    <w:rsid w:val="00311DE8"/>
    <w:rsid w:val="0031405D"/>
    <w:rsid w:val="00315D65"/>
    <w:rsid w:val="003162E2"/>
    <w:rsid w:val="00316AD0"/>
    <w:rsid w:val="00317DC9"/>
    <w:rsid w:val="0032387A"/>
    <w:rsid w:val="003242AA"/>
    <w:rsid w:val="00325A04"/>
    <w:rsid w:val="00326BDA"/>
    <w:rsid w:val="00326E72"/>
    <w:rsid w:val="003271C8"/>
    <w:rsid w:val="003306CC"/>
    <w:rsid w:val="00330B08"/>
    <w:rsid w:val="00332E16"/>
    <w:rsid w:val="00332F10"/>
    <w:rsid w:val="00334745"/>
    <w:rsid w:val="00334F96"/>
    <w:rsid w:val="0033687E"/>
    <w:rsid w:val="00337234"/>
    <w:rsid w:val="00340462"/>
    <w:rsid w:val="00340CC1"/>
    <w:rsid w:val="003415A7"/>
    <w:rsid w:val="00342E1B"/>
    <w:rsid w:val="00343FB9"/>
    <w:rsid w:val="00345367"/>
    <w:rsid w:val="003467A3"/>
    <w:rsid w:val="00352DC9"/>
    <w:rsid w:val="00353218"/>
    <w:rsid w:val="00353748"/>
    <w:rsid w:val="00355FD9"/>
    <w:rsid w:val="003570A2"/>
    <w:rsid w:val="003604AD"/>
    <w:rsid w:val="003608E5"/>
    <w:rsid w:val="00361068"/>
    <w:rsid w:val="00361DB6"/>
    <w:rsid w:val="003626BB"/>
    <w:rsid w:val="00365B3B"/>
    <w:rsid w:val="00366B44"/>
    <w:rsid w:val="00380034"/>
    <w:rsid w:val="00381B0C"/>
    <w:rsid w:val="0038400B"/>
    <w:rsid w:val="00385BE7"/>
    <w:rsid w:val="00386C0C"/>
    <w:rsid w:val="003910DE"/>
    <w:rsid w:val="00392251"/>
    <w:rsid w:val="003949E7"/>
    <w:rsid w:val="00394E86"/>
    <w:rsid w:val="00396522"/>
    <w:rsid w:val="003979BF"/>
    <w:rsid w:val="003A08E2"/>
    <w:rsid w:val="003A0A1D"/>
    <w:rsid w:val="003A1723"/>
    <w:rsid w:val="003A2D95"/>
    <w:rsid w:val="003A49EC"/>
    <w:rsid w:val="003A643C"/>
    <w:rsid w:val="003B178C"/>
    <w:rsid w:val="003B1880"/>
    <w:rsid w:val="003B22B2"/>
    <w:rsid w:val="003B2A57"/>
    <w:rsid w:val="003B2B70"/>
    <w:rsid w:val="003B2F1F"/>
    <w:rsid w:val="003B3457"/>
    <w:rsid w:val="003B3F42"/>
    <w:rsid w:val="003B4120"/>
    <w:rsid w:val="003B4200"/>
    <w:rsid w:val="003B6253"/>
    <w:rsid w:val="003B6922"/>
    <w:rsid w:val="003B7A3D"/>
    <w:rsid w:val="003C0EEE"/>
    <w:rsid w:val="003C0FE1"/>
    <w:rsid w:val="003C1808"/>
    <w:rsid w:val="003C18B2"/>
    <w:rsid w:val="003C25DD"/>
    <w:rsid w:val="003C2C0C"/>
    <w:rsid w:val="003C3561"/>
    <w:rsid w:val="003C5356"/>
    <w:rsid w:val="003C54AB"/>
    <w:rsid w:val="003C7BB3"/>
    <w:rsid w:val="003C7E23"/>
    <w:rsid w:val="003D0711"/>
    <w:rsid w:val="003D07F7"/>
    <w:rsid w:val="003D0D13"/>
    <w:rsid w:val="003D2E87"/>
    <w:rsid w:val="003D308F"/>
    <w:rsid w:val="003D3902"/>
    <w:rsid w:val="003D476B"/>
    <w:rsid w:val="003D753F"/>
    <w:rsid w:val="003E0892"/>
    <w:rsid w:val="003E0C7E"/>
    <w:rsid w:val="003E1878"/>
    <w:rsid w:val="003E1DD8"/>
    <w:rsid w:val="003E3201"/>
    <w:rsid w:val="003E3FA4"/>
    <w:rsid w:val="003E58A2"/>
    <w:rsid w:val="003E5F31"/>
    <w:rsid w:val="003F06B0"/>
    <w:rsid w:val="003F099C"/>
    <w:rsid w:val="003F11B2"/>
    <w:rsid w:val="003F17C3"/>
    <w:rsid w:val="003F18F0"/>
    <w:rsid w:val="003F2116"/>
    <w:rsid w:val="003F268C"/>
    <w:rsid w:val="003F272F"/>
    <w:rsid w:val="003F4631"/>
    <w:rsid w:val="003F57A5"/>
    <w:rsid w:val="003F6549"/>
    <w:rsid w:val="003F6713"/>
    <w:rsid w:val="003F7F67"/>
    <w:rsid w:val="0040012D"/>
    <w:rsid w:val="004001AB"/>
    <w:rsid w:val="00401B27"/>
    <w:rsid w:val="00402262"/>
    <w:rsid w:val="00402AD8"/>
    <w:rsid w:val="004067A2"/>
    <w:rsid w:val="00406852"/>
    <w:rsid w:val="00407744"/>
    <w:rsid w:val="00407DA3"/>
    <w:rsid w:val="00407E26"/>
    <w:rsid w:val="004101B2"/>
    <w:rsid w:val="004108C2"/>
    <w:rsid w:val="00410C95"/>
    <w:rsid w:val="00410CBE"/>
    <w:rsid w:val="00410E81"/>
    <w:rsid w:val="00412BE4"/>
    <w:rsid w:val="00412EC7"/>
    <w:rsid w:val="0041314E"/>
    <w:rsid w:val="0041325D"/>
    <w:rsid w:val="00413AC7"/>
    <w:rsid w:val="00414D56"/>
    <w:rsid w:val="0041570E"/>
    <w:rsid w:val="00415C65"/>
    <w:rsid w:val="00415E2E"/>
    <w:rsid w:val="00416D2B"/>
    <w:rsid w:val="00417006"/>
    <w:rsid w:val="00417017"/>
    <w:rsid w:val="004174B0"/>
    <w:rsid w:val="00421775"/>
    <w:rsid w:val="00421879"/>
    <w:rsid w:val="00421ABD"/>
    <w:rsid w:val="00423910"/>
    <w:rsid w:val="00424C32"/>
    <w:rsid w:val="00424C85"/>
    <w:rsid w:val="00424FA2"/>
    <w:rsid w:val="00425222"/>
    <w:rsid w:val="00426AC7"/>
    <w:rsid w:val="00427F0E"/>
    <w:rsid w:val="004306F3"/>
    <w:rsid w:val="004308FA"/>
    <w:rsid w:val="00431D51"/>
    <w:rsid w:val="004323B0"/>
    <w:rsid w:val="00435D48"/>
    <w:rsid w:val="00436135"/>
    <w:rsid w:val="004379C0"/>
    <w:rsid w:val="0044004D"/>
    <w:rsid w:val="00441617"/>
    <w:rsid w:val="00441879"/>
    <w:rsid w:val="00441BF0"/>
    <w:rsid w:val="00442E2A"/>
    <w:rsid w:val="00446319"/>
    <w:rsid w:val="0044636A"/>
    <w:rsid w:val="00446EF1"/>
    <w:rsid w:val="004475A2"/>
    <w:rsid w:val="00450A89"/>
    <w:rsid w:val="0045182F"/>
    <w:rsid w:val="00452070"/>
    <w:rsid w:val="00452171"/>
    <w:rsid w:val="004525AD"/>
    <w:rsid w:val="004529C2"/>
    <w:rsid w:val="00453C30"/>
    <w:rsid w:val="00454592"/>
    <w:rsid w:val="004552F1"/>
    <w:rsid w:val="00455948"/>
    <w:rsid w:val="0045659B"/>
    <w:rsid w:val="0046030F"/>
    <w:rsid w:val="00460B16"/>
    <w:rsid w:val="00462F88"/>
    <w:rsid w:val="00464733"/>
    <w:rsid w:val="00464CF2"/>
    <w:rsid w:val="0046557C"/>
    <w:rsid w:val="00465F5D"/>
    <w:rsid w:val="00466414"/>
    <w:rsid w:val="00467B0D"/>
    <w:rsid w:val="00470659"/>
    <w:rsid w:val="00472CAE"/>
    <w:rsid w:val="00472F00"/>
    <w:rsid w:val="00474240"/>
    <w:rsid w:val="00474D7E"/>
    <w:rsid w:val="00476494"/>
    <w:rsid w:val="0047660D"/>
    <w:rsid w:val="004777CC"/>
    <w:rsid w:val="00481EEC"/>
    <w:rsid w:val="004825B9"/>
    <w:rsid w:val="00482808"/>
    <w:rsid w:val="00482FF0"/>
    <w:rsid w:val="00483DCF"/>
    <w:rsid w:val="0048435A"/>
    <w:rsid w:val="00486C8F"/>
    <w:rsid w:val="00486D27"/>
    <w:rsid w:val="00486F7A"/>
    <w:rsid w:val="00487F31"/>
    <w:rsid w:val="00490B67"/>
    <w:rsid w:val="00491504"/>
    <w:rsid w:val="0049155A"/>
    <w:rsid w:val="00491B5D"/>
    <w:rsid w:val="00493C80"/>
    <w:rsid w:val="004941CC"/>
    <w:rsid w:val="00494258"/>
    <w:rsid w:val="00494B03"/>
    <w:rsid w:val="00494EA6"/>
    <w:rsid w:val="00495396"/>
    <w:rsid w:val="004959A6"/>
    <w:rsid w:val="00497411"/>
    <w:rsid w:val="00497E8F"/>
    <w:rsid w:val="004A132B"/>
    <w:rsid w:val="004A22FF"/>
    <w:rsid w:val="004A230D"/>
    <w:rsid w:val="004A296B"/>
    <w:rsid w:val="004A2E17"/>
    <w:rsid w:val="004A34D8"/>
    <w:rsid w:val="004A390D"/>
    <w:rsid w:val="004A491E"/>
    <w:rsid w:val="004A4D44"/>
    <w:rsid w:val="004A5993"/>
    <w:rsid w:val="004A59EF"/>
    <w:rsid w:val="004A5DE2"/>
    <w:rsid w:val="004A6083"/>
    <w:rsid w:val="004A6350"/>
    <w:rsid w:val="004A6580"/>
    <w:rsid w:val="004A6F48"/>
    <w:rsid w:val="004B14A6"/>
    <w:rsid w:val="004B1E15"/>
    <w:rsid w:val="004B6D0D"/>
    <w:rsid w:val="004C0C14"/>
    <w:rsid w:val="004C345D"/>
    <w:rsid w:val="004C3D54"/>
    <w:rsid w:val="004C3E25"/>
    <w:rsid w:val="004C4EC6"/>
    <w:rsid w:val="004C5271"/>
    <w:rsid w:val="004C5ABE"/>
    <w:rsid w:val="004C5B28"/>
    <w:rsid w:val="004C7F80"/>
    <w:rsid w:val="004D0902"/>
    <w:rsid w:val="004D0B69"/>
    <w:rsid w:val="004D13D1"/>
    <w:rsid w:val="004D1B51"/>
    <w:rsid w:val="004D1BAE"/>
    <w:rsid w:val="004D4AE7"/>
    <w:rsid w:val="004D5678"/>
    <w:rsid w:val="004D6988"/>
    <w:rsid w:val="004D7B42"/>
    <w:rsid w:val="004E1898"/>
    <w:rsid w:val="004E2CD3"/>
    <w:rsid w:val="004E3D5A"/>
    <w:rsid w:val="004E5F60"/>
    <w:rsid w:val="004E678C"/>
    <w:rsid w:val="004F00E9"/>
    <w:rsid w:val="004F0F85"/>
    <w:rsid w:val="004F21EC"/>
    <w:rsid w:val="004F294A"/>
    <w:rsid w:val="004F2FF3"/>
    <w:rsid w:val="004F31FD"/>
    <w:rsid w:val="004F39E4"/>
    <w:rsid w:val="004F499E"/>
    <w:rsid w:val="004F4BD4"/>
    <w:rsid w:val="004F5363"/>
    <w:rsid w:val="004F54AA"/>
    <w:rsid w:val="00502289"/>
    <w:rsid w:val="00502EA9"/>
    <w:rsid w:val="00503829"/>
    <w:rsid w:val="00505C1A"/>
    <w:rsid w:val="00505D55"/>
    <w:rsid w:val="005065D9"/>
    <w:rsid w:val="005073E5"/>
    <w:rsid w:val="005117BB"/>
    <w:rsid w:val="0051243B"/>
    <w:rsid w:val="0051529C"/>
    <w:rsid w:val="0051716D"/>
    <w:rsid w:val="0052081E"/>
    <w:rsid w:val="005232EF"/>
    <w:rsid w:val="00524748"/>
    <w:rsid w:val="00524D3A"/>
    <w:rsid w:val="00524EE2"/>
    <w:rsid w:val="005258C4"/>
    <w:rsid w:val="005268C6"/>
    <w:rsid w:val="00532808"/>
    <w:rsid w:val="00533AD7"/>
    <w:rsid w:val="00533B16"/>
    <w:rsid w:val="00534202"/>
    <w:rsid w:val="005357D9"/>
    <w:rsid w:val="005359E8"/>
    <w:rsid w:val="00535D12"/>
    <w:rsid w:val="0053629B"/>
    <w:rsid w:val="00536A50"/>
    <w:rsid w:val="00536F45"/>
    <w:rsid w:val="00540071"/>
    <w:rsid w:val="00540329"/>
    <w:rsid w:val="00540CFB"/>
    <w:rsid w:val="0054135E"/>
    <w:rsid w:val="00541AE3"/>
    <w:rsid w:val="00542DBB"/>
    <w:rsid w:val="005430AB"/>
    <w:rsid w:val="005444B8"/>
    <w:rsid w:val="005451A1"/>
    <w:rsid w:val="0054612C"/>
    <w:rsid w:val="00546283"/>
    <w:rsid w:val="00546C27"/>
    <w:rsid w:val="00547FCB"/>
    <w:rsid w:val="005506F4"/>
    <w:rsid w:val="00550884"/>
    <w:rsid w:val="00551DCC"/>
    <w:rsid w:val="00553757"/>
    <w:rsid w:val="00554526"/>
    <w:rsid w:val="00556001"/>
    <w:rsid w:val="00556FCC"/>
    <w:rsid w:val="0055715A"/>
    <w:rsid w:val="00557D6E"/>
    <w:rsid w:val="005601CA"/>
    <w:rsid w:val="00561CDB"/>
    <w:rsid w:val="005633B7"/>
    <w:rsid w:val="00564833"/>
    <w:rsid w:val="00564DE0"/>
    <w:rsid w:val="00566E89"/>
    <w:rsid w:val="0056784A"/>
    <w:rsid w:val="005710B3"/>
    <w:rsid w:val="00573470"/>
    <w:rsid w:val="005779C5"/>
    <w:rsid w:val="005801E8"/>
    <w:rsid w:val="005803C4"/>
    <w:rsid w:val="00580C8F"/>
    <w:rsid w:val="0058403F"/>
    <w:rsid w:val="005845C4"/>
    <w:rsid w:val="0058489C"/>
    <w:rsid w:val="00585819"/>
    <w:rsid w:val="005861FA"/>
    <w:rsid w:val="005869B2"/>
    <w:rsid w:val="00587A38"/>
    <w:rsid w:val="00587A8B"/>
    <w:rsid w:val="0059131B"/>
    <w:rsid w:val="00591790"/>
    <w:rsid w:val="00592256"/>
    <w:rsid w:val="005923B2"/>
    <w:rsid w:val="005955DA"/>
    <w:rsid w:val="0059728C"/>
    <w:rsid w:val="005A086C"/>
    <w:rsid w:val="005A0986"/>
    <w:rsid w:val="005A1980"/>
    <w:rsid w:val="005A1E20"/>
    <w:rsid w:val="005A2549"/>
    <w:rsid w:val="005A2766"/>
    <w:rsid w:val="005A4373"/>
    <w:rsid w:val="005A46C7"/>
    <w:rsid w:val="005A4AD8"/>
    <w:rsid w:val="005A52FC"/>
    <w:rsid w:val="005A5E05"/>
    <w:rsid w:val="005A75E3"/>
    <w:rsid w:val="005A7AE2"/>
    <w:rsid w:val="005B023A"/>
    <w:rsid w:val="005B295A"/>
    <w:rsid w:val="005B30B3"/>
    <w:rsid w:val="005B323C"/>
    <w:rsid w:val="005B413C"/>
    <w:rsid w:val="005B4398"/>
    <w:rsid w:val="005B4449"/>
    <w:rsid w:val="005B5952"/>
    <w:rsid w:val="005B6E72"/>
    <w:rsid w:val="005B71DD"/>
    <w:rsid w:val="005C070C"/>
    <w:rsid w:val="005C0C59"/>
    <w:rsid w:val="005C48E4"/>
    <w:rsid w:val="005C593C"/>
    <w:rsid w:val="005D0986"/>
    <w:rsid w:val="005D134C"/>
    <w:rsid w:val="005D2566"/>
    <w:rsid w:val="005D33A6"/>
    <w:rsid w:val="005D52F1"/>
    <w:rsid w:val="005E030E"/>
    <w:rsid w:val="005E1B03"/>
    <w:rsid w:val="005E1DF6"/>
    <w:rsid w:val="005E1F9A"/>
    <w:rsid w:val="005E2890"/>
    <w:rsid w:val="005E30A8"/>
    <w:rsid w:val="005E4120"/>
    <w:rsid w:val="005E4882"/>
    <w:rsid w:val="005E492D"/>
    <w:rsid w:val="005E57DD"/>
    <w:rsid w:val="005E63E1"/>
    <w:rsid w:val="005F10B2"/>
    <w:rsid w:val="005F3918"/>
    <w:rsid w:val="005F3B68"/>
    <w:rsid w:val="005F3DC8"/>
    <w:rsid w:val="005F4AA2"/>
    <w:rsid w:val="005F54AF"/>
    <w:rsid w:val="005F6399"/>
    <w:rsid w:val="005F6D60"/>
    <w:rsid w:val="005F7BAE"/>
    <w:rsid w:val="005F7E5D"/>
    <w:rsid w:val="00600199"/>
    <w:rsid w:val="0060047C"/>
    <w:rsid w:val="00601376"/>
    <w:rsid w:val="0060252E"/>
    <w:rsid w:val="00602CA9"/>
    <w:rsid w:val="00602E7F"/>
    <w:rsid w:val="006031D7"/>
    <w:rsid w:val="006068BB"/>
    <w:rsid w:val="00606E59"/>
    <w:rsid w:val="00607682"/>
    <w:rsid w:val="006077F6"/>
    <w:rsid w:val="00607B0F"/>
    <w:rsid w:val="006100C0"/>
    <w:rsid w:val="00610FBC"/>
    <w:rsid w:val="00611008"/>
    <w:rsid w:val="006118DA"/>
    <w:rsid w:val="00611901"/>
    <w:rsid w:val="00611E5E"/>
    <w:rsid w:val="00611E74"/>
    <w:rsid w:val="0061421A"/>
    <w:rsid w:val="00614526"/>
    <w:rsid w:val="006150C3"/>
    <w:rsid w:val="0061543D"/>
    <w:rsid w:val="0061574A"/>
    <w:rsid w:val="00615C78"/>
    <w:rsid w:val="00616251"/>
    <w:rsid w:val="006202EA"/>
    <w:rsid w:val="006229AF"/>
    <w:rsid w:val="00624165"/>
    <w:rsid w:val="00624222"/>
    <w:rsid w:val="00624F51"/>
    <w:rsid w:val="00624FD4"/>
    <w:rsid w:val="00626DD5"/>
    <w:rsid w:val="006313EC"/>
    <w:rsid w:val="006338BA"/>
    <w:rsid w:val="00637B6A"/>
    <w:rsid w:val="00637C94"/>
    <w:rsid w:val="00637CB6"/>
    <w:rsid w:val="006409A3"/>
    <w:rsid w:val="006435EE"/>
    <w:rsid w:val="0064458C"/>
    <w:rsid w:val="00646B65"/>
    <w:rsid w:val="00646C77"/>
    <w:rsid w:val="0065099B"/>
    <w:rsid w:val="00651C7B"/>
    <w:rsid w:val="00652324"/>
    <w:rsid w:val="00652549"/>
    <w:rsid w:val="00653A22"/>
    <w:rsid w:val="006546F1"/>
    <w:rsid w:val="00654846"/>
    <w:rsid w:val="00654F7D"/>
    <w:rsid w:val="00655D49"/>
    <w:rsid w:val="00656594"/>
    <w:rsid w:val="00660A9F"/>
    <w:rsid w:val="00660F95"/>
    <w:rsid w:val="00662012"/>
    <w:rsid w:val="00662234"/>
    <w:rsid w:val="00662695"/>
    <w:rsid w:val="00662A54"/>
    <w:rsid w:val="00663C40"/>
    <w:rsid w:val="00664C7A"/>
    <w:rsid w:val="00665A76"/>
    <w:rsid w:val="0066612D"/>
    <w:rsid w:val="00666BBE"/>
    <w:rsid w:val="00666E93"/>
    <w:rsid w:val="00670FE0"/>
    <w:rsid w:val="006736E5"/>
    <w:rsid w:val="00675C03"/>
    <w:rsid w:val="00675F93"/>
    <w:rsid w:val="00675FC6"/>
    <w:rsid w:val="006762DC"/>
    <w:rsid w:val="0067750E"/>
    <w:rsid w:val="00677C01"/>
    <w:rsid w:val="00677D39"/>
    <w:rsid w:val="00677E10"/>
    <w:rsid w:val="00681E02"/>
    <w:rsid w:val="00683588"/>
    <w:rsid w:val="00683BF4"/>
    <w:rsid w:val="00684A2E"/>
    <w:rsid w:val="00687174"/>
    <w:rsid w:val="00687FA9"/>
    <w:rsid w:val="006908FF"/>
    <w:rsid w:val="00690B1C"/>
    <w:rsid w:val="00690FF0"/>
    <w:rsid w:val="00691889"/>
    <w:rsid w:val="00692FAB"/>
    <w:rsid w:val="0069378B"/>
    <w:rsid w:val="00693971"/>
    <w:rsid w:val="00695901"/>
    <w:rsid w:val="00696D52"/>
    <w:rsid w:val="00697EA1"/>
    <w:rsid w:val="00697FA0"/>
    <w:rsid w:val="006A0174"/>
    <w:rsid w:val="006A1640"/>
    <w:rsid w:val="006A1D6C"/>
    <w:rsid w:val="006A2246"/>
    <w:rsid w:val="006A2963"/>
    <w:rsid w:val="006A41BD"/>
    <w:rsid w:val="006A45CD"/>
    <w:rsid w:val="006A7A1B"/>
    <w:rsid w:val="006B3138"/>
    <w:rsid w:val="006B3E6F"/>
    <w:rsid w:val="006B4B59"/>
    <w:rsid w:val="006B5880"/>
    <w:rsid w:val="006B60C0"/>
    <w:rsid w:val="006B75A0"/>
    <w:rsid w:val="006B7E55"/>
    <w:rsid w:val="006C04DE"/>
    <w:rsid w:val="006C1238"/>
    <w:rsid w:val="006C150B"/>
    <w:rsid w:val="006C1852"/>
    <w:rsid w:val="006C216B"/>
    <w:rsid w:val="006C27FF"/>
    <w:rsid w:val="006C4E27"/>
    <w:rsid w:val="006C5C23"/>
    <w:rsid w:val="006C6E2A"/>
    <w:rsid w:val="006D1486"/>
    <w:rsid w:val="006D1F8B"/>
    <w:rsid w:val="006D3865"/>
    <w:rsid w:val="006D5027"/>
    <w:rsid w:val="006D5F86"/>
    <w:rsid w:val="006D66BD"/>
    <w:rsid w:val="006D794C"/>
    <w:rsid w:val="006E1649"/>
    <w:rsid w:val="006E1F1F"/>
    <w:rsid w:val="006E2996"/>
    <w:rsid w:val="006E427E"/>
    <w:rsid w:val="006E4CB4"/>
    <w:rsid w:val="006E6025"/>
    <w:rsid w:val="006E6419"/>
    <w:rsid w:val="006E6ACA"/>
    <w:rsid w:val="006E7247"/>
    <w:rsid w:val="006F0111"/>
    <w:rsid w:val="006F1981"/>
    <w:rsid w:val="006F1C81"/>
    <w:rsid w:val="006F23AD"/>
    <w:rsid w:val="006F29AB"/>
    <w:rsid w:val="006F3381"/>
    <w:rsid w:val="006F357E"/>
    <w:rsid w:val="006F38E8"/>
    <w:rsid w:val="006F3E36"/>
    <w:rsid w:val="006F4300"/>
    <w:rsid w:val="006F578E"/>
    <w:rsid w:val="006F77B0"/>
    <w:rsid w:val="007036C0"/>
    <w:rsid w:val="00703E87"/>
    <w:rsid w:val="007053A6"/>
    <w:rsid w:val="0070687A"/>
    <w:rsid w:val="00706E10"/>
    <w:rsid w:val="00710E37"/>
    <w:rsid w:val="007113AD"/>
    <w:rsid w:val="0071215F"/>
    <w:rsid w:val="00713015"/>
    <w:rsid w:val="007137FE"/>
    <w:rsid w:val="00714314"/>
    <w:rsid w:val="007160EF"/>
    <w:rsid w:val="00716C37"/>
    <w:rsid w:val="0071779C"/>
    <w:rsid w:val="0072161D"/>
    <w:rsid w:val="007230E5"/>
    <w:rsid w:val="007242EB"/>
    <w:rsid w:val="007246AD"/>
    <w:rsid w:val="00724759"/>
    <w:rsid w:val="007276BE"/>
    <w:rsid w:val="007306AE"/>
    <w:rsid w:val="007338F0"/>
    <w:rsid w:val="007341CF"/>
    <w:rsid w:val="00734C10"/>
    <w:rsid w:val="0073624A"/>
    <w:rsid w:val="00737716"/>
    <w:rsid w:val="00740D9F"/>
    <w:rsid w:val="007432D5"/>
    <w:rsid w:val="0074690C"/>
    <w:rsid w:val="00747B66"/>
    <w:rsid w:val="007514F2"/>
    <w:rsid w:val="00751670"/>
    <w:rsid w:val="00751A9E"/>
    <w:rsid w:val="00753A84"/>
    <w:rsid w:val="00753EF6"/>
    <w:rsid w:val="007542CF"/>
    <w:rsid w:val="00754B10"/>
    <w:rsid w:val="00754B12"/>
    <w:rsid w:val="00756EB9"/>
    <w:rsid w:val="007572B1"/>
    <w:rsid w:val="00761592"/>
    <w:rsid w:val="00762B54"/>
    <w:rsid w:val="00763A7F"/>
    <w:rsid w:val="00763B0A"/>
    <w:rsid w:val="007648E7"/>
    <w:rsid w:val="0076784A"/>
    <w:rsid w:val="00770312"/>
    <w:rsid w:val="00770AC2"/>
    <w:rsid w:val="007718C0"/>
    <w:rsid w:val="00772300"/>
    <w:rsid w:val="00776420"/>
    <w:rsid w:val="00776677"/>
    <w:rsid w:val="00776AC3"/>
    <w:rsid w:val="00776AD9"/>
    <w:rsid w:val="00776CDA"/>
    <w:rsid w:val="00777935"/>
    <w:rsid w:val="00780A55"/>
    <w:rsid w:val="00780F71"/>
    <w:rsid w:val="00781470"/>
    <w:rsid w:val="00781A7C"/>
    <w:rsid w:val="0078267A"/>
    <w:rsid w:val="007826B1"/>
    <w:rsid w:val="00782F92"/>
    <w:rsid w:val="00783468"/>
    <w:rsid w:val="00784ADF"/>
    <w:rsid w:val="00786C43"/>
    <w:rsid w:val="00787041"/>
    <w:rsid w:val="007919E6"/>
    <w:rsid w:val="00791AAA"/>
    <w:rsid w:val="00791AAC"/>
    <w:rsid w:val="00792CB0"/>
    <w:rsid w:val="0079338D"/>
    <w:rsid w:val="00794FB0"/>
    <w:rsid w:val="00795494"/>
    <w:rsid w:val="00795991"/>
    <w:rsid w:val="00796BFF"/>
    <w:rsid w:val="0079741B"/>
    <w:rsid w:val="00797441"/>
    <w:rsid w:val="0079751B"/>
    <w:rsid w:val="007A01CE"/>
    <w:rsid w:val="007A12D9"/>
    <w:rsid w:val="007A135C"/>
    <w:rsid w:val="007A1466"/>
    <w:rsid w:val="007A2060"/>
    <w:rsid w:val="007A23E9"/>
    <w:rsid w:val="007A28DC"/>
    <w:rsid w:val="007A375B"/>
    <w:rsid w:val="007A3FD0"/>
    <w:rsid w:val="007A419E"/>
    <w:rsid w:val="007A52E6"/>
    <w:rsid w:val="007A55CD"/>
    <w:rsid w:val="007A7265"/>
    <w:rsid w:val="007B179E"/>
    <w:rsid w:val="007B246F"/>
    <w:rsid w:val="007B3E0D"/>
    <w:rsid w:val="007B4660"/>
    <w:rsid w:val="007B4A33"/>
    <w:rsid w:val="007B53DB"/>
    <w:rsid w:val="007B6014"/>
    <w:rsid w:val="007C1747"/>
    <w:rsid w:val="007C19CD"/>
    <w:rsid w:val="007C259B"/>
    <w:rsid w:val="007C3D10"/>
    <w:rsid w:val="007C40FD"/>
    <w:rsid w:val="007C54F2"/>
    <w:rsid w:val="007C61F6"/>
    <w:rsid w:val="007C6F02"/>
    <w:rsid w:val="007C7BBB"/>
    <w:rsid w:val="007D0CD4"/>
    <w:rsid w:val="007D0D03"/>
    <w:rsid w:val="007D1F06"/>
    <w:rsid w:val="007D3495"/>
    <w:rsid w:val="007D493A"/>
    <w:rsid w:val="007D7660"/>
    <w:rsid w:val="007D7E97"/>
    <w:rsid w:val="007E171F"/>
    <w:rsid w:val="007E2479"/>
    <w:rsid w:val="007E5707"/>
    <w:rsid w:val="007E5BB9"/>
    <w:rsid w:val="007E7A1C"/>
    <w:rsid w:val="007F0344"/>
    <w:rsid w:val="007F0CBA"/>
    <w:rsid w:val="007F0D6B"/>
    <w:rsid w:val="007F1721"/>
    <w:rsid w:val="007F1C72"/>
    <w:rsid w:val="007F372A"/>
    <w:rsid w:val="007F4FFB"/>
    <w:rsid w:val="007F568D"/>
    <w:rsid w:val="007F7AC9"/>
    <w:rsid w:val="007F7EB3"/>
    <w:rsid w:val="008014DD"/>
    <w:rsid w:val="00801B6A"/>
    <w:rsid w:val="00802D34"/>
    <w:rsid w:val="0080316B"/>
    <w:rsid w:val="00805236"/>
    <w:rsid w:val="00805AA4"/>
    <w:rsid w:val="00807191"/>
    <w:rsid w:val="00807954"/>
    <w:rsid w:val="00807D47"/>
    <w:rsid w:val="00810D60"/>
    <w:rsid w:val="00812F62"/>
    <w:rsid w:val="008136A7"/>
    <w:rsid w:val="00813895"/>
    <w:rsid w:val="00813FE1"/>
    <w:rsid w:val="008149C9"/>
    <w:rsid w:val="00816343"/>
    <w:rsid w:val="008177F4"/>
    <w:rsid w:val="00821FCB"/>
    <w:rsid w:val="00823F3B"/>
    <w:rsid w:val="00823F86"/>
    <w:rsid w:val="0082425D"/>
    <w:rsid w:val="00824BA3"/>
    <w:rsid w:val="00827C69"/>
    <w:rsid w:val="0083069E"/>
    <w:rsid w:val="008307DB"/>
    <w:rsid w:val="008316AC"/>
    <w:rsid w:val="008340D1"/>
    <w:rsid w:val="00835133"/>
    <w:rsid w:val="008359C2"/>
    <w:rsid w:val="00835EBB"/>
    <w:rsid w:val="0083796D"/>
    <w:rsid w:val="008404DE"/>
    <w:rsid w:val="00840B27"/>
    <w:rsid w:val="00840BC7"/>
    <w:rsid w:val="0084508A"/>
    <w:rsid w:val="008452E0"/>
    <w:rsid w:val="00845343"/>
    <w:rsid w:val="008456C1"/>
    <w:rsid w:val="0085070B"/>
    <w:rsid w:val="00850806"/>
    <w:rsid w:val="008508FA"/>
    <w:rsid w:val="00851310"/>
    <w:rsid w:val="008515A4"/>
    <w:rsid w:val="00853852"/>
    <w:rsid w:val="00854F7E"/>
    <w:rsid w:val="00855546"/>
    <w:rsid w:val="00855642"/>
    <w:rsid w:val="00860C05"/>
    <w:rsid w:val="00860E5B"/>
    <w:rsid w:val="0086182A"/>
    <w:rsid w:val="00863589"/>
    <w:rsid w:val="00863A03"/>
    <w:rsid w:val="00864A91"/>
    <w:rsid w:val="008661CF"/>
    <w:rsid w:val="0086744E"/>
    <w:rsid w:val="0086759C"/>
    <w:rsid w:val="00867993"/>
    <w:rsid w:val="0087161B"/>
    <w:rsid w:val="00873381"/>
    <w:rsid w:val="00873C6E"/>
    <w:rsid w:val="00874A17"/>
    <w:rsid w:val="008754B6"/>
    <w:rsid w:val="00875F15"/>
    <w:rsid w:val="0088098A"/>
    <w:rsid w:val="008809B7"/>
    <w:rsid w:val="00881726"/>
    <w:rsid w:val="00881AD1"/>
    <w:rsid w:val="00881FCE"/>
    <w:rsid w:val="008823C9"/>
    <w:rsid w:val="00882811"/>
    <w:rsid w:val="00883115"/>
    <w:rsid w:val="0088333B"/>
    <w:rsid w:val="00884C0D"/>
    <w:rsid w:val="00884DEC"/>
    <w:rsid w:val="00885663"/>
    <w:rsid w:val="0088736F"/>
    <w:rsid w:val="0088745D"/>
    <w:rsid w:val="008879B1"/>
    <w:rsid w:val="00890F4E"/>
    <w:rsid w:val="008912C8"/>
    <w:rsid w:val="008918EF"/>
    <w:rsid w:val="00893C33"/>
    <w:rsid w:val="008958B0"/>
    <w:rsid w:val="00895944"/>
    <w:rsid w:val="008A0CBD"/>
    <w:rsid w:val="008A2635"/>
    <w:rsid w:val="008A28FA"/>
    <w:rsid w:val="008A2E99"/>
    <w:rsid w:val="008A3439"/>
    <w:rsid w:val="008A4892"/>
    <w:rsid w:val="008A4B8F"/>
    <w:rsid w:val="008A5467"/>
    <w:rsid w:val="008A6C06"/>
    <w:rsid w:val="008A7E91"/>
    <w:rsid w:val="008B0FE4"/>
    <w:rsid w:val="008B10DC"/>
    <w:rsid w:val="008B2169"/>
    <w:rsid w:val="008B2360"/>
    <w:rsid w:val="008B371E"/>
    <w:rsid w:val="008B3E97"/>
    <w:rsid w:val="008B4119"/>
    <w:rsid w:val="008B4647"/>
    <w:rsid w:val="008B4DFB"/>
    <w:rsid w:val="008B4EDF"/>
    <w:rsid w:val="008B51E7"/>
    <w:rsid w:val="008C032E"/>
    <w:rsid w:val="008C1934"/>
    <w:rsid w:val="008C1B3E"/>
    <w:rsid w:val="008C37C6"/>
    <w:rsid w:val="008C40C4"/>
    <w:rsid w:val="008C45DF"/>
    <w:rsid w:val="008C65FC"/>
    <w:rsid w:val="008C6D17"/>
    <w:rsid w:val="008D04A8"/>
    <w:rsid w:val="008D0A1C"/>
    <w:rsid w:val="008D0D01"/>
    <w:rsid w:val="008D1823"/>
    <w:rsid w:val="008D1F2C"/>
    <w:rsid w:val="008D3E54"/>
    <w:rsid w:val="008D524F"/>
    <w:rsid w:val="008D566A"/>
    <w:rsid w:val="008D5B25"/>
    <w:rsid w:val="008D5B4F"/>
    <w:rsid w:val="008E0857"/>
    <w:rsid w:val="008E0F7A"/>
    <w:rsid w:val="008E128B"/>
    <w:rsid w:val="008E1405"/>
    <w:rsid w:val="008E1CB1"/>
    <w:rsid w:val="008E2E09"/>
    <w:rsid w:val="008E3ED7"/>
    <w:rsid w:val="008E5198"/>
    <w:rsid w:val="008E70DE"/>
    <w:rsid w:val="008F071E"/>
    <w:rsid w:val="008F114F"/>
    <w:rsid w:val="008F16E7"/>
    <w:rsid w:val="008F20F9"/>
    <w:rsid w:val="008F2B20"/>
    <w:rsid w:val="008F3461"/>
    <w:rsid w:val="008F4CE5"/>
    <w:rsid w:val="008F521E"/>
    <w:rsid w:val="008F669F"/>
    <w:rsid w:val="008F700F"/>
    <w:rsid w:val="009042A8"/>
    <w:rsid w:val="00905080"/>
    <w:rsid w:val="00905146"/>
    <w:rsid w:val="0090598C"/>
    <w:rsid w:val="00906FE9"/>
    <w:rsid w:val="00912582"/>
    <w:rsid w:val="00913559"/>
    <w:rsid w:val="00914D63"/>
    <w:rsid w:val="009157E7"/>
    <w:rsid w:val="00916FB1"/>
    <w:rsid w:val="0091718D"/>
    <w:rsid w:val="009177BD"/>
    <w:rsid w:val="00917E72"/>
    <w:rsid w:val="009206B5"/>
    <w:rsid w:val="009219B4"/>
    <w:rsid w:val="00922164"/>
    <w:rsid w:val="00922A7C"/>
    <w:rsid w:val="0092405A"/>
    <w:rsid w:val="00924A0F"/>
    <w:rsid w:val="00926744"/>
    <w:rsid w:val="00927212"/>
    <w:rsid w:val="009272E9"/>
    <w:rsid w:val="00930DA7"/>
    <w:rsid w:val="009316D9"/>
    <w:rsid w:val="00931BCD"/>
    <w:rsid w:val="00932147"/>
    <w:rsid w:val="00933089"/>
    <w:rsid w:val="00934897"/>
    <w:rsid w:val="00934B90"/>
    <w:rsid w:val="00934F2C"/>
    <w:rsid w:val="00935595"/>
    <w:rsid w:val="00936372"/>
    <w:rsid w:val="0094299C"/>
    <w:rsid w:val="00942CBE"/>
    <w:rsid w:val="00943FB3"/>
    <w:rsid w:val="0094407B"/>
    <w:rsid w:val="009470B5"/>
    <w:rsid w:val="00947732"/>
    <w:rsid w:val="00950919"/>
    <w:rsid w:val="00950E72"/>
    <w:rsid w:val="00952913"/>
    <w:rsid w:val="00953334"/>
    <w:rsid w:val="0095339D"/>
    <w:rsid w:val="00953595"/>
    <w:rsid w:val="009538D6"/>
    <w:rsid w:val="00953C42"/>
    <w:rsid w:val="00956DE1"/>
    <w:rsid w:val="009610FF"/>
    <w:rsid w:val="00961CD9"/>
    <w:rsid w:val="009624F3"/>
    <w:rsid w:val="00963276"/>
    <w:rsid w:val="0096508C"/>
    <w:rsid w:val="0096550F"/>
    <w:rsid w:val="009659C0"/>
    <w:rsid w:val="00965F64"/>
    <w:rsid w:val="009665D0"/>
    <w:rsid w:val="00970807"/>
    <w:rsid w:val="00971FD7"/>
    <w:rsid w:val="0097318F"/>
    <w:rsid w:val="009734AE"/>
    <w:rsid w:val="009735D5"/>
    <w:rsid w:val="00974C32"/>
    <w:rsid w:val="00976B5B"/>
    <w:rsid w:val="009819F7"/>
    <w:rsid w:val="009820E3"/>
    <w:rsid w:val="00982BDA"/>
    <w:rsid w:val="00985751"/>
    <w:rsid w:val="00986606"/>
    <w:rsid w:val="00986AD4"/>
    <w:rsid w:val="00986D05"/>
    <w:rsid w:val="0098746E"/>
    <w:rsid w:val="00990755"/>
    <w:rsid w:val="009923D1"/>
    <w:rsid w:val="00992EC1"/>
    <w:rsid w:val="009932A7"/>
    <w:rsid w:val="009933E1"/>
    <w:rsid w:val="009939E1"/>
    <w:rsid w:val="00994389"/>
    <w:rsid w:val="0099462A"/>
    <w:rsid w:val="00994C85"/>
    <w:rsid w:val="00995509"/>
    <w:rsid w:val="00996C6B"/>
    <w:rsid w:val="00996E15"/>
    <w:rsid w:val="0099773A"/>
    <w:rsid w:val="0099799E"/>
    <w:rsid w:val="009A12B0"/>
    <w:rsid w:val="009A1F8D"/>
    <w:rsid w:val="009A254C"/>
    <w:rsid w:val="009A3005"/>
    <w:rsid w:val="009A39C6"/>
    <w:rsid w:val="009A45D7"/>
    <w:rsid w:val="009A497B"/>
    <w:rsid w:val="009A50DF"/>
    <w:rsid w:val="009A5F4A"/>
    <w:rsid w:val="009A72D0"/>
    <w:rsid w:val="009A7D06"/>
    <w:rsid w:val="009B09EC"/>
    <w:rsid w:val="009B20AF"/>
    <w:rsid w:val="009B2B8A"/>
    <w:rsid w:val="009B35FC"/>
    <w:rsid w:val="009B382A"/>
    <w:rsid w:val="009B4050"/>
    <w:rsid w:val="009B4C4C"/>
    <w:rsid w:val="009B5930"/>
    <w:rsid w:val="009C089E"/>
    <w:rsid w:val="009C2B2B"/>
    <w:rsid w:val="009C2F02"/>
    <w:rsid w:val="009C6022"/>
    <w:rsid w:val="009D17E7"/>
    <w:rsid w:val="009D27F3"/>
    <w:rsid w:val="009D2B5C"/>
    <w:rsid w:val="009D48A7"/>
    <w:rsid w:val="009D51FF"/>
    <w:rsid w:val="009D596F"/>
    <w:rsid w:val="009D61B9"/>
    <w:rsid w:val="009E0199"/>
    <w:rsid w:val="009E0B79"/>
    <w:rsid w:val="009E145B"/>
    <w:rsid w:val="009E174A"/>
    <w:rsid w:val="009E4E07"/>
    <w:rsid w:val="009E5A8B"/>
    <w:rsid w:val="009E72F4"/>
    <w:rsid w:val="009F1EC9"/>
    <w:rsid w:val="009F2DE5"/>
    <w:rsid w:val="009F3035"/>
    <w:rsid w:val="009F34B6"/>
    <w:rsid w:val="009F67D3"/>
    <w:rsid w:val="009F69BB"/>
    <w:rsid w:val="009F6BB3"/>
    <w:rsid w:val="009F7535"/>
    <w:rsid w:val="009F77AF"/>
    <w:rsid w:val="00A00F5E"/>
    <w:rsid w:val="00A02081"/>
    <w:rsid w:val="00A021C6"/>
    <w:rsid w:val="00A032EC"/>
    <w:rsid w:val="00A03333"/>
    <w:rsid w:val="00A03770"/>
    <w:rsid w:val="00A04EE0"/>
    <w:rsid w:val="00A050AB"/>
    <w:rsid w:val="00A06088"/>
    <w:rsid w:val="00A06535"/>
    <w:rsid w:val="00A06BAA"/>
    <w:rsid w:val="00A07015"/>
    <w:rsid w:val="00A108C4"/>
    <w:rsid w:val="00A117F5"/>
    <w:rsid w:val="00A11E68"/>
    <w:rsid w:val="00A13A1F"/>
    <w:rsid w:val="00A13C8C"/>
    <w:rsid w:val="00A13F5D"/>
    <w:rsid w:val="00A15914"/>
    <w:rsid w:val="00A1622E"/>
    <w:rsid w:val="00A16C3A"/>
    <w:rsid w:val="00A1737E"/>
    <w:rsid w:val="00A1744B"/>
    <w:rsid w:val="00A17C52"/>
    <w:rsid w:val="00A20F71"/>
    <w:rsid w:val="00A214D7"/>
    <w:rsid w:val="00A24BB7"/>
    <w:rsid w:val="00A2518B"/>
    <w:rsid w:val="00A26541"/>
    <w:rsid w:val="00A26B6F"/>
    <w:rsid w:val="00A26FD1"/>
    <w:rsid w:val="00A30C25"/>
    <w:rsid w:val="00A30DEB"/>
    <w:rsid w:val="00A3225C"/>
    <w:rsid w:val="00A3395B"/>
    <w:rsid w:val="00A35D9A"/>
    <w:rsid w:val="00A37E5D"/>
    <w:rsid w:val="00A423CC"/>
    <w:rsid w:val="00A424EE"/>
    <w:rsid w:val="00A43935"/>
    <w:rsid w:val="00A43A4A"/>
    <w:rsid w:val="00A44628"/>
    <w:rsid w:val="00A44803"/>
    <w:rsid w:val="00A449FF"/>
    <w:rsid w:val="00A47396"/>
    <w:rsid w:val="00A47E5B"/>
    <w:rsid w:val="00A47F31"/>
    <w:rsid w:val="00A502BB"/>
    <w:rsid w:val="00A5089F"/>
    <w:rsid w:val="00A53309"/>
    <w:rsid w:val="00A5343D"/>
    <w:rsid w:val="00A54C19"/>
    <w:rsid w:val="00A55FAE"/>
    <w:rsid w:val="00A56184"/>
    <w:rsid w:val="00A57321"/>
    <w:rsid w:val="00A57E43"/>
    <w:rsid w:val="00A612FF"/>
    <w:rsid w:val="00A638A4"/>
    <w:rsid w:val="00A63EDB"/>
    <w:rsid w:val="00A668B2"/>
    <w:rsid w:val="00A67774"/>
    <w:rsid w:val="00A67816"/>
    <w:rsid w:val="00A679FB"/>
    <w:rsid w:val="00A67D79"/>
    <w:rsid w:val="00A70D14"/>
    <w:rsid w:val="00A71125"/>
    <w:rsid w:val="00A71619"/>
    <w:rsid w:val="00A718B7"/>
    <w:rsid w:val="00A722C9"/>
    <w:rsid w:val="00A72C83"/>
    <w:rsid w:val="00A72F28"/>
    <w:rsid w:val="00A72FDA"/>
    <w:rsid w:val="00A753FB"/>
    <w:rsid w:val="00A767B8"/>
    <w:rsid w:val="00A76855"/>
    <w:rsid w:val="00A779BE"/>
    <w:rsid w:val="00A8114E"/>
    <w:rsid w:val="00A8317E"/>
    <w:rsid w:val="00A8414F"/>
    <w:rsid w:val="00A846DF"/>
    <w:rsid w:val="00A84D58"/>
    <w:rsid w:val="00A85007"/>
    <w:rsid w:val="00A86988"/>
    <w:rsid w:val="00A86DFA"/>
    <w:rsid w:val="00A9013B"/>
    <w:rsid w:val="00A92468"/>
    <w:rsid w:val="00A92EBB"/>
    <w:rsid w:val="00A968DF"/>
    <w:rsid w:val="00A9718D"/>
    <w:rsid w:val="00A971B6"/>
    <w:rsid w:val="00A97A3B"/>
    <w:rsid w:val="00A97ADD"/>
    <w:rsid w:val="00AA1024"/>
    <w:rsid w:val="00AA18A9"/>
    <w:rsid w:val="00AA3574"/>
    <w:rsid w:val="00AA45A5"/>
    <w:rsid w:val="00AA5B3A"/>
    <w:rsid w:val="00AA5C17"/>
    <w:rsid w:val="00AA6D34"/>
    <w:rsid w:val="00AA6DCA"/>
    <w:rsid w:val="00AA7195"/>
    <w:rsid w:val="00AA7D06"/>
    <w:rsid w:val="00AB004A"/>
    <w:rsid w:val="00AB262B"/>
    <w:rsid w:val="00AB2EC6"/>
    <w:rsid w:val="00AB347C"/>
    <w:rsid w:val="00AB412E"/>
    <w:rsid w:val="00AB4CBD"/>
    <w:rsid w:val="00AB51E1"/>
    <w:rsid w:val="00AB5C95"/>
    <w:rsid w:val="00AB5DB0"/>
    <w:rsid w:val="00AB6EA2"/>
    <w:rsid w:val="00AB7EA2"/>
    <w:rsid w:val="00AC0026"/>
    <w:rsid w:val="00AC10AC"/>
    <w:rsid w:val="00AC1BB7"/>
    <w:rsid w:val="00AC1CDB"/>
    <w:rsid w:val="00AC1D93"/>
    <w:rsid w:val="00AC1E21"/>
    <w:rsid w:val="00AC2938"/>
    <w:rsid w:val="00AC2CE2"/>
    <w:rsid w:val="00AC3F86"/>
    <w:rsid w:val="00AC47F1"/>
    <w:rsid w:val="00AC4EBE"/>
    <w:rsid w:val="00AC4EC5"/>
    <w:rsid w:val="00AC57BD"/>
    <w:rsid w:val="00AC6505"/>
    <w:rsid w:val="00AC698C"/>
    <w:rsid w:val="00AC69CE"/>
    <w:rsid w:val="00AC6AE1"/>
    <w:rsid w:val="00AC6D89"/>
    <w:rsid w:val="00AC7E57"/>
    <w:rsid w:val="00AC7E95"/>
    <w:rsid w:val="00AD04EE"/>
    <w:rsid w:val="00AD0F2F"/>
    <w:rsid w:val="00AD1977"/>
    <w:rsid w:val="00AD4578"/>
    <w:rsid w:val="00AD4CF7"/>
    <w:rsid w:val="00AD5D2D"/>
    <w:rsid w:val="00AD74B6"/>
    <w:rsid w:val="00AD7CD2"/>
    <w:rsid w:val="00AE0E7A"/>
    <w:rsid w:val="00AE1FF8"/>
    <w:rsid w:val="00AE234A"/>
    <w:rsid w:val="00AE29F2"/>
    <w:rsid w:val="00AE308B"/>
    <w:rsid w:val="00AE3844"/>
    <w:rsid w:val="00AE3D1C"/>
    <w:rsid w:val="00AE6770"/>
    <w:rsid w:val="00AE7D85"/>
    <w:rsid w:val="00AE7DF0"/>
    <w:rsid w:val="00AF02E7"/>
    <w:rsid w:val="00AF1B1B"/>
    <w:rsid w:val="00AF1E9C"/>
    <w:rsid w:val="00AF1FE1"/>
    <w:rsid w:val="00AF25EA"/>
    <w:rsid w:val="00AF4DC1"/>
    <w:rsid w:val="00AF7437"/>
    <w:rsid w:val="00AF7484"/>
    <w:rsid w:val="00AF7CAE"/>
    <w:rsid w:val="00B0063E"/>
    <w:rsid w:val="00B00F57"/>
    <w:rsid w:val="00B0121B"/>
    <w:rsid w:val="00B020DC"/>
    <w:rsid w:val="00B02217"/>
    <w:rsid w:val="00B026FA"/>
    <w:rsid w:val="00B02982"/>
    <w:rsid w:val="00B02CF5"/>
    <w:rsid w:val="00B03CE0"/>
    <w:rsid w:val="00B0438E"/>
    <w:rsid w:val="00B04711"/>
    <w:rsid w:val="00B055CC"/>
    <w:rsid w:val="00B05AD9"/>
    <w:rsid w:val="00B0670E"/>
    <w:rsid w:val="00B0705C"/>
    <w:rsid w:val="00B103ED"/>
    <w:rsid w:val="00B10CB1"/>
    <w:rsid w:val="00B115AF"/>
    <w:rsid w:val="00B132C2"/>
    <w:rsid w:val="00B15945"/>
    <w:rsid w:val="00B176CB"/>
    <w:rsid w:val="00B17F5C"/>
    <w:rsid w:val="00B20513"/>
    <w:rsid w:val="00B20B55"/>
    <w:rsid w:val="00B212F1"/>
    <w:rsid w:val="00B22E88"/>
    <w:rsid w:val="00B23266"/>
    <w:rsid w:val="00B24EFF"/>
    <w:rsid w:val="00B25113"/>
    <w:rsid w:val="00B26DE4"/>
    <w:rsid w:val="00B277C1"/>
    <w:rsid w:val="00B313FD"/>
    <w:rsid w:val="00B31B6F"/>
    <w:rsid w:val="00B33353"/>
    <w:rsid w:val="00B34657"/>
    <w:rsid w:val="00B346DE"/>
    <w:rsid w:val="00B356C8"/>
    <w:rsid w:val="00B36593"/>
    <w:rsid w:val="00B4106A"/>
    <w:rsid w:val="00B434A1"/>
    <w:rsid w:val="00B43CC0"/>
    <w:rsid w:val="00B44604"/>
    <w:rsid w:val="00B4477D"/>
    <w:rsid w:val="00B45EEC"/>
    <w:rsid w:val="00B46299"/>
    <w:rsid w:val="00B46658"/>
    <w:rsid w:val="00B46BF5"/>
    <w:rsid w:val="00B46CC7"/>
    <w:rsid w:val="00B50B9E"/>
    <w:rsid w:val="00B517E2"/>
    <w:rsid w:val="00B54319"/>
    <w:rsid w:val="00B5453B"/>
    <w:rsid w:val="00B5526F"/>
    <w:rsid w:val="00B556BE"/>
    <w:rsid w:val="00B557C1"/>
    <w:rsid w:val="00B558D9"/>
    <w:rsid w:val="00B55ABE"/>
    <w:rsid w:val="00B56868"/>
    <w:rsid w:val="00B57301"/>
    <w:rsid w:val="00B57780"/>
    <w:rsid w:val="00B6017C"/>
    <w:rsid w:val="00B607BC"/>
    <w:rsid w:val="00B620D8"/>
    <w:rsid w:val="00B62390"/>
    <w:rsid w:val="00B63529"/>
    <w:rsid w:val="00B64FB4"/>
    <w:rsid w:val="00B6764E"/>
    <w:rsid w:val="00B6766C"/>
    <w:rsid w:val="00B7499E"/>
    <w:rsid w:val="00B7514A"/>
    <w:rsid w:val="00B773E6"/>
    <w:rsid w:val="00B77C7D"/>
    <w:rsid w:val="00B8115B"/>
    <w:rsid w:val="00B835EC"/>
    <w:rsid w:val="00B8625F"/>
    <w:rsid w:val="00B86932"/>
    <w:rsid w:val="00B875EC"/>
    <w:rsid w:val="00B90159"/>
    <w:rsid w:val="00B91090"/>
    <w:rsid w:val="00B919E5"/>
    <w:rsid w:val="00B93565"/>
    <w:rsid w:val="00B947AD"/>
    <w:rsid w:val="00B9499E"/>
    <w:rsid w:val="00B96097"/>
    <w:rsid w:val="00BA094E"/>
    <w:rsid w:val="00BA16D0"/>
    <w:rsid w:val="00BA1B59"/>
    <w:rsid w:val="00BA20D5"/>
    <w:rsid w:val="00BA2822"/>
    <w:rsid w:val="00BA34D5"/>
    <w:rsid w:val="00BA453F"/>
    <w:rsid w:val="00BA4B0C"/>
    <w:rsid w:val="00BA4BD3"/>
    <w:rsid w:val="00BA5918"/>
    <w:rsid w:val="00BA5B90"/>
    <w:rsid w:val="00BA78CF"/>
    <w:rsid w:val="00BB035F"/>
    <w:rsid w:val="00BB03E6"/>
    <w:rsid w:val="00BB0E06"/>
    <w:rsid w:val="00BB3965"/>
    <w:rsid w:val="00BB3C7D"/>
    <w:rsid w:val="00BB40F3"/>
    <w:rsid w:val="00BC1039"/>
    <w:rsid w:val="00BC264E"/>
    <w:rsid w:val="00BC34CA"/>
    <w:rsid w:val="00BC5CA5"/>
    <w:rsid w:val="00BC5D8C"/>
    <w:rsid w:val="00BC6C0C"/>
    <w:rsid w:val="00BD2956"/>
    <w:rsid w:val="00BD384A"/>
    <w:rsid w:val="00BD4407"/>
    <w:rsid w:val="00BD45A8"/>
    <w:rsid w:val="00BD665F"/>
    <w:rsid w:val="00BE140D"/>
    <w:rsid w:val="00BE1828"/>
    <w:rsid w:val="00BE2A6D"/>
    <w:rsid w:val="00BE2D5C"/>
    <w:rsid w:val="00BE3476"/>
    <w:rsid w:val="00BE4947"/>
    <w:rsid w:val="00BE65BD"/>
    <w:rsid w:val="00BE7F68"/>
    <w:rsid w:val="00BF1068"/>
    <w:rsid w:val="00BF1393"/>
    <w:rsid w:val="00BF26B9"/>
    <w:rsid w:val="00BF2EC6"/>
    <w:rsid w:val="00BF3723"/>
    <w:rsid w:val="00BF3D6D"/>
    <w:rsid w:val="00BF68CF"/>
    <w:rsid w:val="00BF6A28"/>
    <w:rsid w:val="00BF6E9D"/>
    <w:rsid w:val="00BF7543"/>
    <w:rsid w:val="00C006C6"/>
    <w:rsid w:val="00C014AB"/>
    <w:rsid w:val="00C04422"/>
    <w:rsid w:val="00C04708"/>
    <w:rsid w:val="00C0496C"/>
    <w:rsid w:val="00C06B69"/>
    <w:rsid w:val="00C07F80"/>
    <w:rsid w:val="00C10536"/>
    <w:rsid w:val="00C1067B"/>
    <w:rsid w:val="00C12562"/>
    <w:rsid w:val="00C1382A"/>
    <w:rsid w:val="00C13E78"/>
    <w:rsid w:val="00C1429E"/>
    <w:rsid w:val="00C1502C"/>
    <w:rsid w:val="00C1673D"/>
    <w:rsid w:val="00C167AC"/>
    <w:rsid w:val="00C2040F"/>
    <w:rsid w:val="00C20CC7"/>
    <w:rsid w:val="00C2217D"/>
    <w:rsid w:val="00C2300E"/>
    <w:rsid w:val="00C23AD2"/>
    <w:rsid w:val="00C23F5F"/>
    <w:rsid w:val="00C25003"/>
    <w:rsid w:val="00C272C8"/>
    <w:rsid w:val="00C31E5E"/>
    <w:rsid w:val="00C3231F"/>
    <w:rsid w:val="00C3245D"/>
    <w:rsid w:val="00C3391D"/>
    <w:rsid w:val="00C34636"/>
    <w:rsid w:val="00C347B8"/>
    <w:rsid w:val="00C365B2"/>
    <w:rsid w:val="00C36C90"/>
    <w:rsid w:val="00C37387"/>
    <w:rsid w:val="00C40815"/>
    <w:rsid w:val="00C41308"/>
    <w:rsid w:val="00C4262B"/>
    <w:rsid w:val="00C430CA"/>
    <w:rsid w:val="00C43EA8"/>
    <w:rsid w:val="00C4496A"/>
    <w:rsid w:val="00C45CFC"/>
    <w:rsid w:val="00C46DB6"/>
    <w:rsid w:val="00C47283"/>
    <w:rsid w:val="00C51E18"/>
    <w:rsid w:val="00C52220"/>
    <w:rsid w:val="00C551E1"/>
    <w:rsid w:val="00C557F6"/>
    <w:rsid w:val="00C57010"/>
    <w:rsid w:val="00C57E55"/>
    <w:rsid w:val="00C6137F"/>
    <w:rsid w:val="00C6287D"/>
    <w:rsid w:val="00C63B33"/>
    <w:rsid w:val="00C64AFD"/>
    <w:rsid w:val="00C6575E"/>
    <w:rsid w:val="00C6606A"/>
    <w:rsid w:val="00C67AD5"/>
    <w:rsid w:val="00C7075B"/>
    <w:rsid w:val="00C71D67"/>
    <w:rsid w:val="00C72364"/>
    <w:rsid w:val="00C726F3"/>
    <w:rsid w:val="00C72C3B"/>
    <w:rsid w:val="00C7317F"/>
    <w:rsid w:val="00C74B43"/>
    <w:rsid w:val="00C762A4"/>
    <w:rsid w:val="00C81D48"/>
    <w:rsid w:val="00C82CBF"/>
    <w:rsid w:val="00C835DF"/>
    <w:rsid w:val="00C83AB1"/>
    <w:rsid w:val="00C83E4F"/>
    <w:rsid w:val="00C841E5"/>
    <w:rsid w:val="00C84B97"/>
    <w:rsid w:val="00C84CF9"/>
    <w:rsid w:val="00C85141"/>
    <w:rsid w:val="00C85BEA"/>
    <w:rsid w:val="00C85F08"/>
    <w:rsid w:val="00C86B3C"/>
    <w:rsid w:val="00C873BF"/>
    <w:rsid w:val="00C878E6"/>
    <w:rsid w:val="00C87C9E"/>
    <w:rsid w:val="00C90511"/>
    <w:rsid w:val="00C90DBE"/>
    <w:rsid w:val="00C917B1"/>
    <w:rsid w:val="00C91AEC"/>
    <w:rsid w:val="00C9293F"/>
    <w:rsid w:val="00C9389B"/>
    <w:rsid w:val="00C941C4"/>
    <w:rsid w:val="00C950E4"/>
    <w:rsid w:val="00C95AD3"/>
    <w:rsid w:val="00C96587"/>
    <w:rsid w:val="00C96F54"/>
    <w:rsid w:val="00C974A6"/>
    <w:rsid w:val="00C97D28"/>
    <w:rsid w:val="00CA0D20"/>
    <w:rsid w:val="00CA33D8"/>
    <w:rsid w:val="00CA381C"/>
    <w:rsid w:val="00CA3AAA"/>
    <w:rsid w:val="00CA54F1"/>
    <w:rsid w:val="00CA5692"/>
    <w:rsid w:val="00CA5CBA"/>
    <w:rsid w:val="00CA60FD"/>
    <w:rsid w:val="00CA661E"/>
    <w:rsid w:val="00CA6D49"/>
    <w:rsid w:val="00CA7B3A"/>
    <w:rsid w:val="00CA7DDE"/>
    <w:rsid w:val="00CB173C"/>
    <w:rsid w:val="00CB2539"/>
    <w:rsid w:val="00CB2608"/>
    <w:rsid w:val="00CB2776"/>
    <w:rsid w:val="00CB46A8"/>
    <w:rsid w:val="00CB4DB4"/>
    <w:rsid w:val="00CB5574"/>
    <w:rsid w:val="00CB64A7"/>
    <w:rsid w:val="00CC0A54"/>
    <w:rsid w:val="00CC22FC"/>
    <w:rsid w:val="00CC570A"/>
    <w:rsid w:val="00CC70CA"/>
    <w:rsid w:val="00CC717E"/>
    <w:rsid w:val="00CD133F"/>
    <w:rsid w:val="00CD1675"/>
    <w:rsid w:val="00CD1945"/>
    <w:rsid w:val="00CD237C"/>
    <w:rsid w:val="00CD2BFE"/>
    <w:rsid w:val="00CD3334"/>
    <w:rsid w:val="00CD550A"/>
    <w:rsid w:val="00CD5E08"/>
    <w:rsid w:val="00CD6C70"/>
    <w:rsid w:val="00CD7230"/>
    <w:rsid w:val="00CD739F"/>
    <w:rsid w:val="00CD7D85"/>
    <w:rsid w:val="00CE01F8"/>
    <w:rsid w:val="00CE0AB1"/>
    <w:rsid w:val="00CE1CC8"/>
    <w:rsid w:val="00CE2AF0"/>
    <w:rsid w:val="00CE3677"/>
    <w:rsid w:val="00CE3FA7"/>
    <w:rsid w:val="00CE45C5"/>
    <w:rsid w:val="00CE4D90"/>
    <w:rsid w:val="00CE578A"/>
    <w:rsid w:val="00CE610D"/>
    <w:rsid w:val="00CE6CF8"/>
    <w:rsid w:val="00CE6EC7"/>
    <w:rsid w:val="00CF033D"/>
    <w:rsid w:val="00CF194C"/>
    <w:rsid w:val="00CF2B2A"/>
    <w:rsid w:val="00CF2EC6"/>
    <w:rsid w:val="00CF381F"/>
    <w:rsid w:val="00CF3F1C"/>
    <w:rsid w:val="00CF4579"/>
    <w:rsid w:val="00CF773D"/>
    <w:rsid w:val="00CF7D3C"/>
    <w:rsid w:val="00D036E7"/>
    <w:rsid w:val="00D043F0"/>
    <w:rsid w:val="00D05261"/>
    <w:rsid w:val="00D057C2"/>
    <w:rsid w:val="00D05A83"/>
    <w:rsid w:val="00D05B2B"/>
    <w:rsid w:val="00D0672D"/>
    <w:rsid w:val="00D11459"/>
    <w:rsid w:val="00D11643"/>
    <w:rsid w:val="00D11880"/>
    <w:rsid w:val="00D11888"/>
    <w:rsid w:val="00D119B9"/>
    <w:rsid w:val="00D1531C"/>
    <w:rsid w:val="00D16EFF"/>
    <w:rsid w:val="00D20922"/>
    <w:rsid w:val="00D22840"/>
    <w:rsid w:val="00D242C7"/>
    <w:rsid w:val="00D25B75"/>
    <w:rsid w:val="00D30E34"/>
    <w:rsid w:val="00D33062"/>
    <w:rsid w:val="00D35575"/>
    <w:rsid w:val="00D35E3C"/>
    <w:rsid w:val="00D360E2"/>
    <w:rsid w:val="00D36152"/>
    <w:rsid w:val="00D36C16"/>
    <w:rsid w:val="00D37F70"/>
    <w:rsid w:val="00D41B3C"/>
    <w:rsid w:val="00D4200A"/>
    <w:rsid w:val="00D42622"/>
    <w:rsid w:val="00D44CE6"/>
    <w:rsid w:val="00D47267"/>
    <w:rsid w:val="00D50A73"/>
    <w:rsid w:val="00D5473C"/>
    <w:rsid w:val="00D54A43"/>
    <w:rsid w:val="00D54D1A"/>
    <w:rsid w:val="00D55389"/>
    <w:rsid w:val="00D56516"/>
    <w:rsid w:val="00D57D01"/>
    <w:rsid w:val="00D603CB"/>
    <w:rsid w:val="00D60871"/>
    <w:rsid w:val="00D6173B"/>
    <w:rsid w:val="00D664FE"/>
    <w:rsid w:val="00D7029B"/>
    <w:rsid w:val="00D70348"/>
    <w:rsid w:val="00D70403"/>
    <w:rsid w:val="00D70BD0"/>
    <w:rsid w:val="00D70D26"/>
    <w:rsid w:val="00D71210"/>
    <w:rsid w:val="00D7122B"/>
    <w:rsid w:val="00D7214C"/>
    <w:rsid w:val="00D72623"/>
    <w:rsid w:val="00D72803"/>
    <w:rsid w:val="00D73A0D"/>
    <w:rsid w:val="00D74D3C"/>
    <w:rsid w:val="00D75B99"/>
    <w:rsid w:val="00D7618A"/>
    <w:rsid w:val="00D77B95"/>
    <w:rsid w:val="00D77C78"/>
    <w:rsid w:val="00D80CC2"/>
    <w:rsid w:val="00D81031"/>
    <w:rsid w:val="00D81F36"/>
    <w:rsid w:val="00D829AD"/>
    <w:rsid w:val="00D862CD"/>
    <w:rsid w:val="00D86904"/>
    <w:rsid w:val="00D87CC5"/>
    <w:rsid w:val="00D907A0"/>
    <w:rsid w:val="00D916EF"/>
    <w:rsid w:val="00D92808"/>
    <w:rsid w:val="00D929EB"/>
    <w:rsid w:val="00D933A3"/>
    <w:rsid w:val="00D934CA"/>
    <w:rsid w:val="00D95140"/>
    <w:rsid w:val="00D95AE4"/>
    <w:rsid w:val="00D95BEF"/>
    <w:rsid w:val="00D961A3"/>
    <w:rsid w:val="00DA0AFA"/>
    <w:rsid w:val="00DA1062"/>
    <w:rsid w:val="00DA26D5"/>
    <w:rsid w:val="00DA26D9"/>
    <w:rsid w:val="00DA3529"/>
    <w:rsid w:val="00DA3A2A"/>
    <w:rsid w:val="00DA4463"/>
    <w:rsid w:val="00DA44DE"/>
    <w:rsid w:val="00DA502F"/>
    <w:rsid w:val="00DB0015"/>
    <w:rsid w:val="00DB0B0F"/>
    <w:rsid w:val="00DB126E"/>
    <w:rsid w:val="00DB127B"/>
    <w:rsid w:val="00DB4ED3"/>
    <w:rsid w:val="00DB5C6A"/>
    <w:rsid w:val="00DB68B1"/>
    <w:rsid w:val="00DB6F6C"/>
    <w:rsid w:val="00DC0558"/>
    <w:rsid w:val="00DC102D"/>
    <w:rsid w:val="00DC34D9"/>
    <w:rsid w:val="00DC371C"/>
    <w:rsid w:val="00DC3E35"/>
    <w:rsid w:val="00DC400D"/>
    <w:rsid w:val="00DC56E5"/>
    <w:rsid w:val="00DC5B71"/>
    <w:rsid w:val="00DC5D81"/>
    <w:rsid w:val="00DC63A7"/>
    <w:rsid w:val="00DC6D6D"/>
    <w:rsid w:val="00DD16AA"/>
    <w:rsid w:val="00DD21A8"/>
    <w:rsid w:val="00DD4476"/>
    <w:rsid w:val="00DD5E1B"/>
    <w:rsid w:val="00DE1A26"/>
    <w:rsid w:val="00DE1AFE"/>
    <w:rsid w:val="00DE1E3F"/>
    <w:rsid w:val="00DE266F"/>
    <w:rsid w:val="00DE53EE"/>
    <w:rsid w:val="00DE5F82"/>
    <w:rsid w:val="00DE6F4C"/>
    <w:rsid w:val="00DE77CD"/>
    <w:rsid w:val="00DF0300"/>
    <w:rsid w:val="00DF0BD4"/>
    <w:rsid w:val="00DF18D8"/>
    <w:rsid w:val="00DF1FB4"/>
    <w:rsid w:val="00DF2169"/>
    <w:rsid w:val="00DF257A"/>
    <w:rsid w:val="00DF2B18"/>
    <w:rsid w:val="00DF36E8"/>
    <w:rsid w:val="00DF40D8"/>
    <w:rsid w:val="00DF4A7D"/>
    <w:rsid w:val="00DF62F1"/>
    <w:rsid w:val="00E00EA4"/>
    <w:rsid w:val="00E01D44"/>
    <w:rsid w:val="00E0546E"/>
    <w:rsid w:val="00E07FC6"/>
    <w:rsid w:val="00E1105E"/>
    <w:rsid w:val="00E12233"/>
    <w:rsid w:val="00E13365"/>
    <w:rsid w:val="00E14BBC"/>
    <w:rsid w:val="00E14F53"/>
    <w:rsid w:val="00E1613D"/>
    <w:rsid w:val="00E16968"/>
    <w:rsid w:val="00E16F51"/>
    <w:rsid w:val="00E20C6A"/>
    <w:rsid w:val="00E21240"/>
    <w:rsid w:val="00E213DA"/>
    <w:rsid w:val="00E21D30"/>
    <w:rsid w:val="00E22571"/>
    <w:rsid w:val="00E22C3E"/>
    <w:rsid w:val="00E22D5B"/>
    <w:rsid w:val="00E232DA"/>
    <w:rsid w:val="00E23A43"/>
    <w:rsid w:val="00E24151"/>
    <w:rsid w:val="00E24523"/>
    <w:rsid w:val="00E2508C"/>
    <w:rsid w:val="00E252D7"/>
    <w:rsid w:val="00E257D1"/>
    <w:rsid w:val="00E271FF"/>
    <w:rsid w:val="00E27255"/>
    <w:rsid w:val="00E27AD1"/>
    <w:rsid w:val="00E27B95"/>
    <w:rsid w:val="00E31862"/>
    <w:rsid w:val="00E3197E"/>
    <w:rsid w:val="00E361A1"/>
    <w:rsid w:val="00E3754F"/>
    <w:rsid w:val="00E40300"/>
    <w:rsid w:val="00E40A23"/>
    <w:rsid w:val="00E40F62"/>
    <w:rsid w:val="00E420C2"/>
    <w:rsid w:val="00E426B1"/>
    <w:rsid w:val="00E43BA6"/>
    <w:rsid w:val="00E4446D"/>
    <w:rsid w:val="00E47970"/>
    <w:rsid w:val="00E47E34"/>
    <w:rsid w:val="00E501B2"/>
    <w:rsid w:val="00E50F9D"/>
    <w:rsid w:val="00E51293"/>
    <w:rsid w:val="00E513DF"/>
    <w:rsid w:val="00E53335"/>
    <w:rsid w:val="00E533F3"/>
    <w:rsid w:val="00E55D0C"/>
    <w:rsid w:val="00E6138C"/>
    <w:rsid w:val="00E62179"/>
    <w:rsid w:val="00E62A09"/>
    <w:rsid w:val="00E63C22"/>
    <w:rsid w:val="00E64413"/>
    <w:rsid w:val="00E66AC8"/>
    <w:rsid w:val="00E67CC3"/>
    <w:rsid w:val="00E67F55"/>
    <w:rsid w:val="00E70E93"/>
    <w:rsid w:val="00E7215D"/>
    <w:rsid w:val="00E757B2"/>
    <w:rsid w:val="00E75D3B"/>
    <w:rsid w:val="00E77240"/>
    <w:rsid w:val="00E773D7"/>
    <w:rsid w:val="00E775F9"/>
    <w:rsid w:val="00E80A2D"/>
    <w:rsid w:val="00E81B41"/>
    <w:rsid w:val="00E81CFA"/>
    <w:rsid w:val="00E826CD"/>
    <w:rsid w:val="00E84D6C"/>
    <w:rsid w:val="00E84F16"/>
    <w:rsid w:val="00E8645B"/>
    <w:rsid w:val="00E871ED"/>
    <w:rsid w:val="00E87BD8"/>
    <w:rsid w:val="00E90693"/>
    <w:rsid w:val="00E9089D"/>
    <w:rsid w:val="00E90983"/>
    <w:rsid w:val="00E920DA"/>
    <w:rsid w:val="00E972B5"/>
    <w:rsid w:val="00EA405B"/>
    <w:rsid w:val="00EA4D19"/>
    <w:rsid w:val="00EA5C31"/>
    <w:rsid w:val="00EA7685"/>
    <w:rsid w:val="00EB00B5"/>
    <w:rsid w:val="00EB06AA"/>
    <w:rsid w:val="00EB0F34"/>
    <w:rsid w:val="00EB1AC3"/>
    <w:rsid w:val="00EB2410"/>
    <w:rsid w:val="00EB43BB"/>
    <w:rsid w:val="00EC03EB"/>
    <w:rsid w:val="00EC0D6D"/>
    <w:rsid w:val="00EC1516"/>
    <w:rsid w:val="00EC15A0"/>
    <w:rsid w:val="00EC2B31"/>
    <w:rsid w:val="00EC2D02"/>
    <w:rsid w:val="00EC7636"/>
    <w:rsid w:val="00EC7AFE"/>
    <w:rsid w:val="00EC7D53"/>
    <w:rsid w:val="00EC7D55"/>
    <w:rsid w:val="00ED0464"/>
    <w:rsid w:val="00ED1412"/>
    <w:rsid w:val="00ED14C4"/>
    <w:rsid w:val="00ED1F5F"/>
    <w:rsid w:val="00ED3143"/>
    <w:rsid w:val="00ED352A"/>
    <w:rsid w:val="00ED4894"/>
    <w:rsid w:val="00ED624F"/>
    <w:rsid w:val="00ED663A"/>
    <w:rsid w:val="00ED6EAA"/>
    <w:rsid w:val="00EE2241"/>
    <w:rsid w:val="00EE2532"/>
    <w:rsid w:val="00EE29D0"/>
    <w:rsid w:val="00EE2C08"/>
    <w:rsid w:val="00EE3B77"/>
    <w:rsid w:val="00EE587B"/>
    <w:rsid w:val="00EE6AC0"/>
    <w:rsid w:val="00EE710D"/>
    <w:rsid w:val="00EE7230"/>
    <w:rsid w:val="00EF0241"/>
    <w:rsid w:val="00EF300B"/>
    <w:rsid w:val="00EF3337"/>
    <w:rsid w:val="00EF45B9"/>
    <w:rsid w:val="00EF4B2F"/>
    <w:rsid w:val="00EF51F8"/>
    <w:rsid w:val="00EF5D54"/>
    <w:rsid w:val="00EF754A"/>
    <w:rsid w:val="00F006BD"/>
    <w:rsid w:val="00F011CF"/>
    <w:rsid w:val="00F018E5"/>
    <w:rsid w:val="00F02A61"/>
    <w:rsid w:val="00F03320"/>
    <w:rsid w:val="00F03EA7"/>
    <w:rsid w:val="00F04ACF"/>
    <w:rsid w:val="00F04B25"/>
    <w:rsid w:val="00F0576E"/>
    <w:rsid w:val="00F06A0A"/>
    <w:rsid w:val="00F06DAE"/>
    <w:rsid w:val="00F103A8"/>
    <w:rsid w:val="00F109FE"/>
    <w:rsid w:val="00F125A3"/>
    <w:rsid w:val="00F12ADB"/>
    <w:rsid w:val="00F12B8F"/>
    <w:rsid w:val="00F14533"/>
    <w:rsid w:val="00F15747"/>
    <w:rsid w:val="00F161E1"/>
    <w:rsid w:val="00F20458"/>
    <w:rsid w:val="00F21010"/>
    <w:rsid w:val="00F23436"/>
    <w:rsid w:val="00F24F25"/>
    <w:rsid w:val="00F25945"/>
    <w:rsid w:val="00F27590"/>
    <w:rsid w:val="00F32403"/>
    <w:rsid w:val="00F32D0E"/>
    <w:rsid w:val="00F34273"/>
    <w:rsid w:val="00F35491"/>
    <w:rsid w:val="00F3751D"/>
    <w:rsid w:val="00F40BC5"/>
    <w:rsid w:val="00F432BF"/>
    <w:rsid w:val="00F43A02"/>
    <w:rsid w:val="00F44210"/>
    <w:rsid w:val="00F4494B"/>
    <w:rsid w:val="00F4540B"/>
    <w:rsid w:val="00F4746E"/>
    <w:rsid w:val="00F47797"/>
    <w:rsid w:val="00F50F3F"/>
    <w:rsid w:val="00F51937"/>
    <w:rsid w:val="00F5231E"/>
    <w:rsid w:val="00F52DA8"/>
    <w:rsid w:val="00F5329F"/>
    <w:rsid w:val="00F532F5"/>
    <w:rsid w:val="00F53AEB"/>
    <w:rsid w:val="00F545C8"/>
    <w:rsid w:val="00F545F1"/>
    <w:rsid w:val="00F54D31"/>
    <w:rsid w:val="00F55673"/>
    <w:rsid w:val="00F55EED"/>
    <w:rsid w:val="00F57147"/>
    <w:rsid w:val="00F572CD"/>
    <w:rsid w:val="00F57FD1"/>
    <w:rsid w:val="00F609AB"/>
    <w:rsid w:val="00F60B38"/>
    <w:rsid w:val="00F60BEC"/>
    <w:rsid w:val="00F61801"/>
    <w:rsid w:val="00F61C1C"/>
    <w:rsid w:val="00F635BB"/>
    <w:rsid w:val="00F67614"/>
    <w:rsid w:val="00F67BC8"/>
    <w:rsid w:val="00F7088A"/>
    <w:rsid w:val="00F70C8C"/>
    <w:rsid w:val="00F70EBF"/>
    <w:rsid w:val="00F7156F"/>
    <w:rsid w:val="00F71955"/>
    <w:rsid w:val="00F71C92"/>
    <w:rsid w:val="00F71F14"/>
    <w:rsid w:val="00F728F2"/>
    <w:rsid w:val="00F72A47"/>
    <w:rsid w:val="00F73F99"/>
    <w:rsid w:val="00F7476A"/>
    <w:rsid w:val="00F75E3E"/>
    <w:rsid w:val="00F76775"/>
    <w:rsid w:val="00F77DD5"/>
    <w:rsid w:val="00F80C20"/>
    <w:rsid w:val="00F81775"/>
    <w:rsid w:val="00F8180C"/>
    <w:rsid w:val="00F82CC1"/>
    <w:rsid w:val="00F85360"/>
    <w:rsid w:val="00F85F22"/>
    <w:rsid w:val="00F874A6"/>
    <w:rsid w:val="00F91B57"/>
    <w:rsid w:val="00F92922"/>
    <w:rsid w:val="00F938F1"/>
    <w:rsid w:val="00F93A1E"/>
    <w:rsid w:val="00F94A96"/>
    <w:rsid w:val="00F9535C"/>
    <w:rsid w:val="00F960E0"/>
    <w:rsid w:val="00F973E1"/>
    <w:rsid w:val="00FA0B47"/>
    <w:rsid w:val="00FA25FC"/>
    <w:rsid w:val="00FA2D0B"/>
    <w:rsid w:val="00FA307F"/>
    <w:rsid w:val="00FA3669"/>
    <w:rsid w:val="00FA4588"/>
    <w:rsid w:val="00FA6DB1"/>
    <w:rsid w:val="00FA74B4"/>
    <w:rsid w:val="00FA75B8"/>
    <w:rsid w:val="00FB0374"/>
    <w:rsid w:val="00FB1A26"/>
    <w:rsid w:val="00FB1FDC"/>
    <w:rsid w:val="00FB22D0"/>
    <w:rsid w:val="00FB22F2"/>
    <w:rsid w:val="00FB2DBE"/>
    <w:rsid w:val="00FB2E90"/>
    <w:rsid w:val="00FB3308"/>
    <w:rsid w:val="00FB75F2"/>
    <w:rsid w:val="00FC4327"/>
    <w:rsid w:val="00FC46C6"/>
    <w:rsid w:val="00FC4A9C"/>
    <w:rsid w:val="00FC4D43"/>
    <w:rsid w:val="00FC6A1A"/>
    <w:rsid w:val="00FC71DE"/>
    <w:rsid w:val="00FD0099"/>
    <w:rsid w:val="00FD13A0"/>
    <w:rsid w:val="00FD1ACC"/>
    <w:rsid w:val="00FD25D6"/>
    <w:rsid w:val="00FD26D2"/>
    <w:rsid w:val="00FD2C94"/>
    <w:rsid w:val="00FD3BCF"/>
    <w:rsid w:val="00FD5066"/>
    <w:rsid w:val="00FD62F6"/>
    <w:rsid w:val="00FD6CCA"/>
    <w:rsid w:val="00FD7909"/>
    <w:rsid w:val="00FE18BA"/>
    <w:rsid w:val="00FE3BDC"/>
    <w:rsid w:val="00FE6DCE"/>
    <w:rsid w:val="00FE6E67"/>
    <w:rsid w:val="00FF1042"/>
    <w:rsid w:val="00FF2384"/>
    <w:rsid w:val="00FF3417"/>
    <w:rsid w:val="00FF497E"/>
    <w:rsid w:val="00FF57F4"/>
    <w:rsid w:val="00FF6D59"/>
    <w:rsid w:val="01621655"/>
    <w:rsid w:val="02B5A6C6"/>
    <w:rsid w:val="02C1A69B"/>
    <w:rsid w:val="0339F400"/>
    <w:rsid w:val="0342462D"/>
    <w:rsid w:val="038543E3"/>
    <w:rsid w:val="040F31C1"/>
    <w:rsid w:val="0446AEC4"/>
    <w:rsid w:val="04E59E72"/>
    <w:rsid w:val="0749FCF1"/>
    <w:rsid w:val="07B82F7C"/>
    <w:rsid w:val="099EE7C5"/>
    <w:rsid w:val="0B2CC10D"/>
    <w:rsid w:val="0B53E3D7"/>
    <w:rsid w:val="0BA7B7BD"/>
    <w:rsid w:val="0CA46455"/>
    <w:rsid w:val="0CA93700"/>
    <w:rsid w:val="0D97F477"/>
    <w:rsid w:val="0DBDCEBC"/>
    <w:rsid w:val="0DC39038"/>
    <w:rsid w:val="0E468DAA"/>
    <w:rsid w:val="0E673DEB"/>
    <w:rsid w:val="0E84FB19"/>
    <w:rsid w:val="0E9093F9"/>
    <w:rsid w:val="1012532A"/>
    <w:rsid w:val="10ED1D51"/>
    <w:rsid w:val="1109B6B4"/>
    <w:rsid w:val="111B49C3"/>
    <w:rsid w:val="12266EAB"/>
    <w:rsid w:val="122DF68F"/>
    <w:rsid w:val="12A08278"/>
    <w:rsid w:val="13183865"/>
    <w:rsid w:val="136252D0"/>
    <w:rsid w:val="1395DB47"/>
    <w:rsid w:val="139E973B"/>
    <w:rsid w:val="14EBB655"/>
    <w:rsid w:val="16621118"/>
    <w:rsid w:val="1695678E"/>
    <w:rsid w:val="1791170C"/>
    <w:rsid w:val="183F7B15"/>
    <w:rsid w:val="18411200"/>
    <w:rsid w:val="19ECBC72"/>
    <w:rsid w:val="1B697029"/>
    <w:rsid w:val="1C03A97D"/>
    <w:rsid w:val="1D10CAD1"/>
    <w:rsid w:val="1DCA3F93"/>
    <w:rsid w:val="1EAF893B"/>
    <w:rsid w:val="1F75EA05"/>
    <w:rsid w:val="1FBA7B52"/>
    <w:rsid w:val="2031FC15"/>
    <w:rsid w:val="21EFAEFB"/>
    <w:rsid w:val="227F2B84"/>
    <w:rsid w:val="275A575C"/>
    <w:rsid w:val="299DD084"/>
    <w:rsid w:val="2A91F81E"/>
    <w:rsid w:val="2BF156DC"/>
    <w:rsid w:val="2C9963FC"/>
    <w:rsid w:val="2CB8501A"/>
    <w:rsid w:val="2D492E64"/>
    <w:rsid w:val="2D501ED0"/>
    <w:rsid w:val="2EDE0E59"/>
    <w:rsid w:val="2F360DDF"/>
    <w:rsid w:val="2FAEAFBA"/>
    <w:rsid w:val="2FF6DF03"/>
    <w:rsid w:val="318D5923"/>
    <w:rsid w:val="31B953F2"/>
    <w:rsid w:val="31DA701E"/>
    <w:rsid w:val="31E65174"/>
    <w:rsid w:val="32C21764"/>
    <w:rsid w:val="332E8136"/>
    <w:rsid w:val="33900B4B"/>
    <w:rsid w:val="34F05D3C"/>
    <w:rsid w:val="35309517"/>
    <w:rsid w:val="369D6563"/>
    <w:rsid w:val="36DF0564"/>
    <w:rsid w:val="36F0DC29"/>
    <w:rsid w:val="37958C1D"/>
    <w:rsid w:val="383611A7"/>
    <w:rsid w:val="3847B465"/>
    <w:rsid w:val="39758924"/>
    <w:rsid w:val="39A3B596"/>
    <w:rsid w:val="3AA68851"/>
    <w:rsid w:val="3C7E65FC"/>
    <w:rsid w:val="3D989AAC"/>
    <w:rsid w:val="3E29DD9D"/>
    <w:rsid w:val="3E7D1B06"/>
    <w:rsid w:val="3F167D53"/>
    <w:rsid w:val="3F8BD17C"/>
    <w:rsid w:val="3FF5D3A9"/>
    <w:rsid w:val="401A1A57"/>
    <w:rsid w:val="41AD0113"/>
    <w:rsid w:val="4247607A"/>
    <w:rsid w:val="42895EBD"/>
    <w:rsid w:val="4358AB85"/>
    <w:rsid w:val="4435092F"/>
    <w:rsid w:val="44B86E9C"/>
    <w:rsid w:val="44F3E46E"/>
    <w:rsid w:val="4584B79E"/>
    <w:rsid w:val="4964F76D"/>
    <w:rsid w:val="49FF9CDD"/>
    <w:rsid w:val="4B618F07"/>
    <w:rsid w:val="4C29B892"/>
    <w:rsid w:val="4D77DB30"/>
    <w:rsid w:val="4E61C6C2"/>
    <w:rsid w:val="4F4E115E"/>
    <w:rsid w:val="50B86597"/>
    <w:rsid w:val="50CCF47C"/>
    <w:rsid w:val="51551DE4"/>
    <w:rsid w:val="55558AEC"/>
    <w:rsid w:val="5611CFCD"/>
    <w:rsid w:val="563290C8"/>
    <w:rsid w:val="563486DD"/>
    <w:rsid w:val="5952C22F"/>
    <w:rsid w:val="5A53985D"/>
    <w:rsid w:val="5C14C571"/>
    <w:rsid w:val="5C82A83C"/>
    <w:rsid w:val="5CEC7D51"/>
    <w:rsid w:val="5EC589EC"/>
    <w:rsid w:val="5F80C859"/>
    <w:rsid w:val="60E424EE"/>
    <w:rsid w:val="6121963E"/>
    <w:rsid w:val="6175CD81"/>
    <w:rsid w:val="61A29832"/>
    <w:rsid w:val="61B14353"/>
    <w:rsid w:val="61E8596A"/>
    <w:rsid w:val="62600F57"/>
    <w:rsid w:val="6373EB13"/>
    <w:rsid w:val="63C19F1F"/>
    <w:rsid w:val="651D697B"/>
    <w:rsid w:val="65DDA327"/>
    <w:rsid w:val="664CD1BD"/>
    <w:rsid w:val="677A3DD1"/>
    <w:rsid w:val="6B054DD2"/>
    <w:rsid w:val="6B1A2011"/>
    <w:rsid w:val="6BF15855"/>
    <w:rsid w:val="6E424B69"/>
    <w:rsid w:val="6F542DEC"/>
    <w:rsid w:val="6F89E242"/>
    <w:rsid w:val="700A5893"/>
    <w:rsid w:val="7212E9D1"/>
    <w:rsid w:val="75064CC1"/>
    <w:rsid w:val="76B1D58E"/>
    <w:rsid w:val="7742B3D8"/>
    <w:rsid w:val="7747A5A9"/>
    <w:rsid w:val="779AAAEB"/>
    <w:rsid w:val="779F0CBC"/>
    <w:rsid w:val="77CADB4E"/>
    <w:rsid w:val="7893E05B"/>
    <w:rsid w:val="792B23B6"/>
    <w:rsid w:val="79CB5D09"/>
    <w:rsid w:val="7A671D36"/>
    <w:rsid w:val="7B19795E"/>
    <w:rsid w:val="7B5D7333"/>
    <w:rsid w:val="7BE95C8F"/>
    <w:rsid w:val="7D01893D"/>
    <w:rsid w:val="7E59397C"/>
    <w:rsid w:val="7FB66B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80D9E6"/>
  <w15:docId w15:val="{E7954B73-E212-4980-A7AD-C3E980F2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entury Gothic" w:hAnsiTheme="minorHAnsi" w:cstheme="minorBidi"/>
        <w:lang w:val="en-AU" w:eastAsia="en-US" w:bidi="ar-SA"/>
      </w:rPr>
    </w:rPrDefault>
    <w:pPrDefault>
      <w:pPr>
        <w:spacing w:after="240"/>
      </w:pPr>
    </w:pPrDefault>
  </w:docDefaults>
  <w:latentStyles w:defLockedState="1" w:defUIPriority="99" w:defSemiHidden="0" w:defUnhideWhenUsed="0" w:defQFormat="0" w:count="376">
    <w:lsdException w:name="Normal" w:locked="0" w:uiPriority="1" w:qFormat="1"/>
    <w:lsdException w:name="heading 1" w:locked="0" w:uiPriority="9" w:qFormat="1"/>
    <w:lsdException w:name="heading 2" w:locked="0" w:semiHidden="1" w:uiPriority="2" w:unhideWhenUsed="1" w:qFormat="1"/>
    <w:lsdException w:name="heading 3" w:locked="0" w:semiHidden="1" w:uiPriority="9" w:unhideWhenUsed="1" w:qFormat="1"/>
    <w:lsdException w:name="heading 4" w:locked="0" w:semiHidden="1" w:uiPriority="9"/>
    <w:lsdException w:name="heading 5" w:locked="0" w:semiHidden="1" w:uiPriority="9" w:qFormat="1"/>
    <w:lsdException w:name="heading 6" w:locked="0" w:semiHidden="1"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19" w:unhideWhenUsed="1"/>
    <w:lsdException w:name="toc 5" w:semiHidden="1" w:uiPriority="19" w:unhideWhenUsed="1"/>
    <w:lsdException w:name="toc 6" w:semiHidden="1" w:uiPriority="19" w:unhideWhenUsed="1"/>
    <w:lsdException w:name="toc 7" w:semiHidden="1" w:uiPriority="19" w:unhideWhenUsed="1"/>
    <w:lsdException w:name="toc 8" w:semiHidden="1" w:uiPriority="19" w:unhideWhenUsed="1"/>
    <w:lsdException w:name="toc 9" w:semiHidden="1" w:uiPriority="19" w:unhideWhenUsed="1"/>
    <w:lsdException w:name="Normal Indent" w:uiPriority="5"/>
    <w:lsdException w:name="footnote text" w:semiHidden="1" w:unhideWhenUsed="1"/>
    <w:lsdException w:name="annotation text" w:locked="0" w:semiHidden="1" w:unhideWhenUsed="1"/>
    <w:lsdException w:name="header" w:locked="0" w:semiHidden="1" w:unhideWhenUsed="1"/>
    <w:lsdException w:name="footer" w:locked="0" w:semiHidden="1" w:uiPriority="10" w:unhideWhenUsed="1"/>
    <w:lsdException w:name="index heading" w:semiHidden="1" w:unhideWhenUsed="1"/>
    <w:lsdException w:name="caption" w:semiHidden="1" w:uiPriority="10" w:unhideWhenUsed="1" w:qFormat="1"/>
    <w:lsdException w:name="table of figures" w:semiHidden="1" w:unhideWhenUsed="1"/>
    <w:lsdException w:name="envelope address" w:semiHidden="1" w:uiPriority="98" w:unhideWhenUsed="1"/>
    <w:lsdException w:name="envelope return" w:semiHidden="1" w:uiPriority="98"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iPriority="10" w:unhideWhenUsed="1"/>
    <w:lsdException w:name="endnote reference" w:semiHidden="1" w:uiPriority="98" w:unhideWhenUsed="1"/>
    <w:lsdException w:name="endnote text" w:semiHidden="1" w:uiPriority="98" w:unhideWhenUsed="1"/>
    <w:lsdException w:name="table of authorities" w:semiHidden="1" w:unhideWhenUsed="1"/>
    <w:lsdException w:name="macro" w:semiHidden="1" w:unhideWhenUsed="1"/>
    <w:lsdException w:name="toa heading" w:semiHidden="1" w:unhideWhenUsed="1"/>
    <w:lsdException w:name="List" w:locked="0" w:uiPriority="4" w:unhideWhenUsed="1"/>
    <w:lsdException w:name="List Bullet" w:locked="0" w:semiHidden="1" w:uiPriority="3" w:unhideWhenUsed="1" w:qFormat="1"/>
    <w:lsdException w:name="List Number" w:locked="0" w:semiHidden="1" w:qFormat="1"/>
    <w:lsdException w:name="List 2" w:locked="0" w:semiHidden="1" w:uiPriority="4" w:unhideWhenUsed="1"/>
    <w:lsdException w:name="List 3" w:locked="0" w:semiHidden="1" w:uiPriority="4" w:unhideWhenUsed="1"/>
    <w:lsdException w:name="List 4" w:semiHidden="1" w:uiPriority="6" w:unhideWhenUsed="1"/>
    <w:lsdException w:name="List 5" w:semiHidden="1" w:uiPriority="6" w:unhideWhenUsed="1"/>
    <w:lsdException w:name="List Bullet 2" w:locked="0" w:semiHidden="1" w:uiPriority="3" w:unhideWhenUsed="1"/>
    <w:lsdException w:name="List Bullet 3" w:locked="0" w:semiHidden="1" w:uiPriority="3"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iPriority="98"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semiHidden="1" w:uiPriority="98"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lsdException w:name="Salutation" w:semiHidden="1"/>
    <w:lsdException w:name="Date" w:locked="0" w:semiHidden="1"/>
    <w:lsdException w:name="Body Text First Indent" w:semiHidden="1" w:uiPriority="98"/>
    <w:lsdException w:name="Body Text First Indent 2" w:semiHidden="1" w:uiPriority="98" w:unhideWhenUsed="1"/>
    <w:lsdException w:name="Note Heading" w:semiHidden="1" w:unhideWhenUsed="1"/>
    <w:lsdException w:name="Body Text 2" w:locked="0" w:semiHidden="1" w:unhideWhenUsed="1"/>
    <w:lsdException w:name="Body Text 3" w:locked="0" w:semiHidden="1" w:unhideWhenUsed="1"/>
    <w:lsdException w:name="Body Text Indent 2" w:semiHidden="1" w:uiPriority="98" w:unhideWhenUsed="1"/>
    <w:lsdException w:name="Body Text Indent 3" w:semiHidden="1" w:uiPriority="98" w:unhideWhenUsed="1"/>
    <w:lsdException w:name="Block Text" w:semiHidden="1" w:uiPriority="98" w:unhideWhenUsed="1"/>
    <w:lsdException w:name="Hyperlink" w:locked="0" w:semiHidden="1" w:unhideWhenUsed="1"/>
    <w:lsdException w:name="FollowedHyperlink" w:locked="0" w:semiHidden="1" w:unhideWhenUsed="1"/>
    <w:lsdException w:name="Strong" w:semiHidden="1" w:uiPriority="98"/>
    <w:lsdException w:name="Emphasis" w:locked="0" w:uiPriority="8"/>
    <w:lsdException w:name="Document Map" w:semiHidden="1" w:uiPriority="98" w:unhideWhenUsed="1"/>
    <w:lsdException w:name="Plain Text" w:semiHidden="1" w:unhideWhenUsed="1"/>
    <w:lsdException w:name="E-mail Signature" w:semiHidden="1" w:uiPriority="98"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uiPriority="21"/>
    <w:lsdException w:name="Subtle Reference" w:locked="0" w:uiPriority="31"/>
    <w:lsdException w:name="Intense Reference" w:locked="0" w:uiPriority="32"/>
    <w:lsdException w:name="Book Title" w:semiHidden="1" w:uiPriority="98"/>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5"/>
    <w:qFormat/>
    <w:rsid w:val="00192391"/>
    <w:pPr>
      <w:spacing w:after="120" w:line="360" w:lineRule="auto"/>
    </w:pPr>
    <w:rPr>
      <w:color w:val="000000" w:themeColor="text1"/>
      <w:sz w:val="22"/>
    </w:rPr>
  </w:style>
  <w:style w:type="paragraph" w:styleId="Heading1">
    <w:name w:val="heading 1"/>
    <w:next w:val="Normal"/>
    <w:link w:val="Heading1Char"/>
    <w:uiPriority w:val="1"/>
    <w:qFormat/>
    <w:rsid w:val="008014DD"/>
    <w:pPr>
      <w:keepNext/>
      <w:keepLines/>
      <w:numPr>
        <w:numId w:val="9"/>
      </w:numPr>
      <w:spacing w:before="190" w:after="190" w:line="280" w:lineRule="atLeast"/>
      <w:outlineLvl w:val="0"/>
    </w:pPr>
    <w:rPr>
      <w:rFonts w:asciiTheme="majorHAnsi" w:hAnsiTheme="majorHAnsi" w:cs="Century Gothic"/>
      <w:color w:val="931B2F" w:themeColor="background2"/>
      <w:sz w:val="54"/>
    </w:rPr>
  </w:style>
  <w:style w:type="paragraph" w:styleId="Heading2">
    <w:name w:val="heading 2"/>
    <w:basedOn w:val="Normal"/>
    <w:next w:val="Heading3Normal"/>
    <w:link w:val="Heading2Char"/>
    <w:uiPriority w:val="1"/>
    <w:qFormat/>
    <w:locked/>
    <w:rsid w:val="008014DD"/>
    <w:pPr>
      <w:numPr>
        <w:ilvl w:val="1"/>
        <w:numId w:val="9"/>
      </w:numPr>
      <w:spacing w:before="190" w:after="190"/>
      <w:outlineLvl w:val="1"/>
    </w:pPr>
    <w:rPr>
      <w:rFonts w:asciiTheme="majorHAnsi" w:hAnsiTheme="majorHAnsi"/>
      <w:color w:val="931B2F" w:themeColor="background2"/>
      <w:sz w:val="32"/>
    </w:rPr>
  </w:style>
  <w:style w:type="paragraph" w:styleId="Heading3">
    <w:name w:val="heading 3"/>
    <w:basedOn w:val="Normal"/>
    <w:next w:val="Normal"/>
    <w:link w:val="Heading3Char"/>
    <w:uiPriority w:val="1"/>
    <w:qFormat/>
    <w:locked/>
    <w:rsid w:val="00CD237C"/>
    <w:pPr>
      <w:numPr>
        <w:ilvl w:val="2"/>
        <w:numId w:val="9"/>
      </w:numPr>
      <w:spacing w:before="190" w:after="190"/>
      <w:outlineLvl w:val="2"/>
    </w:pPr>
    <w:rPr>
      <w:rFonts w:asciiTheme="majorHAnsi" w:hAnsiTheme="majorHAnsi"/>
      <w:b/>
      <w:color w:val="8C8686" w:themeColor="accent4"/>
    </w:rPr>
  </w:style>
  <w:style w:type="paragraph" w:styleId="Heading4">
    <w:name w:val="heading 4"/>
    <w:basedOn w:val="Normal"/>
    <w:next w:val="Normal"/>
    <w:link w:val="Heading4Char"/>
    <w:uiPriority w:val="3"/>
    <w:semiHidden/>
    <w:locked/>
    <w:rsid w:val="00656594"/>
    <w:pPr>
      <w:keepNext/>
      <w:keepLines/>
      <w:spacing w:before="200"/>
      <w:outlineLvl w:val="3"/>
    </w:pPr>
    <w:rPr>
      <w:rFonts w:eastAsiaTheme="majorEastAsia" w:cstheme="majorBidi"/>
      <w:b/>
      <w:i/>
      <w:iCs/>
    </w:rPr>
  </w:style>
  <w:style w:type="paragraph" w:styleId="Heading5">
    <w:name w:val="heading 5"/>
    <w:basedOn w:val="Heading4"/>
    <w:next w:val="Normal"/>
    <w:link w:val="Heading5Char"/>
    <w:uiPriority w:val="3"/>
    <w:semiHidden/>
    <w:qFormat/>
    <w:locked/>
    <w:rsid w:val="00656594"/>
    <w:pPr>
      <w:outlineLvl w:val="4"/>
    </w:pPr>
    <w:rPr>
      <w:i w:val="0"/>
    </w:rPr>
  </w:style>
  <w:style w:type="paragraph" w:styleId="Heading6">
    <w:name w:val="heading 6"/>
    <w:basedOn w:val="Heading4"/>
    <w:next w:val="Normal"/>
    <w:link w:val="Heading6Char"/>
    <w:uiPriority w:val="3"/>
    <w:semiHidden/>
    <w:qFormat/>
    <w:locked/>
    <w:rsid w:val="00656594"/>
    <w:pPr>
      <w:outlineLvl w:val="5"/>
    </w:pPr>
    <w:rPr>
      <w:i w:val="0"/>
    </w:rPr>
  </w:style>
  <w:style w:type="paragraph" w:styleId="Heading7">
    <w:name w:val="heading 7"/>
    <w:basedOn w:val="Heading4"/>
    <w:next w:val="Normal"/>
    <w:link w:val="Heading7Char"/>
    <w:uiPriority w:val="3"/>
    <w:semiHidden/>
    <w:qFormat/>
    <w:locked/>
    <w:rsid w:val="00656594"/>
    <w:pPr>
      <w:outlineLvl w:val="6"/>
    </w:pPr>
    <w:rPr>
      <w:i w:val="0"/>
      <w:iCs w:val="0"/>
    </w:rPr>
  </w:style>
  <w:style w:type="paragraph" w:styleId="Heading8">
    <w:name w:val="heading 8"/>
    <w:basedOn w:val="Heading4"/>
    <w:next w:val="Normal"/>
    <w:link w:val="Heading8Char"/>
    <w:uiPriority w:val="3"/>
    <w:semiHidden/>
    <w:qFormat/>
    <w:locked/>
    <w:rsid w:val="00656594"/>
    <w:pPr>
      <w:outlineLvl w:val="7"/>
    </w:pPr>
    <w:rPr>
      <w:i w:val="0"/>
      <w:color w:val="272727" w:themeColor="text1" w:themeTint="D8"/>
      <w:szCs w:val="21"/>
    </w:rPr>
  </w:style>
  <w:style w:type="paragraph" w:styleId="Heading9">
    <w:name w:val="heading 9"/>
    <w:basedOn w:val="Normal"/>
    <w:next w:val="Normal"/>
    <w:link w:val="Heading9Char"/>
    <w:uiPriority w:val="3"/>
    <w:semiHidden/>
    <w:qFormat/>
    <w:locked/>
    <w:rsid w:val="00656594"/>
    <w:pPr>
      <w:keepNext/>
      <w:keepLines/>
      <w:spacing w:before="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locked/>
    <w:rsid w:val="002702DC"/>
    <w:pPr>
      <w:tabs>
        <w:tab w:val="left" w:pos="660"/>
        <w:tab w:val="right" w:leader="dot" w:pos="9638"/>
      </w:tabs>
      <w:spacing w:before="200"/>
      <w:ind w:left="709" w:hanging="709"/>
      <w:contextualSpacing/>
    </w:pPr>
    <w:rPr>
      <w:noProof/>
      <w:color w:val="931B2F" w:themeColor="background2"/>
      <w:sz w:val="24"/>
    </w:rPr>
  </w:style>
  <w:style w:type="paragraph" w:styleId="TOC2">
    <w:name w:val="toc 2"/>
    <w:basedOn w:val="Normal"/>
    <w:next w:val="Normal"/>
    <w:autoRedefine/>
    <w:uiPriority w:val="39"/>
    <w:locked/>
    <w:rsid w:val="002702DC"/>
    <w:pPr>
      <w:tabs>
        <w:tab w:val="left" w:pos="660"/>
        <w:tab w:val="right" w:leader="dot" w:pos="9638"/>
      </w:tabs>
      <w:spacing w:after="100"/>
      <w:ind w:left="709" w:hanging="709"/>
      <w:contextualSpacing/>
    </w:pPr>
    <w:rPr>
      <w:noProof/>
    </w:rPr>
  </w:style>
  <w:style w:type="numbering" w:customStyle="1" w:styleId="Bullets">
    <w:name w:val="_Bullets"/>
    <w:uiPriority w:val="99"/>
    <w:rsid w:val="003D0711"/>
    <w:pPr>
      <w:numPr>
        <w:numId w:val="2"/>
      </w:numPr>
    </w:pPr>
  </w:style>
  <w:style w:type="character" w:styleId="Hyperlink">
    <w:name w:val="Hyperlink"/>
    <w:basedOn w:val="DefaultParagraphFont"/>
    <w:uiPriority w:val="99"/>
    <w:locked/>
    <w:rsid w:val="007160EF"/>
    <w:rPr>
      <w:b w:val="0"/>
      <w:color w:val="931B2F" w:themeColor="background2"/>
      <w:u w:val="single"/>
    </w:rPr>
  </w:style>
  <w:style w:type="paragraph" w:customStyle="1" w:styleId="SignOff">
    <w:name w:val="Sign Off"/>
    <w:basedOn w:val="Normal"/>
    <w:uiPriority w:val="10"/>
    <w:semiHidden/>
    <w:rsid w:val="00BC264E"/>
    <w:pPr>
      <w:spacing w:before="488"/>
      <w:contextualSpacing/>
    </w:pPr>
  </w:style>
  <w:style w:type="paragraph" w:customStyle="1" w:styleId="Address">
    <w:name w:val="Address"/>
    <w:basedOn w:val="Normal"/>
    <w:uiPriority w:val="10"/>
    <w:semiHidden/>
    <w:locked/>
    <w:rsid w:val="00792CB0"/>
    <w:pPr>
      <w:spacing w:before="1360" w:after="1000" w:line="180" w:lineRule="atLeast"/>
      <w:contextualSpacing/>
    </w:pPr>
  </w:style>
  <w:style w:type="character" w:customStyle="1" w:styleId="Heading1Char">
    <w:name w:val="Heading 1 Char"/>
    <w:link w:val="Heading1"/>
    <w:uiPriority w:val="1"/>
    <w:rsid w:val="008014DD"/>
    <w:rPr>
      <w:rFonts w:asciiTheme="majorHAnsi" w:hAnsiTheme="majorHAnsi" w:cs="Century Gothic"/>
      <w:color w:val="931B2F" w:themeColor="background2"/>
      <w:sz w:val="54"/>
    </w:rPr>
  </w:style>
  <w:style w:type="character" w:customStyle="1" w:styleId="Heading2Char">
    <w:name w:val="Heading 2 Char"/>
    <w:basedOn w:val="DefaultParagraphFont"/>
    <w:link w:val="Heading2"/>
    <w:uiPriority w:val="1"/>
    <w:rsid w:val="008014DD"/>
    <w:rPr>
      <w:rFonts w:asciiTheme="majorHAnsi" w:hAnsiTheme="majorHAnsi"/>
      <w:color w:val="931B2F" w:themeColor="background2"/>
      <w:sz w:val="32"/>
    </w:rPr>
  </w:style>
  <w:style w:type="character" w:customStyle="1" w:styleId="Heading3Char">
    <w:name w:val="Heading 3 Char"/>
    <w:basedOn w:val="DefaultParagraphFont"/>
    <w:link w:val="Heading3"/>
    <w:uiPriority w:val="1"/>
    <w:rsid w:val="00CD237C"/>
    <w:rPr>
      <w:rFonts w:asciiTheme="majorHAnsi" w:hAnsiTheme="majorHAnsi"/>
      <w:b/>
      <w:color w:val="8C8686" w:themeColor="accent4"/>
      <w:sz w:val="22"/>
    </w:rPr>
  </w:style>
  <w:style w:type="paragraph" w:styleId="CommentText">
    <w:name w:val="annotation text"/>
    <w:basedOn w:val="Normal"/>
    <w:link w:val="CommentTextChar"/>
    <w:uiPriority w:val="99"/>
    <w:semiHidden/>
    <w:locked/>
    <w:rsid w:val="00C9293F"/>
  </w:style>
  <w:style w:type="character" w:customStyle="1" w:styleId="CommentTextChar">
    <w:name w:val="Comment Text Char"/>
    <w:basedOn w:val="DefaultParagraphFont"/>
    <w:link w:val="CommentText"/>
    <w:uiPriority w:val="99"/>
    <w:semiHidden/>
    <w:rsid w:val="00684A2E"/>
    <w:rPr>
      <w:rFonts w:cs="Century Gothic"/>
      <w:color w:val="000000" w:themeColor="text1"/>
      <w:sz w:val="20"/>
      <w:szCs w:val="20"/>
      <w:lang w:eastAsia="en-AU"/>
    </w:rPr>
  </w:style>
  <w:style w:type="paragraph" w:styleId="Header">
    <w:name w:val="header"/>
    <w:basedOn w:val="Normal"/>
    <w:link w:val="HeaderChar"/>
    <w:uiPriority w:val="99"/>
    <w:semiHidden/>
    <w:locked/>
    <w:rsid w:val="00C9293F"/>
    <w:pPr>
      <w:tabs>
        <w:tab w:val="center" w:pos="4513"/>
        <w:tab w:val="right" w:pos="9026"/>
      </w:tabs>
    </w:pPr>
  </w:style>
  <w:style w:type="character" w:customStyle="1" w:styleId="HeaderChar">
    <w:name w:val="Header Char"/>
    <w:basedOn w:val="DefaultParagraphFont"/>
    <w:link w:val="Header"/>
    <w:uiPriority w:val="99"/>
    <w:semiHidden/>
    <w:rsid w:val="00C9293F"/>
    <w:rPr>
      <w:rFonts w:ascii="Century Gothic" w:eastAsia="Century Gothic" w:hAnsi="Century Gothic" w:cs="Century Gothic"/>
      <w:color w:val="490D17" w:themeColor="background2" w:themeShade="80"/>
      <w:sz w:val="18"/>
      <w:lang w:eastAsia="en-AU"/>
    </w:rPr>
  </w:style>
  <w:style w:type="paragraph" w:styleId="Footer">
    <w:name w:val="footer"/>
    <w:basedOn w:val="Normal"/>
    <w:link w:val="FooterChar"/>
    <w:uiPriority w:val="10"/>
    <w:semiHidden/>
    <w:locked/>
    <w:rsid w:val="0011199F"/>
    <w:pPr>
      <w:tabs>
        <w:tab w:val="center" w:pos="4513"/>
        <w:tab w:val="right" w:pos="9026"/>
      </w:tabs>
      <w:spacing w:after="0" w:line="240" w:lineRule="auto"/>
    </w:pPr>
    <w:rPr>
      <w:rFonts w:asciiTheme="majorHAnsi" w:hAnsiTheme="majorHAnsi"/>
      <w:sz w:val="18"/>
    </w:rPr>
  </w:style>
  <w:style w:type="character" w:customStyle="1" w:styleId="FooterChar">
    <w:name w:val="Footer Char"/>
    <w:basedOn w:val="DefaultParagraphFont"/>
    <w:link w:val="Footer"/>
    <w:uiPriority w:val="10"/>
    <w:semiHidden/>
    <w:rsid w:val="0011199F"/>
    <w:rPr>
      <w:rFonts w:asciiTheme="majorHAnsi" w:hAnsiTheme="majorHAnsi"/>
      <w:color w:val="000000" w:themeColor="text1"/>
      <w:sz w:val="18"/>
    </w:rPr>
  </w:style>
  <w:style w:type="character" w:styleId="CommentReference">
    <w:name w:val="annotation reference"/>
    <w:basedOn w:val="DefaultParagraphFont"/>
    <w:uiPriority w:val="99"/>
    <w:semiHidden/>
    <w:locked/>
    <w:rsid w:val="00C9293F"/>
    <w:rPr>
      <w:sz w:val="16"/>
      <w:szCs w:val="16"/>
    </w:rPr>
  </w:style>
  <w:style w:type="paragraph" w:styleId="Title">
    <w:name w:val="Title"/>
    <w:basedOn w:val="Normal"/>
    <w:next w:val="Normal"/>
    <w:link w:val="TitleChar"/>
    <w:uiPriority w:val="10"/>
    <w:semiHidden/>
    <w:locked/>
    <w:rsid w:val="00013DF3"/>
    <w:rPr>
      <w:rFonts w:asciiTheme="majorHAnsi" w:hAnsiTheme="majorHAnsi"/>
      <w:sz w:val="60"/>
    </w:rPr>
  </w:style>
  <w:style w:type="character" w:customStyle="1" w:styleId="TitleChar">
    <w:name w:val="Title Char"/>
    <w:basedOn w:val="DefaultParagraphFont"/>
    <w:link w:val="Title"/>
    <w:uiPriority w:val="10"/>
    <w:semiHidden/>
    <w:rsid w:val="00684A2E"/>
    <w:rPr>
      <w:rFonts w:asciiTheme="majorHAnsi" w:hAnsiTheme="majorHAnsi" w:cs="Century Gothic"/>
      <w:color w:val="000000" w:themeColor="text1"/>
      <w:sz w:val="60"/>
      <w:lang w:eastAsia="en-AU"/>
    </w:rPr>
  </w:style>
  <w:style w:type="paragraph" w:styleId="CommentSubject">
    <w:name w:val="annotation subject"/>
    <w:basedOn w:val="CommentText"/>
    <w:next w:val="CommentText"/>
    <w:link w:val="CommentSubjectChar"/>
    <w:uiPriority w:val="98"/>
    <w:semiHidden/>
    <w:locked/>
    <w:rsid w:val="00C9293F"/>
    <w:rPr>
      <w:b/>
      <w:bCs/>
    </w:rPr>
  </w:style>
  <w:style w:type="character" w:customStyle="1" w:styleId="CommentSubjectChar">
    <w:name w:val="Comment Subject Char"/>
    <w:basedOn w:val="CommentTextChar"/>
    <w:link w:val="CommentSubject"/>
    <w:uiPriority w:val="98"/>
    <w:semiHidden/>
    <w:rsid w:val="00684A2E"/>
    <w:rPr>
      <w:rFonts w:cs="Century Gothic"/>
      <w:b/>
      <w:bCs/>
      <w:color w:val="000000" w:themeColor="text1"/>
      <w:sz w:val="20"/>
      <w:szCs w:val="20"/>
      <w:lang w:eastAsia="en-AU"/>
    </w:rPr>
  </w:style>
  <w:style w:type="paragraph" w:styleId="BalloonText">
    <w:name w:val="Balloon Text"/>
    <w:basedOn w:val="Normal"/>
    <w:link w:val="BalloonTextChar"/>
    <w:uiPriority w:val="98"/>
    <w:semiHidden/>
    <w:locked/>
    <w:rsid w:val="002F546A"/>
    <w:rPr>
      <w:rFonts w:cs="Segoe UI"/>
      <w:szCs w:val="18"/>
    </w:rPr>
  </w:style>
  <w:style w:type="character" w:customStyle="1" w:styleId="BalloonTextChar">
    <w:name w:val="Balloon Text Char"/>
    <w:basedOn w:val="DefaultParagraphFont"/>
    <w:link w:val="BalloonText"/>
    <w:uiPriority w:val="98"/>
    <w:semiHidden/>
    <w:rsid w:val="00684A2E"/>
    <w:rPr>
      <w:rFonts w:cs="Segoe UI"/>
      <w:color w:val="000000" w:themeColor="text1"/>
      <w:sz w:val="20"/>
      <w:szCs w:val="18"/>
      <w:lang w:eastAsia="en-AU"/>
    </w:rPr>
  </w:style>
  <w:style w:type="table" w:styleId="TableGrid">
    <w:name w:val="Table Grid"/>
    <w:basedOn w:val="TableNormal"/>
    <w:uiPriority w:val="39"/>
    <w:locked/>
    <w:rsid w:val="00180E19"/>
    <w:pPr>
      <w:spacing w:after="0"/>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NoSpacing">
    <w:name w:val="No Spacing"/>
    <w:basedOn w:val="Normal"/>
    <w:link w:val="NoSpacingChar"/>
    <w:uiPriority w:val="1"/>
    <w:qFormat/>
    <w:locked/>
    <w:rsid w:val="004C7F80"/>
    <w:rPr>
      <w:rFonts w:eastAsia="Calibri" w:cs="Calibri"/>
    </w:rPr>
  </w:style>
  <w:style w:type="paragraph" w:styleId="ListParagraph">
    <w:name w:val="List Paragraph"/>
    <w:basedOn w:val="Normal"/>
    <w:uiPriority w:val="98"/>
    <w:qFormat/>
    <w:locked/>
    <w:rsid w:val="001F0BE3"/>
    <w:pPr>
      <w:numPr>
        <w:numId w:val="1"/>
      </w:numPr>
      <w:contextualSpacing/>
    </w:pPr>
  </w:style>
  <w:style w:type="paragraph" w:styleId="ListBullet">
    <w:name w:val="List Bullet"/>
    <w:basedOn w:val="Normal"/>
    <w:uiPriority w:val="6"/>
    <w:qFormat/>
    <w:rsid w:val="003D0711"/>
    <w:pPr>
      <w:numPr>
        <w:numId w:val="10"/>
      </w:numPr>
      <w:spacing w:before="100" w:after="100"/>
    </w:pPr>
  </w:style>
  <w:style w:type="paragraph" w:styleId="ListBullet2">
    <w:name w:val="List Bullet 2"/>
    <w:basedOn w:val="Normal"/>
    <w:uiPriority w:val="6"/>
    <w:locked/>
    <w:rsid w:val="003D0711"/>
    <w:pPr>
      <w:numPr>
        <w:ilvl w:val="1"/>
        <w:numId w:val="10"/>
      </w:numPr>
      <w:spacing w:before="100" w:after="100"/>
    </w:pPr>
  </w:style>
  <w:style w:type="paragraph" w:styleId="ListBullet3">
    <w:name w:val="List Bullet 3"/>
    <w:basedOn w:val="Normal"/>
    <w:uiPriority w:val="6"/>
    <w:locked/>
    <w:rsid w:val="003D0711"/>
    <w:pPr>
      <w:numPr>
        <w:ilvl w:val="2"/>
        <w:numId w:val="10"/>
      </w:numPr>
      <w:spacing w:before="100" w:after="100"/>
      <w:contextualSpacing/>
    </w:pPr>
  </w:style>
  <w:style w:type="paragraph" w:styleId="ListBullet4">
    <w:name w:val="List Bullet 4"/>
    <w:basedOn w:val="Normal"/>
    <w:uiPriority w:val="7"/>
    <w:semiHidden/>
    <w:unhideWhenUsed/>
    <w:locked/>
    <w:rsid w:val="00466414"/>
    <w:pPr>
      <w:numPr>
        <w:ilvl w:val="3"/>
        <w:numId w:val="5"/>
      </w:numPr>
      <w:contextualSpacing/>
    </w:pPr>
  </w:style>
  <w:style w:type="paragraph" w:styleId="ListBullet5">
    <w:name w:val="List Bullet 5"/>
    <w:basedOn w:val="Normal"/>
    <w:uiPriority w:val="7"/>
    <w:semiHidden/>
    <w:unhideWhenUsed/>
    <w:locked/>
    <w:rsid w:val="00466414"/>
    <w:pPr>
      <w:numPr>
        <w:ilvl w:val="4"/>
        <w:numId w:val="3"/>
      </w:numPr>
      <w:contextualSpacing/>
    </w:pPr>
  </w:style>
  <w:style w:type="numbering" w:customStyle="1" w:styleId="NumberedList">
    <w:name w:val="_Numbered List"/>
    <w:uiPriority w:val="99"/>
    <w:rsid w:val="003D0711"/>
    <w:pPr>
      <w:numPr>
        <w:numId w:val="4"/>
      </w:numPr>
    </w:pPr>
  </w:style>
  <w:style w:type="paragraph" w:styleId="Quote">
    <w:name w:val="Quote"/>
    <w:basedOn w:val="Normal"/>
    <w:next w:val="Normal"/>
    <w:link w:val="QuoteChar"/>
    <w:uiPriority w:val="10"/>
    <w:semiHidden/>
    <w:locked/>
    <w:rsid w:val="00C25003"/>
    <w:pPr>
      <w:pBdr>
        <w:top w:val="single" w:sz="8" w:space="10" w:color="808080" w:themeColor="background1" w:themeShade="80"/>
        <w:bottom w:val="single" w:sz="8" w:space="10" w:color="808080" w:themeColor="background1" w:themeShade="80"/>
      </w:pBdr>
      <w:spacing w:before="200" w:after="160"/>
    </w:pPr>
    <w:rPr>
      <w:i/>
      <w:iCs/>
      <w:color w:val="808080" w:themeColor="background1" w:themeShade="80"/>
    </w:rPr>
  </w:style>
  <w:style w:type="character" w:customStyle="1" w:styleId="QuoteChar">
    <w:name w:val="Quote Char"/>
    <w:basedOn w:val="DefaultParagraphFont"/>
    <w:link w:val="Quote"/>
    <w:uiPriority w:val="10"/>
    <w:semiHidden/>
    <w:rsid w:val="00082C4D"/>
    <w:rPr>
      <w:i/>
      <w:iCs/>
      <w:color w:val="808080" w:themeColor="background1" w:themeShade="80"/>
    </w:rPr>
  </w:style>
  <w:style w:type="paragraph" w:styleId="IntenseQuote">
    <w:name w:val="Intense Quote"/>
    <w:basedOn w:val="Normal"/>
    <w:next w:val="Normal"/>
    <w:link w:val="IntenseQuoteChar"/>
    <w:uiPriority w:val="98"/>
    <w:semiHidden/>
    <w:locked/>
    <w:rsid w:val="00D16EFF"/>
    <w:pPr>
      <w:pBdr>
        <w:top w:val="single" w:sz="4" w:space="10" w:color="931B2F" w:themeColor="accent1"/>
        <w:bottom w:val="single" w:sz="4" w:space="10" w:color="931B2F" w:themeColor="accent1"/>
      </w:pBdr>
      <w:spacing w:before="200"/>
      <w:jc w:val="center"/>
    </w:pPr>
    <w:rPr>
      <w:i/>
      <w:iCs/>
      <w:color w:val="931B2F" w:themeColor="accent1"/>
    </w:rPr>
  </w:style>
  <w:style w:type="character" w:customStyle="1" w:styleId="IntenseQuoteChar">
    <w:name w:val="Intense Quote Char"/>
    <w:basedOn w:val="DefaultParagraphFont"/>
    <w:link w:val="IntenseQuote"/>
    <w:uiPriority w:val="98"/>
    <w:semiHidden/>
    <w:rsid w:val="00AF7437"/>
    <w:rPr>
      <w:rFonts w:cs="Century Gothic"/>
      <w:i/>
      <w:iCs/>
      <w:color w:val="931B2F" w:themeColor="accent1"/>
      <w:sz w:val="20"/>
      <w:lang w:eastAsia="en-AU"/>
    </w:rPr>
  </w:style>
  <w:style w:type="paragraph" w:styleId="BodyText">
    <w:name w:val="Body Text"/>
    <w:basedOn w:val="Normal"/>
    <w:link w:val="BodyTextChar"/>
    <w:uiPriority w:val="98"/>
    <w:semiHidden/>
    <w:locked/>
    <w:rsid w:val="00656594"/>
  </w:style>
  <w:style w:type="character" w:customStyle="1" w:styleId="BodyTextChar">
    <w:name w:val="Body Text Char"/>
    <w:basedOn w:val="DefaultParagraphFont"/>
    <w:link w:val="BodyText"/>
    <w:uiPriority w:val="98"/>
    <w:semiHidden/>
    <w:rsid w:val="00684A2E"/>
    <w:rPr>
      <w:rFonts w:cs="Century Gothic"/>
      <w:color w:val="000000" w:themeColor="text1"/>
      <w:sz w:val="20"/>
      <w:lang w:eastAsia="en-AU"/>
    </w:rPr>
  </w:style>
  <w:style w:type="paragraph" w:styleId="Date">
    <w:name w:val="Date"/>
    <w:basedOn w:val="Normal"/>
    <w:next w:val="Normal"/>
    <w:link w:val="DateChar"/>
    <w:uiPriority w:val="10"/>
    <w:semiHidden/>
    <w:locked/>
    <w:rsid w:val="00792CB0"/>
    <w:pPr>
      <w:spacing w:line="240" w:lineRule="auto"/>
    </w:pPr>
  </w:style>
  <w:style w:type="character" w:customStyle="1" w:styleId="DateChar">
    <w:name w:val="Date Char"/>
    <w:basedOn w:val="DefaultParagraphFont"/>
    <w:link w:val="Date"/>
    <w:uiPriority w:val="10"/>
    <w:semiHidden/>
    <w:rsid w:val="003B2A57"/>
    <w:rPr>
      <w:color w:val="000000" w:themeColor="text1"/>
      <w:sz w:val="16"/>
    </w:rPr>
  </w:style>
  <w:style w:type="character" w:customStyle="1" w:styleId="Heading4Char">
    <w:name w:val="Heading 4 Char"/>
    <w:basedOn w:val="DefaultParagraphFont"/>
    <w:link w:val="Heading4"/>
    <w:uiPriority w:val="3"/>
    <w:semiHidden/>
    <w:rsid w:val="001D3ADE"/>
    <w:rPr>
      <w:rFonts w:eastAsiaTheme="majorEastAsia" w:cstheme="majorBidi"/>
      <w:b/>
      <w:i/>
      <w:iCs/>
      <w:color w:val="000000" w:themeColor="text1"/>
      <w:sz w:val="19"/>
    </w:rPr>
  </w:style>
  <w:style w:type="character" w:customStyle="1" w:styleId="Heading5Char">
    <w:name w:val="Heading 5 Char"/>
    <w:basedOn w:val="DefaultParagraphFont"/>
    <w:link w:val="Heading5"/>
    <w:uiPriority w:val="3"/>
    <w:semiHidden/>
    <w:rsid w:val="001D3ADE"/>
    <w:rPr>
      <w:rFonts w:eastAsiaTheme="majorEastAsia" w:cstheme="majorBidi"/>
      <w:b/>
      <w:iCs/>
      <w:color w:val="000000" w:themeColor="text1"/>
      <w:sz w:val="19"/>
    </w:rPr>
  </w:style>
  <w:style w:type="character" w:customStyle="1" w:styleId="Heading6Char">
    <w:name w:val="Heading 6 Char"/>
    <w:basedOn w:val="DefaultParagraphFont"/>
    <w:link w:val="Heading6"/>
    <w:uiPriority w:val="3"/>
    <w:semiHidden/>
    <w:rsid w:val="001D3ADE"/>
    <w:rPr>
      <w:rFonts w:eastAsiaTheme="majorEastAsia" w:cstheme="majorBidi"/>
      <w:b/>
      <w:iCs/>
      <w:color w:val="000000" w:themeColor="text1"/>
      <w:sz w:val="19"/>
    </w:rPr>
  </w:style>
  <w:style w:type="character" w:customStyle="1" w:styleId="Heading7Char">
    <w:name w:val="Heading 7 Char"/>
    <w:basedOn w:val="DefaultParagraphFont"/>
    <w:link w:val="Heading7"/>
    <w:uiPriority w:val="3"/>
    <w:semiHidden/>
    <w:rsid w:val="001D3ADE"/>
    <w:rPr>
      <w:rFonts w:eastAsiaTheme="majorEastAsia" w:cstheme="majorBidi"/>
      <w:b/>
      <w:color w:val="000000" w:themeColor="text1"/>
      <w:sz w:val="19"/>
    </w:rPr>
  </w:style>
  <w:style w:type="character" w:customStyle="1" w:styleId="Heading8Char">
    <w:name w:val="Heading 8 Char"/>
    <w:basedOn w:val="DefaultParagraphFont"/>
    <w:link w:val="Heading8"/>
    <w:uiPriority w:val="3"/>
    <w:semiHidden/>
    <w:rsid w:val="001D3ADE"/>
    <w:rPr>
      <w:rFonts w:eastAsiaTheme="majorEastAsia" w:cstheme="majorBidi"/>
      <w:b/>
      <w:iCs/>
      <w:color w:val="272727" w:themeColor="text1" w:themeTint="D8"/>
      <w:sz w:val="19"/>
      <w:szCs w:val="21"/>
    </w:rPr>
  </w:style>
  <w:style w:type="character" w:customStyle="1" w:styleId="Heading9Char">
    <w:name w:val="Heading 9 Char"/>
    <w:basedOn w:val="DefaultParagraphFont"/>
    <w:link w:val="Heading9"/>
    <w:uiPriority w:val="3"/>
    <w:semiHidden/>
    <w:rsid w:val="001D3ADE"/>
    <w:rPr>
      <w:rFonts w:eastAsiaTheme="majorEastAsia" w:cstheme="majorBidi"/>
      <w:b/>
      <w:iCs/>
      <w:color w:val="272727" w:themeColor="text1" w:themeTint="D8"/>
      <w:sz w:val="19"/>
      <w:szCs w:val="21"/>
    </w:rPr>
  </w:style>
  <w:style w:type="paragraph" w:styleId="Subtitle">
    <w:name w:val="Subtitle"/>
    <w:next w:val="Normal"/>
    <w:link w:val="SubtitleChar"/>
    <w:uiPriority w:val="11"/>
    <w:semiHidden/>
    <w:locked/>
    <w:rsid w:val="00656594"/>
    <w:pPr>
      <w:numPr>
        <w:ilvl w:val="1"/>
      </w:numPr>
      <w:spacing w:after="0"/>
    </w:pPr>
    <w:rPr>
      <w:rFonts w:asciiTheme="majorHAnsi" w:eastAsiaTheme="minorEastAsia" w:hAnsiTheme="majorHAnsi"/>
      <w:color w:val="000000" w:themeColor="text1"/>
      <w:sz w:val="40"/>
      <w:lang w:eastAsia="en-AU"/>
    </w:rPr>
  </w:style>
  <w:style w:type="character" w:customStyle="1" w:styleId="SubtitleChar">
    <w:name w:val="Subtitle Char"/>
    <w:basedOn w:val="DefaultParagraphFont"/>
    <w:link w:val="Subtitle"/>
    <w:uiPriority w:val="11"/>
    <w:semiHidden/>
    <w:rsid w:val="00082C4D"/>
    <w:rPr>
      <w:rFonts w:asciiTheme="majorHAnsi" w:eastAsiaTheme="minorEastAsia" w:hAnsiTheme="majorHAnsi"/>
      <w:color w:val="000000" w:themeColor="text1"/>
      <w:sz w:val="40"/>
      <w:lang w:eastAsia="en-AU"/>
    </w:rPr>
  </w:style>
  <w:style w:type="paragraph" w:styleId="BodyText2">
    <w:name w:val="Body Text 2"/>
    <w:basedOn w:val="Normal"/>
    <w:link w:val="BodyText2Char"/>
    <w:uiPriority w:val="98"/>
    <w:semiHidden/>
    <w:locked/>
    <w:rsid w:val="00656594"/>
  </w:style>
  <w:style w:type="character" w:customStyle="1" w:styleId="BodyText2Char">
    <w:name w:val="Body Text 2 Char"/>
    <w:basedOn w:val="DefaultParagraphFont"/>
    <w:link w:val="BodyText2"/>
    <w:uiPriority w:val="98"/>
    <w:semiHidden/>
    <w:rsid w:val="00684A2E"/>
    <w:rPr>
      <w:rFonts w:cs="Century Gothic"/>
      <w:color w:val="000000" w:themeColor="text1"/>
      <w:sz w:val="20"/>
      <w:lang w:eastAsia="en-AU"/>
    </w:rPr>
  </w:style>
  <w:style w:type="paragraph" w:styleId="BodyText3">
    <w:name w:val="Body Text 3"/>
    <w:basedOn w:val="Normal"/>
    <w:link w:val="BodyText3Char"/>
    <w:uiPriority w:val="98"/>
    <w:semiHidden/>
    <w:locked/>
    <w:rsid w:val="00656594"/>
    <w:rPr>
      <w:szCs w:val="16"/>
    </w:rPr>
  </w:style>
  <w:style w:type="character" w:customStyle="1" w:styleId="BodyText3Char">
    <w:name w:val="Body Text 3 Char"/>
    <w:basedOn w:val="DefaultParagraphFont"/>
    <w:link w:val="BodyText3"/>
    <w:uiPriority w:val="98"/>
    <w:semiHidden/>
    <w:rsid w:val="00684A2E"/>
    <w:rPr>
      <w:rFonts w:cs="Century Gothic"/>
      <w:color w:val="000000" w:themeColor="text1"/>
      <w:sz w:val="20"/>
      <w:szCs w:val="16"/>
      <w:lang w:eastAsia="en-AU"/>
    </w:rPr>
  </w:style>
  <w:style w:type="character" w:styleId="Emphasis">
    <w:name w:val="Emphasis"/>
    <w:basedOn w:val="DefaultParagraphFont"/>
    <w:uiPriority w:val="8"/>
    <w:semiHidden/>
    <w:locked/>
    <w:rsid w:val="00656594"/>
    <w:rPr>
      <w:i/>
      <w:iCs/>
    </w:rPr>
  </w:style>
  <w:style w:type="character" w:styleId="IntenseEmphasis">
    <w:name w:val="Intense Emphasis"/>
    <w:basedOn w:val="DefaultParagraphFont"/>
    <w:uiPriority w:val="98"/>
    <w:semiHidden/>
    <w:locked/>
    <w:rsid w:val="00656594"/>
    <w:rPr>
      <w:i/>
      <w:iCs/>
      <w:color w:val="931B2F" w:themeColor="accent1"/>
    </w:rPr>
  </w:style>
  <w:style w:type="paragraph" w:styleId="TOCHeading">
    <w:name w:val="TOC Heading"/>
    <w:basedOn w:val="Heading1"/>
    <w:next w:val="Normal"/>
    <w:uiPriority w:val="19"/>
    <w:semiHidden/>
    <w:locked/>
    <w:rsid w:val="004A34D8"/>
    <w:pPr>
      <w:pageBreakBefore/>
      <w:numPr>
        <w:numId w:val="0"/>
      </w:numPr>
      <w:spacing w:before="400" w:after="1200"/>
      <w:outlineLvl w:val="9"/>
    </w:pPr>
    <w:rPr>
      <w:rFonts w:eastAsiaTheme="majorEastAsia" w:cstheme="majorBidi"/>
      <w:b/>
      <w:szCs w:val="32"/>
      <w:lang w:eastAsia="en-AU"/>
    </w:rPr>
  </w:style>
  <w:style w:type="paragraph" w:styleId="Index1">
    <w:name w:val="index 1"/>
    <w:basedOn w:val="Normal"/>
    <w:next w:val="Normal"/>
    <w:autoRedefine/>
    <w:uiPriority w:val="99"/>
    <w:semiHidden/>
    <w:locked/>
    <w:rsid w:val="002F546A"/>
    <w:pPr>
      <w:ind w:left="200" w:hanging="200"/>
    </w:pPr>
  </w:style>
  <w:style w:type="paragraph" w:styleId="MessageHeader">
    <w:name w:val="Message Header"/>
    <w:basedOn w:val="Normal"/>
    <w:link w:val="MessageHeaderChar"/>
    <w:uiPriority w:val="99"/>
    <w:semiHidden/>
    <w:locked/>
    <w:rsid w:val="0088736F"/>
    <w:pPr>
      <w:pBdr>
        <w:top w:val="single" w:sz="6" w:space="5" w:color="808080" w:themeColor="background1" w:themeShade="80"/>
        <w:left w:val="single" w:sz="6" w:space="5" w:color="808080" w:themeColor="background1" w:themeShade="80"/>
        <w:bottom w:val="single" w:sz="6" w:space="5" w:color="808080" w:themeColor="background1" w:themeShade="80"/>
        <w:right w:val="single" w:sz="6" w:space="5" w:color="808080" w:themeColor="background1" w:themeShade="80"/>
      </w:pBdr>
      <w:shd w:val="pct5" w:color="auto" w:fill="auto"/>
      <w:spacing w:before="40" w:after="40"/>
      <w:ind w:left="100" w:right="10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84A2E"/>
    <w:rPr>
      <w:rFonts w:asciiTheme="majorHAnsi" w:eastAsiaTheme="majorEastAsia" w:hAnsiTheme="majorHAnsi" w:cstheme="majorBidi"/>
      <w:color w:val="000000" w:themeColor="text1"/>
      <w:sz w:val="24"/>
      <w:szCs w:val="24"/>
      <w:shd w:val="pct5" w:color="auto" w:fill="auto"/>
      <w:lang w:eastAsia="en-AU"/>
    </w:rPr>
  </w:style>
  <w:style w:type="paragraph" w:styleId="Signature">
    <w:name w:val="Signature"/>
    <w:basedOn w:val="Normal"/>
    <w:link w:val="SignatureChar"/>
    <w:uiPriority w:val="10"/>
    <w:semiHidden/>
    <w:locked/>
    <w:rsid w:val="004C7F80"/>
    <w:pPr>
      <w:spacing w:before="624" w:after="1531"/>
    </w:pPr>
  </w:style>
  <w:style w:type="character" w:customStyle="1" w:styleId="SignatureChar">
    <w:name w:val="Signature Char"/>
    <w:basedOn w:val="DefaultParagraphFont"/>
    <w:link w:val="Signature"/>
    <w:uiPriority w:val="10"/>
    <w:semiHidden/>
    <w:rsid w:val="0088745D"/>
    <w:rPr>
      <w:color w:val="4D4D4D" w:themeColor="text2"/>
      <w:sz w:val="18"/>
    </w:rPr>
  </w:style>
  <w:style w:type="character" w:styleId="FollowedHyperlink">
    <w:name w:val="FollowedHyperlink"/>
    <w:basedOn w:val="DefaultParagraphFont"/>
    <w:uiPriority w:val="98"/>
    <w:semiHidden/>
    <w:locked/>
    <w:rsid w:val="0088736F"/>
    <w:rPr>
      <w:color w:val="000000" w:themeColor="text1"/>
      <w:u w:val="single"/>
    </w:rPr>
  </w:style>
  <w:style w:type="character" w:styleId="IntenseReference">
    <w:name w:val="Intense Reference"/>
    <w:basedOn w:val="DefaultParagraphFont"/>
    <w:uiPriority w:val="98"/>
    <w:semiHidden/>
    <w:locked/>
    <w:rsid w:val="0088736F"/>
    <w:rPr>
      <w:rFonts w:asciiTheme="minorHAnsi" w:hAnsiTheme="minorHAnsi"/>
      <w:b/>
      <w:bCs/>
      <w:i w:val="0"/>
      <w:caps w:val="0"/>
      <w:smallCaps/>
      <w:color w:val="000000" w:themeColor="text1"/>
      <w:spacing w:val="0"/>
    </w:rPr>
  </w:style>
  <w:style w:type="character" w:styleId="SubtleReference">
    <w:name w:val="Subtle Reference"/>
    <w:basedOn w:val="DefaultParagraphFont"/>
    <w:uiPriority w:val="98"/>
    <w:semiHidden/>
    <w:locked/>
    <w:rsid w:val="0088736F"/>
    <w:rPr>
      <w:smallCaps/>
      <w:color w:val="5A5A5A" w:themeColor="text1" w:themeTint="A5"/>
    </w:rPr>
  </w:style>
  <w:style w:type="paragraph" w:customStyle="1" w:styleId="spacer">
    <w:name w:val="spacer"/>
    <w:basedOn w:val="Footer"/>
    <w:uiPriority w:val="9"/>
    <w:semiHidden/>
    <w:locked/>
    <w:rsid w:val="00986606"/>
    <w:rPr>
      <w:sz w:val="2"/>
    </w:rPr>
  </w:style>
  <w:style w:type="character" w:styleId="FootnoteReference">
    <w:name w:val="footnote reference"/>
    <w:basedOn w:val="DefaultParagraphFont"/>
    <w:uiPriority w:val="99"/>
    <w:semiHidden/>
    <w:locked/>
    <w:rsid w:val="00AF7437"/>
    <w:rPr>
      <w:b/>
      <w:vertAlign w:val="superscript"/>
    </w:rPr>
  </w:style>
  <w:style w:type="paragraph" w:styleId="ListNumber4">
    <w:name w:val="List Number 4"/>
    <w:basedOn w:val="Normal"/>
    <w:uiPriority w:val="7"/>
    <w:semiHidden/>
    <w:locked/>
    <w:rsid w:val="003D0711"/>
    <w:pPr>
      <w:numPr>
        <w:ilvl w:val="3"/>
        <w:numId w:val="11"/>
      </w:numPr>
      <w:tabs>
        <w:tab w:val="clear" w:pos="1429"/>
      </w:tabs>
      <w:ind w:left="2880" w:hanging="360"/>
      <w:contextualSpacing/>
    </w:pPr>
  </w:style>
  <w:style w:type="paragraph" w:styleId="ListNumber5">
    <w:name w:val="List Number 5"/>
    <w:basedOn w:val="Normal"/>
    <w:uiPriority w:val="7"/>
    <w:semiHidden/>
    <w:locked/>
    <w:rsid w:val="003D0711"/>
    <w:pPr>
      <w:numPr>
        <w:ilvl w:val="4"/>
        <w:numId w:val="11"/>
      </w:numPr>
      <w:tabs>
        <w:tab w:val="clear" w:pos="1786"/>
      </w:tabs>
      <w:ind w:left="3600" w:hanging="360"/>
      <w:contextualSpacing/>
    </w:pPr>
  </w:style>
  <w:style w:type="numbering" w:customStyle="1" w:styleId="AlphaList">
    <w:name w:val="_Alpha List"/>
    <w:uiPriority w:val="99"/>
    <w:rsid w:val="003D0711"/>
    <w:pPr>
      <w:numPr>
        <w:numId w:val="6"/>
      </w:numPr>
    </w:pPr>
  </w:style>
  <w:style w:type="paragraph" w:styleId="List">
    <w:name w:val="List"/>
    <w:basedOn w:val="Normal"/>
    <w:uiPriority w:val="7"/>
    <w:rsid w:val="003D0711"/>
    <w:pPr>
      <w:numPr>
        <w:numId w:val="12"/>
      </w:numPr>
      <w:spacing w:before="100" w:after="100"/>
    </w:pPr>
  </w:style>
  <w:style w:type="paragraph" w:styleId="List2">
    <w:name w:val="List 2"/>
    <w:basedOn w:val="Normal"/>
    <w:uiPriority w:val="7"/>
    <w:locked/>
    <w:rsid w:val="003D0711"/>
    <w:pPr>
      <w:numPr>
        <w:ilvl w:val="1"/>
        <w:numId w:val="12"/>
      </w:numPr>
      <w:spacing w:before="100" w:after="100"/>
    </w:pPr>
  </w:style>
  <w:style w:type="paragraph" w:customStyle="1" w:styleId="TableText">
    <w:name w:val="Table Text"/>
    <w:basedOn w:val="NoSpacing"/>
    <w:uiPriority w:val="9"/>
    <w:locked/>
    <w:rsid w:val="000E6877"/>
    <w:pPr>
      <w:spacing w:after="60" w:line="240" w:lineRule="auto"/>
      <w:contextualSpacing/>
    </w:pPr>
  </w:style>
  <w:style w:type="character" w:customStyle="1" w:styleId="NoSpacingChar">
    <w:name w:val="No Spacing Char"/>
    <w:basedOn w:val="DefaultParagraphFont"/>
    <w:link w:val="NoSpacing"/>
    <w:uiPriority w:val="7"/>
    <w:semiHidden/>
    <w:rsid w:val="000424A0"/>
    <w:rPr>
      <w:rFonts w:eastAsia="Calibri" w:cs="Calibri"/>
      <w:color w:val="000000" w:themeColor="text1"/>
    </w:rPr>
  </w:style>
  <w:style w:type="character" w:styleId="PlaceholderText">
    <w:name w:val="Placeholder Text"/>
    <w:basedOn w:val="DefaultParagraphFont"/>
    <w:uiPriority w:val="99"/>
    <w:semiHidden/>
    <w:locked/>
    <w:rsid w:val="003F7F67"/>
    <w:rPr>
      <w:color w:val="FF0000"/>
    </w:rPr>
  </w:style>
  <w:style w:type="paragraph" w:styleId="FootnoteText">
    <w:name w:val="footnote text"/>
    <w:basedOn w:val="Normal"/>
    <w:link w:val="FootnoteTextChar"/>
    <w:uiPriority w:val="99"/>
    <w:locked/>
    <w:rsid w:val="00261151"/>
    <w:pPr>
      <w:spacing w:after="60" w:line="240" w:lineRule="auto"/>
    </w:pPr>
    <w:rPr>
      <w:rFonts w:eastAsiaTheme="minorEastAsia" w:cs="Times New Roman"/>
      <w:sz w:val="16"/>
      <w:lang w:val="en-US"/>
    </w:rPr>
  </w:style>
  <w:style w:type="character" w:customStyle="1" w:styleId="FootnoteTextChar">
    <w:name w:val="Footnote Text Char"/>
    <w:basedOn w:val="DefaultParagraphFont"/>
    <w:link w:val="FootnoteText"/>
    <w:uiPriority w:val="99"/>
    <w:rsid w:val="00261151"/>
    <w:rPr>
      <w:rFonts w:eastAsiaTheme="minorEastAsia" w:cs="Times New Roman"/>
      <w:color w:val="000000" w:themeColor="text1"/>
      <w:sz w:val="16"/>
      <w:lang w:val="en-US"/>
    </w:rPr>
  </w:style>
  <w:style w:type="table" w:customStyle="1" w:styleId="StandardTable">
    <w:name w:val="Standard Table"/>
    <w:basedOn w:val="TableNormal"/>
    <w:uiPriority w:val="99"/>
    <w:semiHidden/>
    <w:rsid w:val="00A449FF"/>
    <w:pPr>
      <w:spacing w:after="0"/>
    </w:pPr>
    <w:rPr>
      <w:sz w:val="18"/>
    </w:rPr>
    <w:tblPr>
      <w:tblStyleRowBandSize w:val="1"/>
      <w:tblStyleColBandSize w:val="1"/>
      <w:tblBorders>
        <w:bottom w:val="single" w:sz="2" w:space="0" w:color="auto"/>
        <w:insideH w:val="single" w:sz="4" w:space="0" w:color="000000" w:themeColor="text1"/>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pPr>
      <w:rPr>
        <w:rFonts w:asciiTheme="majorHAnsi" w:hAnsiTheme="majorHAnsi"/>
        <w:b/>
        <w:color w:val="4D4D4D" w:themeColor="text2"/>
      </w:rPr>
      <w:tblPr/>
      <w:tcPr>
        <w:tcBorders>
          <w:bottom w:val="nil"/>
        </w:tcBorders>
      </w:tcPr>
    </w:tblStylePr>
    <w:tblStylePr w:type="lastRow">
      <w:tblPr/>
      <w:tcPr>
        <w:tcBorders>
          <w:top w:val="double" w:sz="4" w:space="0" w:color="4D4D4D" w:themeColor="text2"/>
        </w:tcBorders>
      </w:tcPr>
    </w:tblStylePr>
  </w:style>
  <w:style w:type="paragraph" w:customStyle="1" w:styleId="Header1">
    <w:name w:val="Header 1"/>
    <w:uiPriority w:val="9"/>
    <w:semiHidden/>
    <w:locked/>
    <w:rsid w:val="007338F0"/>
    <w:pPr>
      <w:spacing w:after="0"/>
      <w:ind w:right="28"/>
    </w:pPr>
    <w:rPr>
      <w:rFonts w:eastAsiaTheme="minorEastAsia" w:cs="Century Gothic"/>
      <w:caps/>
      <w:noProof/>
      <w:color w:val="000000" w:themeColor="text1"/>
      <w:sz w:val="16"/>
      <w:lang w:eastAsia="en-AU"/>
    </w:rPr>
  </w:style>
  <w:style w:type="paragraph" w:customStyle="1" w:styleId="BasicParagraph">
    <w:name w:val="[Basic Paragraph]"/>
    <w:basedOn w:val="Normal"/>
    <w:uiPriority w:val="99"/>
    <w:rsid w:val="00302D06"/>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1">
    <w:name w:val="Table Grid1"/>
    <w:basedOn w:val="TableNormal"/>
    <w:next w:val="TableGrid"/>
    <w:semiHidden/>
    <w:rsid w:val="00ED0464"/>
    <w:rPr>
      <w:rFonts w:ascii="Times New Roman" w:eastAsia="Times New Roman" w:hAnsi="Times New Roman" w:cs="Times New Roman"/>
      <w:color w:val="848589"/>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uiPriority w:val="10"/>
    <w:qFormat/>
    <w:rsid w:val="003A2D95"/>
    <w:pPr>
      <w:keepNext/>
      <w:spacing w:after="0"/>
    </w:pPr>
    <w:rPr>
      <w:rFonts w:asciiTheme="majorHAnsi" w:hAnsiTheme="majorHAnsi"/>
      <w:b/>
      <w:color w:val="FFFFFF" w:themeColor="background1"/>
    </w:rPr>
  </w:style>
  <w:style w:type="table" w:styleId="ColourfulGrid">
    <w:name w:val="Colorful Grid"/>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F4C6CD" w:themeFill="accent1" w:themeFillTint="33"/>
    </w:tcPr>
    <w:tblStylePr w:type="firstRow">
      <w:rPr>
        <w:b/>
        <w:bCs/>
      </w:rPr>
      <w:tblPr/>
      <w:tcPr>
        <w:shd w:val="clear" w:color="auto" w:fill="EA8D9C" w:themeFill="accent1" w:themeFillTint="66"/>
      </w:tcPr>
    </w:tblStylePr>
    <w:tblStylePr w:type="lastRow">
      <w:rPr>
        <w:b/>
        <w:bCs/>
        <w:color w:val="000000" w:themeColor="text1"/>
      </w:rPr>
      <w:tblPr/>
      <w:tcPr>
        <w:shd w:val="clear" w:color="auto" w:fill="EA8D9C" w:themeFill="accent1" w:themeFillTint="66"/>
      </w:tcPr>
    </w:tblStylePr>
    <w:tblStylePr w:type="firstCol">
      <w:rPr>
        <w:color w:val="FFFFFF" w:themeColor="background1"/>
      </w:rPr>
      <w:tblPr/>
      <w:tcPr>
        <w:shd w:val="clear" w:color="auto" w:fill="6D1423" w:themeFill="accent1" w:themeFillShade="BF"/>
      </w:tcPr>
    </w:tblStylePr>
    <w:tblStylePr w:type="lastCol">
      <w:rPr>
        <w:color w:val="FFFFFF" w:themeColor="background1"/>
      </w:rPr>
      <w:tblPr/>
      <w:tcPr>
        <w:shd w:val="clear" w:color="auto" w:fill="6D1423" w:themeFill="accent1" w:themeFillShade="BF"/>
      </w:tcPr>
    </w:tblStylePr>
    <w:tblStylePr w:type="band1Vert">
      <w:tblPr/>
      <w:tcPr>
        <w:shd w:val="clear" w:color="auto" w:fill="E57184" w:themeFill="accent1" w:themeFillTint="7F"/>
      </w:tcPr>
    </w:tblStylePr>
    <w:tblStylePr w:type="band1Horz">
      <w:tblPr/>
      <w:tcPr>
        <w:shd w:val="clear" w:color="auto" w:fill="E57184" w:themeFill="accent1" w:themeFillTint="7F"/>
      </w:tcPr>
    </w:tblStylePr>
  </w:style>
  <w:style w:type="table" w:styleId="ColourfulGridAccent2">
    <w:name w:val="Colorful Grid Accent 2"/>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EFDEE1" w:themeFill="accent2" w:themeFillTint="33"/>
    </w:tcPr>
    <w:tblStylePr w:type="firstRow">
      <w:rPr>
        <w:b/>
        <w:bCs/>
      </w:rPr>
      <w:tblPr/>
      <w:tcPr>
        <w:shd w:val="clear" w:color="auto" w:fill="E0BEC4" w:themeFill="accent2" w:themeFillTint="66"/>
      </w:tcPr>
    </w:tblStylePr>
    <w:tblStylePr w:type="lastRow">
      <w:rPr>
        <w:b/>
        <w:bCs/>
        <w:color w:val="000000" w:themeColor="text1"/>
      </w:rPr>
      <w:tblPr/>
      <w:tcPr>
        <w:shd w:val="clear" w:color="auto" w:fill="E0BEC4" w:themeFill="accent2" w:themeFillTint="66"/>
      </w:tcPr>
    </w:tblStylePr>
    <w:tblStylePr w:type="firstCol">
      <w:rPr>
        <w:color w:val="FFFFFF" w:themeColor="background1"/>
      </w:rPr>
      <w:tblPr/>
      <w:tcPr>
        <w:shd w:val="clear" w:color="auto" w:fill="8A424E" w:themeFill="accent2" w:themeFillShade="BF"/>
      </w:tcPr>
    </w:tblStylePr>
    <w:tblStylePr w:type="lastCol">
      <w:rPr>
        <w:color w:val="FFFFFF" w:themeColor="background1"/>
      </w:rPr>
      <w:tblPr/>
      <w:tcPr>
        <w:shd w:val="clear" w:color="auto" w:fill="8A424E" w:themeFill="accent2" w:themeFillShade="BF"/>
      </w:tcPr>
    </w:tblStylePr>
    <w:tblStylePr w:type="band1Vert">
      <w:tblPr/>
      <w:tcPr>
        <w:shd w:val="clear" w:color="auto" w:fill="D9AFB6" w:themeFill="accent2" w:themeFillTint="7F"/>
      </w:tcPr>
    </w:tblStylePr>
    <w:tblStylePr w:type="band1Horz">
      <w:tblPr/>
      <w:tcPr>
        <w:shd w:val="clear" w:color="auto" w:fill="D9AFB6" w:themeFill="accent2" w:themeFillTint="7F"/>
      </w:tcPr>
    </w:tblStylePr>
  </w:style>
  <w:style w:type="table" w:styleId="ColourfulGridAccent3">
    <w:name w:val="Colorful Grid Accent 3"/>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FAFAFA" w:themeFill="accent3" w:themeFillTint="33"/>
    </w:tcPr>
    <w:tblStylePr w:type="firstRow">
      <w:rPr>
        <w:b/>
        <w:bCs/>
      </w:rPr>
      <w:tblPr/>
      <w:tcPr>
        <w:shd w:val="clear" w:color="auto" w:fill="F5F5F5" w:themeFill="accent3" w:themeFillTint="66"/>
      </w:tcPr>
    </w:tblStylePr>
    <w:tblStylePr w:type="lastRow">
      <w:rPr>
        <w:b/>
        <w:bCs/>
        <w:color w:val="000000" w:themeColor="text1"/>
      </w:rPr>
      <w:tblPr/>
      <w:tcPr>
        <w:shd w:val="clear" w:color="auto" w:fill="F5F5F5" w:themeFill="accent3" w:themeFillTint="66"/>
      </w:tcPr>
    </w:tblStylePr>
    <w:tblStylePr w:type="firstCol">
      <w:rPr>
        <w:color w:val="FFFFFF" w:themeColor="background1"/>
      </w:rPr>
      <w:tblPr/>
      <w:tcPr>
        <w:shd w:val="clear" w:color="auto" w:fill="AFABAB" w:themeFill="accent3" w:themeFillShade="BF"/>
      </w:tcPr>
    </w:tblStylePr>
    <w:tblStylePr w:type="lastCol">
      <w:rPr>
        <w:color w:val="FFFFFF" w:themeColor="background1"/>
      </w:rPr>
      <w:tblPr/>
      <w:tcPr>
        <w:shd w:val="clear" w:color="auto" w:fill="AFABAB" w:themeFill="accent3" w:themeFillShade="BF"/>
      </w:tcPr>
    </w:tblStylePr>
    <w:tblStylePr w:type="band1Vert">
      <w:tblPr/>
      <w:tcPr>
        <w:shd w:val="clear" w:color="auto" w:fill="F3F2F2" w:themeFill="accent3" w:themeFillTint="7F"/>
      </w:tcPr>
    </w:tblStylePr>
    <w:tblStylePr w:type="band1Horz">
      <w:tblPr/>
      <w:tcPr>
        <w:shd w:val="clear" w:color="auto" w:fill="F3F2F2" w:themeFill="accent3" w:themeFillTint="7F"/>
      </w:tcPr>
    </w:tblStylePr>
  </w:style>
  <w:style w:type="table" w:styleId="ColourfulGridAccent4">
    <w:name w:val="Colorful Grid Accent 4"/>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E8E6E6" w:themeFill="accent4" w:themeFillTint="33"/>
    </w:tcPr>
    <w:tblStylePr w:type="firstRow">
      <w:rPr>
        <w:b/>
        <w:bCs/>
      </w:rPr>
      <w:tblPr/>
      <w:tcPr>
        <w:shd w:val="clear" w:color="auto" w:fill="D1CECE" w:themeFill="accent4" w:themeFillTint="66"/>
      </w:tcPr>
    </w:tblStylePr>
    <w:tblStylePr w:type="lastRow">
      <w:rPr>
        <w:b/>
        <w:bCs/>
        <w:color w:val="000000" w:themeColor="text1"/>
      </w:rPr>
      <w:tblPr/>
      <w:tcPr>
        <w:shd w:val="clear" w:color="auto" w:fill="D1CECE" w:themeFill="accent4" w:themeFillTint="66"/>
      </w:tcPr>
    </w:tblStylePr>
    <w:tblStylePr w:type="firstCol">
      <w:rPr>
        <w:color w:val="FFFFFF" w:themeColor="background1"/>
      </w:rPr>
      <w:tblPr/>
      <w:tcPr>
        <w:shd w:val="clear" w:color="auto" w:fill="696464" w:themeFill="accent4" w:themeFillShade="BF"/>
      </w:tcPr>
    </w:tblStylePr>
    <w:tblStylePr w:type="lastCol">
      <w:rPr>
        <w:color w:val="FFFFFF" w:themeColor="background1"/>
      </w:rPr>
      <w:tblPr/>
      <w:tcPr>
        <w:shd w:val="clear" w:color="auto" w:fill="696464" w:themeFill="accent4" w:themeFillShade="BF"/>
      </w:tcPr>
    </w:tblStylePr>
    <w:tblStylePr w:type="band1Vert">
      <w:tblPr/>
      <w:tcPr>
        <w:shd w:val="clear" w:color="auto" w:fill="C5C2C2" w:themeFill="accent4" w:themeFillTint="7F"/>
      </w:tcPr>
    </w:tblStylePr>
    <w:tblStylePr w:type="band1Horz">
      <w:tblPr/>
      <w:tcPr>
        <w:shd w:val="clear" w:color="auto" w:fill="C5C2C2" w:themeFill="accent4" w:themeFillTint="7F"/>
      </w:tcPr>
    </w:tblStylePr>
  </w:style>
  <w:style w:type="table" w:styleId="ColourfulGridAccent5">
    <w:name w:val="Colorful Grid Accent 5"/>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D5D3D3" w:themeFill="accent5" w:themeFillTint="33"/>
    </w:tcPr>
    <w:tblStylePr w:type="firstRow">
      <w:rPr>
        <w:b/>
        <w:bCs/>
      </w:rPr>
      <w:tblPr/>
      <w:tcPr>
        <w:shd w:val="clear" w:color="auto" w:fill="ACA8A8" w:themeFill="accent5" w:themeFillTint="66"/>
      </w:tcPr>
    </w:tblStylePr>
    <w:tblStylePr w:type="lastRow">
      <w:rPr>
        <w:b/>
        <w:bCs/>
        <w:color w:val="000000" w:themeColor="text1"/>
      </w:rPr>
      <w:tblPr/>
      <w:tcPr>
        <w:shd w:val="clear" w:color="auto" w:fill="ACA8A8" w:themeFill="accent5" w:themeFillTint="66"/>
      </w:tcPr>
    </w:tblStylePr>
    <w:tblStylePr w:type="firstCol">
      <w:rPr>
        <w:color w:val="FFFFFF" w:themeColor="background1"/>
      </w:rPr>
      <w:tblPr/>
      <w:tcPr>
        <w:shd w:val="clear" w:color="auto" w:fill="201F1F" w:themeFill="accent5" w:themeFillShade="BF"/>
      </w:tcPr>
    </w:tblStylePr>
    <w:tblStylePr w:type="lastCol">
      <w:rPr>
        <w:color w:val="FFFFFF" w:themeColor="background1"/>
      </w:rPr>
      <w:tblPr/>
      <w:tcPr>
        <w:shd w:val="clear" w:color="auto" w:fill="201F1F" w:themeFill="accent5" w:themeFillShade="BF"/>
      </w:tcPr>
    </w:tblStylePr>
    <w:tblStylePr w:type="band1Vert">
      <w:tblPr/>
      <w:tcPr>
        <w:shd w:val="clear" w:color="auto" w:fill="979292" w:themeFill="accent5" w:themeFillTint="7F"/>
      </w:tcPr>
    </w:tblStylePr>
    <w:tblStylePr w:type="band1Horz">
      <w:tblPr/>
      <w:tcPr>
        <w:shd w:val="clear" w:color="auto" w:fill="979292" w:themeFill="accent5" w:themeFillTint="7F"/>
      </w:tcPr>
    </w:tblStylePr>
  </w:style>
  <w:style w:type="table" w:styleId="ColourfulGridAccent6">
    <w:name w:val="Colorful Grid Accent 6"/>
    <w:basedOn w:val="TableNormal"/>
    <w:uiPriority w:val="73"/>
    <w:semiHidden/>
    <w:unhideWhenUsed/>
    <w:locked/>
    <w:rsid w:val="00C551E1"/>
    <w:pPr>
      <w:spacing w:after="0"/>
    </w:pPr>
    <w:rPr>
      <w:color w:val="000000" w:themeColor="text1"/>
    </w:rPr>
    <w:tblPr>
      <w:tblStyleRowBandSize w:val="1"/>
      <w:tblStyleColBandSize w:val="1"/>
      <w:tblBorders>
        <w:insideH w:val="single" w:sz="4" w:space="0" w:color="FFFFFF" w:themeColor="background1"/>
      </w:tblBorders>
    </w:tblPr>
    <w:tcPr>
      <w:shd w:val="clear" w:color="auto" w:fill="F1B7C1" w:themeFill="accent6" w:themeFillTint="33"/>
    </w:tcPr>
    <w:tblStylePr w:type="firstRow">
      <w:rPr>
        <w:b/>
        <w:bCs/>
      </w:rPr>
      <w:tblPr/>
      <w:tcPr>
        <w:shd w:val="clear" w:color="auto" w:fill="E47083" w:themeFill="accent6" w:themeFillTint="66"/>
      </w:tcPr>
    </w:tblStylePr>
    <w:tblStylePr w:type="lastRow">
      <w:rPr>
        <w:b/>
        <w:bCs/>
        <w:color w:val="000000" w:themeColor="text1"/>
      </w:rPr>
      <w:tblPr/>
      <w:tcPr>
        <w:shd w:val="clear" w:color="auto" w:fill="E47083" w:themeFill="accent6" w:themeFillTint="66"/>
      </w:tcPr>
    </w:tblStylePr>
    <w:tblStylePr w:type="firstCol">
      <w:rPr>
        <w:color w:val="FFFFFF" w:themeColor="background1"/>
      </w:rPr>
      <w:tblPr/>
      <w:tcPr>
        <w:shd w:val="clear" w:color="auto" w:fill="370A11" w:themeFill="accent6" w:themeFillShade="BF"/>
      </w:tcPr>
    </w:tblStylePr>
    <w:tblStylePr w:type="lastCol">
      <w:rPr>
        <w:color w:val="FFFFFF" w:themeColor="background1"/>
      </w:rPr>
      <w:tblPr/>
      <w:tcPr>
        <w:shd w:val="clear" w:color="auto" w:fill="370A11" w:themeFill="accent6" w:themeFillShade="BF"/>
      </w:tcPr>
    </w:tblStylePr>
    <w:tblStylePr w:type="band1Vert">
      <w:tblPr/>
      <w:tcPr>
        <w:shd w:val="clear" w:color="auto" w:fill="DD4E65" w:themeFill="accent6" w:themeFillTint="7F"/>
      </w:tcPr>
    </w:tblStylePr>
    <w:tblStylePr w:type="band1Horz">
      <w:tblPr/>
      <w:tcPr>
        <w:shd w:val="clear" w:color="auto" w:fill="DD4E65" w:themeFill="accent6" w:themeFillTint="7F"/>
      </w:tcPr>
    </w:tblStylePr>
  </w:style>
  <w:style w:type="table" w:styleId="ColourfulList">
    <w:name w:val="Colorful List"/>
    <w:basedOn w:val="TableNormal"/>
    <w:uiPriority w:val="72"/>
    <w:semiHidden/>
    <w:unhideWhenUsed/>
    <w:locked/>
    <w:rsid w:val="00C551E1"/>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44653" w:themeFill="accent2" w:themeFillShade="CC"/>
      </w:tcPr>
    </w:tblStylePr>
    <w:tblStylePr w:type="lastRow">
      <w:rPr>
        <w:b/>
        <w:bCs/>
        <w:color w:val="94465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locked/>
    <w:rsid w:val="00C551E1"/>
    <w:pPr>
      <w:spacing w:after="0"/>
    </w:pPr>
    <w:rPr>
      <w:color w:val="000000" w:themeColor="text1"/>
    </w:rPr>
    <w:tblPr>
      <w:tblStyleRowBandSize w:val="1"/>
      <w:tblStyleColBandSize w:val="1"/>
    </w:tblPr>
    <w:tcPr>
      <w:shd w:val="clear" w:color="auto" w:fill="FAE3E6" w:themeFill="accent1" w:themeFillTint="19"/>
    </w:tcPr>
    <w:tblStylePr w:type="firstRow">
      <w:rPr>
        <w:b/>
        <w:bCs/>
        <w:color w:val="FFFFFF" w:themeColor="background1"/>
      </w:rPr>
      <w:tblPr/>
      <w:tcPr>
        <w:tcBorders>
          <w:bottom w:val="single" w:sz="12" w:space="0" w:color="FFFFFF" w:themeColor="background1"/>
        </w:tcBorders>
        <w:shd w:val="clear" w:color="auto" w:fill="944653" w:themeFill="accent2" w:themeFillShade="CC"/>
      </w:tcPr>
    </w:tblStylePr>
    <w:tblStylePr w:type="lastRow">
      <w:rPr>
        <w:b/>
        <w:bCs/>
        <w:color w:val="94465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8C1" w:themeFill="accent1" w:themeFillTint="3F"/>
      </w:tcPr>
    </w:tblStylePr>
    <w:tblStylePr w:type="band1Horz">
      <w:tblPr/>
      <w:tcPr>
        <w:shd w:val="clear" w:color="auto" w:fill="F4C6CD" w:themeFill="accent1" w:themeFillTint="33"/>
      </w:tcPr>
    </w:tblStylePr>
  </w:style>
  <w:style w:type="table" w:styleId="ColourfulListAccent2">
    <w:name w:val="Colorful List Accent 2"/>
    <w:basedOn w:val="TableNormal"/>
    <w:uiPriority w:val="72"/>
    <w:semiHidden/>
    <w:unhideWhenUsed/>
    <w:locked/>
    <w:rsid w:val="00C551E1"/>
    <w:pPr>
      <w:spacing w:after="0"/>
    </w:pPr>
    <w:rPr>
      <w:color w:val="000000" w:themeColor="text1"/>
    </w:rPr>
    <w:tblPr>
      <w:tblStyleRowBandSize w:val="1"/>
      <w:tblStyleColBandSize w:val="1"/>
    </w:tblPr>
    <w:tcPr>
      <w:shd w:val="clear" w:color="auto" w:fill="F7EFF0" w:themeFill="accent2" w:themeFillTint="19"/>
    </w:tcPr>
    <w:tblStylePr w:type="firstRow">
      <w:rPr>
        <w:b/>
        <w:bCs/>
        <w:color w:val="FFFFFF" w:themeColor="background1"/>
      </w:rPr>
      <w:tblPr/>
      <w:tcPr>
        <w:tcBorders>
          <w:bottom w:val="single" w:sz="12" w:space="0" w:color="FFFFFF" w:themeColor="background1"/>
        </w:tcBorders>
        <w:shd w:val="clear" w:color="auto" w:fill="944653" w:themeFill="accent2" w:themeFillShade="CC"/>
      </w:tcPr>
    </w:tblStylePr>
    <w:tblStylePr w:type="lastRow">
      <w:rPr>
        <w:b/>
        <w:bCs/>
        <w:color w:val="94465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7DA" w:themeFill="accent2" w:themeFillTint="3F"/>
      </w:tcPr>
    </w:tblStylePr>
    <w:tblStylePr w:type="band1Horz">
      <w:tblPr/>
      <w:tcPr>
        <w:shd w:val="clear" w:color="auto" w:fill="EFDEE1" w:themeFill="accent2" w:themeFillTint="33"/>
      </w:tcPr>
    </w:tblStylePr>
  </w:style>
  <w:style w:type="table" w:styleId="ColourfulListAccent3">
    <w:name w:val="Colorful List Accent 3"/>
    <w:basedOn w:val="TableNormal"/>
    <w:uiPriority w:val="72"/>
    <w:semiHidden/>
    <w:unhideWhenUsed/>
    <w:locked/>
    <w:rsid w:val="00C551E1"/>
    <w:pPr>
      <w:spacing w:after="0"/>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706A6A" w:themeFill="accent4" w:themeFillShade="CC"/>
      </w:tcPr>
    </w:tblStylePr>
    <w:tblStylePr w:type="lastRow">
      <w:rPr>
        <w:b/>
        <w:bCs/>
        <w:color w:val="706A6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9" w:themeFill="accent3" w:themeFillTint="3F"/>
      </w:tcPr>
    </w:tblStylePr>
    <w:tblStylePr w:type="band1Horz">
      <w:tblPr/>
      <w:tcPr>
        <w:shd w:val="clear" w:color="auto" w:fill="FAFAFA" w:themeFill="accent3" w:themeFillTint="33"/>
      </w:tcPr>
    </w:tblStylePr>
  </w:style>
  <w:style w:type="table" w:styleId="ColourfulListAccent4">
    <w:name w:val="Colorful List Accent 4"/>
    <w:basedOn w:val="TableNormal"/>
    <w:uiPriority w:val="72"/>
    <w:semiHidden/>
    <w:unhideWhenUsed/>
    <w:locked/>
    <w:rsid w:val="00C551E1"/>
    <w:pPr>
      <w:spacing w:after="0"/>
    </w:pPr>
    <w:rPr>
      <w:color w:val="000000" w:themeColor="text1"/>
    </w:rPr>
    <w:tblPr>
      <w:tblStyleRowBandSize w:val="1"/>
      <w:tblStyleColBandSize w:val="1"/>
    </w:tblPr>
    <w:tcPr>
      <w:shd w:val="clear" w:color="auto" w:fill="F3F3F3" w:themeFill="accent4" w:themeFillTint="19"/>
    </w:tcPr>
    <w:tblStylePr w:type="firstRow">
      <w:rPr>
        <w:b/>
        <w:bCs/>
        <w:color w:val="FFFFFF" w:themeColor="background1"/>
      </w:rPr>
      <w:tblPr/>
      <w:tcPr>
        <w:tcBorders>
          <w:bottom w:val="single" w:sz="12" w:space="0" w:color="FFFFFF" w:themeColor="background1"/>
        </w:tcBorders>
        <w:shd w:val="clear" w:color="auto" w:fill="BAB7B7" w:themeFill="accent3" w:themeFillShade="CC"/>
      </w:tcPr>
    </w:tblStylePr>
    <w:tblStylePr w:type="lastRow">
      <w:rPr>
        <w:b/>
        <w:bCs/>
        <w:color w:val="BAB7B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1E1" w:themeFill="accent4" w:themeFillTint="3F"/>
      </w:tcPr>
    </w:tblStylePr>
    <w:tblStylePr w:type="band1Horz">
      <w:tblPr/>
      <w:tcPr>
        <w:shd w:val="clear" w:color="auto" w:fill="E8E6E6" w:themeFill="accent4" w:themeFillTint="33"/>
      </w:tcPr>
    </w:tblStylePr>
  </w:style>
  <w:style w:type="table" w:styleId="ColourfulListAccent5">
    <w:name w:val="Colorful List Accent 5"/>
    <w:basedOn w:val="TableNormal"/>
    <w:uiPriority w:val="72"/>
    <w:semiHidden/>
    <w:unhideWhenUsed/>
    <w:locked/>
    <w:rsid w:val="00C551E1"/>
    <w:pPr>
      <w:spacing w:after="0"/>
    </w:pPr>
    <w:rPr>
      <w:color w:val="000000" w:themeColor="text1"/>
    </w:rPr>
    <w:tblPr>
      <w:tblStyleRowBandSize w:val="1"/>
      <w:tblStyleColBandSize w:val="1"/>
    </w:tblPr>
    <w:tcPr>
      <w:shd w:val="clear" w:color="auto" w:fill="EAE9E9" w:themeFill="accent5" w:themeFillTint="19"/>
    </w:tcPr>
    <w:tblStylePr w:type="firstRow">
      <w:rPr>
        <w:b/>
        <w:bCs/>
        <w:color w:val="FFFFFF" w:themeColor="background1"/>
      </w:rPr>
      <w:tblPr/>
      <w:tcPr>
        <w:tcBorders>
          <w:bottom w:val="single" w:sz="12" w:space="0" w:color="FFFFFF" w:themeColor="background1"/>
        </w:tcBorders>
        <w:shd w:val="clear" w:color="auto" w:fill="3B0B13" w:themeFill="accent6" w:themeFillShade="CC"/>
      </w:tcPr>
    </w:tblStylePr>
    <w:tblStylePr w:type="lastRow">
      <w:rPr>
        <w:b/>
        <w:bCs/>
        <w:color w:val="3B0B1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9C9" w:themeFill="accent5" w:themeFillTint="3F"/>
      </w:tcPr>
    </w:tblStylePr>
    <w:tblStylePr w:type="band1Horz">
      <w:tblPr/>
      <w:tcPr>
        <w:shd w:val="clear" w:color="auto" w:fill="D5D3D3" w:themeFill="accent5" w:themeFillTint="33"/>
      </w:tcPr>
    </w:tblStylePr>
  </w:style>
  <w:style w:type="table" w:styleId="ColourfulListAccent6">
    <w:name w:val="Colorful List Accent 6"/>
    <w:basedOn w:val="TableNormal"/>
    <w:uiPriority w:val="72"/>
    <w:semiHidden/>
    <w:unhideWhenUsed/>
    <w:locked/>
    <w:rsid w:val="00C551E1"/>
    <w:pPr>
      <w:spacing w:after="0"/>
    </w:pPr>
    <w:rPr>
      <w:color w:val="000000" w:themeColor="text1"/>
    </w:rPr>
    <w:tblPr>
      <w:tblStyleRowBandSize w:val="1"/>
      <w:tblStyleColBandSize w:val="1"/>
    </w:tblPr>
    <w:tcPr>
      <w:shd w:val="clear" w:color="auto" w:fill="F8DBE0" w:themeFill="accent6" w:themeFillTint="19"/>
    </w:tcPr>
    <w:tblStylePr w:type="firstRow">
      <w:rPr>
        <w:b/>
        <w:bCs/>
        <w:color w:val="FFFFFF" w:themeColor="background1"/>
      </w:rPr>
      <w:tblPr/>
      <w:tcPr>
        <w:tcBorders>
          <w:bottom w:val="single" w:sz="12" w:space="0" w:color="FFFFFF" w:themeColor="background1"/>
        </w:tcBorders>
        <w:shd w:val="clear" w:color="auto" w:fill="232121" w:themeFill="accent5" w:themeFillShade="CC"/>
      </w:tcPr>
    </w:tblStylePr>
    <w:tblStylePr w:type="lastRow">
      <w:rPr>
        <w:b/>
        <w:bCs/>
        <w:color w:val="2321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A7B2" w:themeFill="accent6" w:themeFillTint="3F"/>
      </w:tcPr>
    </w:tblStylePr>
    <w:tblStylePr w:type="band1Horz">
      <w:tblPr/>
      <w:tcPr>
        <w:shd w:val="clear" w:color="auto" w:fill="F1B7C1" w:themeFill="accent6" w:themeFillTint="33"/>
      </w:tcPr>
    </w:tblStylePr>
  </w:style>
  <w:style w:type="table" w:styleId="ColourfulShading">
    <w:name w:val="Colorful Shading"/>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B35F6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35F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B35F6D" w:themeColor="accent2"/>
        <w:left w:val="single" w:sz="4" w:space="0" w:color="931B2F" w:themeColor="accent1"/>
        <w:bottom w:val="single" w:sz="4" w:space="0" w:color="931B2F" w:themeColor="accent1"/>
        <w:right w:val="single" w:sz="4" w:space="0" w:color="931B2F" w:themeColor="accent1"/>
        <w:insideH w:val="single" w:sz="4" w:space="0" w:color="FFFFFF" w:themeColor="background1"/>
        <w:insideV w:val="single" w:sz="4" w:space="0" w:color="FFFFFF" w:themeColor="background1"/>
      </w:tblBorders>
    </w:tblPr>
    <w:tcPr>
      <w:shd w:val="clear" w:color="auto" w:fill="FAE3E6" w:themeFill="accent1" w:themeFillTint="19"/>
    </w:tcPr>
    <w:tblStylePr w:type="firstRow">
      <w:rPr>
        <w:b/>
        <w:bCs/>
      </w:rPr>
      <w:tblPr/>
      <w:tcPr>
        <w:tcBorders>
          <w:top w:val="nil"/>
          <w:left w:val="nil"/>
          <w:bottom w:val="single" w:sz="24" w:space="0" w:color="B35F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101C" w:themeFill="accent1" w:themeFillShade="99"/>
      </w:tcPr>
    </w:tblStylePr>
    <w:tblStylePr w:type="firstCol">
      <w:rPr>
        <w:color w:val="FFFFFF" w:themeColor="background1"/>
      </w:rPr>
      <w:tblPr/>
      <w:tcPr>
        <w:tcBorders>
          <w:top w:val="nil"/>
          <w:left w:val="nil"/>
          <w:bottom w:val="nil"/>
          <w:right w:val="nil"/>
          <w:insideH w:val="single" w:sz="4" w:space="0" w:color="58101C" w:themeColor="accent1" w:themeShade="99"/>
          <w:insideV w:val="nil"/>
        </w:tcBorders>
        <w:shd w:val="clear" w:color="auto" w:fill="5810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8101C" w:themeFill="accent1" w:themeFillShade="99"/>
      </w:tcPr>
    </w:tblStylePr>
    <w:tblStylePr w:type="band1Vert">
      <w:tblPr/>
      <w:tcPr>
        <w:shd w:val="clear" w:color="auto" w:fill="EA8D9C" w:themeFill="accent1" w:themeFillTint="66"/>
      </w:tcPr>
    </w:tblStylePr>
    <w:tblStylePr w:type="band1Horz">
      <w:tblPr/>
      <w:tcPr>
        <w:shd w:val="clear" w:color="auto" w:fill="E57184"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B35F6D" w:themeColor="accent2"/>
        <w:left w:val="single" w:sz="4" w:space="0" w:color="B35F6D" w:themeColor="accent2"/>
        <w:bottom w:val="single" w:sz="4" w:space="0" w:color="B35F6D" w:themeColor="accent2"/>
        <w:right w:val="single" w:sz="4" w:space="0" w:color="B35F6D" w:themeColor="accent2"/>
        <w:insideH w:val="single" w:sz="4" w:space="0" w:color="FFFFFF" w:themeColor="background1"/>
        <w:insideV w:val="single" w:sz="4" w:space="0" w:color="FFFFFF" w:themeColor="background1"/>
      </w:tblBorders>
    </w:tblPr>
    <w:tcPr>
      <w:shd w:val="clear" w:color="auto" w:fill="F7EFF0" w:themeFill="accent2" w:themeFillTint="19"/>
    </w:tcPr>
    <w:tblStylePr w:type="firstRow">
      <w:rPr>
        <w:b/>
        <w:bCs/>
      </w:rPr>
      <w:tblPr/>
      <w:tcPr>
        <w:tcBorders>
          <w:top w:val="nil"/>
          <w:left w:val="nil"/>
          <w:bottom w:val="single" w:sz="24" w:space="0" w:color="B35F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353E" w:themeFill="accent2" w:themeFillShade="99"/>
      </w:tcPr>
    </w:tblStylePr>
    <w:tblStylePr w:type="firstCol">
      <w:rPr>
        <w:color w:val="FFFFFF" w:themeColor="background1"/>
      </w:rPr>
      <w:tblPr/>
      <w:tcPr>
        <w:tcBorders>
          <w:top w:val="nil"/>
          <w:left w:val="nil"/>
          <w:bottom w:val="nil"/>
          <w:right w:val="nil"/>
          <w:insideH w:val="single" w:sz="4" w:space="0" w:color="6F353E" w:themeColor="accent2" w:themeShade="99"/>
          <w:insideV w:val="nil"/>
        </w:tcBorders>
        <w:shd w:val="clear" w:color="auto" w:fill="6F353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F353E" w:themeFill="accent2" w:themeFillShade="99"/>
      </w:tcPr>
    </w:tblStylePr>
    <w:tblStylePr w:type="band1Vert">
      <w:tblPr/>
      <w:tcPr>
        <w:shd w:val="clear" w:color="auto" w:fill="E0BEC4" w:themeFill="accent2" w:themeFillTint="66"/>
      </w:tcPr>
    </w:tblStylePr>
    <w:tblStylePr w:type="band1Horz">
      <w:tblPr/>
      <w:tcPr>
        <w:shd w:val="clear" w:color="auto" w:fill="D9AFB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8C8686" w:themeColor="accent4"/>
        <w:left w:val="single" w:sz="4" w:space="0" w:color="E8E7E7" w:themeColor="accent3"/>
        <w:bottom w:val="single" w:sz="4" w:space="0" w:color="E8E7E7" w:themeColor="accent3"/>
        <w:right w:val="single" w:sz="4" w:space="0" w:color="E8E7E7"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8C868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8888" w:themeFill="accent3" w:themeFillShade="99"/>
      </w:tcPr>
    </w:tblStylePr>
    <w:tblStylePr w:type="firstCol">
      <w:rPr>
        <w:color w:val="FFFFFF" w:themeColor="background1"/>
      </w:rPr>
      <w:tblPr/>
      <w:tcPr>
        <w:tcBorders>
          <w:top w:val="nil"/>
          <w:left w:val="nil"/>
          <w:bottom w:val="nil"/>
          <w:right w:val="nil"/>
          <w:insideH w:val="single" w:sz="4" w:space="0" w:color="8D8888" w:themeColor="accent3" w:themeShade="99"/>
          <w:insideV w:val="nil"/>
        </w:tcBorders>
        <w:shd w:val="clear" w:color="auto" w:fill="8D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D8888" w:themeFill="accent3" w:themeFillShade="99"/>
      </w:tcPr>
    </w:tblStylePr>
    <w:tblStylePr w:type="band1Vert">
      <w:tblPr/>
      <w:tcPr>
        <w:shd w:val="clear" w:color="auto" w:fill="F5F5F5" w:themeFill="accent3" w:themeFillTint="66"/>
      </w:tcPr>
    </w:tblStylePr>
    <w:tblStylePr w:type="band1Horz">
      <w:tblPr/>
      <w:tcPr>
        <w:shd w:val="clear" w:color="auto" w:fill="F3F2F2" w:themeFill="accent3" w:themeFillTint="7F"/>
      </w:tcPr>
    </w:tblStylePr>
  </w:style>
  <w:style w:type="table" w:styleId="ColourfulShadingAccent4">
    <w:name w:val="Colorful Shading Accent 4"/>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E8E7E7" w:themeColor="accent3"/>
        <w:left w:val="single" w:sz="4" w:space="0" w:color="8C8686" w:themeColor="accent4"/>
        <w:bottom w:val="single" w:sz="4" w:space="0" w:color="8C8686" w:themeColor="accent4"/>
        <w:right w:val="single" w:sz="4" w:space="0" w:color="8C8686" w:themeColor="accent4"/>
        <w:insideH w:val="single" w:sz="4" w:space="0" w:color="FFFFFF" w:themeColor="background1"/>
        <w:insideV w:val="single" w:sz="4" w:space="0" w:color="FFFFFF" w:themeColor="background1"/>
      </w:tblBorders>
    </w:tblPr>
    <w:tcPr>
      <w:shd w:val="clear" w:color="auto" w:fill="F3F3F3" w:themeFill="accent4" w:themeFillTint="19"/>
    </w:tcPr>
    <w:tblStylePr w:type="firstRow">
      <w:rPr>
        <w:b/>
        <w:bCs/>
      </w:rPr>
      <w:tblPr/>
      <w:tcPr>
        <w:tcBorders>
          <w:top w:val="nil"/>
          <w:left w:val="nil"/>
          <w:bottom w:val="single" w:sz="24" w:space="0" w:color="E8E7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5050" w:themeFill="accent4" w:themeFillShade="99"/>
      </w:tcPr>
    </w:tblStylePr>
    <w:tblStylePr w:type="firstCol">
      <w:rPr>
        <w:color w:val="FFFFFF" w:themeColor="background1"/>
      </w:rPr>
      <w:tblPr/>
      <w:tcPr>
        <w:tcBorders>
          <w:top w:val="nil"/>
          <w:left w:val="nil"/>
          <w:bottom w:val="nil"/>
          <w:right w:val="nil"/>
          <w:insideH w:val="single" w:sz="4" w:space="0" w:color="545050" w:themeColor="accent4" w:themeShade="99"/>
          <w:insideV w:val="nil"/>
        </w:tcBorders>
        <w:shd w:val="clear" w:color="auto" w:fill="5450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5050" w:themeFill="accent4" w:themeFillShade="99"/>
      </w:tcPr>
    </w:tblStylePr>
    <w:tblStylePr w:type="band1Vert">
      <w:tblPr/>
      <w:tcPr>
        <w:shd w:val="clear" w:color="auto" w:fill="D1CECE" w:themeFill="accent4" w:themeFillTint="66"/>
      </w:tcPr>
    </w:tblStylePr>
    <w:tblStylePr w:type="band1Horz">
      <w:tblPr/>
      <w:tcPr>
        <w:shd w:val="clear" w:color="auto" w:fill="C5C2C2"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4A0E18" w:themeColor="accent6"/>
        <w:left w:val="single" w:sz="4" w:space="0" w:color="2C2A2A" w:themeColor="accent5"/>
        <w:bottom w:val="single" w:sz="4" w:space="0" w:color="2C2A2A" w:themeColor="accent5"/>
        <w:right w:val="single" w:sz="4" w:space="0" w:color="2C2A2A" w:themeColor="accent5"/>
        <w:insideH w:val="single" w:sz="4" w:space="0" w:color="FFFFFF" w:themeColor="background1"/>
        <w:insideV w:val="single" w:sz="4" w:space="0" w:color="FFFFFF" w:themeColor="background1"/>
      </w:tblBorders>
    </w:tblPr>
    <w:tcPr>
      <w:shd w:val="clear" w:color="auto" w:fill="EAE9E9" w:themeFill="accent5" w:themeFillTint="19"/>
    </w:tcPr>
    <w:tblStylePr w:type="firstRow">
      <w:rPr>
        <w:b/>
        <w:bCs/>
      </w:rPr>
      <w:tblPr/>
      <w:tcPr>
        <w:tcBorders>
          <w:top w:val="nil"/>
          <w:left w:val="nil"/>
          <w:bottom w:val="single" w:sz="24" w:space="0" w:color="4A0E1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9" w:themeFill="accent5" w:themeFillShade="99"/>
      </w:tcPr>
    </w:tblStylePr>
    <w:tblStylePr w:type="firstCol">
      <w:rPr>
        <w:color w:val="FFFFFF" w:themeColor="background1"/>
      </w:rPr>
      <w:tblPr/>
      <w:tcPr>
        <w:tcBorders>
          <w:top w:val="nil"/>
          <w:left w:val="nil"/>
          <w:bottom w:val="nil"/>
          <w:right w:val="nil"/>
          <w:insideH w:val="single" w:sz="4" w:space="0" w:color="1A1919" w:themeColor="accent5" w:themeShade="99"/>
          <w:insideV w:val="nil"/>
        </w:tcBorders>
        <w:shd w:val="clear" w:color="auto" w:fill="1A19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accent5" w:themeFillShade="99"/>
      </w:tcPr>
    </w:tblStylePr>
    <w:tblStylePr w:type="band1Vert">
      <w:tblPr/>
      <w:tcPr>
        <w:shd w:val="clear" w:color="auto" w:fill="ACA8A8" w:themeFill="accent5" w:themeFillTint="66"/>
      </w:tcPr>
    </w:tblStylePr>
    <w:tblStylePr w:type="band1Horz">
      <w:tblPr/>
      <w:tcPr>
        <w:shd w:val="clear" w:color="auto" w:fill="97929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locked/>
    <w:rsid w:val="00C551E1"/>
    <w:pPr>
      <w:spacing w:after="0"/>
    </w:pPr>
    <w:rPr>
      <w:color w:val="000000" w:themeColor="text1"/>
    </w:rPr>
    <w:tblPr>
      <w:tblStyleRowBandSize w:val="1"/>
      <w:tblStyleColBandSize w:val="1"/>
      <w:tblBorders>
        <w:top w:val="single" w:sz="24" w:space="0" w:color="2C2A2A" w:themeColor="accent5"/>
        <w:left w:val="single" w:sz="4" w:space="0" w:color="4A0E18" w:themeColor="accent6"/>
        <w:bottom w:val="single" w:sz="4" w:space="0" w:color="4A0E18" w:themeColor="accent6"/>
        <w:right w:val="single" w:sz="4" w:space="0" w:color="4A0E18" w:themeColor="accent6"/>
        <w:insideH w:val="single" w:sz="4" w:space="0" w:color="FFFFFF" w:themeColor="background1"/>
        <w:insideV w:val="single" w:sz="4" w:space="0" w:color="FFFFFF" w:themeColor="background1"/>
      </w:tblBorders>
    </w:tblPr>
    <w:tcPr>
      <w:shd w:val="clear" w:color="auto" w:fill="F8DBE0" w:themeFill="accent6" w:themeFillTint="19"/>
    </w:tcPr>
    <w:tblStylePr w:type="firstRow">
      <w:rPr>
        <w:b/>
        <w:bCs/>
      </w:rPr>
      <w:tblPr/>
      <w:tcPr>
        <w:tcBorders>
          <w:top w:val="nil"/>
          <w:left w:val="nil"/>
          <w:bottom w:val="single" w:sz="24" w:space="0" w:color="2C2A2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080E" w:themeFill="accent6" w:themeFillShade="99"/>
      </w:tcPr>
    </w:tblStylePr>
    <w:tblStylePr w:type="firstCol">
      <w:rPr>
        <w:color w:val="FFFFFF" w:themeColor="background1"/>
      </w:rPr>
      <w:tblPr/>
      <w:tcPr>
        <w:tcBorders>
          <w:top w:val="nil"/>
          <w:left w:val="nil"/>
          <w:bottom w:val="nil"/>
          <w:right w:val="nil"/>
          <w:insideH w:val="single" w:sz="4" w:space="0" w:color="2C080E" w:themeColor="accent6" w:themeShade="99"/>
          <w:insideV w:val="nil"/>
        </w:tcBorders>
        <w:shd w:val="clear" w:color="auto" w:fill="2C08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C080E" w:themeFill="accent6" w:themeFillShade="99"/>
      </w:tcPr>
    </w:tblStylePr>
    <w:tblStylePr w:type="band1Vert">
      <w:tblPr/>
      <w:tcPr>
        <w:shd w:val="clear" w:color="auto" w:fill="E47083" w:themeFill="accent6" w:themeFillTint="66"/>
      </w:tcPr>
    </w:tblStylePr>
    <w:tblStylePr w:type="band1Horz">
      <w:tblPr/>
      <w:tcPr>
        <w:shd w:val="clear" w:color="auto" w:fill="DD4E65"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93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0D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D14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D1423" w:themeFill="accent1" w:themeFillShade="BF"/>
      </w:tcPr>
    </w:tblStylePr>
    <w:tblStylePr w:type="band1Vert">
      <w:tblPr/>
      <w:tcPr>
        <w:tcBorders>
          <w:top w:val="nil"/>
          <w:left w:val="nil"/>
          <w:bottom w:val="nil"/>
          <w:right w:val="nil"/>
          <w:insideH w:val="nil"/>
          <w:insideV w:val="nil"/>
        </w:tcBorders>
        <w:shd w:val="clear" w:color="auto" w:fill="6D1423" w:themeFill="accent1" w:themeFillShade="BF"/>
      </w:tcPr>
    </w:tblStylePr>
    <w:tblStylePr w:type="band1Horz">
      <w:tblPr/>
      <w:tcPr>
        <w:tcBorders>
          <w:top w:val="nil"/>
          <w:left w:val="nil"/>
          <w:bottom w:val="nil"/>
          <w:right w:val="nil"/>
          <w:insideH w:val="nil"/>
          <w:insideV w:val="nil"/>
        </w:tcBorders>
        <w:shd w:val="clear" w:color="auto" w:fill="6D1423" w:themeFill="accent1" w:themeFillShade="BF"/>
      </w:tcPr>
    </w:tblStylePr>
  </w:style>
  <w:style w:type="table" w:styleId="DarkList-Accent2">
    <w:name w:val="Dark List Accent 2"/>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B35F6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2C3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A424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A424E" w:themeFill="accent2" w:themeFillShade="BF"/>
      </w:tcPr>
    </w:tblStylePr>
    <w:tblStylePr w:type="band1Vert">
      <w:tblPr/>
      <w:tcPr>
        <w:tcBorders>
          <w:top w:val="nil"/>
          <w:left w:val="nil"/>
          <w:bottom w:val="nil"/>
          <w:right w:val="nil"/>
          <w:insideH w:val="nil"/>
          <w:insideV w:val="nil"/>
        </w:tcBorders>
        <w:shd w:val="clear" w:color="auto" w:fill="8A424E" w:themeFill="accent2" w:themeFillShade="BF"/>
      </w:tcPr>
    </w:tblStylePr>
    <w:tblStylePr w:type="band1Horz">
      <w:tblPr/>
      <w:tcPr>
        <w:tcBorders>
          <w:top w:val="nil"/>
          <w:left w:val="nil"/>
          <w:bottom w:val="nil"/>
          <w:right w:val="nil"/>
          <w:insideH w:val="nil"/>
          <w:insideV w:val="nil"/>
        </w:tcBorders>
        <w:shd w:val="clear" w:color="auto" w:fill="8A424E" w:themeFill="accent2" w:themeFillShade="BF"/>
      </w:tcPr>
    </w:tblStylePr>
  </w:style>
  <w:style w:type="table" w:styleId="DarkList-Accent3">
    <w:name w:val="Dark List Accent 3"/>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E8E7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707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FABA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FABAB" w:themeFill="accent3" w:themeFillShade="BF"/>
      </w:tcPr>
    </w:tblStylePr>
    <w:tblStylePr w:type="band1Vert">
      <w:tblPr/>
      <w:tcPr>
        <w:tcBorders>
          <w:top w:val="nil"/>
          <w:left w:val="nil"/>
          <w:bottom w:val="nil"/>
          <w:right w:val="nil"/>
          <w:insideH w:val="nil"/>
          <w:insideV w:val="nil"/>
        </w:tcBorders>
        <w:shd w:val="clear" w:color="auto" w:fill="AFABAB" w:themeFill="accent3" w:themeFillShade="BF"/>
      </w:tcPr>
    </w:tblStylePr>
    <w:tblStylePr w:type="band1Horz">
      <w:tblPr/>
      <w:tcPr>
        <w:tcBorders>
          <w:top w:val="nil"/>
          <w:left w:val="nil"/>
          <w:bottom w:val="nil"/>
          <w:right w:val="nil"/>
          <w:insideH w:val="nil"/>
          <w:insideV w:val="nil"/>
        </w:tcBorders>
        <w:shd w:val="clear" w:color="auto" w:fill="AFABAB" w:themeFill="accent3" w:themeFillShade="BF"/>
      </w:tcPr>
    </w:tblStylePr>
  </w:style>
  <w:style w:type="table" w:styleId="DarkList-Accent4">
    <w:name w:val="Dark List Accent 4"/>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8C868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42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964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96464" w:themeFill="accent4" w:themeFillShade="BF"/>
      </w:tcPr>
    </w:tblStylePr>
    <w:tblStylePr w:type="band1Vert">
      <w:tblPr/>
      <w:tcPr>
        <w:tcBorders>
          <w:top w:val="nil"/>
          <w:left w:val="nil"/>
          <w:bottom w:val="nil"/>
          <w:right w:val="nil"/>
          <w:insideH w:val="nil"/>
          <w:insideV w:val="nil"/>
        </w:tcBorders>
        <w:shd w:val="clear" w:color="auto" w:fill="696464" w:themeFill="accent4" w:themeFillShade="BF"/>
      </w:tcPr>
    </w:tblStylePr>
    <w:tblStylePr w:type="band1Horz">
      <w:tblPr/>
      <w:tcPr>
        <w:tcBorders>
          <w:top w:val="nil"/>
          <w:left w:val="nil"/>
          <w:bottom w:val="nil"/>
          <w:right w:val="nil"/>
          <w:insideH w:val="nil"/>
          <w:insideV w:val="nil"/>
        </w:tcBorders>
        <w:shd w:val="clear" w:color="auto" w:fill="696464" w:themeFill="accent4" w:themeFillShade="BF"/>
      </w:tcPr>
    </w:tblStylePr>
  </w:style>
  <w:style w:type="table" w:styleId="DarkList-Accent5">
    <w:name w:val="Dark List Accent 5"/>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2C2A2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1F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1F1F" w:themeFill="accent5" w:themeFillShade="BF"/>
      </w:tcPr>
    </w:tblStylePr>
    <w:tblStylePr w:type="band1Vert">
      <w:tblPr/>
      <w:tcPr>
        <w:tcBorders>
          <w:top w:val="nil"/>
          <w:left w:val="nil"/>
          <w:bottom w:val="nil"/>
          <w:right w:val="nil"/>
          <w:insideH w:val="nil"/>
          <w:insideV w:val="nil"/>
        </w:tcBorders>
        <w:shd w:val="clear" w:color="auto" w:fill="201F1F" w:themeFill="accent5" w:themeFillShade="BF"/>
      </w:tcPr>
    </w:tblStylePr>
    <w:tblStylePr w:type="band1Horz">
      <w:tblPr/>
      <w:tcPr>
        <w:tcBorders>
          <w:top w:val="nil"/>
          <w:left w:val="nil"/>
          <w:bottom w:val="nil"/>
          <w:right w:val="nil"/>
          <w:insideH w:val="nil"/>
          <w:insideV w:val="nil"/>
        </w:tcBorders>
        <w:shd w:val="clear" w:color="auto" w:fill="201F1F" w:themeFill="accent5" w:themeFillShade="BF"/>
      </w:tcPr>
    </w:tblStylePr>
  </w:style>
  <w:style w:type="table" w:styleId="DarkList-Accent6">
    <w:name w:val="Dark List Accent 6"/>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4A0E1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07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70A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70A11" w:themeFill="accent6" w:themeFillShade="BF"/>
      </w:tcPr>
    </w:tblStylePr>
    <w:tblStylePr w:type="band1Vert">
      <w:tblPr/>
      <w:tcPr>
        <w:tcBorders>
          <w:top w:val="nil"/>
          <w:left w:val="nil"/>
          <w:bottom w:val="nil"/>
          <w:right w:val="nil"/>
          <w:insideH w:val="nil"/>
          <w:insideV w:val="nil"/>
        </w:tcBorders>
        <w:shd w:val="clear" w:color="auto" w:fill="370A11" w:themeFill="accent6" w:themeFillShade="BF"/>
      </w:tcPr>
    </w:tblStylePr>
    <w:tblStylePr w:type="band1Horz">
      <w:tblPr/>
      <w:tcPr>
        <w:tcBorders>
          <w:top w:val="nil"/>
          <w:left w:val="nil"/>
          <w:bottom w:val="nil"/>
          <w:right w:val="nil"/>
          <w:insideH w:val="nil"/>
          <w:insideV w:val="nil"/>
        </w:tcBorders>
        <w:shd w:val="clear" w:color="auto" w:fill="370A11" w:themeFill="accent6" w:themeFillShade="BF"/>
      </w:tcPr>
    </w:tblStylePr>
  </w:style>
  <w:style w:type="table" w:customStyle="1" w:styleId="GridTable1Light1">
    <w:name w:val="Grid Table 1 Light1"/>
    <w:basedOn w:val="TableNormal"/>
    <w:uiPriority w:val="46"/>
    <w:semiHidden/>
    <w:rsid w:val="00C551E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C551E1"/>
    <w:pPr>
      <w:spacing w:after="0"/>
    </w:pPr>
    <w:tblPr>
      <w:tblStyleRowBandSize w:val="1"/>
      <w:tblStyleColBandSize w:val="1"/>
      <w:tblBorders>
        <w:top w:val="single" w:sz="4" w:space="0" w:color="EA8D9C" w:themeColor="accent1" w:themeTint="66"/>
        <w:left w:val="single" w:sz="4" w:space="0" w:color="EA8D9C" w:themeColor="accent1" w:themeTint="66"/>
        <w:bottom w:val="single" w:sz="4" w:space="0" w:color="EA8D9C" w:themeColor="accent1" w:themeTint="66"/>
        <w:right w:val="single" w:sz="4" w:space="0" w:color="EA8D9C" w:themeColor="accent1" w:themeTint="66"/>
        <w:insideH w:val="single" w:sz="4" w:space="0" w:color="EA8D9C" w:themeColor="accent1" w:themeTint="66"/>
        <w:insideV w:val="single" w:sz="4" w:space="0" w:color="EA8D9C" w:themeColor="accent1" w:themeTint="66"/>
      </w:tblBorders>
    </w:tblPr>
    <w:tblStylePr w:type="firstRow">
      <w:rPr>
        <w:b/>
        <w:bCs/>
      </w:rPr>
      <w:tblPr/>
      <w:tcPr>
        <w:tcBorders>
          <w:bottom w:val="single" w:sz="12" w:space="0" w:color="DF546B" w:themeColor="accent1" w:themeTint="99"/>
        </w:tcBorders>
      </w:tcPr>
    </w:tblStylePr>
    <w:tblStylePr w:type="lastRow">
      <w:rPr>
        <w:b/>
        <w:bCs/>
      </w:rPr>
      <w:tblPr/>
      <w:tcPr>
        <w:tcBorders>
          <w:top w:val="double" w:sz="2" w:space="0" w:color="DF546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C551E1"/>
    <w:pPr>
      <w:spacing w:after="0"/>
    </w:pPr>
    <w:tblPr>
      <w:tblStyleRowBandSize w:val="1"/>
      <w:tblStyleColBandSize w:val="1"/>
      <w:tblBorders>
        <w:top w:val="single" w:sz="4" w:space="0" w:color="E0BEC4" w:themeColor="accent2" w:themeTint="66"/>
        <w:left w:val="single" w:sz="4" w:space="0" w:color="E0BEC4" w:themeColor="accent2" w:themeTint="66"/>
        <w:bottom w:val="single" w:sz="4" w:space="0" w:color="E0BEC4" w:themeColor="accent2" w:themeTint="66"/>
        <w:right w:val="single" w:sz="4" w:space="0" w:color="E0BEC4" w:themeColor="accent2" w:themeTint="66"/>
        <w:insideH w:val="single" w:sz="4" w:space="0" w:color="E0BEC4" w:themeColor="accent2" w:themeTint="66"/>
        <w:insideV w:val="single" w:sz="4" w:space="0" w:color="E0BEC4" w:themeColor="accent2" w:themeTint="66"/>
      </w:tblBorders>
    </w:tblPr>
    <w:tblStylePr w:type="firstRow">
      <w:rPr>
        <w:b/>
        <w:bCs/>
      </w:rPr>
      <w:tblPr/>
      <w:tcPr>
        <w:tcBorders>
          <w:bottom w:val="single" w:sz="12" w:space="0" w:color="D19EA7" w:themeColor="accent2" w:themeTint="99"/>
        </w:tcBorders>
      </w:tcPr>
    </w:tblStylePr>
    <w:tblStylePr w:type="lastRow">
      <w:rPr>
        <w:b/>
        <w:bCs/>
      </w:rPr>
      <w:tblPr/>
      <w:tcPr>
        <w:tcBorders>
          <w:top w:val="double" w:sz="2" w:space="0" w:color="D19EA7"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C551E1"/>
    <w:pPr>
      <w:spacing w:after="0"/>
    </w:pPr>
    <w:tblPr>
      <w:tblStyleRowBandSize w:val="1"/>
      <w:tblStyleColBandSize w:val="1"/>
      <w:tblBorders>
        <w:top w:val="single" w:sz="4" w:space="0" w:color="F5F5F5" w:themeColor="accent3" w:themeTint="66"/>
        <w:left w:val="single" w:sz="4" w:space="0" w:color="F5F5F5" w:themeColor="accent3" w:themeTint="66"/>
        <w:bottom w:val="single" w:sz="4" w:space="0" w:color="F5F5F5" w:themeColor="accent3" w:themeTint="66"/>
        <w:right w:val="single" w:sz="4" w:space="0" w:color="F5F5F5" w:themeColor="accent3" w:themeTint="66"/>
        <w:insideH w:val="single" w:sz="4" w:space="0" w:color="F5F5F5" w:themeColor="accent3" w:themeTint="66"/>
        <w:insideV w:val="single" w:sz="4" w:space="0" w:color="F5F5F5" w:themeColor="accent3" w:themeTint="66"/>
      </w:tblBorders>
    </w:tblPr>
    <w:tblStylePr w:type="firstRow">
      <w:rPr>
        <w:b/>
        <w:bCs/>
      </w:rPr>
      <w:tblPr/>
      <w:tcPr>
        <w:tcBorders>
          <w:bottom w:val="single" w:sz="12" w:space="0" w:color="F1F0F0" w:themeColor="accent3" w:themeTint="99"/>
        </w:tcBorders>
      </w:tcPr>
    </w:tblStylePr>
    <w:tblStylePr w:type="lastRow">
      <w:rPr>
        <w:b/>
        <w:bCs/>
      </w:rPr>
      <w:tblPr/>
      <w:tcPr>
        <w:tcBorders>
          <w:top w:val="double" w:sz="2" w:space="0" w:color="F1F0F0"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C551E1"/>
    <w:pPr>
      <w:spacing w:after="0"/>
    </w:pPr>
    <w:tblPr>
      <w:tblStyleRowBandSize w:val="1"/>
      <w:tblStyleColBandSize w:val="1"/>
      <w:tblBorders>
        <w:top w:val="single" w:sz="4" w:space="0" w:color="D1CECE" w:themeColor="accent4" w:themeTint="66"/>
        <w:left w:val="single" w:sz="4" w:space="0" w:color="D1CECE" w:themeColor="accent4" w:themeTint="66"/>
        <w:bottom w:val="single" w:sz="4" w:space="0" w:color="D1CECE" w:themeColor="accent4" w:themeTint="66"/>
        <w:right w:val="single" w:sz="4" w:space="0" w:color="D1CECE" w:themeColor="accent4" w:themeTint="66"/>
        <w:insideH w:val="single" w:sz="4" w:space="0" w:color="D1CECE" w:themeColor="accent4" w:themeTint="66"/>
        <w:insideV w:val="single" w:sz="4" w:space="0" w:color="D1CECE" w:themeColor="accent4" w:themeTint="66"/>
      </w:tblBorders>
    </w:tblPr>
    <w:tblStylePr w:type="firstRow">
      <w:rPr>
        <w:b/>
        <w:bCs/>
      </w:rPr>
      <w:tblPr/>
      <w:tcPr>
        <w:tcBorders>
          <w:bottom w:val="single" w:sz="12" w:space="0" w:color="BAB6B6" w:themeColor="accent4" w:themeTint="99"/>
        </w:tcBorders>
      </w:tcPr>
    </w:tblStylePr>
    <w:tblStylePr w:type="lastRow">
      <w:rPr>
        <w:b/>
        <w:bCs/>
      </w:rPr>
      <w:tblPr/>
      <w:tcPr>
        <w:tcBorders>
          <w:top w:val="double" w:sz="2" w:space="0" w:color="BAB6B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C551E1"/>
    <w:pPr>
      <w:spacing w:after="0"/>
    </w:pPr>
    <w:tblPr>
      <w:tblStyleRowBandSize w:val="1"/>
      <w:tblStyleColBandSize w:val="1"/>
      <w:tblBorders>
        <w:top w:val="single" w:sz="4" w:space="0" w:color="ACA8A8" w:themeColor="accent5" w:themeTint="66"/>
        <w:left w:val="single" w:sz="4" w:space="0" w:color="ACA8A8" w:themeColor="accent5" w:themeTint="66"/>
        <w:bottom w:val="single" w:sz="4" w:space="0" w:color="ACA8A8" w:themeColor="accent5" w:themeTint="66"/>
        <w:right w:val="single" w:sz="4" w:space="0" w:color="ACA8A8" w:themeColor="accent5" w:themeTint="66"/>
        <w:insideH w:val="single" w:sz="4" w:space="0" w:color="ACA8A8" w:themeColor="accent5" w:themeTint="66"/>
        <w:insideV w:val="single" w:sz="4" w:space="0" w:color="ACA8A8" w:themeColor="accent5" w:themeTint="66"/>
      </w:tblBorders>
    </w:tblPr>
    <w:tblStylePr w:type="firstRow">
      <w:rPr>
        <w:b/>
        <w:bCs/>
      </w:rPr>
      <w:tblPr/>
      <w:tcPr>
        <w:tcBorders>
          <w:bottom w:val="single" w:sz="12" w:space="0" w:color="827C7C" w:themeColor="accent5" w:themeTint="99"/>
        </w:tcBorders>
      </w:tcPr>
    </w:tblStylePr>
    <w:tblStylePr w:type="lastRow">
      <w:rPr>
        <w:b/>
        <w:bCs/>
      </w:rPr>
      <w:tblPr/>
      <w:tcPr>
        <w:tcBorders>
          <w:top w:val="double" w:sz="2" w:space="0" w:color="827C7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C551E1"/>
    <w:pPr>
      <w:spacing w:after="0"/>
    </w:pPr>
    <w:tblPr>
      <w:tblStyleRowBandSize w:val="1"/>
      <w:tblStyleColBandSize w:val="1"/>
      <w:tblBorders>
        <w:top w:val="single" w:sz="4" w:space="0" w:color="E47083" w:themeColor="accent6" w:themeTint="66"/>
        <w:left w:val="single" w:sz="4" w:space="0" w:color="E47083" w:themeColor="accent6" w:themeTint="66"/>
        <w:bottom w:val="single" w:sz="4" w:space="0" w:color="E47083" w:themeColor="accent6" w:themeTint="66"/>
        <w:right w:val="single" w:sz="4" w:space="0" w:color="E47083" w:themeColor="accent6" w:themeTint="66"/>
        <w:insideH w:val="single" w:sz="4" w:space="0" w:color="E47083" w:themeColor="accent6" w:themeTint="66"/>
        <w:insideV w:val="single" w:sz="4" w:space="0" w:color="E47083" w:themeColor="accent6" w:themeTint="66"/>
      </w:tblBorders>
    </w:tblPr>
    <w:tblStylePr w:type="firstRow">
      <w:rPr>
        <w:b/>
        <w:bCs/>
      </w:rPr>
      <w:tblPr/>
      <w:tcPr>
        <w:tcBorders>
          <w:bottom w:val="single" w:sz="12" w:space="0" w:color="D62946" w:themeColor="accent6" w:themeTint="99"/>
        </w:tcBorders>
      </w:tcPr>
    </w:tblStylePr>
    <w:tblStylePr w:type="lastRow">
      <w:rPr>
        <w:b/>
        <w:bCs/>
      </w:rPr>
      <w:tblPr/>
      <w:tcPr>
        <w:tcBorders>
          <w:top w:val="double" w:sz="2" w:space="0" w:color="D62946"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C551E1"/>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C551E1"/>
    <w:pPr>
      <w:spacing w:after="0"/>
    </w:pPr>
    <w:tblPr>
      <w:tblStyleRowBandSize w:val="1"/>
      <w:tblStyleColBandSize w:val="1"/>
      <w:tblBorders>
        <w:top w:val="single" w:sz="2" w:space="0" w:color="DF546B" w:themeColor="accent1" w:themeTint="99"/>
        <w:bottom w:val="single" w:sz="2" w:space="0" w:color="DF546B" w:themeColor="accent1" w:themeTint="99"/>
        <w:insideH w:val="single" w:sz="2" w:space="0" w:color="DF546B" w:themeColor="accent1" w:themeTint="99"/>
        <w:insideV w:val="single" w:sz="2" w:space="0" w:color="DF546B" w:themeColor="accent1" w:themeTint="99"/>
      </w:tblBorders>
    </w:tblPr>
    <w:tblStylePr w:type="firstRow">
      <w:rPr>
        <w:b/>
        <w:bCs/>
      </w:rPr>
      <w:tblPr/>
      <w:tcPr>
        <w:tcBorders>
          <w:top w:val="nil"/>
          <w:bottom w:val="single" w:sz="12" w:space="0" w:color="DF546B" w:themeColor="accent1" w:themeTint="99"/>
          <w:insideH w:val="nil"/>
          <w:insideV w:val="nil"/>
        </w:tcBorders>
        <w:shd w:val="clear" w:color="auto" w:fill="FFFFFF" w:themeFill="background1"/>
      </w:tcPr>
    </w:tblStylePr>
    <w:tblStylePr w:type="lastRow">
      <w:rPr>
        <w:b/>
        <w:bCs/>
      </w:rPr>
      <w:tblPr/>
      <w:tcPr>
        <w:tcBorders>
          <w:top w:val="double" w:sz="2" w:space="0" w:color="DF54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GridTable2-Accent21">
    <w:name w:val="Grid Table 2 - Accent 21"/>
    <w:basedOn w:val="TableNormal"/>
    <w:uiPriority w:val="47"/>
    <w:semiHidden/>
    <w:rsid w:val="00C551E1"/>
    <w:pPr>
      <w:spacing w:after="0"/>
    </w:pPr>
    <w:tblPr>
      <w:tblStyleRowBandSize w:val="1"/>
      <w:tblStyleColBandSize w:val="1"/>
      <w:tblBorders>
        <w:top w:val="single" w:sz="2" w:space="0" w:color="D19EA7" w:themeColor="accent2" w:themeTint="99"/>
        <w:bottom w:val="single" w:sz="2" w:space="0" w:color="D19EA7" w:themeColor="accent2" w:themeTint="99"/>
        <w:insideH w:val="single" w:sz="2" w:space="0" w:color="D19EA7" w:themeColor="accent2" w:themeTint="99"/>
        <w:insideV w:val="single" w:sz="2" w:space="0" w:color="D19EA7" w:themeColor="accent2" w:themeTint="99"/>
      </w:tblBorders>
    </w:tblPr>
    <w:tblStylePr w:type="firstRow">
      <w:rPr>
        <w:b/>
        <w:bCs/>
      </w:rPr>
      <w:tblPr/>
      <w:tcPr>
        <w:tcBorders>
          <w:top w:val="nil"/>
          <w:bottom w:val="single" w:sz="12" w:space="0" w:color="D19EA7" w:themeColor="accent2" w:themeTint="99"/>
          <w:insideH w:val="nil"/>
          <w:insideV w:val="nil"/>
        </w:tcBorders>
        <w:shd w:val="clear" w:color="auto" w:fill="FFFFFF" w:themeFill="background1"/>
      </w:tcPr>
    </w:tblStylePr>
    <w:tblStylePr w:type="lastRow">
      <w:rPr>
        <w:b/>
        <w:bCs/>
      </w:rPr>
      <w:tblPr/>
      <w:tcPr>
        <w:tcBorders>
          <w:top w:val="double" w:sz="2" w:space="0" w:color="D19E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GridTable2-Accent31">
    <w:name w:val="Grid Table 2 - Accent 31"/>
    <w:basedOn w:val="TableNormal"/>
    <w:uiPriority w:val="47"/>
    <w:semiHidden/>
    <w:rsid w:val="00C551E1"/>
    <w:pPr>
      <w:spacing w:after="0"/>
    </w:pPr>
    <w:tblPr>
      <w:tblStyleRowBandSize w:val="1"/>
      <w:tblStyleColBandSize w:val="1"/>
      <w:tblBorders>
        <w:top w:val="single" w:sz="2" w:space="0" w:color="F1F0F0" w:themeColor="accent3" w:themeTint="99"/>
        <w:bottom w:val="single" w:sz="2" w:space="0" w:color="F1F0F0" w:themeColor="accent3" w:themeTint="99"/>
        <w:insideH w:val="single" w:sz="2" w:space="0" w:color="F1F0F0" w:themeColor="accent3" w:themeTint="99"/>
        <w:insideV w:val="single" w:sz="2" w:space="0" w:color="F1F0F0" w:themeColor="accent3" w:themeTint="99"/>
      </w:tblBorders>
    </w:tblPr>
    <w:tblStylePr w:type="firstRow">
      <w:rPr>
        <w:b/>
        <w:bCs/>
      </w:rPr>
      <w:tblPr/>
      <w:tcPr>
        <w:tcBorders>
          <w:top w:val="nil"/>
          <w:bottom w:val="single" w:sz="12" w:space="0" w:color="F1F0F0" w:themeColor="accent3" w:themeTint="99"/>
          <w:insideH w:val="nil"/>
          <w:insideV w:val="nil"/>
        </w:tcBorders>
        <w:shd w:val="clear" w:color="auto" w:fill="FFFFFF" w:themeFill="background1"/>
      </w:tcPr>
    </w:tblStylePr>
    <w:tblStylePr w:type="lastRow">
      <w:rPr>
        <w:b/>
        <w:bCs/>
      </w:rPr>
      <w:tblPr/>
      <w:tcPr>
        <w:tcBorders>
          <w:top w:val="double" w:sz="2" w:space="0" w:color="F1F0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GridTable2-Accent41">
    <w:name w:val="Grid Table 2 - Accent 41"/>
    <w:basedOn w:val="TableNormal"/>
    <w:uiPriority w:val="47"/>
    <w:semiHidden/>
    <w:rsid w:val="00C551E1"/>
    <w:pPr>
      <w:spacing w:after="0"/>
    </w:pPr>
    <w:tblPr>
      <w:tblStyleRowBandSize w:val="1"/>
      <w:tblStyleColBandSize w:val="1"/>
      <w:tblBorders>
        <w:top w:val="single" w:sz="2" w:space="0" w:color="BAB6B6" w:themeColor="accent4" w:themeTint="99"/>
        <w:bottom w:val="single" w:sz="2" w:space="0" w:color="BAB6B6" w:themeColor="accent4" w:themeTint="99"/>
        <w:insideH w:val="single" w:sz="2" w:space="0" w:color="BAB6B6" w:themeColor="accent4" w:themeTint="99"/>
        <w:insideV w:val="single" w:sz="2" w:space="0" w:color="BAB6B6" w:themeColor="accent4" w:themeTint="99"/>
      </w:tblBorders>
    </w:tblPr>
    <w:tblStylePr w:type="firstRow">
      <w:rPr>
        <w:b/>
        <w:bCs/>
      </w:rPr>
      <w:tblPr/>
      <w:tcPr>
        <w:tcBorders>
          <w:top w:val="nil"/>
          <w:bottom w:val="single" w:sz="12" w:space="0" w:color="BAB6B6" w:themeColor="accent4" w:themeTint="99"/>
          <w:insideH w:val="nil"/>
          <w:insideV w:val="nil"/>
        </w:tcBorders>
        <w:shd w:val="clear" w:color="auto" w:fill="FFFFFF" w:themeFill="background1"/>
      </w:tcPr>
    </w:tblStylePr>
    <w:tblStylePr w:type="lastRow">
      <w:rPr>
        <w:b/>
        <w:bCs/>
      </w:rPr>
      <w:tblPr/>
      <w:tcPr>
        <w:tcBorders>
          <w:top w:val="double" w:sz="2" w:space="0" w:color="BAB6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GridTable2-Accent51">
    <w:name w:val="Grid Table 2 - Accent 51"/>
    <w:basedOn w:val="TableNormal"/>
    <w:uiPriority w:val="47"/>
    <w:semiHidden/>
    <w:rsid w:val="00C551E1"/>
    <w:pPr>
      <w:spacing w:after="0"/>
    </w:pPr>
    <w:tblPr>
      <w:tblStyleRowBandSize w:val="1"/>
      <w:tblStyleColBandSize w:val="1"/>
      <w:tblBorders>
        <w:top w:val="single" w:sz="2" w:space="0" w:color="827C7C" w:themeColor="accent5" w:themeTint="99"/>
        <w:bottom w:val="single" w:sz="2" w:space="0" w:color="827C7C" w:themeColor="accent5" w:themeTint="99"/>
        <w:insideH w:val="single" w:sz="2" w:space="0" w:color="827C7C" w:themeColor="accent5" w:themeTint="99"/>
        <w:insideV w:val="single" w:sz="2" w:space="0" w:color="827C7C" w:themeColor="accent5" w:themeTint="99"/>
      </w:tblBorders>
    </w:tblPr>
    <w:tblStylePr w:type="firstRow">
      <w:rPr>
        <w:b/>
        <w:bCs/>
      </w:rPr>
      <w:tblPr/>
      <w:tcPr>
        <w:tcBorders>
          <w:top w:val="nil"/>
          <w:bottom w:val="single" w:sz="12" w:space="0" w:color="827C7C" w:themeColor="accent5" w:themeTint="99"/>
          <w:insideH w:val="nil"/>
          <w:insideV w:val="nil"/>
        </w:tcBorders>
        <w:shd w:val="clear" w:color="auto" w:fill="FFFFFF" w:themeFill="background1"/>
      </w:tcPr>
    </w:tblStylePr>
    <w:tblStylePr w:type="lastRow">
      <w:rPr>
        <w:b/>
        <w:bCs/>
      </w:rPr>
      <w:tblPr/>
      <w:tcPr>
        <w:tcBorders>
          <w:top w:val="double" w:sz="2" w:space="0" w:color="827C7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GridTable2-Accent61">
    <w:name w:val="Grid Table 2 - Accent 61"/>
    <w:basedOn w:val="TableNormal"/>
    <w:uiPriority w:val="47"/>
    <w:semiHidden/>
    <w:rsid w:val="00C551E1"/>
    <w:pPr>
      <w:spacing w:after="0"/>
    </w:pPr>
    <w:tblPr>
      <w:tblStyleRowBandSize w:val="1"/>
      <w:tblStyleColBandSize w:val="1"/>
      <w:tblBorders>
        <w:top w:val="single" w:sz="2" w:space="0" w:color="D62946" w:themeColor="accent6" w:themeTint="99"/>
        <w:bottom w:val="single" w:sz="2" w:space="0" w:color="D62946" w:themeColor="accent6" w:themeTint="99"/>
        <w:insideH w:val="single" w:sz="2" w:space="0" w:color="D62946" w:themeColor="accent6" w:themeTint="99"/>
        <w:insideV w:val="single" w:sz="2" w:space="0" w:color="D62946" w:themeColor="accent6" w:themeTint="99"/>
      </w:tblBorders>
    </w:tblPr>
    <w:tblStylePr w:type="firstRow">
      <w:rPr>
        <w:b/>
        <w:bCs/>
      </w:rPr>
      <w:tblPr/>
      <w:tcPr>
        <w:tcBorders>
          <w:top w:val="nil"/>
          <w:bottom w:val="single" w:sz="12" w:space="0" w:color="D62946" w:themeColor="accent6" w:themeTint="99"/>
          <w:insideH w:val="nil"/>
          <w:insideV w:val="nil"/>
        </w:tcBorders>
        <w:shd w:val="clear" w:color="auto" w:fill="FFFFFF" w:themeFill="background1"/>
      </w:tcPr>
    </w:tblStylePr>
    <w:tblStylePr w:type="lastRow">
      <w:rPr>
        <w:b/>
        <w:bCs/>
      </w:rPr>
      <w:tblPr/>
      <w:tcPr>
        <w:tcBorders>
          <w:top w:val="double" w:sz="2" w:space="0" w:color="D6294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GridTable31">
    <w:name w:val="Grid Table 31"/>
    <w:basedOn w:val="TableNormal"/>
    <w:uiPriority w:val="48"/>
    <w:semiHidden/>
    <w:rsid w:val="00C551E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C551E1"/>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bottom w:val="single" w:sz="4" w:space="0" w:color="DF546B" w:themeColor="accent1" w:themeTint="99"/>
        </w:tcBorders>
      </w:tcPr>
    </w:tblStylePr>
    <w:tblStylePr w:type="nwCell">
      <w:tblPr/>
      <w:tcPr>
        <w:tcBorders>
          <w:bottom w:val="single" w:sz="4" w:space="0" w:color="DF546B" w:themeColor="accent1" w:themeTint="99"/>
        </w:tcBorders>
      </w:tcPr>
    </w:tblStylePr>
    <w:tblStylePr w:type="seCell">
      <w:tblPr/>
      <w:tcPr>
        <w:tcBorders>
          <w:top w:val="single" w:sz="4" w:space="0" w:color="DF546B" w:themeColor="accent1" w:themeTint="99"/>
        </w:tcBorders>
      </w:tcPr>
    </w:tblStylePr>
    <w:tblStylePr w:type="swCell">
      <w:tblPr/>
      <w:tcPr>
        <w:tcBorders>
          <w:top w:val="single" w:sz="4" w:space="0" w:color="DF546B" w:themeColor="accent1" w:themeTint="99"/>
        </w:tcBorders>
      </w:tcPr>
    </w:tblStylePr>
  </w:style>
  <w:style w:type="table" w:customStyle="1" w:styleId="GridTable3-Accent21">
    <w:name w:val="Grid Table 3 - Accent 21"/>
    <w:basedOn w:val="TableNormal"/>
    <w:uiPriority w:val="48"/>
    <w:semiHidden/>
    <w:rsid w:val="00C551E1"/>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bottom w:val="single" w:sz="4" w:space="0" w:color="D19EA7" w:themeColor="accent2" w:themeTint="99"/>
        </w:tcBorders>
      </w:tcPr>
    </w:tblStylePr>
    <w:tblStylePr w:type="nwCell">
      <w:tblPr/>
      <w:tcPr>
        <w:tcBorders>
          <w:bottom w:val="single" w:sz="4" w:space="0" w:color="D19EA7" w:themeColor="accent2" w:themeTint="99"/>
        </w:tcBorders>
      </w:tcPr>
    </w:tblStylePr>
    <w:tblStylePr w:type="seCell">
      <w:tblPr/>
      <w:tcPr>
        <w:tcBorders>
          <w:top w:val="single" w:sz="4" w:space="0" w:color="D19EA7" w:themeColor="accent2" w:themeTint="99"/>
        </w:tcBorders>
      </w:tcPr>
    </w:tblStylePr>
    <w:tblStylePr w:type="swCell">
      <w:tblPr/>
      <w:tcPr>
        <w:tcBorders>
          <w:top w:val="single" w:sz="4" w:space="0" w:color="D19EA7" w:themeColor="accent2" w:themeTint="99"/>
        </w:tcBorders>
      </w:tcPr>
    </w:tblStylePr>
  </w:style>
  <w:style w:type="table" w:customStyle="1" w:styleId="GridTable3-Accent31">
    <w:name w:val="Grid Table 3 - Accent 31"/>
    <w:basedOn w:val="TableNormal"/>
    <w:uiPriority w:val="48"/>
    <w:semiHidden/>
    <w:rsid w:val="00C551E1"/>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bottom w:val="single" w:sz="4" w:space="0" w:color="F1F0F0" w:themeColor="accent3" w:themeTint="99"/>
        </w:tcBorders>
      </w:tcPr>
    </w:tblStylePr>
    <w:tblStylePr w:type="nwCell">
      <w:tblPr/>
      <w:tcPr>
        <w:tcBorders>
          <w:bottom w:val="single" w:sz="4" w:space="0" w:color="F1F0F0" w:themeColor="accent3" w:themeTint="99"/>
        </w:tcBorders>
      </w:tcPr>
    </w:tblStylePr>
    <w:tblStylePr w:type="seCell">
      <w:tblPr/>
      <w:tcPr>
        <w:tcBorders>
          <w:top w:val="single" w:sz="4" w:space="0" w:color="F1F0F0" w:themeColor="accent3" w:themeTint="99"/>
        </w:tcBorders>
      </w:tcPr>
    </w:tblStylePr>
    <w:tblStylePr w:type="swCell">
      <w:tblPr/>
      <w:tcPr>
        <w:tcBorders>
          <w:top w:val="single" w:sz="4" w:space="0" w:color="F1F0F0" w:themeColor="accent3" w:themeTint="99"/>
        </w:tcBorders>
      </w:tcPr>
    </w:tblStylePr>
  </w:style>
  <w:style w:type="table" w:customStyle="1" w:styleId="GridTable3-Accent41">
    <w:name w:val="Grid Table 3 - Accent 41"/>
    <w:basedOn w:val="TableNormal"/>
    <w:uiPriority w:val="48"/>
    <w:semiHidden/>
    <w:rsid w:val="00C551E1"/>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bottom w:val="single" w:sz="4" w:space="0" w:color="BAB6B6" w:themeColor="accent4" w:themeTint="99"/>
        </w:tcBorders>
      </w:tcPr>
    </w:tblStylePr>
    <w:tblStylePr w:type="nwCell">
      <w:tblPr/>
      <w:tcPr>
        <w:tcBorders>
          <w:bottom w:val="single" w:sz="4" w:space="0" w:color="BAB6B6" w:themeColor="accent4" w:themeTint="99"/>
        </w:tcBorders>
      </w:tcPr>
    </w:tblStylePr>
    <w:tblStylePr w:type="seCell">
      <w:tblPr/>
      <w:tcPr>
        <w:tcBorders>
          <w:top w:val="single" w:sz="4" w:space="0" w:color="BAB6B6" w:themeColor="accent4" w:themeTint="99"/>
        </w:tcBorders>
      </w:tcPr>
    </w:tblStylePr>
    <w:tblStylePr w:type="swCell">
      <w:tblPr/>
      <w:tcPr>
        <w:tcBorders>
          <w:top w:val="single" w:sz="4" w:space="0" w:color="BAB6B6" w:themeColor="accent4" w:themeTint="99"/>
        </w:tcBorders>
      </w:tcPr>
    </w:tblStylePr>
  </w:style>
  <w:style w:type="table" w:customStyle="1" w:styleId="GridTable3-Accent51">
    <w:name w:val="Grid Table 3 - Accent 51"/>
    <w:basedOn w:val="TableNormal"/>
    <w:uiPriority w:val="48"/>
    <w:semiHidden/>
    <w:rsid w:val="00C551E1"/>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bottom w:val="single" w:sz="4" w:space="0" w:color="827C7C" w:themeColor="accent5" w:themeTint="99"/>
        </w:tcBorders>
      </w:tcPr>
    </w:tblStylePr>
    <w:tblStylePr w:type="nwCell">
      <w:tblPr/>
      <w:tcPr>
        <w:tcBorders>
          <w:bottom w:val="single" w:sz="4" w:space="0" w:color="827C7C" w:themeColor="accent5" w:themeTint="99"/>
        </w:tcBorders>
      </w:tcPr>
    </w:tblStylePr>
    <w:tblStylePr w:type="seCell">
      <w:tblPr/>
      <w:tcPr>
        <w:tcBorders>
          <w:top w:val="single" w:sz="4" w:space="0" w:color="827C7C" w:themeColor="accent5" w:themeTint="99"/>
        </w:tcBorders>
      </w:tcPr>
    </w:tblStylePr>
    <w:tblStylePr w:type="swCell">
      <w:tblPr/>
      <w:tcPr>
        <w:tcBorders>
          <w:top w:val="single" w:sz="4" w:space="0" w:color="827C7C" w:themeColor="accent5" w:themeTint="99"/>
        </w:tcBorders>
      </w:tcPr>
    </w:tblStylePr>
  </w:style>
  <w:style w:type="table" w:customStyle="1" w:styleId="GridTable3-Accent61">
    <w:name w:val="Grid Table 3 - Accent 61"/>
    <w:basedOn w:val="TableNormal"/>
    <w:uiPriority w:val="48"/>
    <w:semiHidden/>
    <w:rsid w:val="00C551E1"/>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bottom w:val="single" w:sz="4" w:space="0" w:color="D62946" w:themeColor="accent6" w:themeTint="99"/>
        </w:tcBorders>
      </w:tcPr>
    </w:tblStylePr>
    <w:tblStylePr w:type="nwCell">
      <w:tblPr/>
      <w:tcPr>
        <w:tcBorders>
          <w:bottom w:val="single" w:sz="4" w:space="0" w:color="D62946" w:themeColor="accent6" w:themeTint="99"/>
        </w:tcBorders>
      </w:tcPr>
    </w:tblStylePr>
    <w:tblStylePr w:type="seCell">
      <w:tblPr/>
      <w:tcPr>
        <w:tcBorders>
          <w:top w:val="single" w:sz="4" w:space="0" w:color="D62946" w:themeColor="accent6" w:themeTint="99"/>
        </w:tcBorders>
      </w:tcPr>
    </w:tblStylePr>
    <w:tblStylePr w:type="swCell">
      <w:tblPr/>
      <w:tcPr>
        <w:tcBorders>
          <w:top w:val="single" w:sz="4" w:space="0" w:color="D62946" w:themeColor="accent6" w:themeTint="99"/>
        </w:tcBorders>
      </w:tcPr>
    </w:tblStylePr>
  </w:style>
  <w:style w:type="table" w:customStyle="1" w:styleId="GridTable41">
    <w:name w:val="Grid Table 41"/>
    <w:basedOn w:val="TableNormal"/>
    <w:uiPriority w:val="49"/>
    <w:semiHidden/>
    <w:rsid w:val="00C551E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C551E1"/>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color w:val="FFFFFF" w:themeColor="background1"/>
      </w:rPr>
      <w:tblPr/>
      <w:tcPr>
        <w:tcBorders>
          <w:top w:val="single" w:sz="4" w:space="0" w:color="931B2F" w:themeColor="accent1"/>
          <w:left w:val="single" w:sz="4" w:space="0" w:color="931B2F" w:themeColor="accent1"/>
          <w:bottom w:val="single" w:sz="4" w:space="0" w:color="931B2F" w:themeColor="accent1"/>
          <w:right w:val="single" w:sz="4" w:space="0" w:color="931B2F" w:themeColor="accent1"/>
          <w:insideH w:val="nil"/>
          <w:insideV w:val="nil"/>
        </w:tcBorders>
        <w:shd w:val="clear" w:color="auto" w:fill="931B2F" w:themeFill="accent1"/>
      </w:tcPr>
    </w:tblStylePr>
    <w:tblStylePr w:type="lastRow">
      <w:rPr>
        <w:b/>
        <w:bCs/>
      </w:rPr>
      <w:tblPr/>
      <w:tcPr>
        <w:tcBorders>
          <w:top w:val="double" w:sz="4" w:space="0" w:color="931B2F" w:themeColor="accent1"/>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GridTable4-Accent21">
    <w:name w:val="Grid Table 4 - Accent 21"/>
    <w:basedOn w:val="TableNormal"/>
    <w:uiPriority w:val="49"/>
    <w:semiHidden/>
    <w:rsid w:val="00C551E1"/>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color w:val="FFFFFF" w:themeColor="background1"/>
      </w:rPr>
      <w:tblPr/>
      <w:tcPr>
        <w:tcBorders>
          <w:top w:val="single" w:sz="4" w:space="0" w:color="B35F6D" w:themeColor="accent2"/>
          <w:left w:val="single" w:sz="4" w:space="0" w:color="B35F6D" w:themeColor="accent2"/>
          <w:bottom w:val="single" w:sz="4" w:space="0" w:color="B35F6D" w:themeColor="accent2"/>
          <w:right w:val="single" w:sz="4" w:space="0" w:color="B35F6D" w:themeColor="accent2"/>
          <w:insideH w:val="nil"/>
          <w:insideV w:val="nil"/>
        </w:tcBorders>
        <w:shd w:val="clear" w:color="auto" w:fill="B35F6D" w:themeFill="accent2"/>
      </w:tcPr>
    </w:tblStylePr>
    <w:tblStylePr w:type="lastRow">
      <w:rPr>
        <w:b/>
        <w:bCs/>
      </w:rPr>
      <w:tblPr/>
      <w:tcPr>
        <w:tcBorders>
          <w:top w:val="double" w:sz="4" w:space="0" w:color="B35F6D" w:themeColor="accent2"/>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GridTable4-Accent31">
    <w:name w:val="Grid Table 4 - Accent 31"/>
    <w:basedOn w:val="TableNormal"/>
    <w:uiPriority w:val="49"/>
    <w:semiHidden/>
    <w:rsid w:val="00C551E1"/>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color w:val="FFFFFF" w:themeColor="background1"/>
      </w:rPr>
      <w:tblPr/>
      <w:tcPr>
        <w:tcBorders>
          <w:top w:val="single" w:sz="4" w:space="0" w:color="E8E7E7" w:themeColor="accent3"/>
          <w:left w:val="single" w:sz="4" w:space="0" w:color="E8E7E7" w:themeColor="accent3"/>
          <w:bottom w:val="single" w:sz="4" w:space="0" w:color="E8E7E7" w:themeColor="accent3"/>
          <w:right w:val="single" w:sz="4" w:space="0" w:color="E8E7E7" w:themeColor="accent3"/>
          <w:insideH w:val="nil"/>
          <w:insideV w:val="nil"/>
        </w:tcBorders>
        <w:shd w:val="clear" w:color="auto" w:fill="E8E7E7" w:themeFill="accent3"/>
      </w:tcPr>
    </w:tblStylePr>
    <w:tblStylePr w:type="lastRow">
      <w:rPr>
        <w:b/>
        <w:bCs/>
      </w:rPr>
      <w:tblPr/>
      <w:tcPr>
        <w:tcBorders>
          <w:top w:val="double" w:sz="4" w:space="0" w:color="E8E7E7"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GridTable4-Accent41">
    <w:name w:val="Grid Table 4 - Accent 41"/>
    <w:basedOn w:val="TableNormal"/>
    <w:uiPriority w:val="49"/>
    <w:semiHidden/>
    <w:rsid w:val="00C551E1"/>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color w:val="FFFFFF" w:themeColor="background1"/>
      </w:rPr>
      <w:tblPr/>
      <w:tcPr>
        <w:tcBorders>
          <w:top w:val="single" w:sz="4" w:space="0" w:color="8C8686" w:themeColor="accent4"/>
          <w:left w:val="single" w:sz="4" w:space="0" w:color="8C8686" w:themeColor="accent4"/>
          <w:bottom w:val="single" w:sz="4" w:space="0" w:color="8C8686" w:themeColor="accent4"/>
          <w:right w:val="single" w:sz="4" w:space="0" w:color="8C8686" w:themeColor="accent4"/>
          <w:insideH w:val="nil"/>
          <w:insideV w:val="nil"/>
        </w:tcBorders>
        <w:shd w:val="clear" w:color="auto" w:fill="8C8686" w:themeFill="accent4"/>
      </w:tcPr>
    </w:tblStylePr>
    <w:tblStylePr w:type="lastRow">
      <w:rPr>
        <w:b/>
        <w:bCs/>
      </w:rPr>
      <w:tblPr/>
      <w:tcPr>
        <w:tcBorders>
          <w:top w:val="double" w:sz="4" w:space="0" w:color="8C8686" w:themeColor="accent4"/>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GridTable4-Accent51">
    <w:name w:val="Grid Table 4 - Accent 51"/>
    <w:basedOn w:val="TableNormal"/>
    <w:uiPriority w:val="49"/>
    <w:semiHidden/>
    <w:rsid w:val="00C551E1"/>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color w:val="FFFFFF" w:themeColor="background1"/>
      </w:rPr>
      <w:tblPr/>
      <w:tcPr>
        <w:tcBorders>
          <w:top w:val="single" w:sz="4" w:space="0" w:color="2C2A2A" w:themeColor="accent5"/>
          <w:left w:val="single" w:sz="4" w:space="0" w:color="2C2A2A" w:themeColor="accent5"/>
          <w:bottom w:val="single" w:sz="4" w:space="0" w:color="2C2A2A" w:themeColor="accent5"/>
          <w:right w:val="single" w:sz="4" w:space="0" w:color="2C2A2A" w:themeColor="accent5"/>
          <w:insideH w:val="nil"/>
          <w:insideV w:val="nil"/>
        </w:tcBorders>
        <w:shd w:val="clear" w:color="auto" w:fill="2C2A2A" w:themeFill="accent5"/>
      </w:tcPr>
    </w:tblStylePr>
    <w:tblStylePr w:type="lastRow">
      <w:rPr>
        <w:b/>
        <w:bCs/>
      </w:rPr>
      <w:tblPr/>
      <w:tcPr>
        <w:tcBorders>
          <w:top w:val="double" w:sz="4" w:space="0" w:color="2C2A2A" w:themeColor="accent5"/>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GridTable4-Accent61">
    <w:name w:val="Grid Table 4 - Accent 61"/>
    <w:basedOn w:val="TableNormal"/>
    <w:uiPriority w:val="49"/>
    <w:semiHidden/>
    <w:rsid w:val="00C551E1"/>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color w:val="FFFFFF" w:themeColor="background1"/>
      </w:rPr>
      <w:tblPr/>
      <w:tcPr>
        <w:tcBorders>
          <w:top w:val="single" w:sz="4" w:space="0" w:color="4A0E18" w:themeColor="accent6"/>
          <w:left w:val="single" w:sz="4" w:space="0" w:color="4A0E18" w:themeColor="accent6"/>
          <w:bottom w:val="single" w:sz="4" w:space="0" w:color="4A0E18" w:themeColor="accent6"/>
          <w:right w:val="single" w:sz="4" w:space="0" w:color="4A0E18" w:themeColor="accent6"/>
          <w:insideH w:val="nil"/>
          <w:insideV w:val="nil"/>
        </w:tcBorders>
        <w:shd w:val="clear" w:color="auto" w:fill="4A0E18" w:themeFill="accent6"/>
      </w:tcPr>
    </w:tblStylePr>
    <w:tblStylePr w:type="lastRow">
      <w:rPr>
        <w:b/>
        <w:bCs/>
      </w:rPr>
      <w:tblPr/>
      <w:tcPr>
        <w:tcBorders>
          <w:top w:val="double" w:sz="4" w:space="0" w:color="4A0E18" w:themeColor="accent6"/>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GridTable5Dark1">
    <w:name w:val="Grid Table 5 Dark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6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1B2F" w:themeFill="accent1"/>
      </w:tcPr>
    </w:tblStylePr>
    <w:tblStylePr w:type="band1Vert">
      <w:tblPr/>
      <w:tcPr>
        <w:shd w:val="clear" w:color="auto" w:fill="EA8D9C" w:themeFill="accent1" w:themeFillTint="66"/>
      </w:tcPr>
    </w:tblStylePr>
    <w:tblStylePr w:type="band1Horz">
      <w:tblPr/>
      <w:tcPr>
        <w:shd w:val="clear" w:color="auto" w:fill="EA8D9C" w:themeFill="accent1" w:themeFillTint="66"/>
      </w:tcPr>
    </w:tblStylePr>
  </w:style>
  <w:style w:type="table" w:customStyle="1" w:styleId="GridTable5Dark-Accent21">
    <w:name w:val="Grid Table 5 Dark - Accent 2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E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5F6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5F6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5F6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5F6D" w:themeFill="accent2"/>
      </w:tcPr>
    </w:tblStylePr>
    <w:tblStylePr w:type="band1Vert">
      <w:tblPr/>
      <w:tcPr>
        <w:shd w:val="clear" w:color="auto" w:fill="E0BEC4" w:themeFill="accent2" w:themeFillTint="66"/>
      </w:tcPr>
    </w:tblStylePr>
    <w:tblStylePr w:type="band1Horz">
      <w:tblPr/>
      <w:tcPr>
        <w:shd w:val="clear" w:color="auto" w:fill="E0BEC4" w:themeFill="accent2" w:themeFillTint="66"/>
      </w:tcPr>
    </w:tblStylePr>
  </w:style>
  <w:style w:type="table" w:customStyle="1" w:styleId="GridTable5Dark-Accent31">
    <w:name w:val="Grid Table 5 Dark - Accent 3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E7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E7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E7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E7E7" w:themeFill="accent3"/>
      </w:tcPr>
    </w:tblStylePr>
    <w:tblStylePr w:type="band1Vert">
      <w:tblPr/>
      <w:tcPr>
        <w:shd w:val="clear" w:color="auto" w:fill="F5F5F5" w:themeFill="accent3" w:themeFillTint="66"/>
      </w:tcPr>
    </w:tblStylePr>
    <w:tblStylePr w:type="band1Horz">
      <w:tblPr/>
      <w:tcPr>
        <w:shd w:val="clear" w:color="auto" w:fill="F5F5F5" w:themeFill="accent3" w:themeFillTint="66"/>
      </w:tcPr>
    </w:tblStylePr>
  </w:style>
  <w:style w:type="table" w:customStyle="1" w:styleId="GridTable5Dark-Accent41">
    <w:name w:val="Grid Table 5 Dark - Accent 4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868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868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868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8686" w:themeFill="accent4"/>
      </w:tcPr>
    </w:tblStylePr>
    <w:tblStylePr w:type="band1Vert">
      <w:tblPr/>
      <w:tcPr>
        <w:shd w:val="clear" w:color="auto" w:fill="D1CECE" w:themeFill="accent4" w:themeFillTint="66"/>
      </w:tcPr>
    </w:tblStylePr>
    <w:tblStylePr w:type="band1Horz">
      <w:tblPr/>
      <w:tcPr>
        <w:shd w:val="clear" w:color="auto" w:fill="D1CECE" w:themeFill="accent4" w:themeFillTint="66"/>
      </w:tcPr>
    </w:tblStylePr>
  </w:style>
  <w:style w:type="table" w:customStyle="1" w:styleId="GridTable5Dark-Accent51">
    <w:name w:val="Grid Table 5 Dark - Accent 5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3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2A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2A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2A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2A2A" w:themeFill="accent5"/>
      </w:tcPr>
    </w:tblStylePr>
    <w:tblStylePr w:type="band1Vert">
      <w:tblPr/>
      <w:tcPr>
        <w:shd w:val="clear" w:color="auto" w:fill="ACA8A8" w:themeFill="accent5" w:themeFillTint="66"/>
      </w:tcPr>
    </w:tblStylePr>
    <w:tblStylePr w:type="band1Horz">
      <w:tblPr/>
      <w:tcPr>
        <w:shd w:val="clear" w:color="auto" w:fill="ACA8A8" w:themeFill="accent5" w:themeFillTint="66"/>
      </w:tcPr>
    </w:tblStylePr>
  </w:style>
  <w:style w:type="table" w:customStyle="1" w:styleId="GridTable5Dark-Accent61">
    <w:name w:val="Grid Table 5 Dark - Accent 6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B7C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0E1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0E1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0E1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0E18" w:themeFill="accent6"/>
      </w:tcPr>
    </w:tblStylePr>
    <w:tblStylePr w:type="band1Vert">
      <w:tblPr/>
      <w:tcPr>
        <w:shd w:val="clear" w:color="auto" w:fill="E47083" w:themeFill="accent6" w:themeFillTint="66"/>
      </w:tcPr>
    </w:tblStylePr>
    <w:tblStylePr w:type="band1Horz">
      <w:tblPr/>
      <w:tcPr>
        <w:shd w:val="clear" w:color="auto" w:fill="E47083" w:themeFill="accent6" w:themeFillTint="66"/>
      </w:tcPr>
    </w:tblStylePr>
  </w:style>
  <w:style w:type="table" w:customStyle="1" w:styleId="GridTable6Colorful1">
    <w:name w:val="Grid Table 6 Colorful1"/>
    <w:basedOn w:val="TableNormal"/>
    <w:uiPriority w:val="51"/>
    <w:semiHidden/>
    <w:rsid w:val="00C551E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C551E1"/>
    <w:pPr>
      <w:spacing w:after="0"/>
    </w:pPr>
    <w:rPr>
      <w:color w:val="6D1423" w:themeColor="accent1" w:themeShade="BF"/>
    </w:r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bottom w:val="single" w:sz="12" w:space="0" w:color="DF546B" w:themeColor="accent1" w:themeTint="99"/>
        </w:tcBorders>
      </w:tcPr>
    </w:tblStylePr>
    <w:tblStylePr w:type="lastRow">
      <w:rPr>
        <w:b/>
        <w:bCs/>
      </w:rPr>
      <w:tblPr/>
      <w:tcPr>
        <w:tcBorders>
          <w:top w:val="doub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GridTable6Colorful-Accent21">
    <w:name w:val="Grid Table 6 Colorful - Accent 21"/>
    <w:basedOn w:val="TableNormal"/>
    <w:uiPriority w:val="51"/>
    <w:semiHidden/>
    <w:rsid w:val="00C551E1"/>
    <w:pPr>
      <w:spacing w:after="0"/>
    </w:pPr>
    <w:rPr>
      <w:color w:val="8A424E" w:themeColor="accent2" w:themeShade="BF"/>
    </w:r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bottom w:val="single" w:sz="12" w:space="0" w:color="D19EA7" w:themeColor="accent2" w:themeTint="99"/>
        </w:tcBorders>
      </w:tcPr>
    </w:tblStylePr>
    <w:tblStylePr w:type="lastRow">
      <w:rPr>
        <w:b/>
        <w:bCs/>
      </w:rPr>
      <w:tblPr/>
      <w:tcPr>
        <w:tcBorders>
          <w:top w:val="doub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GridTable6Colorful-Accent31">
    <w:name w:val="Grid Table 6 Colorful - Accent 31"/>
    <w:basedOn w:val="TableNormal"/>
    <w:uiPriority w:val="51"/>
    <w:semiHidden/>
    <w:rsid w:val="00C551E1"/>
    <w:pPr>
      <w:spacing w:after="0"/>
    </w:pPr>
    <w:rPr>
      <w:color w:val="AFABAB" w:themeColor="accent3" w:themeShade="BF"/>
    </w:r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bottom w:val="single" w:sz="12" w:space="0" w:color="F1F0F0" w:themeColor="accent3" w:themeTint="99"/>
        </w:tcBorders>
      </w:tcPr>
    </w:tblStylePr>
    <w:tblStylePr w:type="lastRow">
      <w:rPr>
        <w:b/>
        <w:bCs/>
      </w:rPr>
      <w:tblPr/>
      <w:tcPr>
        <w:tcBorders>
          <w:top w:val="doub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GridTable6Colorful-Accent41">
    <w:name w:val="Grid Table 6 Colorful - Accent 41"/>
    <w:basedOn w:val="TableNormal"/>
    <w:uiPriority w:val="51"/>
    <w:semiHidden/>
    <w:rsid w:val="00C551E1"/>
    <w:pPr>
      <w:spacing w:after="0"/>
    </w:pPr>
    <w:rPr>
      <w:color w:val="696464" w:themeColor="accent4" w:themeShade="BF"/>
    </w:r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bottom w:val="single" w:sz="12" w:space="0" w:color="BAB6B6" w:themeColor="accent4" w:themeTint="99"/>
        </w:tcBorders>
      </w:tcPr>
    </w:tblStylePr>
    <w:tblStylePr w:type="lastRow">
      <w:rPr>
        <w:b/>
        <w:bCs/>
      </w:rPr>
      <w:tblPr/>
      <w:tcPr>
        <w:tcBorders>
          <w:top w:val="doub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GridTable6Colorful-Accent51">
    <w:name w:val="Grid Table 6 Colorful - Accent 51"/>
    <w:basedOn w:val="TableNormal"/>
    <w:uiPriority w:val="51"/>
    <w:semiHidden/>
    <w:rsid w:val="00C551E1"/>
    <w:pPr>
      <w:spacing w:after="0"/>
    </w:pPr>
    <w:rPr>
      <w:color w:val="201F1F" w:themeColor="accent5" w:themeShade="BF"/>
    </w:r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bottom w:val="single" w:sz="12" w:space="0" w:color="827C7C" w:themeColor="accent5" w:themeTint="99"/>
        </w:tcBorders>
      </w:tcPr>
    </w:tblStylePr>
    <w:tblStylePr w:type="lastRow">
      <w:rPr>
        <w:b/>
        <w:bCs/>
      </w:rPr>
      <w:tblPr/>
      <w:tcPr>
        <w:tcBorders>
          <w:top w:val="doub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GridTable6Colorful-Accent61">
    <w:name w:val="Grid Table 6 Colorful - Accent 61"/>
    <w:basedOn w:val="TableNormal"/>
    <w:uiPriority w:val="51"/>
    <w:semiHidden/>
    <w:rsid w:val="00C551E1"/>
    <w:pPr>
      <w:spacing w:after="0"/>
    </w:pPr>
    <w:rPr>
      <w:color w:val="370A11" w:themeColor="accent6" w:themeShade="BF"/>
    </w:r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bottom w:val="single" w:sz="12" w:space="0" w:color="D62946" w:themeColor="accent6" w:themeTint="99"/>
        </w:tcBorders>
      </w:tcPr>
    </w:tblStylePr>
    <w:tblStylePr w:type="lastRow">
      <w:rPr>
        <w:b/>
        <w:bCs/>
      </w:rPr>
      <w:tblPr/>
      <w:tcPr>
        <w:tcBorders>
          <w:top w:val="doub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GridTable7Colorful1">
    <w:name w:val="Grid Table 7 Colorful1"/>
    <w:basedOn w:val="TableNormal"/>
    <w:uiPriority w:val="52"/>
    <w:semiHidden/>
    <w:rsid w:val="00C551E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C551E1"/>
    <w:pPr>
      <w:spacing w:after="0"/>
    </w:pPr>
    <w:rPr>
      <w:color w:val="6D1423" w:themeColor="accent1" w:themeShade="BF"/>
    </w:r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bottom w:val="single" w:sz="4" w:space="0" w:color="DF546B" w:themeColor="accent1" w:themeTint="99"/>
        </w:tcBorders>
      </w:tcPr>
    </w:tblStylePr>
    <w:tblStylePr w:type="nwCell">
      <w:tblPr/>
      <w:tcPr>
        <w:tcBorders>
          <w:bottom w:val="single" w:sz="4" w:space="0" w:color="DF546B" w:themeColor="accent1" w:themeTint="99"/>
        </w:tcBorders>
      </w:tcPr>
    </w:tblStylePr>
    <w:tblStylePr w:type="seCell">
      <w:tblPr/>
      <w:tcPr>
        <w:tcBorders>
          <w:top w:val="single" w:sz="4" w:space="0" w:color="DF546B" w:themeColor="accent1" w:themeTint="99"/>
        </w:tcBorders>
      </w:tcPr>
    </w:tblStylePr>
    <w:tblStylePr w:type="swCell">
      <w:tblPr/>
      <w:tcPr>
        <w:tcBorders>
          <w:top w:val="single" w:sz="4" w:space="0" w:color="DF546B" w:themeColor="accent1" w:themeTint="99"/>
        </w:tcBorders>
      </w:tcPr>
    </w:tblStylePr>
  </w:style>
  <w:style w:type="table" w:customStyle="1" w:styleId="GridTable7Colorful-Accent21">
    <w:name w:val="Grid Table 7 Colorful - Accent 21"/>
    <w:basedOn w:val="TableNormal"/>
    <w:uiPriority w:val="52"/>
    <w:semiHidden/>
    <w:rsid w:val="00C551E1"/>
    <w:pPr>
      <w:spacing w:after="0"/>
    </w:pPr>
    <w:rPr>
      <w:color w:val="8A424E" w:themeColor="accent2" w:themeShade="BF"/>
    </w:r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bottom w:val="single" w:sz="4" w:space="0" w:color="D19EA7" w:themeColor="accent2" w:themeTint="99"/>
        </w:tcBorders>
      </w:tcPr>
    </w:tblStylePr>
    <w:tblStylePr w:type="nwCell">
      <w:tblPr/>
      <w:tcPr>
        <w:tcBorders>
          <w:bottom w:val="single" w:sz="4" w:space="0" w:color="D19EA7" w:themeColor="accent2" w:themeTint="99"/>
        </w:tcBorders>
      </w:tcPr>
    </w:tblStylePr>
    <w:tblStylePr w:type="seCell">
      <w:tblPr/>
      <w:tcPr>
        <w:tcBorders>
          <w:top w:val="single" w:sz="4" w:space="0" w:color="D19EA7" w:themeColor="accent2" w:themeTint="99"/>
        </w:tcBorders>
      </w:tcPr>
    </w:tblStylePr>
    <w:tblStylePr w:type="swCell">
      <w:tblPr/>
      <w:tcPr>
        <w:tcBorders>
          <w:top w:val="single" w:sz="4" w:space="0" w:color="D19EA7" w:themeColor="accent2" w:themeTint="99"/>
        </w:tcBorders>
      </w:tcPr>
    </w:tblStylePr>
  </w:style>
  <w:style w:type="table" w:customStyle="1" w:styleId="GridTable7Colorful-Accent31">
    <w:name w:val="Grid Table 7 Colorful - Accent 31"/>
    <w:basedOn w:val="TableNormal"/>
    <w:uiPriority w:val="52"/>
    <w:semiHidden/>
    <w:rsid w:val="00C551E1"/>
    <w:pPr>
      <w:spacing w:after="0"/>
    </w:pPr>
    <w:rPr>
      <w:color w:val="AFABAB" w:themeColor="accent3" w:themeShade="BF"/>
    </w:r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bottom w:val="single" w:sz="4" w:space="0" w:color="F1F0F0" w:themeColor="accent3" w:themeTint="99"/>
        </w:tcBorders>
      </w:tcPr>
    </w:tblStylePr>
    <w:tblStylePr w:type="nwCell">
      <w:tblPr/>
      <w:tcPr>
        <w:tcBorders>
          <w:bottom w:val="single" w:sz="4" w:space="0" w:color="F1F0F0" w:themeColor="accent3" w:themeTint="99"/>
        </w:tcBorders>
      </w:tcPr>
    </w:tblStylePr>
    <w:tblStylePr w:type="seCell">
      <w:tblPr/>
      <w:tcPr>
        <w:tcBorders>
          <w:top w:val="single" w:sz="4" w:space="0" w:color="F1F0F0" w:themeColor="accent3" w:themeTint="99"/>
        </w:tcBorders>
      </w:tcPr>
    </w:tblStylePr>
    <w:tblStylePr w:type="swCell">
      <w:tblPr/>
      <w:tcPr>
        <w:tcBorders>
          <w:top w:val="single" w:sz="4" w:space="0" w:color="F1F0F0" w:themeColor="accent3" w:themeTint="99"/>
        </w:tcBorders>
      </w:tcPr>
    </w:tblStylePr>
  </w:style>
  <w:style w:type="table" w:customStyle="1" w:styleId="GridTable7Colorful-Accent41">
    <w:name w:val="Grid Table 7 Colorful - Accent 41"/>
    <w:basedOn w:val="TableNormal"/>
    <w:uiPriority w:val="52"/>
    <w:semiHidden/>
    <w:rsid w:val="00C551E1"/>
    <w:pPr>
      <w:spacing w:after="0"/>
    </w:pPr>
    <w:rPr>
      <w:color w:val="696464" w:themeColor="accent4" w:themeShade="BF"/>
    </w:r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bottom w:val="single" w:sz="4" w:space="0" w:color="BAB6B6" w:themeColor="accent4" w:themeTint="99"/>
        </w:tcBorders>
      </w:tcPr>
    </w:tblStylePr>
    <w:tblStylePr w:type="nwCell">
      <w:tblPr/>
      <w:tcPr>
        <w:tcBorders>
          <w:bottom w:val="single" w:sz="4" w:space="0" w:color="BAB6B6" w:themeColor="accent4" w:themeTint="99"/>
        </w:tcBorders>
      </w:tcPr>
    </w:tblStylePr>
    <w:tblStylePr w:type="seCell">
      <w:tblPr/>
      <w:tcPr>
        <w:tcBorders>
          <w:top w:val="single" w:sz="4" w:space="0" w:color="BAB6B6" w:themeColor="accent4" w:themeTint="99"/>
        </w:tcBorders>
      </w:tcPr>
    </w:tblStylePr>
    <w:tblStylePr w:type="swCell">
      <w:tblPr/>
      <w:tcPr>
        <w:tcBorders>
          <w:top w:val="single" w:sz="4" w:space="0" w:color="BAB6B6" w:themeColor="accent4" w:themeTint="99"/>
        </w:tcBorders>
      </w:tcPr>
    </w:tblStylePr>
  </w:style>
  <w:style w:type="table" w:customStyle="1" w:styleId="GridTable7Colorful-Accent51">
    <w:name w:val="Grid Table 7 Colorful - Accent 51"/>
    <w:basedOn w:val="TableNormal"/>
    <w:uiPriority w:val="52"/>
    <w:semiHidden/>
    <w:rsid w:val="00C551E1"/>
    <w:pPr>
      <w:spacing w:after="0"/>
    </w:pPr>
    <w:rPr>
      <w:color w:val="201F1F" w:themeColor="accent5" w:themeShade="BF"/>
    </w:r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bottom w:val="single" w:sz="4" w:space="0" w:color="827C7C" w:themeColor="accent5" w:themeTint="99"/>
        </w:tcBorders>
      </w:tcPr>
    </w:tblStylePr>
    <w:tblStylePr w:type="nwCell">
      <w:tblPr/>
      <w:tcPr>
        <w:tcBorders>
          <w:bottom w:val="single" w:sz="4" w:space="0" w:color="827C7C" w:themeColor="accent5" w:themeTint="99"/>
        </w:tcBorders>
      </w:tcPr>
    </w:tblStylePr>
    <w:tblStylePr w:type="seCell">
      <w:tblPr/>
      <w:tcPr>
        <w:tcBorders>
          <w:top w:val="single" w:sz="4" w:space="0" w:color="827C7C" w:themeColor="accent5" w:themeTint="99"/>
        </w:tcBorders>
      </w:tcPr>
    </w:tblStylePr>
    <w:tblStylePr w:type="swCell">
      <w:tblPr/>
      <w:tcPr>
        <w:tcBorders>
          <w:top w:val="single" w:sz="4" w:space="0" w:color="827C7C" w:themeColor="accent5" w:themeTint="99"/>
        </w:tcBorders>
      </w:tcPr>
    </w:tblStylePr>
  </w:style>
  <w:style w:type="table" w:customStyle="1" w:styleId="GridTable7Colorful-Accent61">
    <w:name w:val="Grid Table 7 Colorful - Accent 61"/>
    <w:basedOn w:val="TableNormal"/>
    <w:uiPriority w:val="52"/>
    <w:semiHidden/>
    <w:rsid w:val="00C551E1"/>
    <w:pPr>
      <w:spacing w:after="0"/>
    </w:pPr>
    <w:rPr>
      <w:color w:val="370A11" w:themeColor="accent6" w:themeShade="BF"/>
    </w:r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bottom w:val="single" w:sz="4" w:space="0" w:color="D62946" w:themeColor="accent6" w:themeTint="99"/>
        </w:tcBorders>
      </w:tcPr>
    </w:tblStylePr>
    <w:tblStylePr w:type="nwCell">
      <w:tblPr/>
      <w:tcPr>
        <w:tcBorders>
          <w:bottom w:val="single" w:sz="4" w:space="0" w:color="D62946" w:themeColor="accent6" w:themeTint="99"/>
        </w:tcBorders>
      </w:tcPr>
    </w:tblStylePr>
    <w:tblStylePr w:type="seCell">
      <w:tblPr/>
      <w:tcPr>
        <w:tcBorders>
          <w:top w:val="single" w:sz="4" w:space="0" w:color="D62946" w:themeColor="accent6" w:themeTint="99"/>
        </w:tcBorders>
      </w:tcPr>
    </w:tblStylePr>
    <w:tblStylePr w:type="swCell">
      <w:tblPr/>
      <w:tcPr>
        <w:tcBorders>
          <w:top w:val="single" w:sz="4" w:space="0" w:color="D62946" w:themeColor="accent6" w:themeTint="99"/>
        </w:tcBorders>
      </w:tcPr>
    </w:tblStylePr>
  </w:style>
  <w:style w:type="table" w:styleId="LightGrid">
    <w:name w:val="Light Grid"/>
    <w:basedOn w:val="TableNormal"/>
    <w:uiPriority w:val="62"/>
    <w:semiHidden/>
    <w:unhideWhenUsed/>
    <w:locked/>
    <w:rsid w:val="00C551E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C551E1"/>
    <w:pPr>
      <w:spacing w:after="0"/>
    </w:pPr>
    <w:tblPr>
      <w:tblStyleRowBandSize w:val="1"/>
      <w:tblStyleColBandSize w:val="1"/>
      <w:tblBorders>
        <w:top w:val="single" w:sz="8" w:space="0" w:color="931B2F" w:themeColor="accent1"/>
        <w:left w:val="single" w:sz="8" w:space="0" w:color="931B2F" w:themeColor="accent1"/>
        <w:bottom w:val="single" w:sz="8" w:space="0" w:color="931B2F" w:themeColor="accent1"/>
        <w:right w:val="single" w:sz="8" w:space="0" w:color="931B2F" w:themeColor="accent1"/>
        <w:insideH w:val="single" w:sz="8" w:space="0" w:color="931B2F" w:themeColor="accent1"/>
        <w:insideV w:val="single" w:sz="8" w:space="0" w:color="93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1B2F" w:themeColor="accent1"/>
          <w:left w:val="single" w:sz="8" w:space="0" w:color="931B2F" w:themeColor="accent1"/>
          <w:bottom w:val="single" w:sz="18" w:space="0" w:color="931B2F" w:themeColor="accent1"/>
          <w:right w:val="single" w:sz="8" w:space="0" w:color="931B2F" w:themeColor="accent1"/>
          <w:insideH w:val="nil"/>
          <w:insideV w:val="single" w:sz="8" w:space="0" w:color="93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1B2F" w:themeColor="accent1"/>
          <w:left w:val="single" w:sz="8" w:space="0" w:color="931B2F" w:themeColor="accent1"/>
          <w:bottom w:val="single" w:sz="8" w:space="0" w:color="931B2F" w:themeColor="accent1"/>
          <w:right w:val="single" w:sz="8" w:space="0" w:color="931B2F" w:themeColor="accent1"/>
          <w:insideH w:val="nil"/>
          <w:insideV w:val="single" w:sz="8" w:space="0" w:color="93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1B2F" w:themeColor="accent1"/>
          <w:left w:val="single" w:sz="8" w:space="0" w:color="931B2F" w:themeColor="accent1"/>
          <w:bottom w:val="single" w:sz="8" w:space="0" w:color="931B2F" w:themeColor="accent1"/>
          <w:right w:val="single" w:sz="8" w:space="0" w:color="931B2F" w:themeColor="accent1"/>
        </w:tcBorders>
      </w:tcPr>
    </w:tblStylePr>
    <w:tblStylePr w:type="band1Vert">
      <w:tblPr/>
      <w:tcPr>
        <w:tcBorders>
          <w:top w:val="single" w:sz="8" w:space="0" w:color="931B2F" w:themeColor="accent1"/>
          <w:left w:val="single" w:sz="8" w:space="0" w:color="931B2F" w:themeColor="accent1"/>
          <w:bottom w:val="single" w:sz="8" w:space="0" w:color="931B2F" w:themeColor="accent1"/>
          <w:right w:val="single" w:sz="8" w:space="0" w:color="931B2F" w:themeColor="accent1"/>
        </w:tcBorders>
        <w:shd w:val="clear" w:color="auto" w:fill="F2B8C1" w:themeFill="accent1" w:themeFillTint="3F"/>
      </w:tcPr>
    </w:tblStylePr>
    <w:tblStylePr w:type="band1Horz">
      <w:tblPr/>
      <w:tcPr>
        <w:tcBorders>
          <w:top w:val="single" w:sz="8" w:space="0" w:color="931B2F" w:themeColor="accent1"/>
          <w:left w:val="single" w:sz="8" w:space="0" w:color="931B2F" w:themeColor="accent1"/>
          <w:bottom w:val="single" w:sz="8" w:space="0" w:color="931B2F" w:themeColor="accent1"/>
          <w:right w:val="single" w:sz="8" w:space="0" w:color="931B2F" w:themeColor="accent1"/>
          <w:insideV w:val="single" w:sz="8" w:space="0" w:color="931B2F" w:themeColor="accent1"/>
        </w:tcBorders>
        <w:shd w:val="clear" w:color="auto" w:fill="F2B8C1" w:themeFill="accent1" w:themeFillTint="3F"/>
      </w:tcPr>
    </w:tblStylePr>
    <w:tblStylePr w:type="band2Horz">
      <w:tblPr/>
      <w:tcPr>
        <w:tcBorders>
          <w:top w:val="single" w:sz="8" w:space="0" w:color="931B2F" w:themeColor="accent1"/>
          <w:left w:val="single" w:sz="8" w:space="0" w:color="931B2F" w:themeColor="accent1"/>
          <w:bottom w:val="single" w:sz="8" w:space="0" w:color="931B2F" w:themeColor="accent1"/>
          <w:right w:val="single" w:sz="8" w:space="0" w:color="931B2F" w:themeColor="accent1"/>
          <w:insideV w:val="single" w:sz="8" w:space="0" w:color="931B2F" w:themeColor="accent1"/>
        </w:tcBorders>
      </w:tcPr>
    </w:tblStylePr>
  </w:style>
  <w:style w:type="table" w:styleId="LightGrid-Accent2">
    <w:name w:val="Light Grid Accent 2"/>
    <w:basedOn w:val="TableNormal"/>
    <w:uiPriority w:val="62"/>
    <w:semiHidden/>
    <w:unhideWhenUsed/>
    <w:locked/>
    <w:rsid w:val="00C551E1"/>
    <w:pPr>
      <w:spacing w:after="0"/>
    </w:pPr>
    <w:tblPr>
      <w:tblStyleRowBandSize w:val="1"/>
      <w:tblStyleColBandSize w:val="1"/>
      <w:tblBorders>
        <w:top w:val="single" w:sz="8" w:space="0" w:color="B35F6D" w:themeColor="accent2"/>
        <w:left w:val="single" w:sz="8" w:space="0" w:color="B35F6D" w:themeColor="accent2"/>
        <w:bottom w:val="single" w:sz="8" w:space="0" w:color="B35F6D" w:themeColor="accent2"/>
        <w:right w:val="single" w:sz="8" w:space="0" w:color="B35F6D" w:themeColor="accent2"/>
        <w:insideH w:val="single" w:sz="8" w:space="0" w:color="B35F6D" w:themeColor="accent2"/>
        <w:insideV w:val="single" w:sz="8" w:space="0" w:color="B35F6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5F6D" w:themeColor="accent2"/>
          <w:left w:val="single" w:sz="8" w:space="0" w:color="B35F6D" w:themeColor="accent2"/>
          <w:bottom w:val="single" w:sz="18" w:space="0" w:color="B35F6D" w:themeColor="accent2"/>
          <w:right w:val="single" w:sz="8" w:space="0" w:color="B35F6D" w:themeColor="accent2"/>
          <w:insideH w:val="nil"/>
          <w:insideV w:val="single" w:sz="8" w:space="0" w:color="B35F6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5F6D" w:themeColor="accent2"/>
          <w:left w:val="single" w:sz="8" w:space="0" w:color="B35F6D" w:themeColor="accent2"/>
          <w:bottom w:val="single" w:sz="8" w:space="0" w:color="B35F6D" w:themeColor="accent2"/>
          <w:right w:val="single" w:sz="8" w:space="0" w:color="B35F6D" w:themeColor="accent2"/>
          <w:insideH w:val="nil"/>
          <w:insideV w:val="single" w:sz="8" w:space="0" w:color="B35F6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5F6D" w:themeColor="accent2"/>
          <w:left w:val="single" w:sz="8" w:space="0" w:color="B35F6D" w:themeColor="accent2"/>
          <w:bottom w:val="single" w:sz="8" w:space="0" w:color="B35F6D" w:themeColor="accent2"/>
          <w:right w:val="single" w:sz="8" w:space="0" w:color="B35F6D" w:themeColor="accent2"/>
        </w:tcBorders>
      </w:tcPr>
    </w:tblStylePr>
    <w:tblStylePr w:type="band1Vert">
      <w:tblPr/>
      <w:tcPr>
        <w:tcBorders>
          <w:top w:val="single" w:sz="8" w:space="0" w:color="B35F6D" w:themeColor="accent2"/>
          <w:left w:val="single" w:sz="8" w:space="0" w:color="B35F6D" w:themeColor="accent2"/>
          <w:bottom w:val="single" w:sz="8" w:space="0" w:color="B35F6D" w:themeColor="accent2"/>
          <w:right w:val="single" w:sz="8" w:space="0" w:color="B35F6D" w:themeColor="accent2"/>
        </w:tcBorders>
        <w:shd w:val="clear" w:color="auto" w:fill="ECD7DA" w:themeFill="accent2" w:themeFillTint="3F"/>
      </w:tcPr>
    </w:tblStylePr>
    <w:tblStylePr w:type="band1Horz">
      <w:tblPr/>
      <w:tcPr>
        <w:tcBorders>
          <w:top w:val="single" w:sz="8" w:space="0" w:color="B35F6D" w:themeColor="accent2"/>
          <w:left w:val="single" w:sz="8" w:space="0" w:color="B35F6D" w:themeColor="accent2"/>
          <w:bottom w:val="single" w:sz="8" w:space="0" w:color="B35F6D" w:themeColor="accent2"/>
          <w:right w:val="single" w:sz="8" w:space="0" w:color="B35F6D" w:themeColor="accent2"/>
          <w:insideV w:val="single" w:sz="8" w:space="0" w:color="B35F6D" w:themeColor="accent2"/>
        </w:tcBorders>
        <w:shd w:val="clear" w:color="auto" w:fill="ECD7DA" w:themeFill="accent2" w:themeFillTint="3F"/>
      </w:tcPr>
    </w:tblStylePr>
    <w:tblStylePr w:type="band2Horz">
      <w:tblPr/>
      <w:tcPr>
        <w:tcBorders>
          <w:top w:val="single" w:sz="8" w:space="0" w:color="B35F6D" w:themeColor="accent2"/>
          <w:left w:val="single" w:sz="8" w:space="0" w:color="B35F6D" w:themeColor="accent2"/>
          <w:bottom w:val="single" w:sz="8" w:space="0" w:color="B35F6D" w:themeColor="accent2"/>
          <w:right w:val="single" w:sz="8" w:space="0" w:color="B35F6D" w:themeColor="accent2"/>
          <w:insideV w:val="single" w:sz="8" w:space="0" w:color="B35F6D" w:themeColor="accent2"/>
        </w:tcBorders>
      </w:tcPr>
    </w:tblStylePr>
  </w:style>
  <w:style w:type="table" w:styleId="LightGrid-Accent3">
    <w:name w:val="Light Grid Accent 3"/>
    <w:basedOn w:val="TableNormal"/>
    <w:uiPriority w:val="62"/>
    <w:semiHidden/>
    <w:unhideWhenUsed/>
    <w:locked/>
    <w:rsid w:val="00C551E1"/>
    <w:pPr>
      <w:spacing w:after="0"/>
    </w:pPr>
    <w:tblPr>
      <w:tblStyleRowBandSize w:val="1"/>
      <w:tblStyleColBandSize w:val="1"/>
      <w:tblBorders>
        <w:top w:val="single" w:sz="8" w:space="0" w:color="E8E7E7" w:themeColor="accent3"/>
        <w:left w:val="single" w:sz="8" w:space="0" w:color="E8E7E7" w:themeColor="accent3"/>
        <w:bottom w:val="single" w:sz="8" w:space="0" w:color="E8E7E7" w:themeColor="accent3"/>
        <w:right w:val="single" w:sz="8" w:space="0" w:color="E8E7E7" w:themeColor="accent3"/>
        <w:insideH w:val="single" w:sz="8" w:space="0" w:color="E8E7E7" w:themeColor="accent3"/>
        <w:insideV w:val="single" w:sz="8" w:space="0" w:color="E8E7E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E7E7" w:themeColor="accent3"/>
          <w:left w:val="single" w:sz="8" w:space="0" w:color="E8E7E7" w:themeColor="accent3"/>
          <w:bottom w:val="single" w:sz="18" w:space="0" w:color="E8E7E7" w:themeColor="accent3"/>
          <w:right w:val="single" w:sz="8" w:space="0" w:color="E8E7E7" w:themeColor="accent3"/>
          <w:insideH w:val="nil"/>
          <w:insideV w:val="single" w:sz="8" w:space="0" w:color="E8E7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E7E7" w:themeColor="accent3"/>
          <w:left w:val="single" w:sz="8" w:space="0" w:color="E8E7E7" w:themeColor="accent3"/>
          <w:bottom w:val="single" w:sz="8" w:space="0" w:color="E8E7E7" w:themeColor="accent3"/>
          <w:right w:val="single" w:sz="8" w:space="0" w:color="E8E7E7" w:themeColor="accent3"/>
          <w:insideH w:val="nil"/>
          <w:insideV w:val="single" w:sz="8" w:space="0" w:color="E8E7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E7E7" w:themeColor="accent3"/>
          <w:left w:val="single" w:sz="8" w:space="0" w:color="E8E7E7" w:themeColor="accent3"/>
          <w:bottom w:val="single" w:sz="8" w:space="0" w:color="E8E7E7" w:themeColor="accent3"/>
          <w:right w:val="single" w:sz="8" w:space="0" w:color="E8E7E7" w:themeColor="accent3"/>
        </w:tcBorders>
      </w:tcPr>
    </w:tblStylePr>
    <w:tblStylePr w:type="band1Vert">
      <w:tblPr/>
      <w:tcPr>
        <w:tcBorders>
          <w:top w:val="single" w:sz="8" w:space="0" w:color="E8E7E7" w:themeColor="accent3"/>
          <w:left w:val="single" w:sz="8" w:space="0" w:color="E8E7E7" w:themeColor="accent3"/>
          <w:bottom w:val="single" w:sz="8" w:space="0" w:color="E8E7E7" w:themeColor="accent3"/>
          <w:right w:val="single" w:sz="8" w:space="0" w:color="E8E7E7" w:themeColor="accent3"/>
        </w:tcBorders>
        <w:shd w:val="clear" w:color="auto" w:fill="F9F9F9" w:themeFill="accent3" w:themeFillTint="3F"/>
      </w:tcPr>
    </w:tblStylePr>
    <w:tblStylePr w:type="band1Horz">
      <w:tblPr/>
      <w:tcPr>
        <w:tcBorders>
          <w:top w:val="single" w:sz="8" w:space="0" w:color="E8E7E7" w:themeColor="accent3"/>
          <w:left w:val="single" w:sz="8" w:space="0" w:color="E8E7E7" w:themeColor="accent3"/>
          <w:bottom w:val="single" w:sz="8" w:space="0" w:color="E8E7E7" w:themeColor="accent3"/>
          <w:right w:val="single" w:sz="8" w:space="0" w:color="E8E7E7" w:themeColor="accent3"/>
          <w:insideV w:val="single" w:sz="8" w:space="0" w:color="E8E7E7" w:themeColor="accent3"/>
        </w:tcBorders>
        <w:shd w:val="clear" w:color="auto" w:fill="F9F9F9" w:themeFill="accent3" w:themeFillTint="3F"/>
      </w:tcPr>
    </w:tblStylePr>
    <w:tblStylePr w:type="band2Horz">
      <w:tblPr/>
      <w:tcPr>
        <w:tcBorders>
          <w:top w:val="single" w:sz="8" w:space="0" w:color="E8E7E7" w:themeColor="accent3"/>
          <w:left w:val="single" w:sz="8" w:space="0" w:color="E8E7E7" w:themeColor="accent3"/>
          <w:bottom w:val="single" w:sz="8" w:space="0" w:color="E8E7E7" w:themeColor="accent3"/>
          <w:right w:val="single" w:sz="8" w:space="0" w:color="E8E7E7" w:themeColor="accent3"/>
          <w:insideV w:val="single" w:sz="8" w:space="0" w:color="E8E7E7" w:themeColor="accent3"/>
        </w:tcBorders>
      </w:tcPr>
    </w:tblStylePr>
  </w:style>
  <w:style w:type="table" w:styleId="LightGrid-Accent4">
    <w:name w:val="Light Grid Accent 4"/>
    <w:basedOn w:val="TableNormal"/>
    <w:uiPriority w:val="62"/>
    <w:semiHidden/>
    <w:unhideWhenUsed/>
    <w:locked/>
    <w:rsid w:val="00C551E1"/>
    <w:pPr>
      <w:spacing w:after="0"/>
    </w:pPr>
    <w:tblPr>
      <w:tblStyleRowBandSize w:val="1"/>
      <w:tblStyleColBandSize w:val="1"/>
      <w:tblBorders>
        <w:top w:val="single" w:sz="8" w:space="0" w:color="8C8686" w:themeColor="accent4"/>
        <w:left w:val="single" w:sz="8" w:space="0" w:color="8C8686" w:themeColor="accent4"/>
        <w:bottom w:val="single" w:sz="8" w:space="0" w:color="8C8686" w:themeColor="accent4"/>
        <w:right w:val="single" w:sz="8" w:space="0" w:color="8C8686" w:themeColor="accent4"/>
        <w:insideH w:val="single" w:sz="8" w:space="0" w:color="8C8686" w:themeColor="accent4"/>
        <w:insideV w:val="single" w:sz="8" w:space="0" w:color="8C868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8686" w:themeColor="accent4"/>
          <w:left w:val="single" w:sz="8" w:space="0" w:color="8C8686" w:themeColor="accent4"/>
          <w:bottom w:val="single" w:sz="18" w:space="0" w:color="8C8686" w:themeColor="accent4"/>
          <w:right w:val="single" w:sz="8" w:space="0" w:color="8C8686" w:themeColor="accent4"/>
          <w:insideH w:val="nil"/>
          <w:insideV w:val="single" w:sz="8" w:space="0" w:color="8C868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8686" w:themeColor="accent4"/>
          <w:left w:val="single" w:sz="8" w:space="0" w:color="8C8686" w:themeColor="accent4"/>
          <w:bottom w:val="single" w:sz="8" w:space="0" w:color="8C8686" w:themeColor="accent4"/>
          <w:right w:val="single" w:sz="8" w:space="0" w:color="8C8686" w:themeColor="accent4"/>
          <w:insideH w:val="nil"/>
          <w:insideV w:val="single" w:sz="8" w:space="0" w:color="8C868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8686" w:themeColor="accent4"/>
          <w:left w:val="single" w:sz="8" w:space="0" w:color="8C8686" w:themeColor="accent4"/>
          <w:bottom w:val="single" w:sz="8" w:space="0" w:color="8C8686" w:themeColor="accent4"/>
          <w:right w:val="single" w:sz="8" w:space="0" w:color="8C8686" w:themeColor="accent4"/>
        </w:tcBorders>
      </w:tcPr>
    </w:tblStylePr>
    <w:tblStylePr w:type="band1Vert">
      <w:tblPr/>
      <w:tcPr>
        <w:tcBorders>
          <w:top w:val="single" w:sz="8" w:space="0" w:color="8C8686" w:themeColor="accent4"/>
          <w:left w:val="single" w:sz="8" w:space="0" w:color="8C8686" w:themeColor="accent4"/>
          <w:bottom w:val="single" w:sz="8" w:space="0" w:color="8C8686" w:themeColor="accent4"/>
          <w:right w:val="single" w:sz="8" w:space="0" w:color="8C8686" w:themeColor="accent4"/>
        </w:tcBorders>
        <w:shd w:val="clear" w:color="auto" w:fill="E2E1E1" w:themeFill="accent4" w:themeFillTint="3F"/>
      </w:tcPr>
    </w:tblStylePr>
    <w:tblStylePr w:type="band1Horz">
      <w:tblPr/>
      <w:tcPr>
        <w:tcBorders>
          <w:top w:val="single" w:sz="8" w:space="0" w:color="8C8686" w:themeColor="accent4"/>
          <w:left w:val="single" w:sz="8" w:space="0" w:color="8C8686" w:themeColor="accent4"/>
          <w:bottom w:val="single" w:sz="8" w:space="0" w:color="8C8686" w:themeColor="accent4"/>
          <w:right w:val="single" w:sz="8" w:space="0" w:color="8C8686" w:themeColor="accent4"/>
          <w:insideV w:val="single" w:sz="8" w:space="0" w:color="8C8686" w:themeColor="accent4"/>
        </w:tcBorders>
        <w:shd w:val="clear" w:color="auto" w:fill="E2E1E1" w:themeFill="accent4" w:themeFillTint="3F"/>
      </w:tcPr>
    </w:tblStylePr>
    <w:tblStylePr w:type="band2Horz">
      <w:tblPr/>
      <w:tcPr>
        <w:tcBorders>
          <w:top w:val="single" w:sz="8" w:space="0" w:color="8C8686" w:themeColor="accent4"/>
          <w:left w:val="single" w:sz="8" w:space="0" w:color="8C8686" w:themeColor="accent4"/>
          <w:bottom w:val="single" w:sz="8" w:space="0" w:color="8C8686" w:themeColor="accent4"/>
          <w:right w:val="single" w:sz="8" w:space="0" w:color="8C8686" w:themeColor="accent4"/>
          <w:insideV w:val="single" w:sz="8" w:space="0" w:color="8C8686" w:themeColor="accent4"/>
        </w:tcBorders>
      </w:tcPr>
    </w:tblStylePr>
  </w:style>
  <w:style w:type="table" w:styleId="LightGrid-Accent5">
    <w:name w:val="Light Grid Accent 5"/>
    <w:basedOn w:val="TableNormal"/>
    <w:uiPriority w:val="62"/>
    <w:semiHidden/>
    <w:unhideWhenUsed/>
    <w:locked/>
    <w:rsid w:val="00C551E1"/>
    <w:pPr>
      <w:spacing w:after="0"/>
    </w:pPr>
    <w:tblPr>
      <w:tblStyleRowBandSize w:val="1"/>
      <w:tblStyleColBandSize w:val="1"/>
      <w:tblBorders>
        <w:top w:val="single" w:sz="8" w:space="0" w:color="2C2A2A" w:themeColor="accent5"/>
        <w:left w:val="single" w:sz="8" w:space="0" w:color="2C2A2A" w:themeColor="accent5"/>
        <w:bottom w:val="single" w:sz="8" w:space="0" w:color="2C2A2A" w:themeColor="accent5"/>
        <w:right w:val="single" w:sz="8" w:space="0" w:color="2C2A2A" w:themeColor="accent5"/>
        <w:insideH w:val="single" w:sz="8" w:space="0" w:color="2C2A2A" w:themeColor="accent5"/>
        <w:insideV w:val="single" w:sz="8" w:space="0" w:color="2C2A2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A2A" w:themeColor="accent5"/>
          <w:left w:val="single" w:sz="8" w:space="0" w:color="2C2A2A" w:themeColor="accent5"/>
          <w:bottom w:val="single" w:sz="18" w:space="0" w:color="2C2A2A" w:themeColor="accent5"/>
          <w:right w:val="single" w:sz="8" w:space="0" w:color="2C2A2A" w:themeColor="accent5"/>
          <w:insideH w:val="nil"/>
          <w:insideV w:val="single" w:sz="8" w:space="0" w:color="2C2A2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A2A" w:themeColor="accent5"/>
          <w:left w:val="single" w:sz="8" w:space="0" w:color="2C2A2A" w:themeColor="accent5"/>
          <w:bottom w:val="single" w:sz="8" w:space="0" w:color="2C2A2A" w:themeColor="accent5"/>
          <w:right w:val="single" w:sz="8" w:space="0" w:color="2C2A2A" w:themeColor="accent5"/>
          <w:insideH w:val="nil"/>
          <w:insideV w:val="single" w:sz="8" w:space="0" w:color="2C2A2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A2A" w:themeColor="accent5"/>
          <w:left w:val="single" w:sz="8" w:space="0" w:color="2C2A2A" w:themeColor="accent5"/>
          <w:bottom w:val="single" w:sz="8" w:space="0" w:color="2C2A2A" w:themeColor="accent5"/>
          <w:right w:val="single" w:sz="8" w:space="0" w:color="2C2A2A" w:themeColor="accent5"/>
        </w:tcBorders>
      </w:tcPr>
    </w:tblStylePr>
    <w:tblStylePr w:type="band1Vert">
      <w:tblPr/>
      <w:tcPr>
        <w:tcBorders>
          <w:top w:val="single" w:sz="8" w:space="0" w:color="2C2A2A" w:themeColor="accent5"/>
          <w:left w:val="single" w:sz="8" w:space="0" w:color="2C2A2A" w:themeColor="accent5"/>
          <w:bottom w:val="single" w:sz="8" w:space="0" w:color="2C2A2A" w:themeColor="accent5"/>
          <w:right w:val="single" w:sz="8" w:space="0" w:color="2C2A2A" w:themeColor="accent5"/>
        </w:tcBorders>
        <w:shd w:val="clear" w:color="auto" w:fill="CBC9C9" w:themeFill="accent5" w:themeFillTint="3F"/>
      </w:tcPr>
    </w:tblStylePr>
    <w:tblStylePr w:type="band1Horz">
      <w:tblPr/>
      <w:tcPr>
        <w:tcBorders>
          <w:top w:val="single" w:sz="8" w:space="0" w:color="2C2A2A" w:themeColor="accent5"/>
          <w:left w:val="single" w:sz="8" w:space="0" w:color="2C2A2A" w:themeColor="accent5"/>
          <w:bottom w:val="single" w:sz="8" w:space="0" w:color="2C2A2A" w:themeColor="accent5"/>
          <w:right w:val="single" w:sz="8" w:space="0" w:color="2C2A2A" w:themeColor="accent5"/>
          <w:insideV w:val="single" w:sz="8" w:space="0" w:color="2C2A2A" w:themeColor="accent5"/>
        </w:tcBorders>
        <w:shd w:val="clear" w:color="auto" w:fill="CBC9C9" w:themeFill="accent5" w:themeFillTint="3F"/>
      </w:tcPr>
    </w:tblStylePr>
    <w:tblStylePr w:type="band2Horz">
      <w:tblPr/>
      <w:tcPr>
        <w:tcBorders>
          <w:top w:val="single" w:sz="8" w:space="0" w:color="2C2A2A" w:themeColor="accent5"/>
          <w:left w:val="single" w:sz="8" w:space="0" w:color="2C2A2A" w:themeColor="accent5"/>
          <w:bottom w:val="single" w:sz="8" w:space="0" w:color="2C2A2A" w:themeColor="accent5"/>
          <w:right w:val="single" w:sz="8" w:space="0" w:color="2C2A2A" w:themeColor="accent5"/>
          <w:insideV w:val="single" w:sz="8" w:space="0" w:color="2C2A2A" w:themeColor="accent5"/>
        </w:tcBorders>
      </w:tcPr>
    </w:tblStylePr>
  </w:style>
  <w:style w:type="table" w:styleId="LightGrid-Accent6">
    <w:name w:val="Light Grid Accent 6"/>
    <w:basedOn w:val="TableNormal"/>
    <w:uiPriority w:val="62"/>
    <w:semiHidden/>
    <w:unhideWhenUsed/>
    <w:locked/>
    <w:rsid w:val="00C551E1"/>
    <w:pPr>
      <w:spacing w:after="0"/>
    </w:pPr>
    <w:tblPr>
      <w:tblStyleRowBandSize w:val="1"/>
      <w:tblStyleColBandSize w:val="1"/>
      <w:tblBorders>
        <w:top w:val="single" w:sz="8" w:space="0" w:color="4A0E18" w:themeColor="accent6"/>
        <w:left w:val="single" w:sz="8" w:space="0" w:color="4A0E18" w:themeColor="accent6"/>
        <w:bottom w:val="single" w:sz="8" w:space="0" w:color="4A0E18" w:themeColor="accent6"/>
        <w:right w:val="single" w:sz="8" w:space="0" w:color="4A0E18" w:themeColor="accent6"/>
        <w:insideH w:val="single" w:sz="8" w:space="0" w:color="4A0E18" w:themeColor="accent6"/>
        <w:insideV w:val="single" w:sz="8" w:space="0" w:color="4A0E1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0E18" w:themeColor="accent6"/>
          <w:left w:val="single" w:sz="8" w:space="0" w:color="4A0E18" w:themeColor="accent6"/>
          <w:bottom w:val="single" w:sz="18" w:space="0" w:color="4A0E18" w:themeColor="accent6"/>
          <w:right w:val="single" w:sz="8" w:space="0" w:color="4A0E18" w:themeColor="accent6"/>
          <w:insideH w:val="nil"/>
          <w:insideV w:val="single" w:sz="8" w:space="0" w:color="4A0E1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0E18" w:themeColor="accent6"/>
          <w:left w:val="single" w:sz="8" w:space="0" w:color="4A0E18" w:themeColor="accent6"/>
          <w:bottom w:val="single" w:sz="8" w:space="0" w:color="4A0E18" w:themeColor="accent6"/>
          <w:right w:val="single" w:sz="8" w:space="0" w:color="4A0E18" w:themeColor="accent6"/>
          <w:insideH w:val="nil"/>
          <w:insideV w:val="single" w:sz="8" w:space="0" w:color="4A0E1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0E18" w:themeColor="accent6"/>
          <w:left w:val="single" w:sz="8" w:space="0" w:color="4A0E18" w:themeColor="accent6"/>
          <w:bottom w:val="single" w:sz="8" w:space="0" w:color="4A0E18" w:themeColor="accent6"/>
          <w:right w:val="single" w:sz="8" w:space="0" w:color="4A0E18" w:themeColor="accent6"/>
        </w:tcBorders>
      </w:tcPr>
    </w:tblStylePr>
    <w:tblStylePr w:type="band1Vert">
      <w:tblPr/>
      <w:tcPr>
        <w:tcBorders>
          <w:top w:val="single" w:sz="8" w:space="0" w:color="4A0E18" w:themeColor="accent6"/>
          <w:left w:val="single" w:sz="8" w:space="0" w:color="4A0E18" w:themeColor="accent6"/>
          <w:bottom w:val="single" w:sz="8" w:space="0" w:color="4A0E18" w:themeColor="accent6"/>
          <w:right w:val="single" w:sz="8" w:space="0" w:color="4A0E18" w:themeColor="accent6"/>
        </w:tcBorders>
        <w:shd w:val="clear" w:color="auto" w:fill="EEA7B2" w:themeFill="accent6" w:themeFillTint="3F"/>
      </w:tcPr>
    </w:tblStylePr>
    <w:tblStylePr w:type="band1Horz">
      <w:tblPr/>
      <w:tcPr>
        <w:tcBorders>
          <w:top w:val="single" w:sz="8" w:space="0" w:color="4A0E18" w:themeColor="accent6"/>
          <w:left w:val="single" w:sz="8" w:space="0" w:color="4A0E18" w:themeColor="accent6"/>
          <w:bottom w:val="single" w:sz="8" w:space="0" w:color="4A0E18" w:themeColor="accent6"/>
          <w:right w:val="single" w:sz="8" w:space="0" w:color="4A0E18" w:themeColor="accent6"/>
          <w:insideV w:val="single" w:sz="8" w:space="0" w:color="4A0E18" w:themeColor="accent6"/>
        </w:tcBorders>
        <w:shd w:val="clear" w:color="auto" w:fill="EEA7B2" w:themeFill="accent6" w:themeFillTint="3F"/>
      </w:tcPr>
    </w:tblStylePr>
    <w:tblStylePr w:type="band2Horz">
      <w:tblPr/>
      <w:tcPr>
        <w:tcBorders>
          <w:top w:val="single" w:sz="8" w:space="0" w:color="4A0E18" w:themeColor="accent6"/>
          <w:left w:val="single" w:sz="8" w:space="0" w:color="4A0E18" w:themeColor="accent6"/>
          <w:bottom w:val="single" w:sz="8" w:space="0" w:color="4A0E18" w:themeColor="accent6"/>
          <w:right w:val="single" w:sz="8" w:space="0" w:color="4A0E18" w:themeColor="accent6"/>
          <w:insideV w:val="single" w:sz="8" w:space="0" w:color="4A0E18" w:themeColor="accent6"/>
        </w:tcBorders>
      </w:tcPr>
    </w:tblStylePr>
  </w:style>
  <w:style w:type="table" w:styleId="LightList">
    <w:name w:val="Light List"/>
    <w:basedOn w:val="TableNormal"/>
    <w:uiPriority w:val="61"/>
    <w:semiHidden/>
    <w:unhideWhenUsed/>
    <w:locked/>
    <w:rsid w:val="00C551E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C551E1"/>
    <w:pPr>
      <w:spacing w:after="0"/>
    </w:pPr>
    <w:tblPr>
      <w:tblStyleRowBandSize w:val="1"/>
      <w:tblStyleColBandSize w:val="1"/>
      <w:tblBorders>
        <w:top w:val="single" w:sz="8" w:space="0" w:color="931B2F" w:themeColor="accent1"/>
        <w:left w:val="single" w:sz="8" w:space="0" w:color="931B2F" w:themeColor="accent1"/>
        <w:bottom w:val="single" w:sz="8" w:space="0" w:color="931B2F" w:themeColor="accent1"/>
        <w:right w:val="single" w:sz="8" w:space="0" w:color="931B2F" w:themeColor="accent1"/>
      </w:tblBorders>
    </w:tblPr>
    <w:tblStylePr w:type="firstRow">
      <w:pPr>
        <w:spacing w:before="0" w:after="0" w:line="240" w:lineRule="auto"/>
      </w:pPr>
      <w:rPr>
        <w:b/>
        <w:bCs/>
        <w:color w:val="FFFFFF" w:themeColor="background1"/>
      </w:rPr>
      <w:tblPr/>
      <w:tcPr>
        <w:shd w:val="clear" w:color="auto" w:fill="931B2F" w:themeFill="accent1"/>
      </w:tcPr>
    </w:tblStylePr>
    <w:tblStylePr w:type="lastRow">
      <w:pPr>
        <w:spacing w:before="0" w:after="0" w:line="240" w:lineRule="auto"/>
      </w:pPr>
      <w:rPr>
        <w:b/>
        <w:bCs/>
      </w:rPr>
      <w:tblPr/>
      <w:tcPr>
        <w:tcBorders>
          <w:top w:val="double" w:sz="6" w:space="0" w:color="931B2F" w:themeColor="accent1"/>
          <w:left w:val="single" w:sz="8" w:space="0" w:color="931B2F" w:themeColor="accent1"/>
          <w:bottom w:val="single" w:sz="8" w:space="0" w:color="931B2F" w:themeColor="accent1"/>
          <w:right w:val="single" w:sz="8" w:space="0" w:color="931B2F" w:themeColor="accent1"/>
        </w:tcBorders>
      </w:tcPr>
    </w:tblStylePr>
    <w:tblStylePr w:type="firstCol">
      <w:rPr>
        <w:b/>
        <w:bCs/>
      </w:rPr>
    </w:tblStylePr>
    <w:tblStylePr w:type="lastCol">
      <w:rPr>
        <w:b/>
        <w:bCs/>
      </w:rPr>
    </w:tblStylePr>
    <w:tblStylePr w:type="band1Vert">
      <w:tblPr/>
      <w:tcPr>
        <w:tcBorders>
          <w:top w:val="single" w:sz="8" w:space="0" w:color="931B2F" w:themeColor="accent1"/>
          <w:left w:val="single" w:sz="8" w:space="0" w:color="931B2F" w:themeColor="accent1"/>
          <w:bottom w:val="single" w:sz="8" w:space="0" w:color="931B2F" w:themeColor="accent1"/>
          <w:right w:val="single" w:sz="8" w:space="0" w:color="931B2F" w:themeColor="accent1"/>
        </w:tcBorders>
      </w:tcPr>
    </w:tblStylePr>
    <w:tblStylePr w:type="band1Horz">
      <w:tblPr/>
      <w:tcPr>
        <w:tcBorders>
          <w:top w:val="single" w:sz="8" w:space="0" w:color="931B2F" w:themeColor="accent1"/>
          <w:left w:val="single" w:sz="8" w:space="0" w:color="931B2F" w:themeColor="accent1"/>
          <w:bottom w:val="single" w:sz="8" w:space="0" w:color="931B2F" w:themeColor="accent1"/>
          <w:right w:val="single" w:sz="8" w:space="0" w:color="931B2F" w:themeColor="accent1"/>
        </w:tcBorders>
      </w:tcPr>
    </w:tblStylePr>
  </w:style>
  <w:style w:type="table" w:styleId="LightList-Accent2">
    <w:name w:val="Light List Accent 2"/>
    <w:basedOn w:val="TableNormal"/>
    <w:uiPriority w:val="61"/>
    <w:semiHidden/>
    <w:unhideWhenUsed/>
    <w:locked/>
    <w:rsid w:val="00C551E1"/>
    <w:pPr>
      <w:spacing w:after="0"/>
    </w:pPr>
    <w:tblPr>
      <w:tblStyleRowBandSize w:val="1"/>
      <w:tblStyleColBandSize w:val="1"/>
      <w:tblBorders>
        <w:top w:val="single" w:sz="8" w:space="0" w:color="B35F6D" w:themeColor="accent2"/>
        <w:left w:val="single" w:sz="8" w:space="0" w:color="B35F6D" w:themeColor="accent2"/>
        <w:bottom w:val="single" w:sz="8" w:space="0" w:color="B35F6D" w:themeColor="accent2"/>
        <w:right w:val="single" w:sz="8" w:space="0" w:color="B35F6D" w:themeColor="accent2"/>
      </w:tblBorders>
    </w:tblPr>
    <w:tblStylePr w:type="firstRow">
      <w:pPr>
        <w:spacing w:before="0" w:after="0" w:line="240" w:lineRule="auto"/>
      </w:pPr>
      <w:rPr>
        <w:b/>
        <w:bCs/>
        <w:color w:val="FFFFFF" w:themeColor="background1"/>
      </w:rPr>
      <w:tblPr/>
      <w:tcPr>
        <w:shd w:val="clear" w:color="auto" w:fill="B35F6D" w:themeFill="accent2"/>
      </w:tcPr>
    </w:tblStylePr>
    <w:tblStylePr w:type="lastRow">
      <w:pPr>
        <w:spacing w:before="0" w:after="0" w:line="240" w:lineRule="auto"/>
      </w:pPr>
      <w:rPr>
        <w:b/>
        <w:bCs/>
      </w:rPr>
      <w:tblPr/>
      <w:tcPr>
        <w:tcBorders>
          <w:top w:val="double" w:sz="6" w:space="0" w:color="B35F6D" w:themeColor="accent2"/>
          <w:left w:val="single" w:sz="8" w:space="0" w:color="B35F6D" w:themeColor="accent2"/>
          <w:bottom w:val="single" w:sz="8" w:space="0" w:color="B35F6D" w:themeColor="accent2"/>
          <w:right w:val="single" w:sz="8" w:space="0" w:color="B35F6D" w:themeColor="accent2"/>
        </w:tcBorders>
      </w:tcPr>
    </w:tblStylePr>
    <w:tblStylePr w:type="firstCol">
      <w:rPr>
        <w:b/>
        <w:bCs/>
      </w:rPr>
    </w:tblStylePr>
    <w:tblStylePr w:type="lastCol">
      <w:rPr>
        <w:b/>
        <w:bCs/>
      </w:rPr>
    </w:tblStylePr>
    <w:tblStylePr w:type="band1Vert">
      <w:tblPr/>
      <w:tcPr>
        <w:tcBorders>
          <w:top w:val="single" w:sz="8" w:space="0" w:color="B35F6D" w:themeColor="accent2"/>
          <w:left w:val="single" w:sz="8" w:space="0" w:color="B35F6D" w:themeColor="accent2"/>
          <w:bottom w:val="single" w:sz="8" w:space="0" w:color="B35F6D" w:themeColor="accent2"/>
          <w:right w:val="single" w:sz="8" w:space="0" w:color="B35F6D" w:themeColor="accent2"/>
        </w:tcBorders>
      </w:tcPr>
    </w:tblStylePr>
    <w:tblStylePr w:type="band1Horz">
      <w:tblPr/>
      <w:tcPr>
        <w:tcBorders>
          <w:top w:val="single" w:sz="8" w:space="0" w:color="B35F6D" w:themeColor="accent2"/>
          <w:left w:val="single" w:sz="8" w:space="0" w:color="B35F6D" w:themeColor="accent2"/>
          <w:bottom w:val="single" w:sz="8" w:space="0" w:color="B35F6D" w:themeColor="accent2"/>
          <w:right w:val="single" w:sz="8" w:space="0" w:color="B35F6D" w:themeColor="accent2"/>
        </w:tcBorders>
      </w:tcPr>
    </w:tblStylePr>
  </w:style>
  <w:style w:type="table" w:styleId="LightList-Accent3">
    <w:name w:val="Light List Accent 3"/>
    <w:basedOn w:val="TableNormal"/>
    <w:uiPriority w:val="61"/>
    <w:semiHidden/>
    <w:unhideWhenUsed/>
    <w:locked/>
    <w:rsid w:val="00C551E1"/>
    <w:pPr>
      <w:spacing w:after="0"/>
    </w:pPr>
    <w:tblPr>
      <w:tblStyleRowBandSize w:val="1"/>
      <w:tblStyleColBandSize w:val="1"/>
      <w:tblBorders>
        <w:top w:val="single" w:sz="8" w:space="0" w:color="E8E7E7" w:themeColor="accent3"/>
        <w:left w:val="single" w:sz="8" w:space="0" w:color="E8E7E7" w:themeColor="accent3"/>
        <w:bottom w:val="single" w:sz="8" w:space="0" w:color="E8E7E7" w:themeColor="accent3"/>
        <w:right w:val="single" w:sz="8" w:space="0" w:color="E8E7E7" w:themeColor="accent3"/>
      </w:tblBorders>
    </w:tblPr>
    <w:tblStylePr w:type="firstRow">
      <w:pPr>
        <w:spacing w:before="0" w:after="0" w:line="240" w:lineRule="auto"/>
      </w:pPr>
      <w:rPr>
        <w:b/>
        <w:bCs/>
        <w:color w:val="FFFFFF" w:themeColor="background1"/>
      </w:rPr>
      <w:tblPr/>
      <w:tcPr>
        <w:shd w:val="clear" w:color="auto" w:fill="E8E7E7" w:themeFill="accent3"/>
      </w:tcPr>
    </w:tblStylePr>
    <w:tblStylePr w:type="lastRow">
      <w:pPr>
        <w:spacing w:before="0" w:after="0" w:line="240" w:lineRule="auto"/>
      </w:pPr>
      <w:rPr>
        <w:b/>
        <w:bCs/>
      </w:rPr>
      <w:tblPr/>
      <w:tcPr>
        <w:tcBorders>
          <w:top w:val="double" w:sz="6" w:space="0" w:color="E8E7E7" w:themeColor="accent3"/>
          <w:left w:val="single" w:sz="8" w:space="0" w:color="E8E7E7" w:themeColor="accent3"/>
          <w:bottom w:val="single" w:sz="8" w:space="0" w:color="E8E7E7" w:themeColor="accent3"/>
          <w:right w:val="single" w:sz="8" w:space="0" w:color="E8E7E7" w:themeColor="accent3"/>
        </w:tcBorders>
      </w:tcPr>
    </w:tblStylePr>
    <w:tblStylePr w:type="firstCol">
      <w:rPr>
        <w:b/>
        <w:bCs/>
      </w:rPr>
    </w:tblStylePr>
    <w:tblStylePr w:type="lastCol">
      <w:rPr>
        <w:b/>
        <w:bCs/>
      </w:rPr>
    </w:tblStylePr>
    <w:tblStylePr w:type="band1Vert">
      <w:tblPr/>
      <w:tcPr>
        <w:tcBorders>
          <w:top w:val="single" w:sz="8" w:space="0" w:color="E8E7E7" w:themeColor="accent3"/>
          <w:left w:val="single" w:sz="8" w:space="0" w:color="E8E7E7" w:themeColor="accent3"/>
          <w:bottom w:val="single" w:sz="8" w:space="0" w:color="E8E7E7" w:themeColor="accent3"/>
          <w:right w:val="single" w:sz="8" w:space="0" w:color="E8E7E7" w:themeColor="accent3"/>
        </w:tcBorders>
      </w:tcPr>
    </w:tblStylePr>
    <w:tblStylePr w:type="band1Horz">
      <w:tblPr/>
      <w:tcPr>
        <w:tcBorders>
          <w:top w:val="single" w:sz="8" w:space="0" w:color="E8E7E7" w:themeColor="accent3"/>
          <w:left w:val="single" w:sz="8" w:space="0" w:color="E8E7E7" w:themeColor="accent3"/>
          <w:bottom w:val="single" w:sz="8" w:space="0" w:color="E8E7E7" w:themeColor="accent3"/>
          <w:right w:val="single" w:sz="8" w:space="0" w:color="E8E7E7" w:themeColor="accent3"/>
        </w:tcBorders>
      </w:tcPr>
    </w:tblStylePr>
  </w:style>
  <w:style w:type="table" w:styleId="LightList-Accent4">
    <w:name w:val="Light List Accent 4"/>
    <w:basedOn w:val="TableNormal"/>
    <w:uiPriority w:val="61"/>
    <w:semiHidden/>
    <w:unhideWhenUsed/>
    <w:locked/>
    <w:rsid w:val="00C551E1"/>
    <w:pPr>
      <w:spacing w:after="0"/>
    </w:pPr>
    <w:tblPr>
      <w:tblStyleRowBandSize w:val="1"/>
      <w:tblStyleColBandSize w:val="1"/>
      <w:tblBorders>
        <w:top w:val="single" w:sz="8" w:space="0" w:color="8C8686" w:themeColor="accent4"/>
        <w:left w:val="single" w:sz="8" w:space="0" w:color="8C8686" w:themeColor="accent4"/>
        <w:bottom w:val="single" w:sz="8" w:space="0" w:color="8C8686" w:themeColor="accent4"/>
        <w:right w:val="single" w:sz="8" w:space="0" w:color="8C8686" w:themeColor="accent4"/>
      </w:tblBorders>
    </w:tblPr>
    <w:tblStylePr w:type="firstRow">
      <w:pPr>
        <w:spacing w:before="0" w:after="0" w:line="240" w:lineRule="auto"/>
      </w:pPr>
      <w:rPr>
        <w:b/>
        <w:bCs/>
        <w:color w:val="FFFFFF" w:themeColor="background1"/>
      </w:rPr>
      <w:tblPr/>
      <w:tcPr>
        <w:shd w:val="clear" w:color="auto" w:fill="8C8686" w:themeFill="accent4"/>
      </w:tcPr>
    </w:tblStylePr>
    <w:tblStylePr w:type="lastRow">
      <w:pPr>
        <w:spacing w:before="0" w:after="0" w:line="240" w:lineRule="auto"/>
      </w:pPr>
      <w:rPr>
        <w:b/>
        <w:bCs/>
      </w:rPr>
      <w:tblPr/>
      <w:tcPr>
        <w:tcBorders>
          <w:top w:val="double" w:sz="6" w:space="0" w:color="8C8686" w:themeColor="accent4"/>
          <w:left w:val="single" w:sz="8" w:space="0" w:color="8C8686" w:themeColor="accent4"/>
          <w:bottom w:val="single" w:sz="8" w:space="0" w:color="8C8686" w:themeColor="accent4"/>
          <w:right w:val="single" w:sz="8" w:space="0" w:color="8C8686" w:themeColor="accent4"/>
        </w:tcBorders>
      </w:tcPr>
    </w:tblStylePr>
    <w:tblStylePr w:type="firstCol">
      <w:rPr>
        <w:b/>
        <w:bCs/>
      </w:rPr>
    </w:tblStylePr>
    <w:tblStylePr w:type="lastCol">
      <w:rPr>
        <w:b/>
        <w:bCs/>
      </w:rPr>
    </w:tblStylePr>
    <w:tblStylePr w:type="band1Vert">
      <w:tblPr/>
      <w:tcPr>
        <w:tcBorders>
          <w:top w:val="single" w:sz="8" w:space="0" w:color="8C8686" w:themeColor="accent4"/>
          <w:left w:val="single" w:sz="8" w:space="0" w:color="8C8686" w:themeColor="accent4"/>
          <w:bottom w:val="single" w:sz="8" w:space="0" w:color="8C8686" w:themeColor="accent4"/>
          <w:right w:val="single" w:sz="8" w:space="0" w:color="8C8686" w:themeColor="accent4"/>
        </w:tcBorders>
      </w:tcPr>
    </w:tblStylePr>
    <w:tblStylePr w:type="band1Horz">
      <w:tblPr/>
      <w:tcPr>
        <w:tcBorders>
          <w:top w:val="single" w:sz="8" w:space="0" w:color="8C8686" w:themeColor="accent4"/>
          <w:left w:val="single" w:sz="8" w:space="0" w:color="8C8686" w:themeColor="accent4"/>
          <w:bottom w:val="single" w:sz="8" w:space="0" w:color="8C8686" w:themeColor="accent4"/>
          <w:right w:val="single" w:sz="8" w:space="0" w:color="8C8686" w:themeColor="accent4"/>
        </w:tcBorders>
      </w:tcPr>
    </w:tblStylePr>
  </w:style>
  <w:style w:type="table" w:styleId="LightList-Accent5">
    <w:name w:val="Light List Accent 5"/>
    <w:basedOn w:val="TableNormal"/>
    <w:uiPriority w:val="61"/>
    <w:semiHidden/>
    <w:unhideWhenUsed/>
    <w:locked/>
    <w:rsid w:val="00C551E1"/>
    <w:pPr>
      <w:spacing w:after="0"/>
    </w:pPr>
    <w:tblPr>
      <w:tblStyleRowBandSize w:val="1"/>
      <w:tblStyleColBandSize w:val="1"/>
      <w:tblBorders>
        <w:top w:val="single" w:sz="8" w:space="0" w:color="2C2A2A" w:themeColor="accent5"/>
        <w:left w:val="single" w:sz="8" w:space="0" w:color="2C2A2A" w:themeColor="accent5"/>
        <w:bottom w:val="single" w:sz="8" w:space="0" w:color="2C2A2A" w:themeColor="accent5"/>
        <w:right w:val="single" w:sz="8" w:space="0" w:color="2C2A2A" w:themeColor="accent5"/>
      </w:tblBorders>
    </w:tblPr>
    <w:tblStylePr w:type="firstRow">
      <w:pPr>
        <w:spacing w:before="0" w:after="0" w:line="240" w:lineRule="auto"/>
      </w:pPr>
      <w:rPr>
        <w:b/>
        <w:bCs/>
        <w:color w:val="FFFFFF" w:themeColor="background1"/>
      </w:rPr>
      <w:tblPr/>
      <w:tcPr>
        <w:shd w:val="clear" w:color="auto" w:fill="2C2A2A" w:themeFill="accent5"/>
      </w:tcPr>
    </w:tblStylePr>
    <w:tblStylePr w:type="lastRow">
      <w:pPr>
        <w:spacing w:before="0" w:after="0" w:line="240" w:lineRule="auto"/>
      </w:pPr>
      <w:rPr>
        <w:b/>
        <w:bCs/>
      </w:rPr>
      <w:tblPr/>
      <w:tcPr>
        <w:tcBorders>
          <w:top w:val="double" w:sz="6" w:space="0" w:color="2C2A2A" w:themeColor="accent5"/>
          <w:left w:val="single" w:sz="8" w:space="0" w:color="2C2A2A" w:themeColor="accent5"/>
          <w:bottom w:val="single" w:sz="8" w:space="0" w:color="2C2A2A" w:themeColor="accent5"/>
          <w:right w:val="single" w:sz="8" w:space="0" w:color="2C2A2A" w:themeColor="accent5"/>
        </w:tcBorders>
      </w:tcPr>
    </w:tblStylePr>
    <w:tblStylePr w:type="firstCol">
      <w:rPr>
        <w:b/>
        <w:bCs/>
      </w:rPr>
    </w:tblStylePr>
    <w:tblStylePr w:type="lastCol">
      <w:rPr>
        <w:b/>
        <w:bCs/>
      </w:rPr>
    </w:tblStylePr>
    <w:tblStylePr w:type="band1Vert">
      <w:tblPr/>
      <w:tcPr>
        <w:tcBorders>
          <w:top w:val="single" w:sz="8" w:space="0" w:color="2C2A2A" w:themeColor="accent5"/>
          <w:left w:val="single" w:sz="8" w:space="0" w:color="2C2A2A" w:themeColor="accent5"/>
          <w:bottom w:val="single" w:sz="8" w:space="0" w:color="2C2A2A" w:themeColor="accent5"/>
          <w:right w:val="single" w:sz="8" w:space="0" w:color="2C2A2A" w:themeColor="accent5"/>
        </w:tcBorders>
      </w:tcPr>
    </w:tblStylePr>
    <w:tblStylePr w:type="band1Horz">
      <w:tblPr/>
      <w:tcPr>
        <w:tcBorders>
          <w:top w:val="single" w:sz="8" w:space="0" w:color="2C2A2A" w:themeColor="accent5"/>
          <w:left w:val="single" w:sz="8" w:space="0" w:color="2C2A2A" w:themeColor="accent5"/>
          <w:bottom w:val="single" w:sz="8" w:space="0" w:color="2C2A2A" w:themeColor="accent5"/>
          <w:right w:val="single" w:sz="8" w:space="0" w:color="2C2A2A" w:themeColor="accent5"/>
        </w:tcBorders>
      </w:tcPr>
    </w:tblStylePr>
  </w:style>
  <w:style w:type="table" w:styleId="LightList-Accent6">
    <w:name w:val="Light List Accent 6"/>
    <w:basedOn w:val="TableNormal"/>
    <w:uiPriority w:val="61"/>
    <w:semiHidden/>
    <w:unhideWhenUsed/>
    <w:locked/>
    <w:rsid w:val="00C551E1"/>
    <w:pPr>
      <w:spacing w:after="0"/>
    </w:pPr>
    <w:tblPr>
      <w:tblStyleRowBandSize w:val="1"/>
      <w:tblStyleColBandSize w:val="1"/>
      <w:tblBorders>
        <w:top w:val="single" w:sz="8" w:space="0" w:color="4A0E18" w:themeColor="accent6"/>
        <w:left w:val="single" w:sz="8" w:space="0" w:color="4A0E18" w:themeColor="accent6"/>
        <w:bottom w:val="single" w:sz="8" w:space="0" w:color="4A0E18" w:themeColor="accent6"/>
        <w:right w:val="single" w:sz="8" w:space="0" w:color="4A0E18" w:themeColor="accent6"/>
      </w:tblBorders>
    </w:tblPr>
    <w:tblStylePr w:type="firstRow">
      <w:pPr>
        <w:spacing w:before="0" w:after="0" w:line="240" w:lineRule="auto"/>
      </w:pPr>
      <w:rPr>
        <w:b/>
        <w:bCs/>
        <w:color w:val="FFFFFF" w:themeColor="background1"/>
      </w:rPr>
      <w:tblPr/>
      <w:tcPr>
        <w:shd w:val="clear" w:color="auto" w:fill="4A0E18" w:themeFill="accent6"/>
      </w:tcPr>
    </w:tblStylePr>
    <w:tblStylePr w:type="lastRow">
      <w:pPr>
        <w:spacing w:before="0" w:after="0" w:line="240" w:lineRule="auto"/>
      </w:pPr>
      <w:rPr>
        <w:b/>
        <w:bCs/>
      </w:rPr>
      <w:tblPr/>
      <w:tcPr>
        <w:tcBorders>
          <w:top w:val="double" w:sz="6" w:space="0" w:color="4A0E18" w:themeColor="accent6"/>
          <w:left w:val="single" w:sz="8" w:space="0" w:color="4A0E18" w:themeColor="accent6"/>
          <w:bottom w:val="single" w:sz="8" w:space="0" w:color="4A0E18" w:themeColor="accent6"/>
          <w:right w:val="single" w:sz="8" w:space="0" w:color="4A0E18" w:themeColor="accent6"/>
        </w:tcBorders>
      </w:tcPr>
    </w:tblStylePr>
    <w:tblStylePr w:type="firstCol">
      <w:rPr>
        <w:b/>
        <w:bCs/>
      </w:rPr>
    </w:tblStylePr>
    <w:tblStylePr w:type="lastCol">
      <w:rPr>
        <w:b/>
        <w:bCs/>
      </w:rPr>
    </w:tblStylePr>
    <w:tblStylePr w:type="band1Vert">
      <w:tblPr/>
      <w:tcPr>
        <w:tcBorders>
          <w:top w:val="single" w:sz="8" w:space="0" w:color="4A0E18" w:themeColor="accent6"/>
          <w:left w:val="single" w:sz="8" w:space="0" w:color="4A0E18" w:themeColor="accent6"/>
          <w:bottom w:val="single" w:sz="8" w:space="0" w:color="4A0E18" w:themeColor="accent6"/>
          <w:right w:val="single" w:sz="8" w:space="0" w:color="4A0E18" w:themeColor="accent6"/>
        </w:tcBorders>
      </w:tcPr>
    </w:tblStylePr>
    <w:tblStylePr w:type="band1Horz">
      <w:tblPr/>
      <w:tcPr>
        <w:tcBorders>
          <w:top w:val="single" w:sz="8" w:space="0" w:color="4A0E18" w:themeColor="accent6"/>
          <w:left w:val="single" w:sz="8" w:space="0" w:color="4A0E18" w:themeColor="accent6"/>
          <w:bottom w:val="single" w:sz="8" w:space="0" w:color="4A0E18" w:themeColor="accent6"/>
          <w:right w:val="single" w:sz="8" w:space="0" w:color="4A0E18" w:themeColor="accent6"/>
        </w:tcBorders>
      </w:tcPr>
    </w:tblStylePr>
  </w:style>
  <w:style w:type="table" w:styleId="LightShading">
    <w:name w:val="Light Shading"/>
    <w:basedOn w:val="TableNormal"/>
    <w:uiPriority w:val="60"/>
    <w:semiHidden/>
    <w:unhideWhenUsed/>
    <w:locked/>
    <w:rsid w:val="00C551E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C551E1"/>
    <w:pPr>
      <w:spacing w:after="0"/>
    </w:pPr>
    <w:rPr>
      <w:color w:val="6D1423" w:themeColor="accent1" w:themeShade="BF"/>
    </w:rPr>
    <w:tblPr>
      <w:tblStyleRowBandSize w:val="1"/>
      <w:tblStyleColBandSize w:val="1"/>
      <w:tblBorders>
        <w:top w:val="single" w:sz="8" w:space="0" w:color="931B2F" w:themeColor="accent1"/>
        <w:bottom w:val="single" w:sz="8" w:space="0" w:color="931B2F" w:themeColor="accent1"/>
      </w:tblBorders>
    </w:tblPr>
    <w:tblStylePr w:type="firstRow">
      <w:pPr>
        <w:spacing w:before="0" w:after="0" w:line="240" w:lineRule="auto"/>
      </w:pPr>
      <w:rPr>
        <w:b/>
        <w:bCs/>
      </w:rPr>
      <w:tblPr/>
      <w:tcPr>
        <w:tcBorders>
          <w:top w:val="single" w:sz="8" w:space="0" w:color="931B2F" w:themeColor="accent1"/>
          <w:left w:val="nil"/>
          <w:bottom w:val="single" w:sz="8" w:space="0" w:color="931B2F" w:themeColor="accent1"/>
          <w:right w:val="nil"/>
          <w:insideH w:val="nil"/>
          <w:insideV w:val="nil"/>
        </w:tcBorders>
      </w:tcPr>
    </w:tblStylePr>
    <w:tblStylePr w:type="lastRow">
      <w:pPr>
        <w:spacing w:before="0" w:after="0" w:line="240" w:lineRule="auto"/>
      </w:pPr>
      <w:rPr>
        <w:b/>
        <w:bCs/>
      </w:rPr>
      <w:tblPr/>
      <w:tcPr>
        <w:tcBorders>
          <w:top w:val="single" w:sz="8" w:space="0" w:color="931B2F" w:themeColor="accent1"/>
          <w:left w:val="nil"/>
          <w:bottom w:val="single" w:sz="8" w:space="0" w:color="93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8C1" w:themeFill="accent1" w:themeFillTint="3F"/>
      </w:tcPr>
    </w:tblStylePr>
    <w:tblStylePr w:type="band1Horz">
      <w:tblPr/>
      <w:tcPr>
        <w:tcBorders>
          <w:left w:val="nil"/>
          <w:right w:val="nil"/>
          <w:insideH w:val="nil"/>
          <w:insideV w:val="nil"/>
        </w:tcBorders>
        <w:shd w:val="clear" w:color="auto" w:fill="F2B8C1" w:themeFill="accent1" w:themeFillTint="3F"/>
      </w:tcPr>
    </w:tblStylePr>
  </w:style>
  <w:style w:type="table" w:styleId="LightShading-Accent2">
    <w:name w:val="Light Shading Accent 2"/>
    <w:basedOn w:val="TableNormal"/>
    <w:uiPriority w:val="60"/>
    <w:semiHidden/>
    <w:unhideWhenUsed/>
    <w:locked/>
    <w:rsid w:val="00C551E1"/>
    <w:pPr>
      <w:spacing w:after="0"/>
    </w:pPr>
    <w:rPr>
      <w:color w:val="8A424E" w:themeColor="accent2" w:themeShade="BF"/>
    </w:rPr>
    <w:tblPr>
      <w:tblStyleRowBandSize w:val="1"/>
      <w:tblStyleColBandSize w:val="1"/>
      <w:tblBorders>
        <w:top w:val="single" w:sz="8" w:space="0" w:color="B35F6D" w:themeColor="accent2"/>
        <w:bottom w:val="single" w:sz="8" w:space="0" w:color="B35F6D" w:themeColor="accent2"/>
      </w:tblBorders>
    </w:tblPr>
    <w:tblStylePr w:type="firstRow">
      <w:pPr>
        <w:spacing w:before="0" w:after="0" w:line="240" w:lineRule="auto"/>
      </w:pPr>
      <w:rPr>
        <w:b/>
        <w:bCs/>
      </w:rPr>
      <w:tblPr/>
      <w:tcPr>
        <w:tcBorders>
          <w:top w:val="single" w:sz="8" w:space="0" w:color="B35F6D" w:themeColor="accent2"/>
          <w:left w:val="nil"/>
          <w:bottom w:val="single" w:sz="8" w:space="0" w:color="B35F6D" w:themeColor="accent2"/>
          <w:right w:val="nil"/>
          <w:insideH w:val="nil"/>
          <w:insideV w:val="nil"/>
        </w:tcBorders>
      </w:tcPr>
    </w:tblStylePr>
    <w:tblStylePr w:type="lastRow">
      <w:pPr>
        <w:spacing w:before="0" w:after="0" w:line="240" w:lineRule="auto"/>
      </w:pPr>
      <w:rPr>
        <w:b/>
        <w:bCs/>
      </w:rPr>
      <w:tblPr/>
      <w:tcPr>
        <w:tcBorders>
          <w:top w:val="single" w:sz="8" w:space="0" w:color="B35F6D" w:themeColor="accent2"/>
          <w:left w:val="nil"/>
          <w:bottom w:val="single" w:sz="8" w:space="0" w:color="B35F6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7DA" w:themeFill="accent2" w:themeFillTint="3F"/>
      </w:tcPr>
    </w:tblStylePr>
    <w:tblStylePr w:type="band1Horz">
      <w:tblPr/>
      <w:tcPr>
        <w:tcBorders>
          <w:left w:val="nil"/>
          <w:right w:val="nil"/>
          <w:insideH w:val="nil"/>
          <w:insideV w:val="nil"/>
        </w:tcBorders>
        <w:shd w:val="clear" w:color="auto" w:fill="ECD7DA" w:themeFill="accent2" w:themeFillTint="3F"/>
      </w:tcPr>
    </w:tblStylePr>
  </w:style>
  <w:style w:type="table" w:styleId="LightShading-Accent3">
    <w:name w:val="Light Shading Accent 3"/>
    <w:basedOn w:val="TableNormal"/>
    <w:uiPriority w:val="60"/>
    <w:semiHidden/>
    <w:unhideWhenUsed/>
    <w:locked/>
    <w:rsid w:val="00C551E1"/>
    <w:pPr>
      <w:spacing w:after="0"/>
    </w:pPr>
    <w:rPr>
      <w:color w:val="AFABAB" w:themeColor="accent3" w:themeShade="BF"/>
    </w:rPr>
    <w:tblPr>
      <w:tblStyleRowBandSize w:val="1"/>
      <w:tblStyleColBandSize w:val="1"/>
      <w:tblBorders>
        <w:top w:val="single" w:sz="8" w:space="0" w:color="E8E7E7" w:themeColor="accent3"/>
        <w:bottom w:val="single" w:sz="8" w:space="0" w:color="E8E7E7" w:themeColor="accent3"/>
      </w:tblBorders>
    </w:tblPr>
    <w:tblStylePr w:type="firstRow">
      <w:pPr>
        <w:spacing w:before="0" w:after="0" w:line="240" w:lineRule="auto"/>
      </w:pPr>
      <w:rPr>
        <w:b/>
        <w:bCs/>
      </w:rPr>
      <w:tblPr/>
      <w:tcPr>
        <w:tcBorders>
          <w:top w:val="single" w:sz="8" w:space="0" w:color="E8E7E7" w:themeColor="accent3"/>
          <w:left w:val="nil"/>
          <w:bottom w:val="single" w:sz="8" w:space="0" w:color="E8E7E7" w:themeColor="accent3"/>
          <w:right w:val="nil"/>
          <w:insideH w:val="nil"/>
          <w:insideV w:val="nil"/>
        </w:tcBorders>
      </w:tcPr>
    </w:tblStylePr>
    <w:tblStylePr w:type="lastRow">
      <w:pPr>
        <w:spacing w:before="0" w:after="0" w:line="240" w:lineRule="auto"/>
      </w:pPr>
      <w:rPr>
        <w:b/>
        <w:bCs/>
      </w:rPr>
      <w:tblPr/>
      <w:tcPr>
        <w:tcBorders>
          <w:top w:val="single" w:sz="8" w:space="0" w:color="E8E7E7" w:themeColor="accent3"/>
          <w:left w:val="nil"/>
          <w:bottom w:val="single" w:sz="8" w:space="0" w:color="E8E7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9" w:themeFill="accent3" w:themeFillTint="3F"/>
      </w:tcPr>
    </w:tblStylePr>
    <w:tblStylePr w:type="band1Horz">
      <w:tblPr/>
      <w:tcPr>
        <w:tcBorders>
          <w:left w:val="nil"/>
          <w:right w:val="nil"/>
          <w:insideH w:val="nil"/>
          <w:insideV w:val="nil"/>
        </w:tcBorders>
        <w:shd w:val="clear" w:color="auto" w:fill="F9F9F9" w:themeFill="accent3" w:themeFillTint="3F"/>
      </w:tcPr>
    </w:tblStylePr>
  </w:style>
  <w:style w:type="table" w:styleId="LightShading-Accent4">
    <w:name w:val="Light Shading Accent 4"/>
    <w:basedOn w:val="TableNormal"/>
    <w:uiPriority w:val="60"/>
    <w:semiHidden/>
    <w:unhideWhenUsed/>
    <w:locked/>
    <w:rsid w:val="00C551E1"/>
    <w:pPr>
      <w:spacing w:after="0"/>
    </w:pPr>
    <w:rPr>
      <w:color w:val="696464" w:themeColor="accent4" w:themeShade="BF"/>
    </w:rPr>
    <w:tblPr>
      <w:tblStyleRowBandSize w:val="1"/>
      <w:tblStyleColBandSize w:val="1"/>
      <w:tblBorders>
        <w:top w:val="single" w:sz="8" w:space="0" w:color="8C8686" w:themeColor="accent4"/>
        <w:bottom w:val="single" w:sz="8" w:space="0" w:color="8C8686" w:themeColor="accent4"/>
      </w:tblBorders>
    </w:tblPr>
    <w:tblStylePr w:type="firstRow">
      <w:pPr>
        <w:spacing w:before="0" w:after="0" w:line="240" w:lineRule="auto"/>
      </w:pPr>
      <w:rPr>
        <w:b/>
        <w:bCs/>
      </w:rPr>
      <w:tblPr/>
      <w:tcPr>
        <w:tcBorders>
          <w:top w:val="single" w:sz="8" w:space="0" w:color="8C8686" w:themeColor="accent4"/>
          <w:left w:val="nil"/>
          <w:bottom w:val="single" w:sz="8" w:space="0" w:color="8C8686" w:themeColor="accent4"/>
          <w:right w:val="nil"/>
          <w:insideH w:val="nil"/>
          <w:insideV w:val="nil"/>
        </w:tcBorders>
      </w:tcPr>
    </w:tblStylePr>
    <w:tblStylePr w:type="lastRow">
      <w:pPr>
        <w:spacing w:before="0" w:after="0" w:line="240" w:lineRule="auto"/>
      </w:pPr>
      <w:rPr>
        <w:b/>
        <w:bCs/>
      </w:rPr>
      <w:tblPr/>
      <w:tcPr>
        <w:tcBorders>
          <w:top w:val="single" w:sz="8" w:space="0" w:color="8C8686" w:themeColor="accent4"/>
          <w:left w:val="nil"/>
          <w:bottom w:val="single" w:sz="8" w:space="0" w:color="8C868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1E1" w:themeFill="accent4" w:themeFillTint="3F"/>
      </w:tcPr>
    </w:tblStylePr>
    <w:tblStylePr w:type="band1Horz">
      <w:tblPr/>
      <w:tcPr>
        <w:tcBorders>
          <w:left w:val="nil"/>
          <w:right w:val="nil"/>
          <w:insideH w:val="nil"/>
          <w:insideV w:val="nil"/>
        </w:tcBorders>
        <w:shd w:val="clear" w:color="auto" w:fill="E2E1E1" w:themeFill="accent4" w:themeFillTint="3F"/>
      </w:tcPr>
    </w:tblStylePr>
  </w:style>
  <w:style w:type="table" w:styleId="LightShading-Accent5">
    <w:name w:val="Light Shading Accent 5"/>
    <w:basedOn w:val="TableNormal"/>
    <w:uiPriority w:val="60"/>
    <w:semiHidden/>
    <w:unhideWhenUsed/>
    <w:locked/>
    <w:rsid w:val="00C551E1"/>
    <w:pPr>
      <w:spacing w:after="0"/>
    </w:pPr>
    <w:rPr>
      <w:color w:val="201F1F" w:themeColor="accent5" w:themeShade="BF"/>
    </w:rPr>
    <w:tblPr>
      <w:tblStyleRowBandSize w:val="1"/>
      <w:tblStyleColBandSize w:val="1"/>
      <w:tblBorders>
        <w:top w:val="single" w:sz="8" w:space="0" w:color="2C2A2A" w:themeColor="accent5"/>
        <w:bottom w:val="single" w:sz="8" w:space="0" w:color="2C2A2A" w:themeColor="accent5"/>
      </w:tblBorders>
    </w:tblPr>
    <w:tblStylePr w:type="firstRow">
      <w:pPr>
        <w:spacing w:before="0" w:after="0" w:line="240" w:lineRule="auto"/>
      </w:pPr>
      <w:rPr>
        <w:b/>
        <w:bCs/>
      </w:rPr>
      <w:tblPr/>
      <w:tcPr>
        <w:tcBorders>
          <w:top w:val="single" w:sz="8" w:space="0" w:color="2C2A2A" w:themeColor="accent5"/>
          <w:left w:val="nil"/>
          <w:bottom w:val="single" w:sz="8" w:space="0" w:color="2C2A2A" w:themeColor="accent5"/>
          <w:right w:val="nil"/>
          <w:insideH w:val="nil"/>
          <w:insideV w:val="nil"/>
        </w:tcBorders>
      </w:tcPr>
    </w:tblStylePr>
    <w:tblStylePr w:type="lastRow">
      <w:pPr>
        <w:spacing w:before="0" w:after="0" w:line="240" w:lineRule="auto"/>
      </w:pPr>
      <w:rPr>
        <w:b/>
        <w:bCs/>
      </w:rPr>
      <w:tblPr/>
      <w:tcPr>
        <w:tcBorders>
          <w:top w:val="single" w:sz="8" w:space="0" w:color="2C2A2A" w:themeColor="accent5"/>
          <w:left w:val="nil"/>
          <w:bottom w:val="single" w:sz="8" w:space="0" w:color="2C2A2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9C9" w:themeFill="accent5" w:themeFillTint="3F"/>
      </w:tcPr>
    </w:tblStylePr>
    <w:tblStylePr w:type="band1Horz">
      <w:tblPr/>
      <w:tcPr>
        <w:tcBorders>
          <w:left w:val="nil"/>
          <w:right w:val="nil"/>
          <w:insideH w:val="nil"/>
          <w:insideV w:val="nil"/>
        </w:tcBorders>
        <w:shd w:val="clear" w:color="auto" w:fill="CBC9C9" w:themeFill="accent5" w:themeFillTint="3F"/>
      </w:tcPr>
    </w:tblStylePr>
  </w:style>
  <w:style w:type="table" w:styleId="LightShading-Accent6">
    <w:name w:val="Light Shading Accent 6"/>
    <w:basedOn w:val="TableNormal"/>
    <w:uiPriority w:val="60"/>
    <w:semiHidden/>
    <w:unhideWhenUsed/>
    <w:locked/>
    <w:rsid w:val="00C551E1"/>
    <w:pPr>
      <w:spacing w:after="0"/>
    </w:pPr>
    <w:rPr>
      <w:color w:val="370A11" w:themeColor="accent6" w:themeShade="BF"/>
    </w:rPr>
    <w:tblPr>
      <w:tblStyleRowBandSize w:val="1"/>
      <w:tblStyleColBandSize w:val="1"/>
      <w:tblBorders>
        <w:top w:val="single" w:sz="8" w:space="0" w:color="4A0E18" w:themeColor="accent6"/>
        <w:bottom w:val="single" w:sz="8" w:space="0" w:color="4A0E18" w:themeColor="accent6"/>
      </w:tblBorders>
    </w:tblPr>
    <w:tblStylePr w:type="firstRow">
      <w:pPr>
        <w:spacing w:before="0" w:after="0" w:line="240" w:lineRule="auto"/>
      </w:pPr>
      <w:rPr>
        <w:b/>
        <w:bCs/>
      </w:rPr>
      <w:tblPr/>
      <w:tcPr>
        <w:tcBorders>
          <w:top w:val="single" w:sz="8" w:space="0" w:color="4A0E18" w:themeColor="accent6"/>
          <w:left w:val="nil"/>
          <w:bottom w:val="single" w:sz="8" w:space="0" w:color="4A0E18" w:themeColor="accent6"/>
          <w:right w:val="nil"/>
          <w:insideH w:val="nil"/>
          <w:insideV w:val="nil"/>
        </w:tcBorders>
      </w:tcPr>
    </w:tblStylePr>
    <w:tblStylePr w:type="lastRow">
      <w:pPr>
        <w:spacing w:before="0" w:after="0" w:line="240" w:lineRule="auto"/>
      </w:pPr>
      <w:rPr>
        <w:b/>
        <w:bCs/>
      </w:rPr>
      <w:tblPr/>
      <w:tcPr>
        <w:tcBorders>
          <w:top w:val="single" w:sz="8" w:space="0" w:color="4A0E18" w:themeColor="accent6"/>
          <w:left w:val="nil"/>
          <w:bottom w:val="single" w:sz="8" w:space="0" w:color="4A0E1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A7B2" w:themeFill="accent6" w:themeFillTint="3F"/>
      </w:tcPr>
    </w:tblStylePr>
    <w:tblStylePr w:type="band1Horz">
      <w:tblPr/>
      <w:tcPr>
        <w:tcBorders>
          <w:left w:val="nil"/>
          <w:right w:val="nil"/>
          <w:insideH w:val="nil"/>
          <w:insideV w:val="nil"/>
        </w:tcBorders>
        <w:shd w:val="clear" w:color="auto" w:fill="EEA7B2" w:themeFill="accent6" w:themeFillTint="3F"/>
      </w:tcPr>
    </w:tblStylePr>
  </w:style>
  <w:style w:type="table" w:customStyle="1" w:styleId="ListTable1Light1">
    <w:name w:val="List Table 1 Light1"/>
    <w:basedOn w:val="TableNormal"/>
    <w:uiPriority w:val="46"/>
    <w:semiHidden/>
    <w:rsid w:val="00C551E1"/>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C551E1"/>
    <w:pPr>
      <w:spacing w:after="0"/>
    </w:pPr>
    <w:tblPr>
      <w:tblStyleRowBandSize w:val="1"/>
      <w:tblStyleColBandSize w:val="1"/>
    </w:tblPr>
    <w:tblStylePr w:type="firstRow">
      <w:rPr>
        <w:b/>
        <w:bCs/>
      </w:rPr>
      <w:tblPr/>
      <w:tcPr>
        <w:tcBorders>
          <w:bottom w:val="single" w:sz="4" w:space="0" w:color="DF546B" w:themeColor="accent1" w:themeTint="99"/>
        </w:tcBorders>
      </w:tcPr>
    </w:tblStylePr>
    <w:tblStylePr w:type="lastRow">
      <w:rPr>
        <w:b/>
        <w:bCs/>
      </w:rPr>
      <w:tblPr/>
      <w:tcPr>
        <w:tcBorders>
          <w:top w:val="sing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1Light-Accent21">
    <w:name w:val="List Table 1 Light - Accent 21"/>
    <w:basedOn w:val="TableNormal"/>
    <w:uiPriority w:val="46"/>
    <w:semiHidden/>
    <w:rsid w:val="00C551E1"/>
    <w:pPr>
      <w:spacing w:after="0"/>
    </w:pPr>
    <w:tblPr>
      <w:tblStyleRowBandSize w:val="1"/>
      <w:tblStyleColBandSize w:val="1"/>
    </w:tblPr>
    <w:tblStylePr w:type="firstRow">
      <w:rPr>
        <w:b/>
        <w:bCs/>
      </w:rPr>
      <w:tblPr/>
      <w:tcPr>
        <w:tcBorders>
          <w:bottom w:val="single" w:sz="4" w:space="0" w:color="D19EA7" w:themeColor="accent2" w:themeTint="99"/>
        </w:tcBorders>
      </w:tcPr>
    </w:tblStylePr>
    <w:tblStylePr w:type="lastRow">
      <w:rPr>
        <w:b/>
        <w:bCs/>
      </w:rPr>
      <w:tblPr/>
      <w:tcPr>
        <w:tcBorders>
          <w:top w:val="sing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1Light-Accent31">
    <w:name w:val="List Table 1 Light - Accent 31"/>
    <w:basedOn w:val="TableNormal"/>
    <w:uiPriority w:val="46"/>
    <w:semiHidden/>
    <w:rsid w:val="00C551E1"/>
    <w:pPr>
      <w:spacing w:after="0"/>
    </w:pPr>
    <w:tblPr>
      <w:tblStyleRowBandSize w:val="1"/>
      <w:tblStyleColBandSize w:val="1"/>
    </w:tblPr>
    <w:tblStylePr w:type="firstRow">
      <w:rPr>
        <w:b/>
        <w:bCs/>
      </w:rPr>
      <w:tblPr/>
      <w:tcPr>
        <w:tcBorders>
          <w:bottom w:val="single" w:sz="4" w:space="0" w:color="F1F0F0" w:themeColor="accent3" w:themeTint="99"/>
        </w:tcBorders>
      </w:tcPr>
    </w:tblStylePr>
    <w:tblStylePr w:type="lastRow">
      <w:rPr>
        <w:b/>
        <w:bCs/>
      </w:rPr>
      <w:tblPr/>
      <w:tcPr>
        <w:tcBorders>
          <w:top w:val="sing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1Light-Accent41">
    <w:name w:val="List Table 1 Light - Accent 41"/>
    <w:basedOn w:val="TableNormal"/>
    <w:uiPriority w:val="46"/>
    <w:semiHidden/>
    <w:rsid w:val="00C551E1"/>
    <w:pPr>
      <w:spacing w:after="0"/>
    </w:pPr>
    <w:tblPr>
      <w:tblStyleRowBandSize w:val="1"/>
      <w:tblStyleColBandSize w:val="1"/>
    </w:tblPr>
    <w:tblStylePr w:type="firstRow">
      <w:rPr>
        <w:b/>
        <w:bCs/>
      </w:rPr>
      <w:tblPr/>
      <w:tcPr>
        <w:tcBorders>
          <w:bottom w:val="single" w:sz="4" w:space="0" w:color="BAB6B6" w:themeColor="accent4" w:themeTint="99"/>
        </w:tcBorders>
      </w:tcPr>
    </w:tblStylePr>
    <w:tblStylePr w:type="lastRow">
      <w:rPr>
        <w:b/>
        <w:bCs/>
      </w:rPr>
      <w:tblPr/>
      <w:tcPr>
        <w:tcBorders>
          <w:top w:val="sing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1Light-Accent51">
    <w:name w:val="List Table 1 Light - Accent 51"/>
    <w:basedOn w:val="TableNormal"/>
    <w:uiPriority w:val="46"/>
    <w:semiHidden/>
    <w:rsid w:val="00C551E1"/>
    <w:pPr>
      <w:spacing w:after="0"/>
    </w:pPr>
    <w:tblPr>
      <w:tblStyleRowBandSize w:val="1"/>
      <w:tblStyleColBandSize w:val="1"/>
    </w:tblPr>
    <w:tblStylePr w:type="firstRow">
      <w:rPr>
        <w:b/>
        <w:bCs/>
      </w:rPr>
      <w:tblPr/>
      <w:tcPr>
        <w:tcBorders>
          <w:bottom w:val="single" w:sz="4" w:space="0" w:color="827C7C" w:themeColor="accent5" w:themeTint="99"/>
        </w:tcBorders>
      </w:tcPr>
    </w:tblStylePr>
    <w:tblStylePr w:type="lastRow">
      <w:rPr>
        <w:b/>
        <w:bCs/>
      </w:rPr>
      <w:tblPr/>
      <w:tcPr>
        <w:tcBorders>
          <w:top w:val="sing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1Light-Accent61">
    <w:name w:val="List Table 1 Light - Accent 61"/>
    <w:basedOn w:val="TableNormal"/>
    <w:uiPriority w:val="46"/>
    <w:semiHidden/>
    <w:rsid w:val="00C551E1"/>
    <w:pPr>
      <w:spacing w:after="0"/>
    </w:pPr>
    <w:tblPr>
      <w:tblStyleRowBandSize w:val="1"/>
      <w:tblStyleColBandSize w:val="1"/>
    </w:tblPr>
    <w:tblStylePr w:type="firstRow">
      <w:rPr>
        <w:b/>
        <w:bCs/>
      </w:rPr>
      <w:tblPr/>
      <w:tcPr>
        <w:tcBorders>
          <w:bottom w:val="single" w:sz="4" w:space="0" w:color="D62946" w:themeColor="accent6" w:themeTint="99"/>
        </w:tcBorders>
      </w:tcPr>
    </w:tblStylePr>
    <w:tblStylePr w:type="lastRow">
      <w:rPr>
        <w:b/>
        <w:bCs/>
      </w:rPr>
      <w:tblPr/>
      <w:tcPr>
        <w:tcBorders>
          <w:top w:val="sing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21">
    <w:name w:val="List Table 21"/>
    <w:basedOn w:val="TableNormal"/>
    <w:uiPriority w:val="47"/>
    <w:semiHidden/>
    <w:rsid w:val="00C551E1"/>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C551E1"/>
    <w:pPr>
      <w:spacing w:after="0"/>
    </w:pPr>
    <w:tblPr>
      <w:tblStyleRowBandSize w:val="1"/>
      <w:tblStyleColBandSize w:val="1"/>
      <w:tblBorders>
        <w:top w:val="single" w:sz="4" w:space="0" w:color="DF546B" w:themeColor="accent1" w:themeTint="99"/>
        <w:bottom w:val="single" w:sz="4" w:space="0" w:color="DF546B" w:themeColor="accent1" w:themeTint="99"/>
        <w:insideH w:val="single" w:sz="4" w:space="0" w:color="DF54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2-Accent21">
    <w:name w:val="List Table 2 - Accent 21"/>
    <w:basedOn w:val="TableNormal"/>
    <w:uiPriority w:val="47"/>
    <w:semiHidden/>
    <w:rsid w:val="00C551E1"/>
    <w:pPr>
      <w:spacing w:after="0"/>
    </w:pPr>
    <w:tblPr>
      <w:tblStyleRowBandSize w:val="1"/>
      <w:tblStyleColBandSize w:val="1"/>
      <w:tblBorders>
        <w:top w:val="single" w:sz="4" w:space="0" w:color="D19EA7" w:themeColor="accent2" w:themeTint="99"/>
        <w:bottom w:val="single" w:sz="4" w:space="0" w:color="D19EA7" w:themeColor="accent2" w:themeTint="99"/>
        <w:insideH w:val="single" w:sz="4" w:space="0" w:color="D19EA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2-Accent31">
    <w:name w:val="List Table 2 - Accent 31"/>
    <w:basedOn w:val="TableNormal"/>
    <w:uiPriority w:val="47"/>
    <w:semiHidden/>
    <w:rsid w:val="00C551E1"/>
    <w:pPr>
      <w:spacing w:after="0"/>
    </w:pPr>
    <w:tblPr>
      <w:tblStyleRowBandSize w:val="1"/>
      <w:tblStyleColBandSize w:val="1"/>
      <w:tblBorders>
        <w:top w:val="single" w:sz="4" w:space="0" w:color="F1F0F0" w:themeColor="accent3" w:themeTint="99"/>
        <w:bottom w:val="single" w:sz="4" w:space="0" w:color="F1F0F0" w:themeColor="accent3" w:themeTint="99"/>
        <w:insideH w:val="single" w:sz="4" w:space="0" w:color="F1F0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2-Accent41">
    <w:name w:val="List Table 2 - Accent 41"/>
    <w:basedOn w:val="TableNormal"/>
    <w:uiPriority w:val="47"/>
    <w:semiHidden/>
    <w:rsid w:val="00C551E1"/>
    <w:pPr>
      <w:spacing w:after="0"/>
    </w:pPr>
    <w:tblPr>
      <w:tblStyleRowBandSize w:val="1"/>
      <w:tblStyleColBandSize w:val="1"/>
      <w:tblBorders>
        <w:top w:val="single" w:sz="4" w:space="0" w:color="BAB6B6" w:themeColor="accent4" w:themeTint="99"/>
        <w:bottom w:val="single" w:sz="4" w:space="0" w:color="BAB6B6" w:themeColor="accent4" w:themeTint="99"/>
        <w:insideH w:val="single" w:sz="4" w:space="0" w:color="BAB6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2-Accent51">
    <w:name w:val="List Table 2 - Accent 51"/>
    <w:basedOn w:val="TableNormal"/>
    <w:uiPriority w:val="47"/>
    <w:semiHidden/>
    <w:rsid w:val="00C551E1"/>
    <w:pPr>
      <w:spacing w:after="0"/>
    </w:pPr>
    <w:tblPr>
      <w:tblStyleRowBandSize w:val="1"/>
      <w:tblStyleColBandSize w:val="1"/>
      <w:tblBorders>
        <w:top w:val="single" w:sz="4" w:space="0" w:color="827C7C" w:themeColor="accent5" w:themeTint="99"/>
        <w:bottom w:val="single" w:sz="4" w:space="0" w:color="827C7C" w:themeColor="accent5" w:themeTint="99"/>
        <w:insideH w:val="single" w:sz="4" w:space="0" w:color="827C7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2-Accent61">
    <w:name w:val="List Table 2 - Accent 61"/>
    <w:basedOn w:val="TableNormal"/>
    <w:uiPriority w:val="47"/>
    <w:semiHidden/>
    <w:rsid w:val="00C551E1"/>
    <w:pPr>
      <w:spacing w:after="0"/>
    </w:pPr>
    <w:tblPr>
      <w:tblStyleRowBandSize w:val="1"/>
      <w:tblStyleColBandSize w:val="1"/>
      <w:tblBorders>
        <w:top w:val="single" w:sz="4" w:space="0" w:color="D62946" w:themeColor="accent6" w:themeTint="99"/>
        <w:bottom w:val="single" w:sz="4" w:space="0" w:color="D62946" w:themeColor="accent6" w:themeTint="99"/>
        <w:insideH w:val="single" w:sz="4" w:space="0" w:color="D6294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31">
    <w:name w:val="List Table 31"/>
    <w:basedOn w:val="TableNormal"/>
    <w:uiPriority w:val="48"/>
    <w:semiHidden/>
    <w:rsid w:val="00C551E1"/>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C551E1"/>
    <w:pPr>
      <w:spacing w:after="0"/>
    </w:pPr>
    <w:tblPr>
      <w:tblStyleRowBandSize w:val="1"/>
      <w:tblStyleColBandSize w:val="1"/>
      <w:tblBorders>
        <w:top w:val="single" w:sz="4" w:space="0" w:color="931B2F" w:themeColor="accent1"/>
        <w:left w:val="single" w:sz="4" w:space="0" w:color="931B2F" w:themeColor="accent1"/>
        <w:bottom w:val="single" w:sz="4" w:space="0" w:color="931B2F" w:themeColor="accent1"/>
        <w:right w:val="single" w:sz="4" w:space="0" w:color="931B2F" w:themeColor="accent1"/>
      </w:tblBorders>
    </w:tblPr>
    <w:tblStylePr w:type="firstRow">
      <w:rPr>
        <w:b/>
        <w:bCs/>
        <w:color w:val="FFFFFF" w:themeColor="background1"/>
      </w:rPr>
      <w:tblPr/>
      <w:tcPr>
        <w:shd w:val="clear" w:color="auto" w:fill="931B2F" w:themeFill="accent1"/>
      </w:tcPr>
    </w:tblStylePr>
    <w:tblStylePr w:type="lastRow">
      <w:rPr>
        <w:b/>
        <w:bCs/>
      </w:rPr>
      <w:tblPr/>
      <w:tcPr>
        <w:tcBorders>
          <w:top w:val="double" w:sz="4" w:space="0" w:color="93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1B2F" w:themeColor="accent1"/>
          <w:right w:val="single" w:sz="4" w:space="0" w:color="931B2F" w:themeColor="accent1"/>
        </w:tcBorders>
      </w:tcPr>
    </w:tblStylePr>
    <w:tblStylePr w:type="band1Horz">
      <w:tblPr/>
      <w:tcPr>
        <w:tcBorders>
          <w:top w:val="single" w:sz="4" w:space="0" w:color="931B2F" w:themeColor="accent1"/>
          <w:bottom w:val="single" w:sz="4" w:space="0" w:color="93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1B2F" w:themeColor="accent1"/>
          <w:left w:val="nil"/>
        </w:tcBorders>
      </w:tcPr>
    </w:tblStylePr>
    <w:tblStylePr w:type="swCell">
      <w:tblPr/>
      <w:tcPr>
        <w:tcBorders>
          <w:top w:val="double" w:sz="4" w:space="0" w:color="931B2F" w:themeColor="accent1"/>
          <w:right w:val="nil"/>
        </w:tcBorders>
      </w:tcPr>
    </w:tblStylePr>
  </w:style>
  <w:style w:type="table" w:customStyle="1" w:styleId="ListTable3-Accent21">
    <w:name w:val="List Table 3 - Accent 21"/>
    <w:basedOn w:val="TableNormal"/>
    <w:uiPriority w:val="48"/>
    <w:semiHidden/>
    <w:rsid w:val="00C551E1"/>
    <w:pPr>
      <w:spacing w:after="0"/>
    </w:pPr>
    <w:tblPr>
      <w:tblStyleRowBandSize w:val="1"/>
      <w:tblStyleColBandSize w:val="1"/>
      <w:tblBorders>
        <w:top w:val="single" w:sz="4" w:space="0" w:color="B35F6D" w:themeColor="accent2"/>
        <w:left w:val="single" w:sz="4" w:space="0" w:color="B35F6D" w:themeColor="accent2"/>
        <w:bottom w:val="single" w:sz="4" w:space="0" w:color="B35F6D" w:themeColor="accent2"/>
        <w:right w:val="single" w:sz="4" w:space="0" w:color="B35F6D" w:themeColor="accent2"/>
      </w:tblBorders>
    </w:tblPr>
    <w:tblStylePr w:type="firstRow">
      <w:rPr>
        <w:b/>
        <w:bCs/>
        <w:color w:val="FFFFFF" w:themeColor="background1"/>
      </w:rPr>
      <w:tblPr/>
      <w:tcPr>
        <w:shd w:val="clear" w:color="auto" w:fill="B35F6D" w:themeFill="accent2"/>
      </w:tcPr>
    </w:tblStylePr>
    <w:tblStylePr w:type="lastRow">
      <w:rPr>
        <w:b/>
        <w:bCs/>
      </w:rPr>
      <w:tblPr/>
      <w:tcPr>
        <w:tcBorders>
          <w:top w:val="double" w:sz="4" w:space="0" w:color="B35F6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5F6D" w:themeColor="accent2"/>
          <w:right w:val="single" w:sz="4" w:space="0" w:color="B35F6D" w:themeColor="accent2"/>
        </w:tcBorders>
      </w:tcPr>
    </w:tblStylePr>
    <w:tblStylePr w:type="band1Horz">
      <w:tblPr/>
      <w:tcPr>
        <w:tcBorders>
          <w:top w:val="single" w:sz="4" w:space="0" w:color="B35F6D" w:themeColor="accent2"/>
          <w:bottom w:val="single" w:sz="4" w:space="0" w:color="B35F6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5F6D" w:themeColor="accent2"/>
          <w:left w:val="nil"/>
        </w:tcBorders>
      </w:tcPr>
    </w:tblStylePr>
    <w:tblStylePr w:type="swCell">
      <w:tblPr/>
      <w:tcPr>
        <w:tcBorders>
          <w:top w:val="double" w:sz="4" w:space="0" w:color="B35F6D" w:themeColor="accent2"/>
          <w:right w:val="nil"/>
        </w:tcBorders>
      </w:tcPr>
    </w:tblStylePr>
  </w:style>
  <w:style w:type="table" w:customStyle="1" w:styleId="ListTable3-Accent31">
    <w:name w:val="List Table 3 - Accent 31"/>
    <w:basedOn w:val="TableNormal"/>
    <w:uiPriority w:val="48"/>
    <w:semiHidden/>
    <w:rsid w:val="00C551E1"/>
    <w:pPr>
      <w:spacing w:after="0"/>
    </w:pPr>
    <w:tblPr>
      <w:tblStyleRowBandSize w:val="1"/>
      <w:tblStyleColBandSize w:val="1"/>
      <w:tblBorders>
        <w:top w:val="single" w:sz="4" w:space="0" w:color="E8E7E7" w:themeColor="accent3"/>
        <w:left w:val="single" w:sz="4" w:space="0" w:color="E8E7E7" w:themeColor="accent3"/>
        <w:bottom w:val="single" w:sz="4" w:space="0" w:color="E8E7E7" w:themeColor="accent3"/>
        <w:right w:val="single" w:sz="4" w:space="0" w:color="E8E7E7" w:themeColor="accent3"/>
      </w:tblBorders>
    </w:tblPr>
    <w:tblStylePr w:type="firstRow">
      <w:rPr>
        <w:b/>
        <w:bCs/>
        <w:color w:val="FFFFFF" w:themeColor="background1"/>
      </w:rPr>
      <w:tblPr/>
      <w:tcPr>
        <w:shd w:val="clear" w:color="auto" w:fill="E8E7E7" w:themeFill="accent3"/>
      </w:tcPr>
    </w:tblStylePr>
    <w:tblStylePr w:type="lastRow">
      <w:rPr>
        <w:b/>
        <w:bCs/>
      </w:rPr>
      <w:tblPr/>
      <w:tcPr>
        <w:tcBorders>
          <w:top w:val="double" w:sz="4" w:space="0" w:color="E8E7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E7E7" w:themeColor="accent3"/>
          <w:right w:val="single" w:sz="4" w:space="0" w:color="E8E7E7" w:themeColor="accent3"/>
        </w:tcBorders>
      </w:tcPr>
    </w:tblStylePr>
    <w:tblStylePr w:type="band1Horz">
      <w:tblPr/>
      <w:tcPr>
        <w:tcBorders>
          <w:top w:val="single" w:sz="4" w:space="0" w:color="E8E7E7" w:themeColor="accent3"/>
          <w:bottom w:val="single" w:sz="4" w:space="0" w:color="E8E7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E7E7" w:themeColor="accent3"/>
          <w:left w:val="nil"/>
        </w:tcBorders>
      </w:tcPr>
    </w:tblStylePr>
    <w:tblStylePr w:type="swCell">
      <w:tblPr/>
      <w:tcPr>
        <w:tcBorders>
          <w:top w:val="double" w:sz="4" w:space="0" w:color="E8E7E7" w:themeColor="accent3"/>
          <w:right w:val="nil"/>
        </w:tcBorders>
      </w:tcPr>
    </w:tblStylePr>
  </w:style>
  <w:style w:type="table" w:customStyle="1" w:styleId="ListTable3-Accent41">
    <w:name w:val="List Table 3 - Accent 41"/>
    <w:basedOn w:val="TableNormal"/>
    <w:uiPriority w:val="48"/>
    <w:semiHidden/>
    <w:rsid w:val="00C551E1"/>
    <w:pPr>
      <w:spacing w:after="0"/>
    </w:pPr>
    <w:tblPr>
      <w:tblStyleRowBandSize w:val="1"/>
      <w:tblStyleColBandSize w:val="1"/>
      <w:tblBorders>
        <w:top w:val="single" w:sz="4" w:space="0" w:color="8C8686" w:themeColor="accent4"/>
        <w:left w:val="single" w:sz="4" w:space="0" w:color="8C8686" w:themeColor="accent4"/>
        <w:bottom w:val="single" w:sz="4" w:space="0" w:color="8C8686" w:themeColor="accent4"/>
        <w:right w:val="single" w:sz="4" w:space="0" w:color="8C8686" w:themeColor="accent4"/>
      </w:tblBorders>
    </w:tblPr>
    <w:tblStylePr w:type="firstRow">
      <w:rPr>
        <w:b/>
        <w:bCs/>
        <w:color w:val="FFFFFF" w:themeColor="background1"/>
      </w:rPr>
      <w:tblPr/>
      <w:tcPr>
        <w:shd w:val="clear" w:color="auto" w:fill="8C8686" w:themeFill="accent4"/>
      </w:tcPr>
    </w:tblStylePr>
    <w:tblStylePr w:type="lastRow">
      <w:rPr>
        <w:b/>
        <w:bCs/>
      </w:rPr>
      <w:tblPr/>
      <w:tcPr>
        <w:tcBorders>
          <w:top w:val="double" w:sz="4" w:space="0" w:color="8C868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8686" w:themeColor="accent4"/>
          <w:right w:val="single" w:sz="4" w:space="0" w:color="8C8686" w:themeColor="accent4"/>
        </w:tcBorders>
      </w:tcPr>
    </w:tblStylePr>
    <w:tblStylePr w:type="band1Horz">
      <w:tblPr/>
      <w:tcPr>
        <w:tcBorders>
          <w:top w:val="single" w:sz="4" w:space="0" w:color="8C8686" w:themeColor="accent4"/>
          <w:bottom w:val="single" w:sz="4" w:space="0" w:color="8C868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8686" w:themeColor="accent4"/>
          <w:left w:val="nil"/>
        </w:tcBorders>
      </w:tcPr>
    </w:tblStylePr>
    <w:tblStylePr w:type="swCell">
      <w:tblPr/>
      <w:tcPr>
        <w:tcBorders>
          <w:top w:val="double" w:sz="4" w:space="0" w:color="8C8686" w:themeColor="accent4"/>
          <w:right w:val="nil"/>
        </w:tcBorders>
      </w:tcPr>
    </w:tblStylePr>
  </w:style>
  <w:style w:type="table" w:customStyle="1" w:styleId="ListTable3-Accent51">
    <w:name w:val="List Table 3 - Accent 51"/>
    <w:basedOn w:val="TableNormal"/>
    <w:uiPriority w:val="48"/>
    <w:semiHidden/>
    <w:rsid w:val="00C551E1"/>
    <w:pPr>
      <w:spacing w:after="0"/>
    </w:pPr>
    <w:tblPr>
      <w:tblStyleRowBandSize w:val="1"/>
      <w:tblStyleColBandSize w:val="1"/>
      <w:tblBorders>
        <w:top w:val="single" w:sz="4" w:space="0" w:color="2C2A2A" w:themeColor="accent5"/>
        <w:left w:val="single" w:sz="4" w:space="0" w:color="2C2A2A" w:themeColor="accent5"/>
        <w:bottom w:val="single" w:sz="4" w:space="0" w:color="2C2A2A" w:themeColor="accent5"/>
        <w:right w:val="single" w:sz="4" w:space="0" w:color="2C2A2A" w:themeColor="accent5"/>
      </w:tblBorders>
    </w:tblPr>
    <w:tblStylePr w:type="firstRow">
      <w:rPr>
        <w:b/>
        <w:bCs/>
        <w:color w:val="FFFFFF" w:themeColor="background1"/>
      </w:rPr>
      <w:tblPr/>
      <w:tcPr>
        <w:shd w:val="clear" w:color="auto" w:fill="2C2A2A" w:themeFill="accent5"/>
      </w:tcPr>
    </w:tblStylePr>
    <w:tblStylePr w:type="lastRow">
      <w:rPr>
        <w:b/>
        <w:bCs/>
      </w:rPr>
      <w:tblPr/>
      <w:tcPr>
        <w:tcBorders>
          <w:top w:val="double" w:sz="4" w:space="0" w:color="2C2A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2A2A" w:themeColor="accent5"/>
          <w:right w:val="single" w:sz="4" w:space="0" w:color="2C2A2A" w:themeColor="accent5"/>
        </w:tcBorders>
      </w:tcPr>
    </w:tblStylePr>
    <w:tblStylePr w:type="band1Horz">
      <w:tblPr/>
      <w:tcPr>
        <w:tcBorders>
          <w:top w:val="single" w:sz="4" w:space="0" w:color="2C2A2A" w:themeColor="accent5"/>
          <w:bottom w:val="single" w:sz="4" w:space="0" w:color="2C2A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2A2A" w:themeColor="accent5"/>
          <w:left w:val="nil"/>
        </w:tcBorders>
      </w:tcPr>
    </w:tblStylePr>
    <w:tblStylePr w:type="swCell">
      <w:tblPr/>
      <w:tcPr>
        <w:tcBorders>
          <w:top w:val="double" w:sz="4" w:space="0" w:color="2C2A2A" w:themeColor="accent5"/>
          <w:right w:val="nil"/>
        </w:tcBorders>
      </w:tcPr>
    </w:tblStylePr>
  </w:style>
  <w:style w:type="table" w:customStyle="1" w:styleId="ListTable3-Accent61">
    <w:name w:val="List Table 3 - Accent 61"/>
    <w:basedOn w:val="TableNormal"/>
    <w:uiPriority w:val="48"/>
    <w:semiHidden/>
    <w:rsid w:val="00C551E1"/>
    <w:pPr>
      <w:spacing w:after="0"/>
    </w:pPr>
    <w:tblPr>
      <w:tblStyleRowBandSize w:val="1"/>
      <w:tblStyleColBandSize w:val="1"/>
      <w:tblBorders>
        <w:top w:val="single" w:sz="4" w:space="0" w:color="4A0E18" w:themeColor="accent6"/>
        <w:left w:val="single" w:sz="4" w:space="0" w:color="4A0E18" w:themeColor="accent6"/>
        <w:bottom w:val="single" w:sz="4" w:space="0" w:color="4A0E18" w:themeColor="accent6"/>
        <w:right w:val="single" w:sz="4" w:space="0" w:color="4A0E18" w:themeColor="accent6"/>
      </w:tblBorders>
    </w:tblPr>
    <w:tblStylePr w:type="firstRow">
      <w:rPr>
        <w:b/>
        <w:bCs/>
        <w:color w:val="FFFFFF" w:themeColor="background1"/>
      </w:rPr>
      <w:tblPr/>
      <w:tcPr>
        <w:shd w:val="clear" w:color="auto" w:fill="4A0E18" w:themeFill="accent6"/>
      </w:tcPr>
    </w:tblStylePr>
    <w:tblStylePr w:type="lastRow">
      <w:rPr>
        <w:b/>
        <w:bCs/>
      </w:rPr>
      <w:tblPr/>
      <w:tcPr>
        <w:tcBorders>
          <w:top w:val="double" w:sz="4" w:space="0" w:color="4A0E1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0E18" w:themeColor="accent6"/>
          <w:right w:val="single" w:sz="4" w:space="0" w:color="4A0E18" w:themeColor="accent6"/>
        </w:tcBorders>
      </w:tcPr>
    </w:tblStylePr>
    <w:tblStylePr w:type="band1Horz">
      <w:tblPr/>
      <w:tcPr>
        <w:tcBorders>
          <w:top w:val="single" w:sz="4" w:space="0" w:color="4A0E18" w:themeColor="accent6"/>
          <w:bottom w:val="single" w:sz="4" w:space="0" w:color="4A0E1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0E18" w:themeColor="accent6"/>
          <w:left w:val="nil"/>
        </w:tcBorders>
      </w:tcPr>
    </w:tblStylePr>
    <w:tblStylePr w:type="swCell">
      <w:tblPr/>
      <w:tcPr>
        <w:tcBorders>
          <w:top w:val="double" w:sz="4" w:space="0" w:color="4A0E18" w:themeColor="accent6"/>
          <w:right w:val="nil"/>
        </w:tcBorders>
      </w:tcPr>
    </w:tblStylePr>
  </w:style>
  <w:style w:type="table" w:customStyle="1" w:styleId="ListTable41">
    <w:name w:val="List Table 41"/>
    <w:basedOn w:val="TableNormal"/>
    <w:uiPriority w:val="49"/>
    <w:semiHidden/>
    <w:rsid w:val="00C551E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C551E1"/>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tblBorders>
    </w:tblPr>
    <w:tblStylePr w:type="firstRow">
      <w:rPr>
        <w:b/>
        <w:bCs/>
        <w:color w:val="FFFFFF" w:themeColor="background1"/>
      </w:rPr>
      <w:tblPr/>
      <w:tcPr>
        <w:tcBorders>
          <w:top w:val="single" w:sz="4" w:space="0" w:color="931B2F" w:themeColor="accent1"/>
          <w:left w:val="single" w:sz="4" w:space="0" w:color="931B2F" w:themeColor="accent1"/>
          <w:bottom w:val="single" w:sz="4" w:space="0" w:color="931B2F" w:themeColor="accent1"/>
          <w:right w:val="single" w:sz="4" w:space="0" w:color="931B2F" w:themeColor="accent1"/>
          <w:insideH w:val="nil"/>
        </w:tcBorders>
        <w:shd w:val="clear" w:color="auto" w:fill="931B2F" w:themeFill="accent1"/>
      </w:tcPr>
    </w:tblStylePr>
    <w:tblStylePr w:type="lastRow">
      <w:rPr>
        <w:b/>
        <w:bCs/>
      </w:rPr>
      <w:tblPr/>
      <w:tcPr>
        <w:tcBorders>
          <w:top w:val="doub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4-Accent21">
    <w:name w:val="List Table 4 - Accent 21"/>
    <w:basedOn w:val="TableNormal"/>
    <w:uiPriority w:val="49"/>
    <w:semiHidden/>
    <w:rsid w:val="00C551E1"/>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tblBorders>
    </w:tblPr>
    <w:tblStylePr w:type="firstRow">
      <w:rPr>
        <w:b/>
        <w:bCs/>
        <w:color w:val="FFFFFF" w:themeColor="background1"/>
      </w:rPr>
      <w:tblPr/>
      <w:tcPr>
        <w:tcBorders>
          <w:top w:val="single" w:sz="4" w:space="0" w:color="B35F6D" w:themeColor="accent2"/>
          <w:left w:val="single" w:sz="4" w:space="0" w:color="B35F6D" w:themeColor="accent2"/>
          <w:bottom w:val="single" w:sz="4" w:space="0" w:color="B35F6D" w:themeColor="accent2"/>
          <w:right w:val="single" w:sz="4" w:space="0" w:color="B35F6D" w:themeColor="accent2"/>
          <w:insideH w:val="nil"/>
        </w:tcBorders>
        <w:shd w:val="clear" w:color="auto" w:fill="B35F6D" w:themeFill="accent2"/>
      </w:tcPr>
    </w:tblStylePr>
    <w:tblStylePr w:type="lastRow">
      <w:rPr>
        <w:b/>
        <w:bCs/>
      </w:rPr>
      <w:tblPr/>
      <w:tcPr>
        <w:tcBorders>
          <w:top w:val="doub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4-Accent31">
    <w:name w:val="List Table 4 - Accent 31"/>
    <w:basedOn w:val="TableNormal"/>
    <w:uiPriority w:val="49"/>
    <w:semiHidden/>
    <w:rsid w:val="00C551E1"/>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tblBorders>
    </w:tblPr>
    <w:tblStylePr w:type="firstRow">
      <w:rPr>
        <w:b/>
        <w:bCs/>
        <w:color w:val="FFFFFF" w:themeColor="background1"/>
      </w:rPr>
      <w:tblPr/>
      <w:tcPr>
        <w:tcBorders>
          <w:top w:val="single" w:sz="4" w:space="0" w:color="E8E7E7" w:themeColor="accent3"/>
          <w:left w:val="single" w:sz="4" w:space="0" w:color="E8E7E7" w:themeColor="accent3"/>
          <w:bottom w:val="single" w:sz="4" w:space="0" w:color="E8E7E7" w:themeColor="accent3"/>
          <w:right w:val="single" w:sz="4" w:space="0" w:color="E8E7E7" w:themeColor="accent3"/>
          <w:insideH w:val="nil"/>
        </w:tcBorders>
        <w:shd w:val="clear" w:color="auto" w:fill="E8E7E7" w:themeFill="accent3"/>
      </w:tcPr>
    </w:tblStylePr>
    <w:tblStylePr w:type="lastRow">
      <w:rPr>
        <w:b/>
        <w:bCs/>
      </w:rPr>
      <w:tblPr/>
      <w:tcPr>
        <w:tcBorders>
          <w:top w:val="doub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4-Accent41">
    <w:name w:val="List Table 4 - Accent 41"/>
    <w:basedOn w:val="TableNormal"/>
    <w:uiPriority w:val="49"/>
    <w:semiHidden/>
    <w:rsid w:val="00C551E1"/>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tblBorders>
    </w:tblPr>
    <w:tblStylePr w:type="firstRow">
      <w:rPr>
        <w:b/>
        <w:bCs/>
        <w:color w:val="FFFFFF" w:themeColor="background1"/>
      </w:rPr>
      <w:tblPr/>
      <w:tcPr>
        <w:tcBorders>
          <w:top w:val="single" w:sz="4" w:space="0" w:color="8C8686" w:themeColor="accent4"/>
          <w:left w:val="single" w:sz="4" w:space="0" w:color="8C8686" w:themeColor="accent4"/>
          <w:bottom w:val="single" w:sz="4" w:space="0" w:color="8C8686" w:themeColor="accent4"/>
          <w:right w:val="single" w:sz="4" w:space="0" w:color="8C8686" w:themeColor="accent4"/>
          <w:insideH w:val="nil"/>
        </w:tcBorders>
        <w:shd w:val="clear" w:color="auto" w:fill="8C8686" w:themeFill="accent4"/>
      </w:tcPr>
    </w:tblStylePr>
    <w:tblStylePr w:type="lastRow">
      <w:rPr>
        <w:b/>
        <w:bCs/>
      </w:rPr>
      <w:tblPr/>
      <w:tcPr>
        <w:tcBorders>
          <w:top w:val="doub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4-Accent51">
    <w:name w:val="List Table 4 - Accent 51"/>
    <w:basedOn w:val="TableNormal"/>
    <w:uiPriority w:val="49"/>
    <w:semiHidden/>
    <w:rsid w:val="00C551E1"/>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tblBorders>
    </w:tblPr>
    <w:tblStylePr w:type="firstRow">
      <w:rPr>
        <w:b/>
        <w:bCs/>
        <w:color w:val="FFFFFF" w:themeColor="background1"/>
      </w:rPr>
      <w:tblPr/>
      <w:tcPr>
        <w:tcBorders>
          <w:top w:val="single" w:sz="4" w:space="0" w:color="2C2A2A" w:themeColor="accent5"/>
          <w:left w:val="single" w:sz="4" w:space="0" w:color="2C2A2A" w:themeColor="accent5"/>
          <w:bottom w:val="single" w:sz="4" w:space="0" w:color="2C2A2A" w:themeColor="accent5"/>
          <w:right w:val="single" w:sz="4" w:space="0" w:color="2C2A2A" w:themeColor="accent5"/>
          <w:insideH w:val="nil"/>
        </w:tcBorders>
        <w:shd w:val="clear" w:color="auto" w:fill="2C2A2A" w:themeFill="accent5"/>
      </w:tcPr>
    </w:tblStylePr>
    <w:tblStylePr w:type="lastRow">
      <w:rPr>
        <w:b/>
        <w:bCs/>
      </w:rPr>
      <w:tblPr/>
      <w:tcPr>
        <w:tcBorders>
          <w:top w:val="doub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4-Accent61">
    <w:name w:val="List Table 4 - Accent 61"/>
    <w:basedOn w:val="TableNormal"/>
    <w:uiPriority w:val="49"/>
    <w:semiHidden/>
    <w:rsid w:val="00C551E1"/>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tblBorders>
    </w:tblPr>
    <w:tblStylePr w:type="firstRow">
      <w:rPr>
        <w:b/>
        <w:bCs/>
        <w:color w:val="FFFFFF" w:themeColor="background1"/>
      </w:rPr>
      <w:tblPr/>
      <w:tcPr>
        <w:tcBorders>
          <w:top w:val="single" w:sz="4" w:space="0" w:color="4A0E18" w:themeColor="accent6"/>
          <w:left w:val="single" w:sz="4" w:space="0" w:color="4A0E18" w:themeColor="accent6"/>
          <w:bottom w:val="single" w:sz="4" w:space="0" w:color="4A0E18" w:themeColor="accent6"/>
          <w:right w:val="single" w:sz="4" w:space="0" w:color="4A0E18" w:themeColor="accent6"/>
          <w:insideH w:val="nil"/>
        </w:tcBorders>
        <w:shd w:val="clear" w:color="auto" w:fill="4A0E18" w:themeFill="accent6"/>
      </w:tcPr>
    </w:tblStylePr>
    <w:tblStylePr w:type="lastRow">
      <w:rPr>
        <w:b/>
        <w:bCs/>
      </w:rPr>
      <w:tblPr/>
      <w:tcPr>
        <w:tcBorders>
          <w:top w:val="doub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5Dark1">
    <w:name w:val="List Table 5 Dark1"/>
    <w:basedOn w:val="TableNormal"/>
    <w:uiPriority w:val="50"/>
    <w:semiHidden/>
    <w:rsid w:val="00C551E1"/>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C551E1"/>
    <w:pPr>
      <w:spacing w:after="0"/>
    </w:pPr>
    <w:rPr>
      <w:color w:val="FFFFFF" w:themeColor="background1"/>
    </w:rPr>
    <w:tblPr>
      <w:tblStyleRowBandSize w:val="1"/>
      <w:tblStyleColBandSize w:val="1"/>
      <w:tblBorders>
        <w:top w:val="single" w:sz="24" w:space="0" w:color="931B2F" w:themeColor="accent1"/>
        <w:left w:val="single" w:sz="24" w:space="0" w:color="931B2F" w:themeColor="accent1"/>
        <w:bottom w:val="single" w:sz="24" w:space="0" w:color="931B2F" w:themeColor="accent1"/>
        <w:right w:val="single" w:sz="24" w:space="0" w:color="931B2F" w:themeColor="accent1"/>
      </w:tblBorders>
    </w:tblPr>
    <w:tcPr>
      <w:shd w:val="clear" w:color="auto" w:fill="93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C551E1"/>
    <w:pPr>
      <w:spacing w:after="0"/>
    </w:pPr>
    <w:rPr>
      <w:color w:val="FFFFFF" w:themeColor="background1"/>
    </w:rPr>
    <w:tblPr>
      <w:tblStyleRowBandSize w:val="1"/>
      <w:tblStyleColBandSize w:val="1"/>
      <w:tblBorders>
        <w:top w:val="single" w:sz="24" w:space="0" w:color="B35F6D" w:themeColor="accent2"/>
        <w:left w:val="single" w:sz="24" w:space="0" w:color="B35F6D" w:themeColor="accent2"/>
        <w:bottom w:val="single" w:sz="24" w:space="0" w:color="B35F6D" w:themeColor="accent2"/>
        <w:right w:val="single" w:sz="24" w:space="0" w:color="B35F6D" w:themeColor="accent2"/>
      </w:tblBorders>
    </w:tblPr>
    <w:tcPr>
      <w:shd w:val="clear" w:color="auto" w:fill="B35F6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C551E1"/>
    <w:pPr>
      <w:spacing w:after="0"/>
    </w:pPr>
    <w:rPr>
      <w:color w:val="FFFFFF" w:themeColor="background1"/>
    </w:rPr>
    <w:tblPr>
      <w:tblStyleRowBandSize w:val="1"/>
      <w:tblStyleColBandSize w:val="1"/>
      <w:tblBorders>
        <w:top w:val="single" w:sz="24" w:space="0" w:color="E8E7E7" w:themeColor="accent3"/>
        <w:left w:val="single" w:sz="24" w:space="0" w:color="E8E7E7" w:themeColor="accent3"/>
        <w:bottom w:val="single" w:sz="24" w:space="0" w:color="E8E7E7" w:themeColor="accent3"/>
        <w:right w:val="single" w:sz="24" w:space="0" w:color="E8E7E7" w:themeColor="accent3"/>
      </w:tblBorders>
    </w:tblPr>
    <w:tcPr>
      <w:shd w:val="clear" w:color="auto" w:fill="E8E7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C551E1"/>
    <w:pPr>
      <w:spacing w:after="0"/>
    </w:pPr>
    <w:rPr>
      <w:color w:val="FFFFFF" w:themeColor="background1"/>
    </w:rPr>
    <w:tblPr>
      <w:tblStyleRowBandSize w:val="1"/>
      <w:tblStyleColBandSize w:val="1"/>
      <w:tblBorders>
        <w:top w:val="single" w:sz="24" w:space="0" w:color="8C8686" w:themeColor="accent4"/>
        <w:left w:val="single" w:sz="24" w:space="0" w:color="8C8686" w:themeColor="accent4"/>
        <w:bottom w:val="single" w:sz="24" w:space="0" w:color="8C8686" w:themeColor="accent4"/>
        <w:right w:val="single" w:sz="24" w:space="0" w:color="8C8686" w:themeColor="accent4"/>
      </w:tblBorders>
    </w:tblPr>
    <w:tcPr>
      <w:shd w:val="clear" w:color="auto" w:fill="8C868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C551E1"/>
    <w:pPr>
      <w:spacing w:after="0"/>
    </w:pPr>
    <w:rPr>
      <w:color w:val="FFFFFF" w:themeColor="background1"/>
    </w:rPr>
    <w:tblPr>
      <w:tblStyleRowBandSize w:val="1"/>
      <w:tblStyleColBandSize w:val="1"/>
      <w:tblBorders>
        <w:top w:val="single" w:sz="24" w:space="0" w:color="2C2A2A" w:themeColor="accent5"/>
        <w:left w:val="single" w:sz="24" w:space="0" w:color="2C2A2A" w:themeColor="accent5"/>
        <w:bottom w:val="single" w:sz="24" w:space="0" w:color="2C2A2A" w:themeColor="accent5"/>
        <w:right w:val="single" w:sz="24" w:space="0" w:color="2C2A2A" w:themeColor="accent5"/>
      </w:tblBorders>
    </w:tblPr>
    <w:tcPr>
      <w:shd w:val="clear" w:color="auto" w:fill="2C2A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C551E1"/>
    <w:pPr>
      <w:spacing w:after="0"/>
    </w:pPr>
    <w:rPr>
      <w:color w:val="FFFFFF" w:themeColor="background1"/>
    </w:rPr>
    <w:tblPr>
      <w:tblStyleRowBandSize w:val="1"/>
      <w:tblStyleColBandSize w:val="1"/>
      <w:tblBorders>
        <w:top w:val="single" w:sz="24" w:space="0" w:color="4A0E18" w:themeColor="accent6"/>
        <w:left w:val="single" w:sz="24" w:space="0" w:color="4A0E18" w:themeColor="accent6"/>
        <w:bottom w:val="single" w:sz="24" w:space="0" w:color="4A0E18" w:themeColor="accent6"/>
        <w:right w:val="single" w:sz="24" w:space="0" w:color="4A0E18" w:themeColor="accent6"/>
      </w:tblBorders>
    </w:tblPr>
    <w:tcPr>
      <w:shd w:val="clear" w:color="auto" w:fill="4A0E1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C551E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C551E1"/>
    <w:pPr>
      <w:spacing w:after="0"/>
    </w:pPr>
    <w:rPr>
      <w:color w:val="6D1423" w:themeColor="accent1" w:themeShade="BF"/>
    </w:rPr>
    <w:tblPr>
      <w:tblStyleRowBandSize w:val="1"/>
      <w:tblStyleColBandSize w:val="1"/>
      <w:tblBorders>
        <w:top w:val="single" w:sz="4" w:space="0" w:color="931B2F" w:themeColor="accent1"/>
        <w:bottom w:val="single" w:sz="4" w:space="0" w:color="931B2F" w:themeColor="accent1"/>
      </w:tblBorders>
    </w:tblPr>
    <w:tblStylePr w:type="firstRow">
      <w:rPr>
        <w:b/>
        <w:bCs/>
      </w:rPr>
      <w:tblPr/>
      <w:tcPr>
        <w:tcBorders>
          <w:bottom w:val="single" w:sz="4" w:space="0" w:color="931B2F" w:themeColor="accent1"/>
        </w:tcBorders>
      </w:tcPr>
    </w:tblStylePr>
    <w:tblStylePr w:type="lastRow">
      <w:rPr>
        <w:b/>
        <w:bCs/>
      </w:rPr>
      <w:tblPr/>
      <w:tcPr>
        <w:tcBorders>
          <w:top w:val="double" w:sz="4" w:space="0" w:color="931B2F" w:themeColor="accent1"/>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customStyle="1" w:styleId="ListTable6Colorful-Accent21">
    <w:name w:val="List Table 6 Colorful - Accent 21"/>
    <w:basedOn w:val="TableNormal"/>
    <w:uiPriority w:val="51"/>
    <w:semiHidden/>
    <w:rsid w:val="00C551E1"/>
    <w:pPr>
      <w:spacing w:after="0"/>
    </w:pPr>
    <w:rPr>
      <w:color w:val="8A424E" w:themeColor="accent2" w:themeShade="BF"/>
    </w:rPr>
    <w:tblPr>
      <w:tblStyleRowBandSize w:val="1"/>
      <w:tblStyleColBandSize w:val="1"/>
      <w:tblBorders>
        <w:top w:val="single" w:sz="4" w:space="0" w:color="B35F6D" w:themeColor="accent2"/>
        <w:bottom w:val="single" w:sz="4" w:space="0" w:color="B35F6D" w:themeColor="accent2"/>
      </w:tblBorders>
    </w:tblPr>
    <w:tblStylePr w:type="firstRow">
      <w:rPr>
        <w:b/>
        <w:bCs/>
      </w:rPr>
      <w:tblPr/>
      <w:tcPr>
        <w:tcBorders>
          <w:bottom w:val="single" w:sz="4" w:space="0" w:color="B35F6D" w:themeColor="accent2"/>
        </w:tcBorders>
      </w:tcPr>
    </w:tblStylePr>
    <w:tblStylePr w:type="lastRow">
      <w:rPr>
        <w:b/>
        <w:bCs/>
      </w:rPr>
      <w:tblPr/>
      <w:tcPr>
        <w:tcBorders>
          <w:top w:val="double" w:sz="4" w:space="0" w:color="B35F6D" w:themeColor="accent2"/>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customStyle="1" w:styleId="ListTable6Colorful-Accent31">
    <w:name w:val="List Table 6 Colorful - Accent 31"/>
    <w:basedOn w:val="TableNormal"/>
    <w:uiPriority w:val="51"/>
    <w:semiHidden/>
    <w:rsid w:val="00C551E1"/>
    <w:pPr>
      <w:spacing w:after="0"/>
    </w:pPr>
    <w:rPr>
      <w:color w:val="AFABAB" w:themeColor="accent3" w:themeShade="BF"/>
    </w:rPr>
    <w:tblPr>
      <w:tblStyleRowBandSize w:val="1"/>
      <w:tblStyleColBandSize w:val="1"/>
      <w:tblBorders>
        <w:top w:val="single" w:sz="4" w:space="0" w:color="E8E7E7" w:themeColor="accent3"/>
        <w:bottom w:val="single" w:sz="4" w:space="0" w:color="E8E7E7" w:themeColor="accent3"/>
      </w:tblBorders>
    </w:tblPr>
    <w:tblStylePr w:type="firstRow">
      <w:rPr>
        <w:b/>
        <w:bCs/>
      </w:rPr>
      <w:tblPr/>
      <w:tcPr>
        <w:tcBorders>
          <w:bottom w:val="single" w:sz="4" w:space="0" w:color="E8E7E7" w:themeColor="accent3"/>
        </w:tcBorders>
      </w:tcPr>
    </w:tblStylePr>
    <w:tblStylePr w:type="lastRow">
      <w:rPr>
        <w:b/>
        <w:bCs/>
      </w:rPr>
      <w:tblPr/>
      <w:tcPr>
        <w:tcBorders>
          <w:top w:val="double" w:sz="4" w:space="0" w:color="E8E7E7"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customStyle="1" w:styleId="ListTable6Colorful-Accent41">
    <w:name w:val="List Table 6 Colorful - Accent 41"/>
    <w:basedOn w:val="TableNormal"/>
    <w:uiPriority w:val="51"/>
    <w:semiHidden/>
    <w:rsid w:val="00C551E1"/>
    <w:pPr>
      <w:spacing w:after="0"/>
    </w:pPr>
    <w:rPr>
      <w:color w:val="696464" w:themeColor="accent4" w:themeShade="BF"/>
    </w:rPr>
    <w:tblPr>
      <w:tblStyleRowBandSize w:val="1"/>
      <w:tblStyleColBandSize w:val="1"/>
      <w:tblBorders>
        <w:top w:val="single" w:sz="4" w:space="0" w:color="8C8686" w:themeColor="accent4"/>
        <w:bottom w:val="single" w:sz="4" w:space="0" w:color="8C8686" w:themeColor="accent4"/>
      </w:tblBorders>
    </w:tblPr>
    <w:tblStylePr w:type="firstRow">
      <w:rPr>
        <w:b/>
        <w:bCs/>
      </w:rPr>
      <w:tblPr/>
      <w:tcPr>
        <w:tcBorders>
          <w:bottom w:val="single" w:sz="4" w:space="0" w:color="8C8686" w:themeColor="accent4"/>
        </w:tcBorders>
      </w:tcPr>
    </w:tblStylePr>
    <w:tblStylePr w:type="lastRow">
      <w:rPr>
        <w:b/>
        <w:bCs/>
      </w:rPr>
      <w:tblPr/>
      <w:tcPr>
        <w:tcBorders>
          <w:top w:val="double" w:sz="4" w:space="0" w:color="8C8686" w:themeColor="accent4"/>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customStyle="1" w:styleId="ListTable6Colorful-Accent51">
    <w:name w:val="List Table 6 Colorful - Accent 51"/>
    <w:basedOn w:val="TableNormal"/>
    <w:uiPriority w:val="51"/>
    <w:semiHidden/>
    <w:rsid w:val="00C551E1"/>
    <w:pPr>
      <w:spacing w:after="0"/>
    </w:pPr>
    <w:rPr>
      <w:color w:val="201F1F" w:themeColor="accent5" w:themeShade="BF"/>
    </w:rPr>
    <w:tblPr>
      <w:tblStyleRowBandSize w:val="1"/>
      <w:tblStyleColBandSize w:val="1"/>
      <w:tblBorders>
        <w:top w:val="single" w:sz="4" w:space="0" w:color="2C2A2A" w:themeColor="accent5"/>
        <w:bottom w:val="single" w:sz="4" w:space="0" w:color="2C2A2A" w:themeColor="accent5"/>
      </w:tblBorders>
    </w:tblPr>
    <w:tblStylePr w:type="firstRow">
      <w:rPr>
        <w:b/>
        <w:bCs/>
      </w:rPr>
      <w:tblPr/>
      <w:tcPr>
        <w:tcBorders>
          <w:bottom w:val="single" w:sz="4" w:space="0" w:color="2C2A2A" w:themeColor="accent5"/>
        </w:tcBorders>
      </w:tcPr>
    </w:tblStylePr>
    <w:tblStylePr w:type="lastRow">
      <w:rPr>
        <w:b/>
        <w:bCs/>
      </w:rPr>
      <w:tblPr/>
      <w:tcPr>
        <w:tcBorders>
          <w:top w:val="double" w:sz="4" w:space="0" w:color="2C2A2A" w:themeColor="accent5"/>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customStyle="1" w:styleId="ListTable6Colorful-Accent61">
    <w:name w:val="List Table 6 Colorful - Accent 61"/>
    <w:basedOn w:val="TableNormal"/>
    <w:uiPriority w:val="51"/>
    <w:semiHidden/>
    <w:rsid w:val="00C551E1"/>
    <w:pPr>
      <w:spacing w:after="0"/>
    </w:pPr>
    <w:rPr>
      <w:color w:val="370A11" w:themeColor="accent6" w:themeShade="BF"/>
    </w:rPr>
    <w:tblPr>
      <w:tblStyleRowBandSize w:val="1"/>
      <w:tblStyleColBandSize w:val="1"/>
      <w:tblBorders>
        <w:top w:val="single" w:sz="4" w:space="0" w:color="4A0E18" w:themeColor="accent6"/>
        <w:bottom w:val="single" w:sz="4" w:space="0" w:color="4A0E18" w:themeColor="accent6"/>
      </w:tblBorders>
    </w:tblPr>
    <w:tblStylePr w:type="firstRow">
      <w:rPr>
        <w:b/>
        <w:bCs/>
      </w:rPr>
      <w:tblPr/>
      <w:tcPr>
        <w:tcBorders>
          <w:bottom w:val="single" w:sz="4" w:space="0" w:color="4A0E18" w:themeColor="accent6"/>
        </w:tcBorders>
      </w:tcPr>
    </w:tblStylePr>
    <w:tblStylePr w:type="lastRow">
      <w:rPr>
        <w:b/>
        <w:bCs/>
      </w:rPr>
      <w:tblPr/>
      <w:tcPr>
        <w:tcBorders>
          <w:top w:val="double" w:sz="4" w:space="0" w:color="4A0E18" w:themeColor="accent6"/>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customStyle="1" w:styleId="ListTable7Colorful1">
    <w:name w:val="List Table 7 Colorful1"/>
    <w:basedOn w:val="TableNormal"/>
    <w:uiPriority w:val="52"/>
    <w:semiHidden/>
    <w:rsid w:val="00C551E1"/>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C551E1"/>
    <w:pPr>
      <w:spacing w:after="0"/>
    </w:pPr>
    <w:rPr>
      <w:color w:val="6D14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1B2F" w:themeColor="accent1"/>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C551E1"/>
    <w:pPr>
      <w:spacing w:after="0"/>
    </w:pPr>
    <w:rPr>
      <w:color w:val="8A424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5F6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5F6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5F6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5F6D" w:themeColor="accent2"/>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C551E1"/>
    <w:pPr>
      <w:spacing w:after="0"/>
    </w:pPr>
    <w:rPr>
      <w:color w:val="AFABA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E7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E7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E7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E7E7" w:themeColor="accent3"/>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C551E1"/>
    <w:pPr>
      <w:spacing w:after="0"/>
    </w:pPr>
    <w:rPr>
      <w:color w:val="6964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868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868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868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8686" w:themeColor="accent4"/>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C551E1"/>
    <w:pPr>
      <w:spacing w:after="0"/>
    </w:pPr>
    <w:rPr>
      <w:color w:val="201F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2A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2A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2A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2A2A" w:themeColor="accent5"/>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C551E1"/>
    <w:pPr>
      <w:spacing w:after="0"/>
    </w:pPr>
    <w:rPr>
      <w:color w:val="370A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0E1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0E1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0E1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0E18" w:themeColor="accent6"/>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locked/>
    <w:rsid w:val="00C551E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C551E1"/>
    <w:pPr>
      <w:spacing w:after="0"/>
    </w:pPr>
    <w:tblPr>
      <w:tblStyleRowBandSize w:val="1"/>
      <w:tblStyleColBandSize w:val="1"/>
      <w:tblBorders>
        <w:top w:val="single" w:sz="8" w:space="0" w:color="D82A46" w:themeColor="accent1" w:themeTint="BF"/>
        <w:left w:val="single" w:sz="8" w:space="0" w:color="D82A46" w:themeColor="accent1" w:themeTint="BF"/>
        <w:bottom w:val="single" w:sz="8" w:space="0" w:color="D82A46" w:themeColor="accent1" w:themeTint="BF"/>
        <w:right w:val="single" w:sz="8" w:space="0" w:color="D82A46" w:themeColor="accent1" w:themeTint="BF"/>
        <w:insideH w:val="single" w:sz="8" w:space="0" w:color="D82A46" w:themeColor="accent1" w:themeTint="BF"/>
        <w:insideV w:val="single" w:sz="8" w:space="0" w:color="D82A46" w:themeColor="accent1" w:themeTint="BF"/>
      </w:tblBorders>
    </w:tblPr>
    <w:tcPr>
      <w:shd w:val="clear" w:color="auto" w:fill="F2B8C1" w:themeFill="accent1" w:themeFillTint="3F"/>
    </w:tcPr>
    <w:tblStylePr w:type="firstRow">
      <w:rPr>
        <w:b/>
        <w:bCs/>
      </w:rPr>
    </w:tblStylePr>
    <w:tblStylePr w:type="lastRow">
      <w:rPr>
        <w:b/>
        <w:bCs/>
      </w:rPr>
      <w:tblPr/>
      <w:tcPr>
        <w:tcBorders>
          <w:top w:val="single" w:sz="18" w:space="0" w:color="D82A46" w:themeColor="accent1" w:themeTint="BF"/>
        </w:tcBorders>
      </w:tcPr>
    </w:tblStylePr>
    <w:tblStylePr w:type="firstCol">
      <w:rPr>
        <w:b/>
        <w:bCs/>
      </w:rPr>
    </w:tblStylePr>
    <w:tblStylePr w:type="lastCol">
      <w:rPr>
        <w:b/>
        <w:bCs/>
      </w:rPr>
    </w:tblStylePr>
    <w:tblStylePr w:type="band1Vert">
      <w:tblPr/>
      <w:tcPr>
        <w:shd w:val="clear" w:color="auto" w:fill="E57184" w:themeFill="accent1" w:themeFillTint="7F"/>
      </w:tcPr>
    </w:tblStylePr>
    <w:tblStylePr w:type="band1Horz">
      <w:tblPr/>
      <w:tcPr>
        <w:shd w:val="clear" w:color="auto" w:fill="E57184" w:themeFill="accent1" w:themeFillTint="7F"/>
      </w:tcPr>
    </w:tblStylePr>
  </w:style>
  <w:style w:type="table" w:styleId="MediumGrid1-Accent2">
    <w:name w:val="Medium Grid 1 Accent 2"/>
    <w:basedOn w:val="TableNormal"/>
    <w:uiPriority w:val="67"/>
    <w:semiHidden/>
    <w:unhideWhenUsed/>
    <w:locked/>
    <w:rsid w:val="00C551E1"/>
    <w:pPr>
      <w:spacing w:after="0"/>
    </w:pPr>
    <w:tblPr>
      <w:tblStyleRowBandSize w:val="1"/>
      <w:tblStyleColBandSize w:val="1"/>
      <w:tblBorders>
        <w:top w:val="single" w:sz="8" w:space="0" w:color="C68791" w:themeColor="accent2" w:themeTint="BF"/>
        <w:left w:val="single" w:sz="8" w:space="0" w:color="C68791" w:themeColor="accent2" w:themeTint="BF"/>
        <w:bottom w:val="single" w:sz="8" w:space="0" w:color="C68791" w:themeColor="accent2" w:themeTint="BF"/>
        <w:right w:val="single" w:sz="8" w:space="0" w:color="C68791" w:themeColor="accent2" w:themeTint="BF"/>
        <w:insideH w:val="single" w:sz="8" w:space="0" w:color="C68791" w:themeColor="accent2" w:themeTint="BF"/>
        <w:insideV w:val="single" w:sz="8" w:space="0" w:color="C68791" w:themeColor="accent2" w:themeTint="BF"/>
      </w:tblBorders>
    </w:tblPr>
    <w:tcPr>
      <w:shd w:val="clear" w:color="auto" w:fill="ECD7DA" w:themeFill="accent2" w:themeFillTint="3F"/>
    </w:tcPr>
    <w:tblStylePr w:type="firstRow">
      <w:rPr>
        <w:b/>
        <w:bCs/>
      </w:rPr>
    </w:tblStylePr>
    <w:tblStylePr w:type="lastRow">
      <w:rPr>
        <w:b/>
        <w:bCs/>
      </w:rPr>
      <w:tblPr/>
      <w:tcPr>
        <w:tcBorders>
          <w:top w:val="single" w:sz="18" w:space="0" w:color="C68791" w:themeColor="accent2" w:themeTint="BF"/>
        </w:tcBorders>
      </w:tcPr>
    </w:tblStylePr>
    <w:tblStylePr w:type="firstCol">
      <w:rPr>
        <w:b/>
        <w:bCs/>
      </w:rPr>
    </w:tblStylePr>
    <w:tblStylePr w:type="lastCol">
      <w:rPr>
        <w:b/>
        <w:bCs/>
      </w:rPr>
    </w:tblStylePr>
    <w:tblStylePr w:type="band1Vert">
      <w:tblPr/>
      <w:tcPr>
        <w:shd w:val="clear" w:color="auto" w:fill="D9AFB6" w:themeFill="accent2" w:themeFillTint="7F"/>
      </w:tcPr>
    </w:tblStylePr>
    <w:tblStylePr w:type="band1Horz">
      <w:tblPr/>
      <w:tcPr>
        <w:shd w:val="clear" w:color="auto" w:fill="D9AFB6" w:themeFill="accent2" w:themeFillTint="7F"/>
      </w:tcPr>
    </w:tblStylePr>
  </w:style>
  <w:style w:type="table" w:styleId="MediumGrid1-Accent3">
    <w:name w:val="Medium Grid 1 Accent 3"/>
    <w:basedOn w:val="TableNormal"/>
    <w:uiPriority w:val="67"/>
    <w:semiHidden/>
    <w:unhideWhenUsed/>
    <w:locked/>
    <w:rsid w:val="00C551E1"/>
    <w:pPr>
      <w:spacing w:after="0"/>
    </w:pPr>
    <w:tblPr>
      <w:tblStyleRowBandSize w:val="1"/>
      <w:tblStyleColBandSize w:val="1"/>
      <w:tblBorders>
        <w:top w:val="single" w:sz="8" w:space="0" w:color="EDECEC" w:themeColor="accent3" w:themeTint="BF"/>
        <w:left w:val="single" w:sz="8" w:space="0" w:color="EDECEC" w:themeColor="accent3" w:themeTint="BF"/>
        <w:bottom w:val="single" w:sz="8" w:space="0" w:color="EDECEC" w:themeColor="accent3" w:themeTint="BF"/>
        <w:right w:val="single" w:sz="8" w:space="0" w:color="EDECEC" w:themeColor="accent3" w:themeTint="BF"/>
        <w:insideH w:val="single" w:sz="8" w:space="0" w:color="EDECEC" w:themeColor="accent3" w:themeTint="BF"/>
        <w:insideV w:val="single" w:sz="8" w:space="0" w:color="EDECEC" w:themeColor="accent3" w:themeTint="BF"/>
      </w:tblBorders>
    </w:tblPr>
    <w:tcPr>
      <w:shd w:val="clear" w:color="auto" w:fill="F9F9F9" w:themeFill="accent3" w:themeFillTint="3F"/>
    </w:tcPr>
    <w:tblStylePr w:type="firstRow">
      <w:rPr>
        <w:b/>
        <w:bCs/>
      </w:rPr>
    </w:tblStylePr>
    <w:tblStylePr w:type="lastRow">
      <w:rPr>
        <w:b/>
        <w:bCs/>
      </w:rPr>
      <w:tblPr/>
      <w:tcPr>
        <w:tcBorders>
          <w:top w:val="single" w:sz="18" w:space="0" w:color="EDECEC" w:themeColor="accent3" w:themeTint="BF"/>
        </w:tcBorders>
      </w:tcPr>
    </w:tblStylePr>
    <w:tblStylePr w:type="firstCol">
      <w:rPr>
        <w:b/>
        <w:bCs/>
      </w:rPr>
    </w:tblStylePr>
    <w:tblStylePr w:type="lastCol">
      <w:rPr>
        <w:b/>
        <w:bCs/>
      </w:rPr>
    </w:tblStylePr>
    <w:tblStylePr w:type="band1Vert">
      <w:tblPr/>
      <w:tcPr>
        <w:shd w:val="clear" w:color="auto" w:fill="F3F2F2" w:themeFill="accent3" w:themeFillTint="7F"/>
      </w:tcPr>
    </w:tblStylePr>
    <w:tblStylePr w:type="band1Horz">
      <w:tblPr/>
      <w:tcPr>
        <w:shd w:val="clear" w:color="auto" w:fill="F3F2F2" w:themeFill="accent3" w:themeFillTint="7F"/>
      </w:tcPr>
    </w:tblStylePr>
  </w:style>
  <w:style w:type="table" w:styleId="MediumGrid1-Accent4">
    <w:name w:val="Medium Grid 1 Accent 4"/>
    <w:basedOn w:val="TableNormal"/>
    <w:uiPriority w:val="67"/>
    <w:semiHidden/>
    <w:unhideWhenUsed/>
    <w:locked/>
    <w:rsid w:val="00C551E1"/>
    <w:pPr>
      <w:spacing w:after="0"/>
    </w:pPr>
    <w:tblPr>
      <w:tblStyleRowBandSize w:val="1"/>
      <w:tblStyleColBandSize w:val="1"/>
      <w:tblBorders>
        <w:top w:val="single" w:sz="8" w:space="0" w:color="A8A4A4" w:themeColor="accent4" w:themeTint="BF"/>
        <w:left w:val="single" w:sz="8" w:space="0" w:color="A8A4A4" w:themeColor="accent4" w:themeTint="BF"/>
        <w:bottom w:val="single" w:sz="8" w:space="0" w:color="A8A4A4" w:themeColor="accent4" w:themeTint="BF"/>
        <w:right w:val="single" w:sz="8" w:space="0" w:color="A8A4A4" w:themeColor="accent4" w:themeTint="BF"/>
        <w:insideH w:val="single" w:sz="8" w:space="0" w:color="A8A4A4" w:themeColor="accent4" w:themeTint="BF"/>
        <w:insideV w:val="single" w:sz="8" w:space="0" w:color="A8A4A4" w:themeColor="accent4" w:themeTint="BF"/>
      </w:tblBorders>
    </w:tblPr>
    <w:tcPr>
      <w:shd w:val="clear" w:color="auto" w:fill="E2E1E1" w:themeFill="accent4" w:themeFillTint="3F"/>
    </w:tcPr>
    <w:tblStylePr w:type="firstRow">
      <w:rPr>
        <w:b/>
        <w:bCs/>
      </w:rPr>
    </w:tblStylePr>
    <w:tblStylePr w:type="lastRow">
      <w:rPr>
        <w:b/>
        <w:bCs/>
      </w:rPr>
      <w:tblPr/>
      <w:tcPr>
        <w:tcBorders>
          <w:top w:val="single" w:sz="18" w:space="0" w:color="A8A4A4" w:themeColor="accent4" w:themeTint="BF"/>
        </w:tcBorders>
      </w:tcPr>
    </w:tblStylePr>
    <w:tblStylePr w:type="firstCol">
      <w:rPr>
        <w:b/>
        <w:bCs/>
      </w:rPr>
    </w:tblStylePr>
    <w:tblStylePr w:type="lastCol">
      <w:rPr>
        <w:b/>
        <w:bCs/>
      </w:rPr>
    </w:tblStylePr>
    <w:tblStylePr w:type="band1Vert">
      <w:tblPr/>
      <w:tcPr>
        <w:shd w:val="clear" w:color="auto" w:fill="C5C2C2" w:themeFill="accent4" w:themeFillTint="7F"/>
      </w:tcPr>
    </w:tblStylePr>
    <w:tblStylePr w:type="band1Horz">
      <w:tblPr/>
      <w:tcPr>
        <w:shd w:val="clear" w:color="auto" w:fill="C5C2C2" w:themeFill="accent4" w:themeFillTint="7F"/>
      </w:tcPr>
    </w:tblStylePr>
  </w:style>
  <w:style w:type="table" w:styleId="MediumGrid1-Accent5">
    <w:name w:val="Medium Grid 1 Accent 5"/>
    <w:basedOn w:val="TableNormal"/>
    <w:uiPriority w:val="67"/>
    <w:semiHidden/>
    <w:unhideWhenUsed/>
    <w:locked/>
    <w:rsid w:val="00C551E1"/>
    <w:pPr>
      <w:spacing w:after="0"/>
    </w:pPr>
    <w:tblPr>
      <w:tblStyleRowBandSize w:val="1"/>
      <w:tblStyleColBandSize w:val="1"/>
      <w:tblBorders>
        <w:top w:val="single" w:sz="8" w:space="0" w:color="625E5E" w:themeColor="accent5" w:themeTint="BF"/>
        <w:left w:val="single" w:sz="8" w:space="0" w:color="625E5E" w:themeColor="accent5" w:themeTint="BF"/>
        <w:bottom w:val="single" w:sz="8" w:space="0" w:color="625E5E" w:themeColor="accent5" w:themeTint="BF"/>
        <w:right w:val="single" w:sz="8" w:space="0" w:color="625E5E" w:themeColor="accent5" w:themeTint="BF"/>
        <w:insideH w:val="single" w:sz="8" w:space="0" w:color="625E5E" w:themeColor="accent5" w:themeTint="BF"/>
        <w:insideV w:val="single" w:sz="8" w:space="0" w:color="625E5E" w:themeColor="accent5" w:themeTint="BF"/>
      </w:tblBorders>
    </w:tblPr>
    <w:tcPr>
      <w:shd w:val="clear" w:color="auto" w:fill="CBC9C9" w:themeFill="accent5" w:themeFillTint="3F"/>
    </w:tcPr>
    <w:tblStylePr w:type="firstRow">
      <w:rPr>
        <w:b/>
        <w:bCs/>
      </w:rPr>
    </w:tblStylePr>
    <w:tblStylePr w:type="lastRow">
      <w:rPr>
        <w:b/>
        <w:bCs/>
      </w:rPr>
      <w:tblPr/>
      <w:tcPr>
        <w:tcBorders>
          <w:top w:val="single" w:sz="18" w:space="0" w:color="625E5E" w:themeColor="accent5" w:themeTint="BF"/>
        </w:tcBorders>
      </w:tcPr>
    </w:tblStylePr>
    <w:tblStylePr w:type="firstCol">
      <w:rPr>
        <w:b/>
        <w:bCs/>
      </w:rPr>
    </w:tblStylePr>
    <w:tblStylePr w:type="lastCol">
      <w:rPr>
        <w:b/>
        <w:bCs/>
      </w:rPr>
    </w:tblStylePr>
    <w:tblStylePr w:type="band1Vert">
      <w:tblPr/>
      <w:tcPr>
        <w:shd w:val="clear" w:color="auto" w:fill="979292" w:themeFill="accent5" w:themeFillTint="7F"/>
      </w:tcPr>
    </w:tblStylePr>
    <w:tblStylePr w:type="band1Horz">
      <w:tblPr/>
      <w:tcPr>
        <w:shd w:val="clear" w:color="auto" w:fill="979292" w:themeFill="accent5" w:themeFillTint="7F"/>
      </w:tcPr>
    </w:tblStylePr>
  </w:style>
  <w:style w:type="table" w:styleId="MediumGrid1-Accent6">
    <w:name w:val="Medium Grid 1 Accent 6"/>
    <w:basedOn w:val="TableNormal"/>
    <w:uiPriority w:val="67"/>
    <w:semiHidden/>
    <w:unhideWhenUsed/>
    <w:locked/>
    <w:rsid w:val="00C551E1"/>
    <w:pPr>
      <w:spacing w:after="0"/>
    </w:pPr>
    <w:tblPr>
      <w:tblStyleRowBandSize w:val="1"/>
      <w:tblStyleColBandSize w:val="1"/>
      <w:tblBorders>
        <w:top w:val="single" w:sz="8" w:space="0" w:color="A21E34" w:themeColor="accent6" w:themeTint="BF"/>
        <w:left w:val="single" w:sz="8" w:space="0" w:color="A21E34" w:themeColor="accent6" w:themeTint="BF"/>
        <w:bottom w:val="single" w:sz="8" w:space="0" w:color="A21E34" w:themeColor="accent6" w:themeTint="BF"/>
        <w:right w:val="single" w:sz="8" w:space="0" w:color="A21E34" w:themeColor="accent6" w:themeTint="BF"/>
        <w:insideH w:val="single" w:sz="8" w:space="0" w:color="A21E34" w:themeColor="accent6" w:themeTint="BF"/>
        <w:insideV w:val="single" w:sz="8" w:space="0" w:color="A21E34" w:themeColor="accent6" w:themeTint="BF"/>
      </w:tblBorders>
    </w:tblPr>
    <w:tcPr>
      <w:shd w:val="clear" w:color="auto" w:fill="EEA7B2" w:themeFill="accent6" w:themeFillTint="3F"/>
    </w:tcPr>
    <w:tblStylePr w:type="firstRow">
      <w:rPr>
        <w:b/>
        <w:bCs/>
      </w:rPr>
    </w:tblStylePr>
    <w:tblStylePr w:type="lastRow">
      <w:rPr>
        <w:b/>
        <w:bCs/>
      </w:rPr>
      <w:tblPr/>
      <w:tcPr>
        <w:tcBorders>
          <w:top w:val="single" w:sz="18" w:space="0" w:color="A21E34" w:themeColor="accent6" w:themeTint="BF"/>
        </w:tcBorders>
      </w:tcPr>
    </w:tblStylePr>
    <w:tblStylePr w:type="firstCol">
      <w:rPr>
        <w:b/>
        <w:bCs/>
      </w:rPr>
    </w:tblStylePr>
    <w:tblStylePr w:type="lastCol">
      <w:rPr>
        <w:b/>
        <w:bCs/>
      </w:rPr>
    </w:tblStylePr>
    <w:tblStylePr w:type="band1Vert">
      <w:tblPr/>
      <w:tcPr>
        <w:shd w:val="clear" w:color="auto" w:fill="DD4E65" w:themeFill="accent6" w:themeFillTint="7F"/>
      </w:tcPr>
    </w:tblStylePr>
    <w:tblStylePr w:type="band1Horz">
      <w:tblPr/>
      <w:tcPr>
        <w:shd w:val="clear" w:color="auto" w:fill="DD4E65" w:themeFill="accent6" w:themeFillTint="7F"/>
      </w:tcPr>
    </w:tblStylePr>
  </w:style>
  <w:style w:type="table" w:styleId="MediumGrid2">
    <w:name w:val="Medium Grid 2"/>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31B2F" w:themeColor="accent1"/>
        <w:left w:val="single" w:sz="8" w:space="0" w:color="931B2F" w:themeColor="accent1"/>
        <w:bottom w:val="single" w:sz="8" w:space="0" w:color="931B2F" w:themeColor="accent1"/>
        <w:right w:val="single" w:sz="8" w:space="0" w:color="931B2F" w:themeColor="accent1"/>
        <w:insideH w:val="single" w:sz="8" w:space="0" w:color="931B2F" w:themeColor="accent1"/>
        <w:insideV w:val="single" w:sz="8" w:space="0" w:color="931B2F" w:themeColor="accent1"/>
      </w:tblBorders>
    </w:tblPr>
    <w:tcPr>
      <w:shd w:val="clear" w:color="auto" w:fill="F2B8C1" w:themeFill="accent1" w:themeFillTint="3F"/>
    </w:tcPr>
    <w:tblStylePr w:type="firstRow">
      <w:rPr>
        <w:b/>
        <w:bCs/>
        <w:color w:val="000000" w:themeColor="text1"/>
      </w:rPr>
      <w:tblPr/>
      <w:tcPr>
        <w:shd w:val="clear" w:color="auto" w:fill="FAE3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6CD" w:themeFill="accent1" w:themeFillTint="33"/>
      </w:tcPr>
    </w:tblStylePr>
    <w:tblStylePr w:type="band1Vert">
      <w:tblPr/>
      <w:tcPr>
        <w:shd w:val="clear" w:color="auto" w:fill="E57184" w:themeFill="accent1" w:themeFillTint="7F"/>
      </w:tcPr>
    </w:tblStylePr>
    <w:tblStylePr w:type="band1Horz">
      <w:tblPr/>
      <w:tcPr>
        <w:tcBorders>
          <w:insideH w:val="single" w:sz="6" w:space="0" w:color="931B2F" w:themeColor="accent1"/>
          <w:insideV w:val="single" w:sz="6" w:space="0" w:color="931B2F" w:themeColor="accent1"/>
        </w:tcBorders>
        <w:shd w:val="clear" w:color="auto" w:fill="E5718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35F6D" w:themeColor="accent2"/>
        <w:left w:val="single" w:sz="8" w:space="0" w:color="B35F6D" w:themeColor="accent2"/>
        <w:bottom w:val="single" w:sz="8" w:space="0" w:color="B35F6D" w:themeColor="accent2"/>
        <w:right w:val="single" w:sz="8" w:space="0" w:color="B35F6D" w:themeColor="accent2"/>
        <w:insideH w:val="single" w:sz="8" w:space="0" w:color="B35F6D" w:themeColor="accent2"/>
        <w:insideV w:val="single" w:sz="8" w:space="0" w:color="B35F6D" w:themeColor="accent2"/>
      </w:tblBorders>
    </w:tblPr>
    <w:tcPr>
      <w:shd w:val="clear" w:color="auto" w:fill="ECD7DA" w:themeFill="accent2" w:themeFillTint="3F"/>
    </w:tcPr>
    <w:tblStylePr w:type="firstRow">
      <w:rPr>
        <w:b/>
        <w:bCs/>
        <w:color w:val="000000" w:themeColor="text1"/>
      </w:rPr>
      <w:tblPr/>
      <w:tcPr>
        <w:shd w:val="clear" w:color="auto" w:fill="F7EF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DEE1" w:themeFill="accent2" w:themeFillTint="33"/>
      </w:tcPr>
    </w:tblStylePr>
    <w:tblStylePr w:type="band1Vert">
      <w:tblPr/>
      <w:tcPr>
        <w:shd w:val="clear" w:color="auto" w:fill="D9AFB6" w:themeFill="accent2" w:themeFillTint="7F"/>
      </w:tcPr>
    </w:tblStylePr>
    <w:tblStylePr w:type="band1Horz">
      <w:tblPr/>
      <w:tcPr>
        <w:tcBorders>
          <w:insideH w:val="single" w:sz="6" w:space="0" w:color="B35F6D" w:themeColor="accent2"/>
          <w:insideV w:val="single" w:sz="6" w:space="0" w:color="B35F6D" w:themeColor="accent2"/>
        </w:tcBorders>
        <w:shd w:val="clear" w:color="auto" w:fill="D9AFB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E7E7" w:themeColor="accent3"/>
        <w:left w:val="single" w:sz="8" w:space="0" w:color="E8E7E7" w:themeColor="accent3"/>
        <w:bottom w:val="single" w:sz="8" w:space="0" w:color="E8E7E7" w:themeColor="accent3"/>
        <w:right w:val="single" w:sz="8" w:space="0" w:color="E8E7E7" w:themeColor="accent3"/>
        <w:insideH w:val="single" w:sz="8" w:space="0" w:color="E8E7E7" w:themeColor="accent3"/>
        <w:insideV w:val="single" w:sz="8" w:space="0" w:color="E8E7E7" w:themeColor="accent3"/>
      </w:tblBorders>
    </w:tblPr>
    <w:tcPr>
      <w:shd w:val="clear" w:color="auto" w:fill="F9F9F9"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3" w:themeFillTint="33"/>
      </w:tcPr>
    </w:tblStylePr>
    <w:tblStylePr w:type="band1Vert">
      <w:tblPr/>
      <w:tcPr>
        <w:shd w:val="clear" w:color="auto" w:fill="F3F2F2" w:themeFill="accent3" w:themeFillTint="7F"/>
      </w:tcPr>
    </w:tblStylePr>
    <w:tblStylePr w:type="band1Horz">
      <w:tblPr/>
      <w:tcPr>
        <w:tcBorders>
          <w:insideH w:val="single" w:sz="6" w:space="0" w:color="E8E7E7" w:themeColor="accent3"/>
          <w:insideV w:val="single" w:sz="6" w:space="0" w:color="E8E7E7" w:themeColor="accent3"/>
        </w:tcBorders>
        <w:shd w:val="clear" w:color="auto" w:fill="F3F2F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C8686" w:themeColor="accent4"/>
        <w:left w:val="single" w:sz="8" w:space="0" w:color="8C8686" w:themeColor="accent4"/>
        <w:bottom w:val="single" w:sz="8" w:space="0" w:color="8C8686" w:themeColor="accent4"/>
        <w:right w:val="single" w:sz="8" w:space="0" w:color="8C8686" w:themeColor="accent4"/>
        <w:insideH w:val="single" w:sz="8" w:space="0" w:color="8C8686" w:themeColor="accent4"/>
        <w:insideV w:val="single" w:sz="8" w:space="0" w:color="8C8686" w:themeColor="accent4"/>
      </w:tblBorders>
    </w:tblPr>
    <w:tcPr>
      <w:shd w:val="clear" w:color="auto" w:fill="E2E1E1" w:themeFill="accent4" w:themeFillTint="3F"/>
    </w:tcPr>
    <w:tblStylePr w:type="firstRow">
      <w:rPr>
        <w:b/>
        <w:bCs/>
        <w:color w:val="000000" w:themeColor="text1"/>
      </w:rPr>
      <w:tblPr/>
      <w:tcPr>
        <w:shd w:val="clear" w:color="auto" w:fill="F3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6E6" w:themeFill="accent4" w:themeFillTint="33"/>
      </w:tcPr>
    </w:tblStylePr>
    <w:tblStylePr w:type="band1Vert">
      <w:tblPr/>
      <w:tcPr>
        <w:shd w:val="clear" w:color="auto" w:fill="C5C2C2" w:themeFill="accent4" w:themeFillTint="7F"/>
      </w:tcPr>
    </w:tblStylePr>
    <w:tblStylePr w:type="band1Horz">
      <w:tblPr/>
      <w:tcPr>
        <w:tcBorders>
          <w:insideH w:val="single" w:sz="6" w:space="0" w:color="8C8686" w:themeColor="accent4"/>
          <w:insideV w:val="single" w:sz="6" w:space="0" w:color="8C8686" w:themeColor="accent4"/>
        </w:tcBorders>
        <w:shd w:val="clear" w:color="auto" w:fill="C5C2C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2C2A2A" w:themeColor="accent5"/>
        <w:left w:val="single" w:sz="8" w:space="0" w:color="2C2A2A" w:themeColor="accent5"/>
        <w:bottom w:val="single" w:sz="8" w:space="0" w:color="2C2A2A" w:themeColor="accent5"/>
        <w:right w:val="single" w:sz="8" w:space="0" w:color="2C2A2A" w:themeColor="accent5"/>
        <w:insideH w:val="single" w:sz="8" w:space="0" w:color="2C2A2A" w:themeColor="accent5"/>
        <w:insideV w:val="single" w:sz="8" w:space="0" w:color="2C2A2A" w:themeColor="accent5"/>
      </w:tblBorders>
    </w:tblPr>
    <w:tcPr>
      <w:shd w:val="clear" w:color="auto" w:fill="CBC9C9" w:themeFill="accent5" w:themeFillTint="3F"/>
    </w:tcPr>
    <w:tblStylePr w:type="firstRow">
      <w:rPr>
        <w:b/>
        <w:bCs/>
        <w:color w:val="000000" w:themeColor="text1"/>
      </w:rPr>
      <w:tblPr/>
      <w:tcPr>
        <w:shd w:val="clear" w:color="auto" w:fill="EAE9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3D3" w:themeFill="accent5" w:themeFillTint="33"/>
      </w:tcPr>
    </w:tblStylePr>
    <w:tblStylePr w:type="band1Vert">
      <w:tblPr/>
      <w:tcPr>
        <w:shd w:val="clear" w:color="auto" w:fill="979292" w:themeFill="accent5" w:themeFillTint="7F"/>
      </w:tcPr>
    </w:tblStylePr>
    <w:tblStylePr w:type="band1Horz">
      <w:tblPr/>
      <w:tcPr>
        <w:tcBorders>
          <w:insideH w:val="single" w:sz="6" w:space="0" w:color="2C2A2A" w:themeColor="accent5"/>
          <w:insideV w:val="single" w:sz="6" w:space="0" w:color="2C2A2A" w:themeColor="accent5"/>
        </w:tcBorders>
        <w:shd w:val="clear" w:color="auto" w:fill="97929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A0E18" w:themeColor="accent6"/>
        <w:left w:val="single" w:sz="8" w:space="0" w:color="4A0E18" w:themeColor="accent6"/>
        <w:bottom w:val="single" w:sz="8" w:space="0" w:color="4A0E18" w:themeColor="accent6"/>
        <w:right w:val="single" w:sz="8" w:space="0" w:color="4A0E18" w:themeColor="accent6"/>
        <w:insideH w:val="single" w:sz="8" w:space="0" w:color="4A0E18" w:themeColor="accent6"/>
        <w:insideV w:val="single" w:sz="8" w:space="0" w:color="4A0E18" w:themeColor="accent6"/>
      </w:tblBorders>
    </w:tblPr>
    <w:tcPr>
      <w:shd w:val="clear" w:color="auto" w:fill="EEA7B2" w:themeFill="accent6" w:themeFillTint="3F"/>
    </w:tcPr>
    <w:tblStylePr w:type="firstRow">
      <w:rPr>
        <w:b/>
        <w:bCs/>
        <w:color w:val="000000" w:themeColor="text1"/>
      </w:rPr>
      <w:tblPr/>
      <w:tcPr>
        <w:shd w:val="clear" w:color="auto" w:fill="F8DBE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B7C1" w:themeFill="accent6" w:themeFillTint="33"/>
      </w:tcPr>
    </w:tblStylePr>
    <w:tblStylePr w:type="band1Vert">
      <w:tblPr/>
      <w:tcPr>
        <w:shd w:val="clear" w:color="auto" w:fill="DD4E65" w:themeFill="accent6" w:themeFillTint="7F"/>
      </w:tcPr>
    </w:tblStylePr>
    <w:tblStylePr w:type="band1Horz">
      <w:tblPr/>
      <w:tcPr>
        <w:tcBorders>
          <w:insideH w:val="single" w:sz="6" w:space="0" w:color="4A0E18" w:themeColor="accent6"/>
          <w:insideV w:val="single" w:sz="6" w:space="0" w:color="4A0E18" w:themeColor="accent6"/>
        </w:tcBorders>
        <w:shd w:val="clear" w:color="auto" w:fill="DD4E6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8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71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7184" w:themeFill="accent1" w:themeFillTint="7F"/>
      </w:tcPr>
    </w:tblStylePr>
  </w:style>
  <w:style w:type="table" w:styleId="MediumGrid3-Accent2">
    <w:name w:val="Medium Grid 3 Accent 2"/>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7D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5F6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5F6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5F6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5F6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AFB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AFB6" w:themeFill="accent2" w:themeFillTint="7F"/>
      </w:tcPr>
    </w:tblStylePr>
  </w:style>
  <w:style w:type="table" w:styleId="MediumGrid3-Accent3">
    <w:name w:val="Medium Grid 3 Accent 3"/>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E7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E7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E7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E7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2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2F2" w:themeFill="accent3" w:themeFillTint="7F"/>
      </w:tcPr>
    </w:tblStylePr>
  </w:style>
  <w:style w:type="table" w:styleId="MediumGrid3-Accent4">
    <w:name w:val="Medium Grid 3 Accent 4"/>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1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868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868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868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868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2C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2C2" w:themeFill="accent4" w:themeFillTint="7F"/>
      </w:tcPr>
    </w:tblStylePr>
  </w:style>
  <w:style w:type="table" w:styleId="MediumGrid3-Accent5">
    <w:name w:val="Medium Grid 3 Accent 5"/>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A2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A2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A2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A2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29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292" w:themeFill="accent5" w:themeFillTint="7F"/>
      </w:tcPr>
    </w:tblStylePr>
  </w:style>
  <w:style w:type="table" w:styleId="MediumGrid3-Accent6">
    <w:name w:val="Medium Grid 3 Accent 6"/>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A7B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0E1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0E1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0E1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0E1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4E6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4E65" w:themeFill="accent6" w:themeFillTint="7F"/>
      </w:tcPr>
    </w:tblStylePr>
  </w:style>
  <w:style w:type="table" w:styleId="MediumList1">
    <w:name w:val="Medium List 1"/>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D4D4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931B2F" w:themeColor="accent1"/>
        <w:bottom w:val="single" w:sz="8" w:space="0" w:color="931B2F" w:themeColor="accent1"/>
      </w:tblBorders>
    </w:tblPr>
    <w:tblStylePr w:type="firstRow">
      <w:rPr>
        <w:rFonts w:asciiTheme="majorHAnsi" w:eastAsiaTheme="majorEastAsia" w:hAnsiTheme="majorHAnsi" w:cstheme="majorBidi"/>
      </w:rPr>
      <w:tblPr/>
      <w:tcPr>
        <w:tcBorders>
          <w:top w:val="nil"/>
          <w:bottom w:val="single" w:sz="8" w:space="0" w:color="931B2F" w:themeColor="accent1"/>
        </w:tcBorders>
      </w:tcPr>
    </w:tblStylePr>
    <w:tblStylePr w:type="lastRow">
      <w:rPr>
        <w:b/>
        <w:bCs/>
        <w:color w:val="4D4D4D" w:themeColor="text2"/>
      </w:rPr>
      <w:tblPr/>
      <w:tcPr>
        <w:tcBorders>
          <w:top w:val="single" w:sz="8" w:space="0" w:color="931B2F" w:themeColor="accent1"/>
          <w:bottom w:val="single" w:sz="8" w:space="0" w:color="931B2F" w:themeColor="accent1"/>
        </w:tcBorders>
      </w:tcPr>
    </w:tblStylePr>
    <w:tblStylePr w:type="firstCol">
      <w:rPr>
        <w:b/>
        <w:bCs/>
      </w:rPr>
    </w:tblStylePr>
    <w:tblStylePr w:type="lastCol">
      <w:rPr>
        <w:b/>
        <w:bCs/>
      </w:rPr>
      <w:tblPr/>
      <w:tcPr>
        <w:tcBorders>
          <w:top w:val="single" w:sz="8" w:space="0" w:color="931B2F" w:themeColor="accent1"/>
          <w:bottom w:val="single" w:sz="8" w:space="0" w:color="931B2F" w:themeColor="accent1"/>
        </w:tcBorders>
      </w:tcPr>
    </w:tblStylePr>
    <w:tblStylePr w:type="band1Vert">
      <w:tblPr/>
      <w:tcPr>
        <w:shd w:val="clear" w:color="auto" w:fill="F2B8C1" w:themeFill="accent1" w:themeFillTint="3F"/>
      </w:tcPr>
    </w:tblStylePr>
    <w:tblStylePr w:type="band1Horz">
      <w:tblPr/>
      <w:tcPr>
        <w:shd w:val="clear" w:color="auto" w:fill="F2B8C1" w:themeFill="accent1" w:themeFillTint="3F"/>
      </w:tcPr>
    </w:tblStylePr>
  </w:style>
  <w:style w:type="table" w:styleId="MediumList1-Accent2">
    <w:name w:val="Medium List 1 Accent 2"/>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B35F6D" w:themeColor="accent2"/>
        <w:bottom w:val="single" w:sz="8" w:space="0" w:color="B35F6D" w:themeColor="accent2"/>
      </w:tblBorders>
    </w:tblPr>
    <w:tblStylePr w:type="firstRow">
      <w:rPr>
        <w:rFonts w:asciiTheme="majorHAnsi" w:eastAsiaTheme="majorEastAsia" w:hAnsiTheme="majorHAnsi" w:cstheme="majorBidi"/>
      </w:rPr>
      <w:tblPr/>
      <w:tcPr>
        <w:tcBorders>
          <w:top w:val="nil"/>
          <w:bottom w:val="single" w:sz="8" w:space="0" w:color="B35F6D" w:themeColor="accent2"/>
        </w:tcBorders>
      </w:tcPr>
    </w:tblStylePr>
    <w:tblStylePr w:type="lastRow">
      <w:rPr>
        <w:b/>
        <w:bCs/>
        <w:color w:val="4D4D4D" w:themeColor="text2"/>
      </w:rPr>
      <w:tblPr/>
      <w:tcPr>
        <w:tcBorders>
          <w:top w:val="single" w:sz="8" w:space="0" w:color="B35F6D" w:themeColor="accent2"/>
          <w:bottom w:val="single" w:sz="8" w:space="0" w:color="B35F6D" w:themeColor="accent2"/>
        </w:tcBorders>
      </w:tcPr>
    </w:tblStylePr>
    <w:tblStylePr w:type="firstCol">
      <w:rPr>
        <w:b/>
        <w:bCs/>
      </w:rPr>
    </w:tblStylePr>
    <w:tblStylePr w:type="lastCol">
      <w:rPr>
        <w:b/>
        <w:bCs/>
      </w:rPr>
      <w:tblPr/>
      <w:tcPr>
        <w:tcBorders>
          <w:top w:val="single" w:sz="8" w:space="0" w:color="B35F6D" w:themeColor="accent2"/>
          <w:bottom w:val="single" w:sz="8" w:space="0" w:color="B35F6D" w:themeColor="accent2"/>
        </w:tcBorders>
      </w:tcPr>
    </w:tblStylePr>
    <w:tblStylePr w:type="band1Vert">
      <w:tblPr/>
      <w:tcPr>
        <w:shd w:val="clear" w:color="auto" w:fill="ECD7DA" w:themeFill="accent2" w:themeFillTint="3F"/>
      </w:tcPr>
    </w:tblStylePr>
    <w:tblStylePr w:type="band1Horz">
      <w:tblPr/>
      <w:tcPr>
        <w:shd w:val="clear" w:color="auto" w:fill="ECD7DA" w:themeFill="accent2" w:themeFillTint="3F"/>
      </w:tcPr>
    </w:tblStylePr>
  </w:style>
  <w:style w:type="table" w:styleId="MediumList1-Accent3">
    <w:name w:val="Medium List 1 Accent 3"/>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E8E7E7" w:themeColor="accent3"/>
        <w:bottom w:val="single" w:sz="8" w:space="0" w:color="E8E7E7" w:themeColor="accent3"/>
      </w:tblBorders>
    </w:tblPr>
    <w:tblStylePr w:type="firstRow">
      <w:rPr>
        <w:rFonts w:asciiTheme="majorHAnsi" w:eastAsiaTheme="majorEastAsia" w:hAnsiTheme="majorHAnsi" w:cstheme="majorBidi"/>
      </w:rPr>
      <w:tblPr/>
      <w:tcPr>
        <w:tcBorders>
          <w:top w:val="nil"/>
          <w:bottom w:val="single" w:sz="8" w:space="0" w:color="E8E7E7" w:themeColor="accent3"/>
        </w:tcBorders>
      </w:tcPr>
    </w:tblStylePr>
    <w:tblStylePr w:type="lastRow">
      <w:rPr>
        <w:b/>
        <w:bCs/>
        <w:color w:val="4D4D4D" w:themeColor="text2"/>
      </w:rPr>
      <w:tblPr/>
      <w:tcPr>
        <w:tcBorders>
          <w:top w:val="single" w:sz="8" w:space="0" w:color="E8E7E7" w:themeColor="accent3"/>
          <w:bottom w:val="single" w:sz="8" w:space="0" w:color="E8E7E7" w:themeColor="accent3"/>
        </w:tcBorders>
      </w:tcPr>
    </w:tblStylePr>
    <w:tblStylePr w:type="firstCol">
      <w:rPr>
        <w:b/>
        <w:bCs/>
      </w:rPr>
    </w:tblStylePr>
    <w:tblStylePr w:type="lastCol">
      <w:rPr>
        <w:b/>
        <w:bCs/>
      </w:rPr>
      <w:tblPr/>
      <w:tcPr>
        <w:tcBorders>
          <w:top w:val="single" w:sz="8" w:space="0" w:color="E8E7E7" w:themeColor="accent3"/>
          <w:bottom w:val="single" w:sz="8" w:space="0" w:color="E8E7E7" w:themeColor="accent3"/>
        </w:tcBorders>
      </w:tcPr>
    </w:tblStylePr>
    <w:tblStylePr w:type="band1Vert">
      <w:tblPr/>
      <w:tcPr>
        <w:shd w:val="clear" w:color="auto" w:fill="F9F9F9" w:themeFill="accent3" w:themeFillTint="3F"/>
      </w:tcPr>
    </w:tblStylePr>
    <w:tblStylePr w:type="band1Horz">
      <w:tblPr/>
      <w:tcPr>
        <w:shd w:val="clear" w:color="auto" w:fill="F9F9F9" w:themeFill="accent3" w:themeFillTint="3F"/>
      </w:tcPr>
    </w:tblStylePr>
  </w:style>
  <w:style w:type="table" w:styleId="MediumList1-Accent4">
    <w:name w:val="Medium List 1 Accent 4"/>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8C8686" w:themeColor="accent4"/>
        <w:bottom w:val="single" w:sz="8" w:space="0" w:color="8C8686" w:themeColor="accent4"/>
      </w:tblBorders>
    </w:tblPr>
    <w:tblStylePr w:type="firstRow">
      <w:rPr>
        <w:rFonts w:asciiTheme="majorHAnsi" w:eastAsiaTheme="majorEastAsia" w:hAnsiTheme="majorHAnsi" w:cstheme="majorBidi"/>
      </w:rPr>
      <w:tblPr/>
      <w:tcPr>
        <w:tcBorders>
          <w:top w:val="nil"/>
          <w:bottom w:val="single" w:sz="8" w:space="0" w:color="8C8686" w:themeColor="accent4"/>
        </w:tcBorders>
      </w:tcPr>
    </w:tblStylePr>
    <w:tblStylePr w:type="lastRow">
      <w:rPr>
        <w:b/>
        <w:bCs/>
        <w:color w:val="4D4D4D" w:themeColor="text2"/>
      </w:rPr>
      <w:tblPr/>
      <w:tcPr>
        <w:tcBorders>
          <w:top w:val="single" w:sz="8" w:space="0" w:color="8C8686" w:themeColor="accent4"/>
          <w:bottom w:val="single" w:sz="8" w:space="0" w:color="8C8686" w:themeColor="accent4"/>
        </w:tcBorders>
      </w:tcPr>
    </w:tblStylePr>
    <w:tblStylePr w:type="firstCol">
      <w:rPr>
        <w:b/>
        <w:bCs/>
      </w:rPr>
    </w:tblStylePr>
    <w:tblStylePr w:type="lastCol">
      <w:rPr>
        <w:b/>
        <w:bCs/>
      </w:rPr>
      <w:tblPr/>
      <w:tcPr>
        <w:tcBorders>
          <w:top w:val="single" w:sz="8" w:space="0" w:color="8C8686" w:themeColor="accent4"/>
          <w:bottom w:val="single" w:sz="8" w:space="0" w:color="8C8686" w:themeColor="accent4"/>
        </w:tcBorders>
      </w:tcPr>
    </w:tblStylePr>
    <w:tblStylePr w:type="band1Vert">
      <w:tblPr/>
      <w:tcPr>
        <w:shd w:val="clear" w:color="auto" w:fill="E2E1E1" w:themeFill="accent4" w:themeFillTint="3F"/>
      </w:tcPr>
    </w:tblStylePr>
    <w:tblStylePr w:type="band1Horz">
      <w:tblPr/>
      <w:tcPr>
        <w:shd w:val="clear" w:color="auto" w:fill="E2E1E1" w:themeFill="accent4" w:themeFillTint="3F"/>
      </w:tcPr>
    </w:tblStylePr>
  </w:style>
  <w:style w:type="table" w:styleId="MediumList1-Accent5">
    <w:name w:val="Medium List 1 Accent 5"/>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2C2A2A" w:themeColor="accent5"/>
        <w:bottom w:val="single" w:sz="8" w:space="0" w:color="2C2A2A" w:themeColor="accent5"/>
      </w:tblBorders>
    </w:tblPr>
    <w:tblStylePr w:type="firstRow">
      <w:rPr>
        <w:rFonts w:asciiTheme="majorHAnsi" w:eastAsiaTheme="majorEastAsia" w:hAnsiTheme="majorHAnsi" w:cstheme="majorBidi"/>
      </w:rPr>
      <w:tblPr/>
      <w:tcPr>
        <w:tcBorders>
          <w:top w:val="nil"/>
          <w:bottom w:val="single" w:sz="8" w:space="0" w:color="2C2A2A" w:themeColor="accent5"/>
        </w:tcBorders>
      </w:tcPr>
    </w:tblStylePr>
    <w:tblStylePr w:type="lastRow">
      <w:rPr>
        <w:b/>
        <w:bCs/>
        <w:color w:val="4D4D4D" w:themeColor="text2"/>
      </w:rPr>
      <w:tblPr/>
      <w:tcPr>
        <w:tcBorders>
          <w:top w:val="single" w:sz="8" w:space="0" w:color="2C2A2A" w:themeColor="accent5"/>
          <w:bottom w:val="single" w:sz="8" w:space="0" w:color="2C2A2A" w:themeColor="accent5"/>
        </w:tcBorders>
      </w:tcPr>
    </w:tblStylePr>
    <w:tblStylePr w:type="firstCol">
      <w:rPr>
        <w:b/>
        <w:bCs/>
      </w:rPr>
    </w:tblStylePr>
    <w:tblStylePr w:type="lastCol">
      <w:rPr>
        <w:b/>
        <w:bCs/>
      </w:rPr>
      <w:tblPr/>
      <w:tcPr>
        <w:tcBorders>
          <w:top w:val="single" w:sz="8" w:space="0" w:color="2C2A2A" w:themeColor="accent5"/>
          <w:bottom w:val="single" w:sz="8" w:space="0" w:color="2C2A2A" w:themeColor="accent5"/>
        </w:tcBorders>
      </w:tcPr>
    </w:tblStylePr>
    <w:tblStylePr w:type="band1Vert">
      <w:tblPr/>
      <w:tcPr>
        <w:shd w:val="clear" w:color="auto" w:fill="CBC9C9" w:themeFill="accent5" w:themeFillTint="3F"/>
      </w:tcPr>
    </w:tblStylePr>
    <w:tblStylePr w:type="band1Horz">
      <w:tblPr/>
      <w:tcPr>
        <w:shd w:val="clear" w:color="auto" w:fill="CBC9C9" w:themeFill="accent5" w:themeFillTint="3F"/>
      </w:tcPr>
    </w:tblStylePr>
  </w:style>
  <w:style w:type="table" w:styleId="MediumList1-Accent6">
    <w:name w:val="Medium List 1 Accent 6"/>
    <w:basedOn w:val="TableNormal"/>
    <w:uiPriority w:val="65"/>
    <w:semiHidden/>
    <w:unhideWhenUsed/>
    <w:locked/>
    <w:rsid w:val="00C551E1"/>
    <w:pPr>
      <w:spacing w:after="0"/>
    </w:pPr>
    <w:rPr>
      <w:color w:val="000000" w:themeColor="text1"/>
    </w:rPr>
    <w:tblPr>
      <w:tblStyleRowBandSize w:val="1"/>
      <w:tblStyleColBandSize w:val="1"/>
      <w:tblBorders>
        <w:top w:val="single" w:sz="8" w:space="0" w:color="4A0E18" w:themeColor="accent6"/>
        <w:bottom w:val="single" w:sz="8" w:space="0" w:color="4A0E18" w:themeColor="accent6"/>
      </w:tblBorders>
    </w:tblPr>
    <w:tblStylePr w:type="firstRow">
      <w:rPr>
        <w:rFonts w:asciiTheme="majorHAnsi" w:eastAsiaTheme="majorEastAsia" w:hAnsiTheme="majorHAnsi" w:cstheme="majorBidi"/>
      </w:rPr>
      <w:tblPr/>
      <w:tcPr>
        <w:tcBorders>
          <w:top w:val="nil"/>
          <w:bottom w:val="single" w:sz="8" w:space="0" w:color="4A0E18" w:themeColor="accent6"/>
        </w:tcBorders>
      </w:tcPr>
    </w:tblStylePr>
    <w:tblStylePr w:type="lastRow">
      <w:rPr>
        <w:b/>
        <w:bCs/>
        <w:color w:val="4D4D4D" w:themeColor="text2"/>
      </w:rPr>
      <w:tblPr/>
      <w:tcPr>
        <w:tcBorders>
          <w:top w:val="single" w:sz="8" w:space="0" w:color="4A0E18" w:themeColor="accent6"/>
          <w:bottom w:val="single" w:sz="8" w:space="0" w:color="4A0E18" w:themeColor="accent6"/>
        </w:tcBorders>
      </w:tcPr>
    </w:tblStylePr>
    <w:tblStylePr w:type="firstCol">
      <w:rPr>
        <w:b/>
        <w:bCs/>
      </w:rPr>
    </w:tblStylePr>
    <w:tblStylePr w:type="lastCol">
      <w:rPr>
        <w:b/>
        <w:bCs/>
      </w:rPr>
      <w:tblPr/>
      <w:tcPr>
        <w:tcBorders>
          <w:top w:val="single" w:sz="8" w:space="0" w:color="4A0E18" w:themeColor="accent6"/>
          <w:bottom w:val="single" w:sz="8" w:space="0" w:color="4A0E18" w:themeColor="accent6"/>
        </w:tcBorders>
      </w:tcPr>
    </w:tblStylePr>
    <w:tblStylePr w:type="band1Vert">
      <w:tblPr/>
      <w:tcPr>
        <w:shd w:val="clear" w:color="auto" w:fill="EEA7B2" w:themeFill="accent6" w:themeFillTint="3F"/>
      </w:tcPr>
    </w:tblStylePr>
    <w:tblStylePr w:type="band1Horz">
      <w:tblPr/>
      <w:tcPr>
        <w:shd w:val="clear" w:color="auto" w:fill="EEA7B2" w:themeFill="accent6" w:themeFillTint="3F"/>
      </w:tcPr>
    </w:tblStylePr>
  </w:style>
  <w:style w:type="table" w:styleId="MediumList2">
    <w:name w:val="Medium List 2"/>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31B2F" w:themeColor="accent1"/>
        <w:left w:val="single" w:sz="8" w:space="0" w:color="931B2F" w:themeColor="accent1"/>
        <w:bottom w:val="single" w:sz="8" w:space="0" w:color="931B2F" w:themeColor="accent1"/>
        <w:right w:val="single" w:sz="8" w:space="0" w:color="931B2F" w:themeColor="accent1"/>
      </w:tblBorders>
    </w:tblPr>
    <w:tblStylePr w:type="firstRow">
      <w:rPr>
        <w:sz w:val="24"/>
        <w:szCs w:val="24"/>
      </w:rPr>
      <w:tblPr/>
      <w:tcPr>
        <w:tcBorders>
          <w:top w:val="nil"/>
          <w:left w:val="nil"/>
          <w:bottom w:val="single" w:sz="24" w:space="0" w:color="93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1B2F" w:themeColor="accent1"/>
          <w:insideH w:val="nil"/>
          <w:insideV w:val="nil"/>
        </w:tcBorders>
        <w:shd w:val="clear" w:color="auto" w:fill="FFFFFF" w:themeFill="background1"/>
      </w:tcPr>
    </w:tblStylePr>
    <w:tblStylePr w:type="lastCol">
      <w:tblPr/>
      <w:tcPr>
        <w:tcBorders>
          <w:top w:val="nil"/>
          <w:left w:val="single" w:sz="8" w:space="0" w:color="93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8C1" w:themeFill="accent1" w:themeFillTint="3F"/>
      </w:tcPr>
    </w:tblStylePr>
    <w:tblStylePr w:type="band1Horz">
      <w:tblPr/>
      <w:tcPr>
        <w:tcBorders>
          <w:top w:val="nil"/>
          <w:bottom w:val="nil"/>
          <w:insideH w:val="nil"/>
          <w:insideV w:val="nil"/>
        </w:tcBorders>
        <w:shd w:val="clear" w:color="auto" w:fill="F2B8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35F6D" w:themeColor="accent2"/>
        <w:left w:val="single" w:sz="8" w:space="0" w:color="B35F6D" w:themeColor="accent2"/>
        <w:bottom w:val="single" w:sz="8" w:space="0" w:color="B35F6D" w:themeColor="accent2"/>
        <w:right w:val="single" w:sz="8" w:space="0" w:color="B35F6D" w:themeColor="accent2"/>
      </w:tblBorders>
    </w:tblPr>
    <w:tblStylePr w:type="firstRow">
      <w:rPr>
        <w:sz w:val="24"/>
        <w:szCs w:val="24"/>
      </w:rPr>
      <w:tblPr/>
      <w:tcPr>
        <w:tcBorders>
          <w:top w:val="nil"/>
          <w:left w:val="nil"/>
          <w:bottom w:val="single" w:sz="24" w:space="0" w:color="B35F6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5F6D" w:themeColor="accent2"/>
          <w:insideH w:val="nil"/>
          <w:insideV w:val="nil"/>
        </w:tcBorders>
        <w:shd w:val="clear" w:color="auto" w:fill="FFFFFF" w:themeFill="background1"/>
      </w:tcPr>
    </w:tblStylePr>
    <w:tblStylePr w:type="lastCol">
      <w:tblPr/>
      <w:tcPr>
        <w:tcBorders>
          <w:top w:val="nil"/>
          <w:left w:val="single" w:sz="8" w:space="0" w:color="B35F6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7DA" w:themeFill="accent2" w:themeFillTint="3F"/>
      </w:tcPr>
    </w:tblStylePr>
    <w:tblStylePr w:type="band1Horz">
      <w:tblPr/>
      <w:tcPr>
        <w:tcBorders>
          <w:top w:val="nil"/>
          <w:bottom w:val="nil"/>
          <w:insideH w:val="nil"/>
          <w:insideV w:val="nil"/>
        </w:tcBorders>
        <w:shd w:val="clear" w:color="auto" w:fill="ECD7D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E7E7" w:themeColor="accent3"/>
        <w:left w:val="single" w:sz="8" w:space="0" w:color="E8E7E7" w:themeColor="accent3"/>
        <w:bottom w:val="single" w:sz="8" w:space="0" w:color="E8E7E7" w:themeColor="accent3"/>
        <w:right w:val="single" w:sz="8" w:space="0" w:color="E8E7E7" w:themeColor="accent3"/>
      </w:tblBorders>
    </w:tblPr>
    <w:tblStylePr w:type="firstRow">
      <w:rPr>
        <w:sz w:val="24"/>
        <w:szCs w:val="24"/>
      </w:rPr>
      <w:tblPr/>
      <w:tcPr>
        <w:tcBorders>
          <w:top w:val="nil"/>
          <w:left w:val="nil"/>
          <w:bottom w:val="single" w:sz="24" w:space="0" w:color="E8E7E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E7E7" w:themeColor="accent3"/>
          <w:insideH w:val="nil"/>
          <w:insideV w:val="nil"/>
        </w:tcBorders>
        <w:shd w:val="clear" w:color="auto" w:fill="FFFFFF" w:themeFill="background1"/>
      </w:tcPr>
    </w:tblStylePr>
    <w:tblStylePr w:type="lastCol">
      <w:tblPr/>
      <w:tcPr>
        <w:tcBorders>
          <w:top w:val="nil"/>
          <w:left w:val="single" w:sz="8" w:space="0" w:color="E8E7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9" w:themeFill="accent3" w:themeFillTint="3F"/>
      </w:tcPr>
    </w:tblStylePr>
    <w:tblStylePr w:type="band1Horz">
      <w:tblPr/>
      <w:tcPr>
        <w:tcBorders>
          <w:top w:val="nil"/>
          <w:bottom w:val="nil"/>
          <w:insideH w:val="nil"/>
          <w:insideV w:val="nil"/>
        </w:tcBorders>
        <w:shd w:val="clear" w:color="auto" w:fill="F9F9F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C8686" w:themeColor="accent4"/>
        <w:left w:val="single" w:sz="8" w:space="0" w:color="8C8686" w:themeColor="accent4"/>
        <w:bottom w:val="single" w:sz="8" w:space="0" w:color="8C8686" w:themeColor="accent4"/>
        <w:right w:val="single" w:sz="8" w:space="0" w:color="8C8686" w:themeColor="accent4"/>
      </w:tblBorders>
    </w:tblPr>
    <w:tblStylePr w:type="firstRow">
      <w:rPr>
        <w:sz w:val="24"/>
        <w:szCs w:val="24"/>
      </w:rPr>
      <w:tblPr/>
      <w:tcPr>
        <w:tcBorders>
          <w:top w:val="nil"/>
          <w:left w:val="nil"/>
          <w:bottom w:val="single" w:sz="24" w:space="0" w:color="8C868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8686" w:themeColor="accent4"/>
          <w:insideH w:val="nil"/>
          <w:insideV w:val="nil"/>
        </w:tcBorders>
        <w:shd w:val="clear" w:color="auto" w:fill="FFFFFF" w:themeFill="background1"/>
      </w:tcPr>
    </w:tblStylePr>
    <w:tblStylePr w:type="lastCol">
      <w:tblPr/>
      <w:tcPr>
        <w:tcBorders>
          <w:top w:val="nil"/>
          <w:left w:val="single" w:sz="8" w:space="0" w:color="8C868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1E1" w:themeFill="accent4" w:themeFillTint="3F"/>
      </w:tcPr>
    </w:tblStylePr>
    <w:tblStylePr w:type="band1Horz">
      <w:tblPr/>
      <w:tcPr>
        <w:tcBorders>
          <w:top w:val="nil"/>
          <w:bottom w:val="nil"/>
          <w:insideH w:val="nil"/>
          <w:insideV w:val="nil"/>
        </w:tcBorders>
        <w:shd w:val="clear" w:color="auto" w:fill="E2E1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2C2A2A" w:themeColor="accent5"/>
        <w:left w:val="single" w:sz="8" w:space="0" w:color="2C2A2A" w:themeColor="accent5"/>
        <w:bottom w:val="single" w:sz="8" w:space="0" w:color="2C2A2A" w:themeColor="accent5"/>
        <w:right w:val="single" w:sz="8" w:space="0" w:color="2C2A2A" w:themeColor="accent5"/>
      </w:tblBorders>
    </w:tblPr>
    <w:tblStylePr w:type="firstRow">
      <w:rPr>
        <w:sz w:val="24"/>
        <w:szCs w:val="24"/>
      </w:rPr>
      <w:tblPr/>
      <w:tcPr>
        <w:tcBorders>
          <w:top w:val="nil"/>
          <w:left w:val="nil"/>
          <w:bottom w:val="single" w:sz="24" w:space="0" w:color="2C2A2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A2A" w:themeColor="accent5"/>
          <w:insideH w:val="nil"/>
          <w:insideV w:val="nil"/>
        </w:tcBorders>
        <w:shd w:val="clear" w:color="auto" w:fill="FFFFFF" w:themeFill="background1"/>
      </w:tcPr>
    </w:tblStylePr>
    <w:tblStylePr w:type="lastCol">
      <w:tblPr/>
      <w:tcPr>
        <w:tcBorders>
          <w:top w:val="nil"/>
          <w:left w:val="single" w:sz="8" w:space="0" w:color="2C2A2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9C9" w:themeFill="accent5" w:themeFillTint="3F"/>
      </w:tcPr>
    </w:tblStylePr>
    <w:tblStylePr w:type="band1Horz">
      <w:tblPr/>
      <w:tcPr>
        <w:tcBorders>
          <w:top w:val="nil"/>
          <w:bottom w:val="nil"/>
          <w:insideH w:val="nil"/>
          <w:insideV w:val="nil"/>
        </w:tcBorders>
        <w:shd w:val="clear" w:color="auto" w:fill="CBC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C551E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A0E18" w:themeColor="accent6"/>
        <w:left w:val="single" w:sz="8" w:space="0" w:color="4A0E18" w:themeColor="accent6"/>
        <w:bottom w:val="single" w:sz="8" w:space="0" w:color="4A0E18" w:themeColor="accent6"/>
        <w:right w:val="single" w:sz="8" w:space="0" w:color="4A0E18" w:themeColor="accent6"/>
      </w:tblBorders>
    </w:tblPr>
    <w:tblStylePr w:type="firstRow">
      <w:rPr>
        <w:sz w:val="24"/>
        <w:szCs w:val="24"/>
      </w:rPr>
      <w:tblPr/>
      <w:tcPr>
        <w:tcBorders>
          <w:top w:val="nil"/>
          <w:left w:val="nil"/>
          <w:bottom w:val="single" w:sz="24" w:space="0" w:color="4A0E1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0E18" w:themeColor="accent6"/>
          <w:insideH w:val="nil"/>
          <w:insideV w:val="nil"/>
        </w:tcBorders>
        <w:shd w:val="clear" w:color="auto" w:fill="FFFFFF" w:themeFill="background1"/>
      </w:tcPr>
    </w:tblStylePr>
    <w:tblStylePr w:type="lastCol">
      <w:tblPr/>
      <w:tcPr>
        <w:tcBorders>
          <w:top w:val="nil"/>
          <w:left w:val="single" w:sz="8" w:space="0" w:color="4A0E1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A7B2" w:themeFill="accent6" w:themeFillTint="3F"/>
      </w:tcPr>
    </w:tblStylePr>
    <w:tblStylePr w:type="band1Horz">
      <w:tblPr/>
      <w:tcPr>
        <w:tcBorders>
          <w:top w:val="nil"/>
          <w:bottom w:val="nil"/>
          <w:insideH w:val="nil"/>
          <w:insideV w:val="nil"/>
        </w:tcBorders>
        <w:shd w:val="clear" w:color="auto" w:fill="EEA7B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C551E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C551E1"/>
    <w:pPr>
      <w:spacing w:after="0"/>
    </w:pPr>
    <w:tblPr>
      <w:tblStyleRowBandSize w:val="1"/>
      <w:tblStyleColBandSize w:val="1"/>
      <w:tblBorders>
        <w:top w:val="single" w:sz="8" w:space="0" w:color="D82A46" w:themeColor="accent1" w:themeTint="BF"/>
        <w:left w:val="single" w:sz="8" w:space="0" w:color="D82A46" w:themeColor="accent1" w:themeTint="BF"/>
        <w:bottom w:val="single" w:sz="8" w:space="0" w:color="D82A46" w:themeColor="accent1" w:themeTint="BF"/>
        <w:right w:val="single" w:sz="8" w:space="0" w:color="D82A46" w:themeColor="accent1" w:themeTint="BF"/>
        <w:insideH w:val="single" w:sz="8" w:space="0" w:color="D82A46" w:themeColor="accent1" w:themeTint="BF"/>
      </w:tblBorders>
    </w:tblPr>
    <w:tblStylePr w:type="firstRow">
      <w:pPr>
        <w:spacing w:before="0" w:after="0" w:line="240" w:lineRule="auto"/>
      </w:pPr>
      <w:rPr>
        <w:b/>
        <w:bCs/>
        <w:color w:val="FFFFFF" w:themeColor="background1"/>
      </w:rPr>
      <w:tblPr/>
      <w:tcPr>
        <w:tcBorders>
          <w:top w:val="single" w:sz="8" w:space="0" w:color="D82A46" w:themeColor="accent1" w:themeTint="BF"/>
          <w:left w:val="single" w:sz="8" w:space="0" w:color="D82A46" w:themeColor="accent1" w:themeTint="BF"/>
          <w:bottom w:val="single" w:sz="8" w:space="0" w:color="D82A46" w:themeColor="accent1" w:themeTint="BF"/>
          <w:right w:val="single" w:sz="8" w:space="0" w:color="D82A46" w:themeColor="accent1" w:themeTint="BF"/>
          <w:insideH w:val="nil"/>
          <w:insideV w:val="nil"/>
        </w:tcBorders>
        <w:shd w:val="clear" w:color="auto" w:fill="931B2F" w:themeFill="accent1"/>
      </w:tcPr>
    </w:tblStylePr>
    <w:tblStylePr w:type="lastRow">
      <w:pPr>
        <w:spacing w:before="0" w:after="0" w:line="240" w:lineRule="auto"/>
      </w:pPr>
      <w:rPr>
        <w:b/>
        <w:bCs/>
      </w:rPr>
      <w:tblPr/>
      <w:tcPr>
        <w:tcBorders>
          <w:top w:val="double" w:sz="6" w:space="0" w:color="D82A46" w:themeColor="accent1" w:themeTint="BF"/>
          <w:left w:val="single" w:sz="8" w:space="0" w:color="D82A46" w:themeColor="accent1" w:themeTint="BF"/>
          <w:bottom w:val="single" w:sz="8" w:space="0" w:color="D82A46" w:themeColor="accent1" w:themeTint="BF"/>
          <w:right w:val="single" w:sz="8" w:space="0" w:color="D82A4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8C1" w:themeFill="accent1" w:themeFillTint="3F"/>
      </w:tcPr>
    </w:tblStylePr>
    <w:tblStylePr w:type="band1Horz">
      <w:tblPr/>
      <w:tcPr>
        <w:tcBorders>
          <w:insideH w:val="nil"/>
          <w:insideV w:val="nil"/>
        </w:tcBorders>
        <w:shd w:val="clear" w:color="auto" w:fill="F2B8C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C551E1"/>
    <w:pPr>
      <w:spacing w:after="0"/>
    </w:pPr>
    <w:tblPr>
      <w:tblStyleRowBandSize w:val="1"/>
      <w:tblStyleColBandSize w:val="1"/>
      <w:tblBorders>
        <w:top w:val="single" w:sz="8" w:space="0" w:color="C68791" w:themeColor="accent2" w:themeTint="BF"/>
        <w:left w:val="single" w:sz="8" w:space="0" w:color="C68791" w:themeColor="accent2" w:themeTint="BF"/>
        <w:bottom w:val="single" w:sz="8" w:space="0" w:color="C68791" w:themeColor="accent2" w:themeTint="BF"/>
        <w:right w:val="single" w:sz="8" w:space="0" w:color="C68791" w:themeColor="accent2" w:themeTint="BF"/>
        <w:insideH w:val="single" w:sz="8" w:space="0" w:color="C68791" w:themeColor="accent2" w:themeTint="BF"/>
      </w:tblBorders>
    </w:tblPr>
    <w:tblStylePr w:type="firstRow">
      <w:pPr>
        <w:spacing w:before="0" w:after="0" w:line="240" w:lineRule="auto"/>
      </w:pPr>
      <w:rPr>
        <w:b/>
        <w:bCs/>
        <w:color w:val="FFFFFF" w:themeColor="background1"/>
      </w:rPr>
      <w:tblPr/>
      <w:tcPr>
        <w:tcBorders>
          <w:top w:val="single" w:sz="8" w:space="0" w:color="C68791" w:themeColor="accent2" w:themeTint="BF"/>
          <w:left w:val="single" w:sz="8" w:space="0" w:color="C68791" w:themeColor="accent2" w:themeTint="BF"/>
          <w:bottom w:val="single" w:sz="8" w:space="0" w:color="C68791" w:themeColor="accent2" w:themeTint="BF"/>
          <w:right w:val="single" w:sz="8" w:space="0" w:color="C68791" w:themeColor="accent2" w:themeTint="BF"/>
          <w:insideH w:val="nil"/>
          <w:insideV w:val="nil"/>
        </w:tcBorders>
        <w:shd w:val="clear" w:color="auto" w:fill="B35F6D" w:themeFill="accent2"/>
      </w:tcPr>
    </w:tblStylePr>
    <w:tblStylePr w:type="lastRow">
      <w:pPr>
        <w:spacing w:before="0" w:after="0" w:line="240" w:lineRule="auto"/>
      </w:pPr>
      <w:rPr>
        <w:b/>
        <w:bCs/>
      </w:rPr>
      <w:tblPr/>
      <w:tcPr>
        <w:tcBorders>
          <w:top w:val="double" w:sz="6" w:space="0" w:color="C68791" w:themeColor="accent2" w:themeTint="BF"/>
          <w:left w:val="single" w:sz="8" w:space="0" w:color="C68791" w:themeColor="accent2" w:themeTint="BF"/>
          <w:bottom w:val="single" w:sz="8" w:space="0" w:color="C68791" w:themeColor="accent2" w:themeTint="BF"/>
          <w:right w:val="single" w:sz="8" w:space="0" w:color="C6879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D7DA" w:themeFill="accent2" w:themeFillTint="3F"/>
      </w:tcPr>
    </w:tblStylePr>
    <w:tblStylePr w:type="band1Horz">
      <w:tblPr/>
      <w:tcPr>
        <w:tcBorders>
          <w:insideH w:val="nil"/>
          <w:insideV w:val="nil"/>
        </w:tcBorders>
        <w:shd w:val="clear" w:color="auto" w:fill="ECD7D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C551E1"/>
    <w:pPr>
      <w:spacing w:after="0"/>
    </w:pPr>
    <w:tblPr>
      <w:tblStyleRowBandSize w:val="1"/>
      <w:tblStyleColBandSize w:val="1"/>
      <w:tblBorders>
        <w:top w:val="single" w:sz="8" w:space="0" w:color="EDECEC" w:themeColor="accent3" w:themeTint="BF"/>
        <w:left w:val="single" w:sz="8" w:space="0" w:color="EDECEC" w:themeColor="accent3" w:themeTint="BF"/>
        <w:bottom w:val="single" w:sz="8" w:space="0" w:color="EDECEC" w:themeColor="accent3" w:themeTint="BF"/>
        <w:right w:val="single" w:sz="8" w:space="0" w:color="EDECEC" w:themeColor="accent3" w:themeTint="BF"/>
        <w:insideH w:val="single" w:sz="8" w:space="0" w:color="EDECEC" w:themeColor="accent3" w:themeTint="BF"/>
      </w:tblBorders>
    </w:tblPr>
    <w:tblStylePr w:type="firstRow">
      <w:pPr>
        <w:spacing w:before="0" w:after="0" w:line="240" w:lineRule="auto"/>
      </w:pPr>
      <w:rPr>
        <w:b/>
        <w:bCs/>
        <w:color w:val="FFFFFF" w:themeColor="background1"/>
      </w:rPr>
      <w:tblPr/>
      <w:tcPr>
        <w:tcBorders>
          <w:top w:val="single" w:sz="8" w:space="0" w:color="EDECEC" w:themeColor="accent3" w:themeTint="BF"/>
          <w:left w:val="single" w:sz="8" w:space="0" w:color="EDECEC" w:themeColor="accent3" w:themeTint="BF"/>
          <w:bottom w:val="single" w:sz="8" w:space="0" w:color="EDECEC" w:themeColor="accent3" w:themeTint="BF"/>
          <w:right w:val="single" w:sz="8" w:space="0" w:color="EDECEC" w:themeColor="accent3" w:themeTint="BF"/>
          <w:insideH w:val="nil"/>
          <w:insideV w:val="nil"/>
        </w:tcBorders>
        <w:shd w:val="clear" w:color="auto" w:fill="E8E7E7" w:themeFill="accent3"/>
      </w:tcPr>
    </w:tblStylePr>
    <w:tblStylePr w:type="lastRow">
      <w:pPr>
        <w:spacing w:before="0" w:after="0" w:line="240" w:lineRule="auto"/>
      </w:pPr>
      <w:rPr>
        <w:b/>
        <w:bCs/>
      </w:rPr>
      <w:tblPr/>
      <w:tcPr>
        <w:tcBorders>
          <w:top w:val="double" w:sz="6" w:space="0" w:color="EDECEC" w:themeColor="accent3" w:themeTint="BF"/>
          <w:left w:val="single" w:sz="8" w:space="0" w:color="EDECEC" w:themeColor="accent3" w:themeTint="BF"/>
          <w:bottom w:val="single" w:sz="8" w:space="0" w:color="EDECEC" w:themeColor="accent3" w:themeTint="BF"/>
          <w:right w:val="single" w:sz="8" w:space="0" w:color="EDEC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9F9" w:themeFill="accent3" w:themeFillTint="3F"/>
      </w:tcPr>
    </w:tblStylePr>
    <w:tblStylePr w:type="band1Horz">
      <w:tblPr/>
      <w:tcPr>
        <w:tcBorders>
          <w:insideH w:val="nil"/>
          <w:insideV w:val="nil"/>
        </w:tcBorders>
        <w:shd w:val="clear" w:color="auto" w:fill="F9F9F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C551E1"/>
    <w:pPr>
      <w:spacing w:after="0"/>
    </w:pPr>
    <w:tblPr>
      <w:tblStyleRowBandSize w:val="1"/>
      <w:tblStyleColBandSize w:val="1"/>
      <w:tblBorders>
        <w:top w:val="single" w:sz="8" w:space="0" w:color="A8A4A4" w:themeColor="accent4" w:themeTint="BF"/>
        <w:left w:val="single" w:sz="8" w:space="0" w:color="A8A4A4" w:themeColor="accent4" w:themeTint="BF"/>
        <w:bottom w:val="single" w:sz="8" w:space="0" w:color="A8A4A4" w:themeColor="accent4" w:themeTint="BF"/>
        <w:right w:val="single" w:sz="8" w:space="0" w:color="A8A4A4" w:themeColor="accent4" w:themeTint="BF"/>
        <w:insideH w:val="single" w:sz="8" w:space="0" w:color="A8A4A4" w:themeColor="accent4" w:themeTint="BF"/>
      </w:tblBorders>
    </w:tblPr>
    <w:tblStylePr w:type="firstRow">
      <w:pPr>
        <w:spacing w:before="0" w:after="0" w:line="240" w:lineRule="auto"/>
      </w:pPr>
      <w:rPr>
        <w:b/>
        <w:bCs/>
        <w:color w:val="FFFFFF" w:themeColor="background1"/>
      </w:rPr>
      <w:tblPr/>
      <w:tcPr>
        <w:tcBorders>
          <w:top w:val="single" w:sz="8" w:space="0" w:color="A8A4A4" w:themeColor="accent4" w:themeTint="BF"/>
          <w:left w:val="single" w:sz="8" w:space="0" w:color="A8A4A4" w:themeColor="accent4" w:themeTint="BF"/>
          <w:bottom w:val="single" w:sz="8" w:space="0" w:color="A8A4A4" w:themeColor="accent4" w:themeTint="BF"/>
          <w:right w:val="single" w:sz="8" w:space="0" w:color="A8A4A4" w:themeColor="accent4" w:themeTint="BF"/>
          <w:insideH w:val="nil"/>
          <w:insideV w:val="nil"/>
        </w:tcBorders>
        <w:shd w:val="clear" w:color="auto" w:fill="8C8686" w:themeFill="accent4"/>
      </w:tcPr>
    </w:tblStylePr>
    <w:tblStylePr w:type="lastRow">
      <w:pPr>
        <w:spacing w:before="0" w:after="0" w:line="240" w:lineRule="auto"/>
      </w:pPr>
      <w:rPr>
        <w:b/>
        <w:bCs/>
      </w:rPr>
      <w:tblPr/>
      <w:tcPr>
        <w:tcBorders>
          <w:top w:val="double" w:sz="6" w:space="0" w:color="A8A4A4" w:themeColor="accent4" w:themeTint="BF"/>
          <w:left w:val="single" w:sz="8" w:space="0" w:color="A8A4A4" w:themeColor="accent4" w:themeTint="BF"/>
          <w:bottom w:val="single" w:sz="8" w:space="0" w:color="A8A4A4" w:themeColor="accent4" w:themeTint="BF"/>
          <w:right w:val="single" w:sz="8" w:space="0" w:color="A8A4A4"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1E1" w:themeFill="accent4" w:themeFillTint="3F"/>
      </w:tcPr>
    </w:tblStylePr>
    <w:tblStylePr w:type="band1Horz">
      <w:tblPr/>
      <w:tcPr>
        <w:tcBorders>
          <w:insideH w:val="nil"/>
          <w:insideV w:val="nil"/>
        </w:tcBorders>
        <w:shd w:val="clear" w:color="auto" w:fill="E2E1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C551E1"/>
    <w:pPr>
      <w:spacing w:after="0"/>
    </w:pPr>
    <w:tblPr>
      <w:tblStyleRowBandSize w:val="1"/>
      <w:tblStyleColBandSize w:val="1"/>
      <w:tblBorders>
        <w:top w:val="single" w:sz="8" w:space="0" w:color="625E5E" w:themeColor="accent5" w:themeTint="BF"/>
        <w:left w:val="single" w:sz="8" w:space="0" w:color="625E5E" w:themeColor="accent5" w:themeTint="BF"/>
        <w:bottom w:val="single" w:sz="8" w:space="0" w:color="625E5E" w:themeColor="accent5" w:themeTint="BF"/>
        <w:right w:val="single" w:sz="8" w:space="0" w:color="625E5E" w:themeColor="accent5" w:themeTint="BF"/>
        <w:insideH w:val="single" w:sz="8" w:space="0" w:color="625E5E" w:themeColor="accent5" w:themeTint="BF"/>
      </w:tblBorders>
    </w:tblPr>
    <w:tblStylePr w:type="firstRow">
      <w:pPr>
        <w:spacing w:before="0" w:after="0" w:line="240" w:lineRule="auto"/>
      </w:pPr>
      <w:rPr>
        <w:b/>
        <w:bCs/>
        <w:color w:val="FFFFFF" w:themeColor="background1"/>
      </w:rPr>
      <w:tblPr/>
      <w:tcPr>
        <w:tcBorders>
          <w:top w:val="single" w:sz="8" w:space="0" w:color="625E5E" w:themeColor="accent5" w:themeTint="BF"/>
          <w:left w:val="single" w:sz="8" w:space="0" w:color="625E5E" w:themeColor="accent5" w:themeTint="BF"/>
          <w:bottom w:val="single" w:sz="8" w:space="0" w:color="625E5E" w:themeColor="accent5" w:themeTint="BF"/>
          <w:right w:val="single" w:sz="8" w:space="0" w:color="625E5E" w:themeColor="accent5" w:themeTint="BF"/>
          <w:insideH w:val="nil"/>
          <w:insideV w:val="nil"/>
        </w:tcBorders>
        <w:shd w:val="clear" w:color="auto" w:fill="2C2A2A" w:themeFill="accent5"/>
      </w:tcPr>
    </w:tblStylePr>
    <w:tblStylePr w:type="lastRow">
      <w:pPr>
        <w:spacing w:before="0" w:after="0" w:line="240" w:lineRule="auto"/>
      </w:pPr>
      <w:rPr>
        <w:b/>
        <w:bCs/>
      </w:rPr>
      <w:tblPr/>
      <w:tcPr>
        <w:tcBorders>
          <w:top w:val="double" w:sz="6" w:space="0" w:color="625E5E" w:themeColor="accent5" w:themeTint="BF"/>
          <w:left w:val="single" w:sz="8" w:space="0" w:color="625E5E" w:themeColor="accent5" w:themeTint="BF"/>
          <w:bottom w:val="single" w:sz="8" w:space="0" w:color="625E5E" w:themeColor="accent5" w:themeTint="BF"/>
          <w:right w:val="single" w:sz="8" w:space="0" w:color="625E5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C9C9" w:themeFill="accent5" w:themeFillTint="3F"/>
      </w:tcPr>
    </w:tblStylePr>
    <w:tblStylePr w:type="band1Horz">
      <w:tblPr/>
      <w:tcPr>
        <w:tcBorders>
          <w:insideH w:val="nil"/>
          <w:insideV w:val="nil"/>
        </w:tcBorders>
        <w:shd w:val="clear" w:color="auto" w:fill="CBC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C551E1"/>
    <w:pPr>
      <w:spacing w:after="0"/>
    </w:pPr>
    <w:tblPr>
      <w:tblStyleRowBandSize w:val="1"/>
      <w:tblStyleColBandSize w:val="1"/>
      <w:tblBorders>
        <w:top w:val="single" w:sz="8" w:space="0" w:color="A21E34" w:themeColor="accent6" w:themeTint="BF"/>
        <w:left w:val="single" w:sz="8" w:space="0" w:color="A21E34" w:themeColor="accent6" w:themeTint="BF"/>
        <w:bottom w:val="single" w:sz="8" w:space="0" w:color="A21E34" w:themeColor="accent6" w:themeTint="BF"/>
        <w:right w:val="single" w:sz="8" w:space="0" w:color="A21E34" w:themeColor="accent6" w:themeTint="BF"/>
        <w:insideH w:val="single" w:sz="8" w:space="0" w:color="A21E34" w:themeColor="accent6" w:themeTint="BF"/>
      </w:tblBorders>
    </w:tblPr>
    <w:tblStylePr w:type="firstRow">
      <w:pPr>
        <w:spacing w:before="0" w:after="0" w:line="240" w:lineRule="auto"/>
      </w:pPr>
      <w:rPr>
        <w:b/>
        <w:bCs/>
        <w:color w:val="FFFFFF" w:themeColor="background1"/>
      </w:rPr>
      <w:tblPr/>
      <w:tcPr>
        <w:tcBorders>
          <w:top w:val="single" w:sz="8" w:space="0" w:color="A21E34" w:themeColor="accent6" w:themeTint="BF"/>
          <w:left w:val="single" w:sz="8" w:space="0" w:color="A21E34" w:themeColor="accent6" w:themeTint="BF"/>
          <w:bottom w:val="single" w:sz="8" w:space="0" w:color="A21E34" w:themeColor="accent6" w:themeTint="BF"/>
          <w:right w:val="single" w:sz="8" w:space="0" w:color="A21E34" w:themeColor="accent6" w:themeTint="BF"/>
          <w:insideH w:val="nil"/>
          <w:insideV w:val="nil"/>
        </w:tcBorders>
        <w:shd w:val="clear" w:color="auto" w:fill="4A0E18" w:themeFill="accent6"/>
      </w:tcPr>
    </w:tblStylePr>
    <w:tblStylePr w:type="lastRow">
      <w:pPr>
        <w:spacing w:before="0" w:after="0" w:line="240" w:lineRule="auto"/>
      </w:pPr>
      <w:rPr>
        <w:b/>
        <w:bCs/>
      </w:rPr>
      <w:tblPr/>
      <w:tcPr>
        <w:tcBorders>
          <w:top w:val="double" w:sz="6" w:space="0" w:color="A21E34" w:themeColor="accent6" w:themeTint="BF"/>
          <w:left w:val="single" w:sz="8" w:space="0" w:color="A21E34" w:themeColor="accent6" w:themeTint="BF"/>
          <w:bottom w:val="single" w:sz="8" w:space="0" w:color="A21E34" w:themeColor="accent6" w:themeTint="BF"/>
          <w:right w:val="single" w:sz="8" w:space="0" w:color="A21E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A7B2" w:themeFill="accent6" w:themeFillTint="3F"/>
      </w:tcPr>
    </w:tblStylePr>
    <w:tblStylePr w:type="band1Horz">
      <w:tblPr/>
      <w:tcPr>
        <w:tcBorders>
          <w:insideH w:val="nil"/>
          <w:insideV w:val="nil"/>
        </w:tcBorders>
        <w:shd w:val="clear" w:color="auto" w:fill="EEA7B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1B2F" w:themeFill="accent1"/>
      </w:tcPr>
    </w:tblStylePr>
    <w:tblStylePr w:type="lastCol">
      <w:rPr>
        <w:b/>
        <w:bCs/>
        <w:color w:val="FFFFFF" w:themeColor="background1"/>
      </w:rPr>
      <w:tblPr/>
      <w:tcPr>
        <w:tcBorders>
          <w:left w:val="nil"/>
          <w:right w:val="nil"/>
          <w:insideH w:val="nil"/>
          <w:insideV w:val="nil"/>
        </w:tcBorders>
        <w:shd w:val="clear" w:color="auto" w:fill="93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5F6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5F6D" w:themeFill="accent2"/>
      </w:tcPr>
    </w:tblStylePr>
    <w:tblStylePr w:type="lastCol">
      <w:rPr>
        <w:b/>
        <w:bCs/>
        <w:color w:val="FFFFFF" w:themeColor="background1"/>
      </w:rPr>
      <w:tblPr/>
      <w:tcPr>
        <w:tcBorders>
          <w:left w:val="nil"/>
          <w:right w:val="nil"/>
          <w:insideH w:val="nil"/>
          <w:insideV w:val="nil"/>
        </w:tcBorders>
        <w:shd w:val="clear" w:color="auto" w:fill="B35F6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E7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E7E7" w:themeFill="accent3"/>
      </w:tcPr>
    </w:tblStylePr>
    <w:tblStylePr w:type="lastCol">
      <w:rPr>
        <w:b/>
        <w:bCs/>
        <w:color w:val="FFFFFF" w:themeColor="background1"/>
      </w:rPr>
      <w:tblPr/>
      <w:tcPr>
        <w:tcBorders>
          <w:left w:val="nil"/>
          <w:right w:val="nil"/>
          <w:insideH w:val="nil"/>
          <w:insideV w:val="nil"/>
        </w:tcBorders>
        <w:shd w:val="clear" w:color="auto" w:fill="E8E7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868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8686" w:themeFill="accent4"/>
      </w:tcPr>
    </w:tblStylePr>
    <w:tblStylePr w:type="lastCol">
      <w:rPr>
        <w:b/>
        <w:bCs/>
        <w:color w:val="FFFFFF" w:themeColor="background1"/>
      </w:rPr>
      <w:tblPr/>
      <w:tcPr>
        <w:tcBorders>
          <w:left w:val="nil"/>
          <w:right w:val="nil"/>
          <w:insideH w:val="nil"/>
          <w:insideV w:val="nil"/>
        </w:tcBorders>
        <w:shd w:val="clear" w:color="auto" w:fill="8C868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A2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2A2A" w:themeFill="accent5"/>
      </w:tcPr>
    </w:tblStylePr>
    <w:tblStylePr w:type="lastCol">
      <w:rPr>
        <w:b/>
        <w:bCs/>
        <w:color w:val="FFFFFF" w:themeColor="background1"/>
      </w:rPr>
      <w:tblPr/>
      <w:tcPr>
        <w:tcBorders>
          <w:left w:val="nil"/>
          <w:right w:val="nil"/>
          <w:insideH w:val="nil"/>
          <w:insideV w:val="nil"/>
        </w:tcBorders>
        <w:shd w:val="clear" w:color="auto" w:fill="2C2A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0E1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0E18" w:themeFill="accent6"/>
      </w:tcPr>
    </w:tblStylePr>
    <w:tblStylePr w:type="lastCol">
      <w:rPr>
        <w:b/>
        <w:bCs/>
        <w:color w:val="FFFFFF" w:themeColor="background1"/>
      </w:rPr>
      <w:tblPr/>
      <w:tcPr>
        <w:tcBorders>
          <w:left w:val="nil"/>
          <w:right w:val="nil"/>
          <w:insideH w:val="nil"/>
          <w:insideV w:val="nil"/>
        </w:tcBorders>
        <w:shd w:val="clear" w:color="auto" w:fill="4A0E1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PlainTable11">
    <w:name w:val="Plain Table 11"/>
    <w:basedOn w:val="TableNormal"/>
    <w:uiPriority w:val="41"/>
    <w:semiHidden/>
    <w:rsid w:val="00C551E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C551E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C551E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C551E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C551E1"/>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locked/>
    <w:rsid w:val="00C551E1"/>
    <w:pPr>
      <w:spacing w:after="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C551E1"/>
    <w:pPr>
      <w:spacing w:after="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C551E1"/>
    <w:pPr>
      <w:spacing w:after="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C551E1"/>
    <w:pPr>
      <w:spacing w:after="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C551E1"/>
    <w:pPr>
      <w:spacing w:after="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C551E1"/>
    <w:pPr>
      <w:spacing w:after="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C551E1"/>
    <w:pPr>
      <w:spacing w:after="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C551E1"/>
    <w:pPr>
      <w:spacing w:after="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C551E1"/>
    <w:pPr>
      <w:spacing w:after="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C551E1"/>
    <w:pPr>
      <w:spacing w:after="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C551E1"/>
    <w:pPr>
      <w:spacing w:after="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C551E1"/>
    <w:pPr>
      <w:spacing w:after="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C551E1"/>
    <w:pPr>
      <w:spacing w:after="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C551E1"/>
    <w:pPr>
      <w:spacing w:after="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C551E1"/>
    <w:pPr>
      <w:spacing w:after="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C551E1"/>
    <w:pPr>
      <w:spacing w:after="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C551E1"/>
    <w:pPr>
      <w:spacing w:after="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locked/>
    <w:rsid w:val="00C551E1"/>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C551E1"/>
    <w:pPr>
      <w:spacing w:after="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C551E1"/>
    <w:pPr>
      <w:spacing w:after="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C551E1"/>
    <w:pPr>
      <w:spacing w:after="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C551E1"/>
    <w:pPr>
      <w:spacing w:after="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C551E1"/>
    <w:pPr>
      <w:spacing w:after="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semiHidden/>
    <w:rsid w:val="00C551E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C551E1"/>
    <w:pPr>
      <w:spacing w:after="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C551E1"/>
    <w:pPr>
      <w:spacing w:after="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C551E1"/>
    <w:pPr>
      <w:spacing w:after="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C551E1"/>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C551E1"/>
    <w:pPr>
      <w:spacing w:after="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C551E1"/>
    <w:pPr>
      <w:spacing w:after="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C551E1"/>
    <w:pPr>
      <w:spacing w:after="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locked/>
    <w:rsid w:val="00C551E1"/>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C551E1"/>
    <w:pPr>
      <w:spacing w:after="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C551E1"/>
    <w:pPr>
      <w:spacing w:after="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C551E1"/>
    <w:pPr>
      <w:spacing w:after="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C551E1"/>
    <w:pPr>
      <w:spacing w:after="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C551E1"/>
    <w:pPr>
      <w:spacing w:after="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C551E1"/>
    <w:pPr>
      <w:spacing w:after="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C551E1"/>
    <w:pPr>
      <w:spacing w:after="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C551E1"/>
    <w:pPr>
      <w:spacing w:after="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10"/>
    <w:semiHidden/>
    <w:qFormat/>
    <w:locked/>
    <w:rsid w:val="005B5952"/>
    <w:pPr>
      <w:spacing w:before="240" w:after="60" w:line="240" w:lineRule="auto"/>
      <w:contextualSpacing/>
    </w:pPr>
    <w:rPr>
      <w:b/>
      <w:iCs/>
      <w:szCs w:val="18"/>
    </w:rPr>
  </w:style>
  <w:style w:type="paragraph" w:customStyle="1" w:styleId="Source">
    <w:name w:val="Source"/>
    <w:basedOn w:val="Normal"/>
    <w:uiPriority w:val="8"/>
    <w:semiHidden/>
    <w:qFormat/>
    <w:rsid w:val="008177F4"/>
    <w:pPr>
      <w:spacing w:before="60" w:line="200" w:lineRule="atLeast"/>
    </w:pPr>
    <w:rPr>
      <w:i/>
      <w:color w:val="595959" w:themeColor="text1" w:themeTint="A6"/>
    </w:rPr>
  </w:style>
  <w:style w:type="paragraph" w:customStyle="1" w:styleId="SignOffSender">
    <w:name w:val="Sign Off Sender"/>
    <w:basedOn w:val="SignOff"/>
    <w:uiPriority w:val="9"/>
    <w:semiHidden/>
    <w:qFormat/>
    <w:rsid w:val="009C2F02"/>
    <w:pPr>
      <w:spacing w:before="0" w:line="200" w:lineRule="atLeast"/>
    </w:pPr>
    <w:rPr>
      <w:rFonts w:asciiTheme="majorHAnsi" w:hAnsiTheme="majorHAnsi"/>
      <w:caps/>
    </w:rPr>
  </w:style>
  <w:style w:type="character" w:customStyle="1" w:styleId="boldtextCHR">
    <w:name w:val="bold text CHR"/>
    <w:basedOn w:val="DefaultParagraphFont"/>
    <w:uiPriority w:val="9"/>
    <w:semiHidden/>
    <w:qFormat/>
    <w:rsid w:val="00917E72"/>
    <w:rPr>
      <w:rFonts w:asciiTheme="majorHAnsi" w:hAnsiTheme="majorHAnsi"/>
      <w:b w:val="0"/>
    </w:rPr>
  </w:style>
  <w:style w:type="paragraph" w:customStyle="1" w:styleId="chrHyperlink">
    <w:name w:val="chr_Hyperlink"/>
    <w:basedOn w:val="Footer"/>
    <w:link w:val="chrHyperlinkChar"/>
    <w:uiPriority w:val="9"/>
    <w:semiHidden/>
    <w:qFormat/>
    <w:rsid w:val="008D5B4F"/>
  </w:style>
  <w:style w:type="character" w:customStyle="1" w:styleId="chrHyperlinkChar">
    <w:name w:val="chr_Hyperlink Char"/>
    <w:basedOn w:val="FooterChar"/>
    <w:link w:val="chrHyperlink"/>
    <w:uiPriority w:val="9"/>
    <w:semiHidden/>
    <w:rsid w:val="00FB1FDC"/>
    <w:rPr>
      <w:rFonts w:asciiTheme="majorHAnsi" w:hAnsiTheme="majorHAnsi"/>
      <w:color w:val="000000" w:themeColor="text1"/>
      <w:sz w:val="18"/>
    </w:rPr>
  </w:style>
  <w:style w:type="paragraph" w:customStyle="1" w:styleId="DocumentTitle">
    <w:name w:val="Document Title"/>
    <w:uiPriority w:val="3"/>
    <w:semiHidden/>
    <w:qFormat/>
    <w:rsid w:val="0078267A"/>
    <w:pPr>
      <w:spacing w:line="280" w:lineRule="atLeast"/>
      <w:ind w:right="1021"/>
      <w:jc w:val="center"/>
    </w:pPr>
    <w:rPr>
      <w:rFonts w:eastAsiaTheme="minorEastAsia" w:cs="Century Gothic"/>
      <w:caps/>
      <w:noProof/>
      <w:color w:val="931B2F" w:themeColor="accent1"/>
      <w:sz w:val="22"/>
      <w:lang w:eastAsia="en-AU"/>
    </w:rPr>
  </w:style>
  <w:style w:type="paragraph" w:customStyle="1" w:styleId="FooterHeading">
    <w:name w:val="Footer Heading"/>
    <w:basedOn w:val="Footer"/>
    <w:uiPriority w:val="9"/>
    <w:semiHidden/>
    <w:rsid w:val="0011199F"/>
    <w:pPr>
      <w:spacing w:after="57" w:line="200" w:lineRule="atLeast"/>
    </w:pPr>
  </w:style>
  <w:style w:type="paragraph" w:customStyle="1" w:styleId="AddressBlock">
    <w:name w:val="Address Block"/>
    <w:basedOn w:val="Normal"/>
    <w:uiPriority w:val="21"/>
    <w:semiHidden/>
    <w:rsid w:val="00A449FF"/>
    <w:pPr>
      <w:spacing w:line="230" w:lineRule="atLeast"/>
    </w:pPr>
    <w:rPr>
      <w:rFonts w:asciiTheme="majorHAnsi" w:hAnsiTheme="majorHAnsi"/>
      <w:sz w:val="18"/>
    </w:rPr>
  </w:style>
  <w:style w:type="paragraph" w:customStyle="1" w:styleId="HeaderTitle">
    <w:name w:val="Header Title"/>
    <w:basedOn w:val="Header"/>
    <w:uiPriority w:val="3"/>
    <w:semiHidden/>
    <w:rsid w:val="00934B90"/>
    <w:pPr>
      <w:jc w:val="right"/>
    </w:pPr>
    <w:rPr>
      <w:rFonts w:asciiTheme="majorHAnsi" w:hAnsiTheme="majorHAnsi"/>
      <w:b/>
      <w:sz w:val="32"/>
    </w:rPr>
  </w:style>
  <w:style w:type="character" w:styleId="UnresolvedMention">
    <w:name w:val="Unresolved Mention"/>
    <w:basedOn w:val="DefaultParagraphFont"/>
    <w:uiPriority w:val="99"/>
    <w:semiHidden/>
    <w:unhideWhenUsed/>
    <w:rsid w:val="00B02CF5"/>
    <w:rPr>
      <w:color w:val="808080"/>
      <w:shd w:val="clear" w:color="auto" w:fill="E6E6E6"/>
    </w:rPr>
  </w:style>
  <w:style w:type="table" w:styleId="GridTable1LightAccent2">
    <w:name w:val="Grid Table 1 Light Accent 2"/>
    <w:basedOn w:val="TableNormal"/>
    <w:uiPriority w:val="46"/>
    <w:semiHidden/>
    <w:rsid w:val="00A449FF"/>
    <w:pPr>
      <w:spacing w:after="0"/>
    </w:pPr>
    <w:tblPr>
      <w:tblStyleRowBandSize w:val="1"/>
      <w:tblStyleColBandSize w:val="1"/>
      <w:tblBorders>
        <w:top w:val="single" w:sz="4" w:space="0" w:color="E0BEC4" w:themeColor="accent2" w:themeTint="66"/>
        <w:left w:val="single" w:sz="4" w:space="0" w:color="E0BEC4" w:themeColor="accent2" w:themeTint="66"/>
        <w:bottom w:val="single" w:sz="4" w:space="0" w:color="E0BEC4" w:themeColor="accent2" w:themeTint="66"/>
        <w:right w:val="single" w:sz="4" w:space="0" w:color="E0BEC4" w:themeColor="accent2" w:themeTint="66"/>
        <w:insideH w:val="single" w:sz="4" w:space="0" w:color="E0BEC4" w:themeColor="accent2" w:themeTint="66"/>
        <w:insideV w:val="single" w:sz="4" w:space="0" w:color="E0BEC4" w:themeColor="accent2" w:themeTint="66"/>
      </w:tblBorders>
    </w:tblPr>
    <w:tblStylePr w:type="firstRow">
      <w:rPr>
        <w:b/>
        <w:bCs/>
      </w:rPr>
      <w:tblPr/>
      <w:tcPr>
        <w:tcBorders>
          <w:bottom w:val="single" w:sz="12" w:space="0" w:color="D19EA7" w:themeColor="accent2" w:themeTint="99"/>
        </w:tcBorders>
      </w:tcPr>
    </w:tblStylePr>
    <w:tblStylePr w:type="lastRow">
      <w:rPr>
        <w:b/>
        <w:bCs/>
      </w:rPr>
      <w:tblPr/>
      <w:tcPr>
        <w:tcBorders>
          <w:top w:val="double" w:sz="2" w:space="0" w:color="D19EA7" w:themeColor="accent2" w:themeTint="99"/>
        </w:tcBorders>
      </w:tcPr>
    </w:tblStylePr>
    <w:tblStylePr w:type="firstCol">
      <w:rPr>
        <w:b/>
        <w:bCs/>
      </w:rPr>
    </w:tblStylePr>
    <w:tblStylePr w:type="lastCol">
      <w:rPr>
        <w:b/>
        <w:bCs/>
      </w:rPr>
    </w:tblStylePr>
  </w:style>
  <w:style w:type="paragraph" w:customStyle="1" w:styleId="FooterDetails">
    <w:name w:val="Footer Details"/>
    <w:basedOn w:val="Footer"/>
    <w:link w:val="FooterDetailsChar"/>
    <w:uiPriority w:val="29"/>
    <w:semiHidden/>
    <w:rsid w:val="00436135"/>
    <w:pPr>
      <w:spacing w:before="60"/>
    </w:pPr>
    <w:rPr>
      <w:b/>
      <w:sz w:val="15"/>
    </w:rPr>
  </w:style>
  <w:style w:type="table" w:customStyle="1" w:styleId="ColouredTable">
    <w:name w:val="Coloured Table"/>
    <w:basedOn w:val="TableNormal"/>
    <w:uiPriority w:val="99"/>
    <w:rsid w:val="00C82CBF"/>
    <w:pPr>
      <w:spacing w:after="0"/>
    </w:pPr>
    <w:rPr>
      <w:color w:val="000000" w:themeColor="text1"/>
    </w:rPr>
    <w:tblPr>
      <w:tblStyleRowBandSize w:val="1"/>
      <w:tblBorders>
        <w:top w:val="single" w:sz="4" w:space="0" w:color="931B2F" w:themeColor="background2"/>
        <w:left w:val="single" w:sz="4" w:space="0" w:color="931B2F" w:themeColor="background2"/>
        <w:bottom w:val="single" w:sz="4" w:space="0" w:color="931B2F" w:themeColor="background2"/>
        <w:right w:val="single" w:sz="4" w:space="0" w:color="931B2F" w:themeColor="background2"/>
        <w:insideH w:val="single" w:sz="4" w:space="0" w:color="931B2F" w:themeColor="background2"/>
        <w:insideV w:val="single" w:sz="4" w:space="0" w:color="931B2F" w:themeColor="background2"/>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pPr>
      <w:rPr>
        <w:color w:val="FFFFFF" w:themeColor="background1"/>
      </w:rPr>
      <w:tblPr/>
      <w:tcPr>
        <w:tcBorders>
          <w:top w:val="nil"/>
          <w:left w:val="nil"/>
          <w:bottom w:val="nil"/>
          <w:right w:val="nil"/>
          <w:insideH w:val="nil"/>
          <w:insideV w:val="nil"/>
          <w:tl2br w:val="nil"/>
          <w:tr2bl w:val="nil"/>
        </w:tcBorders>
        <w:shd w:val="clear" w:color="auto" w:fill="931B2F" w:themeFill="background2"/>
      </w:tcPr>
    </w:tblStylePr>
    <w:tblStylePr w:type="firstCol">
      <w:rPr>
        <w:color w:val="FFFFFF" w:themeColor="background1"/>
      </w:rPr>
      <w:tblPr/>
      <w:tcPr>
        <w:shd w:val="clear" w:color="auto" w:fill="931B2F" w:themeFill="background2"/>
      </w:tcPr>
    </w:tblStylePr>
    <w:tblStylePr w:type="band2Horz">
      <w:rPr>
        <w:color w:val="auto"/>
      </w:rPr>
      <w:tblPr/>
      <w:tcPr>
        <w:shd w:val="clear" w:color="auto" w:fill="F2F2F2" w:themeFill="background1" w:themeFillShade="F2"/>
      </w:tcPr>
    </w:tblStylePr>
  </w:style>
  <w:style w:type="numbering" w:customStyle="1" w:styleId="HeadingsNumbered0">
    <w:name w:val="_Headings Numbered"/>
    <w:uiPriority w:val="99"/>
    <w:rsid w:val="008014DD"/>
    <w:pPr>
      <w:numPr>
        <w:numId w:val="9"/>
      </w:numPr>
    </w:pPr>
  </w:style>
  <w:style w:type="paragraph" w:customStyle="1" w:styleId="blue">
    <w:name w:val="blue"/>
    <w:basedOn w:val="FooterDetails"/>
    <w:link w:val="blueChar"/>
    <w:uiPriority w:val="3"/>
    <w:semiHidden/>
    <w:rsid w:val="00436135"/>
    <w:rPr>
      <w:b w:val="0"/>
      <w:color w:val="931B2F" w:themeColor="background2"/>
    </w:rPr>
  </w:style>
  <w:style w:type="paragraph" w:customStyle="1" w:styleId="Heading1Normal">
    <w:name w:val="Heading 1 Normal"/>
    <w:basedOn w:val="Heading1"/>
    <w:uiPriority w:val="2"/>
    <w:qFormat/>
    <w:rsid w:val="008014DD"/>
    <w:pPr>
      <w:numPr>
        <w:numId w:val="0"/>
      </w:numPr>
    </w:pPr>
  </w:style>
  <w:style w:type="character" w:customStyle="1" w:styleId="FooterDetailsChar">
    <w:name w:val="Footer Details Char"/>
    <w:basedOn w:val="FooterChar"/>
    <w:link w:val="FooterDetails"/>
    <w:uiPriority w:val="29"/>
    <w:semiHidden/>
    <w:rsid w:val="00094390"/>
    <w:rPr>
      <w:rFonts w:asciiTheme="majorHAnsi" w:hAnsiTheme="majorHAnsi"/>
      <w:b/>
      <w:color w:val="000000" w:themeColor="text1"/>
      <w:sz w:val="15"/>
    </w:rPr>
  </w:style>
  <w:style w:type="character" w:customStyle="1" w:styleId="blueChar">
    <w:name w:val="blue Char"/>
    <w:basedOn w:val="FooterDetailsChar"/>
    <w:link w:val="blue"/>
    <w:uiPriority w:val="3"/>
    <w:semiHidden/>
    <w:rsid w:val="00E24151"/>
    <w:rPr>
      <w:rFonts w:asciiTheme="majorHAnsi" w:hAnsiTheme="majorHAnsi"/>
      <w:b w:val="0"/>
      <w:color w:val="931B2F" w:themeColor="background2"/>
      <w:sz w:val="15"/>
    </w:rPr>
  </w:style>
  <w:style w:type="paragraph" w:customStyle="1" w:styleId="Heading2Normal">
    <w:name w:val="Heading 2 Normal"/>
    <w:basedOn w:val="Heading2"/>
    <w:uiPriority w:val="2"/>
    <w:qFormat/>
    <w:rsid w:val="008014DD"/>
    <w:pPr>
      <w:numPr>
        <w:ilvl w:val="0"/>
        <w:numId w:val="0"/>
      </w:numPr>
    </w:pPr>
  </w:style>
  <w:style w:type="paragraph" w:customStyle="1" w:styleId="Heading3Normal">
    <w:name w:val="Heading 3 Normal"/>
    <w:basedOn w:val="Heading3"/>
    <w:uiPriority w:val="2"/>
    <w:qFormat/>
    <w:rsid w:val="00E43BA6"/>
    <w:pPr>
      <w:numPr>
        <w:ilvl w:val="0"/>
        <w:numId w:val="0"/>
      </w:numPr>
      <w:spacing w:before="240"/>
    </w:pPr>
  </w:style>
  <w:style w:type="paragraph" w:styleId="TOC3">
    <w:name w:val="toc 3"/>
    <w:basedOn w:val="Normal"/>
    <w:next w:val="Normal"/>
    <w:autoRedefine/>
    <w:uiPriority w:val="39"/>
    <w:locked/>
    <w:rsid w:val="006409A3"/>
    <w:pPr>
      <w:tabs>
        <w:tab w:val="right" w:pos="9638"/>
      </w:tabs>
      <w:spacing w:after="100"/>
    </w:pPr>
    <w:rPr>
      <w:i/>
      <w:sz w:val="16"/>
    </w:rPr>
  </w:style>
  <w:style w:type="paragraph" w:customStyle="1" w:styleId="SourceNotes">
    <w:name w:val="Source Notes"/>
    <w:basedOn w:val="Normal"/>
    <w:uiPriority w:val="8"/>
    <w:qFormat/>
    <w:rsid w:val="0027179E"/>
    <w:rPr>
      <w:sz w:val="16"/>
    </w:rPr>
  </w:style>
  <w:style w:type="table" w:styleId="GridTable1Light">
    <w:name w:val="Grid Table 1 Light"/>
    <w:basedOn w:val="TableNormal"/>
    <w:uiPriority w:val="46"/>
    <w:semiHidden/>
    <w:rsid w:val="00776AC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776AC3"/>
    <w:pPr>
      <w:spacing w:after="0"/>
    </w:pPr>
    <w:tblPr>
      <w:tblStyleRowBandSize w:val="1"/>
      <w:tblStyleColBandSize w:val="1"/>
      <w:tblBorders>
        <w:top w:val="single" w:sz="4" w:space="0" w:color="EA8D9C" w:themeColor="accent1" w:themeTint="66"/>
        <w:left w:val="single" w:sz="4" w:space="0" w:color="EA8D9C" w:themeColor="accent1" w:themeTint="66"/>
        <w:bottom w:val="single" w:sz="4" w:space="0" w:color="EA8D9C" w:themeColor="accent1" w:themeTint="66"/>
        <w:right w:val="single" w:sz="4" w:space="0" w:color="EA8D9C" w:themeColor="accent1" w:themeTint="66"/>
        <w:insideH w:val="single" w:sz="4" w:space="0" w:color="EA8D9C" w:themeColor="accent1" w:themeTint="66"/>
        <w:insideV w:val="single" w:sz="4" w:space="0" w:color="EA8D9C" w:themeColor="accent1" w:themeTint="66"/>
      </w:tblBorders>
    </w:tblPr>
    <w:tblStylePr w:type="firstRow">
      <w:rPr>
        <w:b/>
        <w:bCs/>
      </w:rPr>
      <w:tblPr/>
      <w:tcPr>
        <w:tcBorders>
          <w:bottom w:val="single" w:sz="12" w:space="0" w:color="DF546B" w:themeColor="accent1" w:themeTint="99"/>
        </w:tcBorders>
      </w:tcPr>
    </w:tblStylePr>
    <w:tblStylePr w:type="lastRow">
      <w:rPr>
        <w:b/>
        <w:bCs/>
      </w:rPr>
      <w:tblPr/>
      <w:tcPr>
        <w:tcBorders>
          <w:top w:val="double" w:sz="2" w:space="0" w:color="DF546B"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776AC3"/>
    <w:pPr>
      <w:spacing w:after="0"/>
    </w:pPr>
    <w:tblPr>
      <w:tblStyleRowBandSize w:val="1"/>
      <w:tblStyleColBandSize w:val="1"/>
      <w:tblBorders>
        <w:top w:val="single" w:sz="4" w:space="0" w:color="F5F5F5" w:themeColor="accent3" w:themeTint="66"/>
        <w:left w:val="single" w:sz="4" w:space="0" w:color="F5F5F5" w:themeColor="accent3" w:themeTint="66"/>
        <w:bottom w:val="single" w:sz="4" w:space="0" w:color="F5F5F5" w:themeColor="accent3" w:themeTint="66"/>
        <w:right w:val="single" w:sz="4" w:space="0" w:color="F5F5F5" w:themeColor="accent3" w:themeTint="66"/>
        <w:insideH w:val="single" w:sz="4" w:space="0" w:color="F5F5F5" w:themeColor="accent3" w:themeTint="66"/>
        <w:insideV w:val="single" w:sz="4" w:space="0" w:color="F5F5F5" w:themeColor="accent3" w:themeTint="66"/>
      </w:tblBorders>
    </w:tblPr>
    <w:tblStylePr w:type="firstRow">
      <w:rPr>
        <w:b/>
        <w:bCs/>
      </w:rPr>
      <w:tblPr/>
      <w:tcPr>
        <w:tcBorders>
          <w:bottom w:val="single" w:sz="12" w:space="0" w:color="F1F0F0" w:themeColor="accent3" w:themeTint="99"/>
        </w:tcBorders>
      </w:tcPr>
    </w:tblStylePr>
    <w:tblStylePr w:type="lastRow">
      <w:rPr>
        <w:b/>
        <w:bCs/>
      </w:rPr>
      <w:tblPr/>
      <w:tcPr>
        <w:tcBorders>
          <w:top w:val="double" w:sz="2" w:space="0" w:color="F1F0F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776AC3"/>
    <w:pPr>
      <w:spacing w:after="0"/>
    </w:pPr>
    <w:tblPr>
      <w:tblStyleRowBandSize w:val="1"/>
      <w:tblStyleColBandSize w:val="1"/>
      <w:tblBorders>
        <w:top w:val="single" w:sz="4" w:space="0" w:color="D1CECE" w:themeColor="accent4" w:themeTint="66"/>
        <w:left w:val="single" w:sz="4" w:space="0" w:color="D1CECE" w:themeColor="accent4" w:themeTint="66"/>
        <w:bottom w:val="single" w:sz="4" w:space="0" w:color="D1CECE" w:themeColor="accent4" w:themeTint="66"/>
        <w:right w:val="single" w:sz="4" w:space="0" w:color="D1CECE" w:themeColor="accent4" w:themeTint="66"/>
        <w:insideH w:val="single" w:sz="4" w:space="0" w:color="D1CECE" w:themeColor="accent4" w:themeTint="66"/>
        <w:insideV w:val="single" w:sz="4" w:space="0" w:color="D1CECE" w:themeColor="accent4" w:themeTint="66"/>
      </w:tblBorders>
    </w:tblPr>
    <w:tblStylePr w:type="firstRow">
      <w:rPr>
        <w:b/>
        <w:bCs/>
      </w:rPr>
      <w:tblPr/>
      <w:tcPr>
        <w:tcBorders>
          <w:bottom w:val="single" w:sz="12" w:space="0" w:color="BAB6B6" w:themeColor="accent4" w:themeTint="99"/>
        </w:tcBorders>
      </w:tcPr>
    </w:tblStylePr>
    <w:tblStylePr w:type="lastRow">
      <w:rPr>
        <w:b/>
        <w:bCs/>
      </w:rPr>
      <w:tblPr/>
      <w:tcPr>
        <w:tcBorders>
          <w:top w:val="double" w:sz="2" w:space="0" w:color="BAB6B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776AC3"/>
    <w:pPr>
      <w:spacing w:after="0"/>
    </w:pPr>
    <w:tblPr>
      <w:tblStyleRowBandSize w:val="1"/>
      <w:tblStyleColBandSize w:val="1"/>
      <w:tblBorders>
        <w:top w:val="single" w:sz="4" w:space="0" w:color="ACA8A8" w:themeColor="accent5" w:themeTint="66"/>
        <w:left w:val="single" w:sz="4" w:space="0" w:color="ACA8A8" w:themeColor="accent5" w:themeTint="66"/>
        <w:bottom w:val="single" w:sz="4" w:space="0" w:color="ACA8A8" w:themeColor="accent5" w:themeTint="66"/>
        <w:right w:val="single" w:sz="4" w:space="0" w:color="ACA8A8" w:themeColor="accent5" w:themeTint="66"/>
        <w:insideH w:val="single" w:sz="4" w:space="0" w:color="ACA8A8" w:themeColor="accent5" w:themeTint="66"/>
        <w:insideV w:val="single" w:sz="4" w:space="0" w:color="ACA8A8" w:themeColor="accent5" w:themeTint="66"/>
      </w:tblBorders>
    </w:tblPr>
    <w:tblStylePr w:type="firstRow">
      <w:rPr>
        <w:b/>
        <w:bCs/>
      </w:rPr>
      <w:tblPr/>
      <w:tcPr>
        <w:tcBorders>
          <w:bottom w:val="single" w:sz="12" w:space="0" w:color="827C7C" w:themeColor="accent5" w:themeTint="99"/>
        </w:tcBorders>
      </w:tcPr>
    </w:tblStylePr>
    <w:tblStylePr w:type="lastRow">
      <w:rPr>
        <w:b/>
        <w:bCs/>
      </w:rPr>
      <w:tblPr/>
      <w:tcPr>
        <w:tcBorders>
          <w:top w:val="double" w:sz="2" w:space="0" w:color="827C7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776AC3"/>
    <w:pPr>
      <w:spacing w:after="0"/>
    </w:pPr>
    <w:tblPr>
      <w:tblStyleRowBandSize w:val="1"/>
      <w:tblStyleColBandSize w:val="1"/>
      <w:tblBorders>
        <w:top w:val="single" w:sz="4" w:space="0" w:color="E47083" w:themeColor="accent6" w:themeTint="66"/>
        <w:left w:val="single" w:sz="4" w:space="0" w:color="E47083" w:themeColor="accent6" w:themeTint="66"/>
        <w:bottom w:val="single" w:sz="4" w:space="0" w:color="E47083" w:themeColor="accent6" w:themeTint="66"/>
        <w:right w:val="single" w:sz="4" w:space="0" w:color="E47083" w:themeColor="accent6" w:themeTint="66"/>
        <w:insideH w:val="single" w:sz="4" w:space="0" w:color="E47083" w:themeColor="accent6" w:themeTint="66"/>
        <w:insideV w:val="single" w:sz="4" w:space="0" w:color="E47083" w:themeColor="accent6" w:themeTint="66"/>
      </w:tblBorders>
    </w:tblPr>
    <w:tblStylePr w:type="firstRow">
      <w:rPr>
        <w:b/>
        <w:bCs/>
      </w:rPr>
      <w:tblPr/>
      <w:tcPr>
        <w:tcBorders>
          <w:bottom w:val="single" w:sz="12" w:space="0" w:color="D62946" w:themeColor="accent6" w:themeTint="99"/>
        </w:tcBorders>
      </w:tcPr>
    </w:tblStylePr>
    <w:tblStylePr w:type="lastRow">
      <w:rPr>
        <w:b/>
        <w:bCs/>
      </w:rPr>
      <w:tblPr/>
      <w:tcPr>
        <w:tcBorders>
          <w:top w:val="double" w:sz="2" w:space="0" w:color="D6294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776AC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776AC3"/>
    <w:pPr>
      <w:spacing w:after="0"/>
    </w:pPr>
    <w:tblPr>
      <w:tblStyleRowBandSize w:val="1"/>
      <w:tblStyleColBandSize w:val="1"/>
      <w:tblBorders>
        <w:top w:val="single" w:sz="2" w:space="0" w:color="DF546B" w:themeColor="accent1" w:themeTint="99"/>
        <w:bottom w:val="single" w:sz="2" w:space="0" w:color="DF546B" w:themeColor="accent1" w:themeTint="99"/>
        <w:insideH w:val="single" w:sz="2" w:space="0" w:color="DF546B" w:themeColor="accent1" w:themeTint="99"/>
        <w:insideV w:val="single" w:sz="2" w:space="0" w:color="DF546B" w:themeColor="accent1" w:themeTint="99"/>
      </w:tblBorders>
    </w:tblPr>
    <w:tblStylePr w:type="firstRow">
      <w:rPr>
        <w:b/>
        <w:bCs/>
      </w:rPr>
      <w:tblPr/>
      <w:tcPr>
        <w:tcBorders>
          <w:top w:val="nil"/>
          <w:bottom w:val="single" w:sz="12" w:space="0" w:color="DF546B" w:themeColor="accent1" w:themeTint="99"/>
          <w:insideH w:val="nil"/>
          <w:insideV w:val="nil"/>
        </w:tcBorders>
        <w:shd w:val="clear" w:color="auto" w:fill="FFFFFF" w:themeFill="background1"/>
      </w:tcPr>
    </w:tblStylePr>
    <w:tblStylePr w:type="lastRow">
      <w:rPr>
        <w:b/>
        <w:bCs/>
      </w:rPr>
      <w:tblPr/>
      <w:tcPr>
        <w:tcBorders>
          <w:top w:val="double" w:sz="2" w:space="0" w:color="DF54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GridTable2-Accent2">
    <w:name w:val="Grid Table 2 Accent 2"/>
    <w:basedOn w:val="TableNormal"/>
    <w:uiPriority w:val="47"/>
    <w:semiHidden/>
    <w:rsid w:val="00776AC3"/>
    <w:pPr>
      <w:spacing w:after="0"/>
    </w:pPr>
    <w:tblPr>
      <w:tblStyleRowBandSize w:val="1"/>
      <w:tblStyleColBandSize w:val="1"/>
      <w:tblBorders>
        <w:top w:val="single" w:sz="2" w:space="0" w:color="D19EA7" w:themeColor="accent2" w:themeTint="99"/>
        <w:bottom w:val="single" w:sz="2" w:space="0" w:color="D19EA7" w:themeColor="accent2" w:themeTint="99"/>
        <w:insideH w:val="single" w:sz="2" w:space="0" w:color="D19EA7" w:themeColor="accent2" w:themeTint="99"/>
        <w:insideV w:val="single" w:sz="2" w:space="0" w:color="D19EA7" w:themeColor="accent2" w:themeTint="99"/>
      </w:tblBorders>
    </w:tblPr>
    <w:tblStylePr w:type="firstRow">
      <w:rPr>
        <w:b/>
        <w:bCs/>
      </w:rPr>
      <w:tblPr/>
      <w:tcPr>
        <w:tcBorders>
          <w:top w:val="nil"/>
          <w:bottom w:val="single" w:sz="12" w:space="0" w:color="D19EA7" w:themeColor="accent2" w:themeTint="99"/>
          <w:insideH w:val="nil"/>
          <w:insideV w:val="nil"/>
        </w:tcBorders>
        <w:shd w:val="clear" w:color="auto" w:fill="FFFFFF" w:themeFill="background1"/>
      </w:tcPr>
    </w:tblStylePr>
    <w:tblStylePr w:type="lastRow">
      <w:rPr>
        <w:b/>
        <w:bCs/>
      </w:rPr>
      <w:tblPr/>
      <w:tcPr>
        <w:tcBorders>
          <w:top w:val="double" w:sz="2" w:space="0" w:color="D19E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GridTable2-Accent3">
    <w:name w:val="Grid Table 2 Accent 3"/>
    <w:basedOn w:val="TableNormal"/>
    <w:uiPriority w:val="47"/>
    <w:semiHidden/>
    <w:rsid w:val="00776AC3"/>
    <w:pPr>
      <w:spacing w:after="0"/>
    </w:pPr>
    <w:tblPr>
      <w:tblStyleRowBandSize w:val="1"/>
      <w:tblStyleColBandSize w:val="1"/>
      <w:tblBorders>
        <w:top w:val="single" w:sz="2" w:space="0" w:color="F1F0F0" w:themeColor="accent3" w:themeTint="99"/>
        <w:bottom w:val="single" w:sz="2" w:space="0" w:color="F1F0F0" w:themeColor="accent3" w:themeTint="99"/>
        <w:insideH w:val="single" w:sz="2" w:space="0" w:color="F1F0F0" w:themeColor="accent3" w:themeTint="99"/>
        <w:insideV w:val="single" w:sz="2" w:space="0" w:color="F1F0F0" w:themeColor="accent3" w:themeTint="99"/>
      </w:tblBorders>
    </w:tblPr>
    <w:tblStylePr w:type="firstRow">
      <w:rPr>
        <w:b/>
        <w:bCs/>
      </w:rPr>
      <w:tblPr/>
      <w:tcPr>
        <w:tcBorders>
          <w:top w:val="nil"/>
          <w:bottom w:val="single" w:sz="12" w:space="0" w:color="F1F0F0" w:themeColor="accent3" w:themeTint="99"/>
          <w:insideH w:val="nil"/>
          <w:insideV w:val="nil"/>
        </w:tcBorders>
        <w:shd w:val="clear" w:color="auto" w:fill="FFFFFF" w:themeFill="background1"/>
      </w:tcPr>
    </w:tblStylePr>
    <w:tblStylePr w:type="lastRow">
      <w:rPr>
        <w:b/>
        <w:bCs/>
      </w:rPr>
      <w:tblPr/>
      <w:tcPr>
        <w:tcBorders>
          <w:top w:val="double" w:sz="2" w:space="0" w:color="F1F0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GridTable2-Accent4">
    <w:name w:val="Grid Table 2 Accent 4"/>
    <w:basedOn w:val="TableNormal"/>
    <w:uiPriority w:val="47"/>
    <w:semiHidden/>
    <w:rsid w:val="00776AC3"/>
    <w:pPr>
      <w:spacing w:after="0"/>
    </w:pPr>
    <w:tblPr>
      <w:tblStyleRowBandSize w:val="1"/>
      <w:tblStyleColBandSize w:val="1"/>
      <w:tblBorders>
        <w:top w:val="single" w:sz="2" w:space="0" w:color="BAB6B6" w:themeColor="accent4" w:themeTint="99"/>
        <w:bottom w:val="single" w:sz="2" w:space="0" w:color="BAB6B6" w:themeColor="accent4" w:themeTint="99"/>
        <w:insideH w:val="single" w:sz="2" w:space="0" w:color="BAB6B6" w:themeColor="accent4" w:themeTint="99"/>
        <w:insideV w:val="single" w:sz="2" w:space="0" w:color="BAB6B6" w:themeColor="accent4" w:themeTint="99"/>
      </w:tblBorders>
    </w:tblPr>
    <w:tblStylePr w:type="firstRow">
      <w:rPr>
        <w:b/>
        <w:bCs/>
      </w:rPr>
      <w:tblPr/>
      <w:tcPr>
        <w:tcBorders>
          <w:top w:val="nil"/>
          <w:bottom w:val="single" w:sz="12" w:space="0" w:color="BAB6B6" w:themeColor="accent4" w:themeTint="99"/>
          <w:insideH w:val="nil"/>
          <w:insideV w:val="nil"/>
        </w:tcBorders>
        <w:shd w:val="clear" w:color="auto" w:fill="FFFFFF" w:themeFill="background1"/>
      </w:tcPr>
    </w:tblStylePr>
    <w:tblStylePr w:type="lastRow">
      <w:rPr>
        <w:b/>
        <w:bCs/>
      </w:rPr>
      <w:tblPr/>
      <w:tcPr>
        <w:tcBorders>
          <w:top w:val="double" w:sz="2" w:space="0" w:color="BAB6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GridTable2-Accent5">
    <w:name w:val="Grid Table 2 Accent 5"/>
    <w:basedOn w:val="TableNormal"/>
    <w:uiPriority w:val="47"/>
    <w:semiHidden/>
    <w:rsid w:val="00776AC3"/>
    <w:pPr>
      <w:spacing w:after="0"/>
    </w:pPr>
    <w:tblPr>
      <w:tblStyleRowBandSize w:val="1"/>
      <w:tblStyleColBandSize w:val="1"/>
      <w:tblBorders>
        <w:top w:val="single" w:sz="2" w:space="0" w:color="827C7C" w:themeColor="accent5" w:themeTint="99"/>
        <w:bottom w:val="single" w:sz="2" w:space="0" w:color="827C7C" w:themeColor="accent5" w:themeTint="99"/>
        <w:insideH w:val="single" w:sz="2" w:space="0" w:color="827C7C" w:themeColor="accent5" w:themeTint="99"/>
        <w:insideV w:val="single" w:sz="2" w:space="0" w:color="827C7C" w:themeColor="accent5" w:themeTint="99"/>
      </w:tblBorders>
    </w:tblPr>
    <w:tblStylePr w:type="firstRow">
      <w:rPr>
        <w:b/>
        <w:bCs/>
      </w:rPr>
      <w:tblPr/>
      <w:tcPr>
        <w:tcBorders>
          <w:top w:val="nil"/>
          <w:bottom w:val="single" w:sz="12" w:space="0" w:color="827C7C" w:themeColor="accent5" w:themeTint="99"/>
          <w:insideH w:val="nil"/>
          <w:insideV w:val="nil"/>
        </w:tcBorders>
        <w:shd w:val="clear" w:color="auto" w:fill="FFFFFF" w:themeFill="background1"/>
      </w:tcPr>
    </w:tblStylePr>
    <w:tblStylePr w:type="lastRow">
      <w:rPr>
        <w:b/>
        <w:bCs/>
      </w:rPr>
      <w:tblPr/>
      <w:tcPr>
        <w:tcBorders>
          <w:top w:val="double" w:sz="2" w:space="0" w:color="827C7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GridTable2-Accent6">
    <w:name w:val="Grid Table 2 Accent 6"/>
    <w:basedOn w:val="TableNormal"/>
    <w:uiPriority w:val="47"/>
    <w:semiHidden/>
    <w:rsid w:val="00776AC3"/>
    <w:pPr>
      <w:spacing w:after="0"/>
    </w:pPr>
    <w:tblPr>
      <w:tblStyleRowBandSize w:val="1"/>
      <w:tblStyleColBandSize w:val="1"/>
      <w:tblBorders>
        <w:top w:val="single" w:sz="2" w:space="0" w:color="D62946" w:themeColor="accent6" w:themeTint="99"/>
        <w:bottom w:val="single" w:sz="2" w:space="0" w:color="D62946" w:themeColor="accent6" w:themeTint="99"/>
        <w:insideH w:val="single" w:sz="2" w:space="0" w:color="D62946" w:themeColor="accent6" w:themeTint="99"/>
        <w:insideV w:val="single" w:sz="2" w:space="0" w:color="D62946" w:themeColor="accent6" w:themeTint="99"/>
      </w:tblBorders>
    </w:tblPr>
    <w:tblStylePr w:type="firstRow">
      <w:rPr>
        <w:b/>
        <w:bCs/>
      </w:rPr>
      <w:tblPr/>
      <w:tcPr>
        <w:tcBorders>
          <w:top w:val="nil"/>
          <w:bottom w:val="single" w:sz="12" w:space="0" w:color="D62946" w:themeColor="accent6" w:themeTint="99"/>
          <w:insideH w:val="nil"/>
          <w:insideV w:val="nil"/>
        </w:tcBorders>
        <w:shd w:val="clear" w:color="auto" w:fill="FFFFFF" w:themeFill="background1"/>
      </w:tcPr>
    </w:tblStylePr>
    <w:tblStylePr w:type="lastRow">
      <w:rPr>
        <w:b/>
        <w:bCs/>
      </w:rPr>
      <w:tblPr/>
      <w:tcPr>
        <w:tcBorders>
          <w:top w:val="double" w:sz="2" w:space="0" w:color="D6294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GridTable3">
    <w:name w:val="Grid Table 3"/>
    <w:basedOn w:val="TableNormal"/>
    <w:uiPriority w:val="48"/>
    <w:semiHidden/>
    <w:rsid w:val="00776AC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776AC3"/>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bottom w:val="single" w:sz="4" w:space="0" w:color="DF546B" w:themeColor="accent1" w:themeTint="99"/>
        </w:tcBorders>
      </w:tcPr>
    </w:tblStylePr>
    <w:tblStylePr w:type="nwCell">
      <w:tblPr/>
      <w:tcPr>
        <w:tcBorders>
          <w:bottom w:val="single" w:sz="4" w:space="0" w:color="DF546B" w:themeColor="accent1" w:themeTint="99"/>
        </w:tcBorders>
      </w:tcPr>
    </w:tblStylePr>
    <w:tblStylePr w:type="seCell">
      <w:tblPr/>
      <w:tcPr>
        <w:tcBorders>
          <w:top w:val="single" w:sz="4" w:space="0" w:color="DF546B" w:themeColor="accent1" w:themeTint="99"/>
        </w:tcBorders>
      </w:tcPr>
    </w:tblStylePr>
    <w:tblStylePr w:type="swCell">
      <w:tblPr/>
      <w:tcPr>
        <w:tcBorders>
          <w:top w:val="single" w:sz="4" w:space="0" w:color="DF546B" w:themeColor="accent1" w:themeTint="99"/>
        </w:tcBorders>
      </w:tcPr>
    </w:tblStylePr>
  </w:style>
  <w:style w:type="table" w:styleId="GridTable3-Accent2">
    <w:name w:val="Grid Table 3 Accent 2"/>
    <w:basedOn w:val="TableNormal"/>
    <w:uiPriority w:val="48"/>
    <w:semiHidden/>
    <w:rsid w:val="00776AC3"/>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bottom w:val="single" w:sz="4" w:space="0" w:color="D19EA7" w:themeColor="accent2" w:themeTint="99"/>
        </w:tcBorders>
      </w:tcPr>
    </w:tblStylePr>
    <w:tblStylePr w:type="nwCell">
      <w:tblPr/>
      <w:tcPr>
        <w:tcBorders>
          <w:bottom w:val="single" w:sz="4" w:space="0" w:color="D19EA7" w:themeColor="accent2" w:themeTint="99"/>
        </w:tcBorders>
      </w:tcPr>
    </w:tblStylePr>
    <w:tblStylePr w:type="seCell">
      <w:tblPr/>
      <w:tcPr>
        <w:tcBorders>
          <w:top w:val="single" w:sz="4" w:space="0" w:color="D19EA7" w:themeColor="accent2" w:themeTint="99"/>
        </w:tcBorders>
      </w:tcPr>
    </w:tblStylePr>
    <w:tblStylePr w:type="swCell">
      <w:tblPr/>
      <w:tcPr>
        <w:tcBorders>
          <w:top w:val="single" w:sz="4" w:space="0" w:color="D19EA7" w:themeColor="accent2" w:themeTint="99"/>
        </w:tcBorders>
      </w:tcPr>
    </w:tblStylePr>
  </w:style>
  <w:style w:type="table" w:styleId="GridTable3-Accent3">
    <w:name w:val="Grid Table 3 Accent 3"/>
    <w:basedOn w:val="TableNormal"/>
    <w:uiPriority w:val="48"/>
    <w:semiHidden/>
    <w:rsid w:val="00776AC3"/>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bottom w:val="single" w:sz="4" w:space="0" w:color="F1F0F0" w:themeColor="accent3" w:themeTint="99"/>
        </w:tcBorders>
      </w:tcPr>
    </w:tblStylePr>
    <w:tblStylePr w:type="nwCell">
      <w:tblPr/>
      <w:tcPr>
        <w:tcBorders>
          <w:bottom w:val="single" w:sz="4" w:space="0" w:color="F1F0F0" w:themeColor="accent3" w:themeTint="99"/>
        </w:tcBorders>
      </w:tcPr>
    </w:tblStylePr>
    <w:tblStylePr w:type="seCell">
      <w:tblPr/>
      <w:tcPr>
        <w:tcBorders>
          <w:top w:val="single" w:sz="4" w:space="0" w:color="F1F0F0" w:themeColor="accent3" w:themeTint="99"/>
        </w:tcBorders>
      </w:tcPr>
    </w:tblStylePr>
    <w:tblStylePr w:type="swCell">
      <w:tblPr/>
      <w:tcPr>
        <w:tcBorders>
          <w:top w:val="single" w:sz="4" w:space="0" w:color="F1F0F0" w:themeColor="accent3" w:themeTint="99"/>
        </w:tcBorders>
      </w:tcPr>
    </w:tblStylePr>
  </w:style>
  <w:style w:type="table" w:styleId="GridTable3-Accent4">
    <w:name w:val="Grid Table 3 Accent 4"/>
    <w:basedOn w:val="TableNormal"/>
    <w:uiPriority w:val="48"/>
    <w:semiHidden/>
    <w:rsid w:val="00776AC3"/>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bottom w:val="single" w:sz="4" w:space="0" w:color="BAB6B6" w:themeColor="accent4" w:themeTint="99"/>
        </w:tcBorders>
      </w:tcPr>
    </w:tblStylePr>
    <w:tblStylePr w:type="nwCell">
      <w:tblPr/>
      <w:tcPr>
        <w:tcBorders>
          <w:bottom w:val="single" w:sz="4" w:space="0" w:color="BAB6B6" w:themeColor="accent4" w:themeTint="99"/>
        </w:tcBorders>
      </w:tcPr>
    </w:tblStylePr>
    <w:tblStylePr w:type="seCell">
      <w:tblPr/>
      <w:tcPr>
        <w:tcBorders>
          <w:top w:val="single" w:sz="4" w:space="0" w:color="BAB6B6" w:themeColor="accent4" w:themeTint="99"/>
        </w:tcBorders>
      </w:tcPr>
    </w:tblStylePr>
    <w:tblStylePr w:type="swCell">
      <w:tblPr/>
      <w:tcPr>
        <w:tcBorders>
          <w:top w:val="single" w:sz="4" w:space="0" w:color="BAB6B6" w:themeColor="accent4" w:themeTint="99"/>
        </w:tcBorders>
      </w:tcPr>
    </w:tblStylePr>
  </w:style>
  <w:style w:type="table" w:styleId="GridTable3-Accent5">
    <w:name w:val="Grid Table 3 Accent 5"/>
    <w:basedOn w:val="TableNormal"/>
    <w:uiPriority w:val="48"/>
    <w:semiHidden/>
    <w:rsid w:val="00776AC3"/>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bottom w:val="single" w:sz="4" w:space="0" w:color="827C7C" w:themeColor="accent5" w:themeTint="99"/>
        </w:tcBorders>
      </w:tcPr>
    </w:tblStylePr>
    <w:tblStylePr w:type="nwCell">
      <w:tblPr/>
      <w:tcPr>
        <w:tcBorders>
          <w:bottom w:val="single" w:sz="4" w:space="0" w:color="827C7C" w:themeColor="accent5" w:themeTint="99"/>
        </w:tcBorders>
      </w:tcPr>
    </w:tblStylePr>
    <w:tblStylePr w:type="seCell">
      <w:tblPr/>
      <w:tcPr>
        <w:tcBorders>
          <w:top w:val="single" w:sz="4" w:space="0" w:color="827C7C" w:themeColor="accent5" w:themeTint="99"/>
        </w:tcBorders>
      </w:tcPr>
    </w:tblStylePr>
    <w:tblStylePr w:type="swCell">
      <w:tblPr/>
      <w:tcPr>
        <w:tcBorders>
          <w:top w:val="single" w:sz="4" w:space="0" w:color="827C7C" w:themeColor="accent5" w:themeTint="99"/>
        </w:tcBorders>
      </w:tcPr>
    </w:tblStylePr>
  </w:style>
  <w:style w:type="table" w:styleId="GridTable3-Accent6">
    <w:name w:val="Grid Table 3 Accent 6"/>
    <w:basedOn w:val="TableNormal"/>
    <w:uiPriority w:val="48"/>
    <w:semiHidden/>
    <w:rsid w:val="00776AC3"/>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bottom w:val="single" w:sz="4" w:space="0" w:color="D62946" w:themeColor="accent6" w:themeTint="99"/>
        </w:tcBorders>
      </w:tcPr>
    </w:tblStylePr>
    <w:tblStylePr w:type="nwCell">
      <w:tblPr/>
      <w:tcPr>
        <w:tcBorders>
          <w:bottom w:val="single" w:sz="4" w:space="0" w:color="D62946" w:themeColor="accent6" w:themeTint="99"/>
        </w:tcBorders>
      </w:tcPr>
    </w:tblStylePr>
    <w:tblStylePr w:type="seCell">
      <w:tblPr/>
      <w:tcPr>
        <w:tcBorders>
          <w:top w:val="single" w:sz="4" w:space="0" w:color="D62946" w:themeColor="accent6" w:themeTint="99"/>
        </w:tcBorders>
      </w:tcPr>
    </w:tblStylePr>
    <w:tblStylePr w:type="swCell">
      <w:tblPr/>
      <w:tcPr>
        <w:tcBorders>
          <w:top w:val="single" w:sz="4" w:space="0" w:color="D62946" w:themeColor="accent6" w:themeTint="99"/>
        </w:tcBorders>
      </w:tcPr>
    </w:tblStylePr>
  </w:style>
  <w:style w:type="table" w:styleId="GridTable4">
    <w:name w:val="Grid Table 4"/>
    <w:basedOn w:val="TableNormal"/>
    <w:uiPriority w:val="49"/>
    <w:semiHidden/>
    <w:rsid w:val="00776AC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776AC3"/>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color w:val="FFFFFF" w:themeColor="background1"/>
      </w:rPr>
      <w:tblPr/>
      <w:tcPr>
        <w:tcBorders>
          <w:top w:val="single" w:sz="4" w:space="0" w:color="931B2F" w:themeColor="accent1"/>
          <w:left w:val="single" w:sz="4" w:space="0" w:color="931B2F" w:themeColor="accent1"/>
          <w:bottom w:val="single" w:sz="4" w:space="0" w:color="931B2F" w:themeColor="accent1"/>
          <w:right w:val="single" w:sz="4" w:space="0" w:color="931B2F" w:themeColor="accent1"/>
          <w:insideH w:val="nil"/>
          <w:insideV w:val="nil"/>
        </w:tcBorders>
        <w:shd w:val="clear" w:color="auto" w:fill="931B2F" w:themeFill="accent1"/>
      </w:tcPr>
    </w:tblStylePr>
    <w:tblStylePr w:type="lastRow">
      <w:rPr>
        <w:b/>
        <w:bCs/>
      </w:rPr>
      <w:tblPr/>
      <w:tcPr>
        <w:tcBorders>
          <w:top w:val="double" w:sz="4" w:space="0" w:color="931B2F" w:themeColor="accent1"/>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GridTable4-Accent2">
    <w:name w:val="Grid Table 4 Accent 2"/>
    <w:basedOn w:val="TableNormal"/>
    <w:uiPriority w:val="49"/>
    <w:semiHidden/>
    <w:rsid w:val="00776AC3"/>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color w:val="FFFFFF" w:themeColor="background1"/>
      </w:rPr>
      <w:tblPr/>
      <w:tcPr>
        <w:tcBorders>
          <w:top w:val="single" w:sz="4" w:space="0" w:color="B35F6D" w:themeColor="accent2"/>
          <w:left w:val="single" w:sz="4" w:space="0" w:color="B35F6D" w:themeColor="accent2"/>
          <w:bottom w:val="single" w:sz="4" w:space="0" w:color="B35F6D" w:themeColor="accent2"/>
          <w:right w:val="single" w:sz="4" w:space="0" w:color="B35F6D" w:themeColor="accent2"/>
          <w:insideH w:val="nil"/>
          <w:insideV w:val="nil"/>
        </w:tcBorders>
        <w:shd w:val="clear" w:color="auto" w:fill="B35F6D" w:themeFill="accent2"/>
      </w:tcPr>
    </w:tblStylePr>
    <w:tblStylePr w:type="lastRow">
      <w:rPr>
        <w:b/>
        <w:bCs/>
      </w:rPr>
      <w:tblPr/>
      <w:tcPr>
        <w:tcBorders>
          <w:top w:val="double" w:sz="4" w:space="0" w:color="B35F6D" w:themeColor="accent2"/>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GridTable4-Accent3">
    <w:name w:val="Grid Table 4 Accent 3"/>
    <w:basedOn w:val="TableNormal"/>
    <w:uiPriority w:val="49"/>
    <w:semiHidden/>
    <w:rsid w:val="00776AC3"/>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color w:val="FFFFFF" w:themeColor="background1"/>
      </w:rPr>
      <w:tblPr/>
      <w:tcPr>
        <w:tcBorders>
          <w:top w:val="single" w:sz="4" w:space="0" w:color="E8E7E7" w:themeColor="accent3"/>
          <w:left w:val="single" w:sz="4" w:space="0" w:color="E8E7E7" w:themeColor="accent3"/>
          <w:bottom w:val="single" w:sz="4" w:space="0" w:color="E8E7E7" w:themeColor="accent3"/>
          <w:right w:val="single" w:sz="4" w:space="0" w:color="E8E7E7" w:themeColor="accent3"/>
          <w:insideH w:val="nil"/>
          <w:insideV w:val="nil"/>
        </w:tcBorders>
        <w:shd w:val="clear" w:color="auto" w:fill="E8E7E7" w:themeFill="accent3"/>
      </w:tcPr>
    </w:tblStylePr>
    <w:tblStylePr w:type="lastRow">
      <w:rPr>
        <w:b/>
        <w:bCs/>
      </w:rPr>
      <w:tblPr/>
      <w:tcPr>
        <w:tcBorders>
          <w:top w:val="double" w:sz="4" w:space="0" w:color="E8E7E7"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GridTable4-Accent4">
    <w:name w:val="Grid Table 4 Accent 4"/>
    <w:basedOn w:val="TableNormal"/>
    <w:uiPriority w:val="49"/>
    <w:semiHidden/>
    <w:rsid w:val="00776AC3"/>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color w:val="FFFFFF" w:themeColor="background1"/>
      </w:rPr>
      <w:tblPr/>
      <w:tcPr>
        <w:tcBorders>
          <w:top w:val="single" w:sz="4" w:space="0" w:color="8C8686" w:themeColor="accent4"/>
          <w:left w:val="single" w:sz="4" w:space="0" w:color="8C8686" w:themeColor="accent4"/>
          <w:bottom w:val="single" w:sz="4" w:space="0" w:color="8C8686" w:themeColor="accent4"/>
          <w:right w:val="single" w:sz="4" w:space="0" w:color="8C8686" w:themeColor="accent4"/>
          <w:insideH w:val="nil"/>
          <w:insideV w:val="nil"/>
        </w:tcBorders>
        <w:shd w:val="clear" w:color="auto" w:fill="8C8686" w:themeFill="accent4"/>
      </w:tcPr>
    </w:tblStylePr>
    <w:tblStylePr w:type="lastRow">
      <w:rPr>
        <w:b/>
        <w:bCs/>
      </w:rPr>
      <w:tblPr/>
      <w:tcPr>
        <w:tcBorders>
          <w:top w:val="double" w:sz="4" w:space="0" w:color="8C8686" w:themeColor="accent4"/>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GridTable4-Accent5">
    <w:name w:val="Grid Table 4 Accent 5"/>
    <w:basedOn w:val="TableNormal"/>
    <w:uiPriority w:val="49"/>
    <w:semiHidden/>
    <w:rsid w:val="00776AC3"/>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color w:val="FFFFFF" w:themeColor="background1"/>
      </w:rPr>
      <w:tblPr/>
      <w:tcPr>
        <w:tcBorders>
          <w:top w:val="single" w:sz="4" w:space="0" w:color="2C2A2A" w:themeColor="accent5"/>
          <w:left w:val="single" w:sz="4" w:space="0" w:color="2C2A2A" w:themeColor="accent5"/>
          <w:bottom w:val="single" w:sz="4" w:space="0" w:color="2C2A2A" w:themeColor="accent5"/>
          <w:right w:val="single" w:sz="4" w:space="0" w:color="2C2A2A" w:themeColor="accent5"/>
          <w:insideH w:val="nil"/>
          <w:insideV w:val="nil"/>
        </w:tcBorders>
        <w:shd w:val="clear" w:color="auto" w:fill="2C2A2A" w:themeFill="accent5"/>
      </w:tcPr>
    </w:tblStylePr>
    <w:tblStylePr w:type="lastRow">
      <w:rPr>
        <w:b/>
        <w:bCs/>
      </w:rPr>
      <w:tblPr/>
      <w:tcPr>
        <w:tcBorders>
          <w:top w:val="double" w:sz="4" w:space="0" w:color="2C2A2A" w:themeColor="accent5"/>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GridTable4-Accent6">
    <w:name w:val="Grid Table 4 Accent 6"/>
    <w:basedOn w:val="TableNormal"/>
    <w:uiPriority w:val="49"/>
    <w:semiHidden/>
    <w:rsid w:val="00776AC3"/>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color w:val="FFFFFF" w:themeColor="background1"/>
      </w:rPr>
      <w:tblPr/>
      <w:tcPr>
        <w:tcBorders>
          <w:top w:val="single" w:sz="4" w:space="0" w:color="4A0E18" w:themeColor="accent6"/>
          <w:left w:val="single" w:sz="4" w:space="0" w:color="4A0E18" w:themeColor="accent6"/>
          <w:bottom w:val="single" w:sz="4" w:space="0" w:color="4A0E18" w:themeColor="accent6"/>
          <w:right w:val="single" w:sz="4" w:space="0" w:color="4A0E18" w:themeColor="accent6"/>
          <w:insideH w:val="nil"/>
          <w:insideV w:val="nil"/>
        </w:tcBorders>
        <w:shd w:val="clear" w:color="auto" w:fill="4A0E18" w:themeFill="accent6"/>
      </w:tcPr>
    </w:tblStylePr>
    <w:tblStylePr w:type="lastRow">
      <w:rPr>
        <w:b/>
        <w:bCs/>
      </w:rPr>
      <w:tblPr/>
      <w:tcPr>
        <w:tcBorders>
          <w:top w:val="double" w:sz="4" w:space="0" w:color="4A0E18" w:themeColor="accent6"/>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GridTable5Dark">
    <w:name w:val="Grid Table 5 Dark"/>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6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1B2F" w:themeFill="accent1"/>
      </w:tcPr>
    </w:tblStylePr>
    <w:tblStylePr w:type="band1Vert">
      <w:tblPr/>
      <w:tcPr>
        <w:shd w:val="clear" w:color="auto" w:fill="EA8D9C" w:themeFill="accent1" w:themeFillTint="66"/>
      </w:tcPr>
    </w:tblStylePr>
    <w:tblStylePr w:type="band1Horz">
      <w:tblPr/>
      <w:tcPr>
        <w:shd w:val="clear" w:color="auto" w:fill="EA8D9C" w:themeFill="accent1" w:themeFillTint="66"/>
      </w:tcPr>
    </w:tblStylePr>
  </w:style>
  <w:style w:type="table" w:styleId="GridTable5Dark-Accent2">
    <w:name w:val="Grid Table 5 Dark Accent 2"/>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E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5F6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5F6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5F6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5F6D" w:themeFill="accent2"/>
      </w:tcPr>
    </w:tblStylePr>
    <w:tblStylePr w:type="band1Vert">
      <w:tblPr/>
      <w:tcPr>
        <w:shd w:val="clear" w:color="auto" w:fill="E0BEC4" w:themeFill="accent2" w:themeFillTint="66"/>
      </w:tcPr>
    </w:tblStylePr>
    <w:tblStylePr w:type="band1Horz">
      <w:tblPr/>
      <w:tcPr>
        <w:shd w:val="clear" w:color="auto" w:fill="E0BEC4" w:themeFill="accent2" w:themeFillTint="66"/>
      </w:tcPr>
    </w:tblStylePr>
  </w:style>
  <w:style w:type="table" w:styleId="GridTable5Dark-Accent3">
    <w:name w:val="Grid Table 5 Dark Accent 3"/>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E7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E7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E7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E7E7" w:themeFill="accent3"/>
      </w:tcPr>
    </w:tblStylePr>
    <w:tblStylePr w:type="band1Vert">
      <w:tblPr/>
      <w:tcPr>
        <w:shd w:val="clear" w:color="auto" w:fill="F5F5F5" w:themeFill="accent3" w:themeFillTint="66"/>
      </w:tcPr>
    </w:tblStylePr>
    <w:tblStylePr w:type="band1Horz">
      <w:tblPr/>
      <w:tcPr>
        <w:shd w:val="clear" w:color="auto" w:fill="F5F5F5" w:themeFill="accent3" w:themeFillTint="66"/>
      </w:tcPr>
    </w:tblStylePr>
  </w:style>
  <w:style w:type="table" w:styleId="GridTable5Dark-Accent4">
    <w:name w:val="Grid Table 5 Dark Accent 4"/>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868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868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868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8686" w:themeFill="accent4"/>
      </w:tcPr>
    </w:tblStylePr>
    <w:tblStylePr w:type="band1Vert">
      <w:tblPr/>
      <w:tcPr>
        <w:shd w:val="clear" w:color="auto" w:fill="D1CECE" w:themeFill="accent4" w:themeFillTint="66"/>
      </w:tcPr>
    </w:tblStylePr>
    <w:tblStylePr w:type="band1Horz">
      <w:tblPr/>
      <w:tcPr>
        <w:shd w:val="clear" w:color="auto" w:fill="D1CECE" w:themeFill="accent4" w:themeFillTint="66"/>
      </w:tcPr>
    </w:tblStylePr>
  </w:style>
  <w:style w:type="table" w:styleId="GridTable5Dark-Accent5">
    <w:name w:val="Grid Table 5 Dark Accent 5"/>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3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2A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2A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2A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2A2A" w:themeFill="accent5"/>
      </w:tcPr>
    </w:tblStylePr>
    <w:tblStylePr w:type="band1Vert">
      <w:tblPr/>
      <w:tcPr>
        <w:shd w:val="clear" w:color="auto" w:fill="ACA8A8" w:themeFill="accent5" w:themeFillTint="66"/>
      </w:tcPr>
    </w:tblStylePr>
    <w:tblStylePr w:type="band1Horz">
      <w:tblPr/>
      <w:tcPr>
        <w:shd w:val="clear" w:color="auto" w:fill="ACA8A8" w:themeFill="accent5" w:themeFillTint="66"/>
      </w:tcPr>
    </w:tblStylePr>
  </w:style>
  <w:style w:type="table" w:styleId="GridTable5Dark-Accent6">
    <w:name w:val="Grid Table 5 Dark Accent 6"/>
    <w:basedOn w:val="TableNormal"/>
    <w:uiPriority w:val="50"/>
    <w:semiHidden/>
    <w:rsid w:val="00776AC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B7C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0E1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0E1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0E1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0E18" w:themeFill="accent6"/>
      </w:tcPr>
    </w:tblStylePr>
    <w:tblStylePr w:type="band1Vert">
      <w:tblPr/>
      <w:tcPr>
        <w:shd w:val="clear" w:color="auto" w:fill="E47083" w:themeFill="accent6" w:themeFillTint="66"/>
      </w:tcPr>
    </w:tblStylePr>
    <w:tblStylePr w:type="band1Horz">
      <w:tblPr/>
      <w:tcPr>
        <w:shd w:val="clear" w:color="auto" w:fill="E47083" w:themeFill="accent6" w:themeFillTint="66"/>
      </w:tcPr>
    </w:tblStylePr>
  </w:style>
  <w:style w:type="table" w:styleId="GridTable6Colourful">
    <w:name w:val="Grid Table 6 Colorful"/>
    <w:basedOn w:val="TableNormal"/>
    <w:uiPriority w:val="51"/>
    <w:semiHidden/>
    <w:rsid w:val="00776AC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776AC3"/>
    <w:pPr>
      <w:spacing w:after="0"/>
    </w:pPr>
    <w:rPr>
      <w:color w:val="6D1423" w:themeColor="accent1" w:themeShade="BF"/>
    </w:r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bottom w:val="single" w:sz="12" w:space="0" w:color="DF546B" w:themeColor="accent1" w:themeTint="99"/>
        </w:tcBorders>
      </w:tcPr>
    </w:tblStylePr>
    <w:tblStylePr w:type="lastRow">
      <w:rPr>
        <w:b/>
        <w:bCs/>
      </w:rPr>
      <w:tblPr/>
      <w:tcPr>
        <w:tcBorders>
          <w:top w:val="doub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GridTable6ColourfulAccent2">
    <w:name w:val="Grid Table 6 Colorful Accent 2"/>
    <w:basedOn w:val="TableNormal"/>
    <w:uiPriority w:val="51"/>
    <w:semiHidden/>
    <w:rsid w:val="00776AC3"/>
    <w:pPr>
      <w:spacing w:after="0"/>
    </w:pPr>
    <w:rPr>
      <w:color w:val="8A424E" w:themeColor="accent2" w:themeShade="BF"/>
    </w:r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bottom w:val="single" w:sz="12" w:space="0" w:color="D19EA7" w:themeColor="accent2" w:themeTint="99"/>
        </w:tcBorders>
      </w:tcPr>
    </w:tblStylePr>
    <w:tblStylePr w:type="lastRow">
      <w:rPr>
        <w:b/>
        <w:bCs/>
      </w:rPr>
      <w:tblPr/>
      <w:tcPr>
        <w:tcBorders>
          <w:top w:val="doub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GridTable6ColourfulAccent3">
    <w:name w:val="Grid Table 6 Colorful Accent 3"/>
    <w:basedOn w:val="TableNormal"/>
    <w:uiPriority w:val="51"/>
    <w:semiHidden/>
    <w:rsid w:val="00776AC3"/>
    <w:pPr>
      <w:spacing w:after="0"/>
    </w:pPr>
    <w:rPr>
      <w:color w:val="AFABAB" w:themeColor="accent3" w:themeShade="BF"/>
    </w:r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bottom w:val="single" w:sz="12" w:space="0" w:color="F1F0F0" w:themeColor="accent3" w:themeTint="99"/>
        </w:tcBorders>
      </w:tcPr>
    </w:tblStylePr>
    <w:tblStylePr w:type="lastRow">
      <w:rPr>
        <w:b/>
        <w:bCs/>
      </w:rPr>
      <w:tblPr/>
      <w:tcPr>
        <w:tcBorders>
          <w:top w:val="doub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GridTable6ColourfulAccent4">
    <w:name w:val="Grid Table 6 Colorful Accent 4"/>
    <w:basedOn w:val="TableNormal"/>
    <w:uiPriority w:val="51"/>
    <w:semiHidden/>
    <w:rsid w:val="00776AC3"/>
    <w:pPr>
      <w:spacing w:after="0"/>
    </w:pPr>
    <w:rPr>
      <w:color w:val="696464" w:themeColor="accent4" w:themeShade="BF"/>
    </w:r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bottom w:val="single" w:sz="12" w:space="0" w:color="BAB6B6" w:themeColor="accent4" w:themeTint="99"/>
        </w:tcBorders>
      </w:tcPr>
    </w:tblStylePr>
    <w:tblStylePr w:type="lastRow">
      <w:rPr>
        <w:b/>
        <w:bCs/>
      </w:rPr>
      <w:tblPr/>
      <w:tcPr>
        <w:tcBorders>
          <w:top w:val="doub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GridTable6ColourfulAccent5">
    <w:name w:val="Grid Table 6 Colorful Accent 5"/>
    <w:basedOn w:val="TableNormal"/>
    <w:uiPriority w:val="51"/>
    <w:semiHidden/>
    <w:rsid w:val="00776AC3"/>
    <w:pPr>
      <w:spacing w:after="0"/>
    </w:pPr>
    <w:rPr>
      <w:color w:val="201F1F" w:themeColor="accent5" w:themeShade="BF"/>
    </w:r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bottom w:val="single" w:sz="12" w:space="0" w:color="827C7C" w:themeColor="accent5" w:themeTint="99"/>
        </w:tcBorders>
      </w:tcPr>
    </w:tblStylePr>
    <w:tblStylePr w:type="lastRow">
      <w:rPr>
        <w:b/>
        <w:bCs/>
      </w:rPr>
      <w:tblPr/>
      <w:tcPr>
        <w:tcBorders>
          <w:top w:val="doub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GridTable6ColourfulAccent6">
    <w:name w:val="Grid Table 6 Colorful Accent 6"/>
    <w:basedOn w:val="TableNormal"/>
    <w:uiPriority w:val="51"/>
    <w:semiHidden/>
    <w:rsid w:val="00776AC3"/>
    <w:pPr>
      <w:spacing w:after="0"/>
    </w:pPr>
    <w:rPr>
      <w:color w:val="370A11" w:themeColor="accent6" w:themeShade="BF"/>
    </w:r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bottom w:val="single" w:sz="12" w:space="0" w:color="D62946" w:themeColor="accent6" w:themeTint="99"/>
        </w:tcBorders>
      </w:tcPr>
    </w:tblStylePr>
    <w:tblStylePr w:type="lastRow">
      <w:rPr>
        <w:b/>
        <w:bCs/>
      </w:rPr>
      <w:tblPr/>
      <w:tcPr>
        <w:tcBorders>
          <w:top w:val="doub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GridTable7Colourful">
    <w:name w:val="Grid Table 7 Colorful"/>
    <w:basedOn w:val="TableNormal"/>
    <w:uiPriority w:val="52"/>
    <w:semiHidden/>
    <w:rsid w:val="00776AC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776AC3"/>
    <w:pPr>
      <w:spacing w:after="0"/>
    </w:pPr>
    <w:rPr>
      <w:color w:val="6D1423" w:themeColor="accent1" w:themeShade="BF"/>
    </w:r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insideV w:val="single" w:sz="4" w:space="0" w:color="DF5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bottom w:val="single" w:sz="4" w:space="0" w:color="DF546B" w:themeColor="accent1" w:themeTint="99"/>
        </w:tcBorders>
      </w:tcPr>
    </w:tblStylePr>
    <w:tblStylePr w:type="nwCell">
      <w:tblPr/>
      <w:tcPr>
        <w:tcBorders>
          <w:bottom w:val="single" w:sz="4" w:space="0" w:color="DF546B" w:themeColor="accent1" w:themeTint="99"/>
        </w:tcBorders>
      </w:tcPr>
    </w:tblStylePr>
    <w:tblStylePr w:type="seCell">
      <w:tblPr/>
      <w:tcPr>
        <w:tcBorders>
          <w:top w:val="single" w:sz="4" w:space="0" w:color="DF546B" w:themeColor="accent1" w:themeTint="99"/>
        </w:tcBorders>
      </w:tcPr>
    </w:tblStylePr>
    <w:tblStylePr w:type="swCell">
      <w:tblPr/>
      <w:tcPr>
        <w:tcBorders>
          <w:top w:val="single" w:sz="4" w:space="0" w:color="DF546B" w:themeColor="accent1" w:themeTint="99"/>
        </w:tcBorders>
      </w:tcPr>
    </w:tblStylePr>
  </w:style>
  <w:style w:type="table" w:styleId="GridTable7ColourfulAccent2">
    <w:name w:val="Grid Table 7 Colorful Accent 2"/>
    <w:basedOn w:val="TableNormal"/>
    <w:uiPriority w:val="52"/>
    <w:semiHidden/>
    <w:rsid w:val="00776AC3"/>
    <w:pPr>
      <w:spacing w:after="0"/>
    </w:pPr>
    <w:rPr>
      <w:color w:val="8A424E" w:themeColor="accent2" w:themeShade="BF"/>
    </w:r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insideV w:val="single" w:sz="4" w:space="0" w:color="D19E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bottom w:val="single" w:sz="4" w:space="0" w:color="D19EA7" w:themeColor="accent2" w:themeTint="99"/>
        </w:tcBorders>
      </w:tcPr>
    </w:tblStylePr>
    <w:tblStylePr w:type="nwCell">
      <w:tblPr/>
      <w:tcPr>
        <w:tcBorders>
          <w:bottom w:val="single" w:sz="4" w:space="0" w:color="D19EA7" w:themeColor="accent2" w:themeTint="99"/>
        </w:tcBorders>
      </w:tcPr>
    </w:tblStylePr>
    <w:tblStylePr w:type="seCell">
      <w:tblPr/>
      <w:tcPr>
        <w:tcBorders>
          <w:top w:val="single" w:sz="4" w:space="0" w:color="D19EA7" w:themeColor="accent2" w:themeTint="99"/>
        </w:tcBorders>
      </w:tcPr>
    </w:tblStylePr>
    <w:tblStylePr w:type="swCell">
      <w:tblPr/>
      <w:tcPr>
        <w:tcBorders>
          <w:top w:val="single" w:sz="4" w:space="0" w:color="D19EA7" w:themeColor="accent2" w:themeTint="99"/>
        </w:tcBorders>
      </w:tcPr>
    </w:tblStylePr>
  </w:style>
  <w:style w:type="table" w:styleId="GridTable7ColourfulAccent3">
    <w:name w:val="Grid Table 7 Colorful Accent 3"/>
    <w:basedOn w:val="TableNormal"/>
    <w:uiPriority w:val="52"/>
    <w:semiHidden/>
    <w:rsid w:val="00776AC3"/>
    <w:pPr>
      <w:spacing w:after="0"/>
    </w:pPr>
    <w:rPr>
      <w:color w:val="AFABAB" w:themeColor="accent3" w:themeShade="BF"/>
    </w:r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insideV w:val="single" w:sz="4" w:space="0" w:color="F1F0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bottom w:val="single" w:sz="4" w:space="0" w:color="F1F0F0" w:themeColor="accent3" w:themeTint="99"/>
        </w:tcBorders>
      </w:tcPr>
    </w:tblStylePr>
    <w:tblStylePr w:type="nwCell">
      <w:tblPr/>
      <w:tcPr>
        <w:tcBorders>
          <w:bottom w:val="single" w:sz="4" w:space="0" w:color="F1F0F0" w:themeColor="accent3" w:themeTint="99"/>
        </w:tcBorders>
      </w:tcPr>
    </w:tblStylePr>
    <w:tblStylePr w:type="seCell">
      <w:tblPr/>
      <w:tcPr>
        <w:tcBorders>
          <w:top w:val="single" w:sz="4" w:space="0" w:color="F1F0F0" w:themeColor="accent3" w:themeTint="99"/>
        </w:tcBorders>
      </w:tcPr>
    </w:tblStylePr>
    <w:tblStylePr w:type="swCell">
      <w:tblPr/>
      <w:tcPr>
        <w:tcBorders>
          <w:top w:val="single" w:sz="4" w:space="0" w:color="F1F0F0" w:themeColor="accent3" w:themeTint="99"/>
        </w:tcBorders>
      </w:tcPr>
    </w:tblStylePr>
  </w:style>
  <w:style w:type="table" w:styleId="GridTable7ColourfulAccent4">
    <w:name w:val="Grid Table 7 Colorful Accent 4"/>
    <w:basedOn w:val="TableNormal"/>
    <w:uiPriority w:val="52"/>
    <w:semiHidden/>
    <w:rsid w:val="00776AC3"/>
    <w:pPr>
      <w:spacing w:after="0"/>
    </w:pPr>
    <w:rPr>
      <w:color w:val="696464" w:themeColor="accent4" w:themeShade="BF"/>
    </w:r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insideV w:val="single" w:sz="4" w:space="0" w:color="BAB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bottom w:val="single" w:sz="4" w:space="0" w:color="BAB6B6" w:themeColor="accent4" w:themeTint="99"/>
        </w:tcBorders>
      </w:tcPr>
    </w:tblStylePr>
    <w:tblStylePr w:type="nwCell">
      <w:tblPr/>
      <w:tcPr>
        <w:tcBorders>
          <w:bottom w:val="single" w:sz="4" w:space="0" w:color="BAB6B6" w:themeColor="accent4" w:themeTint="99"/>
        </w:tcBorders>
      </w:tcPr>
    </w:tblStylePr>
    <w:tblStylePr w:type="seCell">
      <w:tblPr/>
      <w:tcPr>
        <w:tcBorders>
          <w:top w:val="single" w:sz="4" w:space="0" w:color="BAB6B6" w:themeColor="accent4" w:themeTint="99"/>
        </w:tcBorders>
      </w:tcPr>
    </w:tblStylePr>
    <w:tblStylePr w:type="swCell">
      <w:tblPr/>
      <w:tcPr>
        <w:tcBorders>
          <w:top w:val="single" w:sz="4" w:space="0" w:color="BAB6B6" w:themeColor="accent4" w:themeTint="99"/>
        </w:tcBorders>
      </w:tcPr>
    </w:tblStylePr>
  </w:style>
  <w:style w:type="table" w:styleId="GridTable7ColourfulAccent5">
    <w:name w:val="Grid Table 7 Colorful Accent 5"/>
    <w:basedOn w:val="TableNormal"/>
    <w:uiPriority w:val="52"/>
    <w:semiHidden/>
    <w:rsid w:val="00776AC3"/>
    <w:pPr>
      <w:spacing w:after="0"/>
    </w:pPr>
    <w:rPr>
      <w:color w:val="201F1F" w:themeColor="accent5" w:themeShade="BF"/>
    </w:r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insideV w:val="single" w:sz="4" w:space="0" w:color="827C7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bottom w:val="single" w:sz="4" w:space="0" w:color="827C7C" w:themeColor="accent5" w:themeTint="99"/>
        </w:tcBorders>
      </w:tcPr>
    </w:tblStylePr>
    <w:tblStylePr w:type="nwCell">
      <w:tblPr/>
      <w:tcPr>
        <w:tcBorders>
          <w:bottom w:val="single" w:sz="4" w:space="0" w:color="827C7C" w:themeColor="accent5" w:themeTint="99"/>
        </w:tcBorders>
      </w:tcPr>
    </w:tblStylePr>
    <w:tblStylePr w:type="seCell">
      <w:tblPr/>
      <w:tcPr>
        <w:tcBorders>
          <w:top w:val="single" w:sz="4" w:space="0" w:color="827C7C" w:themeColor="accent5" w:themeTint="99"/>
        </w:tcBorders>
      </w:tcPr>
    </w:tblStylePr>
    <w:tblStylePr w:type="swCell">
      <w:tblPr/>
      <w:tcPr>
        <w:tcBorders>
          <w:top w:val="single" w:sz="4" w:space="0" w:color="827C7C" w:themeColor="accent5" w:themeTint="99"/>
        </w:tcBorders>
      </w:tcPr>
    </w:tblStylePr>
  </w:style>
  <w:style w:type="table" w:styleId="GridTable7ColourfulAccent6">
    <w:name w:val="Grid Table 7 Colorful Accent 6"/>
    <w:basedOn w:val="TableNormal"/>
    <w:uiPriority w:val="52"/>
    <w:semiHidden/>
    <w:rsid w:val="00776AC3"/>
    <w:pPr>
      <w:spacing w:after="0"/>
    </w:pPr>
    <w:rPr>
      <w:color w:val="370A11" w:themeColor="accent6" w:themeShade="BF"/>
    </w:r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insideV w:val="single" w:sz="4" w:space="0" w:color="D6294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bottom w:val="single" w:sz="4" w:space="0" w:color="D62946" w:themeColor="accent6" w:themeTint="99"/>
        </w:tcBorders>
      </w:tcPr>
    </w:tblStylePr>
    <w:tblStylePr w:type="nwCell">
      <w:tblPr/>
      <w:tcPr>
        <w:tcBorders>
          <w:bottom w:val="single" w:sz="4" w:space="0" w:color="D62946" w:themeColor="accent6" w:themeTint="99"/>
        </w:tcBorders>
      </w:tcPr>
    </w:tblStylePr>
    <w:tblStylePr w:type="seCell">
      <w:tblPr/>
      <w:tcPr>
        <w:tcBorders>
          <w:top w:val="single" w:sz="4" w:space="0" w:color="D62946" w:themeColor="accent6" w:themeTint="99"/>
        </w:tcBorders>
      </w:tcPr>
    </w:tblStylePr>
    <w:tblStylePr w:type="swCell">
      <w:tblPr/>
      <w:tcPr>
        <w:tcBorders>
          <w:top w:val="single" w:sz="4" w:space="0" w:color="D62946" w:themeColor="accent6" w:themeTint="99"/>
        </w:tcBorders>
      </w:tcPr>
    </w:tblStylePr>
  </w:style>
  <w:style w:type="table" w:styleId="ListTable1Light">
    <w:name w:val="List Table 1 Light"/>
    <w:basedOn w:val="TableNormal"/>
    <w:uiPriority w:val="46"/>
    <w:semiHidden/>
    <w:rsid w:val="00776AC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776AC3"/>
    <w:pPr>
      <w:spacing w:after="0"/>
    </w:pPr>
    <w:tblPr>
      <w:tblStyleRowBandSize w:val="1"/>
      <w:tblStyleColBandSize w:val="1"/>
    </w:tblPr>
    <w:tblStylePr w:type="firstRow">
      <w:rPr>
        <w:b/>
        <w:bCs/>
      </w:rPr>
      <w:tblPr/>
      <w:tcPr>
        <w:tcBorders>
          <w:bottom w:val="single" w:sz="4" w:space="0" w:color="DF546B" w:themeColor="accent1" w:themeTint="99"/>
        </w:tcBorders>
      </w:tcPr>
    </w:tblStylePr>
    <w:tblStylePr w:type="lastRow">
      <w:rPr>
        <w:b/>
        <w:bCs/>
      </w:rPr>
      <w:tblPr/>
      <w:tcPr>
        <w:tcBorders>
          <w:top w:val="sing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ListTable1Light-Accent2">
    <w:name w:val="List Table 1 Light Accent 2"/>
    <w:basedOn w:val="TableNormal"/>
    <w:uiPriority w:val="46"/>
    <w:semiHidden/>
    <w:rsid w:val="00776AC3"/>
    <w:pPr>
      <w:spacing w:after="0"/>
    </w:pPr>
    <w:tblPr>
      <w:tblStyleRowBandSize w:val="1"/>
      <w:tblStyleColBandSize w:val="1"/>
    </w:tblPr>
    <w:tblStylePr w:type="firstRow">
      <w:rPr>
        <w:b/>
        <w:bCs/>
      </w:rPr>
      <w:tblPr/>
      <w:tcPr>
        <w:tcBorders>
          <w:bottom w:val="single" w:sz="4" w:space="0" w:color="D19EA7" w:themeColor="accent2" w:themeTint="99"/>
        </w:tcBorders>
      </w:tcPr>
    </w:tblStylePr>
    <w:tblStylePr w:type="lastRow">
      <w:rPr>
        <w:b/>
        <w:bCs/>
      </w:rPr>
      <w:tblPr/>
      <w:tcPr>
        <w:tcBorders>
          <w:top w:val="sing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ListTable1Light-Accent3">
    <w:name w:val="List Table 1 Light Accent 3"/>
    <w:basedOn w:val="TableNormal"/>
    <w:uiPriority w:val="46"/>
    <w:semiHidden/>
    <w:rsid w:val="00776AC3"/>
    <w:pPr>
      <w:spacing w:after="0"/>
    </w:pPr>
    <w:tblPr>
      <w:tblStyleRowBandSize w:val="1"/>
      <w:tblStyleColBandSize w:val="1"/>
    </w:tblPr>
    <w:tblStylePr w:type="firstRow">
      <w:rPr>
        <w:b/>
        <w:bCs/>
      </w:rPr>
      <w:tblPr/>
      <w:tcPr>
        <w:tcBorders>
          <w:bottom w:val="single" w:sz="4" w:space="0" w:color="F1F0F0" w:themeColor="accent3" w:themeTint="99"/>
        </w:tcBorders>
      </w:tcPr>
    </w:tblStylePr>
    <w:tblStylePr w:type="lastRow">
      <w:rPr>
        <w:b/>
        <w:bCs/>
      </w:rPr>
      <w:tblPr/>
      <w:tcPr>
        <w:tcBorders>
          <w:top w:val="sing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ListTable1Light-Accent4">
    <w:name w:val="List Table 1 Light Accent 4"/>
    <w:basedOn w:val="TableNormal"/>
    <w:uiPriority w:val="46"/>
    <w:semiHidden/>
    <w:rsid w:val="00776AC3"/>
    <w:pPr>
      <w:spacing w:after="0"/>
    </w:pPr>
    <w:tblPr>
      <w:tblStyleRowBandSize w:val="1"/>
      <w:tblStyleColBandSize w:val="1"/>
    </w:tblPr>
    <w:tblStylePr w:type="firstRow">
      <w:rPr>
        <w:b/>
        <w:bCs/>
      </w:rPr>
      <w:tblPr/>
      <w:tcPr>
        <w:tcBorders>
          <w:bottom w:val="single" w:sz="4" w:space="0" w:color="BAB6B6" w:themeColor="accent4" w:themeTint="99"/>
        </w:tcBorders>
      </w:tcPr>
    </w:tblStylePr>
    <w:tblStylePr w:type="lastRow">
      <w:rPr>
        <w:b/>
        <w:bCs/>
      </w:rPr>
      <w:tblPr/>
      <w:tcPr>
        <w:tcBorders>
          <w:top w:val="sing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ListTable1Light-Accent5">
    <w:name w:val="List Table 1 Light Accent 5"/>
    <w:basedOn w:val="TableNormal"/>
    <w:uiPriority w:val="46"/>
    <w:semiHidden/>
    <w:rsid w:val="00776AC3"/>
    <w:pPr>
      <w:spacing w:after="0"/>
    </w:pPr>
    <w:tblPr>
      <w:tblStyleRowBandSize w:val="1"/>
      <w:tblStyleColBandSize w:val="1"/>
    </w:tblPr>
    <w:tblStylePr w:type="firstRow">
      <w:rPr>
        <w:b/>
        <w:bCs/>
      </w:rPr>
      <w:tblPr/>
      <w:tcPr>
        <w:tcBorders>
          <w:bottom w:val="single" w:sz="4" w:space="0" w:color="827C7C" w:themeColor="accent5" w:themeTint="99"/>
        </w:tcBorders>
      </w:tcPr>
    </w:tblStylePr>
    <w:tblStylePr w:type="lastRow">
      <w:rPr>
        <w:b/>
        <w:bCs/>
      </w:rPr>
      <w:tblPr/>
      <w:tcPr>
        <w:tcBorders>
          <w:top w:val="sing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ListTable1Light-Accent6">
    <w:name w:val="List Table 1 Light Accent 6"/>
    <w:basedOn w:val="TableNormal"/>
    <w:uiPriority w:val="46"/>
    <w:semiHidden/>
    <w:rsid w:val="00776AC3"/>
    <w:pPr>
      <w:spacing w:after="0"/>
    </w:pPr>
    <w:tblPr>
      <w:tblStyleRowBandSize w:val="1"/>
      <w:tblStyleColBandSize w:val="1"/>
    </w:tblPr>
    <w:tblStylePr w:type="firstRow">
      <w:rPr>
        <w:b/>
        <w:bCs/>
      </w:rPr>
      <w:tblPr/>
      <w:tcPr>
        <w:tcBorders>
          <w:bottom w:val="single" w:sz="4" w:space="0" w:color="D62946" w:themeColor="accent6" w:themeTint="99"/>
        </w:tcBorders>
      </w:tcPr>
    </w:tblStylePr>
    <w:tblStylePr w:type="lastRow">
      <w:rPr>
        <w:b/>
        <w:bCs/>
      </w:rPr>
      <w:tblPr/>
      <w:tcPr>
        <w:tcBorders>
          <w:top w:val="sing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ListTable2">
    <w:name w:val="List Table 2"/>
    <w:basedOn w:val="TableNormal"/>
    <w:uiPriority w:val="47"/>
    <w:semiHidden/>
    <w:rsid w:val="00776AC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776AC3"/>
    <w:pPr>
      <w:spacing w:after="0"/>
    </w:pPr>
    <w:tblPr>
      <w:tblStyleRowBandSize w:val="1"/>
      <w:tblStyleColBandSize w:val="1"/>
      <w:tblBorders>
        <w:top w:val="single" w:sz="4" w:space="0" w:color="DF546B" w:themeColor="accent1" w:themeTint="99"/>
        <w:bottom w:val="single" w:sz="4" w:space="0" w:color="DF546B" w:themeColor="accent1" w:themeTint="99"/>
        <w:insideH w:val="single" w:sz="4" w:space="0" w:color="DF54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ListTable2-Accent2">
    <w:name w:val="List Table 2 Accent 2"/>
    <w:basedOn w:val="TableNormal"/>
    <w:uiPriority w:val="47"/>
    <w:semiHidden/>
    <w:rsid w:val="00776AC3"/>
    <w:pPr>
      <w:spacing w:after="0"/>
    </w:pPr>
    <w:tblPr>
      <w:tblStyleRowBandSize w:val="1"/>
      <w:tblStyleColBandSize w:val="1"/>
      <w:tblBorders>
        <w:top w:val="single" w:sz="4" w:space="0" w:color="D19EA7" w:themeColor="accent2" w:themeTint="99"/>
        <w:bottom w:val="single" w:sz="4" w:space="0" w:color="D19EA7" w:themeColor="accent2" w:themeTint="99"/>
        <w:insideH w:val="single" w:sz="4" w:space="0" w:color="D19EA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ListTable2-Accent3">
    <w:name w:val="List Table 2 Accent 3"/>
    <w:basedOn w:val="TableNormal"/>
    <w:uiPriority w:val="47"/>
    <w:semiHidden/>
    <w:rsid w:val="00776AC3"/>
    <w:pPr>
      <w:spacing w:after="0"/>
    </w:pPr>
    <w:tblPr>
      <w:tblStyleRowBandSize w:val="1"/>
      <w:tblStyleColBandSize w:val="1"/>
      <w:tblBorders>
        <w:top w:val="single" w:sz="4" w:space="0" w:color="F1F0F0" w:themeColor="accent3" w:themeTint="99"/>
        <w:bottom w:val="single" w:sz="4" w:space="0" w:color="F1F0F0" w:themeColor="accent3" w:themeTint="99"/>
        <w:insideH w:val="single" w:sz="4" w:space="0" w:color="F1F0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ListTable2-Accent4">
    <w:name w:val="List Table 2 Accent 4"/>
    <w:basedOn w:val="TableNormal"/>
    <w:uiPriority w:val="47"/>
    <w:semiHidden/>
    <w:rsid w:val="00776AC3"/>
    <w:pPr>
      <w:spacing w:after="0"/>
    </w:pPr>
    <w:tblPr>
      <w:tblStyleRowBandSize w:val="1"/>
      <w:tblStyleColBandSize w:val="1"/>
      <w:tblBorders>
        <w:top w:val="single" w:sz="4" w:space="0" w:color="BAB6B6" w:themeColor="accent4" w:themeTint="99"/>
        <w:bottom w:val="single" w:sz="4" w:space="0" w:color="BAB6B6" w:themeColor="accent4" w:themeTint="99"/>
        <w:insideH w:val="single" w:sz="4" w:space="0" w:color="BAB6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ListTable2-Accent5">
    <w:name w:val="List Table 2 Accent 5"/>
    <w:basedOn w:val="TableNormal"/>
    <w:uiPriority w:val="47"/>
    <w:semiHidden/>
    <w:rsid w:val="00776AC3"/>
    <w:pPr>
      <w:spacing w:after="0"/>
    </w:pPr>
    <w:tblPr>
      <w:tblStyleRowBandSize w:val="1"/>
      <w:tblStyleColBandSize w:val="1"/>
      <w:tblBorders>
        <w:top w:val="single" w:sz="4" w:space="0" w:color="827C7C" w:themeColor="accent5" w:themeTint="99"/>
        <w:bottom w:val="single" w:sz="4" w:space="0" w:color="827C7C" w:themeColor="accent5" w:themeTint="99"/>
        <w:insideH w:val="single" w:sz="4" w:space="0" w:color="827C7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ListTable2-Accent6">
    <w:name w:val="List Table 2 Accent 6"/>
    <w:basedOn w:val="TableNormal"/>
    <w:uiPriority w:val="47"/>
    <w:semiHidden/>
    <w:rsid w:val="00776AC3"/>
    <w:pPr>
      <w:spacing w:after="0"/>
    </w:pPr>
    <w:tblPr>
      <w:tblStyleRowBandSize w:val="1"/>
      <w:tblStyleColBandSize w:val="1"/>
      <w:tblBorders>
        <w:top w:val="single" w:sz="4" w:space="0" w:color="D62946" w:themeColor="accent6" w:themeTint="99"/>
        <w:bottom w:val="single" w:sz="4" w:space="0" w:color="D62946" w:themeColor="accent6" w:themeTint="99"/>
        <w:insideH w:val="single" w:sz="4" w:space="0" w:color="D6294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ListTable3">
    <w:name w:val="List Table 3"/>
    <w:basedOn w:val="TableNormal"/>
    <w:uiPriority w:val="48"/>
    <w:semiHidden/>
    <w:rsid w:val="00776AC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776AC3"/>
    <w:pPr>
      <w:spacing w:after="0"/>
    </w:pPr>
    <w:tblPr>
      <w:tblStyleRowBandSize w:val="1"/>
      <w:tblStyleColBandSize w:val="1"/>
      <w:tblBorders>
        <w:top w:val="single" w:sz="4" w:space="0" w:color="931B2F" w:themeColor="accent1"/>
        <w:left w:val="single" w:sz="4" w:space="0" w:color="931B2F" w:themeColor="accent1"/>
        <w:bottom w:val="single" w:sz="4" w:space="0" w:color="931B2F" w:themeColor="accent1"/>
        <w:right w:val="single" w:sz="4" w:space="0" w:color="931B2F" w:themeColor="accent1"/>
      </w:tblBorders>
    </w:tblPr>
    <w:tblStylePr w:type="firstRow">
      <w:rPr>
        <w:b/>
        <w:bCs/>
        <w:color w:val="FFFFFF" w:themeColor="background1"/>
      </w:rPr>
      <w:tblPr/>
      <w:tcPr>
        <w:shd w:val="clear" w:color="auto" w:fill="931B2F" w:themeFill="accent1"/>
      </w:tcPr>
    </w:tblStylePr>
    <w:tblStylePr w:type="lastRow">
      <w:rPr>
        <w:b/>
        <w:bCs/>
      </w:rPr>
      <w:tblPr/>
      <w:tcPr>
        <w:tcBorders>
          <w:top w:val="double" w:sz="4" w:space="0" w:color="93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1B2F" w:themeColor="accent1"/>
          <w:right w:val="single" w:sz="4" w:space="0" w:color="931B2F" w:themeColor="accent1"/>
        </w:tcBorders>
      </w:tcPr>
    </w:tblStylePr>
    <w:tblStylePr w:type="band1Horz">
      <w:tblPr/>
      <w:tcPr>
        <w:tcBorders>
          <w:top w:val="single" w:sz="4" w:space="0" w:color="931B2F" w:themeColor="accent1"/>
          <w:bottom w:val="single" w:sz="4" w:space="0" w:color="93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1B2F" w:themeColor="accent1"/>
          <w:left w:val="nil"/>
        </w:tcBorders>
      </w:tcPr>
    </w:tblStylePr>
    <w:tblStylePr w:type="swCell">
      <w:tblPr/>
      <w:tcPr>
        <w:tcBorders>
          <w:top w:val="double" w:sz="4" w:space="0" w:color="931B2F" w:themeColor="accent1"/>
          <w:right w:val="nil"/>
        </w:tcBorders>
      </w:tcPr>
    </w:tblStylePr>
  </w:style>
  <w:style w:type="table" w:styleId="ListTable3-Accent2">
    <w:name w:val="List Table 3 Accent 2"/>
    <w:basedOn w:val="TableNormal"/>
    <w:uiPriority w:val="48"/>
    <w:semiHidden/>
    <w:rsid w:val="00776AC3"/>
    <w:pPr>
      <w:spacing w:after="0"/>
    </w:pPr>
    <w:tblPr>
      <w:tblStyleRowBandSize w:val="1"/>
      <w:tblStyleColBandSize w:val="1"/>
      <w:tblBorders>
        <w:top w:val="single" w:sz="4" w:space="0" w:color="B35F6D" w:themeColor="accent2"/>
        <w:left w:val="single" w:sz="4" w:space="0" w:color="B35F6D" w:themeColor="accent2"/>
        <w:bottom w:val="single" w:sz="4" w:space="0" w:color="B35F6D" w:themeColor="accent2"/>
        <w:right w:val="single" w:sz="4" w:space="0" w:color="B35F6D" w:themeColor="accent2"/>
      </w:tblBorders>
    </w:tblPr>
    <w:tblStylePr w:type="firstRow">
      <w:rPr>
        <w:b/>
        <w:bCs/>
        <w:color w:val="FFFFFF" w:themeColor="background1"/>
      </w:rPr>
      <w:tblPr/>
      <w:tcPr>
        <w:shd w:val="clear" w:color="auto" w:fill="B35F6D" w:themeFill="accent2"/>
      </w:tcPr>
    </w:tblStylePr>
    <w:tblStylePr w:type="lastRow">
      <w:rPr>
        <w:b/>
        <w:bCs/>
      </w:rPr>
      <w:tblPr/>
      <w:tcPr>
        <w:tcBorders>
          <w:top w:val="double" w:sz="4" w:space="0" w:color="B35F6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5F6D" w:themeColor="accent2"/>
          <w:right w:val="single" w:sz="4" w:space="0" w:color="B35F6D" w:themeColor="accent2"/>
        </w:tcBorders>
      </w:tcPr>
    </w:tblStylePr>
    <w:tblStylePr w:type="band1Horz">
      <w:tblPr/>
      <w:tcPr>
        <w:tcBorders>
          <w:top w:val="single" w:sz="4" w:space="0" w:color="B35F6D" w:themeColor="accent2"/>
          <w:bottom w:val="single" w:sz="4" w:space="0" w:color="B35F6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5F6D" w:themeColor="accent2"/>
          <w:left w:val="nil"/>
        </w:tcBorders>
      </w:tcPr>
    </w:tblStylePr>
    <w:tblStylePr w:type="swCell">
      <w:tblPr/>
      <w:tcPr>
        <w:tcBorders>
          <w:top w:val="double" w:sz="4" w:space="0" w:color="B35F6D" w:themeColor="accent2"/>
          <w:right w:val="nil"/>
        </w:tcBorders>
      </w:tcPr>
    </w:tblStylePr>
  </w:style>
  <w:style w:type="table" w:styleId="ListTable3-Accent3">
    <w:name w:val="List Table 3 Accent 3"/>
    <w:basedOn w:val="TableNormal"/>
    <w:uiPriority w:val="48"/>
    <w:semiHidden/>
    <w:rsid w:val="00776AC3"/>
    <w:pPr>
      <w:spacing w:after="0"/>
    </w:pPr>
    <w:tblPr>
      <w:tblStyleRowBandSize w:val="1"/>
      <w:tblStyleColBandSize w:val="1"/>
      <w:tblBorders>
        <w:top w:val="single" w:sz="4" w:space="0" w:color="E8E7E7" w:themeColor="accent3"/>
        <w:left w:val="single" w:sz="4" w:space="0" w:color="E8E7E7" w:themeColor="accent3"/>
        <w:bottom w:val="single" w:sz="4" w:space="0" w:color="E8E7E7" w:themeColor="accent3"/>
        <w:right w:val="single" w:sz="4" w:space="0" w:color="E8E7E7" w:themeColor="accent3"/>
      </w:tblBorders>
    </w:tblPr>
    <w:tblStylePr w:type="firstRow">
      <w:rPr>
        <w:b/>
        <w:bCs/>
        <w:color w:val="FFFFFF" w:themeColor="background1"/>
      </w:rPr>
      <w:tblPr/>
      <w:tcPr>
        <w:shd w:val="clear" w:color="auto" w:fill="E8E7E7" w:themeFill="accent3"/>
      </w:tcPr>
    </w:tblStylePr>
    <w:tblStylePr w:type="lastRow">
      <w:rPr>
        <w:b/>
        <w:bCs/>
      </w:rPr>
      <w:tblPr/>
      <w:tcPr>
        <w:tcBorders>
          <w:top w:val="double" w:sz="4" w:space="0" w:color="E8E7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E7E7" w:themeColor="accent3"/>
          <w:right w:val="single" w:sz="4" w:space="0" w:color="E8E7E7" w:themeColor="accent3"/>
        </w:tcBorders>
      </w:tcPr>
    </w:tblStylePr>
    <w:tblStylePr w:type="band1Horz">
      <w:tblPr/>
      <w:tcPr>
        <w:tcBorders>
          <w:top w:val="single" w:sz="4" w:space="0" w:color="E8E7E7" w:themeColor="accent3"/>
          <w:bottom w:val="single" w:sz="4" w:space="0" w:color="E8E7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E7E7" w:themeColor="accent3"/>
          <w:left w:val="nil"/>
        </w:tcBorders>
      </w:tcPr>
    </w:tblStylePr>
    <w:tblStylePr w:type="swCell">
      <w:tblPr/>
      <w:tcPr>
        <w:tcBorders>
          <w:top w:val="double" w:sz="4" w:space="0" w:color="E8E7E7" w:themeColor="accent3"/>
          <w:right w:val="nil"/>
        </w:tcBorders>
      </w:tcPr>
    </w:tblStylePr>
  </w:style>
  <w:style w:type="table" w:styleId="ListTable3-Accent4">
    <w:name w:val="List Table 3 Accent 4"/>
    <w:basedOn w:val="TableNormal"/>
    <w:uiPriority w:val="48"/>
    <w:semiHidden/>
    <w:rsid w:val="00776AC3"/>
    <w:pPr>
      <w:spacing w:after="0"/>
    </w:pPr>
    <w:tblPr>
      <w:tblStyleRowBandSize w:val="1"/>
      <w:tblStyleColBandSize w:val="1"/>
      <w:tblBorders>
        <w:top w:val="single" w:sz="4" w:space="0" w:color="8C8686" w:themeColor="accent4"/>
        <w:left w:val="single" w:sz="4" w:space="0" w:color="8C8686" w:themeColor="accent4"/>
        <w:bottom w:val="single" w:sz="4" w:space="0" w:color="8C8686" w:themeColor="accent4"/>
        <w:right w:val="single" w:sz="4" w:space="0" w:color="8C8686" w:themeColor="accent4"/>
      </w:tblBorders>
    </w:tblPr>
    <w:tblStylePr w:type="firstRow">
      <w:rPr>
        <w:b/>
        <w:bCs/>
        <w:color w:val="FFFFFF" w:themeColor="background1"/>
      </w:rPr>
      <w:tblPr/>
      <w:tcPr>
        <w:shd w:val="clear" w:color="auto" w:fill="8C8686" w:themeFill="accent4"/>
      </w:tcPr>
    </w:tblStylePr>
    <w:tblStylePr w:type="lastRow">
      <w:rPr>
        <w:b/>
        <w:bCs/>
      </w:rPr>
      <w:tblPr/>
      <w:tcPr>
        <w:tcBorders>
          <w:top w:val="double" w:sz="4" w:space="0" w:color="8C868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8686" w:themeColor="accent4"/>
          <w:right w:val="single" w:sz="4" w:space="0" w:color="8C8686" w:themeColor="accent4"/>
        </w:tcBorders>
      </w:tcPr>
    </w:tblStylePr>
    <w:tblStylePr w:type="band1Horz">
      <w:tblPr/>
      <w:tcPr>
        <w:tcBorders>
          <w:top w:val="single" w:sz="4" w:space="0" w:color="8C8686" w:themeColor="accent4"/>
          <w:bottom w:val="single" w:sz="4" w:space="0" w:color="8C868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8686" w:themeColor="accent4"/>
          <w:left w:val="nil"/>
        </w:tcBorders>
      </w:tcPr>
    </w:tblStylePr>
    <w:tblStylePr w:type="swCell">
      <w:tblPr/>
      <w:tcPr>
        <w:tcBorders>
          <w:top w:val="double" w:sz="4" w:space="0" w:color="8C8686" w:themeColor="accent4"/>
          <w:right w:val="nil"/>
        </w:tcBorders>
      </w:tcPr>
    </w:tblStylePr>
  </w:style>
  <w:style w:type="table" w:styleId="ListTable3-Accent5">
    <w:name w:val="List Table 3 Accent 5"/>
    <w:basedOn w:val="TableNormal"/>
    <w:uiPriority w:val="48"/>
    <w:semiHidden/>
    <w:rsid w:val="00776AC3"/>
    <w:pPr>
      <w:spacing w:after="0"/>
    </w:pPr>
    <w:tblPr>
      <w:tblStyleRowBandSize w:val="1"/>
      <w:tblStyleColBandSize w:val="1"/>
      <w:tblBorders>
        <w:top w:val="single" w:sz="4" w:space="0" w:color="2C2A2A" w:themeColor="accent5"/>
        <w:left w:val="single" w:sz="4" w:space="0" w:color="2C2A2A" w:themeColor="accent5"/>
        <w:bottom w:val="single" w:sz="4" w:space="0" w:color="2C2A2A" w:themeColor="accent5"/>
        <w:right w:val="single" w:sz="4" w:space="0" w:color="2C2A2A" w:themeColor="accent5"/>
      </w:tblBorders>
    </w:tblPr>
    <w:tblStylePr w:type="firstRow">
      <w:rPr>
        <w:b/>
        <w:bCs/>
        <w:color w:val="FFFFFF" w:themeColor="background1"/>
      </w:rPr>
      <w:tblPr/>
      <w:tcPr>
        <w:shd w:val="clear" w:color="auto" w:fill="2C2A2A" w:themeFill="accent5"/>
      </w:tcPr>
    </w:tblStylePr>
    <w:tblStylePr w:type="lastRow">
      <w:rPr>
        <w:b/>
        <w:bCs/>
      </w:rPr>
      <w:tblPr/>
      <w:tcPr>
        <w:tcBorders>
          <w:top w:val="double" w:sz="4" w:space="0" w:color="2C2A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2A2A" w:themeColor="accent5"/>
          <w:right w:val="single" w:sz="4" w:space="0" w:color="2C2A2A" w:themeColor="accent5"/>
        </w:tcBorders>
      </w:tcPr>
    </w:tblStylePr>
    <w:tblStylePr w:type="band1Horz">
      <w:tblPr/>
      <w:tcPr>
        <w:tcBorders>
          <w:top w:val="single" w:sz="4" w:space="0" w:color="2C2A2A" w:themeColor="accent5"/>
          <w:bottom w:val="single" w:sz="4" w:space="0" w:color="2C2A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2A2A" w:themeColor="accent5"/>
          <w:left w:val="nil"/>
        </w:tcBorders>
      </w:tcPr>
    </w:tblStylePr>
    <w:tblStylePr w:type="swCell">
      <w:tblPr/>
      <w:tcPr>
        <w:tcBorders>
          <w:top w:val="double" w:sz="4" w:space="0" w:color="2C2A2A" w:themeColor="accent5"/>
          <w:right w:val="nil"/>
        </w:tcBorders>
      </w:tcPr>
    </w:tblStylePr>
  </w:style>
  <w:style w:type="table" w:styleId="ListTable3-Accent6">
    <w:name w:val="List Table 3 Accent 6"/>
    <w:basedOn w:val="TableNormal"/>
    <w:uiPriority w:val="48"/>
    <w:semiHidden/>
    <w:rsid w:val="00776AC3"/>
    <w:pPr>
      <w:spacing w:after="0"/>
    </w:pPr>
    <w:tblPr>
      <w:tblStyleRowBandSize w:val="1"/>
      <w:tblStyleColBandSize w:val="1"/>
      <w:tblBorders>
        <w:top w:val="single" w:sz="4" w:space="0" w:color="4A0E18" w:themeColor="accent6"/>
        <w:left w:val="single" w:sz="4" w:space="0" w:color="4A0E18" w:themeColor="accent6"/>
        <w:bottom w:val="single" w:sz="4" w:space="0" w:color="4A0E18" w:themeColor="accent6"/>
        <w:right w:val="single" w:sz="4" w:space="0" w:color="4A0E18" w:themeColor="accent6"/>
      </w:tblBorders>
    </w:tblPr>
    <w:tblStylePr w:type="firstRow">
      <w:rPr>
        <w:b/>
        <w:bCs/>
        <w:color w:val="FFFFFF" w:themeColor="background1"/>
      </w:rPr>
      <w:tblPr/>
      <w:tcPr>
        <w:shd w:val="clear" w:color="auto" w:fill="4A0E18" w:themeFill="accent6"/>
      </w:tcPr>
    </w:tblStylePr>
    <w:tblStylePr w:type="lastRow">
      <w:rPr>
        <w:b/>
        <w:bCs/>
      </w:rPr>
      <w:tblPr/>
      <w:tcPr>
        <w:tcBorders>
          <w:top w:val="double" w:sz="4" w:space="0" w:color="4A0E1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0E18" w:themeColor="accent6"/>
          <w:right w:val="single" w:sz="4" w:space="0" w:color="4A0E18" w:themeColor="accent6"/>
        </w:tcBorders>
      </w:tcPr>
    </w:tblStylePr>
    <w:tblStylePr w:type="band1Horz">
      <w:tblPr/>
      <w:tcPr>
        <w:tcBorders>
          <w:top w:val="single" w:sz="4" w:space="0" w:color="4A0E18" w:themeColor="accent6"/>
          <w:bottom w:val="single" w:sz="4" w:space="0" w:color="4A0E1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0E18" w:themeColor="accent6"/>
          <w:left w:val="nil"/>
        </w:tcBorders>
      </w:tcPr>
    </w:tblStylePr>
    <w:tblStylePr w:type="swCell">
      <w:tblPr/>
      <w:tcPr>
        <w:tcBorders>
          <w:top w:val="double" w:sz="4" w:space="0" w:color="4A0E18" w:themeColor="accent6"/>
          <w:right w:val="nil"/>
        </w:tcBorders>
      </w:tcPr>
    </w:tblStylePr>
  </w:style>
  <w:style w:type="table" w:styleId="ListTable4">
    <w:name w:val="List Table 4"/>
    <w:basedOn w:val="TableNormal"/>
    <w:uiPriority w:val="49"/>
    <w:semiHidden/>
    <w:rsid w:val="00776AC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776AC3"/>
    <w:pPr>
      <w:spacing w:after="0"/>
    </w:pPr>
    <w:tblPr>
      <w:tblStyleRowBandSize w:val="1"/>
      <w:tblStyleColBandSize w:val="1"/>
      <w:tblBorders>
        <w:top w:val="single" w:sz="4" w:space="0" w:color="DF546B" w:themeColor="accent1" w:themeTint="99"/>
        <w:left w:val="single" w:sz="4" w:space="0" w:color="DF546B" w:themeColor="accent1" w:themeTint="99"/>
        <w:bottom w:val="single" w:sz="4" w:space="0" w:color="DF546B" w:themeColor="accent1" w:themeTint="99"/>
        <w:right w:val="single" w:sz="4" w:space="0" w:color="DF546B" w:themeColor="accent1" w:themeTint="99"/>
        <w:insideH w:val="single" w:sz="4" w:space="0" w:color="DF546B" w:themeColor="accent1" w:themeTint="99"/>
      </w:tblBorders>
    </w:tblPr>
    <w:tblStylePr w:type="firstRow">
      <w:rPr>
        <w:b/>
        <w:bCs/>
        <w:color w:val="FFFFFF" w:themeColor="background1"/>
      </w:rPr>
      <w:tblPr/>
      <w:tcPr>
        <w:tcBorders>
          <w:top w:val="single" w:sz="4" w:space="0" w:color="931B2F" w:themeColor="accent1"/>
          <w:left w:val="single" w:sz="4" w:space="0" w:color="931B2F" w:themeColor="accent1"/>
          <w:bottom w:val="single" w:sz="4" w:space="0" w:color="931B2F" w:themeColor="accent1"/>
          <w:right w:val="single" w:sz="4" w:space="0" w:color="931B2F" w:themeColor="accent1"/>
          <w:insideH w:val="nil"/>
        </w:tcBorders>
        <w:shd w:val="clear" w:color="auto" w:fill="931B2F" w:themeFill="accent1"/>
      </w:tcPr>
    </w:tblStylePr>
    <w:tblStylePr w:type="lastRow">
      <w:rPr>
        <w:b/>
        <w:bCs/>
      </w:rPr>
      <w:tblPr/>
      <w:tcPr>
        <w:tcBorders>
          <w:top w:val="double" w:sz="4" w:space="0" w:color="DF546B" w:themeColor="accent1" w:themeTint="99"/>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ListTable4-Accent2">
    <w:name w:val="List Table 4 Accent 2"/>
    <w:basedOn w:val="TableNormal"/>
    <w:uiPriority w:val="49"/>
    <w:semiHidden/>
    <w:rsid w:val="00776AC3"/>
    <w:pPr>
      <w:spacing w:after="0"/>
    </w:pPr>
    <w:tblPr>
      <w:tblStyleRowBandSize w:val="1"/>
      <w:tblStyleColBandSize w:val="1"/>
      <w:tblBorders>
        <w:top w:val="single" w:sz="4" w:space="0" w:color="D19EA7" w:themeColor="accent2" w:themeTint="99"/>
        <w:left w:val="single" w:sz="4" w:space="0" w:color="D19EA7" w:themeColor="accent2" w:themeTint="99"/>
        <w:bottom w:val="single" w:sz="4" w:space="0" w:color="D19EA7" w:themeColor="accent2" w:themeTint="99"/>
        <w:right w:val="single" w:sz="4" w:space="0" w:color="D19EA7" w:themeColor="accent2" w:themeTint="99"/>
        <w:insideH w:val="single" w:sz="4" w:space="0" w:color="D19EA7" w:themeColor="accent2" w:themeTint="99"/>
      </w:tblBorders>
    </w:tblPr>
    <w:tblStylePr w:type="firstRow">
      <w:rPr>
        <w:b/>
        <w:bCs/>
        <w:color w:val="FFFFFF" w:themeColor="background1"/>
      </w:rPr>
      <w:tblPr/>
      <w:tcPr>
        <w:tcBorders>
          <w:top w:val="single" w:sz="4" w:space="0" w:color="B35F6D" w:themeColor="accent2"/>
          <w:left w:val="single" w:sz="4" w:space="0" w:color="B35F6D" w:themeColor="accent2"/>
          <w:bottom w:val="single" w:sz="4" w:space="0" w:color="B35F6D" w:themeColor="accent2"/>
          <w:right w:val="single" w:sz="4" w:space="0" w:color="B35F6D" w:themeColor="accent2"/>
          <w:insideH w:val="nil"/>
        </w:tcBorders>
        <w:shd w:val="clear" w:color="auto" w:fill="B35F6D" w:themeFill="accent2"/>
      </w:tcPr>
    </w:tblStylePr>
    <w:tblStylePr w:type="lastRow">
      <w:rPr>
        <w:b/>
        <w:bCs/>
      </w:rPr>
      <w:tblPr/>
      <w:tcPr>
        <w:tcBorders>
          <w:top w:val="double" w:sz="4" w:space="0" w:color="D19EA7" w:themeColor="accent2" w:themeTint="99"/>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ListTable4-Accent3">
    <w:name w:val="List Table 4 Accent 3"/>
    <w:basedOn w:val="TableNormal"/>
    <w:uiPriority w:val="49"/>
    <w:semiHidden/>
    <w:rsid w:val="00776AC3"/>
    <w:pPr>
      <w:spacing w:after="0"/>
    </w:pPr>
    <w:tblPr>
      <w:tblStyleRowBandSize w:val="1"/>
      <w:tblStyleColBandSize w:val="1"/>
      <w:tblBorders>
        <w:top w:val="single" w:sz="4" w:space="0" w:color="F1F0F0" w:themeColor="accent3" w:themeTint="99"/>
        <w:left w:val="single" w:sz="4" w:space="0" w:color="F1F0F0" w:themeColor="accent3" w:themeTint="99"/>
        <w:bottom w:val="single" w:sz="4" w:space="0" w:color="F1F0F0" w:themeColor="accent3" w:themeTint="99"/>
        <w:right w:val="single" w:sz="4" w:space="0" w:color="F1F0F0" w:themeColor="accent3" w:themeTint="99"/>
        <w:insideH w:val="single" w:sz="4" w:space="0" w:color="F1F0F0" w:themeColor="accent3" w:themeTint="99"/>
      </w:tblBorders>
    </w:tblPr>
    <w:tblStylePr w:type="firstRow">
      <w:rPr>
        <w:b/>
        <w:bCs/>
        <w:color w:val="FFFFFF" w:themeColor="background1"/>
      </w:rPr>
      <w:tblPr/>
      <w:tcPr>
        <w:tcBorders>
          <w:top w:val="single" w:sz="4" w:space="0" w:color="E8E7E7" w:themeColor="accent3"/>
          <w:left w:val="single" w:sz="4" w:space="0" w:color="E8E7E7" w:themeColor="accent3"/>
          <w:bottom w:val="single" w:sz="4" w:space="0" w:color="E8E7E7" w:themeColor="accent3"/>
          <w:right w:val="single" w:sz="4" w:space="0" w:color="E8E7E7" w:themeColor="accent3"/>
          <w:insideH w:val="nil"/>
        </w:tcBorders>
        <w:shd w:val="clear" w:color="auto" w:fill="E8E7E7" w:themeFill="accent3"/>
      </w:tcPr>
    </w:tblStylePr>
    <w:tblStylePr w:type="lastRow">
      <w:rPr>
        <w:b/>
        <w:bCs/>
      </w:rPr>
      <w:tblPr/>
      <w:tcPr>
        <w:tcBorders>
          <w:top w:val="double" w:sz="4" w:space="0" w:color="F1F0F0" w:themeColor="accent3" w:themeTint="99"/>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ListTable4-Accent4">
    <w:name w:val="List Table 4 Accent 4"/>
    <w:basedOn w:val="TableNormal"/>
    <w:uiPriority w:val="49"/>
    <w:semiHidden/>
    <w:rsid w:val="00776AC3"/>
    <w:pPr>
      <w:spacing w:after="0"/>
    </w:pPr>
    <w:tblPr>
      <w:tblStyleRowBandSize w:val="1"/>
      <w:tblStyleColBandSize w:val="1"/>
      <w:tblBorders>
        <w:top w:val="single" w:sz="4" w:space="0" w:color="BAB6B6" w:themeColor="accent4" w:themeTint="99"/>
        <w:left w:val="single" w:sz="4" w:space="0" w:color="BAB6B6" w:themeColor="accent4" w:themeTint="99"/>
        <w:bottom w:val="single" w:sz="4" w:space="0" w:color="BAB6B6" w:themeColor="accent4" w:themeTint="99"/>
        <w:right w:val="single" w:sz="4" w:space="0" w:color="BAB6B6" w:themeColor="accent4" w:themeTint="99"/>
        <w:insideH w:val="single" w:sz="4" w:space="0" w:color="BAB6B6" w:themeColor="accent4" w:themeTint="99"/>
      </w:tblBorders>
    </w:tblPr>
    <w:tblStylePr w:type="firstRow">
      <w:rPr>
        <w:b/>
        <w:bCs/>
        <w:color w:val="FFFFFF" w:themeColor="background1"/>
      </w:rPr>
      <w:tblPr/>
      <w:tcPr>
        <w:tcBorders>
          <w:top w:val="single" w:sz="4" w:space="0" w:color="8C8686" w:themeColor="accent4"/>
          <w:left w:val="single" w:sz="4" w:space="0" w:color="8C8686" w:themeColor="accent4"/>
          <w:bottom w:val="single" w:sz="4" w:space="0" w:color="8C8686" w:themeColor="accent4"/>
          <w:right w:val="single" w:sz="4" w:space="0" w:color="8C8686" w:themeColor="accent4"/>
          <w:insideH w:val="nil"/>
        </w:tcBorders>
        <w:shd w:val="clear" w:color="auto" w:fill="8C8686" w:themeFill="accent4"/>
      </w:tcPr>
    </w:tblStylePr>
    <w:tblStylePr w:type="lastRow">
      <w:rPr>
        <w:b/>
        <w:bCs/>
      </w:rPr>
      <w:tblPr/>
      <w:tcPr>
        <w:tcBorders>
          <w:top w:val="double" w:sz="4" w:space="0" w:color="BAB6B6" w:themeColor="accent4" w:themeTint="99"/>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ListTable4-Accent5">
    <w:name w:val="List Table 4 Accent 5"/>
    <w:basedOn w:val="TableNormal"/>
    <w:uiPriority w:val="49"/>
    <w:semiHidden/>
    <w:rsid w:val="00776AC3"/>
    <w:pPr>
      <w:spacing w:after="0"/>
    </w:pPr>
    <w:tblPr>
      <w:tblStyleRowBandSize w:val="1"/>
      <w:tblStyleColBandSize w:val="1"/>
      <w:tblBorders>
        <w:top w:val="single" w:sz="4" w:space="0" w:color="827C7C" w:themeColor="accent5" w:themeTint="99"/>
        <w:left w:val="single" w:sz="4" w:space="0" w:color="827C7C" w:themeColor="accent5" w:themeTint="99"/>
        <w:bottom w:val="single" w:sz="4" w:space="0" w:color="827C7C" w:themeColor="accent5" w:themeTint="99"/>
        <w:right w:val="single" w:sz="4" w:space="0" w:color="827C7C" w:themeColor="accent5" w:themeTint="99"/>
        <w:insideH w:val="single" w:sz="4" w:space="0" w:color="827C7C" w:themeColor="accent5" w:themeTint="99"/>
      </w:tblBorders>
    </w:tblPr>
    <w:tblStylePr w:type="firstRow">
      <w:rPr>
        <w:b/>
        <w:bCs/>
        <w:color w:val="FFFFFF" w:themeColor="background1"/>
      </w:rPr>
      <w:tblPr/>
      <w:tcPr>
        <w:tcBorders>
          <w:top w:val="single" w:sz="4" w:space="0" w:color="2C2A2A" w:themeColor="accent5"/>
          <w:left w:val="single" w:sz="4" w:space="0" w:color="2C2A2A" w:themeColor="accent5"/>
          <w:bottom w:val="single" w:sz="4" w:space="0" w:color="2C2A2A" w:themeColor="accent5"/>
          <w:right w:val="single" w:sz="4" w:space="0" w:color="2C2A2A" w:themeColor="accent5"/>
          <w:insideH w:val="nil"/>
        </w:tcBorders>
        <w:shd w:val="clear" w:color="auto" w:fill="2C2A2A" w:themeFill="accent5"/>
      </w:tcPr>
    </w:tblStylePr>
    <w:tblStylePr w:type="lastRow">
      <w:rPr>
        <w:b/>
        <w:bCs/>
      </w:rPr>
      <w:tblPr/>
      <w:tcPr>
        <w:tcBorders>
          <w:top w:val="double" w:sz="4" w:space="0" w:color="827C7C" w:themeColor="accent5" w:themeTint="99"/>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ListTable4-Accent6">
    <w:name w:val="List Table 4 Accent 6"/>
    <w:basedOn w:val="TableNormal"/>
    <w:uiPriority w:val="49"/>
    <w:semiHidden/>
    <w:rsid w:val="00776AC3"/>
    <w:pPr>
      <w:spacing w:after="0"/>
    </w:pPr>
    <w:tblPr>
      <w:tblStyleRowBandSize w:val="1"/>
      <w:tblStyleColBandSize w:val="1"/>
      <w:tblBorders>
        <w:top w:val="single" w:sz="4" w:space="0" w:color="D62946" w:themeColor="accent6" w:themeTint="99"/>
        <w:left w:val="single" w:sz="4" w:space="0" w:color="D62946" w:themeColor="accent6" w:themeTint="99"/>
        <w:bottom w:val="single" w:sz="4" w:space="0" w:color="D62946" w:themeColor="accent6" w:themeTint="99"/>
        <w:right w:val="single" w:sz="4" w:space="0" w:color="D62946" w:themeColor="accent6" w:themeTint="99"/>
        <w:insideH w:val="single" w:sz="4" w:space="0" w:color="D62946" w:themeColor="accent6" w:themeTint="99"/>
      </w:tblBorders>
    </w:tblPr>
    <w:tblStylePr w:type="firstRow">
      <w:rPr>
        <w:b/>
        <w:bCs/>
        <w:color w:val="FFFFFF" w:themeColor="background1"/>
      </w:rPr>
      <w:tblPr/>
      <w:tcPr>
        <w:tcBorders>
          <w:top w:val="single" w:sz="4" w:space="0" w:color="4A0E18" w:themeColor="accent6"/>
          <w:left w:val="single" w:sz="4" w:space="0" w:color="4A0E18" w:themeColor="accent6"/>
          <w:bottom w:val="single" w:sz="4" w:space="0" w:color="4A0E18" w:themeColor="accent6"/>
          <w:right w:val="single" w:sz="4" w:space="0" w:color="4A0E18" w:themeColor="accent6"/>
          <w:insideH w:val="nil"/>
        </w:tcBorders>
        <w:shd w:val="clear" w:color="auto" w:fill="4A0E18" w:themeFill="accent6"/>
      </w:tcPr>
    </w:tblStylePr>
    <w:tblStylePr w:type="lastRow">
      <w:rPr>
        <w:b/>
        <w:bCs/>
      </w:rPr>
      <w:tblPr/>
      <w:tcPr>
        <w:tcBorders>
          <w:top w:val="double" w:sz="4" w:space="0" w:color="D62946" w:themeColor="accent6" w:themeTint="99"/>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ListTable5Dark">
    <w:name w:val="List Table 5 Dark"/>
    <w:basedOn w:val="TableNormal"/>
    <w:uiPriority w:val="50"/>
    <w:semiHidden/>
    <w:rsid w:val="00776AC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776AC3"/>
    <w:pPr>
      <w:spacing w:after="0"/>
    </w:pPr>
    <w:rPr>
      <w:color w:val="FFFFFF" w:themeColor="background1"/>
    </w:rPr>
    <w:tblPr>
      <w:tblStyleRowBandSize w:val="1"/>
      <w:tblStyleColBandSize w:val="1"/>
      <w:tblBorders>
        <w:top w:val="single" w:sz="24" w:space="0" w:color="931B2F" w:themeColor="accent1"/>
        <w:left w:val="single" w:sz="24" w:space="0" w:color="931B2F" w:themeColor="accent1"/>
        <w:bottom w:val="single" w:sz="24" w:space="0" w:color="931B2F" w:themeColor="accent1"/>
        <w:right w:val="single" w:sz="24" w:space="0" w:color="931B2F" w:themeColor="accent1"/>
      </w:tblBorders>
    </w:tblPr>
    <w:tcPr>
      <w:shd w:val="clear" w:color="auto" w:fill="93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776AC3"/>
    <w:pPr>
      <w:spacing w:after="0"/>
    </w:pPr>
    <w:rPr>
      <w:color w:val="FFFFFF" w:themeColor="background1"/>
    </w:rPr>
    <w:tblPr>
      <w:tblStyleRowBandSize w:val="1"/>
      <w:tblStyleColBandSize w:val="1"/>
      <w:tblBorders>
        <w:top w:val="single" w:sz="24" w:space="0" w:color="B35F6D" w:themeColor="accent2"/>
        <w:left w:val="single" w:sz="24" w:space="0" w:color="B35F6D" w:themeColor="accent2"/>
        <w:bottom w:val="single" w:sz="24" w:space="0" w:color="B35F6D" w:themeColor="accent2"/>
        <w:right w:val="single" w:sz="24" w:space="0" w:color="B35F6D" w:themeColor="accent2"/>
      </w:tblBorders>
    </w:tblPr>
    <w:tcPr>
      <w:shd w:val="clear" w:color="auto" w:fill="B35F6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776AC3"/>
    <w:pPr>
      <w:spacing w:after="0"/>
    </w:pPr>
    <w:rPr>
      <w:color w:val="FFFFFF" w:themeColor="background1"/>
    </w:rPr>
    <w:tblPr>
      <w:tblStyleRowBandSize w:val="1"/>
      <w:tblStyleColBandSize w:val="1"/>
      <w:tblBorders>
        <w:top w:val="single" w:sz="24" w:space="0" w:color="E8E7E7" w:themeColor="accent3"/>
        <w:left w:val="single" w:sz="24" w:space="0" w:color="E8E7E7" w:themeColor="accent3"/>
        <w:bottom w:val="single" w:sz="24" w:space="0" w:color="E8E7E7" w:themeColor="accent3"/>
        <w:right w:val="single" w:sz="24" w:space="0" w:color="E8E7E7" w:themeColor="accent3"/>
      </w:tblBorders>
    </w:tblPr>
    <w:tcPr>
      <w:shd w:val="clear" w:color="auto" w:fill="E8E7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776AC3"/>
    <w:pPr>
      <w:spacing w:after="0"/>
    </w:pPr>
    <w:rPr>
      <w:color w:val="FFFFFF" w:themeColor="background1"/>
    </w:rPr>
    <w:tblPr>
      <w:tblStyleRowBandSize w:val="1"/>
      <w:tblStyleColBandSize w:val="1"/>
      <w:tblBorders>
        <w:top w:val="single" w:sz="24" w:space="0" w:color="8C8686" w:themeColor="accent4"/>
        <w:left w:val="single" w:sz="24" w:space="0" w:color="8C8686" w:themeColor="accent4"/>
        <w:bottom w:val="single" w:sz="24" w:space="0" w:color="8C8686" w:themeColor="accent4"/>
        <w:right w:val="single" w:sz="24" w:space="0" w:color="8C8686" w:themeColor="accent4"/>
      </w:tblBorders>
    </w:tblPr>
    <w:tcPr>
      <w:shd w:val="clear" w:color="auto" w:fill="8C868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776AC3"/>
    <w:pPr>
      <w:spacing w:after="0"/>
    </w:pPr>
    <w:rPr>
      <w:color w:val="FFFFFF" w:themeColor="background1"/>
    </w:rPr>
    <w:tblPr>
      <w:tblStyleRowBandSize w:val="1"/>
      <w:tblStyleColBandSize w:val="1"/>
      <w:tblBorders>
        <w:top w:val="single" w:sz="24" w:space="0" w:color="2C2A2A" w:themeColor="accent5"/>
        <w:left w:val="single" w:sz="24" w:space="0" w:color="2C2A2A" w:themeColor="accent5"/>
        <w:bottom w:val="single" w:sz="24" w:space="0" w:color="2C2A2A" w:themeColor="accent5"/>
        <w:right w:val="single" w:sz="24" w:space="0" w:color="2C2A2A" w:themeColor="accent5"/>
      </w:tblBorders>
    </w:tblPr>
    <w:tcPr>
      <w:shd w:val="clear" w:color="auto" w:fill="2C2A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776AC3"/>
    <w:pPr>
      <w:spacing w:after="0"/>
    </w:pPr>
    <w:rPr>
      <w:color w:val="FFFFFF" w:themeColor="background1"/>
    </w:rPr>
    <w:tblPr>
      <w:tblStyleRowBandSize w:val="1"/>
      <w:tblStyleColBandSize w:val="1"/>
      <w:tblBorders>
        <w:top w:val="single" w:sz="24" w:space="0" w:color="4A0E18" w:themeColor="accent6"/>
        <w:left w:val="single" w:sz="24" w:space="0" w:color="4A0E18" w:themeColor="accent6"/>
        <w:bottom w:val="single" w:sz="24" w:space="0" w:color="4A0E18" w:themeColor="accent6"/>
        <w:right w:val="single" w:sz="24" w:space="0" w:color="4A0E18" w:themeColor="accent6"/>
      </w:tblBorders>
    </w:tblPr>
    <w:tcPr>
      <w:shd w:val="clear" w:color="auto" w:fill="4A0E1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776AC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776AC3"/>
    <w:pPr>
      <w:spacing w:after="0"/>
    </w:pPr>
    <w:rPr>
      <w:color w:val="6D1423" w:themeColor="accent1" w:themeShade="BF"/>
    </w:rPr>
    <w:tblPr>
      <w:tblStyleRowBandSize w:val="1"/>
      <w:tblStyleColBandSize w:val="1"/>
      <w:tblBorders>
        <w:top w:val="single" w:sz="4" w:space="0" w:color="931B2F" w:themeColor="accent1"/>
        <w:bottom w:val="single" w:sz="4" w:space="0" w:color="931B2F" w:themeColor="accent1"/>
      </w:tblBorders>
    </w:tblPr>
    <w:tblStylePr w:type="firstRow">
      <w:rPr>
        <w:b/>
        <w:bCs/>
      </w:rPr>
      <w:tblPr/>
      <w:tcPr>
        <w:tcBorders>
          <w:bottom w:val="single" w:sz="4" w:space="0" w:color="931B2F" w:themeColor="accent1"/>
        </w:tcBorders>
      </w:tcPr>
    </w:tblStylePr>
    <w:tblStylePr w:type="lastRow">
      <w:rPr>
        <w:b/>
        <w:bCs/>
      </w:rPr>
      <w:tblPr/>
      <w:tcPr>
        <w:tcBorders>
          <w:top w:val="double" w:sz="4" w:space="0" w:color="931B2F" w:themeColor="accent1"/>
        </w:tcBorders>
      </w:tcPr>
    </w:tblStylePr>
    <w:tblStylePr w:type="firstCol">
      <w:rPr>
        <w:b/>
        <w:bCs/>
      </w:rPr>
    </w:tblStylePr>
    <w:tblStylePr w:type="lastCol">
      <w:rPr>
        <w:b/>
        <w:bCs/>
      </w:rPr>
    </w:tblStylePr>
    <w:tblStylePr w:type="band1Vert">
      <w:tblPr/>
      <w:tcPr>
        <w:shd w:val="clear" w:color="auto" w:fill="F4C6CD" w:themeFill="accent1" w:themeFillTint="33"/>
      </w:tcPr>
    </w:tblStylePr>
    <w:tblStylePr w:type="band1Horz">
      <w:tblPr/>
      <w:tcPr>
        <w:shd w:val="clear" w:color="auto" w:fill="F4C6CD" w:themeFill="accent1" w:themeFillTint="33"/>
      </w:tcPr>
    </w:tblStylePr>
  </w:style>
  <w:style w:type="table" w:styleId="ListTable6ColourfulAccent2">
    <w:name w:val="List Table 6 Colorful Accent 2"/>
    <w:basedOn w:val="TableNormal"/>
    <w:uiPriority w:val="51"/>
    <w:semiHidden/>
    <w:rsid w:val="00776AC3"/>
    <w:pPr>
      <w:spacing w:after="0"/>
    </w:pPr>
    <w:rPr>
      <w:color w:val="8A424E" w:themeColor="accent2" w:themeShade="BF"/>
    </w:rPr>
    <w:tblPr>
      <w:tblStyleRowBandSize w:val="1"/>
      <w:tblStyleColBandSize w:val="1"/>
      <w:tblBorders>
        <w:top w:val="single" w:sz="4" w:space="0" w:color="B35F6D" w:themeColor="accent2"/>
        <w:bottom w:val="single" w:sz="4" w:space="0" w:color="B35F6D" w:themeColor="accent2"/>
      </w:tblBorders>
    </w:tblPr>
    <w:tblStylePr w:type="firstRow">
      <w:rPr>
        <w:b/>
        <w:bCs/>
      </w:rPr>
      <w:tblPr/>
      <w:tcPr>
        <w:tcBorders>
          <w:bottom w:val="single" w:sz="4" w:space="0" w:color="B35F6D" w:themeColor="accent2"/>
        </w:tcBorders>
      </w:tcPr>
    </w:tblStylePr>
    <w:tblStylePr w:type="lastRow">
      <w:rPr>
        <w:b/>
        <w:bCs/>
      </w:rPr>
      <w:tblPr/>
      <w:tcPr>
        <w:tcBorders>
          <w:top w:val="double" w:sz="4" w:space="0" w:color="B35F6D" w:themeColor="accent2"/>
        </w:tcBorders>
      </w:tcPr>
    </w:tblStylePr>
    <w:tblStylePr w:type="firstCol">
      <w:rPr>
        <w:b/>
        <w:bCs/>
      </w:rPr>
    </w:tblStylePr>
    <w:tblStylePr w:type="lastCol">
      <w:rPr>
        <w:b/>
        <w:bCs/>
      </w:rPr>
    </w:tblStylePr>
    <w:tblStylePr w:type="band1Vert">
      <w:tblPr/>
      <w:tcPr>
        <w:shd w:val="clear" w:color="auto" w:fill="EFDEE1" w:themeFill="accent2" w:themeFillTint="33"/>
      </w:tcPr>
    </w:tblStylePr>
    <w:tblStylePr w:type="band1Horz">
      <w:tblPr/>
      <w:tcPr>
        <w:shd w:val="clear" w:color="auto" w:fill="EFDEE1" w:themeFill="accent2" w:themeFillTint="33"/>
      </w:tcPr>
    </w:tblStylePr>
  </w:style>
  <w:style w:type="table" w:styleId="ListTable6ColourfulAccent3">
    <w:name w:val="List Table 6 Colorful Accent 3"/>
    <w:basedOn w:val="TableNormal"/>
    <w:uiPriority w:val="51"/>
    <w:semiHidden/>
    <w:rsid w:val="00776AC3"/>
    <w:pPr>
      <w:spacing w:after="0"/>
    </w:pPr>
    <w:rPr>
      <w:color w:val="AFABAB" w:themeColor="accent3" w:themeShade="BF"/>
    </w:rPr>
    <w:tblPr>
      <w:tblStyleRowBandSize w:val="1"/>
      <w:tblStyleColBandSize w:val="1"/>
      <w:tblBorders>
        <w:top w:val="single" w:sz="4" w:space="0" w:color="E8E7E7" w:themeColor="accent3"/>
        <w:bottom w:val="single" w:sz="4" w:space="0" w:color="E8E7E7" w:themeColor="accent3"/>
      </w:tblBorders>
    </w:tblPr>
    <w:tblStylePr w:type="firstRow">
      <w:rPr>
        <w:b/>
        <w:bCs/>
      </w:rPr>
      <w:tblPr/>
      <w:tcPr>
        <w:tcBorders>
          <w:bottom w:val="single" w:sz="4" w:space="0" w:color="E8E7E7" w:themeColor="accent3"/>
        </w:tcBorders>
      </w:tcPr>
    </w:tblStylePr>
    <w:tblStylePr w:type="lastRow">
      <w:rPr>
        <w:b/>
        <w:bCs/>
      </w:rPr>
      <w:tblPr/>
      <w:tcPr>
        <w:tcBorders>
          <w:top w:val="double" w:sz="4" w:space="0" w:color="E8E7E7"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table" w:styleId="ListTable6ColourfulAccent4">
    <w:name w:val="List Table 6 Colorful Accent 4"/>
    <w:basedOn w:val="TableNormal"/>
    <w:uiPriority w:val="51"/>
    <w:semiHidden/>
    <w:rsid w:val="00776AC3"/>
    <w:pPr>
      <w:spacing w:after="0"/>
    </w:pPr>
    <w:rPr>
      <w:color w:val="696464" w:themeColor="accent4" w:themeShade="BF"/>
    </w:rPr>
    <w:tblPr>
      <w:tblStyleRowBandSize w:val="1"/>
      <w:tblStyleColBandSize w:val="1"/>
      <w:tblBorders>
        <w:top w:val="single" w:sz="4" w:space="0" w:color="8C8686" w:themeColor="accent4"/>
        <w:bottom w:val="single" w:sz="4" w:space="0" w:color="8C8686" w:themeColor="accent4"/>
      </w:tblBorders>
    </w:tblPr>
    <w:tblStylePr w:type="firstRow">
      <w:rPr>
        <w:b/>
        <w:bCs/>
      </w:rPr>
      <w:tblPr/>
      <w:tcPr>
        <w:tcBorders>
          <w:bottom w:val="single" w:sz="4" w:space="0" w:color="8C8686" w:themeColor="accent4"/>
        </w:tcBorders>
      </w:tcPr>
    </w:tblStylePr>
    <w:tblStylePr w:type="lastRow">
      <w:rPr>
        <w:b/>
        <w:bCs/>
      </w:rPr>
      <w:tblPr/>
      <w:tcPr>
        <w:tcBorders>
          <w:top w:val="double" w:sz="4" w:space="0" w:color="8C8686" w:themeColor="accent4"/>
        </w:tcBorders>
      </w:tcPr>
    </w:tblStylePr>
    <w:tblStylePr w:type="firstCol">
      <w:rPr>
        <w:b/>
        <w:bCs/>
      </w:rPr>
    </w:tblStylePr>
    <w:tblStylePr w:type="lastCol">
      <w:rPr>
        <w:b/>
        <w:bCs/>
      </w:rPr>
    </w:tblStylePr>
    <w:tblStylePr w:type="band1Vert">
      <w:tblPr/>
      <w:tcPr>
        <w:shd w:val="clear" w:color="auto" w:fill="E8E6E6" w:themeFill="accent4" w:themeFillTint="33"/>
      </w:tcPr>
    </w:tblStylePr>
    <w:tblStylePr w:type="band1Horz">
      <w:tblPr/>
      <w:tcPr>
        <w:shd w:val="clear" w:color="auto" w:fill="E8E6E6" w:themeFill="accent4" w:themeFillTint="33"/>
      </w:tcPr>
    </w:tblStylePr>
  </w:style>
  <w:style w:type="table" w:styleId="ListTable6ColourfulAccent5">
    <w:name w:val="List Table 6 Colorful Accent 5"/>
    <w:basedOn w:val="TableNormal"/>
    <w:uiPriority w:val="51"/>
    <w:semiHidden/>
    <w:rsid w:val="00776AC3"/>
    <w:pPr>
      <w:spacing w:after="0"/>
    </w:pPr>
    <w:rPr>
      <w:color w:val="201F1F" w:themeColor="accent5" w:themeShade="BF"/>
    </w:rPr>
    <w:tblPr>
      <w:tblStyleRowBandSize w:val="1"/>
      <w:tblStyleColBandSize w:val="1"/>
      <w:tblBorders>
        <w:top w:val="single" w:sz="4" w:space="0" w:color="2C2A2A" w:themeColor="accent5"/>
        <w:bottom w:val="single" w:sz="4" w:space="0" w:color="2C2A2A" w:themeColor="accent5"/>
      </w:tblBorders>
    </w:tblPr>
    <w:tblStylePr w:type="firstRow">
      <w:rPr>
        <w:b/>
        <w:bCs/>
      </w:rPr>
      <w:tblPr/>
      <w:tcPr>
        <w:tcBorders>
          <w:bottom w:val="single" w:sz="4" w:space="0" w:color="2C2A2A" w:themeColor="accent5"/>
        </w:tcBorders>
      </w:tcPr>
    </w:tblStylePr>
    <w:tblStylePr w:type="lastRow">
      <w:rPr>
        <w:b/>
        <w:bCs/>
      </w:rPr>
      <w:tblPr/>
      <w:tcPr>
        <w:tcBorders>
          <w:top w:val="double" w:sz="4" w:space="0" w:color="2C2A2A" w:themeColor="accent5"/>
        </w:tcBorders>
      </w:tcPr>
    </w:tblStylePr>
    <w:tblStylePr w:type="firstCol">
      <w:rPr>
        <w:b/>
        <w:bCs/>
      </w:rPr>
    </w:tblStylePr>
    <w:tblStylePr w:type="lastCol">
      <w:rPr>
        <w:b/>
        <w:bCs/>
      </w:rPr>
    </w:tblStylePr>
    <w:tblStylePr w:type="band1Vert">
      <w:tblPr/>
      <w:tcPr>
        <w:shd w:val="clear" w:color="auto" w:fill="D5D3D3" w:themeFill="accent5" w:themeFillTint="33"/>
      </w:tcPr>
    </w:tblStylePr>
    <w:tblStylePr w:type="band1Horz">
      <w:tblPr/>
      <w:tcPr>
        <w:shd w:val="clear" w:color="auto" w:fill="D5D3D3" w:themeFill="accent5" w:themeFillTint="33"/>
      </w:tcPr>
    </w:tblStylePr>
  </w:style>
  <w:style w:type="table" w:styleId="ListTable6ColourfulAccent6">
    <w:name w:val="List Table 6 Colorful Accent 6"/>
    <w:basedOn w:val="TableNormal"/>
    <w:uiPriority w:val="51"/>
    <w:semiHidden/>
    <w:rsid w:val="00776AC3"/>
    <w:pPr>
      <w:spacing w:after="0"/>
    </w:pPr>
    <w:rPr>
      <w:color w:val="370A11" w:themeColor="accent6" w:themeShade="BF"/>
    </w:rPr>
    <w:tblPr>
      <w:tblStyleRowBandSize w:val="1"/>
      <w:tblStyleColBandSize w:val="1"/>
      <w:tblBorders>
        <w:top w:val="single" w:sz="4" w:space="0" w:color="4A0E18" w:themeColor="accent6"/>
        <w:bottom w:val="single" w:sz="4" w:space="0" w:color="4A0E18" w:themeColor="accent6"/>
      </w:tblBorders>
    </w:tblPr>
    <w:tblStylePr w:type="firstRow">
      <w:rPr>
        <w:b/>
        <w:bCs/>
      </w:rPr>
      <w:tblPr/>
      <w:tcPr>
        <w:tcBorders>
          <w:bottom w:val="single" w:sz="4" w:space="0" w:color="4A0E18" w:themeColor="accent6"/>
        </w:tcBorders>
      </w:tcPr>
    </w:tblStylePr>
    <w:tblStylePr w:type="lastRow">
      <w:rPr>
        <w:b/>
        <w:bCs/>
      </w:rPr>
      <w:tblPr/>
      <w:tcPr>
        <w:tcBorders>
          <w:top w:val="double" w:sz="4" w:space="0" w:color="4A0E18" w:themeColor="accent6"/>
        </w:tcBorders>
      </w:tcPr>
    </w:tblStylePr>
    <w:tblStylePr w:type="firstCol">
      <w:rPr>
        <w:b/>
        <w:bCs/>
      </w:rPr>
    </w:tblStylePr>
    <w:tblStylePr w:type="lastCol">
      <w:rPr>
        <w:b/>
        <w:bCs/>
      </w:rPr>
    </w:tblStylePr>
    <w:tblStylePr w:type="band1Vert">
      <w:tblPr/>
      <w:tcPr>
        <w:shd w:val="clear" w:color="auto" w:fill="F1B7C1" w:themeFill="accent6" w:themeFillTint="33"/>
      </w:tcPr>
    </w:tblStylePr>
    <w:tblStylePr w:type="band1Horz">
      <w:tblPr/>
      <w:tcPr>
        <w:shd w:val="clear" w:color="auto" w:fill="F1B7C1" w:themeFill="accent6" w:themeFillTint="33"/>
      </w:tcPr>
    </w:tblStylePr>
  </w:style>
  <w:style w:type="table" w:styleId="ListTable7Colourful">
    <w:name w:val="List Table 7 Colorful"/>
    <w:basedOn w:val="TableNormal"/>
    <w:uiPriority w:val="52"/>
    <w:semiHidden/>
    <w:rsid w:val="00776AC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776AC3"/>
    <w:pPr>
      <w:spacing w:after="0"/>
    </w:pPr>
    <w:rPr>
      <w:color w:val="6D14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1B2F" w:themeColor="accent1"/>
        </w:tcBorders>
        <w:shd w:val="clear" w:color="auto" w:fill="FFFFFF" w:themeFill="background1"/>
      </w:tcPr>
    </w:tblStylePr>
    <w:tblStylePr w:type="band1Vert">
      <w:tblPr/>
      <w:tcPr>
        <w:shd w:val="clear" w:color="auto" w:fill="F4C6CD" w:themeFill="accent1" w:themeFillTint="33"/>
      </w:tcPr>
    </w:tblStylePr>
    <w:tblStylePr w:type="band1Horz">
      <w:tblPr/>
      <w:tcPr>
        <w:shd w:val="clear" w:color="auto" w:fill="F4C6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776AC3"/>
    <w:pPr>
      <w:spacing w:after="0"/>
    </w:pPr>
    <w:rPr>
      <w:color w:val="8A424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5F6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5F6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5F6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5F6D" w:themeColor="accent2"/>
        </w:tcBorders>
        <w:shd w:val="clear" w:color="auto" w:fill="FFFFFF" w:themeFill="background1"/>
      </w:tcPr>
    </w:tblStylePr>
    <w:tblStylePr w:type="band1Vert">
      <w:tblPr/>
      <w:tcPr>
        <w:shd w:val="clear" w:color="auto" w:fill="EFDEE1" w:themeFill="accent2" w:themeFillTint="33"/>
      </w:tcPr>
    </w:tblStylePr>
    <w:tblStylePr w:type="band1Horz">
      <w:tblPr/>
      <w:tcPr>
        <w:shd w:val="clear" w:color="auto" w:fill="EFDE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776AC3"/>
    <w:pPr>
      <w:spacing w:after="0"/>
    </w:pPr>
    <w:rPr>
      <w:color w:val="AFABA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E7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E7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E7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E7E7" w:themeColor="accent3"/>
        </w:tcBorders>
        <w:shd w:val="clear" w:color="auto" w:fill="FFFFFF" w:themeFill="background1"/>
      </w:tcPr>
    </w:tblStylePr>
    <w:tblStylePr w:type="band1Vert">
      <w:tblPr/>
      <w:tcPr>
        <w:shd w:val="clear" w:color="auto" w:fill="FAFAFA" w:themeFill="accent3" w:themeFillTint="33"/>
      </w:tcPr>
    </w:tblStylePr>
    <w:tblStylePr w:type="band1Horz">
      <w:tblPr/>
      <w:tcPr>
        <w:shd w:val="clear" w:color="auto" w:fill="FAFA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776AC3"/>
    <w:pPr>
      <w:spacing w:after="0"/>
    </w:pPr>
    <w:rPr>
      <w:color w:val="6964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868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868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868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8686" w:themeColor="accent4"/>
        </w:tcBorders>
        <w:shd w:val="clear" w:color="auto" w:fill="FFFFFF" w:themeFill="background1"/>
      </w:tcPr>
    </w:tblStylePr>
    <w:tblStylePr w:type="band1Vert">
      <w:tblPr/>
      <w:tcPr>
        <w:shd w:val="clear" w:color="auto" w:fill="E8E6E6" w:themeFill="accent4" w:themeFillTint="33"/>
      </w:tcPr>
    </w:tblStylePr>
    <w:tblStylePr w:type="band1Horz">
      <w:tblPr/>
      <w:tcPr>
        <w:shd w:val="clear" w:color="auto" w:fill="E8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776AC3"/>
    <w:pPr>
      <w:spacing w:after="0"/>
    </w:pPr>
    <w:rPr>
      <w:color w:val="201F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2A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2A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2A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2A2A" w:themeColor="accent5"/>
        </w:tcBorders>
        <w:shd w:val="clear" w:color="auto" w:fill="FFFFFF" w:themeFill="background1"/>
      </w:tcPr>
    </w:tblStylePr>
    <w:tblStylePr w:type="band1Vert">
      <w:tblPr/>
      <w:tcPr>
        <w:shd w:val="clear" w:color="auto" w:fill="D5D3D3" w:themeFill="accent5" w:themeFillTint="33"/>
      </w:tcPr>
    </w:tblStylePr>
    <w:tblStylePr w:type="band1Horz">
      <w:tblPr/>
      <w:tcPr>
        <w:shd w:val="clear" w:color="auto" w:fill="D5D3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776AC3"/>
    <w:pPr>
      <w:spacing w:after="0"/>
    </w:pPr>
    <w:rPr>
      <w:color w:val="370A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0E1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0E1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0E1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0E18" w:themeColor="accent6"/>
        </w:tcBorders>
        <w:shd w:val="clear" w:color="auto" w:fill="FFFFFF" w:themeFill="background1"/>
      </w:tcPr>
    </w:tblStylePr>
    <w:tblStylePr w:type="band1Vert">
      <w:tblPr/>
      <w:tcPr>
        <w:shd w:val="clear" w:color="auto" w:fill="F1B7C1" w:themeFill="accent6" w:themeFillTint="33"/>
      </w:tcPr>
    </w:tblStylePr>
    <w:tblStylePr w:type="band1Horz">
      <w:tblPr/>
      <w:tcPr>
        <w:shd w:val="clear" w:color="auto" w:fill="F1B7C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776AC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776AC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776AC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776AC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776AC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776AC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
    <w:name w:val="Plain Table"/>
    <w:basedOn w:val="TableNormal"/>
    <w:uiPriority w:val="99"/>
    <w:rsid w:val="007E171F"/>
    <w:pPr>
      <w:spacing w:after="0"/>
    </w:pPr>
    <w:tblPr>
      <w:tblStyleRowBandSize w:val="1"/>
      <w:tblBorders>
        <w:top w:val="single" w:sz="4" w:space="0" w:color="931B2F" w:themeColor="background2"/>
        <w:bottom w:val="single" w:sz="4" w:space="0" w:color="931B2F" w:themeColor="background2"/>
        <w:insideH w:val="single" w:sz="4" w:space="0" w:color="931B2F" w:themeColor="background2"/>
      </w:tblBorders>
      <w:tblCellMar>
        <w:top w:w="85" w:type="dxa"/>
        <w:left w:w="85" w:type="dxa"/>
        <w:bottom w:w="85" w:type="dxa"/>
        <w:right w:w="85" w:type="dxa"/>
      </w:tblCellMar>
    </w:tblPr>
    <w:tcPr>
      <w:shd w:val="clear" w:color="auto" w:fill="auto"/>
    </w:tcPr>
    <w:tblStylePr w:type="firstRow">
      <w:pPr>
        <w:wordWrap/>
        <w:spacing w:beforeLines="0" w:before="0" w:beforeAutospacing="0" w:afterLines="0" w:after="0" w:afterAutospacing="0"/>
      </w:pPr>
      <w:rPr>
        <w:color w:val="000000" w:themeColor="text1"/>
      </w:rPr>
    </w:tblStylePr>
    <w:tblStylePr w:type="firstCol">
      <w:tblPr/>
      <w:tcPr>
        <w:shd w:val="clear" w:color="auto" w:fill="F2F2F2" w:themeFill="background1" w:themeFillShade="F2"/>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style>
  <w:style w:type="table" w:customStyle="1" w:styleId="BoxGrid-Black">
    <w:name w:val="Box Grid - Black"/>
    <w:basedOn w:val="TableNormal"/>
    <w:uiPriority w:val="99"/>
    <w:rsid w:val="00776AC3"/>
    <w:pPr>
      <w:spacing w:after="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table" w:customStyle="1" w:styleId="BoxGrid-Coloured">
    <w:name w:val="Box Grid - Coloured"/>
    <w:basedOn w:val="TableNormal"/>
    <w:uiPriority w:val="99"/>
    <w:rsid w:val="00776AC3"/>
    <w:pPr>
      <w:spacing w:after="0"/>
    </w:pPr>
    <w:tblPr>
      <w:tblBorders>
        <w:top w:val="single" w:sz="8" w:space="0" w:color="931B2F" w:themeColor="background2"/>
        <w:left w:val="single" w:sz="8" w:space="0" w:color="931B2F" w:themeColor="background2"/>
        <w:bottom w:val="single" w:sz="8" w:space="0" w:color="931B2F" w:themeColor="background2"/>
        <w:right w:val="single" w:sz="8" w:space="0" w:color="931B2F" w:themeColor="background2"/>
        <w:insideH w:val="single" w:sz="8" w:space="0" w:color="931B2F" w:themeColor="background2"/>
        <w:insideV w:val="single" w:sz="8" w:space="0" w:color="931B2F" w:themeColor="background2"/>
      </w:tblBorders>
      <w:tblCellMar>
        <w:top w:w="85" w:type="dxa"/>
        <w:left w:w="85" w:type="dxa"/>
        <w:bottom w:w="85" w:type="dxa"/>
        <w:right w:w="85" w:type="dxa"/>
      </w:tblCellMar>
    </w:tblPr>
  </w:style>
  <w:style w:type="paragraph" w:customStyle="1" w:styleId="CoverAddress">
    <w:name w:val="Cover Address"/>
    <w:uiPriority w:val="5"/>
    <w:semiHidden/>
    <w:qFormat/>
    <w:rsid w:val="00E501B2"/>
    <w:pPr>
      <w:spacing w:after="0"/>
      <w:jc w:val="center"/>
    </w:pPr>
    <w:rPr>
      <w:rFonts w:asciiTheme="majorHAnsi" w:hAnsiTheme="majorHAnsi"/>
      <w:color w:val="000000" w:themeColor="text1"/>
      <w:sz w:val="16"/>
    </w:rPr>
  </w:style>
  <w:style w:type="paragraph" w:customStyle="1" w:styleId="CoverTitle">
    <w:name w:val="Cover Title"/>
    <w:basedOn w:val="CoverAddress"/>
    <w:uiPriority w:val="5"/>
    <w:semiHidden/>
    <w:qFormat/>
    <w:rsid w:val="008359C2"/>
    <w:pPr>
      <w:jc w:val="left"/>
    </w:pPr>
    <w:rPr>
      <w:caps/>
      <w:color w:val="931B2F" w:themeColor="background2"/>
      <w:sz w:val="72"/>
    </w:rPr>
  </w:style>
  <w:style w:type="paragraph" w:customStyle="1" w:styleId="TableHeadingBlack">
    <w:name w:val="Table Heading Black"/>
    <w:basedOn w:val="TableHeading"/>
    <w:uiPriority w:val="10"/>
    <w:qFormat/>
    <w:rsid w:val="00BE3476"/>
    <w:rPr>
      <w:color w:val="000000" w:themeColor="text1"/>
    </w:rPr>
  </w:style>
  <w:style w:type="paragraph" w:customStyle="1" w:styleId="TOCSubheading">
    <w:name w:val="TOC Subheading"/>
    <w:basedOn w:val="TOCHeading"/>
    <w:uiPriority w:val="5"/>
    <w:semiHidden/>
    <w:qFormat/>
    <w:rsid w:val="001A73D7"/>
    <w:pPr>
      <w:pageBreakBefore w:val="0"/>
      <w:spacing w:after="200"/>
    </w:pPr>
    <w:rPr>
      <w:b w:val="0"/>
      <w:sz w:val="28"/>
    </w:rPr>
  </w:style>
  <w:style w:type="paragraph" w:customStyle="1" w:styleId="SectionTitle">
    <w:name w:val="Section Title"/>
    <w:basedOn w:val="Normal"/>
    <w:next w:val="Normal"/>
    <w:semiHidden/>
    <w:qFormat/>
    <w:rsid w:val="00FD1ACC"/>
    <w:pPr>
      <w:spacing w:before="200" w:after="400" w:line="240" w:lineRule="auto"/>
      <w:outlineLvl w:val="0"/>
    </w:pPr>
    <w:rPr>
      <w:color w:val="931B2F" w:themeColor="background2"/>
      <w:sz w:val="54"/>
    </w:rPr>
  </w:style>
  <w:style w:type="paragraph" w:styleId="ListNumber">
    <w:name w:val="List Number"/>
    <w:basedOn w:val="Normal"/>
    <w:uiPriority w:val="7"/>
    <w:qFormat/>
    <w:rsid w:val="003D0711"/>
    <w:pPr>
      <w:numPr>
        <w:numId w:val="11"/>
      </w:numPr>
      <w:spacing w:before="100" w:after="100"/>
    </w:pPr>
  </w:style>
  <w:style w:type="paragraph" w:customStyle="1" w:styleId="CoverSubtitle">
    <w:name w:val="Cover Subtitle"/>
    <w:basedOn w:val="CoverTitle"/>
    <w:uiPriority w:val="5"/>
    <w:semiHidden/>
    <w:qFormat/>
    <w:rsid w:val="008359C2"/>
    <w:pPr>
      <w:spacing w:before="120" w:after="120"/>
    </w:pPr>
    <w:rPr>
      <w:color w:val="4D4D4D" w:themeColor="text2"/>
      <w:sz w:val="32"/>
    </w:rPr>
  </w:style>
  <w:style w:type="paragraph" w:styleId="ListNumber2">
    <w:name w:val="List Number 2"/>
    <w:basedOn w:val="Normal"/>
    <w:uiPriority w:val="7"/>
    <w:rsid w:val="003D0711"/>
    <w:pPr>
      <w:numPr>
        <w:ilvl w:val="1"/>
        <w:numId w:val="11"/>
      </w:numPr>
      <w:spacing w:before="100" w:after="100"/>
    </w:pPr>
  </w:style>
  <w:style w:type="paragraph" w:customStyle="1" w:styleId="CoverDate">
    <w:name w:val="Cover Date"/>
    <w:basedOn w:val="CoverAddress"/>
    <w:uiPriority w:val="5"/>
    <w:semiHidden/>
    <w:qFormat/>
    <w:rsid w:val="009933E1"/>
    <w:pPr>
      <w:jc w:val="left"/>
    </w:pPr>
    <w:rPr>
      <w:caps/>
      <w:sz w:val="28"/>
    </w:rPr>
  </w:style>
  <w:style w:type="numbering" w:customStyle="1" w:styleId="HeadingsNumbered">
    <w:name w:val="Headings Numbered"/>
    <w:uiPriority w:val="99"/>
    <w:rsid w:val="00087A56"/>
    <w:pPr>
      <w:numPr>
        <w:numId w:val="7"/>
      </w:numPr>
    </w:pPr>
  </w:style>
  <w:style w:type="paragraph" w:styleId="List3">
    <w:name w:val="List 3"/>
    <w:basedOn w:val="Normal"/>
    <w:uiPriority w:val="7"/>
    <w:rsid w:val="003D0711"/>
    <w:pPr>
      <w:numPr>
        <w:ilvl w:val="2"/>
        <w:numId w:val="12"/>
      </w:numPr>
      <w:spacing w:before="100" w:after="100"/>
    </w:pPr>
  </w:style>
  <w:style w:type="paragraph" w:styleId="List4">
    <w:name w:val="List 4"/>
    <w:basedOn w:val="Normal"/>
    <w:uiPriority w:val="7"/>
    <w:semiHidden/>
    <w:locked/>
    <w:rsid w:val="00666E93"/>
    <w:pPr>
      <w:numPr>
        <w:ilvl w:val="7"/>
        <w:numId w:val="8"/>
      </w:numPr>
      <w:spacing w:before="180" w:after="180"/>
      <w:ind w:left="2382" w:hanging="397"/>
    </w:pPr>
  </w:style>
  <w:style w:type="paragraph" w:styleId="ListNumber3">
    <w:name w:val="List Number 3"/>
    <w:basedOn w:val="Normal"/>
    <w:uiPriority w:val="7"/>
    <w:rsid w:val="003D0711"/>
    <w:pPr>
      <w:numPr>
        <w:ilvl w:val="2"/>
        <w:numId w:val="11"/>
      </w:numPr>
      <w:spacing w:before="100" w:after="100"/>
    </w:pPr>
  </w:style>
  <w:style w:type="paragraph" w:customStyle="1" w:styleId="1ptspacer">
    <w:name w:val="1pt spacer"/>
    <w:basedOn w:val="Normal"/>
    <w:uiPriority w:val="2"/>
    <w:semiHidden/>
    <w:rsid w:val="00F25945"/>
    <w:pPr>
      <w:spacing w:after="190" w:line="240" w:lineRule="auto"/>
      <w:contextualSpacing/>
    </w:pPr>
    <w:rPr>
      <w:rFonts w:eastAsia="Calibri" w:cs="Calibri"/>
      <w:color w:val="E8E7E7" w:themeColor="accent3"/>
      <w:sz w:val="2"/>
    </w:rPr>
  </w:style>
  <w:style w:type="paragraph" w:customStyle="1" w:styleId="CaptionTable">
    <w:name w:val="Caption Table"/>
    <w:basedOn w:val="Caption"/>
    <w:uiPriority w:val="8"/>
    <w:qFormat/>
    <w:rsid w:val="006D794C"/>
    <w:pPr>
      <w:keepNext/>
      <w:keepLines/>
    </w:pPr>
    <w:rPr>
      <w:sz w:val="20"/>
    </w:rPr>
  </w:style>
  <w:style w:type="paragraph" w:customStyle="1" w:styleId="CaptionFigure">
    <w:name w:val="Caption Figure"/>
    <w:basedOn w:val="CaptionTable"/>
    <w:uiPriority w:val="8"/>
    <w:qFormat/>
    <w:rsid w:val="006D794C"/>
  </w:style>
  <w:style w:type="paragraph" w:styleId="TableofFigures">
    <w:name w:val="table of figures"/>
    <w:basedOn w:val="Normal"/>
    <w:next w:val="Normal"/>
    <w:uiPriority w:val="99"/>
    <w:unhideWhenUsed/>
    <w:locked/>
    <w:rsid w:val="001A73D7"/>
    <w:pPr>
      <w:tabs>
        <w:tab w:val="left" w:pos="993"/>
        <w:tab w:val="right" w:leader="dot" w:pos="9628"/>
      </w:tabs>
      <w:ind w:left="992" w:hanging="992"/>
      <w:contextualSpacing/>
    </w:pPr>
    <w:rPr>
      <w:rFonts w:eastAsiaTheme="minorEastAsia"/>
      <w:color w:val="auto"/>
      <w:szCs w:val="22"/>
      <w:lang w:eastAsia="en-AU"/>
    </w:rPr>
  </w:style>
  <w:style w:type="paragraph" w:customStyle="1" w:styleId="TableTitle">
    <w:name w:val="Table Title"/>
    <w:basedOn w:val="Caption"/>
    <w:uiPriority w:val="8"/>
    <w:qFormat/>
    <w:rsid w:val="00C41308"/>
    <w:rPr>
      <w:color w:val="931B2F" w:themeColor="background2"/>
    </w:rPr>
  </w:style>
  <w:style w:type="paragraph" w:customStyle="1" w:styleId="NormalSingleSpacing">
    <w:name w:val="Normal Single Spacing"/>
    <w:basedOn w:val="Normal"/>
    <w:uiPriority w:val="5"/>
    <w:qFormat/>
    <w:rsid w:val="008404DE"/>
    <w:pPr>
      <w:spacing w:after="0" w:line="240" w:lineRule="auto"/>
    </w:pPr>
  </w:style>
  <w:style w:type="paragraph" w:styleId="Revision">
    <w:name w:val="Revision"/>
    <w:hidden/>
    <w:uiPriority w:val="99"/>
    <w:semiHidden/>
    <w:rsid w:val="00756EB9"/>
    <w:pPr>
      <w:spacing w:after="0"/>
    </w:pPr>
    <w:rPr>
      <w:color w:val="000000" w:themeColor="text1"/>
      <w:sz w:val="22"/>
    </w:rPr>
  </w:style>
  <w:style w:type="character" w:styleId="Mention">
    <w:name w:val="Mention"/>
    <w:basedOn w:val="DefaultParagraphFont"/>
    <w:uiPriority w:val="99"/>
    <w:unhideWhenUsed/>
    <w:rsid w:val="00756EB9"/>
    <w:rPr>
      <w:color w:val="2B579A"/>
      <w:shd w:val="clear" w:color="auto" w:fill="E1DFDD"/>
    </w:rPr>
  </w:style>
  <w:style w:type="paragraph" w:styleId="NormalWeb">
    <w:name w:val="Normal (Web)"/>
    <w:basedOn w:val="Normal"/>
    <w:uiPriority w:val="99"/>
    <w:unhideWhenUsed/>
    <w:locked/>
    <w:rsid w:val="00756EB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5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dandolo.com.au" TargetMode="External"/><Relationship Id="rId2" Type="http://schemas.openxmlformats.org/officeDocument/2006/relationships/hyperlink" Target="mailto:enquiries@dandolo.com.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4D4D4D"/>
      </a:dk2>
      <a:lt2>
        <a:srgbClr val="931B2F"/>
      </a:lt2>
      <a:accent1>
        <a:srgbClr val="931B2F"/>
      </a:accent1>
      <a:accent2>
        <a:srgbClr val="B35F6D"/>
      </a:accent2>
      <a:accent3>
        <a:srgbClr val="E8E7E7"/>
      </a:accent3>
      <a:accent4>
        <a:srgbClr val="8C8686"/>
      </a:accent4>
      <a:accent5>
        <a:srgbClr val="2C2A2A"/>
      </a:accent5>
      <a:accent6>
        <a:srgbClr val="4A0E18"/>
      </a:accent6>
      <a:hlink>
        <a:srgbClr val="4D4D4D"/>
      </a:hlink>
      <a:folHlink>
        <a:srgbClr val="4D4D4D"/>
      </a:folHlink>
    </a:clrScheme>
    <a:fontScheme name="Custom 2">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lIns="72000" tIns="72000" rIns="72000" bIns="72000" rtlCol="0" anchor="t"/>
      <a:lstStyle/>
      <a:style>
        <a:lnRef idx="2">
          <a:schemeClr val="accent1">
            <a:shade val="50000"/>
          </a:schemeClr>
        </a:lnRef>
        <a:fillRef idx="1">
          <a:schemeClr val="accent1"/>
        </a:fillRef>
        <a:effectRef idx="0">
          <a:schemeClr val="accent1"/>
        </a:effectRef>
        <a:fontRef idx="minor">
          <a:schemeClr val="lt1"/>
        </a:fontRef>
      </a:style>
    </a:spDef>
    <a:lnDef>
      <a:spPr>
        <a:ln w="19050">
          <a:solidFill>
            <a:schemeClr val="bg2"/>
          </a:solidFill>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160d0-1a36-4968-a08d-a55e29b600c8">
      <Terms xmlns="http://schemas.microsoft.com/office/infopath/2007/PartnerControls"/>
    </lcf76f155ced4ddcb4097134ff3c332f>
    <TaxCatchAll xmlns="4dd4594f-ca0f-431e-a7f2-f172611ed3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C3AB5294A4ED4B89C8B4AC44AA6993" ma:contentTypeVersion="15" ma:contentTypeDescription="Create a new document." ma:contentTypeScope="" ma:versionID="01c8c5fa4958bf8589294d9a8bfea1bc">
  <xsd:schema xmlns:xsd="http://www.w3.org/2001/XMLSchema" xmlns:xs="http://www.w3.org/2001/XMLSchema" xmlns:p="http://schemas.microsoft.com/office/2006/metadata/properties" xmlns:ns2="abb160d0-1a36-4968-a08d-a55e29b600c8" xmlns:ns3="4dd4594f-ca0f-431e-a7f2-f172611ed348" targetNamespace="http://schemas.microsoft.com/office/2006/metadata/properties" ma:root="true" ma:fieldsID="f6d4a3e671333af5125ba5a3608c3441" ns2:_="" ns3:_="">
    <xsd:import namespace="abb160d0-1a36-4968-a08d-a55e29b600c8"/>
    <xsd:import namespace="4dd4594f-ca0f-431e-a7f2-f172611ed3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160d0-1a36-4968-a08d-a55e29b60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09a306-d64c-4941-b091-ffdf9c9a5d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d4594f-ca0f-431e-a7f2-f172611ed3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9cd73c-ff22-4060-8ac3-eee995122fcd}" ma:internalName="TaxCatchAll" ma:showField="CatchAllData" ma:web="4dd4594f-ca0f-431e-a7f2-f172611ed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03CEA-04C5-4024-8C7A-05CEAD0D786B}">
  <ds:schemaRefs>
    <ds:schemaRef ds:uri="http://schemas.openxmlformats.org/officeDocument/2006/bibliography"/>
  </ds:schemaRefs>
</ds:datastoreItem>
</file>

<file path=customXml/itemProps2.xml><?xml version="1.0" encoding="utf-8"?>
<ds:datastoreItem xmlns:ds="http://schemas.openxmlformats.org/officeDocument/2006/customXml" ds:itemID="{D5D33939-B456-40C0-B3A2-BF3DB308C5D2}">
  <ds:schemaRefs>
    <ds:schemaRef ds:uri="http://schemas.microsoft.com/office/2006/metadata/properties"/>
    <ds:schemaRef ds:uri="http://schemas.microsoft.com/office/infopath/2007/PartnerControls"/>
    <ds:schemaRef ds:uri="abb160d0-1a36-4968-a08d-a55e29b600c8"/>
    <ds:schemaRef ds:uri="4dd4594f-ca0f-431e-a7f2-f172611ed348"/>
  </ds:schemaRefs>
</ds:datastoreItem>
</file>

<file path=customXml/itemProps3.xml><?xml version="1.0" encoding="utf-8"?>
<ds:datastoreItem xmlns:ds="http://schemas.openxmlformats.org/officeDocument/2006/customXml" ds:itemID="{025AB00D-49E6-457A-8595-4ABE1DA54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160d0-1a36-4968-a08d-a55e29b600c8"/>
    <ds:schemaRef ds:uri="4dd4594f-ca0f-431e-a7f2-f172611ed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EFAE01-0B8D-4CC4-8C3F-61C28027F446}">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5416</Words>
  <Characters>30876</Characters>
  <Application>Microsoft Office Word</Application>
  <DocSecurity>0</DocSecurity>
  <Lines>257</Lines>
  <Paragraphs>72</Paragraphs>
  <ScaleCrop>false</ScaleCrop>
  <Manager/>
  <Company/>
  <LinksUpToDate>false</LinksUpToDate>
  <CharactersWithSpaces>36220</CharactersWithSpaces>
  <SharedDoc>false</SharedDoc>
  <HLinks>
    <vt:vector size="12" baseType="variant">
      <vt:variant>
        <vt:i4>6357027</vt:i4>
      </vt:variant>
      <vt:variant>
        <vt:i4>6</vt:i4>
      </vt:variant>
      <vt:variant>
        <vt:i4>0</vt:i4>
      </vt:variant>
      <vt:variant>
        <vt:i4>5</vt:i4>
      </vt:variant>
      <vt:variant>
        <vt:lpwstr>http://www.dandolo.com.au/</vt:lpwstr>
      </vt:variant>
      <vt:variant>
        <vt:lpwstr/>
      </vt:variant>
      <vt:variant>
        <vt:i4>6291456</vt:i4>
      </vt:variant>
      <vt:variant>
        <vt:i4>3</vt:i4>
      </vt:variant>
      <vt:variant>
        <vt:i4>0</vt:i4>
      </vt:variant>
      <vt:variant>
        <vt:i4>5</vt:i4>
      </vt:variant>
      <vt:variant>
        <vt:lpwstr>mailto:enquiries@dandolo.com.au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Mid-Career pathways</dc:title>
  <dc:subject>document subtitle</dc:subject>
  <dc:creator>Tom Antoniazzi</dc:creator>
  <cp:keywords/>
  <cp:lastModifiedBy>Nadya Fauzia</cp:lastModifiedBy>
  <cp:revision>2</cp:revision>
  <dcterms:created xsi:type="dcterms:W3CDTF">2023-02-10T07:22:00Z</dcterms:created>
  <dcterms:modified xsi:type="dcterms:W3CDTF">2023-02-10T07:22:00Z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0x010100A18FCC1DD3B52A4AAD1B5A6B7CC64925</vt:lpwstr>
  </property>
  <property fmtid="{D5CDD505-2E9C-101B-9397-08002B2CF9AE}" pid="3" name="MediaServiceImageTags">
    <vt:lpwstr/>
  </property>
</Properties>
</file>