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51E" w14:textId="0B4938BC" w:rsidR="00701992" w:rsidRPr="005B646E" w:rsidRDefault="00E74CEE" w:rsidP="00DB496C">
      <w:pPr>
        <w:pStyle w:val="Title"/>
      </w:pPr>
      <w:sdt>
        <w:sdtPr>
          <w:alias w:val="Title"/>
          <w:tag w:val=""/>
          <w:id w:val="235758238"/>
          <w:placeholder>
            <w:docPart w:val="ABA11F226F15423CAB9FA73E12ED3C18"/>
          </w:placeholder>
          <w:dataBinding w:prefixMappings="xmlns:ns0='http://purl.org/dc/elements/1.1/' xmlns:ns1='http://schemas.openxmlformats.org/package/2006/metadata/core-properties' " w:xpath="/ns1:coreProperties[1]/ns0:title[1]" w:storeItemID="{6C3C8BC8-F283-45AE-878A-BAB7291924A1}"/>
          <w:text/>
        </w:sdtPr>
        <w:sdtEndPr/>
        <w:sdtContent>
          <w:r w:rsidR="00BB186A" w:rsidRPr="005B646E">
            <w:t xml:space="preserve">Incorporating evidence-based teaching practices into </w:t>
          </w:r>
          <w:r w:rsidR="003168D5" w:rsidRPr="005B646E">
            <w:t>ITE</w:t>
          </w:r>
        </w:sdtContent>
      </w:sdt>
      <w:r w:rsidR="00676926" w:rsidRPr="005B646E">
        <w:rPr>
          <w:sz w:val="72"/>
        </w:rPr>
        <w:t xml:space="preserve"> </w:t>
      </w:r>
    </w:p>
    <w:p w14:paraId="50470EE8" w14:textId="12E68F0E" w:rsidR="008958C3" w:rsidRPr="005B646E" w:rsidRDefault="00B31E59" w:rsidP="001A788F">
      <w:pPr>
        <w:pStyle w:val="Subtitle"/>
      </w:pPr>
      <w:r w:rsidRPr="005B646E">
        <w:t>Project</w:t>
      </w:r>
      <w:r w:rsidR="00BB186A" w:rsidRPr="005B646E">
        <w:t xml:space="preserve"> 2</w:t>
      </w:r>
    </w:p>
    <w:p w14:paraId="5113C068" w14:textId="3ED7255D" w:rsidR="00832B7C" w:rsidRPr="005B646E" w:rsidRDefault="00503E6A" w:rsidP="00171F66">
      <w:pPr>
        <w:pStyle w:val="Date"/>
      </w:pPr>
      <w:r>
        <w:t>February 2023</w:t>
      </w:r>
    </w:p>
    <w:p w14:paraId="7203B22A" w14:textId="1E27F37F" w:rsidR="00D11271" w:rsidRDefault="002F3725" w:rsidP="00171F66">
      <w:pPr>
        <w:pStyle w:val="Introduction"/>
        <w:spacing w:before="0"/>
      </w:pPr>
      <w:r>
        <w:t xml:space="preserve">This report </w:t>
      </w:r>
      <w:r w:rsidR="002754E8">
        <w:t xml:space="preserve">identifies the principles and characteristics necessary for </w:t>
      </w:r>
      <w:r w:rsidR="00B76371">
        <w:t>Initial Teacher Education (ITE)</w:t>
      </w:r>
      <w:r w:rsidR="002754E8">
        <w:t xml:space="preserve"> programs to embed evidence-based </w:t>
      </w:r>
      <w:r w:rsidR="004A4E5A">
        <w:t>t</w:t>
      </w:r>
      <w:r w:rsidR="00E05969">
        <w:t xml:space="preserve">eaching </w:t>
      </w:r>
      <w:r w:rsidR="002754E8">
        <w:t>practice</w:t>
      </w:r>
      <w:r w:rsidR="00E05969">
        <w:t>s</w:t>
      </w:r>
      <w:r w:rsidR="002754E8">
        <w:t>.</w:t>
      </w:r>
      <w:r>
        <w:t xml:space="preserve"> A</w:t>
      </w:r>
      <w:r w:rsidR="00095CD1">
        <w:t>ERO conducted a</w:t>
      </w:r>
      <w:r>
        <w:t>n umbrella desktop review of published sources</w:t>
      </w:r>
      <w:r w:rsidR="00095CD1">
        <w:t xml:space="preserve"> and identified</w:t>
      </w:r>
      <w:r w:rsidR="0003775C">
        <w:t xml:space="preserve"> </w:t>
      </w:r>
      <w:r w:rsidR="004903DF">
        <w:t>five</w:t>
      </w:r>
      <w:r w:rsidR="00D22606">
        <w:t xml:space="preserve"> ‘best practice’ principles</w:t>
      </w:r>
      <w:r w:rsidR="003A19FA">
        <w:t xml:space="preserve"> </w:t>
      </w:r>
      <w:r w:rsidR="00603468">
        <w:t xml:space="preserve">from the evidence: </w:t>
      </w:r>
      <w:r w:rsidR="0074013F">
        <w:t xml:space="preserve">Vision, </w:t>
      </w:r>
      <w:r w:rsidR="00696CDB">
        <w:t>Content</w:t>
      </w:r>
      <w:r w:rsidR="0074013F">
        <w:t>, Pedagogy, Assessment and Partnerships</w:t>
      </w:r>
      <w:r w:rsidR="00603468">
        <w:t>.</w:t>
      </w:r>
      <w:r w:rsidR="00095CD1">
        <w:t xml:space="preserve"> </w:t>
      </w:r>
      <w:r w:rsidR="00603468">
        <w:t>Th</w:t>
      </w:r>
      <w:r w:rsidR="00D22E17">
        <w:t>is</w:t>
      </w:r>
      <w:r w:rsidR="00D11271" w:rsidRPr="00D11271">
        <w:t xml:space="preserve"> </w:t>
      </w:r>
      <w:r w:rsidR="00D11271">
        <w:t>report</w:t>
      </w:r>
      <w:r w:rsidR="00D11271" w:rsidRPr="00D11271">
        <w:t xml:space="preserve"> </w:t>
      </w:r>
      <w:r w:rsidR="00F514CD">
        <w:t>presents</w:t>
      </w:r>
      <w:r w:rsidR="00D11271" w:rsidRPr="00D11271">
        <w:t xml:space="preserve"> the evidence base</w:t>
      </w:r>
      <w:r w:rsidR="00D4145C">
        <w:t xml:space="preserve"> and</w:t>
      </w:r>
      <w:r w:rsidR="00DC2984">
        <w:t xml:space="preserve"> </w:t>
      </w:r>
      <w:r w:rsidR="00D11271" w:rsidRPr="00D11271">
        <w:t xml:space="preserve">value </w:t>
      </w:r>
      <w:r w:rsidR="006754F1">
        <w:t>for</w:t>
      </w:r>
      <w:r w:rsidR="00D11271" w:rsidRPr="00D11271">
        <w:t xml:space="preserve"> </w:t>
      </w:r>
      <w:r w:rsidR="00255119">
        <w:t>each</w:t>
      </w:r>
      <w:r w:rsidR="00D11271" w:rsidRPr="00D11271">
        <w:t xml:space="preserve"> principle</w:t>
      </w:r>
      <w:r w:rsidR="00D43E4A">
        <w:t xml:space="preserve">, </w:t>
      </w:r>
      <w:r w:rsidR="006754F1">
        <w:t xml:space="preserve">followed by </w:t>
      </w:r>
      <w:r w:rsidR="008B7BD3">
        <w:t>a</w:t>
      </w:r>
      <w:r w:rsidR="00D11271" w:rsidRPr="00D11271">
        <w:t xml:space="preserve">lignment with </w:t>
      </w:r>
      <w:r w:rsidR="008B7BD3">
        <w:t xml:space="preserve">the </w:t>
      </w:r>
      <w:r w:rsidR="00D11271" w:rsidRPr="00D11271">
        <w:t xml:space="preserve">National Program Standards </w:t>
      </w:r>
      <w:r w:rsidR="008B7BD3">
        <w:t xml:space="preserve">for accreditation and potential considerations for the </w:t>
      </w:r>
      <w:r w:rsidR="0032221E">
        <w:t>p</w:t>
      </w:r>
      <w:r w:rsidR="008B7BD3">
        <w:t>anel</w:t>
      </w:r>
      <w:r w:rsidR="00D11271" w:rsidRPr="00D11271">
        <w:t>.</w:t>
      </w:r>
    </w:p>
    <w:p w14:paraId="22E6C7F2" w14:textId="7BAB5358" w:rsidR="00AF0D58" w:rsidRPr="005B646E" w:rsidRDefault="00980CE3" w:rsidP="00171F66">
      <w:pPr>
        <w:pStyle w:val="Heading1"/>
      </w:pPr>
      <w:r w:rsidRPr="005B646E">
        <w:t>Background</w:t>
      </w:r>
      <w:r w:rsidR="00503E6A">
        <w:tab/>
      </w:r>
    </w:p>
    <w:p w14:paraId="67C6B4B5" w14:textId="65C721FC" w:rsidR="00325DC3" w:rsidRDefault="00325DC3" w:rsidP="00325DC3">
      <w:r>
        <w:t xml:space="preserve">The Teacher Education Expert Panel has been established to </w:t>
      </w:r>
      <w:r w:rsidRPr="007B1DF5">
        <w:t xml:space="preserve">provide advice on key issues raised at the Teacher Workforce Shortage Roundtable and in the Report of the Quality Initial Teacher Education </w:t>
      </w:r>
      <w:r w:rsidR="00B05D97">
        <w:t xml:space="preserve">(QITE) </w:t>
      </w:r>
      <w:r w:rsidRPr="007B1DF5">
        <w:t>Review</w:t>
      </w:r>
      <w:r>
        <w:t xml:space="preserve">. </w:t>
      </w:r>
    </w:p>
    <w:p w14:paraId="044475AD" w14:textId="6F8FCC3B" w:rsidR="008731B8" w:rsidRDefault="00775F02" w:rsidP="008731B8">
      <w:r w:rsidRPr="005B646E">
        <w:t xml:space="preserve">This report has been produced </w:t>
      </w:r>
      <w:r w:rsidR="00115D02">
        <w:t>for</w:t>
      </w:r>
      <w:r w:rsidRPr="005B646E">
        <w:t xml:space="preserve"> Project 2 </w:t>
      </w:r>
      <w:r>
        <w:t>of the Teacher Education Expert Panel</w:t>
      </w:r>
      <w:r w:rsidR="00DC1CC8">
        <w:t xml:space="preserve">, which </w:t>
      </w:r>
      <w:r w:rsidR="00190F26">
        <w:t xml:space="preserve">focuses on </w:t>
      </w:r>
      <w:r w:rsidR="00DC1CC8">
        <w:t>strengthening ITE programs to deliver</w:t>
      </w:r>
      <w:r w:rsidR="0035724B">
        <w:t xml:space="preserve"> </w:t>
      </w:r>
      <w:r w:rsidR="005848EA">
        <w:t>confident, effective, classroom-ready graduates</w:t>
      </w:r>
      <w:r w:rsidR="003A0DE4">
        <w:t xml:space="preserve"> [Recommendation 7 from the Report of the </w:t>
      </w:r>
      <w:r w:rsidR="00B012BE">
        <w:t xml:space="preserve">QITE </w:t>
      </w:r>
      <w:r w:rsidR="003A0DE4">
        <w:t>Review].</w:t>
      </w:r>
    </w:p>
    <w:p w14:paraId="5A802622" w14:textId="12683927" w:rsidR="00980CE3" w:rsidRPr="005B646E" w:rsidRDefault="00980CE3" w:rsidP="00171F66">
      <w:pPr>
        <w:pStyle w:val="Heading2"/>
      </w:pPr>
      <w:r>
        <w:t>Scope for this report</w:t>
      </w:r>
    </w:p>
    <w:tbl>
      <w:tblPr>
        <w:tblStyle w:val="TableGridLight"/>
        <w:tblpPr w:leftFromText="180" w:rightFromText="180" w:vertAnchor="text" w:horzAnchor="margin" w:tblpY="308"/>
        <w:tblW w:w="0" w:type="auto"/>
        <w:tblLook w:val="04A0" w:firstRow="1" w:lastRow="0" w:firstColumn="1" w:lastColumn="0" w:noHBand="0" w:noVBand="1"/>
      </w:tblPr>
      <w:tblGrid>
        <w:gridCol w:w="9629"/>
      </w:tblGrid>
      <w:tr w:rsidR="00980CE3" w:rsidRPr="005B646E" w14:paraId="17637893" w14:textId="77777777" w:rsidTr="00E9201A">
        <w:trPr>
          <w:cnfStyle w:val="100000000000" w:firstRow="1" w:lastRow="0" w:firstColumn="0" w:lastColumn="0" w:oddVBand="0" w:evenVBand="0" w:oddHBand="0" w:evenHBand="0" w:firstRowFirstColumn="0" w:firstRowLastColumn="0" w:lastRowFirstColumn="0" w:lastRowLastColumn="0"/>
          <w:tblHeader w:val="0"/>
        </w:trPr>
        <w:tc>
          <w:tcPr>
            <w:tcW w:w="9629" w:type="dxa"/>
          </w:tcPr>
          <w:p w14:paraId="5C432807" w14:textId="6AE87E7E" w:rsidR="00980CE3" w:rsidRPr="005B646E" w:rsidRDefault="00B31E59">
            <w:pPr>
              <w:suppressAutoHyphens w:val="0"/>
              <w:spacing w:before="0" w:line="259" w:lineRule="auto"/>
            </w:pPr>
            <w:r w:rsidRPr="005B646E">
              <w:t>Project</w:t>
            </w:r>
            <w:r w:rsidR="00980CE3" w:rsidRPr="005B646E">
              <w:t xml:space="preserve"> 2: Incorporating evidence-based teaching practices into ITE</w:t>
            </w:r>
          </w:p>
        </w:tc>
      </w:tr>
      <w:tr w:rsidR="00980CE3" w:rsidRPr="005B646E" w14:paraId="75EAD2F2" w14:textId="77777777" w:rsidTr="00980CE3">
        <w:trPr>
          <w:trHeight w:val="2015"/>
        </w:trPr>
        <w:tc>
          <w:tcPr>
            <w:tcW w:w="9629" w:type="dxa"/>
          </w:tcPr>
          <w:p w14:paraId="00053686" w14:textId="77777777" w:rsidR="00573E32" w:rsidRPr="005B646E" w:rsidRDefault="00573E32" w:rsidP="00171F66">
            <w:pPr>
              <w:spacing w:before="0"/>
            </w:pPr>
            <w:r w:rsidRPr="005B646E">
              <w:t>Key questions that should be considered when conducting the research:</w:t>
            </w:r>
          </w:p>
          <w:p w14:paraId="6309567E" w14:textId="77777777" w:rsidR="00573E32" w:rsidRPr="005B646E" w:rsidRDefault="00573E32" w:rsidP="00AF15D4">
            <w:pPr>
              <w:pStyle w:val="ListParagraph"/>
              <w:numPr>
                <w:ilvl w:val="0"/>
                <w:numId w:val="7"/>
              </w:numPr>
            </w:pPr>
            <w:r w:rsidRPr="005B646E">
              <w:t xml:space="preserve">What does the research tell us about the best way to embed evidence-based teaching practices into ITE delivery?  </w:t>
            </w:r>
          </w:p>
          <w:p w14:paraId="7848193B" w14:textId="77777777" w:rsidR="00573E32" w:rsidRPr="005B646E" w:rsidRDefault="00573E32" w:rsidP="00573E32">
            <w:r w:rsidRPr="005B646E">
              <w:t>The final report should:</w:t>
            </w:r>
          </w:p>
          <w:p w14:paraId="00FCE4FF" w14:textId="77777777" w:rsidR="00573E32" w:rsidRPr="005B646E" w:rsidRDefault="00573E32" w:rsidP="00AF15D4">
            <w:pPr>
              <w:pStyle w:val="ListParagraph"/>
              <w:numPr>
                <w:ilvl w:val="0"/>
                <w:numId w:val="7"/>
              </w:numPr>
            </w:pPr>
            <w:r w:rsidRPr="005B646E">
              <w:t xml:space="preserve">Provide a summary of available research on how to best embed evidence-based teaching practices in ITE, including common characteristics of </w:t>
            </w:r>
            <w:r w:rsidRPr="005B646E">
              <w:lastRenderedPageBreak/>
              <w:t>Australian and international ITE institutions focused on embedding evidence-based teaching practices.</w:t>
            </w:r>
          </w:p>
          <w:p w14:paraId="5E1565AF" w14:textId="00E9C828" w:rsidR="00980CE3" w:rsidRPr="005B646E" w:rsidRDefault="00573E32" w:rsidP="00AF15D4">
            <w:pPr>
              <w:pStyle w:val="ListParagraph"/>
              <w:numPr>
                <w:ilvl w:val="0"/>
                <w:numId w:val="7"/>
              </w:numPr>
            </w:pPr>
            <w:r w:rsidRPr="005B646E">
              <w:t>Provide a summary of learnings for Australian ITE, including case studies (as appropriate).</w:t>
            </w:r>
          </w:p>
        </w:tc>
      </w:tr>
    </w:tbl>
    <w:p w14:paraId="71445A64" w14:textId="77777777" w:rsidR="00464C20" w:rsidRPr="005B646E" w:rsidRDefault="00464C20" w:rsidP="00171F66">
      <w:pPr>
        <w:pStyle w:val="Heading2"/>
      </w:pPr>
      <w:r w:rsidRPr="005B646E">
        <w:lastRenderedPageBreak/>
        <w:t>Purpose</w:t>
      </w:r>
    </w:p>
    <w:p w14:paraId="31E8AE37" w14:textId="148575C6" w:rsidR="00EE5FEB" w:rsidRDefault="005B1570" w:rsidP="00BB2CDB">
      <w:pPr>
        <w:rPr>
          <w:rFonts w:eastAsia="Arial"/>
        </w:rPr>
      </w:pPr>
      <w:r w:rsidRPr="005B646E">
        <w:t>This report reviews the evidence around embedding evidence-based teaching practices into ITE programs</w:t>
      </w:r>
      <w:r w:rsidR="00BA7028">
        <w:t xml:space="preserve">. </w:t>
      </w:r>
      <w:r w:rsidR="00FC0069" w:rsidRPr="005B646E">
        <w:rPr>
          <w:rFonts w:eastAsia="Arial"/>
        </w:rPr>
        <w:t>R</w:t>
      </w:r>
      <w:r w:rsidR="000B5620" w:rsidRPr="005B646E">
        <w:rPr>
          <w:rFonts w:eastAsia="Arial"/>
        </w:rPr>
        <w:t xml:space="preserve">esearch conducted for </w:t>
      </w:r>
      <w:r w:rsidR="00B31E59" w:rsidRPr="005B646E">
        <w:rPr>
          <w:rFonts w:eastAsia="Arial"/>
        </w:rPr>
        <w:t>Project</w:t>
      </w:r>
      <w:r w:rsidR="000B5620" w:rsidRPr="005B646E">
        <w:rPr>
          <w:rFonts w:eastAsia="Arial"/>
        </w:rPr>
        <w:t xml:space="preserve"> 2 </w:t>
      </w:r>
      <w:r w:rsidR="00DE6945">
        <w:rPr>
          <w:rFonts w:eastAsia="Arial"/>
        </w:rPr>
        <w:t>identifies</w:t>
      </w:r>
      <w:r w:rsidR="00B31E59" w:rsidRPr="005B646E">
        <w:rPr>
          <w:rFonts w:eastAsia="Arial"/>
        </w:rPr>
        <w:t xml:space="preserve"> the key principles and characteristics that support ITE </w:t>
      </w:r>
      <w:r w:rsidR="004575C3">
        <w:rPr>
          <w:rFonts w:eastAsia="Arial"/>
        </w:rPr>
        <w:t>providers</w:t>
      </w:r>
      <w:r w:rsidR="00B31E59" w:rsidRPr="005B646E">
        <w:rPr>
          <w:rFonts w:eastAsia="Arial"/>
        </w:rPr>
        <w:t xml:space="preserve"> to embed evidence-based teaching practices</w:t>
      </w:r>
      <w:r w:rsidR="004575C3">
        <w:rPr>
          <w:rFonts w:eastAsia="Arial"/>
        </w:rPr>
        <w:t xml:space="preserve"> into program design and delivery</w:t>
      </w:r>
      <w:r w:rsidR="00B31E59" w:rsidRPr="005B646E">
        <w:rPr>
          <w:rFonts w:eastAsia="Arial"/>
        </w:rPr>
        <w:t>.</w:t>
      </w:r>
      <w:r w:rsidR="002A7807">
        <w:rPr>
          <w:rFonts w:eastAsia="Arial"/>
        </w:rPr>
        <w:t xml:space="preserve"> This </w:t>
      </w:r>
      <w:r w:rsidR="00447EA4">
        <w:rPr>
          <w:rFonts w:eastAsia="Arial"/>
        </w:rPr>
        <w:t xml:space="preserve">is considered in relation to the </w:t>
      </w:r>
      <w:r w:rsidR="00613340">
        <w:rPr>
          <w:rFonts w:eastAsia="Arial"/>
        </w:rPr>
        <w:t xml:space="preserve">current </w:t>
      </w:r>
      <w:r w:rsidR="00447EA4" w:rsidRPr="005B646E">
        <w:rPr>
          <w:rFonts w:eastAsia="Arial"/>
        </w:rPr>
        <w:t>National Program Standards</w:t>
      </w:r>
      <w:r w:rsidR="00447EA4">
        <w:rPr>
          <w:rFonts w:eastAsia="Arial"/>
        </w:rPr>
        <w:t xml:space="preserve"> </w:t>
      </w:r>
      <w:r w:rsidR="00EA6129">
        <w:rPr>
          <w:rFonts w:eastAsia="Arial"/>
        </w:rPr>
        <w:t xml:space="preserve">for accreditation </w:t>
      </w:r>
      <w:r w:rsidR="00447EA4">
        <w:rPr>
          <w:rFonts w:eastAsia="Arial"/>
        </w:rPr>
        <w:t xml:space="preserve">(Program Standards) </w:t>
      </w:r>
      <w:r w:rsidR="00D067AA">
        <w:rPr>
          <w:rFonts w:eastAsia="Arial"/>
        </w:rPr>
        <w:t xml:space="preserve">and </w:t>
      </w:r>
      <w:r w:rsidR="00562145">
        <w:rPr>
          <w:rFonts w:eastAsia="Arial"/>
        </w:rPr>
        <w:t xml:space="preserve">the </w:t>
      </w:r>
      <w:r w:rsidR="00D067AA">
        <w:rPr>
          <w:rFonts w:eastAsia="Arial"/>
        </w:rPr>
        <w:t xml:space="preserve">Australian Professional Standards for Teachers (Teacher Standards) </w:t>
      </w:r>
      <w:r w:rsidR="00447EA4">
        <w:rPr>
          <w:rFonts w:eastAsia="Arial"/>
        </w:rPr>
        <w:t xml:space="preserve">to determine </w:t>
      </w:r>
      <w:r w:rsidR="002A7175">
        <w:rPr>
          <w:rFonts w:eastAsia="Arial"/>
        </w:rPr>
        <w:t>if</w:t>
      </w:r>
      <w:r w:rsidR="003B5178">
        <w:rPr>
          <w:rFonts w:eastAsia="Arial"/>
        </w:rPr>
        <w:t xml:space="preserve"> the existing </w:t>
      </w:r>
      <w:r w:rsidR="00D1365F">
        <w:rPr>
          <w:rFonts w:eastAsia="Arial"/>
        </w:rPr>
        <w:t>Program Standards for accreditation</w:t>
      </w:r>
      <w:r w:rsidR="002A7175">
        <w:rPr>
          <w:rFonts w:eastAsia="Arial"/>
        </w:rPr>
        <w:t xml:space="preserve"> are fit for purpose.</w:t>
      </w:r>
      <w:r w:rsidR="00EE5FEB">
        <w:rPr>
          <w:rFonts w:eastAsia="Arial"/>
        </w:rPr>
        <w:t xml:space="preserve"> </w:t>
      </w:r>
    </w:p>
    <w:p w14:paraId="00BBC041" w14:textId="2868A110" w:rsidR="00B6678B" w:rsidRPr="005B646E" w:rsidRDefault="00BB186A" w:rsidP="00171F66">
      <w:pPr>
        <w:pStyle w:val="Heading2"/>
      </w:pPr>
      <w:r w:rsidRPr="005B646E">
        <w:t>Methodology</w:t>
      </w:r>
    </w:p>
    <w:p w14:paraId="11370642" w14:textId="21EA0CD4" w:rsidR="00676926" w:rsidRPr="005B646E" w:rsidRDefault="00803794" w:rsidP="00676926">
      <w:pPr>
        <w:rPr>
          <w:rFonts w:eastAsia="Arial"/>
        </w:rPr>
      </w:pPr>
      <w:r w:rsidRPr="005B646E">
        <w:rPr>
          <w:rFonts w:eastAsia="Arial"/>
        </w:rPr>
        <w:t>A</w:t>
      </w:r>
      <w:r w:rsidR="009F3D3D">
        <w:rPr>
          <w:rFonts w:eastAsia="Arial"/>
        </w:rPr>
        <w:t>n umbrella</w:t>
      </w:r>
      <w:r w:rsidRPr="005B646E">
        <w:rPr>
          <w:rFonts w:eastAsia="Arial"/>
        </w:rPr>
        <w:t xml:space="preserve"> desktop review </w:t>
      </w:r>
      <w:r w:rsidR="002C7B54" w:rsidRPr="005B646E">
        <w:rPr>
          <w:rFonts w:eastAsia="Arial"/>
        </w:rPr>
        <w:t xml:space="preserve">of published sources (academic papers and grey literature) </w:t>
      </w:r>
      <w:r w:rsidRPr="005B646E">
        <w:rPr>
          <w:rFonts w:eastAsia="Arial"/>
        </w:rPr>
        <w:t xml:space="preserve">was </w:t>
      </w:r>
      <w:r w:rsidR="00CE4A58" w:rsidRPr="005B646E">
        <w:rPr>
          <w:rFonts w:eastAsia="Arial"/>
        </w:rPr>
        <w:t>undertaken to identify</w:t>
      </w:r>
      <w:r w:rsidR="002C7B54" w:rsidRPr="005B646E">
        <w:rPr>
          <w:rFonts w:eastAsia="Arial"/>
        </w:rPr>
        <w:t xml:space="preserve"> </w:t>
      </w:r>
      <w:r w:rsidRPr="005B646E">
        <w:rPr>
          <w:rFonts w:eastAsia="Arial"/>
        </w:rPr>
        <w:t>the key principles and characteristics that support ITE programs to embed evidence-based teaching practices</w:t>
      </w:r>
      <w:r w:rsidR="002C7B54" w:rsidRPr="005B646E">
        <w:rPr>
          <w:rFonts w:eastAsia="Arial"/>
        </w:rPr>
        <w:t xml:space="preserve">, including common </w:t>
      </w:r>
      <w:r w:rsidR="00600C80">
        <w:rPr>
          <w:rFonts w:eastAsia="Arial"/>
        </w:rPr>
        <w:t>features</w:t>
      </w:r>
      <w:r w:rsidR="00600C80" w:rsidRPr="005B646E">
        <w:rPr>
          <w:rFonts w:eastAsia="Arial"/>
        </w:rPr>
        <w:t xml:space="preserve"> </w:t>
      </w:r>
      <w:r w:rsidR="002C7B54" w:rsidRPr="005B646E">
        <w:rPr>
          <w:rFonts w:eastAsia="Arial"/>
        </w:rPr>
        <w:t xml:space="preserve">of </w:t>
      </w:r>
      <w:r w:rsidR="00CE4A58" w:rsidRPr="005B646E">
        <w:rPr>
          <w:rFonts w:eastAsia="Arial"/>
        </w:rPr>
        <w:t xml:space="preserve">high quality </w:t>
      </w:r>
      <w:r w:rsidR="002C7B54" w:rsidRPr="005B646E">
        <w:rPr>
          <w:rFonts w:eastAsia="Arial"/>
        </w:rPr>
        <w:t xml:space="preserve">Australian and international ITE </w:t>
      </w:r>
      <w:r w:rsidR="00CE4A58" w:rsidRPr="005B646E">
        <w:rPr>
          <w:rFonts w:eastAsia="Arial"/>
        </w:rPr>
        <w:t>programs</w:t>
      </w:r>
      <w:r w:rsidRPr="005B646E">
        <w:rPr>
          <w:rFonts w:eastAsia="Arial"/>
        </w:rPr>
        <w:t>.</w:t>
      </w:r>
      <w:r w:rsidR="00AE2964" w:rsidRPr="005B646E">
        <w:rPr>
          <w:rFonts w:eastAsia="Arial"/>
        </w:rPr>
        <w:t xml:space="preserve"> </w:t>
      </w:r>
      <w:r w:rsidR="00302977" w:rsidRPr="00302977">
        <w:rPr>
          <w:rFonts w:eastAsia="Arial"/>
        </w:rPr>
        <w:t xml:space="preserve">Three desktop case studies </w:t>
      </w:r>
      <w:r w:rsidR="00210BAD">
        <w:rPr>
          <w:rFonts w:eastAsia="Arial"/>
        </w:rPr>
        <w:t xml:space="preserve">have been developed to provide examples of </w:t>
      </w:r>
      <w:r w:rsidR="00302977" w:rsidRPr="00302977">
        <w:rPr>
          <w:rFonts w:eastAsia="Arial"/>
        </w:rPr>
        <w:t>how these principles have been embedded in practice.​</w:t>
      </w:r>
    </w:p>
    <w:p w14:paraId="0F1190BA" w14:textId="0BD9E543" w:rsidR="00EE658F" w:rsidRPr="005B646E" w:rsidRDefault="00EE658F" w:rsidP="00171F66">
      <w:pPr>
        <w:pStyle w:val="Heading2"/>
      </w:pPr>
      <w:bookmarkStart w:id="0" w:name="_Toc111813106"/>
      <w:r w:rsidRPr="005B646E">
        <w:t>Limitations</w:t>
      </w:r>
    </w:p>
    <w:p w14:paraId="45FC0269" w14:textId="259E57C8" w:rsidR="00497BD9" w:rsidRPr="005B646E" w:rsidRDefault="00AD3322" w:rsidP="00594F3D">
      <w:r>
        <w:t xml:space="preserve">There is a paucity of rigorously designed impact evaluations in </w:t>
      </w:r>
      <w:r w:rsidR="00AF22AE">
        <w:t>ITE research</w:t>
      </w:r>
      <w:r w:rsidR="00D5776B">
        <w:t xml:space="preserve"> </w:t>
      </w:r>
      <w:r w:rsidR="00D5776B">
        <w:fldChar w:fldCharType="begin"/>
      </w:r>
      <w:r w:rsidR="000A3342">
        <w:instrText xml:space="preserve"> ADDIN ZOTERO_ITEM CSL_CITATION {"citationID":"GfWjyPfT","properties":{"formattedCitation":"(Mancenido 2022)","plainCitation":"(Mancenido 2022)","noteIndex":0},"citationItems":[{"id":6786,"uris":["http://zotero.org/users/10549213/items/JM7QDD6T"],"itemData":{"id":6786,"type":"article-journal","abstract":"Many teacher education researchers have expressed concerns with the lack of rigorous impact evaluations of teacher preparation practices. I summarize these various concerns as they relate to issues of internal validity, external validity, and measurement. I then assess the prevalence of these issues by reviewing 166 impact evaluations of teacher preparation practices published in peer-reviewed journals between 2002-2019.","language":"en","title":"Impact evaluations of teacher preparation practices: Challenges and opportunities for more rigorous research. (EdWorkingPaper: 22-534)","title-short":"Impact evaluations of teacher preparation practices","URL":"Retrieved from Annenberg Institute at Brown University: https://doi.org/10.26300/ywnd-4c31","author":[{"family":"Mancenido","given":"Zid"}],"accessed":{"date-parts":[["2023",1,30]]},"issued":{"date-parts":[["2022",8,2]]}}}],"schema":"https://github.com/citation-style-language/schema/raw/master/csl-citation.json"} </w:instrText>
      </w:r>
      <w:r w:rsidR="00D5776B">
        <w:fldChar w:fldCharType="separate"/>
      </w:r>
      <w:r w:rsidR="00D5776B" w:rsidRPr="00D5776B">
        <w:t>(Mancenido 2022)</w:t>
      </w:r>
      <w:r w:rsidR="00D5776B">
        <w:fldChar w:fldCharType="end"/>
      </w:r>
      <w:r>
        <w:t xml:space="preserve">. </w:t>
      </w:r>
      <w:r w:rsidR="006B0739">
        <w:t>Existing</w:t>
      </w:r>
      <w:r w:rsidR="00AE5E92" w:rsidRPr="005B646E">
        <w:t xml:space="preserve"> </w:t>
      </w:r>
      <w:r w:rsidR="00F550B9" w:rsidRPr="005B646E">
        <w:t xml:space="preserve">research into the effectiveness of ITE programs </w:t>
      </w:r>
      <w:r w:rsidR="00F46C7B">
        <w:t>largely draws on</w:t>
      </w:r>
      <w:r w:rsidR="00F550B9" w:rsidRPr="005B646E">
        <w:t xml:space="preserve"> </w:t>
      </w:r>
      <w:r w:rsidR="00110684">
        <w:t xml:space="preserve">seminal </w:t>
      </w:r>
      <w:r w:rsidR="00A34163">
        <w:t xml:space="preserve">texts </w:t>
      </w:r>
      <w:r w:rsidR="00110684">
        <w:t xml:space="preserve">and </w:t>
      </w:r>
      <w:r w:rsidR="00F550B9" w:rsidRPr="005B646E">
        <w:t xml:space="preserve">program evaluations, which </w:t>
      </w:r>
      <w:r w:rsidR="006B2744">
        <w:t>often</w:t>
      </w:r>
      <w:r w:rsidR="00A34163">
        <w:t xml:space="preserve"> </w:t>
      </w:r>
      <w:r w:rsidR="00F550B9" w:rsidRPr="005B646E">
        <w:t xml:space="preserve">rely on </w:t>
      </w:r>
      <w:r w:rsidR="00E643E8" w:rsidRPr="005B646E">
        <w:t>graduate</w:t>
      </w:r>
      <w:r w:rsidR="002802BD">
        <w:t>s’</w:t>
      </w:r>
      <w:r w:rsidR="00E643E8" w:rsidRPr="005B646E">
        <w:t xml:space="preserve"> perceptions </w:t>
      </w:r>
      <w:r w:rsidR="002802BD">
        <w:t>about</w:t>
      </w:r>
      <w:r w:rsidR="00E643E8" w:rsidRPr="005B646E">
        <w:t xml:space="preserve"> their preparedness for teaching </w:t>
      </w:r>
      <w:r w:rsidR="00171651">
        <w:t>and</w:t>
      </w:r>
      <w:r w:rsidR="00E643E8" w:rsidRPr="005B646E">
        <w:t xml:space="preserve"> employers’ perceptions of graduate effectiveness</w:t>
      </w:r>
      <w:r w:rsidR="006B2744">
        <w:t xml:space="preserve"> </w:t>
      </w:r>
      <w:r w:rsidR="006B2744">
        <w:fldChar w:fldCharType="begin"/>
      </w:r>
      <w:r w:rsidR="00935037">
        <w:instrText xml:space="preserve"> ADDIN ZOTERO_ITEM CSL_CITATION {"citationID":"92QV3Glx","properties":{"formattedCitation":"(Wilson et al. 2002; Ronfeldt 2021)","plainCitation":"(Wilson et al. 2002; Ronfeldt 2021)","noteIndex":0},"citationItems":[{"id":17699,"uris":["http://zotero.org/users/10549213/items/2NZBGSN4"],"itemData":{"id":17699,"type":"article-journal","abstract":"The authors were asked by the Office of Educational Research and Improvement and the U.S. Department of Education to conduct a review of high-quality research on five questions concerning teacher preparation. As part of that assignment, they were asked to develop a set of defensible criteria for including research in the review. In this article, they summarize what the research says about the five questions posed by their funders, and they discuss the development of the review criteria. The questions included attention to the subject matter and pedagogical preparation of prospective teachers, to the content and character of high-quality field experiences and alternative routes, and to research on the effects of policies on the enhancement of teacher preparation.","container-title":"Journal of Teacher Education - J TEACH EDUC","DOI":"10.1177/0022487102053003002","journalAbbreviation":"Journal of Teacher Education - J TEACH EDUC","page":"190-204","source":"ResearchGate","title":"Teacher preparation research: An insider's view from the outside","title-short":"Teacher preparation research","volume":"53","author":[{"family":"Wilson","given":"Suzanne"},{"family":"Floden","given":"Robert"},{"family":"Ferrini-Mundy","given":"Joan"}],"issued":{"date-parts":[["2002",5,1]]}}},{"id":39,"uris":["http://zotero.org/users/10549213/items/T9XZIBUY"],"itemData":{"id":39,"type":"report","event-place":"National Academy of Education","language":"en","publisher":"National Academy of Education Committee on Evaluating and Improving Teacher Preparation Programs","publisher-place":"National Academy of Education","source":"DOI.org (Crossref)","title":"Links among teacher preparation, retention, and teaching effectiveness","URL":"https://naeducation.org/evaluating-and-improving-teacher-preparation-programs-commissioned-paper-series/","author":[{"family":"Ronfeldt","given":"Matthew"}],"accessed":{"date-parts":[["2023",1,30]]},"issued":{"date-parts":[["2021"]]}}}],"schema":"https://github.com/citation-style-language/schema/raw/master/csl-citation.json"} </w:instrText>
      </w:r>
      <w:r w:rsidR="006B2744">
        <w:fldChar w:fldCharType="separate"/>
      </w:r>
      <w:r w:rsidR="00935037" w:rsidRPr="00935037">
        <w:t>(Wilson et al. 2002; Ronfeldt 2021)</w:t>
      </w:r>
      <w:r w:rsidR="006B2744">
        <w:fldChar w:fldCharType="end"/>
      </w:r>
      <w:r w:rsidR="00E643E8" w:rsidRPr="005B646E">
        <w:t xml:space="preserve">. </w:t>
      </w:r>
      <w:r w:rsidR="009F4939">
        <w:t>T</w:t>
      </w:r>
      <w:r>
        <w:t>here is</w:t>
      </w:r>
      <w:r w:rsidR="00041D62">
        <w:t xml:space="preserve"> </w:t>
      </w:r>
      <w:r w:rsidR="009F4939">
        <w:t xml:space="preserve">also </w:t>
      </w:r>
      <w:r w:rsidR="005B01BC" w:rsidRPr="005B01BC">
        <w:t>a lack of publicly available research conducted in the Australian context</w:t>
      </w:r>
      <w:r w:rsidR="007C2DC5">
        <w:t xml:space="preserve"> </w:t>
      </w:r>
      <w:r w:rsidR="007C2DC5">
        <w:fldChar w:fldCharType="begin"/>
      </w:r>
      <w:r w:rsidR="007C2DC5">
        <w:instrText xml:space="preserve"> ADDIN ZOTERO_ITEM CSL_CITATION {"citationID":"kmp4tnAE","properties":{"formattedCitation":"(Ingvarson et al. 2014)","plainCitation":"(Ingvarson et al. 2014)","noteIndex":0},"citationItems":[{"id":43,"uris":["http://zotero.org/users/10549213/items/5RT9BBPH"],"itemData":{"id":43,"type":"report","event-place":"Canberra","language":"en","publisher":"Department of Education","publisher-place":"Canberra","source":"Zotero","title":"Best practice teacher education programs and Australia’s own programs","author":[{"family":"Ingvarson","given":"Lawrence"},{"family":"Reid","given":"Kate"},{"family":"Buckley","given":"Sarah"},{"family":"Kleinhenz","given":"Elizabeth"},{"family":"Masters","given":"Geoff"},{"family":"Rowley","given":"Glenn"}],"issued":{"date-parts":[["2014"]]}}}],"schema":"https://github.com/citation-style-language/schema/raw/master/csl-citation.json"} </w:instrText>
      </w:r>
      <w:r w:rsidR="007C2DC5">
        <w:fldChar w:fldCharType="separate"/>
      </w:r>
      <w:r w:rsidR="007C2DC5" w:rsidRPr="007C2DC5">
        <w:t>(Ingvarson et al. 2014)</w:t>
      </w:r>
      <w:r w:rsidR="007C2DC5">
        <w:fldChar w:fldCharType="end"/>
      </w:r>
      <w:r w:rsidR="005B01BC" w:rsidRPr="005B01BC">
        <w:t>.</w:t>
      </w:r>
    </w:p>
    <w:p w14:paraId="6D39F33A" w14:textId="31869BBC" w:rsidR="00BB186A" w:rsidRPr="005B646E" w:rsidRDefault="001F478C" w:rsidP="00171F66">
      <w:pPr>
        <w:pStyle w:val="Heading2"/>
      </w:pPr>
      <w:r w:rsidRPr="005B646E">
        <w:t xml:space="preserve">Summary of </w:t>
      </w:r>
      <w:r w:rsidR="008E7142">
        <w:t xml:space="preserve">the </w:t>
      </w:r>
      <w:r w:rsidR="00E57B1A" w:rsidRPr="005B646E">
        <w:t>evidence</w:t>
      </w:r>
      <w:r w:rsidRPr="005B646E">
        <w:t xml:space="preserve"> </w:t>
      </w:r>
    </w:p>
    <w:p w14:paraId="30427E18" w14:textId="345ED626" w:rsidR="002751F6" w:rsidRDefault="00EC3931" w:rsidP="00525218">
      <w:pPr>
        <w:rPr>
          <w:rFonts w:eastAsia="Arial"/>
        </w:rPr>
      </w:pPr>
      <w:r>
        <w:rPr>
          <w:rFonts w:eastAsia="Arial"/>
        </w:rPr>
        <w:t>While the</w:t>
      </w:r>
      <w:r w:rsidR="00B74A22">
        <w:rPr>
          <w:rFonts w:eastAsia="Arial"/>
        </w:rPr>
        <w:t>re are gaps in the</w:t>
      </w:r>
      <w:r>
        <w:rPr>
          <w:rFonts w:eastAsia="Arial"/>
        </w:rPr>
        <w:t xml:space="preserve"> </w:t>
      </w:r>
      <w:r w:rsidR="00400897">
        <w:rPr>
          <w:rFonts w:eastAsia="Arial"/>
        </w:rPr>
        <w:t xml:space="preserve">available </w:t>
      </w:r>
      <w:r>
        <w:rPr>
          <w:rFonts w:eastAsia="Arial"/>
        </w:rPr>
        <w:t xml:space="preserve">evidence </w:t>
      </w:r>
      <w:r w:rsidR="00E6090D">
        <w:rPr>
          <w:rFonts w:eastAsia="Arial"/>
        </w:rPr>
        <w:t>on</w:t>
      </w:r>
      <w:r>
        <w:rPr>
          <w:rFonts w:eastAsia="Arial"/>
        </w:rPr>
        <w:t xml:space="preserve"> effective </w:t>
      </w:r>
      <w:r w:rsidR="00E25D8E">
        <w:rPr>
          <w:rFonts w:eastAsia="Arial"/>
        </w:rPr>
        <w:t xml:space="preserve">teaching </w:t>
      </w:r>
      <w:r>
        <w:rPr>
          <w:rFonts w:eastAsia="Arial"/>
        </w:rPr>
        <w:t>practice</w:t>
      </w:r>
      <w:r w:rsidR="00E6090D">
        <w:rPr>
          <w:rFonts w:eastAsia="Arial"/>
        </w:rPr>
        <w:t>s</w:t>
      </w:r>
      <w:r>
        <w:rPr>
          <w:rFonts w:eastAsia="Arial"/>
        </w:rPr>
        <w:t xml:space="preserve"> in ITE</w:t>
      </w:r>
      <w:r w:rsidR="00E50535">
        <w:rPr>
          <w:rFonts w:eastAsia="Arial"/>
        </w:rPr>
        <w:t xml:space="preserve"> </w:t>
      </w:r>
      <w:r w:rsidR="00030453">
        <w:rPr>
          <w:rFonts w:eastAsia="Arial"/>
        </w:rPr>
        <w:fldChar w:fldCharType="begin"/>
      </w:r>
      <w:r w:rsidR="000A3342">
        <w:rPr>
          <w:rFonts w:eastAsia="Arial"/>
        </w:rPr>
        <w:instrText xml:space="preserve"> ADDIN ZOTERO_ITEM CSL_CITATION {"citationID":"5MzxUWhZ","properties":{"formattedCitation":"(Hill et al. 2021; Mancenido 2022)","plainCitation":"(Hill et al. 2021; Mancenido 2022)","noteIndex":0},"citationItems":[{"id":3,"uris":["http://zotero.org/users/10549213/items/LUHXJWA6"],"itemData":{"id":3,"type":"report","abstract":"Despite calls for more evidence regarding the effectiveness of teacher education practices, causal research in the field remains rare. One reason is that we lack designs and measurement approaches that appropriately meet the challenges of causal inference in the context of teacher education programs. This article provides a framework for how to fill this gap. We first outline the difficulties of doing causal research in teacher education. We then describe a set of replicable practices for developing measures of key teaching outcomes, and propose causal research designs suited to the needs of the field. Finally, we identify community-wide initiatives that are necessary to advance effectiveness research in teacher education at scale.","language":"en","note":"publisher: EdWorkingPapers.com","source":"DOI.org (Datacite)","title":"Effectiveness research for teacher education. (EdWorkingPaper: 21-252).","URL":"Retrieved from Annenberg Institute at Brown University: https://doi.org/10.26300/zhhb-j781","author":[{"family":"Hill","given":"Heather"},{"family":"Mancenido","given":"Zid"},{"family":"Loeb","given":"Susanna"}],"accessed":{"date-parts":[["2023",1,30]]},"issued":{"date-parts":[["2021"]]}}},{"id":6786,"uris":["http://zotero.org/users/10549213/items/JM7QDD6T"],"itemData":{"id":6786,"type":"article-journal","abstract":"Many teacher education researchers have expressed concerns with the lack of rigorous impact evaluations of teacher preparation practices. I summarize these various concerns as they relate to issues of internal validity, external validity, and measurement. I then assess the prevalence of these issues by reviewing 166 impact evaluations of teacher preparation practices published in peer-reviewed journals between 2002-2019.","language":"en","title":"Impact evaluations of teacher preparation practices: Challenges and opportunities for more rigorous research. (EdWorkingPaper: 22-534)","title-short":"Impact evaluations of teacher preparation practices","URL":"Retrieved from Annenberg Institute at Brown University: https://doi.org/10.26300/ywnd-4c31","author":[{"family":"Mancenido","given":"Zid"}],"accessed":{"date-parts":[["2023",1,30]]},"issued":{"date-parts":[["2022",8,2]]}}}],"schema":"https://github.com/citation-style-language/schema/raw/master/csl-citation.json"} </w:instrText>
      </w:r>
      <w:r w:rsidR="00030453">
        <w:rPr>
          <w:rFonts w:eastAsia="Arial"/>
        </w:rPr>
        <w:fldChar w:fldCharType="separate"/>
      </w:r>
      <w:r w:rsidR="00030453" w:rsidRPr="00030453">
        <w:t>(Hill et al. 2021; Mancenido 2022)</w:t>
      </w:r>
      <w:r w:rsidR="00030453">
        <w:rPr>
          <w:rFonts w:eastAsia="Arial"/>
        </w:rPr>
        <w:fldChar w:fldCharType="end"/>
      </w:r>
      <w:r w:rsidR="000C4C85">
        <w:rPr>
          <w:rFonts w:eastAsia="Arial"/>
        </w:rPr>
        <w:t xml:space="preserve">, </w:t>
      </w:r>
      <w:r w:rsidR="00F551C5">
        <w:rPr>
          <w:rFonts w:eastAsia="Arial"/>
        </w:rPr>
        <w:t>AERO’s research draws on the</w:t>
      </w:r>
      <w:r w:rsidR="00525218">
        <w:rPr>
          <w:rFonts w:eastAsia="Arial"/>
        </w:rPr>
        <w:t xml:space="preserve"> professional consensus</w:t>
      </w:r>
      <w:r w:rsidR="00A50958">
        <w:rPr>
          <w:rFonts w:eastAsia="Arial"/>
        </w:rPr>
        <w:t xml:space="preserve"> </w:t>
      </w:r>
      <w:r w:rsidR="00290F88">
        <w:rPr>
          <w:rFonts w:eastAsia="Arial"/>
        </w:rPr>
        <w:t>built</w:t>
      </w:r>
      <w:r w:rsidR="00525218">
        <w:rPr>
          <w:rFonts w:eastAsia="Arial"/>
        </w:rPr>
        <w:t xml:space="preserve"> up over time</w:t>
      </w:r>
      <w:r w:rsidR="002751F6">
        <w:rPr>
          <w:rFonts w:eastAsia="Arial"/>
        </w:rPr>
        <w:t xml:space="preserve"> and </w:t>
      </w:r>
      <w:r w:rsidR="009730C4">
        <w:rPr>
          <w:rFonts w:eastAsia="Arial"/>
        </w:rPr>
        <w:t>rigorous research into adult skill development</w:t>
      </w:r>
      <w:r w:rsidR="00B03B85">
        <w:rPr>
          <w:rFonts w:eastAsia="Arial"/>
        </w:rPr>
        <w:t xml:space="preserve">, which is informing </w:t>
      </w:r>
      <w:r w:rsidR="001637C7">
        <w:rPr>
          <w:rFonts w:eastAsia="Arial"/>
        </w:rPr>
        <w:t>new</w:t>
      </w:r>
      <w:r w:rsidR="00E95DFB">
        <w:rPr>
          <w:rFonts w:eastAsia="Arial"/>
        </w:rPr>
        <w:t xml:space="preserve"> approach</w:t>
      </w:r>
      <w:r w:rsidR="001637C7">
        <w:rPr>
          <w:rFonts w:eastAsia="Arial"/>
        </w:rPr>
        <w:t>es</w:t>
      </w:r>
      <w:r w:rsidR="00E95DFB">
        <w:rPr>
          <w:rFonts w:eastAsia="Arial"/>
        </w:rPr>
        <w:t xml:space="preserve"> to professional practice</w:t>
      </w:r>
      <w:r w:rsidR="009730C4">
        <w:rPr>
          <w:rFonts w:eastAsia="Arial"/>
        </w:rPr>
        <w:t xml:space="preserve"> in ITE</w:t>
      </w:r>
      <w:r w:rsidR="0035146A">
        <w:rPr>
          <w:rFonts w:eastAsia="Arial"/>
        </w:rPr>
        <w:t>.</w:t>
      </w:r>
    </w:p>
    <w:p w14:paraId="1BE92C30" w14:textId="58A2B84F" w:rsidR="007E636D" w:rsidRDefault="0026614C" w:rsidP="00E8321F">
      <w:pPr>
        <w:rPr>
          <w:rFonts w:eastAsia="Arial"/>
        </w:rPr>
      </w:pPr>
      <w:r w:rsidRPr="005B646E">
        <w:rPr>
          <w:rFonts w:eastAsia="Arial"/>
        </w:rPr>
        <w:t xml:space="preserve">Evidence shows that the design of </w:t>
      </w:r>
      <w:r w:rsidR="00073A8A">
        <w:rPr>
          <w:rFonts w:eastAsia="Arial"/>
        </w:rPr>
        <w:t xml:space="preserve">ITE </w:t>
      </w:r>
      <w:r w:rsidRPr="005B646E">
        <w:rPr>
          <w:rFonts w:eastAsia="Arial"/>
        </w:rPr>
        <w:t xml:space="preserve">programs </w:t>
      </w:r>
      <w:r w:rsidR="00C521B3">
        <w:rPr>
          <w:rFonts w:eastAsia="Arial"/>
        </w:rPr>
        <w:t>has</w:t>
      </w:r>
      <w:r w:rsidRPr="005B646E">
        <w:rPr>
          <w:rFonts w:eastAsia="Arial"/>
        </w:rPr>
        <w:t xml:space="preserve"> a major influence on graduate teacher preparedness and effectiveness</w:t>
      </w:r>
      <w:r w:rsidR="00562F9A">
        <w:rPr>
          <w:rFonts w:eastAsia="Arial"/>
        </w:rPr>
        <w:t>,</w:t>
      </w:r>
      <w:r w:rsidR="00E63948">
        <w:rPr>
          <w:rFonts w:eastAsia="Arial"/>
        </w:rPr>
        <w:t xml:space="preserve"> with </w:t>
      </w:r>
      <w:r w:rsidR="006939E7">
        <w:rPr>
          <w:rFonts w:eastAsia="Arial"/>
        </w:rPr>
        <w:t>r</w:t>
      </w:r>
      <w:r w:rsidR="006A6086">
        <w:rPr>
          <w:rFonts w:eastAsia="Arial"/>
        </w:rPr>
        <w:t>esearch</w:t>
      </w:r>
      <w:r w:rsidR="00C9360B" w:rsidRPr="005B646E">
        <w:rPr>
          <w:rFonts w:eastAsia="Arial"/>
        </w:rPr>
        <w:t xml:space="preserve"> </w:t>
      </w:r>
      <w:r w:rsidR="00CB14F4">
        <w:rPr>
          <w:rFonts w:eastAsia="Arial"/>
        </w:rPr>
        <w:t>suggesting</w:t>
      </w:r>
      <w:r w:rsidR="006939E7">
        <w:rPr>
          <w:rFonts w:eastAsia="Arial"/>
        </w:rPr>
        <w:t xml:space="preserve"> </w:t>
      </w:r>
      <w:r w:rsidR="00C9360B" w:rsidRPr="005B646E">
        <w:rPr>
          <w:rFonts w:eastAsia="Arial"/>
        </w:rPr>
        <w:t xml:space="preserve">three </w:t>
      </w:r>
      <w:r w:rsidR="0092302D">
        <w:rPr>
          <w:rFonts w:eastAsia="Arial"/>
        </w:rPr>
        <w:t xml:space="preserve">key </w:t>
      </w:r>
      <w:r w:rsidR="00C9360B" w:rsidRPr="005B646E">
        <w:rPr>
          <w:rFonts w:eastAsia="Arial"/>
        </w:rPr>
        <w:t>components of ITE programs: the content of teacher education</w:t>
      </w:r>
      <w:r w:rsidR="00AC2A11">
        <w:rPr>
          <w:rFonts w:eastAsia="Arial"/>
        </w:rPr>
        <w:t xml:space="preserve">, </w:t>
      </w:r>
      <w:r w:rsidR="00C9360B" w:rsidRPr="005B646E">
        <w:rPr>
          <w:rFonts w:eastAsia="Arial"/>
        </w:rPr>
        <w:t>the learning process</w:t>
      </w:r>
      <w:r w:rsidR="00B22CC2">
        <w:rPr>
          <w:rFonts w:eastAsia="Arial"/>
        </w:rPr>
        <w:t xml:space="preserve"> </w:t>
      </w:r>
      <w:r w:rsidR="00B62AEA">
        <w:rPr>
          <w:rFonts w:eastAsia="Arial"/>
        </w:rPr>
        <w:lastRenderedPageBreak/>
        <w:t xml:space="preserve">and </w:t>
      </w:r>
      <w:r w:rsidR="00C9360B" w:rsidRPr="005B646E">
        <w:rPr>
          <w:rFonts w:eastAsia="Arial"/>
        </w:rPr>
        <w:t>the learning context</w:t>
      </w:r>
      <w:r w:rsidR="0035146A">
        <w:rPr>
          <w:rFonts w:eastAsia="Arial"/>
        </w:rPr>
        <w:t xml:space="preserve"> </w:t>
      </w:r>
      <w:r w:rsidR="0035146A">
        <w:rPr>
          <w:rFonts w:eastAsia="Arial"/>
        </w:rPr>
        <w:fldChar w:fldCharType="begin"/>
      </w:r>
      <w:r w:rsidR="0035146A">
        <w:rPr>
          <w:rFonts w:eastAsia="Arial"/>
        </w:rPr>
        <w:instrText xml:space="preserve"> ADDIN ZOTERO_ITEM CSL_CITATION {"citationID":"Y7fIPlWP","properties":{"formattedCitation":"(Darling-Hammond and Bransford 2007)","plainCitation":"(Darling-Hammond and Bransford 2007)","noteIndex":0},"citationItems":[{"id":17666,"uris":["http://zotero.org/users/10549213/items/WS6VYYBI"],"itemData":{"id":17666,"type":"book","abstract":"Based on rapid advances in what is known about how people learn and how to teach effectively, this important book examines the core concepts and central pedagogies that should be at the heart of any teacher education program. Stemming from the results of a commission sponsored by the National Academy of Education, Preparing Teachers for a Changing World recommends the creation of an informed teacher education curriculum with the common elements that represent state-of-the-art standards for the profession. Written for teacher educators in both traditional and alternative programs, university and school system leaders, teachers, staff development professionals, researchers, and educational policymakers, the book addresses the key foundational knowledge for teaching and discusses how to implement that knowledge within the classroom. Preparing Teachers for a Changing World recommends that, in addition to strong subject matter knowledge, all new teachers have a basic understanding of how people learn and develop, as well as how children acquire and use language, which is the currency of education. In addition, the book suggests that teaching professionals must be able to apply that knowledge in developing curriculum that attends to students' needs, the demands of the content, and the social purposes of education: in teaching specific subject matter to diverse students, in managing the classroom, assessing student performance, and using technology in the classroom.","edition":"1st edition","event-place":"San Francisco, CA","ISBN":"978-0-7879-9634-5","language":"English","number-of-pages":"640","publisher":"Jossey-Bass","publisher-place":"San Francisco, CA","source":"Amazon","title":"Preparing teachers for a changing world: What teachers should learn and be able to do","title-short":"Preparing teachers for a changing world","editor":[{"family":"Darling-Hammond","given":"Linda"},{"family":"Bransford","given":"John"}],"issued":{"date-parts":[["2007",7,17]]}}}],"schema":"https://github.com/citation-style-language/schema/raw/master/csl-citation.json"} </w:instrText>
      </w:r>
      <w:r w:rsidR="0035146A">
        <w:rPr>
          <w:rFonts w:eastAsia="Arial"/>
        </w:rPr>
        <w:fldChar w:fldCharType="separate"/>
      </w:r>
      <w:r w:rsidR="0035146A" w:rsidRPr="0035146A">
        <w:t>(Darling-Hammond and Bransford 2007)</w:t>
      </w:r>
      <w:r w:rsidR="0035146A">
        <w:rPr>
          <w:rFonts w:eastAsia="Arial"/>
        </w:rPr>
        <w:fldChar w:fldCharType="end"/>
      </w:r>
      <w:r w:rsidR="003732A2" w:rsidRPr="005B646E">
        <w:rPr>
          <w:rFonts w:eastAsia="Arial"/>
        </w:rPr>
        <w:t>.</w:t>
      </w:r>
      <w:r w:rsidR="00B32E6D" w:rsidRPr="005B646E">
        <w:rPr>
          <w:rFonts w:eastAsia="Arial"/>
        </w:rPr>
        <w:t xml:space="preserve"> </w:t>
      </w:r>
      <w:r w:rsidR="00176FBD">
        <w:rPr>
          <w:rFonts w:eastAsia="Arial"/>
        </w:rPr>
        <w:t xml:space="preserve">Project 1 </w:t>
      </w:r>
      <w:r w:rsidR="007E636D">
        <w:rPr>
          <w:rFonts w:eastAsia="Arial"/>
        </w:rPr>
        <w:t>outlines the content</w:t>
      </w:r>
      <w:r w:rsidR="00B60E23">
        <w:rPr>
          <w:rFonts w:eastAsia="Arial"/>
        </w:rPr>
        <w:t xml:space="preserve"> in relation to</w:t>
      </w:r>
      <w:r w:rsidR="007E636D">
        <w:rPr>
          <w:rFonts w:eastAsia="Arial"/>
        </w:rPr>
        <w:t xml:space="preserve"> evidence-based teaching practices</w:t>
      </w:r>
      <w:r w:rsidR="00CB14F4">
        <w:rPr>
          <w:rFonts w:eastAsia="Arial"/>
        </w:rPr>
        <w:t xml:space="preserve">, while </w:t>
      </w:r>
      <w:r w:rsidR="00176FBD">
        <w:rPr>
          <w:rFonts w:eastAsia="Arial"/>
        </w:rPr>
        <w:t xml:space="preserve">Project 2 </w:t>
      </w:r>
      <w:r w:rsidR="00CB14F4">
        <w:rPr>
          <w:rFonts w:eastAsia="Arial"/>
        </w:rPr>
        <w:t>explores</w:t>
      </w:r>
      <w:r w:rsidR="00B60E23">
        <w:rPr>
          <w:rFonts w:eastAsia="Arial"/>
        </w:rPr>
        <w:t xml:space="preserve"> the evidence for creating effective learning environments</w:t>
      </w:r>
      <w:r w:rsidR="00A3183D">
        <w:rPr>
          <w:rFonts w:eastAsia="Arial"/>
        </w:rPr>
        <w:t xml:space="preserve"> that embed </w:t>
      </w:r>
      <w:r w:rsidR="00780CE4">
        <w:rPr>
          <w:rFonts w:eastAsia="Arial"/>
        </w:rPr>
        <w:t xml:space="preserve">evidence-based </w:t>
      </w:r>
      <w:r w:rsidR="00A3183D">
        <w:rPr>
          <w:rFonts w:eastAsia="Arial"/>
        </w:rPr>
        <w:t>teaching practices.</w:t>
      </w:r>
    </w:p>
    <w:p w14:paraId="47047818" w14:textId="4EA2AA1D" w:rsidR="00103F81" w:rsidRDefault="00B10E8D" w:rsidP="00206BCE">
      <w:pPr>
        <w:suppressAutoHyphens w:val="0"/>
        <w:spacing w:before="0" w:line="259" w:lineRule="auto"/>
        <w:rPr>
          <w:rFonts w:eastAsia="Arial"/>
        </w:rPr>
      </w:pPr>
      <w:r>
        <w:rPr>
          <w:rFonts w:eastAsia="Arial"/>
        </w:rPr>
        <w:t>Over the past 20 years, a</w:t>
      </w:r>
      <w:r w:rsidR="00103F81" w:rsidRPr="00F50EAF">
        <w:rPr>
          <w:rFonts w:eastAsia="Arial"/>
        </w:rPr>
        <w:t xml:space="preserve"> number of </w:t>
      </w:r>
      <w:r w:rsidR="006C5CDB" w:rsidRPr="00F50EAF">
        <w:rPr>
          <w:rFonts w:eastAsia="Arial"/>
        </w:rPr>
        <w:t xml:space="preserve">national and international reviews have </w:t>
      </w:r>
      <w:r>
        <w:rPr>
          <w:rFonts w:eastAsia="Arial"/>
        </w:rPr>
        <w:t>considered</w:t>
      </w:r>
      <w:r w:rsidR="00BC45D9" w:rsidRPr="00F50EAF">
        <w:rPr>
          <w:rFonts w:eastAsia="Arial"/>
        </w:rPr>
        <w:t xml:space="preserve"> the effectiveness of</w:t>
      </w:r>
      <w:r w:rsidR="000A3816" w:rsidRPr="00F50EAF">
        <w:rPr>
          <w:rFonts w:eastAsia="Arial"/>
        </w:rPr>
        <w:t xml:space="preserve"> </w:t>
      </w:r>
      <w:r w:rsidR="00BC45D9" w:rsidRPr="00F50EAF">
        <w:rPr>
          <w:rFonts w:eastAsia="Arial"/>
        </w:rPr>
        <w:t xml:space="preserve">ITE programs and </w:t>
      </w:r>
      <w:r>
        <w:rPr>
          <w:rFonts w:eastAsia="Arial"/>
        </w:rPr>
        <w:t>identified</w:t>
      </w:r>
      <w:r w:rsidR="00C048E9" w:rsidRPr="00F50EAF">
        <w:rPr>
          <w:rFonts w:eastAsia="Arial"/>
        </w:rPr>
        <w:t xml:space="preserve"> opportunities to strengthen ITE</w:t>
      </w:r>
      <w:r w:rsidR="00595E96" w:rsidRPr="00F50EAF">
        <w:rPr>
          <w:rFonts w:eastAsia="Arial"/>
        </w:rPr>
        <w:t xml:space="preserve"> </w:t>
      </w:r>
      <w:r w:rsidR="00F50EAF">
        <w:rPr>
          <w:rFonts w:eastAsia="Arial"/>
        </w:rPr>
        <w:fldChar w:fldCharType="begin"/>
      </w:r>
      <w:r w:rsidR="00413825">
        <w:rPr>
          <w:rFonts w:eastAsia="Arial"/>
        </w:rPr>
        <w:instrText xml:space="preserve"> ADDIN ZOTERO_ITEM CSL_CITATION {"citationID":"L47neLaX","properties":{"formattedCitation":"(Cochran-Smith and Zeichner 2009; National Research Council 2010; National Academy of Education n.d.; Department of Education, Skills and Employment 2022; Department of Education 2015)","plainCitation":"(Cochran-Smith and Zeichner 2009; National Research Council 2010; National Academy of Education n.d.; Department of Education, Skills and Employment 2022; Department of Education 2015)","noteIndex":0},"citationItems":[{"id":17680,"uris":["http://zotero.org/users/10549213/items/Q4ZBEVFZ"],"itemData":{"id":17680,"type":"book","abstract":"Published for the American Educational Research Association by RoutledgeThis landmark volume presents the work of the American Educational Research Association's Panel on Research and Teacher Education. It represents a systematic effort to apply a common set of scholarly lenses to a range of important topics in teacher education.The Panel's charge was twofold:*to create for the larger educational research community a thorough, rigorous, and even-handed analysis of the empirical research evidence relevant to major policies and practices in pre-service teacher education in the U.S., and*to propose a research agenda related to teacher education that builds on what is already known and that identifies the research directions that are most promising for the future.Members of the Panel were appointed from various sectors of the educational research community and with different areas of expertise, including teacher education, policy, assessment, research design and methods, liberal arts, multicultural education, and school reform. Building on their diverse perspectives, they ably translated their charge into a series of questions that became the framework for this volume. The questions illuminate many of the issues that have been most contested in past and current discourse about teacher education reform. Studying Teacher Education examines research about the current pool of prospective and entering teachers and about local, institutional, state, and federal preservice teacher education policies and practices. The book includes three general chapters and nine research syntheses.*The AERA Panel on Research and Teacher Education: Context and Goals*Researching Teacher Education in Changing Times: Politics and Paradigms*Teacher Characteristics: Research on the Demographic Profile*Teacher Characteristics: Research on the Indicators of Quality*Research on the Effects of Coursework in the Arts and Sciences and in the Foundations of Education*Research on Methods Courses and Field Experiences*Research on Pedagogical Approaches in Teacher Education*Research on Preparing Teachers for Diverse Populations*Research on Preparing Teachers to Work with Students with Disabilities*Research on Accountability Processes in Teacher Education*Research on Teacher Education Programs*A Research Agenda for Teacher EducationEach chapter reviews the empirical literature and proposes a research agenda that builds on and extends what is known about a topic. A chart at the end of each chapter provides summary information for each of the empirical studies synthesized and two reference lists--one for all of the studies reviewed in the chapter and one for additional references used. The volume includes an introductory chapter on the Panel's context and goals, and an accessible Executive Summary of the book as a whole.Studying Teacher Education: The Report of the AERA Panel on Research and Teacher Education is a timely, indispensable reference for all researchers and professionals in the field.","edition":"1st edition","language":"English","number-of-pages":"1060","publisher":"Routledge","source":"Amazon","title":"Studying teacher education: The report of the AERA panel on research and teacher education","title-short":"Studying teacher education","editor":[{"family":"Cochran-Smith","given":"Marilyn"},{"family":"Zeichner","given":"Kenneth M."}],"issued":{"date-parts":[["2009",9,10]]}}},{"id":17678,"uris":["http://zotero.org/users/10549213/items/BYNYLGXD"],"itemData":{"id":17678,"type":"book","abstract":"Teachers make a difference. The success of any plan for improving educational outcomes depends on the teachers who carry it out and thus on the abilities of those attracted to the field and their preparation. Yet there are many questions about how teachers are being prepared and how they ought to be prepared. Yet, teacher preparation is often treated as an afterthought in discussions of improving the public education system. Preparing Teachers addresses the issue of teacher preparation with specific attention to reading, mathematics, and science. The book evaluates the characteristics of the candidates who enter teacher preparation programs, the sorts of instruction and experiences teacher candidates receive in preparation programs, and the extent that the required instruction and experiences are consistent with converging scientific evidence. Preparing Teachers also identifies a need for a data collection model to provide valid and reliable information about the content knowledge, pedagogical competence, and effectiveness of graduates from the various kinds of teacher preparation programs.  Federal and state policy makers need reliable, outcomes-based information to make sound decisions, and teacher educators need to know how best to contribute to the development of effective teachers. Clearer understanding of the content and character of effective teacher preparation is critical to improving it and to ensuring that the same critiques and questions are not being repeated 10 years from now.","event-place":"Washington, DC","ISBN":"978-0-309-12805-6","language":"English","number-of-pages":"234","publisher":"National Academies Press","publisher-place":"Washington, DC","source":"Amazon","title":"Preparing teachers: Building evidence for sound policy","title-short":"Preparing teachers","author":[{"family":"National Research Council","given":""}],"issued":{"date-parts":[["2010",7,25]]}}},{"id":17702,"uris":["http://zotero.org/users/10549213/items/83XMAMUG"],"itemData":{"id":17702,"type":"report","event-place":"Washington, DC","language":"en-US","publisher":"National Academy of Education","publisher-place":"Washington, DC","title":"Evaluating and Improving Teacher Preparation Programs. Commissioned Paper Series","URL":"https://naeducation.org/evaluating-and-improving-teacher-preparation-programs-commissioned-paper-series/","author":[{"family":"National Academy of Education","given":""}],"accessed":{"date-parts":[["2023",1,31]]}}},{"id":17704,"uris":["http://zotero.org/users/10549213/items/4KPEBTTK"],"itemData":{"id":17704,"type":"report","abstract":"Final report of the Quality Initial Teacher Education Review, conducted in 2021 by an Expert Panel chaired by Ms Lisa Paul AO PSM.","event-place":"Canberra","genre":"Text","language":"dcterms.RFC4646; en-AU","note":"publisher: scheme=AGLSTERMS.AglsAgent; corporateName=Department of Education; address=50 Marcus Clarke St, Canberra City, ACT 2601; contact=+61 1300 566 046","publisher":"Department of Education, Skills and Employment","publisher-place":"Canberra","title":"Next steps: Report of the Quality Initial Teacher Education Review","title-short":"Next steps","URL":"https://www.education.gov.au/quality-initial-teacher-education-review/resources/next-steps-report-quality-initial-teacher-education-review","author":[{"family":"Department of Education, Skills and Employment","given":""}],"accessed":{"date-parts":[["2023",1,31]]},"issued":{"date-parts":[["2022",3,23]]}}},{"id":17706,"uris":["http://zotero.org/users/10549213/items/8835WTZP"],"itemData":{"id":17706,"type":"report","event-place":"Canberra","publisher":"Department of Education","publisher-place":"Canberra","title":"Action now: Classroom ready teachers. Teacher Education Ministerial Advisory Group December 2014","author":[{"family":"Department of Education","given":""}],"issued":{"date-parts":[["2015"]]}}}],"schema":"https://github.com/citation-style-language/schema/raw/master/csl-citation.json"} </w:instrText>
      </w:r>
      <w:r w:rsidR="00F50EAF">
        <w:rPr>
          <w:rFonts w:eastAsia="Arial"/>
        </w:rPr>
        <w:fldChar w:fldCharType="separate"/>
      </w:r>
      <w:r w:rsidR="00413825" w:rsidRPr="00413825">
        <w:t>(Cochran-Smith and Zeichner 2009; National Research Council 2010; National Academy of Education n.d.; Department of Education, Skills and Employment 2022; Department of Education 2015)</w:t>
      </w:r>
      <w:r w:rsidR="00F50EAF">
        <w:rPr>
          <w:rFonts w:eastAsia="Arial"/>
        </w:rPr>
        <w:fldChar w:fldCharType="end"/>
      </w:r>
      <w:r w:rsidR="00D13D12" w:rsidRPr="00F50EAF">
        <w:rPr>
          <w:rFonts w:eastAsia="Arial"/>
        </w:rPr>
        <w:t>.</w:t>
      </w:r>
    </w:p>
    <w:p w14:paraId="54B17F34" w14:textId="27F4F492" w:rsidR="00D56C34" w:rsidRPr="00383294" w:rsidRDefault="00314B38" w:rsidP="00206BCE">
      <w:pPr>
        <w:suppressAutoHyphens w:val="0"/>
        <w:spacing w:before="0" w:line="259" w:lineRule="auto"/>
        <w:rPr>
          <w:rFonts w:eastAsia="Arial"/>
        </w:rPr>
      </w:pPr>
      <w:r>
        <w:rPr>
          <w:rFonts w:eastAsia="Arial"/>
        </w:rPr>
        <w:t xml:space="preserve">AERO has synthesised the evidence from </w:t>
      </w:r>
      <w:r w:rsidR="00891C7A">
        <w:rPr>
          <w:rFonts w:eastAsia="Arial"/>
        </w:rPr>
        <w:t>seminal</w:t>
      </w:r>
      <w:r w:rsidR="00656C5E" w:rsidRPr="005B646E">
        <w:rPr>
          <w:rFonts w:eastAsia="Arial"/>
        </w:rPr>
        <w:t xml:space="preserve"> reviews of ITE programs</w:t>
      </w:r>
      <w:r w:rsidR="00325B1C">
        <w:rPr>
          <w:rFonts w:eastAsia="Arial"/>
        </w:rPr>
        <w:t xml:space="preserve">, </w:t>
      </w:r>
      <w:r w:rsidR="00A17219">
        <w:rPr>
          <w:rFonts w:eastAsia="Arial"/>
        </w:rPr>
        <w:t xml:space="preserve">professional </w:t>
      </w:r>
      <w:proofErr w:type="gramStart"/>
      <w:r w:rsidR="00A17219">
        <w:rPr>
          <w:rFonts w:eastAsia="Arial"/>
        </w:rPr>
        <w:t>consensus</w:t>
      </w:r>
      <w:proofErr w:type="gramEnd"/>
      <w:r w:rsidR="00656C5E" w:rsidRPr="005B646E">
        <w:rPr>
          <w:rFonts w:eastAsia="Arial"/>
        </w:rPr>
        <w:t xml:space="preserve"> </w:t>
      </w:r>
      <w:r w:rsidR="00325B1C">
        <w:rPr>
          <w:rFonts w:eastAsia="Arial"/>
        </w:rPr>
        <w:t xml:space="preserve">and scientific research </w:t>
      </w:r>
      <w:r>
        <w:rPr>
          <w:rFonts w:eastAsia="Arial"/>
        </w:rPr>
        <w:t>to inform</w:t>
      </w:r>
      <w:r w:rsidR="00656C5E" w:rsidRPr="005B646E">
        <w:rPr>
          <w:rFonts w:eastAsia="Arial"/>
        </w:rPr>
        <w:t xml:space="preserve"> a set of ‘best practice’ principles</w:t>
      </w:r>
      <w:r w:rsidR="000D2164">
        <w:rPr>
          <w:rFonts w:eastAsia="Arial"/>
        </w:rPr>
        <w:t xml:space="preserve">. The principles </w:t>
      </w:r>
      <w:r w:rsidR="00F54917">
        <w:rPr>
          <w:rFonts w:eastAsia="Arial"/>
        </w:rPr>
        <w:t xml:space="preserve">draw on </w:t>
      </w:r>
      <w:r w:rsidR="005364DA">
        <w:rPr>
          <w:rFonts w:eastAsia="Arial"/>
        </w:rPr>
        <w:t>formative</w:t>
      </w:r>
      <w:r w:rsidR="00D02411">
        <w:rPr>
          <w:rFonts w:eastAsia="Arial"/>
        </w:rPr>
        <w:t xml:space="preserve"> </w:t>
      </w:r>
      <w:r w:rsidR="00F54917">
        <w:rPr>
          <w:rFonts w:eastAsia="Arial"/>
        </w:rPr>
        <w:t>a</w:t>
      </w:r>
      <w:r w:rsidR="00206BCE">
        <w:rPr>
          <w:rFonts w:eastAsia="Arial"/>
        </w:rPr>
        <w:t xml:space="preserve">nalysis of the key features of </w:t>
      </w:r>
      <w:r w:rsidR="00D72D38">
        <w:rPr>
          <w:rFonts w:eastAsia="Arial"/>
        </w:rPr>
        <w:t>effective</w:t>
      </w:r>
      <w:r w:rsidR="00C40715">
        <w:rPr>
          <w:rFonts w:eastAsia="Arial"/>
        </w:rPr>
        <w:t xml:space="preserve"> </w:t>
      </w:r>
      <w:r w:rsidR="00206BCE">
        <w:rPr>
          <w:rFonts w:eastAsia="Arial"/>
        </w:rPr>
        <w:t>ITE programs</w:t>
      </w:r>
      <w:r w:rsidR="00C40715">
        <w:rPr>
          <w:rFonts w:eastAsia="Arial"/>
        </w:rPr>
        <w:t xml:space="preserve"> </w:t>
      </w:r>
      <w:r w:rsidR="00D70578">
        <w:rPr>
          <w:rFonts w:eastAsia="Arial"/>
        </w:rPr>
        <w:fldChar w:fldCharType="begin"/>
      </w:r>
      <w:r w:rsidR="00D70578">
        <w:rPr>
          <w:rFonts w:eastAsia="Arial"/>
        </w:rPr>
        <w:instrText xml:space="preserve"> ADDIN ZOTERO_ITEM CSL_CITATION {"citationID":"RMgf1IJR","properties":{"formattedCitation":"(Darling-Hammond and Bransford 2007; Ingvarson et al. 2014)","plainCitation":"(Darling-Hammond and Bransford 2007; Ingvarson et al. 2014)","noteIndex":0},"citationItems":[{"id":17666,"uris":["http://zotero.org/users/10549213/items/WS6VYYBI"],"itemData":{"id":17666,"type":"book","abstract":"Based on rapid advances in what is known about how people learn and how to teach effectively, this important book examines the core concepts and central pedagogies that should be at the heart of any teacher education program. Stemming from the results of a commission sponsored by the National Academy of Education, Preparing Teachers for a Changing World recommends the creation of an informed teacher education curriculum with the common elements that represent state-of-the-art standards for the profession. Written for teacher educators in both traditional and alternative programs, university and school system leaders, teachers, staff development professionals, researchers, and educational policymakers, the book addresses the key foundational knowledge for teaching and discusses how to implement that knowledge within the classroom. Preparing Teachers for a Changing World recommends that, in addition to strong subject matter knowledge, all new teachers have a basic understanding of how people learn and develop, as well as how children acquire and use language, which is the currency of education. In addition, the book suggests that teaching professionals must be able to apply that knowledge in developing curriculum that attends to students' needs, the demands of the content, and the social purposes of education: in teaching specific subject matter to diverse students, in managing the classroom, assessing student performance, and using technology in the classroom.","edition":"1st edition","event-place":"San Francisco, CA","ISBN":"978-0-7879-9634-5","language":"English","number-of-pages":"640","publisher":"Jossey-Bass","publisher-place":"San Francisco, CA","source":"Amazon","title":"Preparing teachers for a changing world: What teachers should learn and be able to do","title-short":"Preparing teachers for a changing world","editor":[{"family":"Darling-Hammond","given":"Linda"},{"family":"Bransford","given":"John"}],"issued":{"date-parts":[["2007",7,17]]}}},{"id":43,"uris":["http://zotero.org/users/10549213/items/5RT9BBPH"],"itemData":{"id":43,"type":"report","event-place":"Canberra","language":"en","publisher":"Department of Education","publisher-place":"Canberra","source":"Zotero","title":"Best practice teacher education programs and Australia’s own programs","author":[{"family":"Ingvarson","given":"Lawrence"},{"family":"Reid","given":"Kate"},{"family":"Buckley","given":"Sarah"},{"family":"Kleinhenz","given":"Elizabeth"},{"family":"Masters","given":"Geoff"},{"family":"Rowley","given":"Glenn"}],"issued":{"date-parts":[["2014"]]}}}],"schema":"https://github.com/citation-style-language/schema/raw/master/csl-citation.json"} </w:instrText>
      </w:r>
      <w:r w:rsidR="00D70578">
        <w:rPr>
          <w:rFonts w:eastAsia="Arial"/>
        </w:rPr>
        <w:fldChar w:fldCharType="separate"/>
      </w:r>
      <w:r w:rsidR="00D70578" w:rsidRPr="00D70578">
        <w:t>(Darling-Hammond and Bransford 2007; Ingvarson et al. 2014)</w:t>
      </w:r>
      <w:r w:rsidR="00D70578">
        <w:rPr>
          <w:rFonts w:eastAsia="Arial"/>
        </w:rPr>
        <w:fldChar w:fldCharType="end"/>
      </w:r>
      <w:r w:rsidR="000D2164">
        <w:rPr>
          <w:rFonts w:eastAsia="Arial"/>
        </w:rPr>
        <w:t xml:space="preserve">, together with research into embedding evidence-based </w:t>
      </w:r>
      <w:r w:rsidR="007C2D99">
        <w:rPr>
          <w:rFonts w:eastAsia="Arial"/>
        </w:rPr>
        <w:t xml:space="preserve">teaching </w:t>
      </w:r>
      <w:r w:rsidR="000D2164">
        <w:rPr>
          <w:rFonts w:eastAsia="Arial"/>
        </w:rPr>
        <w:t>practices</w:t>
      </w:r>
      <w:r w:rsidR="007C2D99">
        <w:rPr>
          <w:rFonts w:eastAsia="Arial"/>
        </w:rPr>
        <w:t xml:space="preserve"> and developing </w:t>
      </w:r>
      <w:r w:rsidR="00157940">
        <w:rPr>
          <w:rFonts w:eastAsia="Arial"/>
        </w:rPr>
        <w:t>pre-service teachers’</w:t>
      </w:r>
      <w:r w:rsidR="007C2D99">
        <w:rPr>
          <w:rFonts w:eastAsia="Arial"/>
        </w:rPr>
        <w:t xml:space="preserve"> practical skills and knowledge.</w:t>
      </w:r>
      <w:r w:rsidR="00206BCE">
        <w:rPr>
          <w:rFonts w:eastAsia="Arial"/>
        </w:rPr>
        <w:t xml:space="preserve"> </w:t>
      </w:r>
    </w:p>
    <w:tbl>
      <w:tblPr>
        <w:tblStyle w:val="TableGridLight"/>
        <w:tblpPr w:leftFromText="180" w:rightFromText="180" w:vertAnchor="text" w:horzAnchor="margin" w:tblpY="308"/>
        <w:tblW w:w="0" w:type="auto"/>
        <w:tblLook w:val="04A0" w:firstRow="1" w:lastRow="0" w:firstColumn="1" w:lastColumn="0" w:noHBand="0" w:noVBand="1"/>
      </w:tblPr>
      <w:tblGrid>
        <w:gridCol w:w="9629"/>
      </w:tblGrid>
      <w:tr w:rsidR="00642350" w:rsidRPr="005B646E" w14:paraId="68F1DBFD" w14:textId="77777777" w:rsidTr="00DB6241">
        <w:trPr>
          <w:cnfStyle w:val="100000000000" w:firstRow="1" w:lastRow="0" w:firstColumn="0" w:lastColumn="0" w:oddVBand="0" w:evenVBand="0" w:oddHBand="0" w:evenHBand="0" w:firstRowFirstColumn="0" w:firstRowLastColumn="0" w:lastRowFirstColumn="0" w:lastRowLastColumn="0"/>
          <w:cantSplit/>
        </w:trPr>
        <w:tc>
          <w:tcPr>
            <w:tcW w:w="9629" w:type="dxa"/>
          </w:tcPr>
          <w:p w14:paraId="00B633E7" w14:textId="5A59A00F" w:rsidR="00642350" w:rsidRPr="005B646E" w:rsidRDefault="007A1910" w:rsidP="00A974E0">
            <w:pPr>
              <w:suppressAutoHyphens w:val="0"/>
              <w:spacing w:before="0" w:line="259" w:lineRule="auto"/>
            </w:pPr>
            <w:r>
              <w:t>Best practice principles</w:t>
            </w:r>
          </w:p>
        </w:tc>
      </w:tr>
      <w:tr w:rsidR="00642350" w:rsidRPr="005B646E" w14:paraId="5DC0F90D" w14:textId="77777777" w:rsidTr="00DB6241">
        <w:trPr>
          <w:cantSplit/>
          <w:trHeight w:val="2015"/>
        </w:trPr>
        <w:tc>
          <w:tcPr>
            <w:tcW w:w="9629" w:type="dxa"/>
          </w:tcPr>
          <w:p w14:paraId="6D4BB5CF" w14:textId="33AEB66E" w:rsidR="00642350" w:rsidRDefault="00642350" w:rsidP="00642350">
            <w:pPr>
              <w:suppressAutoHyphens w:val="0"/>
              <w:spacing w:before="0" w:line="259" w:lineRule="auto"/>
            </w:pPr>
            <w:r>
              <w:t xml:space="preserve">The evidence supports a set of </w:t>
            </w:r>
            <w:r w:rsidRPr="005B646E">
              <w:t xml:space="preserve">best practice principles </w:t>
            </w:r>
            <w:r w:rsidR="00564001">
              <w:t>to guide program design and delivery</w:t>
            </w:r>
            <w:r>
              <w:t>:</w:t>
            </w:r>
          </w:p>
          <w:p w14:paraId="0C8ABE9D" w14:textId="7F598093" w:rsidR="00642350" w:rsidRPr="00634DBC" w:rsidRDefault="00642350" w:rsidP="00CE27DD">
            <w:pPr>
              <w:numPr>
                <w:ilvl w:val="0"/>
                <w:numId w:val="40"/>
              </w:numPr>
              <w:suppressAutoHyphens w:val="0"/>
              <w:spacing w:before="0" w:line="240" w:lineRule="auto"/>
              <w:rPr>
                <w:i/>
                <w:iCs/>
              </w:rPr>
            </w:pPr>
            <w:r>
              <w:rPr>
                <w:rFonts w:eastAsia="Times New Roman"/>
              </w:rPr>
              <w:t>Vision</w:t>
            </w:r>
            <w:r w:rsidR="00000372">
              <w:rPr>
                <w:rFonts w:eastAsia="Times New Roman"/>
              </w:rPr>
              <w:t>:</w:t>
            </w:r>
            <w:r w:rsidR="00F3621E">
              <w:rPr>
                <w:rFonts w:eastAsia="Times New Roman"/>
              </w:rPr>
              <w:t xml:space="preserve"> A </w:t>
            </w:r>
            <w:r>
              <w:rPr>
                <w:rFonts w:eastAsia="Times New Roman"/>
              </w:rPr>
              <w:t>shared, consistent vision of effective teaching practice.</w:t>
            </w:r>
          </w:p>
          <w:p w14:paraId="608539FC" w14:textId="3BE948D5" w:rsidR="00642350" w:rsidRDefault="00F14701" w:rsidP="00CE27DD">
            <w:pPr>
              <w:numPr>
                <w:ilvl w:val="0"/>
                <w:numId w:val="40"/>
              </w:numPr>
              <w:suppressAutoHyphens w:val="0"/>
              <w:spacing w:before="0" w:line="240" w:lineRule="auto"/>
              <w:rPr>
                <w:rFonts w:eastAsia="Times New Roman"/>
              </w:rPr>
            </w:pPr>
            <w:r>
              <w:t>Content</w:t>
            </w:r>
            <w:r w:rsidR="00000372">
              <w:t>:</w:t>
            </w:r>
            <w:r w:rsidR="00642350">
              <w:t xml:space="preserve"> </w:t>
            </w:r>
            <w:r>
              <w:t xml:space="preserve">Core program content </w:t>
            </w:r>
            <w:r w:rsidR="00642350">
              <w:rPr>
                <w:rFonts w:eastAsia="Times New Roman"/>
              </w:rPr>
              <w:t xml:space="preserve">grounded in the evidence-base. </w:t>
            </w:r>
          </w:p>
          <w:p w14:paraId="720E6869" w14:textId="1830D9D3" w:rsidR="00642350" w:rsidRDefault="00642350" w:rsidP="00CE27DD">
            <w:pPr>
              <w:numPr>
                <w:ilvl w:val="0"/>
                <w:numId w:val="40"/>
              </w:numPr>
              <w:suppressAutoHyphens w:val="0"/>
              <w:spacing w:before="0" w:line="240" w:lineRule="auto"/>
              <w:rPr>
                <w:rFonts w:eastAsia="Times New Roman"/>
              </w:rPr>
            </w:pPr>
            <w:r>
              <w:rPr>
                <w:rFonts w:eastAsia="Times New Roman"/>
              </w:rPr>
              <w:t>Pedagogy</w:t>
            </w:r>
            <w:r w:rsidR="00000372">
              <w:rPr>
                <w:rFonts w:eastAsia="Times New Roman"/>
              </w:rPr>
              <w:t>:</w:t>
            </w:r>
            <w:r>
              <w:rPr>
                <w:rFonts w:eastAsia="Times New Roman"/>
              </w:rPr>
              <w:t xml:space="preserve"> Drawing on adult skill development </w:t>
            </w:r>
            <w:r w:rsidRPr="00911277">
              <w:rPr>
                <w:rFonts w:eastAsia="Times New Roman"/>
              </w:rPr>
              <w:t>and taught in the context of practice</w:t>
            </w:r>
            <w:r>
              <w:rPr>
                <w:rFonts w:eastAsia="Times New Roman"/>
              </w:rPr>
              <w:t>.</w:t>
            </w:r>
          </w:p>
          <w:p w14:paraId="2DC88B9E" w14:textId="070BCA74" w:rsidR="00642350" w:rsidRPr="00634DBC" w:rsidRDefault="00642350" w:rsidP="00CE27DD">
            <w:pPr>
              <w:numPr>
                <w:ilvl w:val="0"/>
                <w:numId w:val="40"/>
              </w:numPr>
              <w:suppressAutoHyphens w:val="0"/>
              <w:spacing w:before="0" w:line="240" w:lineRule="auto"/>
              <w:rPr>
                <w:rFonts w:eastAsia="Times New Roman"/>
              </w:rPr>
            </w:pPr>
            <w:r>
              <w:rPr>
                <w:rFonts w:eastAsia="Times New Roman"/>
              </w:rPr>
              <w:t>Assessment</w:t>
            </w:r>
            <w:r w:rsidR="00000372">
              <w:rPr>
                <w:rFonts w:eastAsia="Times New Roman"/>
              </w:rPr>
              <w:t>:</w:t>
            </w:r>
            <w:r w:rsidR="00F3621E">
              <w:rPr>
                <w:rFonts w:eastAsia="Times New Roman"/>
              </w:rPr>
              <w:t xml:space="preserve"> Assessments </w:t>
            </w:r>
            <w:r>
              <w:rPr>
                <w:rFonts w:eastAsia="Times New Roman"/>
              </w:rPr>
              <w:t xml:space="preserve">mapped against the vision of effective teaching </w:t>
            </w:r>
            <w:r w:rsidRPr="00634DBC">
              <w:rPr>
                <w:rFonts w:eastAsia="Times New Roman"/>
              </w:rPr>
              <w:t>practice</w:t>
            </w:r>
            <w:r>
              <w:rPr>
                <w:rFonts w:eastAsia="Times New Roman"/>
              </w:rPr>
              <w:t>.</w:t>
            </w:r>
            <w:r w:rsidRPr="00634DBC">
              <w:rPr>
                <w:rFonts w:eastAsia="Times New Roman"/>
              </w:rPr>
              <w:t xml:space="preserve"> </w:t>
            </w:r>
          </w:p>
          <w:p w14:paraId="6599F10A" w14:textId="5E0F8005" w:rsidR="00642350" w:rsidRPr="008E3672" w:rsidRDefault="00642350" w:rsidP="00CE27DD">
            <w:pPr>
              <w:numPr>
                <w:ilvl w:val="0"/>
                <w:numId w:val="40"/>
              </w:numPr>
              <w:suppressAutoHyphens w:val="0"/>
              <w:spacing w:before="0" w:line="240" w:lineRule="auto"/>
              <w:rPr>
                <w:rFonts w:eastAsia="Times New Roman"/>
              </w:rPr>
            </w:pPr>
            <w:r>
              <w:rPr>
                <w:rFonts w:eastAsia="Times New Roman"/>
              </w:rPr>
              <w:t>Partnerships</w:t>
            </w:r>
            <w:r w:rsidR="00000372">
              <w:rPr>
                <w:rFonts w:eastAsia="Times New Roman"/>
              </w:rPr>
              <w:t>:</w:t>
            </w:r>
            <w:r w:rsidR="00F3621E">
              <w:rPr>
                <w:rFonts w:eastAsia="Times New Roman"/>
              </w:rPr>
              <w:t xml:space="preserve"> Strong </w:t>
            </w:r>
            <w:r>
              <w:rPr>
                <w:rFonts w:eastAsia="Times New Roman"/>
              </w:rPr>
              <w:t>partnerships between ITE providers and schools</w:t>
            </w:r>
            <w:r w:rsidR="00DB0858">
              <w:rPr>
                <w:rFonts w:eastAsia="Times New Roman"/>
              </w:rPr>
              <w:t>.</w:t>
            </w:r>
          </w:p>
        </w:tc>
      </w:tr>
    </w:tbl>
    <w:p w14:paraId="29CB1922" w14:textId="77777777" w:rsidR="00642350" w:rsidRDefault="00642350" w:rsidP="007A1910"/>
    <w:bookmarkEnd w:id="0"/>
    <w:p w14:paraId="07B10FA9" w14:textId="0F0E3740" w:rsidR="00240ED2" w:rsidRDefault="00383294">
      <w:pPr>
        <w:suppressAutoHyphens w:val="0"/>
        <w:spacing w:before="0" w:line="259" w:lineRule="auto"/>
      </w:pPr>
      <w:r w:rsidRPr="00383294">
        <w:t>Together, the principles outline interconnected and necessary components of a high quality ITE system, which is grounded in evidence-based teaching practices to develop classroom-ready graduate teachers.</w:t>
      </w:r>
    </w:p>
    <w:p w14:paraId="69A96E6C" w14:textId="78704D0E" w:rsidR="00EC12F3" w:rsidRDefault="00E43489">
      <w:pPr>
        <w:suppressAutoHyphens w:val="0"/>
        <w:spacing w:before="0" w:line="259" w:lineRule="auto"/>
        <w:rPr>
          <w:rFonts w:ascii="Montserrat Medium" w:eastAsiaTheme="majorEastAsia" w:hAnsi="Montserrat Medium" w:cstheme="majorBidi"/>
          <w:color w:val="01838F" w:themeColor="accent1"/>
          <w:sz w:val="32"/>
          <w:szCs w:val="26"/>
        </w:rPr>
      </w:pPr>
      <w:r w:rsidRPr="005B646E">
        <w:t xml:space="preserve">The next section </w:t>
      </w:r>
      <w:r w:rsidR="00942EB7" w:rsidRPr="005B646E">
        <w:t>provides the</w:t>
      </w:r>
      <w:r w:rsidR="009E7FBC" w:rsidRPr="005B646E">
        <w:t xml:space="preserve"> </w:t>
      </w:r>
      <w:r w:rsidR="00942EB7" w:rsidRPr="005B646E">
        <w:t>evidence base</w:t>
      </w:r>
      <w:r w:rsidR="009E7FBC" w:rsidRPr="005B646E">
        <w:t xml:space="preserve"> and </w:t>
      </w:r>
      <w:r w:rsidR="00942EB7" w:rsidRPr="005B646E">
        <w:t>elaborates on the value and application</w:t>
      </w:r>
      <w:r w:rsidR="009E7FBC" w:rsidRPr="005B646E">
        <w:t xml:space="preserve"> of individual</w:t>
      </w:r>
      <w:r w:rsidR="008B052F" w:rsidRPr="005B646E">
        <w:t xml:space="preserve"> principles</w:t>
      </w:r>
      <w:r w:rsidR="00D56C34">
        <w:t>, as well as considering a</w:t>
      </w:r>
      <w:r w:rsidR="00266770">
        <w:t xml:space="preserve">lignment with </w:t>
      </w:r>
      <w:r w:rsidR="00D56C34">
        <w:t>the</w:t>
      </w:r>
      <w:r w:rsidR="00266770">
        <w:t xml:space="preserve"> Program Standards </w:t>
      </w:r>
      <w:r w:rsidR="00D56C34">
        <w:t>and</w:t>
      </w:r>
      <w:r w:rsidR="00266770">
        <w:t xml:space="preserve"> potential considerations for the</w:t>
      </w:r>
      <w:r w:rsidR="002C61B1">
        <w:t xml:space="preserve"> p</w:t>
      </w:r>
      <w:r w:rsidR="00266770">
        <w:t xml:space="preserve">anel, which are addressed in more detail in the final section of the report. </w:t>
      </w:r>
    </w:p>
    <w:p w14:paraId="6D319B5D" w14:textId="77777777" w:rsidR="00357B88" w:rsidRDefault="00357B88">
      <w:pPr>
        <w:suppressAutoHyphens w:val="0"/>
        <w:spacing w:before="0" w:line="259" w:lineRule="auto"/>
        <w:rPr>
          <w:rFonts w:ascii="Montserrat Medium" w:eastAsiaTheme="majorEastAsia" w:hAnsi="Montserrat Medium" w:cstheme="majorBidi"/>
          <w:color w:val="01838F" w:themeColor="accent1"/>
          <w:sz w:val="32"/>
          <w:szCs w:val="26"/>
        </w:rPr>
      </w:pPr>
      <w:r>
        <w:br w:type="page"/>
      </w:r>
    </w:p>
    <w:p w14:paraId="2CEC498F" w14:textId="52BB0EBF" w:rsidR="00EA5B36" w:rsidRPr="005B646E" w:rsidRDefault="001F478C" w:rsidP="00171F66">
      <w:pPr>
        <w:pStyle w:val="Heading2"/>
      </w:pPr>
      <w:r w:rsidRPr="005B646E">
        <w:lastRenderedPageBreak/>
        <w:t xml:space="preserve">Principle 1. </w:t>
      </w:r>
      <w:r w:rsidR="00634DBC" w:rsidRPr="00634DBC">
        <w:t>Vision</w:t>
      </w:r>
      <w:r w:rsidR="001903DF">
        <w:br/>
      </w:r>
      <w:r w:rsidR="00634DBC" w:rsidRPr="00634DBC">
        <w:t>A shared, consistent vision of effective teaching practice</w:t>
      </w:r>
    </w:p>
    <w:p w14:paraId="1BF63B66" w14:textId="338C40EE" w:rsidR="00942EB7" w:rsidRPr="005B646E" w:rsidRDefault="00942EB7" w:rsidP="00226621">
      <w:pPr>
        <w:pStyle w:val="Heading3"/>
      </w:pPr>
      <w:r w:rsidRPr="005B646E">
        <w:t xml:space="preserve">What </w:t>
      </w:r>
      <w:r w:rsidR="009D5E7A" w:rsidRPr="005B646E">
        <w:t xml:space="preserve">does </w:t>
      </w:r>
      <w:r w:rsidR="00862365" w:rsidRPr="005B646E">
        <w:t>it</w:t>
      </w:r>
      <w:r w:rsidR="009D5E7A" w:rsidRPr="005B646E">
        <w:t xml:space="preserve"> look like</w:t>
      </w:r>
      <w:r w:rsidRPr="005B646E">
        <w:t>?</w:t>
      </w:r>
    </w:p>
    <w:p w14:paraId="1AE7C7B5" w14:textId="699B2723" w:rsidR="00CC0ABF" w:rsidRDefault="002A54DB" w:rsidP="00461845">
      <w:r w:rsidRPr="005B646E">
        <w:t>A shared, consistent vision of effective</w:t>
      </w:r>
      <w:r w:rsidR="00942EB7" w:rsidRPr="005B646E">
        <w:t xml:space="preserve"> evidence-based</w:t>
      </w:r>
      <w:r w:rsidRPr="005B646E">
        <w:t xml:space="preserve"> teaching </w:t>
      </w:r>
      <w:r w:rsidR="00942EB7" w:rsidRPr="005B646E">
        <w:t xml:space="preserve">practice </w:t>
      </w:r>
      <w:r w:rsidR="00DC1483">
        <w:t>is important to</w:t>
      </w:r>
      <w:r w:rsidR="00340FD3">
        <w:t xml:space="preserve"> underpin</w:t>
      </w:r>
      <w:r w:rsidR="00942EB7" w:rsidRPr="005B646E">
        <w:t xml:space="preserve"> program </w:t>
      </w:r>
      <w:r w:rsidRPr="005B646E">
        <w:t xml:space="preserve">design </w:t>
      </w:r>
      <w:r w:rsidR="009876D4">
        <w:t xml:space="preserve">and delivery. </w:t>
      </w:r>
      <w:r w:rsidR="00907396">
        <w:t>The</w:t>
      </w:r>
      <w:r w:rsidR="009876D4">
        <w:t xml:space="preserve"> common vision should</w:t>
      </w:r>
      <w:r w:rsidR="00803F70">
        <w:t xml:space="preserve"> </w:t>
      </w:r>
      <w:r w:rsidR="009C0EB7">
        <w:t xml:space="preserve">drive </w:t>
      </w:r>
      <w:r w:rsidR="00411B5B">
        <w:t xml:space="preserve">program coherence and integration, </w:t>
      </w:r>
      <w:r w:rsidR="000F13F4">
        <w:t>so that</w:t>
      </w:r>
      <w:r w:rsidR="00ED473E">
        <w:t xml:space="preserve"> </w:t>
      </w:r>
      <w:r w:rsidR="003357E5">
        <w:t>units of study</w:t>
      </w:r>
      <w:r w:rsidR="00461845">
        <w:t xml:space="preserve"> </w:t>
      </w:r>
      <w:r w:rsidR="006D5EF0">
        <w:t xml:space="preserve">and </w:t>
      </w:r>
      <w:r w:rsidR="003357E5">
        <w:t>professional</w:t>
      </w:r>
      <w:r w:rsidR="006D5EF0">
        <w:t xml:space="preserve"> experience </w:t>
      </w:r>
      <w:r w:rsidR="00461845">
        <w:t xml:space="preserve">complement one another and are sequenced to achieve a consistent </w:t>
      </w:r>
      <w:r w:rsidR="00942EB7" w:rsidRPr="005B646E">
        <w:t xml:space="preserve">learning experience </w:t>
      </w:r>
      <w:r w:rsidR="00005148">
        <w:t>for pre-service teachers</w:t>
      </w:r>
      <w:r w:rsidR="00DA29E9">
        <w:t>.</w:t>
      </w:r>
    </w:p>
    <w:p w14:paraId="463EE0B6" w14:textId="50B648C7" w:rsidR="00EC4144" w:rsidRDefault="00E478A8" w:rsidP="00EC4144">
      <w:r>
        <w:t xml:space="preserve">This vision should be evident </w:t>
      </w:r>
      <w:r w:rsidR="00EA64E7">
        <w:t>and all teacher educators</w:t>
      </w:r>
      <w:r w:rsidR="00691BD6">
        <w:t xml:space="preserve">, including </w:t>
      </w:r>
      <w:r w:rsidR="004C2B49">
        <w:t>unit</w:t>
      </w:r>
      <w:r w:rsidR="00691BD6" w:rsidRPr="00691BD6">
        <w:t xml:space="preserve"> coordinators, </w:t>
      </w:r>
      <w:proofErr w:type="gramStart"/>
      <w:r w:rsidR="00691BD6" w:rsidRPr="00691BD6">
        <w:t>supervisors</w:t>
      </w:r>
      <w:proofErr w:type="gramEnd"/>
      <w:r w:rsidR="00691BD6">
        <w:t xml:space="preserve"> and tutors</w:t>
      </w:r>
      <w:r w:rsidR="00CC0ABF">
        <w:t xml:space="preserve">, </w:t>
      </w:r>
      <w:r w:rsidR="001873BA">
        <w:t xml:space="preserve">should demonstrate </w:t>
      </w:r>
      <w:r w:rsidR="00CC0ABF" w:rsidRPr="00CC0ABF">
        <w:t xml:space="preserve">a shared commitment to </w:t>
      </w:r>
      <w:r w:rsidR="002F08EB">
        <w:t xml:space="preserve">the agreed vision of </w:t>
      </w:r>
      <w:r w:rsidR="00CC0ABF" w:rsidRPr="00CC0ABF">
        <w:t xml:space="preserve">effective teaching practice </w:t>
      </w:r>
      <w:r w:rsidR="00395EE3">
        <w:t>in their</w:t>
      </w:r>
      <w:r w:rsidR="00CC0ABF" w:rsidRPr="00CC0ABF">
        <w:t xml:space="preserve"> </w:t>
      </w:r>
      <w:r w:rsidR="008E124E">
        <w:t>work</w:t>
      </w:r>
      <w:r w:rsidR="00395EE3">
        <w:t xml:space="preserve">. </w:t>
      </w:r>
      <w:r w:rsidR="00203B48">
        <w:t xml:space="preserve">Units, </w:t>
      </w:r>
      <w:proofErr w:type="gramStart"/>
      <w:r w:rsidR="00EC4144">
        <w:t>assessments</w:t>
      </w:r>
      <w:proofErr w:type="gramEnd"/>
      <w:r w:rsidR="00EC4144">
        <w:t xml:space="preserve"> and professional experience </w:t>
      </w:r>
      <w:r w:rsidR="00203B48">
        <w:t>should</w:t>
      </w:r>
      <w:r w:rsidR="00457073">
        <w:t xml:space="preserve"> integrate </w:t>
      </w:r>
      <w:r w:rsidR="00EC4144">
        <w:t xml:space="preserve">evidence-based teaching practices and build </w:t>
      </w:r>
      <w:r w:rsidR="00490D59">
        <w:t>towards the</w:t>
      </w:r>
      <w:r w:rsidR="00EC4144">
        <w:t xml:space="preserve"> required skills and knowledge for </w:t>
      </w:r>
      <w:r w:rsidR="00D44072">
        <w:t xml:space="preserve">graduate teacher </w:t>
      </w:r>
      <w:r w:rsidR="00EC4144">
        <w:t>registration</w:t>
      </w:r>
      <w:r w:rsidR="007254D5">
        <w:t xml:space="preserve"> and classroom-ready graduate</w:t>
      </w:r>
      <w:r w:rsidR="00D44072">
        <w:t>s</w:t>
      </w:r>
      <w:r w:rsidR="007254D5">
        <w:t>.</w:t>
      </w:r>
    </w:p>
    <w:p w14:paraId="5539C651" w14:textId="77777777" w:rsidR="00AF15D4" w:rsidRPr="005B646E" w:rsidRDefault="00AF15D4" w:rsidP="00226621">
      <w:pPr>
        <w:pStyle w:val="Heading3"/>
      </w:pPr>
      <w:r w:rsidRPr="005B646E">
        <w:t>What is it not?</w:t>
      </w:r>
    </w:p>
    <w:p w14:paraId="58E6DFAB" w14:textId="098C995F" w:rsidR="00CC1128" w:rsidRDefault="00840105" w:rsidP="00CC1128">
      <w:r>
        <w:t xml:space="preserve">Programs lacking a central </w:t>
      </w:r>
      <w:r w:rsidR="00C2090C">
        <w:t>vision of effective teaching practice</w:t>
      </w:r>
      <w:r>
        <w:t xml:space="preserve"> </w:t>
      </w:r>
      <w:r w:rsidR="00873D6A">
        <w:t>promote a</w:t>
      </w:r>
      <w:r>
        <w:t xml:space="preserve">n inconsistent approach to teaching and learning, with </w:t>
      </w:r>
      <w:r w:rsidR="003B5A0E">
        <w:t xml:space="preserve">disjointed and siloed </w:t>
      </w:r>
      <w:r w:rsidR="004C2B49">
        <w:t>units</w:t>
      </w:r>
      <w:r w:rsidR="003B5A0E">
        <w:t>, lack of sequencing</w:t>
      </w:r>
      <w:r w:rsidR="006630B5">
        <w:t xml:space="preserve"> and poor coherence across the program</w:t>
      </w:r>
      <w:r w:rsidR="003B5A0E">
        <w:t>.</w:t>
      </w:r>
      <w:r w:rsidR="006630B5">
        <w:t xml:space="preserve"> This approach </w:t>
      </w:r>
      <w:r w:rsidR="003B4CAC">
        <w:t>is not</w:t>
      </w:r>
      <w:r w:rsidR="00612BE0">
        <w:t xml:space="preserve"> centred around the </w:t>
      </w:r>
      <w:r w:rsidR="001B16B4">
        <w:t>pre-service teacher</w:t>
      </w:r>
      <w:r w:rsidR="00612BE0">
        <w:t xml:space="preserve"> </w:t>
      </w:r>
      <w:r w:rsidR="003A3EBD">
        <w:t>experience</w:t>
      </w:r>
      <w:r w:rsidR="003B4CAC">
        <w:t xml:space="preserve"> and may reflect individual academic interests</w:t>
      </w:r>
      <w:r w:rsidR="00CD39ED">
        <w:t xml:space="preserve"> and biases</w:t>
      </w:r>
      <w:r w:rsidR="003B4CAC">
        <w:t xml:space="preserve">, rather than </w:t>
      </w:r>
      <w:r w:rsidR="00882CF2">
        <w:t>a consistent,</w:t>
      </w:r>
      <w:r w:rsidR="003B4CAC">
        <w:t xml:space="preserve"> coherent approach to evidence-based teaching practice.</w:t>
      </w:r>
      <w:r w:rsidR="0053750E">
        <w:t xml:space="preserve"> </w:t>
      </w:r>
      <w:r w:rsidR="004D33C5">
        <w:t>I</w:t>
      </w:r>
      <w:r w:rsidR="00CC1128">
        <w:t xml:space="preserve">ndividual teacher educators should not be promoting different teaching practices </w:t>
      </w:r>
      <w:r w:rsidR="00D32EA8">
        <w:t>between</w:t>
      </w:r>
      <w:r w:rsidR="00CC1128">
        <w:t xml:space="preserve"> </w:t>
      </w:r>
      <w:r w:rsidR="004C2B49">
        <w:t>units</w:t>
      </w:r>
      <w:r w:rsidR="00CC1128">
        <w:t xml:space="preserve">, such as explicit instruction in one </w:t>
      </w:r>
      <w:r w:rsidR="004C2B49">
        <w:t>unit</w:t>
      </w:r>
      <w:r w:rsidR="00CC1128">
        <w:t xml:space="preserve"> and inquiry-based learning in another.</w:t>
      </w:r>
    </w:p>
    <w:p w14:paraId="6A9AC2A6" w14:textId="68E6E169" w:rsidR="00C737B1" w:rsidRDefault="002A5347" w:rsidP="00CC1128">
      <w:r>
        <w:t>Other</w:t>
      </w:r>
      <w:r w:rsidR="00C737B1">
        <w:t xml:space="preserve"> challenges in implementing </w:t>
      </w:r>
      <w:r w:rsidR="00713EF1">
        <w:t xml:space="preserve">a shared vision across programs, units, </w:t>
      </w:r>
      <w:proofErr w:type="gramStart"/>
      <w:r w:rsidR="00456615">
        <w:t>assessments</w:t>
      </w:r>
      <w:proofErr w:type="gramEnd"/>
      <w:r w:rsidR="00456615">
        <w:t xml:space="preserve"> and professional experience include limited resourcing</w:t>
      </w:r>
      <w:r w:rsidR="005D7D38">
        <w:t xml:space="preserve">, </w:t>
      </w:r>
      <w:r w:rsidR="00D13DA1">
        <w:t>fragile</w:t>
      </w:r>
      <w:r w:rsidR="005D7D38">
        <w:t xml:space="preserve"> relationships with schools and </w:t>
      </w:r>
      <w:r w:rsidR="00494FF6">
        <w:t xml:space="preserve">the </w:t>
      </w:r>
      <w:r w:rsidR="00C47C24">
        <w:t xml:space="preserve">dual delivery of </w:t>
      </w:r>
      <w:r w:rsidR="00FF7393">
        <w:t>education programs with other</w:t>
      </w:r>
      <w:r w:rsidR="00237783">
        <w:t xml:space="preserve"> d</w:t>
      </w:r>
      <w:r w:rsidR="00420884">
        <w:t xml:space="preserve">epartments in </w:t>
      </w:r>
      <w:r w:rsidR="00494FF6">
        <w:t>double degrees</w:t>
      </w:r>
      <w:r w:rsidR="00B06D7C">
        <w:t>.</w:t>
      </w:r>
      <w:r w:rsidR="00164A78">
        <w:t xml:space="preserve"> </w:t>
      </w:r>
    </w:p>
    <w:p w14:paraId="4C279AC3" w14:textId="19058946" w:rsidR="001F478C" w:rsidRPr="005B646E" w:rsidRDefault="008752DE" w:rsidP="00226621">
      <w:pPr>
        <w:pStyle w:val="Heading3"/>
      </w:pPr>
      <w:r>
        <w:t>What is the evidence base?</w:t>
      </w:r>
    </w:p>
    <w:p w14:paraId="1C4C3BC0" w14:textId="6CED0EDD" w:rsidR="005042EC" w:rsidRPr="00373B3D" w:rsidRDefault="00110AA2" w:rsidP="00235336">
      <w:r>
        <w:t>A shared vision</w:t>
      </w:r>
      <w:r w:rsidR="007A370F">
        <w:t xml:space="preserve"> </w:t>
      </w:r>
      <w:r w:rsidR="00305F17">
        <w:t xml:space="preserve">of good teaching across coursework and </w:t>
      </w:r>
      <w:r w:rsidR="00C84C19">
        <w:t>professional experience</w:t>
      </w:r>
      <w:r w:rsidR="00305F17">
        <w:t xml:space="preserve"> </w:t>
      </w:r>
      <w:r w:rsidR="007A370F">
        <w:t xml:space="preserve">is </w:t>
      </w:r>
      <w:r w:rsidR="00497A25">
        <w:t>recognised</w:t>
      </w:r>
      <w:r w:rsidR="002F65C9">
        <w:t xml:space="preserve"> </w:t>
      </w:r>
      <w:r w:rsidR="00E8527B">
        <w:t xml:space="preserve">as </w:t>
      </w:r>
      <w:r w:rsidR="002F65C9">
        <w:t xml:space="preserve">a key feature of </w:t>
      </w:r>
      <w:r w:rsidR="00497A25">
        <w:t xml:space="preserve">coherent </w:t>
      </w:r>
      <w:r w:rsidR="002F65C9">
        <w:t>high-quality ITE programs that embed evidence and produce effective graduates</w:t>
      </w:r>
      <w:r w:rsidR="007903F9">
        <w:t xml:space="preserve"> </w:t>
      </w:r>
      <w:r w:rsidR="007903F9">
        <w:fldChar w:fldCharType="begin"/>
      </w:r>
      <w:r w:rsidR="00040400">
        <w:instrText xml:space="preserve"> ADDIN ZOTERO_ITEM CSL_CITATION {"citationID":"qPmfuZpT","properties":{"formattedCitation":"(Darling-Hammond and Bransford 2007; Ingvarson et al. 2014; Darling-Hammond et al. 2019)","plainCitation":"(Darling-Hammond and Bransford 2007; Ingvarson et al. 2014; Darling-Hammond et al. 2019)","noteIndex":0},"citationItems":[{"id":17666,"uris":["http://zotero.org/users/10549213/items/WS6VYYBI"],"itemData":{"id":17666,"type":"book","abstract":"Based on rapid advances in what is known about how people learn and how to teach effectively, this important book examines the core concepts and central pedagogies that should be at the heart of any teacher education program. Stemming from the results of a commission sponsored by the National Academy of Education, Preparing Teachers for a Changing World recommends the creation of an informed teacher education curriculum with the common elements that represent state-of-the-art standards for the profession. Written for teacher educators in both traditional and alternative programs, university and school system leaders, teachers, staff development professionals, researchers, and educational policymakers, the book addresses the key foundational knowledge for teaching and discusses how to implement that knowledge within the classroom. Preparing Teachers for a Changing World recommends that, in addition to strong subject matter knowledge, all new teachers have a basic understanding of how people learn and develop, as well as how children acquire and use language, which is the currency of education. In addition, the book suggests that teaching professionals must be able to apply that knowledge in developing curriculum that attends to students' needs, the demands of the content, and the social purposes of education: in teaching specific subject matter to diverse students, in managing the classroom, assessing student performance, and using technology in the classroom.","edition":"1st edition","event-place":"San Francisco, CA","ISBN":"978-0-7879-9634-5","language":"English","number-of-pages":"640","publisher":"Jossey-Bass","publisher-place":"San Francisco, CA","source":"Amazon","title":"Preparing teachers for a changing world: What teachers should learn and be able to do","title-short":"Preparing teachers for a changing world","editor":[{"family":"Darling-Hammond","given":"Linda"},{"family":"Bransford","given":"John"}],"issued":{"date-parts":[["2007",7,17]]}}},{"id":43,"uris":["http://zotero.org/users/10549213/items/5RT9BBPH"],"itemData":{"id":43,"type":"report","event-place":"Canberra","language":"en","publisher":"Department of Education","publisher-place":"Canberra","source":"Zotero","title":"Best practice teacher education programs and Australia’s own programs","author":[{"family":"Ingvarson","given":"Lawrence"},{"family":"Reid","given":"Kate"},{"family":"Buckley","given":"Sarah"},{"family":"Kleinhenz","given":"Elizabeth"},{"family":"Masters","given":"Geoff"},{"family":"Rowley","given":"Glenn"}],"issued":{"date-parts":[["2014"]]}}},{"id":48,"uris":["http://zotero.org/users/10549213/items/B8AI6J9A"],"itemData":{"id":48,"type":"report","abstract":"Preparing Teachers for Deeper Learning, summarized by this brief, describes the work of seven pioneering programs of teacher education that have organized themselves to meet the dual challenge of teacher preparation for deeper learning and equity. This study examined how teacher candidates learn to create personalized, inquiry-based learning opportunities for all children and how their programs create such opportunities for the candidates themselves. Through interviews, on-site observations, candidate surveys, and document review, the study describes the curriculum, practices, and institutional structures that make teacher preparation for deeper learning possible.","event-place":"Washington, DC","language":"en","publisher":"Learning Policy Institute","publisher-place":"Washington, DC","source":"Zotero","title":"Research brief: Preparing teachers for deeper learning","author":[{"family":"Darling-Hammond","given":"Linda"},{"family":"Oakes","given":"Jeannie"},{"family":"Wojcikiewicz","given":"Steven K"},{"family":"Hyler","given":"Maria E"},{"family":"Guha","given":"Roneeta"},{"family":"Podolsky","given":"Anne"},{"family":"Kini","given":"Tara"},{"family":"Cook-Harvey","given":"Channa M"},{"family":"Jackson Mercer","given":"Charmaine N"},{"family":"Harrell","given":"Akeelah"}],"issued":{"date-parts":[["2019"]]}}}],"schema":"https://github.com/citation-style-language/schema/raw/master/csl-citation.json"} </w:instrText>
      </w:r>
      <w:r w:rsidR="007903F9">
        <w:fldChar w:fldCharType="separate"/>
      </w:r>
      <w:r w:rsidR="00040400" w:rsidRPr="00040400">
        <w:t>(Darling-Hammond and Bransford 2007; Ingvarson et al. 2014; Darling-Hammond et al. 2019)</w:t>
      </w:r>
      <w:r w:rsidR="007903F9">
        <w:fldChar w:fldCharType="end"/>
      </w:r>
      <w:r w:rsidR="002F65C9">
        <w:t>.</w:t>
      </w:r>
    </w:p>
    <w:p w14:paraId="50F871A7" w14:textId="08C0B81E" w:rsidR="00392E50" w:rsidRDefault="00392E50" w:rsidP="00392E50">
      <w:r>
        <w:t xml:space="preserve">Studies of ITE programs that produce well-prepared graduate teachers consistently highlight vision, integration and coherence as </w:t>
      </w:r>
      <w:r w:rsidR="00E4599E">
        <w:t>important elements</w:t>
      </w:r>
      <w:r>
        <w:t xml:space="preserve"> to build a deeper understanding of teaching and learning</w:t>
      </w:r>
      <w:r w:rsidR="00E4599E">
        <w:t xml:space="preserve"> </w:t>
      </w:r>
      <w:r w:rsidR="00E4599E">
        <w:fldChar w:fldCharType="begin"/>
      </w:r>
      <w:r w:rsidR="00E4599E">
        <w:instrText xml:space="preserve"> ADDIN ZOTERO_ITEM CSL_CITATION {"citationID":"YjdtuXtk","properties":{"formattedCitation":"(Darling-Hammond et al. 2019)","plainCitation":"(Darling-Hammond et al. 2019)","noteIndex":0},"citationItems":[{"id":48,"uris":["http://zotero.org/users/10549213/items/B8AI6J9A"],"itemData":{"id":48,"type":"report","abstract":"Preparing Teachers for Deeper Learning, summarized by this brief, describes the work of seven pioneering programs of teacher education that have organized themselves to meet the dual challenge of teacher preparation for deeper learning and equity. This study examined how teacher candidates learn to create personalized, inquiry-based learning opportunities for all children and how their programs create such opportunities for the candidates themselves. Through interviews, on-site observations, candidate surveys, and document review, the study describes the curriculum, practices, and institutional structures that make teacher preparation for deeper learning possible.","event-place":"Washington, DC","language":"en","publisher":"Learning Policy Institute","publisher-place":"Washington, DC","source":"Zotero","title":"Research brief: Preparing teachers for deeper learning","author":[{"family":"Darling-Hammond","given":"Linda"},{"family":"Oakes","given":"Jeannie"},{"family":"Wojcikiewicz","given":"Steven K"},{"family":"Hyler","given":"Maria E"},{"family":"Guha","given":"Roneeta"},{"family":"Podolsky","given":"Anne"},{"family":"Kini","given":"Tara"},{"family":"Cook-Harvey","given":"Channa M"},{"family":"Jackson Mercer","given":"Charmaine N"},{"family":"Harrell","given":"Akeelah"}],"issued":{"date-parts":[["2019"]]}},"locator":"-"}],"schema":"https://github.com/citation-style-language/schema/raw/master/csl-citation.json"} </w:instrText>
      </w:r>
      <w:r w:rsidR="00E4599E">
        <w:fldChar w:fldCharType="separate"/>
      </w:r>
      <w:r w:rsidR="00E4599E" w:rsidRPr="001D01C5">
        <w:t>(Darling-Hammond et al. 2019)</w:t>
      </w:r>
      <w:r w:rsidR="00E4599E">
        <w:fldChar w:fldCharType="end"/>
      </w:r>
      <w:r>
        <w:t>. Central to the</w:t>
      </w:r>
      <w:r w:rsidR="00E4599E">
        <w:t>se</w:t>
      </w:r>
      <w:r>
        <w:t xml:space="preserve"> programs was a strong, shared vision of how </w:t>
      </w:r>
      <w:r w:rsidR="00A26760">
        <w:t>students</w:t>
      </w:r>
      <w:r>
        <w:t xml:space="preserve"> learn, which was embedded in coursework</w:t>
      </w:r>
      <w:r w:rsidR="00A26760">
        <w:t xml:space="preserve"> with</w:t>
      </w:r>
      <w:r>
        <w:t xml:space="preserve"> opportunities for practice via professional experience.</w:t>
      </w:r>
    </w:p>
    <w:p w14:paraId="1CC5A652" w14:textId="22B1C104" w:rsidR="00C545C2" w:rsidRDefault="00950A30" w:rsidP="00AE4D4B">
      <w:r>
        <w:lastRenderedPageBreak/>
        <w:t xml:space="preserve">A </w:t>
      </w:r>
      <w:r w:rsidR="00066737">
        <w:t>ground-breaking</w:t>
      </w:r>
      <w:r>
        <w:t xml:space="preserve"> study</w:t>
      </w:r>
      <w:r w:rsidR="00D279B5">
        <w:t xml:space="preserve"> </w:t>
      </w:r>
      <w:r w:rsidR="00066737">
        <w:t>by</w:t>
      </w:r>
      <w:r w:rsidR="00D279B5">
        <w:t xml:space="preserve"> the New York City (NYC) Teacher Pathways Project </w:t>
      </w:r>
      <w:r w:rsidR="00892607">
        <w:t xml:space="preserve">in 2009 </w:t>
      </w:r>
      <w:r w:rsidR="00A26760">
        <w:t>reported</w:t>
      </w:r>
      <w:r w:rsidR="00892607">
        <w:t xml:space="preserve"> that </w:t>
      </w:r>
      <w:r w:rsidR="007151D8">
        <w:t>graduate teacher effectiveness was</w:t>
      </w:r>
      <w:r w:rsidR="004B0D5B">
        <w:t xml:space="preserve"> </w:t>
      </w:r>
      <w:r w:rsidR="007151D8">
        <w:t xml:space="preserve">predicted by </w:t>
      </w:r>
      <w:r w:rsidR="004B0D5B">
        <w:t xml:space="preserve">the </w:t>
      </w:r>
      <w:r w:rsidR="00791F54">
        <w:t xml:space="preserve">level of </w:t>
      </w:r>
      <w:r w:rsidR="009659E7">
        <w:t>alignment and integration</w:t>
      </w:r>
      <w:r w:rsidR="0019443D">
        <w:t xml:space="preserve"> across </w:t>
      </w:r>
      <w:r w:rsidR="004B0D5B">
        <w:t xml:space="preserve">ITE program </w:t>
      </w:r>
      <w:r w:rsidR="0019443D">
        <w:t xml:space="preserve">coursework and </w:t>
      </w:r>
      <w:r w:rsidR="00C84C19">
        <w:t>professional experience</w:t>
      </w:r>
      <w:r w:rsidR="0019443D">
        <w:t>s</w:t>
      </w:r>
      <w:r w:rsidR="009659E7">
        <w:t xml:space="preserve"> </w:t>
      </w:r>
      <w:r w:rsidR="00F06772">
        <w:t>(Boyd et al 2009).</w:t>
      </w:r>
      <w:r w:rsidR="00392E50">
        <w:t xml:space="preserve"> </w:t>
      </w:r>
      <w:r w:rsidR="00A61576">
        <w:t xml:space="preserve">Other </w:t>
      </w:r>
      <w:r w:rsidR="00394776">
        <w:t xml:space="preserve">studies </w:t>
      </w:r>
      <w:r w:rsidR="00E301A5">
        <w:t xml:space="preserve">have </w:t>
      </w:r>
      <w:r w:rsidR="00033FAE">
        <w:t>reported</w:t>
      </w:r>
      <w:r w:rsidR="00E301A5">
        <w:t xml:space="preserve"> </w:t>
      </w:r>
      <w:r w:rsidR="00394776">
        <w:t xml:space="preserve">that </w:t>
      </w:r>
      <w:r w:rsidR="00283FD6">
        <w:t xml:space="preserve">pre-service teachers’ perceptions of </w:t>
      </w:r>
      <w:r w:rsidR="00C545C2">
        <w:t xml:space="preserve">program coherence </w:t>
      </w:r>
      <w:r w:rsidR="004A6AC5">
        <w:t>reflect</w:t>
      </w:r>
      <w:r w:rsidR="00C545C2">
        <w:t xml:space="preserve"> </w:t>
      </w:r>
      <w:r w:rsidR="0041244B">
        <w:t>a central vision</w:t>
      </w:r>
      <w:r w:rsidR="005E1B41">
        <w:t xml:space="preserve"> </w:t>
      </w:r>
      <w:r w:rsidR="00D02CF6">
        <w:t xml:space="preserve">of teaching and learning </w:t>
      </w:r>
      <w:r w:rsidR="00781D80">
        <w:t>that is shared by</w:t>
      </w:r>
      <w:r w:rsidR="00D02CF6">
        <w:t xml:space="preserve"> teacher educators</w:t>
      </w:r>
      <w:r w:rsidR="0046659A">
        <w:t xml:space="preserve">, </w:t>
      </w:r>
      <w:r w:rsidR="00024D82">
        <w:t>embedded in programs</w:t>
      </w:r>
      <w:r w:rsidR="0046659A">
        <w:t xml:space="preserve"> and reinforced</w:t>
      </w:r>
      <w:r w:rsidR="004D6D09">
        <w:t xml:space="preserve"> across coursework and professional experience</w:t>
      </w:r>
      <w:r w:rsidR="00781D80">
        <w:t>s</w:t>
      </w:r>
      <w:r w:rsidR="004D6D09">
        <w:t xml:space="preserve"> </w:t>
      </w:r>
      <w:r w:rsidR="004D6D09">
        <w:fldChar w:fldCharType="begin"/>
      </w:r>
      <w:r w:rsidR="004D6D09">
        <w:instrText xml:space="preserve"> ADDIN ZOTERO_ITEM CSL_CITATION {"citationID":"ugLF3C0t","properties":{"formattedCitation":"(Grossman 2008)","plainCitation":"(Grossman 2008)","noteIndex":0},"citationItems":[{"id":17672,"uris":["http://zotero.org/users/10549213/items/E4C2R2FS"],"itemData":{"id":17672,"type":"article-journal","container-title":"Journal of Teacher Education","ISSN":"0022-4871","issue":"4","page":"273","title":"Constructing coherence: Structural predictors of perceptions of coherence in NYC teacher education programs","title-short":"Constructing coherence","volume":"59","author":[{"family":"Grossman","given":"Pam"}],"issued":{"date-parts":[["2008",10]]}}}],"schema":"https://github.com/citation-style-language/schema/raw/master/csl-citation.json"} </w:instrText>
      </w:r>
      <w:r w:rsidR="004D6D09">
        <w:fldChar w:fldCharType="separate"/>
      </w:r>
      <w:r w:rsidR="004D6D09" w:rsidRPr="004D6D09">
        <w:t>(Grossman 2008)</w:t>
      </w:r>
      <w:r w:rsidR="004D6D09">
        <w:fldChar w:fldCharType="end"/>
      </w:r>
      <w:r w:rsidR="0041244B">
        <w:t>.</w:t>
      </w:r>
    </w:p>
    <w:p w14:paraId="35541E9B" w14:textId="719251F4" w:rsidR="00ED2115" w:rsidRPr="005B646E" w:rsidRDefault="00B108E2" w:rsidP="007E0F9A">
      <w:r>
        <w:t>Research</w:t>
      </w:r>
      <w:r w:rsidR="008E47C7">
        <w:t xml:space="preserve"> from the </w:t>
      </w:r>
      <w:r w:rsidRPr="00B108E2">
        <w:t>International Association for the Evaluation of Educational Achievement</w:t>
      </w:r>
      <w:r w:rsidR="00862386">
        <w:t xml:space="preserve"> (IEA)</w:t>
      </w:r>
      <w:r w:rsidR="00E717DF">
        <w:t xml:space="preserve"> suggests </w:t>
      </w:r>
      <w:r w:rsidR="002D24A8">
        <w:t xml:space="preserve">a strong </w:t>
      </w:r>
      <w:r w:rsidR="007E0F9A">
        <w:t>association between program coheren</w:t>
      </w:r>
      <w:r w:rsidR="007A4BD8">
        <w:t>ce</w:t>
      </w:r>
      <w:r w:rsidR="007E0F9A">
        <w:t xml:space="preserve"> and graduate teacher preparedness for teaching</w:t>
      </w:r>
      <w:r w:rsidR="00E717DF">
        <w:t xml:space="preserve"> </w:t>
      </w:r>
      <w:r w:rsidR="00E717DF">
        <w:fldChar w:fldCharType="begin"/>
      </w:r>
      <w:r w:rsidR="00E717DF">
        <w:instrText xml:space="preserve"> ADDIN ZOTERO_ITEM CSL_CITATION {"citationID":"iTyGnob2","properties":{"formattedCitation":"(Tatto 2012)","plainCitation":"(Tatto 2012)","noteIndex":0},"citationItems":[{"id":17677,"uris":["http://zotero.org/users/10549213/items/DN5PJKWF"],"itemData":{"id":17677,"type":"book","event-place":"Amsterdam","ISBN":"978-90-79549-12-2","language":"English","note":"section: 295 pages : illustrations ; 30 cm","number-of-pages":"295","publisher":"International Association for the Evaluation of Educational Achievement (IEA)","publisher-place":"Amsterdam","source":"WorldCat Discovery Service","title":"Policy, practice, and readiness to teach primary and secondary mathematics in 17 countries: findings from the IEA Teacher Education and Development Study in Mathematics (TEDS-M)","title-short":"Policy, practice, and readiness to teach primary and secondary mathematics in 17 countries","author":[{"family":"Tatto","given":"Maria Teresa"}],"issued":{"date-parts":[["2012"]]}}}],"schema":"https://github.com/citation-style-language/schema/raw/master/csl-citation.json"} </w:instrText>
      </w:r>
      <w:r w:rsidR="00E717DF">
        <w:fldChar w:fldCharType="separate"/>
      </w:r>
      <w:r w:rsidR="00E717DF" w:rsidRPr="00E717DF">
        <w:t>(Tatto 2012)</w:t>
      </w:r>
      <w:r w:rsidR="00E717DF">
        <w:fldChar w:fldCharType="end"/>
      </w:r>
      <w:r w:rsidR="007E0F9A">
        <w:t xml:space="preserve">. </w:t>
      </w:r>
      <w:r w:rsidR="00124C10">
        <w:t xml:space="preserve">Key features of program coherence </w:t>
      </w:r>
      <w:r w:rsidR="00862386">
        <w:t>were identified as</w:t>
      </w:r>
      <w:r w:rsidR="00124C10">
        <w:t xml:space="preserve">: </w:t>
      </w:r>
      <w:r w:rsidR="004839BE">
        <w:t>organising the program to integrate evidence-based teaching practice</w:t>
      </w:r>
      <w:r w:rsidR="00955234">
        <w:t>s</w:t>
      </w:r>
      <w:r w:rsidR="001154FC">
        <w:t>, sequencing the program to m</w:t>
      </w:r>
      <w:r w:rsidR="00D463F0">
        <w:t>eet pre-service teachers’ learning needs</w:t>
      </w:r>
      <w:r w:rsidR="00124C10">
        <w:t xml:space="preserve"> and build on prior learning, </w:t>
      </w:r>
      <w:r w:rsidR="00955234">
        <w:t xml:space="preserve">explicitly linking </w:t>
      </w:r>
      <w:r w:rsidR="004C2B49">
        <w:t>units</w:t>
      </w:r>
      <w:r w:rsidR="00955234">
        <w:t xml:space="preserve"> across the program, and </w:t>
      </w:r>
      <w:r w:rsidR="001154FC">
        <w:t xml:space="preserve">clearly aligning </w:t>
      </w:r>
      <w:r w:rsidR="004C2B49">
        <w:t>units</w:t>
      </w:r>
      <w:r w:rsidR="001154FC">
        <w:t xml:space="preserve"> with the Teacher Standards</w:t>
      </w:r>
      <w:r w:rsidR="00055AE5">
        <w:t xml:space="preserve">. </w:t>
      </w:r>
    </w:p>
    <w:p w14:paraId="0BAC7B93" w14:textId="4634049E" w:rsidR="009B4175" w:rsidRDefault="009B4175" w:rsidP="009B4175">
      <w:r>
        <w:t>A research report from the Australian Council for Education Research</w:t>
      </w:r>
      <w:r w:rsidRPr="00E93871">
        <w:t xml:space="preserve"> </w:t>
      </w:r>
      <w:r>
        <w:t xml:space="preserve">(ACER) identified that clearly defined Teacher Standards synthesise education research into a vision of effective teaching to guide program design, delivery and assessment </w:t>
      </w:r>
      <w:r>
        <w:fldChar w:fldCharType="begin"/>
      </w:r>
      <w:r>
        <w:instrText xml:space="preserve"> ADDIN ZOTERO_ITEM CSL_CITATION {"citationID":"R7JKjJrp","properties":{"formattedCitation":"(Ingvarson et al. 2014)","plainCitation":"(Ingvarson et al. 2014)","noteIndex":0},"citationItems":[{"id":43,"uris":["http://zotero.org/users/10549213/items/5RT9BBPH"],"itemData":{"id":43,"type":"report","event-place":"Canberra","language":"en","publisher":"Department of Education","publisher-place":"Canberra","source":"Zotero","title":"Best practice teacher education programs and Australia’s own programs","author":[{"family":"Ingvarson","given":"Lawrence"},{"family":"Reid","given":"Kate"},{"family":"Buckley","given":"Sarah"},{"family":"Kleinhenz","given":"Elizabeth"},{"family":"Masters","given":"Geoff"},{"family":"Rowley","given":"Glenn"}],"issued":{"date-parts":[["2014"]]}}}],"schema":"https://github.com/citation-style-language/schema/raw/master/csl-citation.json"} </w:instrText>
      </w:r>
      <w:r>
        <w:fldChar w:fldCharType="separate"/>
      </w:r>
      <w:r w:rsidRPr="006A0F5B">
        <w:t>(Ingvarson et al. 2014)</w:t>
      </w:r>
      <w:r>
        <w:fldChar w:fldCharType="end"/>
      </w:r>
      <w:r>
        <w:t xml:space="preserve">. The report </w:t>
      </w:r>
      <w:r w:rsidR="00350C8C">
        <w:t>highlighted</w:t>
      </w:r>
      <w:r w:rsidRPr="00E93871">
        <w:t xml:space="preserve"> four core components</w:t>
      </w:r>
      <w:r w:rsidRPr="00F8288E">
        <w:t xml:space="preserve"> </w:t>
      </w:r>
      <w:r>
        <w:t>of</w:t>
      </w:r>
      <w:r w:rsidRPr="00E93871">
        <w:t xml:space="preserve"> standards-based education systems</w:t>
      </w:r>
      <w:r>
        <w:t>:</w:t>
      </w:r>
    </w:p>
    <w:p w14:paraId="730D5C63" w14:textId="77777777" w:rsidR="009B4175" w:rsidRDefault="009B4175" w:rsidP="009B4175">
      <w:pPr>
        <w:pStyle w:val="ListParagraph"/>
        <w:numPr>
          <w:ilvl w:val="0"/>
          <w:numId w:val="19"/>
        </w:numPr>
      </w:pPr>
      <w:r>
        <w:t>Standards clearly describe the knowledge and skills required for classroom-ready graduate teachers and are used to guide ITE program planning.</w:t>
      </w:r>
    </w:p>
    <w:p w14:paraId="629E45B0" w14:textId="77777777" w:rsidR="009B4175" w:rsidRDefault="009B4175" w:rsidP="009B4175">
      <w:pPr>
        <w:pStyle w:val="ListParagraph"/>
        <w:numPr>
          <w:ilvl w:val="0"/>
          <w:numId w:val="19"/>
        </w:numPr>
      </w:pPr>
      <w:r>
        <w:t>Coherent professional learning is achieved by mapping all units against the Teacher Standards and ensuring the program collectively meets the developmental requirements for graduate teacher registration.</w:t>
      </w:r>
    </w:p>
    <w:p w14:paraId="6CE4575D" w14:textId="77777777" w:rsidR="009B4175" w:rsidRDefault="009B4175" w:rsidP="009B4175">
      <w:pPr>
        <w:pStyle w:val="ListParagraph"/>
        <w:numPr>
          <w:ilvl w:val="0"/>
          <w:numId w:val="19"/>
        </w:numPr>
      </w:pPr>
      <w:r>
        <w:t>Effective assessments are sequenced throughout the program to provide reliable evidence that pre-service teachers have developed the required skills and knowledge for classroom teaching.</w:t>
      </w:r>
    </w:p>
    <w:p w14:paraId="0EF8703E" w14:textId="77777777" w:rsidR="009B4175" w:rsidRDefault="009B4175" w:rsidP="009B4175">
      <w:pPr>
        <w:pStyle w:val="ListParagraph"/>
        <w:numPr>
          <w:ilvl w:val="0"/>
          <w:numId w:val="19"/>
        </w:numPr>
      </w:pPr>
      <w:r>
        <w:t>Accreditation of ITE programs is conducted by an independent body and is based on evidence that the Teacher Standards are being met by graduates.</w:t>
      </w:r>
    </w:p>
    <w:p w14:paraId="6BF6ABE6" w14:textId="77777777" w:rsidR="009B4175" w:rsidRDefault="009B4175" w:rsidP="009B4175">
      <w:r>
        <w:t xml:space="preserve">A recent review of five high-achieving countries reported that most of their education systems incorporated standards, which were developed from research on effective teaching practice and articulated the skills and knowledge expected of graduate teachers in order to define and support teaching quality </w:t>
      </w:r>
      <w:r>
        <w:fldChar w:fldCharType="begin"/>
      </w:r>
      <w:r>
        <w:instrText xml:space="preserve"> ADDIN ZOTERO_ITEM CSL_CITATION {"citationID":"vnWHgARs","properties":{"formattedCitation":"(Darling-Hammond 2021)","plainCitation":"(Darling-Hammond 2021)","noteIndex":0},"citationItems":[{"id":17712,"uris":["http://zotero.org/users/10549213/items/7JTD2F6N"],"itemData":{"id":17712,"type":"article-journal","abstract":"Definitions of teaching quality differ across jurisdictions and have evolved over time. Drawing on a study of five high-achieving countries with strong supports for teachers' professional learning and practice, this article describes the perspectives on good teaching rooted in standards for entry, preparation, and practice. These nations increasingly see teaching as rooted in a wide-ranging knowledge base that combines an understanding of content, pedagogy, and learners to focus on meeting students' diverse social, emotional, and academic needs. These jurisdictions also define teaching quality as rooted in ongoing research and inquiry on the part of teachers – a means of developing knowledge for teaching that is at the core of professional practice.","container-title":"European Journal of Teacher Education","DOI":"10.1080/02619768.2021.1919080","ISSN":"02619768","issue":"3","page":"295-308","source":"EBSCOhost","title":"Defining teaching quality around the world","volume":"44","author":[{"family":"Darling-Hammond","given":"Linda"}],"issued":{"date-parts":[["2021",7]]}}}],"schema":"https://github.com/citation-style-language/schema/raw/master/csl-citation.json"} </w:instrText>
      </w:r>
      <w:r>
        <w:fldChar w:fldCharType="separate"/>
      </w:r>
      <w:r w:rsidRPr="00F160C1">
        <w:t>(Darling-Hammond 2021)</w:t>
      </w:r>
      <w:r>
        <w:fldChar w:fldCharType="end"/>
      </w:r>
      <w:r>
        <w:t>.</w:t>
      </w:r>
    </w:p>
    <w:p w14:paraId="471A2380" w14:textId="37B9DF85" w:rsidR="002D127A" w:rsidRPr="005B646E" w:rsidRDefault="005C672F" w:rsidP="00226621">
      <w:pPr>
        <w:pStyle w:val="Heading3"/>
      </w:pPr>
      <w:r>
        <w:t xml:space="preserve">How does this align with the </w:t>
      </w:r>
      <w:r w:rsidR="00B0176C">
        <w:t>National Program Standards</w:t>
      </w:r>
      <w:r>
        <w:t>?</w:t>
      </w:r>
    </w:p>
    <w:p w14:paraId="11D173CB" w14:textId="6EA3A081" w:rsidR="00C55956" w:rsidRDefault="003A52F8" w:rsidP="00F96A7A">
      <w:r>
        <w:t xml:space="preserve">Program Standard 2 </w:t>
      </w:r>
      <w:r w:rsidR="00B51C3F">
        <w:t xml:space="preserve">outlines </w:t>
      </w:r>
      <w:r>
        <w:t>‘a documented and coherent rationale’ and ‘a coherent and sequenced delivery of program content</w:t>
      </w:r>
      <w:r w:rsidR="00623ED9">
        <w:t>,</w:t>
      </w:r>
      <w:r>
        <w:t>’</w:t>
      </w:r>
      <w:r w:rsidR="00623ED9">
        <w:t xml:space="preserve"> while Program Standard 1 outlines alignment with Teacher Standards.</w:t>
      </w:r>
      <w:r w:rsidR="00801D8D">
        <w:t xml:space="preserve"> </w:t>
      </w:r>
      <w:proofErr w:type="gramStart"/>
      <w:r w:rsidR="00510D71">
        <w:t>However</w:t>
      </w:r>
      <w:proofErr w:type="gramEnd"/>
      <w:r w:rsidR="00510D71">
        <w:t xml:space="preserve"> neither of these</w:t>
      </w:r>
      <w:r w:rsidR="0053214F">
        <w:t xml:space="preserve"> </w:t>
      </w:r>
      <w:r w:rsidR="00623ED9">
        <w:t>standards</w:t>
      </w:r>
      <w:r w:rsidR="0053214F">
        <w:t xml:space="preserve"> refer to a</w:t>
      </w:r>
      <w:r w:rsidR="00CE27F4">
        <w:t xml:space="preserve"> </w:t>
      </w:r>
      <w:r w:rsidR="0053214F">
        <w:t>vision of effective teaching</w:t>
      </w:r>
      <w:r w:rsidR="00CE27F4">
        <w:t>.</w:t>
      </w:r>
    </w:p>
    <w:p w14:paraId="0D3DDBA7" w14:textId="17B5DE44" w:rsidR="00CC0B55" w:rsidRDefault="00CC0B55" w:rsidP="00F96A7A">
      <w:r>
        <w:t>The relevant Program Standards are included in Appendix A</w:t>
      </w:r>
      <w:r w:rsidR="00513A4C">
        <w:t xml:space="preserve"> for reference.</w:t>
      </w:r>
    </w:p>
    <w:p w14:paraId="3BA49963" w14:textId="795B2E47" w:rsidR="00810133" w:rsidRPr="005B646E" w:rsidRDefault="00E956C1" w:rsidP="00171F66">
      <w:pPr>
        <w:pStyle w:val="Heading2"/>
      </w:pPr>
      <w:r w:rsidRPr="005B646E">
        <w:lastRenderedPageBreak/>
        <w:t xml:space="preserve">Principle </w:t>
      </w:r>
      <w:r w:rsidR="00737CE6">
        <w:t>2</w:t>
      </w:r>
      <w:r w:rsidRPr="005B646E">
        <w:t xml:space="preserve">. </w:t>
      </w:r>
      <w:r w:rsidR="00E34DB3">
        <w:t>Content</w:t>
      </w:r>
      <w:r w:rsidR="003212DC">
        <w:br/>
      </w:r>
      <w:r w:rsidR="00E34DB3">
        <w:t>Core program content</w:t>
      </w:r>
      <w:r w:rsidR="00EA24B9">
        <w:t xml:space="preserve"> </w:t>
      </w:r>
      <w:r w:rsidRPr="005B646E">
        <w:t>grounded in</w:t>
      </w:r>
      <w:r w:rsidR="0082121C" w:rsidRPr="005B646E">
        <w:t xml:space="preserve"> </w:t>
      </w:r>
      <w:r w:rsidR="00634DBC">
        <w:t>the evidence base</w:t>
      </w:r>
    </w:p>
    <w:p w14:paraId="6F190775" w14:textId="386F447C" w:rsidR="00B843F7" w:rsidRPr="005B646E" w:rsidRDefault="00B843F7" w:rsidP="00226621">
      <w:pPr>
        <w:pStyle w:val="Heading3"/>
      </w:pPr>
      <w:r w:rsidRPr="005B646E">
        <w:t>What does it look like?</w:t>
      </w:r>
    </w:p>
    <w:p w14:paraId="148E44DC" w14:textId="17CC703B" w:rsidR="009139C7" w:rsidRDefault="00FE2A3B" w:rsidP="00FA7FF8">
      <w:pPr>
        <w:suppressAutoHyphens w:val="0"/>
        <w:spacing w:before="0" w:line="259" w:lineRule="auto"/>
        <w:rPr>
          <w:rFonts w:eastAsia="Calibri" w:cs="Times New Roman"/>
          <w:szCs w:val="22"/>
        </w:rPr>
      </w:pPr>
      <w:r>
        <w:rPr>
          <w:rFonts w:eastAsia="Calibri" w:cs="Times New Roman"/>
          <w:szCs w:val="22"/>
        </w:rPr>
        <w:t>Core program content</w:t>
      </w:r>
      <w:r w:rsidR="00E42400">
        <w:rPr>
          <w:rFonts w:eastAsia="Calibri" w:cs="Times New Roman"/>
          <w:szCs w:val="22"/>
        </w:rPr>
        <w:t xml:space="preserve"> grounded in effective </w:t>
      </w:r>
      <w:r w:rsidR="00287F34">
        <w:rPr>
          <w:rFonts w:eastAsia="Calibri" w:cs="Times New Roman"/>
          <w:szCs w:val="22"/>
        </w:rPr>
        <w:t xml:space="preserve">teaching </w:t>
      </w:r>
      <w:r w:rsidR="00E42400">
        <w:rPr>
          <w:rFonts w:eastAsia="Calibri" w:cs="Times New Roman"/>
          <w:szCs w:val="22"/>
        </w:rPr>
        <w:t>practice</w:t>
      </w:r>
      <w:r w:rsidR="006C17C2">
        <w:rPr>
          <w:rFonts w:eastAsia="Calibri" w:cs="Times New Roman"/>
          <w:szCs w:val="22"/>
        </w:rPr>
        <w:t xml:space="preserve"> is important to build </w:t>
      </w:r>
      <w:r w:rsidR="002453F4">
        <w:rPr>
          <w:rFonts w:eastAsia="Calibri" w:cs="Times New Roman"/>
          <w:szCs w:val="22"/>
        </w:rPr>
        <w:t xml:space="preserve">quality and </w:t>
      </w:r>
      <w:r w:rsidR="007A58D8">
        <w:rPr>
          <w:rFonts w:eastAsia="Calibri" w:cs="Times New Roman"/>
          <w:szCs w:val="22"/>
        </w:rPr>
        <w:t>ensure</w:t>
      </w:r>
      <w:r w:rsidR="000F6C00">
        <w:rPr>
          <w:rFonts w:eastAsia="Calibri" w:cs="Times New Roman"/>
          <w:szCs w:val="22"/>
        </w:rPr>
        <w:t xml:space="preserve"> evidence-based practices</w:t>
      </w:r>
      <w:r w:rsidR="00477B9B">
        <w:rPr>
          <w:rFonts w:eastAsia="Calibri" w:cs="Times New Roman"/>
          <w:szCs w:val="22"/>
        </w:rPr>
        <w:t xml:space="preserve"> </w:t>
      </w:r>
      <w:r w:rsidR="007A58D8">
        <w:rPr>
          <w:rFonts w:eastAsia="Calibri" w:cs="Times New Roman"/>
          <w:szCs w:val="22"/>
        </w:rPr>
        <w:t xml:space="preserve">are consistently embedded </w:t>
      </w:r>
      <w:r w:rsidR="000F6C00">
        <w:rPr>
          <w:rFonts w:eastAsia="Calibri" w:cs="Times New Roman"/>
          <w:szCs w:val="22"/>
        </w:rPr>
        <w:t xml:space="preserve">in </w:t>
      </w:r>
      <w:r w:rsidR="006C17C2">
        <w:rPr>
          <w:rFonts w:eastAsia="Calibri" w:cs="Times New Roman"/>
          <w:szCs w:val="22"/>
        </w:rPr>
        <w:t xml:space="preserve">ITE programs. </w:t>
      </w:r>
      <w:r w:rsidR="007E23F9">
        <w:rPr>
          <w:rFonts w:eastAsia="Calibri" w:cs="Times New Roman"/>
          <w:szCs w:val="22"/>
        </w:rPr>
        <w:t>The foundational core content</w:t>
      </w:r>
      <w:r w:rsidR="00E42400" w:rsidRPr="00E42400">
        <w:rPr>
          <w:rFonts w:eastAsia="Calibri" w:cs="Times New Roman"/>
          <w:szCs w:val="22"/>
        </w:rPr>
        <w:t xml:space="preserve"> </w:t>
      </w:r>
      <w:r w:rsidR="00A5437A">
        <w:rPr>
          <w:rFonts w:eastAsia="Calibri" w:cs="Times New Roman"/>
          <w:szCs w:val="22"/>
        </w:rPr>
        <w:t xml:space="preserve">should be </w:t>
      </w:r>
      <w:r w:rsidR="00A5437A" w:rsidRPr="005B646E">
        <w:rPr>
          <w:rFonts w:eastAsia="Calibri" w:cs="Times New Roman"/>
          <w:szCs w:val="22"/>
        </w:rPr>
        <w:t>taught explicitly early in the program</w:t>
      </w:r>
      <w:r w:rsidR="00A5437A">
        <w:rPr>
          <w:rFonts w:eastAsia="Calibri" w:cs="Times New Roman"/>
          <w:szCs w:val="22"/>
        </w:rPr>
        <w:t xml:space="preserve"> and</w:t>
      </w:r>
      <w:r w:rsidR="00A5437A" w:rsidRPr="005B646E">
        <w:rPr>
          <w:rFonts w:eastAsia="Calibri" w:cs="Times New Roman"/>
          <w:szCs w:val="22"/>
        </w:rPr>
        <w:t xml:space="preserve"> </w:t>
      </w:r>
      <w:r w:rsidR="00A5437A">
        <w:rPr>
          <w:rFonts w:eastAsia="Calibri" w:cs="Times New Roman"/>
          <w:szCs w:val="22"/>
        </w:rPr>
        <w:t xml:space="preserve">woven across </w:t>
      </w:r>
      <w:r w:rsidR="00A5437A" w:rsidRPr="005B646E">
        <w:rPr>
          <w:rFonts w:eastAsia="Calibri" w:cs="Times New Roman"/>
          <w:szCs w:val="22"/>
        </w:rPr>
        <w:t xml:space="preserve">the entire </w:t>
      </w:r>
      <w:r w:rsidR="00466FF8">
        <w:rPr>
          <w:rFonts w:eastAsia="Calibri" w:cs="Times New Roman"/>
          <w:szCs w:val="22"/>
        </w:rPr>
        <w:t>program</w:t>
      </w:r>
      <w:r w:rsidR="00A5437A">
        <w:rPr>
          <w:rFonts w:eastAsia="Calibri" w:cs="Times New Roman"/>
          <w:szCs w:val="22"/>
        </w:rPr>
        <w:t xml:space="preserve">. </w:t>
      </w:r>
    </w:p>
    <w:p w14:paraId="074B0F06" w14:textId="095432B2" w:rsidR="00DC3C2E" w:rsidRDefault="00A5437A" w:rsidP="00FA7FF8">
      <w:pPr>
        <w:suppressAutoHyphens w:val="0"/>
        <w:spacing w:before="0" w:line="259" w:lineRule="auto"/>
        <w:rPr>
          <w:rFonts w:eastAsia="Calibri" w:cs="Times New Roman"/>
          <w:szCs w:val="22"/>
        </w:rPr>
      </w:pPr>
      <w:r>
        <w:rPr>
          <w:rFonts w:eastAsia="Calibri" w:cs="Times New Roman"/>
          <w:szCs w:val="22"/>
        </w:rPr>
        <w:t xml:space="preserve">This includes the foundational core content </w:t>
      </w:r>
      <w:r w:rsidR="00735434">
        <w:rPr>
          <w:rFonts w:eastAsia="Calibri" w:cs="Times New Roman"/>
          <w:szCs w:val="22"/>
        </w:rPr>
        <w:t>relating</w:t>
      </w:r>
      <w:r w:rsidR="003A2E23">
        <w:rPr>
          <w:rFonts w:eastAsia="Calibri" w:cs="Times New Roman"/>
          <w:szCs w:val="22"/>
        </w:rPr>
        <w:t xml:space="preserve"> to pedagogical practice (</w:t>
      </w:r>
      <w:r w:rsidR="00813D40">
        <w:rPr>
          <w:rFonts w:eastAsia="Calibri" w:cs="Times New Roman"/>
          <w:szCs w:val="22"/>
        </w:rPr>
        <w:t xml:space="preserve">the </w:t>
      </w:r>
      <w:r w:rsidR="00FA7FF8">
        <w:rPr>
          <w:rFonts w:eastAsia="Calibri" w:cs="Times New Roman"/>
          <w:szCs w:val="22"/>
        </w:rPr>
        <w:t>b</w:t>
      </w:r>
      <w:r w:rsidR="00813D40">
        <w:rPr>
          <w:rFonts w:eastAsia="Calibri" w:cs="Times New Roman"/>
          <w:szCs w:val="22"/>
        </w:rPr>
        <w:t xml:space="preserve">rain and </w:t>
      </w:r>
      <w:r w:rsidR="00FA7FF8">
        <w:rPr>
          <w:rFonts w:eastAsia="Calibri" w:cs="Times New Roman"/>
          <w:szCs w:val="22"/>
        </w:rPr>
        <w:t>l</w:t>
      </w:r>
      <w:r w:rsidR="00813D40">
        <w:rPr>
          <w:rFonts w:eastAsia="Calibri" w:cs="Times New Roman"/>
          <w:szCs w:val="22"/>
        </w:rPr>
        <w:t xml:space="preserve">earning, </w:t>
      </w:r>
      <w:r w:rsidR="00FA7FF8">
        <w:rPr>
          <w:rFonts w:eastAsia="Calibri" w:cs="Times New Roman"/>
          <w:szCs w:val="22"/>
        </w:rPr>
        <w:t>e</w:t>
      </w:r>
      <w:r w:rsidR="00B7193C">
        <w:rPr>
          <w:rFonts w:eastAsia="Calibri" w:cs="Times New Roman"/>
          <w:szCs w:val="22"/>
        </w:rPr>
        <w:t xml:space="preserve">ffective </w:t>
      </w:r>
      <w:r w:rsidR="00FA7FF8">
        <w:rPr>
          <w:rFonts w:eastAsia="Calibri" w:cs="Times New Roman"/>
          <w:szCs w:val="22"/>
        </w:rPr>
        <w:t>p</w:t>
      </w:r>
      <w:r w:rsidR="00B7193C">
        <w:rPr>
          <w:rFonts w:eastAsia="Calibri" w:cs="Times New Roman"/>
          <w:szCs w:val="22"/>
        </w:rPr>
        <w:t xml:space="preserve">edagogical </w:t>
      </w:r>
      <w:r w:rsidR="00FA7FF8">
        <w:rPr>
          <w:rFonts w:eastAsia="Calibri" w:cs="Times New Roman"/>
          <w:szCs w:val="22"/>
        </w:rPr>
        <w:t>p</w:t>
      </w:r>
      <w:r w:rsidR="00B7193C">
        <w:rPr>
          <w:rFonts w:eastAsia="Calibri" w:cs="Times New Roman"/>
          <w:szCs w:val="22"/>
        </w:rPr>
        <w:t>ractice</w:t>
      </w:r>
      <w:r w:rsidR="009139C7">
        <w:rPr>
          <w:rFonts w:eastAsia="Calibri" w:cs="Times New Roman"/>
          <w:szCs w:val="22"/>
        </w:rPr>
        <w:t>,</w:t>
      </w:r>
      <w:r w:rsidR="00813D40">
        <w:rPr>
          <w:rFonts w:eastAsia="Calibri" w:cs="Times New Roman"/>
          <w:szCs w:val="22"/>
        </w:rPr>
        <w:t xml:space="preserve"> </w:t>
      </w:r>
      <w:r w:rsidR="00FA7FF8">
        <w:rPr>
          <w:rFonts w:eastAsia="Calibri" w:cs="Times New Roman"/>
          <w:szCs w:val="22"/>
        </w:rPr>
        <w:t>c</w:t>
      </w:r>
      <w:r w:rsidR="00B7193C">
        <w:rPr>
          <w:rFonts w:eastAsia="Calibri" w:cs="Times New Roman"/>
          <w:szCs w:val="22"/>
        </w:rPr>
        <w:t xml:space="preserve">lassroom </w:t>
      </w:r>
      <w:r w:rsidR="00FA7FF8">
        <w:rPr>
          <w:rFonts w:eastAsia="Calibri" w:cs="Times New Roman"/>
          <w:szCs w:val="22"/>
        </w:rPr>
        <w:t>m</w:t>
      </w:r>
      <w:r w:rsidR="00B7193C">
        <w:rPr>
          <w:rFonts w:eastAsia="Calibri" w:cs="Times New Roman"/>
          <w:szCs w:val="22"/>
        </w:rPr>
        <w:t>anagement</w:t>
      </w:r>
      <w:r w:rsidR="003A2E23">
        <w:rPr>
          <w:rFonts w:eastAsia="Calibri" w:cs="Times New Roman"/>
          <w:szCs w:val="22"/>
        </w:rPr>
        <w:t xml:space="preserve">) and </w:t>
      </w:r>
      <w:r w:rsidR="00AE44DE">
        <w:rPr>
          <w:rFonts w:eastAsia="Calibri" w:cs="Times New Roman"/>
          <w:szCs w:val="22"/>
        </w:rPr>
        <w:t xml:space="preserve">key </w:t>
      </w:r>
      <w:r w:rsidR="00FA7FF8">
        <w:rPr>
          <w:rFonts w:eastAsia="Calibri" w:cs="Times New Roman"/>
          <w:szCs w:val="22"/>
        </w:rPr>
        <w:t>e</w:t>
      </w:r>
      <w:r w:rsidR="00CE629E">
        <w:rPr>
          <w:rFonts w:eastAsia="Calibri" w:cs="Times New Roman"/>
          <w:szCs w:val="22"/>
        </w:rPr>
        <w:t xml:space="preserve">nabling </w:t>
      </w:r>
      <w:r w:rsidR="00FA7FF8">
        <w:rPr>
          <w:rFonts w:eastAsia="Calibri" w:cs="Times New Roman"/>
          <w:szCs w:val="22"/>
        </w:rPr>
        <w:t>f</w:t>
      </w:r>
      <w:r w:rsidR="00CE629E">
        <w:rPr>
          <w:rFonts w:eastAsia="Calibri" w:cs="Times New Roman"/>
          <w:szCs w:val="22"/>
        </w:rPr>
        <w:t xml:space="preserve">actors for </w:t>
      </w:r>
      <w:r w:rsidR="00FA7FF8">
        <w:rPr>
          <w:rFonts w:eastAsia="Calibri" w:cs="Times New Roman"/>
          <w:szCs w:val="22"/>
        </w:rPr>
        <w:t>l</w:t>
      </w:r>
      <w:r w:rsidR="00CE629E">
        <w:rPr>
          <w:rFonts w:eastAsia="Calibri" w:cs="Times New Roman"/>
          <w:szCs w:val="22"/>
        </w:rPr>
        <w:t xml:space="preserve">earning </w:t>
      </w:r>
      <w:r w:rsidR="009139C7">
        <w:rPr>
          <w:rFonts w:eastAsia="Calibri" w:cs="Times New Roman"/>
          <w:szCs w:val="22"/>
        </w:rPr>
        <w:t>(</w:t>
      </w:r>
      <w:r w:rsidR="005A17D1">
        <w:rPr>
          <w:rFonts w:eastAsia="Calibri" w:cs="Times New Roman"/>
          <w:szCs w:val="22"/>
        </w:rPr>
        <w:t>c</w:t>
      </w:r>
      <w:r w:rsidR="00FA7FF8" w:rsidRPr="00FA7FF8">
        <w:rPr>
          <w:rFonts w:eastAsia="Calibri" w:cs="Times New Roman"/>
          <w:szCs w:val="22"/>
        </w:rPr>
        <w:t>ultural responsiveness</w:t>
      </w:r>
      <w:r w:rsidR="005A17D1">
        <w:rPr>
          <w:rFonts w:eastAsia="Calibri" w:cs="Times New Roman"/>
          <w:szCs w:val="22"/>
        </w:rPr>
        <w:t xml:space="preserve">, family engagement, diverse </w:t>
      </w:r>
      <w:proofErr w:type="gramStart"/>
      <w:r w:rsidR="005A17D1">
        <w:rPr>
          <w:rFonts w:eastAsia="Calibri" w:cs="Times New Roman"/>
          <w:szCs w:val="22"/>
        </w:rPr>
        <w:t>learners</w:t>
      </w:r>
      <w:proofErr w:type="gramEnd"/>
      <w:r w:rsidR="005A17D1">
        <w:rPr>
          <w:rFonts w:eastAsia="Calibri" w:cs="Times New Roman"/>
          <w:szCs w:val="22"/>
        </w:rPr>
        <w:t xml:space="preserve"> and students with additional </w:t>
      </w:r>
      <w:r>
        <w:rPr>
          <w:rFonts w:eastAsia="Calibri" w:cs="Times New Roman"/>
          <w:szCs w:val="22"/>
        </w:rPr>
        <w:t>needs)</w:t>
      </w:r>
      <w:r w:rsidR="008776F3">
        <w:rPr>
          <w:rFonts w:eastAsia="Calibri" w:cs="Times New Roman"/>
          <w:szCs w:val="22"/>
        </w:rPr>
        <w:t>.</w:t>
      </w:r>
      <w:r>
        <w:rPr>
          <w:rFonts w:eastAsia="Calibri" w:cs="Times New Roman"/>
          <w:szCs w:val="22"/>
        </w:rPr>
        <w:t xml:space="preserve"> </w:t>
      </w:r>
    </w:p>
    <w:p w14:paraId="35E30F06" w14:textId="74C82F94" w:rsidR="00B25751" w:rsidRDefault="00B14F6B" w:rsidP="0036614F">
      <w:pPr>
        <w:suppressAutoHyphens w:val="0"/>
        <w:spacing w:before="0" w:line="259" w:lineRule="auto"/>
        <w:contextualSpacing/>
        <w:rPr>
          <w:rFonts w:eastAsia="Calibri" w:cs="Times New Roman"/>
          <w:szCs w:val="22"/>
        </w:rPr>
      </w:pPr>
      <w:r>
        <w:rPr>
          <w:rFonts w:eastAsia="Calibri" w:cs="Times New Roman"/>
          <w:szCs w:val="22"/>
        </w:rPr>
        <w:t xml:space="preserve">Integrating the </w:t>
      </w:r>
      <w:r w:rsidR="003F409D">
        <w:rPr>
          <w:rFonts w:eastAsia="Calibri" w:cs="Times New Roman"/>
          <w:szCs w:val="22"/>
        </w:rPr>
        <w:t>foundational core content</w:t>
      </w:r>
      <w:r>
        <w:rPr>
          <w:rFonts w:eastAsia="Calibri" w:cs="Times New Roman"/>
          <w:szCs w:val="22"/>
        </w:rPr>
        <w:t xml:space="preserve"> </w:t>
      </w:r>
      <w:r w:rsidR="003323AC">
        <w:rPr>
          <w:rFonts w:eastAsia="Calibri" w:cs="Times New Roman"/>
          <w:szCs w:val="22"/>
        </w:rPr>
        <w:t xml:space="preserve">is important to </w:t>
      </w:r>
      <w:r w:rsidR="00EE7A0F">
        <w:rPr>
          <w:rFonts w:eastAsia="Calibri" w:cs="Times New Roman"/>
          <w:szCs w:val="22"/>
        </w:rPr>
        <w:t xml:space="preserve">ensure </w:t>
      </w:r>
      <w:r w:rsidR="00BB3E0C">
        <w:rPr>
          <w:rFonts w:eastAsia="Calibri" w:cs="Times New Roman"/>
          <w:szCs w:val="22"/>
        </w:rPr>
        <w:t>the essential skills and knowledge are taught in</w:t>
      </w:r>
      <w:r w:rsidR="00EE7A0F">
        <w:rPr>
          <w:rFonts w:eastAsia="Calibri" w:cs="Times New Roman"/>
          <w:szCs w:val="22"/>
        </w:rPr>
        <w:t xml:space="preserve"> all</w:t>
      </w:r>
      <w:r w:rsidR="00AF6E43">
        <w:rPr>
          <w:rFonts w:eastAsia="Calibri" w:cs="Times New Roman"/>
          <w:szCs w:val="22"/>
        </w:rPr>
        <w:t xml:space="preserve"> ITE </w:t>
      </w:r>
      <w:r w:rsidR="00BB3E0C">
        <w:rPr>
          <w:rFonts w:eastAsia="Calibri" w:cs="Times New Roman"/>
          <w:szCs w:val="22"/>
        </w:rPr>
        <w:t>programs</w:t>
      </w:r>
      <w:r w:rsidR="00AF6E43">
        <w:rPr>
          <w:rFonts w:eastAsia="Calibri" w:cs="Times New Roman"/>
          <w:szCs w:val="22"/>
        </w:rPr>
        <w:t xml:space="preserve"> </w:t>
      </w:r>
      <w:r w:rsidR="003A067B">
        <w:rPr>
          <w:rFonts w:eastAsia="Calibri" w:cs="Times New Roman"/>
          <w:szCs w:val="22"/>
        </w:rPr>
        <w:t xml:space="preserve">and </w:t>
      </w:r>
      <w:r w:rsidR="00EE7A0F">
        <w:rPr>
          <w:rFonts w:eastAsia="Calibri" w:cs="Times New Roman"/>
          <w:szCs w:val="22"/>
        </w:rPr>
        <w:t xml:space="preserve">to </w:t>
      </w:r>
      <w:r w:rsidR="003A067B">
        <w:rPr>
          <w:rFonts w:eastAsia="Calibri" w:cs="Times New Roman"/>
          <w:szCs w:val="22"/>
        </w:rPr>
        <w:t>support the</w:t>
      </w:r>
      <w:r w:rsidR="0036614F">
        <w:rPr>
          <w:rFonts w:eastAsia="Calibri" w:cs="Times New Roman"/>
          <w:szCs w:val="22"/>
        </w:rPr>
        <w:t xml:space="preserve"> </w:t>
      </w:r>
      <w:r w:rsidR="00B2007A" w:rsidRPr="005B646E">
        <w:rPr>
          <w:rFonts w:eastAsia="Calibri" w:cs="Times New Roman"/>
          <w:szCs w:val="22"/>
        </w:rPr>
        <w:t>development of high</w:t>
      </w:r>
      <w:r w:rsidR="00E8436A" w:rsidRPr="005B646E">
        <w:rPr>
          <w:rFonts w:eastAsia="Calibri" w:cs="Times New Roman"/>
          <w:szCs w:val="22"/>
        </w:rPr>
        <w:t>-</w:t>
      </w:r>
      <w:r w:rsidR="00B2007A" w:rsidRPr="005B646E">
        <w:rPr>
          <w:rFonts w:eastAsia="Calibri" w:cs="Times New Roman"/>
          <w:szCs w:val="22"/>
        </w:rPr>
        <w:t>quality graduates</w:t>
      </w:r>
      <w:r w:rsidR="00F7221F">
        <w:rPr>
          <w:rFonts w:eastAsia="Calibri" w:cs="Times New Roman"/>
          <w:szCs w:val="22"/>
        </w:rPr>
        <w:t>, who have</w:t>
      </w:r>
      <w:r w:rsidR="00513CEF">
        <w:rPr>
          <w:rFonts w:eastAsia="Calibri" w:cs="Times New Roman"/>
          <w:szCs w:val="22"/>
        </w:rPr>
        <w:t xml:space="preserve"> </w:t>
      </w:r>
      <w:r w:rsidR="00CE2BE3">
        <w:rPr>
          <w:rFonts w:eastAsia="Calibri" w:cs="Times New Roman"/>
          <w:szCs w:val="22"/>
        </w:rPr>
        <w:t>a firm grasp of effective teaching practice</w:t>
      </w:r>
      <w:r w:rsidR="00EC0F12">
        <w:rPr>
          <w:rFonts w:eastAsia="Calibri" w:cs="Times New Roman"/>
          <w:szCs w:val="22"/>
        </w:rPr>
        <w:t>s</w:t>
      </w:r>
      <w:r w:rsidR="00B25751">
        <w:rPr>
          <w:rFonts w:eastAsia="Calibri" w:cs="Times New Roman"/>
          <w:szCs w:val="22"/>
        </w:rPr>
        <w:t xml:space="preserve">. A tight-loose approach </w:t>
      </w:r>
      <w:r w:rsidR="00A709CB">
        <w:rPr>
          <w:rFonts w:eastAsia="Calibri" w:cs="Times New Roman"/>
          <w:szCs w:val="22"/>
        </w:rPr>
        <w:t xml:space="preserve">could </w:t>
      </w:r>
      <w:r w:rsidR="00EC0F12">
        <w:rPr>
          <w:rFonts w:eastAsia="Calibri" w:cs="Times New Roman"/>
          <w:szCs w:val="22"/>
        </w:rPr>
        <w:t xml:space="preserve">be used to guide </w:t>
      </w:r>
      <w:r w:rsidR="00A17FC0">
        <w:rPr>
          <w:rFonts w:eastAsia="Calibri" w:cs="Times New Roman"/>
          <w:szCs w:val="22"/>
        </w:rPr>
        <w:t xml:space="preserve">ITE </w:t>
      </w:r>
      <w:r w:rsidR="00A709CB">
        <w:rPr>
          <w:rFonts w:eastAsia="Calibri" w:cs="Times New Roman"/>
          <w:szCs w:val="22"/>
        </w:rPr>
        <w:t xml:space="preserve">program design, with a tight approach </w:t>
      </w:r>
      <w:r w:rsidR="00577BFF">
        <w:rPr>
          <w:rFonts w:eastAsia="Calibri" w:cs="Times New Roman"/>
          <w:szCs w:val="22"/>
        </w:rPr>
        <w:t xml:space="preserve">guiding </w:t>
      </w:r>
      <w:r w:rsidR="00735434">
        <w:rPr>
          <w:rFonts w:eastAsia="Calibri" w:cs="Times New Roman"/>
          <w:szCs w:val="22"/>
        </w:rPr>
        <w:t>core program content</w:t>
      </w:r>
      <w:r w:rsidR="00A709CB">
        <w:rPr>
          <w:rFonts w:eastAsia="Calibri" w:cs="Times New Roman"/>
          <w:szCs w:val="22"/>
        </w:rPr>
        <w:t xml:space="preserve"> and </w:t>
      </w:r>
      <w:r w:rsidR="00501C15">
        <w:rPr>
          <w:rFonts w:eastAsia="Calibri" w:cs="Times New Roman"/>
          <w:szCs w:val="22"/>
        </w:rPr>
        <w:t xml:space="preserve">a </w:t>
      </w:r>
      <w:r w:rsidR="00A709CB">
        <w:rPr>
          <w:rFonts w:eastAsia="Calibri" w:cs="Times New Roman"/>
          <w:szCs w:val="22"/>
        </w:rPr>
        <w:t xml:space="preserve">looser approach </w:t>
      </w:r>
      <w:r w:rsidR="00501C15">
        <w:rPr>
          <w:rFonts w:eastAsia="Calibri" w:cs="Times New Roman"/>
          <w:szCs w:val="22"/>
        </w:rPr>
        <w:t>to the</w:t>
      </w:r>
      <w:r w:rsidR="00A709CB">
        <w:rPr>
          <w:rFonts w:eastAsia="Calibri" w:cs="Times New Roman"/>
          <w:szCs w:val="22"/>
        </w:rPr>
        <w:t xml:space="preserve"> </w:t>
      </w:r>
      <w:r w:rsidR="00735434">
        <w:rPr>
          <w:rFonts w:eastAsia="Calibri" w:cs="Times New Roman"/>
          <w:szCs w:val="22"/>
        </w:rPr>
        <w:t>rest of</w:t>
      </w:r>
      <w:r w:rsidR="00A709CB">
        <w:rPr>
          <w:rFonts w:eastAsia="Calibri" w:cs="Times New Roman"/>
          <w:szCs w:val="22"/>
        </w:rPr>
        <w:t xml:space="preserve"> the </w:t>
      </w:r>
      <w:r w:rsidR="00735434">
        <w:rPr>
          <w:rFonts w:eastAsia="Calibri" w:cs="Times New Roman"/>
          <w:szCs w:val="22"/>
        </w:rPr>
        <w:t>program</w:t>
      </w:r>
      <w:r w:rsidR="00A709CB">
        <w:rPr>
          <w:rFonts w:eastAsia="Calibri" w:cs="Times New Roman"/>
          <w:szCs w:val="22"/>
        </w:rPr>
        <w:t>.</w:t>
      </w:r>
    </w:p>
    <w:p w14:paraId="57AB92FE" w14:textId="77777777" w:rsidR="00AF15D4" w:rsidRPr="005B646E" w:rsidRDefault="00AF15D4" w:rsidP="00226621">
      <w:pPr>
        <w:pStyle w:val="Heading3"/>
      </w:pPr>
      <w:r w:rsidRPr="005B646E">
        <w:t>What is it not?</w:t>
      </w:r>
    </w:p>
    <w:p w14:paraId="5008BE2A" w14:textId="05963648" w:rsidR="00231C3A" w:rsidRDefault="00EB61C9" w:rsidP="00981D49">
      <w:pPr>
        <w:suppressAutoHyphens w:val="0"/>
        <w:spacing w:before="0" w:line="259" w:lineRule="auto"/>
        <w:rPr>
          <w:rFonts w:eastAsia="Calibri" w:cs="Times New Roman"/>
          <w:szCs w:val="22"/>
        </w:rPr>
      </w:pPr>
      <w:r>
        <w:rPr>
          <w:rFonts w:eastAsia="Calibri" w:cs="Times New Roman"/>
          <w:szCs w:val="22"/>
        </w:rPr>
        <w:t xml:space="preserve">While </w:t>
      </w:r>
      <w:r w:rsidR="00C67D29">
        <w:rPr>
          <w:rFonts w:eastAsia="Calibri" w:cs="Times New Roman"/>
          <w:szCs w:val="22"/>
        </w:rPr>
        <w:t>there are some additional</w:t>
      </w:r>
      <w:r>
        <w:rPr>
          <w:rFonts w:eastAsia="Calibri" w:cs="Times New Roman"/>
          <w:szCs w:val="22"/>
        </w:rPr>
        <w:t xml:space="preserve"> </w:t>
      </w:r>
      <w:r w:rsidR="00E55ACC">
        <w:rPr>
          <w:rFonts w:eastAsia="Calibri" w:cs="Times New Roman"/>
          <w:szCs w:val="22"/>
        </w:rPr>
        <w:t>jurisdictional requirements</w:t>
      </w:r>
      <w:r w:rsidR="00B84AE1">
        <w:rPr>
          <w:rFonts w:eastAsia="Calibri" w:cs="Times New Roman"/>
          <w:szCs w:val="22"/>
        </w:rPr>
        <w:t xml:space="preserve">, such as the </w:t>
      </w:r>
      <w:hyperlink r:id="rId11" w:history="1">
        <w:r w:rsidR="0041670B" w:rsidRPr="00791C36">
          <w:rPr>
            <w:rStyle w:val="Hyperlink"/>
            <w:rFonts w:eastAsia="Calibri" w:cs="Times New Roman"/>
            <w:szCs w:val="22"/>
          </w:rPr>
          <w:t xml:space="preserve">NSW Education Standards Authority (NESA) Priority Area </w:t>
        </w:r>
        <w:r w:rsidR="00814EC5">
          <w:rPr>
            <w:rStyle w:val="Hyperlink"/>
            <w:rFonts w:eastAsia="Calibri" w:cs="Times New Roman"/>
            <w:szCs w:val="22"/>
          </w:rPr>
          <w:t>e</w:t>
        </w:r>
        <w:r w:rsidR="0041670B" w:rsidRPr="00791C36">
          <w:rPr>
            <w:rStyle w:val="Hyperlink"/>
            <w:rFonts w:eastAsia="Calibri" w:cs="Times New Roman"/>
            <w:szCs w:val="22"/>
          </w:rPr>
          <w:t>laborations</w:t>
        </w:r>
      </w:hyperlink>
      <w:r>
        <w:rPr>
          <w:rFonts w:eastAsia="Calibri" w:cs="Times New Roman"/>
          <w:szCs w:val="22"/>
        </w:rPr>
        <w:t xml:space="preserve">, </w:t>
      </w:r>
      <w:r w:rsidR="001D03A6">
        <w:rPr>
          <w:rFonts w:eastAsia="Calibri" w:cs="Times New Roman"/>
          <w:szCs w:val="22"/>
        </w:rPr>
        <w:t xml:space="preserve">there </w:t>
      </w:r>
      <w:r w:rsidR="00E65C4D">
        <w:rPr>
          <w:rFonts w:eastAsia="Calibri" w:cs="Times New Roman"/>
          <w:szCs w:val="22"/>
        </w:rPr>
        <w:t xml:space="preserve">is </w:t>
      </w:r>
      <w:r w:rsidR="007074AA">
        <w:rPr>
          <w:rFonts w:eastAsia="Calibri" w:cs="Times New Roman"/>
          <w:szCs w:val="22"/>
        </w:rPr>
        <w:t xml:space="preserve">no </w:t>
      </w:r>
      <w:r w:rsidR="00F27B24">
        <w:rPr>
          <w:rFonts w:eastAsia="Calibri" w:cs="Times New Roman"/>
          <w:szCs w:val="22"/>
        </w:rPr>
        <w:t>national</w:t>
      </w:r>
      <w:r w:rsidR="007074AA">
        <w:rPr>
          <w:rFonts w:eastAsia="Calibri" w:cs="Times New Roman"/>
          <w:szCs w:val="22"/>
        </w:rPr>
        <w:t xml:space="preserve"> </w:t>
      </w:r>
      <w:r w:rsidR="00674058">
        <w:rPr>
          <w:rFonts w:eastAsia="Calibri" w:cs="Times New Roman"/>
          <w:szCs w:val="22"/>
        </w:rPr>
        <w:t>core program</w:t>
      </w:r>
      <w:r w:rsidR="0024772E">
        <w:rPr>
          <w:rFonts w:eastAsia="Calibri" w:cs="Times New Roman"/>
          <w:szCs w:val="22"/>
        </w:rPr>
        <w:t xml:space="preserve"> </w:t>
      </w:r>
      <w:r w:rsidR="00073197" w:rsidRPr="00073197">
        <w:rPr>
          <w:rFonts w:eastAsia="Calibri" w:cs="Times New Roman"/>
          <w:szCs w:val="22"/>
        </w:rPr>
        <w:t xml:space="preserve">or ITE curriculum that specifies </w:t>
      </w:r>
      <w:r w:rsidR="002456C0">
        <w:rPr>
          <w:rFonts w:eastAsia="Calibri" w:cs="Times New Roman"/>
          <w:szCs w:val="22"/>
        </w:rPr>
        <w:t>the</w:t>
      </w:r>
      <w:r w:rsidR="00073197" w:rsidRPr="00073197">
        <w:rPr>
          <w:rFonts w:eastAsia="Calibri" w:cs="Times New Roman"/>
          <w:szCs w:val="22"/>
        </w:rPr>
        <w:t xml:space="preserve"> evidence-based teaching practices</w:t>
      </w:r>
      <w:r w:rsidR="00661732">
        <w:rPr>
          <w:rFonts w:eastAsia="Calibri" w:cs="Times New Roman"/>
          <w:szCs w:val="22"/>
        </w:rPr>
        <w:t xml:space="preserve"> </w:t>
      </w:r>
      <w:r w:rsidR="005943B8">
        <w:rPr>
          <w:rFonts w:eastAsia="Calibri" w:cs="Times New Roman"/>
          <w:szCs w:val="22"/>
        </w:rPr>
        <w:t>to systematically embed in ITE programs</w:t>
      </w:r>
      <w:r w:rsidR="00661732">
        <w:rPr>
          <w:rFonts w:eastAsia="Calibri" w:cs="Times New Roman"/>
          <w:szCs w:val="22"/>
        </w:rPr>
        <w:t>,</w:t>
      </w:r>
      <w:r w:rsidR="00073197" w:rsidRPr="00073197">
        <w:rPr>
          <w:rFonts w:eastAsia="Calibri" w:cs="Times New Roman"/>
          <w:szCs w:val="22"/>
        </w:rPr>
        <w:t xml:space="preserve"> irrespective of program length or design</w:t>
      </w:r>
      <w:r w:rsidR="007805C4">
        <w:rPr>
          <w:rFonts w:eastAsia="Calibri" w:cs="Times New Roman"/>
          <w:szCs w:val="22"/>
        </w:rPr>
        <w:t xml:space="preserve">. </w:t>
      </w:r>
      <w:r w:rsidR="00BF0C09">
        <w:rPr>
          <w:rFonts w:eastAsia="Calibri" w:cs="Times New Roman"/>
          <w:szCs w:val="22"/>
        </w:rPr>
        <w:t>Th</w:t>
      </w:r>
      <w:r w:rsidR="00C12FEA">
        <w:rPr>
          <w:rFonts w:eastAsia="Calibri" w:cs="Times New Roman"/>
          <w:szCs w:val="22"/>
        </w:rPr>
        <w:t>e lack of a co</w:t>
      </w:r>
      <w:r w:rsidR="00F4637C">
        <w:rPr>
          <w:rFonts w:eastAsia="Calibri" w:cs="Times New Roman"/>
          <w:szCs w:val="22"/>
        </w:rPr>
        <w:t xml:space="preserve">mmon core </w:t>
      </w:r>
      <w:r w:rsidR="00674058">
        <w:rPr>
          <w:rFonts w:eastAsia="Calibri" w:cs="Times New Roman"/>
          <w:szCs w:val="22"/>
        </w:rPr>
        <w:t>program</w:t>
      </w:r>
      <w:r w:rsidR="00C12FEA">
        <w:rPr>
          <w:rFonts w:eastAsia="Calibri" w:cs="Times New Roman"/>
          <w:szCs w:val="22"/>
        </w:rPr>
        <w:t xml:space="preserve"> </w:t>
      </w:r>
      <w:r w:rsidR="00007425">
        <w:rPr>
          <w:rFonts w:eastAsia="Calibri" w:cs="Times New Roman"/>
          <w:szCs w:val="22"/>
        </w:rPr>
        <w:t xml:space="preserve">can lead to </w:t>
      </w:r>
      <w:r w:rsidR="00B74AFE">
        <w:rPr>
          <w:rFonts w:eastAsia="Calibri" w:cs="Times New Roman"/>
          <w:szCs w:val="22"/>
        </w:rPr>
        <w:t>an inconsistent approach across providers</w:t>
      </w:r>
      <w:r w:rsidR="00F81F07">
        <w:rPr>
          <w:rFonts w:eastAsia="Calibri" w:cs="Times New Roman"/>
          <w:szCs w:val="22"/>
        </w:rPr>
        <w:t>, resulting in</w:t>
      </w:r>
      <w:r w:rsidR="00E11D17">
        <w:rPr>
          <w:rFonts w:eastAsia="Calibri" w:cs="Times New Roman"/>
          <w:szCs w:val="22"/>
        </w:rPr>
        <w:t xml:space="preserve"> </w:t>
      </w:r>
      <w:r w:rsidR="00007425">
        <w:rPr>
          <w:rFonts w:eastAsia="Calibri" w:cs="Times New Roman"/>
          <w:szCs w:val="22"/>
        </w:rPr>
        <w:t xml:space="preserve">significant variation in the quality and preparedness of graduate teachers and variation in the </w:t>
      </w:r>
      <w:r w:rsidR="00B23FAD">
        <w:rPr>
          <w:rFonts w:eastAsia="Calibri" w:cs="Times New Roman"/>
          <w:szCs w:val="22"/>
        </w:rPr>
        <w:t>depth of skills and knowledge</w:t>
      </w:r>
      <w:r w:rsidR="008D40F9">
        <w:rPr>
          <w:rFonts w:eastAsia="Calibri" w:cs="Times New Roman"/>
          <w:szCs w:val="22"/>
        </w:rPr>
        <w:t xml:space="preserve"> </w:t>
      </w:r>
      <w:r w:rsidR="00007425">
        <w:rPr>
          <w:rFonts w:eastAsia="Calibri" w:cs="Times New Roman"/>
          <w:szCs w:val="22"/>
        </w:rPr>
        <w:t>of</w:t>
      </w:r>
      <w:r w:rsidR="00043227">
        <w:rPr>
          <w:rFonts w:eastAsia="Calibri" w:cs="Times New Roman"/>
          <w:szCs w:val="22"/>
        </w:rPr>
        <w:t xml:space="preserve"> evidence-based </w:t>
      </w:r>
      <w:r w:rsidR="00007425">
        <w:rPr>
          <w:rFonts w:eastAsia="Calibri" w:cs="Times New Roman"/>
          <w:szCs w:val="22"/>
        </w:rPr>
        <w:t>teaching practices</w:t>
      </w:r>
      <w:r w:rsidR="00B23FAD">
        <w:rPr>
          <w:rFonts w:eastAsia="Calibri" w:cs="Times New Roman"/>
          <w:szCs w:val="22"/>
        </w:rPr>
        <w:t>.</w:t>
      </w:r>
      <w:r w:rsidR="0028089A">
        <w:rPr>
          <w:rFonts w:eastAsia="Calibri" w:cs="Times New Roman"/>
          <w:szCs w:val="22"/>
        </w:rPr>
        <w:t xml:space="preserve"> </w:t>
      </w:r>
    </w:p>
    <w:p w14:paraId="260E653A" w14:textId="5C85A998" w:rsidR="003E5B30" w:rsidRDefault="001756D6" w:rsidP="00981D49">
      <w:pPr>
        <w:suppressAutoHyphens w:val="0"/>
        <w:spacing w:before="0" w:line="259" w:lineRule="auto"/>
        <w:rPr>
          <w:rFonts w:eastAsia="Calibri" w:cs="Times New Roman"/>
          <w:szCs w:val="22"/>
        </w:rPr>
      </w:pPr>
      <w:r>
        <w:rPr>
          <w:rFonts w:eastAsia="Calibri" w:cs="Times New Roman"/>
          <w:szCs w:val="22"/>
        </w:rPr>
        <w:t xml:space="preserve">There is a risk that </w:t>
      </w:r>
      <w:r w:rsidR="00537E13">
        <w:rPr>
          <w:rFonts w:eastAsia="Calibri" w:cs="Times New Roman"/>
          <w:szCs w:val="22"/>
        </w:rPr>
        <w:t>changing models of study</w:t>
      </w:r>
      <w:r>
        <w:rPr>
          <w:rFonts w:eastAsia="Calibri" w:cs="Times New Roman"/>
          <w:szCs w:val="22"/>
        </w:rPr>
        <w:t xml:space="preserve"> (</w:t>
      </w:r>
      <w:r w:rsidR="0066354A">
        <w:rPr>
          <w:rFonts w:eastAsia="Calibri" w:cs="Times New Roman"/>
          <w:szCs w:val="22"/>
        </w:rPr>
        <w:t>such</w:t>
      </w:r>
      <w:r>
        <w:rPr>
          <w:rFonts w:eastAsia="Calibri" w:cs="Times New Roman"/>
          <w:szCs w:val="22"/>
        </w:rPr>
        <w:t xml:space="preserve"> employment-based pathways and </w:t>
      </w:r>
      <w:r w:rsidR="00D769A7">
        <w:rPr>
          <w:rFonts w:eastAsia="Calibri" w:cs="Times New Roman"/>
          <w:szCs w:val="22"/>
        </w:rPr>
        <w:t xml:space="preserve">compressed programs) </w:t>
      </w:r>
      <w:r w:rsidR="0039209C">
        <w:rPr>
          <w:rFonts w:eastAsia="Calibri" w:cs="Times New Roman"/>
          <w:szCs w:val="22"/>
        </w:rPr>
        <w:t>will</w:t>
      </w:r>
      <w:r w:rsidR="00D769A7">
        <w:rPr>
          <w:rFonts w:eastAsia="Calibri" w:cs="Times New Roman"/>
          <w:szCs w:val="22"/>
        </w:rPr>
        <w:t xml:space="preserve"> not effectively </w:t>
      </w:r>
      <w:r w:rsidR="0066354A">
        <w:rPr>
          <w:rFonts w:eastAsia="Calibri" w:cs="Times New Roman"/>
          <w:szCs w:val="22"/>
        </w:rPr>
        <w:t>embed</w:t>
      </w:r>
      <w:r w:rsidR="00D769A7">
        <w:rPr>
          <w:rFonts w:eastAsia="Calibri" w:cs="Times New Roman"/>
          <w:szCs w:val="22"/>
        </w:rPr>
        <w:t xml:space="preserve"> </w:t>
      </w:r>
      <w:r w:rsidR="0066354A">
        <w:rPr>
          <w:rFonts w:eastAsia="Calibri" w:cs="Times New Roman"/>
          <w:szCs w:val="22"/>
        </w:rPr>
        <w:t>the foundational core content prior to professional experience placements</w:t>
      </w:r>
      <w:r w:rsidR="00AD357A">
        <w:rPr>
          <w:rFonts w:eastAsia="Calibri" w:cs="Times New Roman"/>
          <w:szCs w:val="22"/>
        </w:rPr>
        <w:t xml:space="preserve">. </w:t>
      </w:r>
      <w:r w:rsidR="00883523">
        <w:rPr>
          <w:rFonts w:eastAsia="Calibri" w:cs="Times New Roman"/>
          <w:szCs w:val="22"/>
        </w:rPr>
        <w:t>If participants do not receive enough</w:t>
      </w:r>
      <w:r w:rsidR="0007622B">
        <w:rPr>
          <w:rFonts w:eastAsia="Calibri" w:cs="Times New Roman"/>
          <w:szCs w:val="22"/>
        </w:rPr>
        <w:t xml:space="preserve"> pedagogical instruction</w:t>
      </w:r>
      <w:r w:rsidR="00AD357A">
        <w:rPr>
          <w:rFonts w:eastAsia="Calibri" w:cs="Times New Roman"/>
          <w:szCs w:val="22"/>
        </w:rPr>
        <w:t xml:space="preserve"> before </w:t>
      </w:r>
      <w:r w:rsidR="00707718">
        <w:rPr>
          <w:rFonts w:eastAsia="Calibri" w:cs="Times New Roman"/>
          <w:szCs w:val="22"/>
        </w:rPr>
        <w:t xml:space="preserve">they start to teach, it may impact their ability to effectively learn </w:t>
      </w:r>
      <w:r w:rsidR="009E152F">
        <w:rPr>
          <w:rFonts w:eastAsia="Calibri" w:cs="Times New Roman"/>
          <w:szCs w:val="22"/>
        </w:rPr>
        <w:t>on</w:t>
      </w:r>
      <w:r w:rsidR="007130C8">
        <w:rPr>
          <w:rFonts w:eastAsia="Calibri" w:cs="Times New Roman"/>
          <w:szCs w:val="22"/>
        </w:rPr>
        <w:t>-</w:t>
      </w:r>
      <w:r w:rsidR="009E152F">
        <w:rPr>
          <w:rFonts w:eastAsia="Calibri" w:cs="Times New Roman"/>
          <w:szCs w:val="22"/>
        </w:rPr>
        <w:t>the</w:t>
      </w:r>
      <w:r w:rsidR="007130C8">
        <w:rPr>
          <w:rFonts w:eastAsia="Calibri" w:cs="Times New Roman"/>
          <w:szCs w:val="22"/>
        </w:rPr>
        <w:t>-</w:t>
      </w:r>
      <w:r w:rsidR="009E152F">
        <w:rPr>
          <w:rFonts w:eastAsia="Calibri" w:cs="Times New Roman"/>
          <w:szCs w:val="22"/>
        </w:rPr>
        <w:t xml:space="preserve">job and </w:t>
      </w:r>
      <w:r w:rsidR="00707718">
        <w:rPr>
          <w:rFonts w:eastAsia="Calibri" w:cs="Times New Roman"/>
          <w:szCs w:val="22"/>
        </w:rPr>
        <w:t>place an additional burden on school supervisors</w:t>
      </w:r>
      <w:r w:rsidR="00657659">
        <w:rPr>
          <w:rFonts w:eastAsia="Calibri" w:cs="Times New Roman"/>
          <w:szCs w:val="22"/>
        </w:rPr>
        <w:t xml:space="preserve">. </w:t>
      </w:r>
    </w:p>
    <w:p w14:paraId="17698846" w14:textId="726FB4F5" w:rsidR="002C5947" w:rsidRPr="005B646E" w:rsidRDefault="00A92570" w:rsidP="00226621">
      <w:pPr>
        <w:pStyle w:val="Heading3"/>
      </w:pPr>
      <w:r>
        <w:t>What is the e</w:t>
      </w:r>
      <w:r w:rsidR="002C5947" w:rsidRPr="005B646E">
        <w:t>vidence base</w:t>
      </w:r>
      <w:r>
        <w:t>?</w:t>
      </w:r>
    </w:p>
    <w:p w14:paraId="4C8A5490" w14:textId="7A5C7A1E" w:rsidR="0085420E" w:rsidRPr="00696709" w:rsidRDefault="00800FF9" w:rsidP="00E50AA2">
      <w:pPr>
        <w:rPr>
          <w:rFonts w:eastAsia="Calibri" w:cs="Times New Roman"/>
        </w:rPr>
      </w:pPr>
      <w:r w:rsidRPr="00696709">
        <w:rPr>
          <w:rFonts w:eastAsia="Calibri" w:cs="Times New Roman"/>
        </w:rPr>
        <w:t>A review of</w:t>
      </w:r>
      <w:r w:rsidR="004129A8">
        <w:rPr>
          <w:rFonts w:eastAsia="Calibri" w:cs="Times New Roman"/>
        </w:rPr>
        <w:t xml:space="preserve"> </w:t>
      </w:r>
      <w:r w:rsidRPr="00696709">
        <w:rPr>
          <w:rFonts w:eastAsia="Calibri" w:cs="Times New Roman"/>
        </w:rPr>
        <w:t xml:space="preserve">ITE programs </w:t>
      </w:r>
      <w:r w:rsidR="00F13A7D" w:rsidRPr="00696709">
        <w:rPr>
          <w:rFonts w:eastAsia="Calibri" w:cs="Times New Roman"/>
        </w:rPr>
        <w:t xml:space="preserve">identified </w:t>
      </w:r>
      <w:r w:rsidR="003D7DDB">
        <w:rPr>
          <w:rFonts w:eastAsia="Calibri" w:cs="Times New Roman"/>
        </w:rPr>
        <w:t>that</w:t>
      </w:r>
      <w:r w:rsidR="00CC2A5E">
        <w:rPr>
          <w:rFonts w:eastAsia="Calibri" w:cs="Times New Roman"/>
        </w:rPr>
        <w:t xml:space="preserve"> a shared feature of high-quality programs was </w:t>
      </w:r>
      <w:r w:rsidR="00DA3F88">
        <w:rPr>
          <w:rFonts w:eastAsia="Calibri" w:cs="Times New Roman"/>
        </w:rPr>
        <w:t>core content</w:t>
      </w:r>
      <w:r w:rsidR="00242640">
        <w:rPr>
          <w:rFonts w:eastAsia="Calibri" w:cs="Times New Roman"/>
        </w:rPr>
        <w:t>, which explicitly covered</w:t>
      </w:r>
      <w:r w:rsidR="00ED3061" w:rsidRPr="00696709">
        <w:rPr>
          <w:rFonts w:eastAsia="Calibri" w:cs="Times New Roman"/>
        </w:rPr>
        <w:t xml:space="preserve"> development, learning and subject matter pedagogy</w:t>
      </w:r>
      <w:r w:rsidR="00CC2A5E">
        <w:rPr>
          <w:rFonts w:eastAsia="Calibri" w:cs="Times New Roman"/>
        </w:rPr>
        <w:t xml:space="preserve"> </w:t>
      </w:r>
      <w:r w:rsidR="00DA3F88">
        <w:rPr>
          <w:rFonts w:eastAsia="Calibri" w:cs="Times New Roman"/>
        </w:rPr>
        <w:t>with</w:t>
      </w:r>
      <w:r w:rsidR="00CC2A5E">
        <w:rPr>
          <w:rFonts w:eastAsia="Calibri" w:cs="Times New Roman"/>
        </w:rPr>
        <w:t xml:space="preserve"> opportunities for practice</w:t>
      </w:r>
      <w:r w:rsidR="00B11930">
        <w:rPr>
          <w:rFonts w:eastAsia="Calibri" w:cs="Times New Roman"/>
        </w:rPr>
        <w:t xml:space="preserve"> </w:t>
      </w:r>
      <w:r w:rsidR="002C6523" w:rsidRPr="00696709">
        <w:rPr>
          <w:rFonts w:eastAsia="Calibri" w:cs="Times New Roman"/>
        </w:rPr>
        <w:fldChar w:fldCharType="begin"/>
      </w:r>
      <w:r w:rsidR="002C6523" w:rsidRPr="00696709">
        <w:rPr>
          <w:rFonts w:eastAsia="Calibri" w:cs="Times New Roman"/>
        </w:rPr>
        <w:instrText xml:space="preserve"> ADDIN ZOTERO_ITEM CSL_CITATION {"citationID":"8YGlFira","properties":{"formattedCitation":"(Darling-Hammond and Bransford 2007)","plainCitation":"(Darling-Hammond and Bransford 2007)","noteIndex":0},"citationItems":[{"id":17666,"uris":["http://zotero.org/users/10549213/items/WS6VYYBI"],"itemData":{"id":17666,"type":"book","abstract":"Based on rapid advances in what is known about how people learn and how to teach effectively, this important book examines the core concepts and central pedagogies that should be at the heart of any teacher education program. Stemming from the results of a commission sponsored by the National Academy of Education, Preparing Teachers for a Changing World recommends the creation of an informed teacher education curriculum with the common elements that represent state-of-the-art standards for the profession. Written for teacher educators in both traditional and alternative programs, university and school system leaders, teachers, staff development professionals, researchers, and educational policymakers, the book addresses the key foundational knowledge for teaching and discusses how to implement that knowledge within the classroom. Preparing Teachers for a Changing World recommends that, in addition to strong subject matter knowledge, all new teachers have a basic understanding of how people learn and develop, as well as how children acquire and use language, which is the currency of education. In addition, the book suggests that teaching professionals must be able to apply that knowledge in developing curriculum that attends to students' needs, the demands of the content, and the social purposes of education: in teaching specific subject matter to diverse students, in managing the classroom, assessing student performance, and using technology in the classroom.","edition":"1st edition","event-place":"San Francisco, CA","ISBN":"978-0-7879-9634-5","language":"English","number-of-pages":"640","publisher":"Jossey-Bass","publisher-place":"San Francisco, CA","source":"Amazon","title":"Preparing teachers for a changing world: What teachers should learn and be able to do","title-short":"Preparing teachers for a changing world","editor":[{"family":"Darling-Hammond","given":"Linda"},{"family":"Bransford","given":"John"}],"issued":{"date-parts":[["2007",7,17]]}},"locator":"-"}],"schema":"https://github.com/citation-style-language/schema/raw/master/csl-citation.json"} </w:instrText>
      </w:r>
      <w:r w:rsidR="002C6523" w:rsidRPr="00696709">
        <w:rPr>
          <w:rFonts w:eastAsia="Calibri" w:cs="Times New Roman"/>
        </w:rPr>
        <w:fldChar w:fldCharType="separate"/>
      </w:r>
      <w:r w:rsidR="002C6523" w:rsidRPr="00696709">
        <w:t>(Darling-Hammond and Bransford 2007)</w:t>
      </w:r>
      <w:r w:rsidR="002C6523" w:rsidRPr="00696709">
        <w:rPr>
          <w:rFonts w:eastAsia="Calibri" w:cs="Times New Roman"/>
        </w:rPr>
        <w:fldChar w:fldCharType="end"/>
      </w:r>
      <w:r w:rsidR="002C6523" w:rsidRPr="00696709">
        <w:rPr>
          <w:rFonts w:eastAsia="Calibri" w:cs="Times New Roman"/>
        </w:rPr>
        <w:t>.</w:t>
      </w:r>
    </w:p>
    <w:p w14:paraId="746C7212" w14:textId="5398CF97" w:rsidR="00327B90" w:rsidRDefault="00C0127E" w:rsidP="005975B7">
      <w:pPr>
        <w:rPr>
          <w:rFonts w:eastAsia="Calibri" w:cs="Times New Roman"/>
          <w:szCs w:val="22"/>
        </w:rPr>
      </w:pPr>
      <w:r>
        <w:rPr>
          <w:rFonts w:eastAsia="Calibri" w:cs="Times New Roman"/>
          <w:szCs w:val="22"/>
        </w:rPr>
        <w:t>R</w:t>
      </w:r>
      <w:r w:rsidR="00BB6D6C">
        <w:rPr>
          <w:rFonts w:eastAsia="Calibri" w:cs="Times New Roman"/>
          <w:szCs w:val="22"/>
        </w:rPr>
        <w:t xml:space="preserve">esearch suggests that </w:t>
      </w:r>
      <w:r w:rsidR="0042297F">
        <w:rPr>
          <w:rFonts w:eastAsia="Calibri" w:cs="Times New Roman"/>
          <w:szCs w:val="22"/>
        </w:rPr>
        <w:t xml:space="preserve">graduate teachers’ sense of </w:t>
      </w:r>
      <w:r w:rsidR="00C5277E">
        <w:rPr>
          <w:rFonts w:eastAsia="Calibri" w:cs="Times New Roman"/>
          <w:szCs w:val="22"/>
        </w:rPr>
        <w:t>preparedness</w:t>
      </w:r>
      <w:r w:rsidR="0042297F">
        <w:rPr>
          <w:rFonts w:eastAsia="Calibri" w:cs="Times New Roman"/>
          <w:szCs w:val="22"/>
        </w:rPr>
        <w:t xml:space="preserve"> </w:t>
      </w:r>
      <w:r w:rsidR="00A46217">
        <w:rPr>
          <w:rFonts w:eastAsia="Calibri" w:cs="Times New Roman"/>
          <w:szCs w:val="22"/>
        </w:rPr>
        <w:t>is</w:t>
      </w:r>
      <w:r w:rsidR="0042297F">
        <w:rPr>
          <w:rFonts w:eastAsia="Calibri" w:cs="Times New Roman"/>
          <w:szCs w:val="22"/>
        </w:rPr>
        <w:t xml:space="preserve"> influenced by the </w:t>
      </w:r>
      <w:r w:rsidR="00634625">
        <w:rPr>
          <w:rFonts w:eastAsia="Calibri" w:cs="Times New Roman"/>
          <w:szCs w:val="22"/>
        </w:rPr>
        <w:t xml:space="preserve">ITE programs </w:t>
      </w:r>
      <w:r w:rsidR="0042297F">
        <w:rPr>
          <w:rFonts w:eastAsia="Calibri" w:cs="Times New Roman"/>
          <w:szCs w:val="22"/>
        </w:rPr>
        <w:t xml:space="preserve">they attend </w:t>
      </w:r>
      <w:r w:rsidR="00BA46AA">
        <w:rPr>
          <w:rFonts w:eastAsia="Calibri" w:cs="Times New Roman"/>
          <w:szCs w:val="22"/>
        </w:rPr>
        <w:fldChar w:fldCharType="begin"/>
      </w:r>
      <w:r w:rsidR="00BA46AA">
        <w:rPr>
          <w:rFonts w:eastAsia="Calibri" w:cs="Times New Roman"/>
          <w:szCs w:val="22"/>
        </w:rPr>
        <w:instrText xml:space="preserve"> ADDIN ZOTERO_ITEM CSL_CITATION {"citationID":"SdGz9HIO","properties":{"formattedCitation":"(Imbimbo and Silvernail 1999; Darling-Hammond et al. 2002)","plainCitation":"(Imbimbo and Silvernail 1999; Darling-Hammond et al. 2002)","noteIndex":0},"citationItems":[{"id":17718,"uris":["http://zotero.org/users/10549213/items/GQBIYM27"],"itemData":{"id":17718,"type":"report","abstract":"This publication presents key findings from the New York City Teacher Survey, which examined teachers' perceptions regarding their professional preparation, how their perceptions differed according to type of preparation they received, and whether perceptions differed from those of a national sample of teachers and from a sample of teachers who had graduated from exemplary teacher education programs. Results indicated that most teachers planned to continue teaching for as long as possible and believed they were making a difference in their students' lives. They felt the need for better preparation before entering the classroom, particularly in the areas of educational technology and working with new English language learners. Most teachers felt they were not well prepared to  teach in ways that would help all students achieve high academic standards. Teachers' overall feelings of preparedness as they entered teaching most strongly related to: subject area knowledge and instructional strategies, proficiency in educational technology, and effective classroom management. Teachers valued opportunities for professional development. The topics and activities that received the highest ratings were classroom management, addressing the needs of individual learners, teaching methods, and in-depth study of a content area. (SM)","language":"en","note":"ERIC Number: ED442764","publisher":"New Visions for Public Schools, 96 Morton Street, New York, NY 10014; Tel: 212-645-5110; Fax: 212-645-7409","source":"ERIC","title":"Prepared To Teach? Key Findings of the New York City Teacher Survey. Policy and Research Series","title-short":"Prepared To Teach?","URL":"https://eric.ed.gov/?id=ED442764","author":[{"family":"Imbimbo","given":"Josephine"},{"family":"Silvernail","given":"David"}],"accessed":{"date-parts":[["2023",1,31]]},"issued":{"date-parts":[["1999",7]]}}},{"id":17715,"uris":["http://zotero.org/users/10549213/items/2A3HCZE6"],"itemData":{"id":17715,"type":"article-journal","abstract":"Does teacher education influence what teachers feel prepared to do when they enter the classroom? Are there differences in teachers' experiences of classroom teaching when they enter through differ- ent programs and pathways? This study examines data from a 1998 survey of nearly 3000 begin- ning teachers in New York City regarding their views of their preparation for teaching, their beliefs and practice, and their plans to remain in teaching. The findings indicate that teachers who were prepared in teacher education programs felt significantly better prepared across most dimensions of teaching than those who entered teaching through alternative programs or without preparation. Teachers' views of their preparation varied across individual programs, with some programs gradu- ating teachers who felt markedly better prepared. Finally, the extent to which teachers felt well pre- pared when they entered teaching was significantly correlated with their sense of teaching efficacy, their sense of responsibility for student learning, and their plans to remain in teaching.","container-title":"Journal of Teacher Education - J TEACH EDUC","DOI":"10.1177/0022487102053004002","journalAbbreviation":"Journal of Teacher Education - J TEACH EDUC","page":"286-302","source":"ResearchGate","title":"Variation in Teacher Preparation: How Well Do Different Pathways Prepare Teachers to Teach?","title-short":"Variation in Teacher Preparation","volume":"53","author":[{"family":"Darling-Hammond","given":"Linda"},{"family":"Chung","given":"Ruth"},{"family":"Frelow","given":"Fred"}],"issued":{"date-parts":[["2002",9,1]]}}}],"schema":"https://github.com/citation-style-language/schema/raw/master/csl-citation.json"} </w:instrText>
      </w:r>
      <w:r w:rsidR="00BA46AA">
        <w:rPr>
          <w:rFonts w:eastAsia="Calibri" w:cs="Times New Roman"/>
          <w:szCs w:val="22"/>
        </w:rPr>
        <w:fldChar w:fldCharType="separate"/>
      </w:r>
      <w:r w:rsidR="00BA46AA" w:rsidRPr="00BA46AA">
        <w:t>(Imbimbo and Silvernail 1999; Darling-Hammond et al. 2002)</w:t>
      </w:r>
      <w:r w:rsidR="00BA46AA">
        <w:rPr>
          <w:rFonts w:eastAsia="Calibri" w:cs="Times New Roman"/>
          <w:szCs w:val="22"/>
        </w:rPr>
        <w:fldChar w:fldCharType="end"/>
      </w:r>
      <w:r w:rsidR="00F5165B">
        <w:rPr>
          <w:rFonts w:eastAsia="Calibri" w:cs="Times New Roman"/>
          <w:szCs w:val="22"/>
        </w:rPr>
        <w:t xml:space="preserve"> and the </w:t>
      </w:r>
      <w:r w:rsidR="00327B90">
        <w:rPr>
          <w:rFonts w:eastAsia="Calibri" w:cs="Times New Roman"/>
          <w:szCs w:val="22"/>
        </w:rPr>
        <w:t>quantity</w:t>
      </w:r>
      <w:r w:rsidR="00F5165B">
        <w:rPr>
          <w:rFonts w:eastAsia="Calibri" w:cs="Times New Roman"/>
          <w:szCs w:val="22"/>
        </w:rPr>
        <w:t xml:space="preserve"> of </w:t>
      </w:r>
      <w:r w:rsidR="00F4424F">
        <w:rPr>
          <w:rFonts w:eastAsia="Calibri" w:cs="Times New Roman"/>
          <w:szCs w:val="22"/>
        </w:rPr>
        <w:t>education</w:t>
      </w:r>
      <w:r w:rsidR="00F5165B">
        <w:rPr>
          <w:rFonts w:eastAsia="Calibri" w:cs="Times New Roman"/>
          <w:szCs w:val="22"/>
        </w:rPr>
        <w:t xml:space="preserve"> coursework they</w:t>
      </w:r>
      <w:r w:rsidR="00F4424F">
        <w:rPr>
          <w:rFonts w:eastAsia="Calibri" w:cs="Times New Roman"/>
          <w:szCs w:val="22"/>
        </w:rPr>
        <w:t xml:space="preserve"> complete </w:t>
      </w:r>
      <w:r w:rsidR="00F4424F">
        <w:rPr>
          <w:rFonts w:eastAsia="Calibri" w:cs="Times New Roman"/>
          <w:szCs w:val="22"/>
        </w:rPr>
        <w:fldChar w:fldCharType="begin"/>
      </w:r>
      <w:r w:rsidR="00F4424F">
        <w:rPr>
          <w:rFonts w:eastAsia="Calibri" w:cs="Times New Roman"/>
          <w:szCs w:val="22"/>
        </w:rPr>
        <w:instrText xml:space="preserve"> ADDIN ZOTERO_ITEM CSL_CITATION {"citationID":"Y9NsH3eu","properties":{"formattedCitation":"(Ronfeldt 2021)","plainCitation":"(Ronfeldt 2021)","noteIndex":0},"citationItems":[{"id":39,"uris":["http://zotero.org/users/10549213/items/T9XZIBUY"],"itemData":{"id":39,"type":"report","event-place":"National Academy of Education","language":"en","publisher":"National Academy of Education Committee on Evaluating and Improving Teacher Preparation Programs","publisher-place":"National Academy of Education","source":"DOI.org (Crossref)","title":"Links among teacher preparation, retention, and teaching effectiveness","URL":"https://naeducation.org/evaluating-and-improving-teacher-preparation-programs-commissioned-paper-series/","author":[{"family":"Ronfeldt","given":"Matthew"}],"accessed":{"date-parts":[["2023",1,30]]},"issued":{"date-parts":[["2021"]]}}}],"schema":"https://github.com/citation-style-language/schema/raw/master/csl-citation.json"} </w:instrText>
      </w:r>
      <w:r w:rsidR="00F4424F">
        <w:rPr>
          <w:rFonts w:eastAsia="Calibri" w:cs="Times New Roman"/>
          <w:szCs w:val="22"/>
        </w:rPr>
        <w:fldChar w:fldCharType="separate"/>
      </w:r>
      <w:r w:rsidR="00F4424F" w:rsidRPr="00F4424F">
        <w:t>(Ronfeldt 2021)</w:t>
      </w:r>
      <w:r w:rsidR="00F4424F">
        <w:rPr>
          <w:rFonts w:eastAsia="Calibri" w:cs="Times New Roman"/>
          <w:szCs w:val="22"/>
        </w:rPr>
        <w:fldChar w:fldCharType="end"/>
      </w:r>
      <w:r w:rsidR="00F4424F">
        <w:rPr>
          <w:rFonts w:eastAsia="Calibri" w:cs="Times New Roman"/>
          <w:szCs w:val="22"/>
        </w:rPr>
        <w:t>.</w:t>
      </w:r>
      <w:r w:rsidR="00CE03E9">
        <w:rPr>
          <w:rFonts w:eastAsia="Calibri" w:cs="Times New Roman"/>
          <w:szCs w:val="22"/>
        </w:rPr>
        <w:t xml:space="preserve"> </w:t>
      </w:r>
      <w:r w:rsidR="007A0B18">
        <w:rPr>
          <w:rFonts w:eastAsia="Calibri" w:cs="Times New Roman"/>
          <w:szCs w:val="22"/>
        </w:rPr>
        <w:t xml:space="preserve">Emerging </w:t>
      </w:r>
      <w:r w:rsidR="007A0B18">
        <w:rPr>
          <w:rFonts w:eastAsia="Calibri" w:cs="Times New Roman"/>
          <w:szCs w:val="22"/>
        </w:rPr>
        <w:lastRenderedPageBreak/>
        <w:t xml:space="preserve">evidence </w:t>
      </w:r>
      <w:r w:rsidR="00EA1A36">
        <w:rPr>
          <w:rFonts w:eastAsia="Calibri" w:cs="Times New Roman"/>
          <w:szCs w:val="22"/>
        </w:rPr>
        <w:t>points to</w:t>
      </w:r>
      <w:r w:rsidR="007A0B18">
        <w:rPr>
          <w:rFonts w:eastAsia="Calibri" w:cs="Times New Roman"/>
          <w:szCs w:val="22"/>
        </w:rPr>
        <w:t xml:space="preserve"> the quality of coursework</w:t>
      </w:r>
      <w:r w:rsidR="004056A1">
        <w:rPr>
          <w:rFonts w:eastAsia="Calibri" w:cs="Times New Roman"/>
          <w:szCs w:val="22"/>
        </w:rPr>
        <w:t xml:space="preserve"> in promoting teaching effectiveness, particularly </w:t>
      </w:r>
      <w:r w:rsidR="00EA1A36">
        <w:rPr>
          <w:rFonts w:eastAsia="Calibri" w:cs="Times New Roman"/>
          <w:szCs w:val="22"/>
        </w:rPr>
        <w:t xml:space="preserve">practice-based courses with opportunities for pre-service teachers to </w:t>
      </w:r>
      <w:r w:rsidR="00435E85">
        <w:rPr>
          <w:rFonts w:eastAsia="Calibri" w:cs="Times New Roman"/>
          <w:szCs w:val="22"/>
        </w:rPr>
        <w:t>practice</w:t>
      </w:r>
      <w:r w:rsidR="00EA1A36">
        <w:rPr>
          <w:rFonts w:eastAsia="Calibri" w:cs="Times New Roman"/>
          <w:szCs w:val="22"/>
        </w:rPr>
        <w:t xml:space="preserve"> and receive feedback and coaching </w:t>
      </w:r>
      <w:r w:rsidR="00435E85">
        <w:rPr>
          <w:rFonts w:eastAsia="Calibri" w:cs="Times New Roman"/>
          <w:szCs w:val="22"/>
        </w:rPr>
        <w:fldChar w:fldCharType="begin"/>
      </w:r>
      <w:r w:rsidR="00435E85">
        <w:rPr>
          <w:rFonts w:eastAsia="Calibri" w:cs="Times New Roman"/>
          <w:szCs w:val="22"/>
        </w:rPr>
        <w:instrText xml:space="preserve"> ADDIN ZOTERO_ITEM CSL_CITATION {"citationID":"eJatumKu","properties":{"formattedCitation":"(Ronfeldt 2021)","plainCitation":"(Ronfeldt 2021)","noteIndex":0},"citationItems":[{"id":39,"uris":["http://zotero.org/users/10549213/items/T9XZIBUY"],"itemData":{"id":39,"type":"report","event-place":"National Academy of Education","language":"en","publisher":"National Academy of Education Committee on Evaluating and Improving Teacher Preparation Programs","publisher-place":"National Academy of Education","source":"DOI.org (Crossref)","title":"Links among teacher preparation, retention, and teaching effectiveness","URL":"https://naeducation.org/evaluating-and-improving-teacher-preparation-programs-commissioned-paper-series/","author":[{"family":"Ronfeldt","given":"Matthew"}],"accessed":{"date-parts":[["2023",1,30]]},"issued":{"date-parts":[["2021"]]}}}],"schema":"https://github.com/citation-style-language/schema/raw/master/csl-citation.json"} </w:instrText>
      </w:r>
      <w:r w:rsidR="00435E85">
        <w:rPr>
          <w:rFonts w:eastAsia="Calibri" w:cs="Times New Roman"/>
          <w:szCs w:val="22"/>
        </w:rPr>
        <w:fldChar w:fldCharType="separate"/>
      </w:r>
      <w:r w:rsidR="00435E85" w:rsidRPr="00435E85">
        <w:t>(Ronfeldt 2021)</w:t>
      </w:r>
      <w:r w:rsidR="00435E85">
        <w:rPr>
          <w:rFonts w:eastAsia="Calibri" w:cs="Times New Roman"/>
          <w:szCs w:val="22"/>
        </w:rPr>
        <w:fldChar w:fldCharType="end"/>
      </w:r>
      <w:r w:rsidR="00435E85">
        <w:rPr>
          <w:rFonts w:eastAsia="Calibri" w:cs="Times New Roman"/>
          <w:szCs w:val="22"/>
        </w:rPr>
        <w:t>.</w:t>
      </w:r>
    </w:p>
    <w:p w14:paraId="170B35C4" w14:textId="76A0DD11" w:rsidR="00C1783E" w:rsidRDefault="00F50BD0" w:rsidP="00CD6CD5">
      <w:pPr>
        <w:suppressAutoHyphens w:val="0"/>
        <w:spacing w:before="0" w:line="259" w:lineRule="auto"/>
        <w:rPr>
          <w:rFonts w:eastAsia="Calibri" w:cs="Times New Roman"/>
          <w:szCs w:val="22"/>
        </w:rPr>
      </w:pPr>
      <w:r>
        <w:rPr>
          <w:rFonts w:eastAsia="Calibri" w:cs="Times New Roman"/>
          <w:szCs w:val="22"/>
        </w:rPr>
        <w:t xml:space="preserve">There is a close relationship between subject-matter knowledge and pedagogy, with </w:t>
      </w:r>
      <w:r w:rsidR="004A6AE9">
        <w:rPr>
          <w:rFonts w:eastAsia="Calibri" w:cs="Times New Roman"/>
          <w:szCs w:val="22"/>
        </w:rPr>
        <w:t xml:space="preserve">extensive research showing that </w:t>
      </w:r>
      <w:r>
        <w:rPr>
          <w:rFonts w:eastAsia="Calibri" w:cs="Times New Roman"/>
          <w:szCs w:val="22"/>
        </w:rPr>
        <w:t xml:space="preserve">teachers’ depth of subject matter </w:t>
      </w:r>
      <w:r w:rsidR="0016095D">
        <w:rPr>
          <w:rFonts w:eastAsia="Calibri" w:cs="Times New Roman"/>
          <w:szCs w:val="22"/>
        </w:rPr>
        <w:t xml:space="preserve">understanding </w:t>
      </w:r>
      <w:r w:rsidR="004A6AE9">
        <w:rPr>
          <w:rFonts w:eastAsia="Calibri" w:cs="Times New Roman"/>
          <w:szCs w:val="22"/>
        </w:rPr>
        <w:t>contributes</w:t>
      </w:r>
      <w:r>
        <w:rPr>
          <w:rFonts w:eastAsia="Calibri" w:cs="Times New Roman"/>
          <w:szCs w:val="22"/>
        </w:rPr>
        <w:t xml:space="preserve"> to their ability to use </w:t>
      </w:r>
      <w:r w:rsidR="008E5EE6">
        <w:rPr>
          <w:rFonts w:eastAsia="Calibri" w:cs="Times New Roman"/>
          <w:szCs w:val="22"/>
        </w:rPr>
        <w:t xml:space="preserve">their </w:t>
      </w:r>
      <w:r>
        <w:rPr>
          <w:rFonts w:eastAsia="Calibri" w:cs="Times New Roman"/>
          <w:szCs w:val="22"/>
        </w:rPr>
        <w:t>skills effectively</w:t>
      </w:r>
      <w:r w:rsidR="004A6AE9">
        <w:rPr>
          <w:rFonts w:eastAsia="Calibri" w:cs="Times New Roman"/>
          <w:szCs w:val="22"/>
        </w:rPr>
        <w:t xml:space="preserve"> </w:t>
      </w:r>
      <w:r w:rsidR="003817D3">
        <w:rPr>
          <w:rFonts w:eastAsia="Calibri" w:cs="Times New Roman"/>
          <w:szCs w:val="22"/>
        </w:rPr>
        <w:fldChar w:fldCharType="begin"/>
      </w:r>
      <w:r w:rsidR="003817D3">
        <w:rPr>
          <w:rFonts w:eastAsia="Calibri" w:cs="Times New Roman"/>
          <w:szCs w:val="22"/>
        </w:rPr>
        <w:instrText xml:space="preserve"> ADDIN ZOTERO_ITEM CSL_CITATION {"citationID":"vOcyd7KN","properties":{"formattedCitation":"(Ingvarson et al. 2014)","plainCitation":"(Ingvarson et al. 2014)","noteIndex":0},"citationItems":[{"id":43,"uris":["http://zotero.org/users/10549213/items/5RT9BBPH"],"itemData":{"id":43,"type":"report","event-place":"Canberra","language":"en","publisher":"Department of Education","publisher-place":"Canberra","source":"Zotero","title":"Best practice teacher education programs and Australia’s own programs","author":[{"family":"Ingvarson","given":"Lawrence"},{"family":"Reid","given":"Kate"},{"family":"Buckley","given":"Sarah"},{"family":"Kleinhenz","given":"Elizabeth"},{"family":"Masters","given":"Geoff"},{"family":"Rowley","given":"Glenn"}],"issued":{"date-parts":[["2014"]]}}}],"schema":"https://github.com/citation-style-language/schema/raw/master/csl-citation.json"} </w:instrText>
      </w:r>
      <w:r w:rsidR="003817D3">
        <w:rPr>
          <w:rFonts w:eastAsia="Calibri" w:cs="Times New Roman"/>
          <w:szCs w:val="22"/>
        </w:rPr>
        <w:fldChar w:fldCharType="separate"/>
      </w:r>
      <w:r w:rsidR="003817D3" w:rsidRPr="003817D3">
        <w:t>(Ingvarson et al. 2014)</w:t>
      </w:r>
      <w:r w:rsidR="003817D3">
        <w:rPr>
          <w:rFonts w:eastAsia="Calibri" w:cs="Times New Roman"/>
          <w:szCs w:val="22"/>
        </w:rPr>
        <w:fldChar w:fldCharType="end"/>
      </w:r>
      <w:r>
        <w:rPr>
          <w:rFonts w:eastAsia="Calibri" w:cs="Times New Roman"/>
          <w:szCs w:val="22"/>
        </w:rPr>
        <w:t>.</w:t>
      </w:r>
      <w:r w:rsidRPr="005B646E">
        <w:rPr>
          <w:rFonts w:eastAsia="Calibri" w:cs="Times New Roman"/>
          <w:szCs w:val="22"/>
        </w:rPr>
        <w:t xml:space="preserve"> </w:t>
      </w:r>
      <w:r w:rsidR="008911FE">
        <w:rPr>
          <w:rFonts w:eastAsia="Calibri" w:cs="Times New Roman"/>
        </w:rPr>
        <w:t>National and international studies</w:t>
      </w:r>
      <w:r w:rsidR="00A4159A" w:rsidRPr="00D96B1B">
        <w:rPr>
          <w:rFonts w:eastAsia="Calibri" w:cs="Times New Roman"/>
        </w:rPr>
        <w:t xml:space="preserve"> highlight the importance of </w:t>
      </w:r>
      <w:r w:rsidR="00B100C8">
        <w:rPr>
          <w:rFonts w:eastAsia="Calibri" w:cs="Times New Roman"/>
        </w:rPr>
        <w:t xml:space="preserve">enabling pre-service teachers to gain a deep understanding </w:t>
      </w:r>
      <w:r w:rsidR="002656F4">
        <w:rPr>
          <w:rFonts w:eastAsia="Calibri" w:cs="Times New Roman"/>
        </w:rPr>
        <w:t xml:space="preserve">of </w:t>
      </w:r>
      <w:r w:rsidR="009A1273" w:rsidRPr="00D96B1B">
        <w:rPr>
          <w:rFonts w:eastAsia="Calibri" w:cs="Times New Roman"/>
        </w:rPr>
        <w:t>subject-specific pedagogical</w:t>
      </w:r>
      <w:r w:rsidR="009A1273" w:rsidRPr="005B646E">
        <w:rPr>
          <w:rFonts w:eastAsia="Calibri" w:cs="Times New Roman"/>
          <w:szCs w:val="22"/>
        </w:rPr>
        <w:t xml:space="preserve"> knowledge </w:t>
      </w:r>
      <w:r w:rsidR="00A4143C">
        <w:rPr>
          <w:rFonts w:eastAsia="Calibri" w:cs="Times New Roman"/>
          <w:szCs w:val="22"/>
        </w:rPr>
        <w:t>to support</w:t>
      </w:r>
      <w:r w:rsidR="009A1273" w:rsidRPr="005B646E">
        <w:rPr>
          <w:rFonts w:eastAsia="Calibri" w:cs="Times New Roman"/>
          <w:szCs w:val="22"/>
        </w:rPr>
        <w:t xml:space="preserve"> quality teaching </w:t>
      </w:r>
      <w:r w:rsidR="00C1783E">
        <w:rPr>
          <w:rFonts w:eastAsia="Calibri" w:cs="Times New Roman"/>
          <w:szCs w:val="22"/>
        </w:rPr>
        <w:fldChar w:fldCharType="begin"/>
      </w:r>
      <w:r w:rsidR="009F2FA6">
        <w:rPr>
          <w:rFonts w:eastAsia="Calibri" w:cs="Times New Roman"/>
          <w:szCs w:val="22"/>
        </w:rPr>
        <w:instrText xml:space="preserve"> ADDIN ZOTERO_ITEM CSL_CITATION {"citationID":"bAUqSaUe","properties":{"formattedCitation":"(Ingvarson et al. 2014; Darling-Hammond et al. 2019)","plainCitation":"(Ingvarson et al. 2014; Darling-Hammond et al. 2019)","noteIndex":0},"citationItems":[{"id":43,"uris":["http://zotero.org/users/10549213/items/5RT9BBPH"],"itemData":{"id":43,"type":"report","event-place":"Canberra","language":"en","publisher":"Department of Education","publisher-place":"Canberra","source":"Zotero","title":"Best practice teacher education programs and Australia’s own programs","author":[{"family":"Ingvarson","given":"Lawrence"},{"family":"Reid","given":"Kate"},{"family":"Buckley","given":"Sarah"},{"family":"Kleinhenz","given":"Elizabeth"},{"family":"Masters","given":"Geoff"},{"family":"Rowley","given":"Glenn"}],"issued":{"date-parts":[["2014"]]}}},{"id":48,"uris":["http://zotero.org/users/10549213/items/B8AI6J9A"],"itemData":{"id":48,"type":"report","abstract":"Preparing Teachers for Deeper Learning, summarized by this brief, describes the work of seven pioneering programs of teacher education that have organized themselves to meet the dual challenge of teacher preparation for deeper learning and equity. This study examined how teacher candidates learn to create personalized, inquiry-based learning opportunities for all children and how their programs create such opportunities for the candidates themselves. Through interviews, on-site observations, candidate surveys, and document review, the study describes the curriculum, practices, and institutional structures that make teacher preparation for deeper learning possible.","event-place":"Washington, DC","language":"en","publisher":"Learning Policy Institute","publisher-place":"Washington, DC","source":"Zotero","title":"Research brief: Preparing teachers for deeper learning","author":[{"family":"Darling-Hammond","given":"Linda"},{"family":"Oakes","given":"Jeannie"},{"family":"Wojcikiewicz","given":"Steven K"},{"family":"Hyler","given":"Maria E"},{"family":"Guha","given":"Roneeta"},{"family":"Podolsky","given":"Anne"},{"family":"Kini","given":"Tara"},{"family":"Cook-Harvey","given":"Channa M"},{"family":"Jackson Mercer","given":"Charmaine N"},{"family":"Harrell","given":"Akeelah"}],"issued":{"date-parts":[["2019"]]}}}],"schema":"https://github.com/citation-style-language/schema/raw/master/csl-citation.json"} </w:instrText>
      </w:r>
      <w:r w:rsidR="00C1783E">
        <w:rPr>
          <w:rFonts w:eastAsia="Calibri" w:cs="Times New Roman"/>
          <w:szCs w:val="22"/>
        </w:rPr>
        <w:fldChar w:fldCharType="separate"/>
      </w:r>
      <w:r w:rsidR="009F2FA6" w:rsidRPr="009F2FA6">
        <w:t>(Ingvarson et al. 2014; Darling-Hammond et al. 2019)</w:t>
      </w:r>
      <w:r w:rsidR="00C1783E">
        <w:rPr>
          <w:rFonts w:eastAsia="Calibri" w:cs="Times New Roman"/>
          <w:szCs w:val="22"/>
        </w:rPr>
        <w:fldChar w:fldCharType="end"/>
      </w:r>
      <w:r w:rsidR="00530E60">
        <w:rPr>
          <w:rFonts w:eastAsia="Calibri" w:cs="Times New Roman"/>
          <w:szCs w:val="22"/>
        </w:rPr>
        <w:t>.</w:t>
      </w:r>
    </w:p>
    <w:p w14:paraId="0FE83CBC" w14:textId="36ADAF16" w:rsidR="00061EC2" w:rsidRDefault="00736218" w:rsidP="00F3004D">
      <w:pPr>
        <w:suppressAutoHyphens w:val="0"/>
        <w:spacing w:before="0" w:line="259" w:lineRule="auto"/>
        <w:rPr>
          <w:rFonts w:eastAsia="Calibri" w:cs="Times New Roman"/>
          <w:szCs w:val="22"/>
        </w:rPr>
      </w:pPr>
      <w:r>
        <w:rPr>
          <w:rFonts w:eastAsia="Calibri" w:cs="Times New Roman"/>
          <w:szCs w:val="22"/>
        </w:rPr>
        <w:t xml:space="preserve">An </w:t>
      </w:r>
      <w:r w:rsidR="00D22D39">
        <w:rPr>
          <w:rFonts w:eastAsia="Calibri" w:cs="Times New Roman"/>
          <w:szCs w:val="22"/>
        </w:rPr>
        <w:t>ACER</w:t>
      </w:r>
      <w:r>
        <w:rPr>
          <w:rFonts w:eastAsia="Calibri" w:cs="Times New Roman"/>
          <w:szCs w:val="22"/>
        </w:rPr>
        <w:t xml:space="preserve"> study</w:t>
      </w:r>
      <w:r w:rsidR="00AB6172">
        <w:rPr>
          <w:rFonts w:eastAsia="Calibri" w:cs="Times New Roman"/>
          <w:szCs w:val="22"/>
        </w:rPr>
        <w:t xml:space="preserve"> reported </w:t>
      </w:r>
      <w:r w:rsidR="007A68F4">
        <w:rPr>
          <w:rFonts w:eastAsia="Calibri" w:cs="Times New Roman"/>
          <w:szCs w:val="22"/>
        </w:rPr>
        <w:t xml:space="preserve">that graduate teachers who felt well prepared for their first </w:t>
      </w:r>
      <w:r w:rsidR="00F3004D">
        <w:rPr>
          <w:rFonts w:eastAsia="Calibri" w:cs="Times New Roman"/>
          <w:szCs w:val="22"/>
        </w:rPr>
        <w:t xml:space="preserve">teaching </w:t>
      </w:r>
      <w:r w:rsidR="007A68F4">
        <w:rPr>
          <w:rFonts w:eastAsia="Calibri" w:cs="Times New Roman"/>
          <w:szCs w:val="22"/>
        </w:rPr>
        <w:t>role</w:t>
      </w:r>
      <w:r w:rsidR="00F95C9E">
        <w:rPr>
          <w:rFonts w:eastAsia="Calibri" w:cs="Times New Roman"/>
          <w:szCs w:val="22"/>
        </w:rPr>
        <w:t xml:space="preserve"> were more likely to have completed ‘content’-focused ITE programs, which</w:t>
      </w:r>
      <w:r w:rsidR="001742EB">
        <w:rPr>
          <w:rFonts w:eastAsia="Calibri" w:cs="Times New Roman"/>
          <w:szCs w:val="22"/>
        </w:rPr>
        <w:t xml:space="preserve"> enabled them to gain a deep</w:t>
      </w:r>
      <w:r w:rsidR="008F57D6">
        <w:rPr>
          <w:rFonts w:eastAsia="Calibri" w:cs="Times New Roman"/>
          <w:szCs w:val="22"/>
        </w:rPr>
        <w:t>er</w:t>
      </w:r>
      <w:r w:rsidR="001742EB">
        <w:rPr>
          <w:rFonts w:eastAsia="Calibri" w:cs="Times New Roman"/>
          <w:szCs w:val="22"/>
        </w:rPr>
        <w:t xml:space="preserve"> understanding of </w:t>
      </w:r>
      <w:r w:rsidR="00DE6EF9">
        <w:rPr>
          <w:rFonts w:eastAsia="Calibri" w:cs="Times New Roman"/>
          <w:szCs w:val="22"/>
        </w:rPr>
        <w:t xml:space="preserve">the </w:t>
      </w:r>
      <w:r w:rsidR="001742EB">
        <w:rPr>
          <w:rFonts w:eastAsia="Calibri" w:cs="Times New Roman"/>
          <w:szCs w:val="22"/>
        </w:rPr>
        <w:t>content and pedagogical knowledge</w:t>
      </w:r>
      <w:r w:rsidR="00DE6EF9">
        <w:rPr>
          <w:rFonts w:eastAsia="Calibri" w:cs="Times New Roman"/>
          <w:szCs w:val="22"/>
        </w:rPr>
        <w:t xml:space="preserve"> alongside</w:t>
      </w:r>
      <w:r w:rsidR="008F57D6">
        <w:rPr>
          <w:rFonts w:eastAsia="Calibri" w:cs="Times New Roman"/>
          <w:szCs w:val="22"/>
        </w:rPr>
        <w:t xml:space="preserve"> skills in </w:t>
      </w:r>
      <w:r w:rsidR="00DE1076">
        <w:rPr>
          <w:rFonts w:eastAsia="Calibri" w:cs="Times New Roman"/>
          <w:szCs w:val="22"/>
        </w:rPr>
        <w:t xml:space="preserve">measuring student understanding, developing appropriate activities, and assessing </w:t>
      </w:r>
      <w:r w:rsidR="00DE1076" w:rsidRPr="00F86A0C">
        <w:rPr>
          <w:rFonts w:eastAsia="Calibri" w:cs="Times New Roman"/>
          <w:szCs w:val="22"/>
        </w:rPr>
        <w:t>learning</w:t>
      </w:r>
      <w:r w:rsidR="00F86A0C" w:rsidRPr="00F86A0C">
        <w:rPr>
          <w:rFonts w:eastAsia="Calibri" w:cs="Times New Roman"/>
          <w:szCs w:val="22"/>
        </w:rPr>
        <w:t xml:space="preserve"> </w:t>
      </w:r>
      <w:r w:rsidR="00F86A0C" w:rsidRPr="00F86A0C">
        <w:rPr>
          <w:rFonts w:eastAsia="Calibri" w:cs="Times New Roman"/>
          <w:szCs w:val="22"/>
        </w:rPr>
        <w:fldChar w:fldCharType="begin"/>
      </w:r>
      <w:r w:rsidR="00F86A0C" w:rsidRPr="00F86A0C">
        <w:rPr>
          <w:rFonts w:eastAsia="Calibri" w:cs="Times New Roman"/>
          <w:szCs w:val="22"/>
        </w:rPr>
        <w:instrText xml:space="preserve"> ADDIN ZOTERO_ITEM CSL_CITATION {"citationID":"15y4z2fa","properties":{"formattedCitation":"(Ingvarson et al. 2007)","plainCitation":"(Ingvarson et al. 2007)","noteIndex":0},"citationItems":[{"id":17722,"uris":["http://zotero.org/users/10549213/items/58YKN6J9"],"itemData":{"id":17722,"type":"article-journal","container-title":"Teacher education","title":"The VIT Program for supporting provisionally registered teachers : Evaluation of implementation in 2005.","title-short":"The VIT Program for Supporting Provisionally Registered Teachers","URL":"https://research.acer.edu.au/teacher_education/2","author":[{"family":"Ingvarson","given":"Lawrence"},{"family":"Kleinhenz","given":"Elizabeth"},{"family":"Khoo","given":"Siek Toon"},{"family":"Wilkinson","given":"Jenny"}],"issued":{"date-parts":[["2007",1,1]]}}}],"schema":"https://github.com/citation-style-language/schema/raw/master/csl-citation.json"} </w:instrText>
      </w:r>
      <w:r w:rsidR="00F86A0C" w:rsidRPr="00F86A0C">
        <w:rPr>
          <w:rFonts w:eastAsia="Calibri" w:cs="Times New Roman"/>
          <w:szCs w:val="22"/>
        </w:rPr>
        <w:fldChar w:fldCharType="separate"/>
      </w:r>
      <w:r w:rsidR="00F86A0C" w:rsidRPr="00F86A0C">
        <w:t>(Ingvarson et al. 2007)</w:t>
      </w:r>
      <w:r w:rsidR="00F86A0C" w:rsidRPr="00F86A0C">
        <w:rPr>
          <w:rFonts w:eastAsia="Calibri" w:cs="Times New Roman"/>
          <w:szCs w:val="22"/>
        </w:rPr>
        <w:fldChar w:fldCharType="end"/>
      </w:r>
      <w:r w:rsidR="00DE1076" w:rsidRPr="00F86A0C">
        <w:rPr>
          <w:rFonts w:eastAsia="Calibri" w:cs="Times New Roman"/>
          <w:szCs w:val="22"/>
        </w:rPr>
        <w:t>.</w:t>
      </w:r>
      <w:r w:rsidR="00DE1076">
        <w:rPr>
          <w:rFonts w:eastAsia="Calibri" w:cs="Times New Roman"/>
          <w:szCs w:val="22"/>
        </w:rPr>
        <w:t xml:space="preserve"> </w:t>
      </w:r>
    </w:p>
    <w:p w14:paraId="27B33A52" w14:textId="36D34D9E" w:rsidR="0015230E" w:rsidRPr="00F3004D" w:rsidRDefault="008B2E41" w:rsidP="00F3004D">
      <w:pPr>
        <w:suppressAutoHyphens w:val="0"/>
        <w:spacing w:before="0" w:line="259" w:lineRule="auto"/>
        <w:rPr>
          <w:rFonts w:eastAsia="Calibri" w:cs="Times New Roman"/>
          <w:szCs w:val="22"/>
        </w:rPr>
      </w:pPr>
      <w:r>
        <w:rPr>
          <w:rFonts w:eastAsia="Calibri" w:cs="Times New Roman"/>
          <w:szCs w:val="22"/>
        </w:rPr>
        <w:t>Project 1 provides a detailed explanation of the evidence base for foundational core content.</w:t>
      </w:r>
    </w:p>
    <w:p w14:paraId="41D7448C" w14:textId="77777777" w:rsidR="00061EC2" w:rsidRDefault="00061EC2" w:rsidP="00226621">
      <w:pPr>
        <w:pStyle w:val="Heading3"/>
      </w:pPr>
      <w:r w:rsidRPr="00061EC2">
        <w:t xml:space="preserve">How does this align with the National Program Standards? </w:t>
      </w:r>
    </w:p>
    <w:p w14:paraId="0D4C5717" w14:textId="054BC832" w:rsidR="00034875" w:rsidRDefault="006219CA" w:rsidP="00E31C68">
      <w:pPr>
        <w:rPr>
          <w:rFonts w:eastAsia="Calibri" w:cs="Times New Roman"/>
        </w:rPr>
      </w:pPr>
      <w:r>
        <w:rPr>
          <w:rFonts w:eastAsia="Calibri" w:cs="Times New Roman"/>
        </w:rPr>
        <w:t xml:space="preserve">Schedule 1 for </w:t>
      </w:r>
      <w:r w:rsidR="00066029">
        <w:rPr>
          <w:rFonts w:eastAsia="Calibri" w:cs="Times New Roman"/>
        </w:rPr>
        <w:t xml:space="preserve">Program Standard 4.2 </w:t>
      </w:r>
      <w:r w:rsidR="001B1900">
        <w:rPr>
          <w:rFonts w:eastAsia="Calibri" w:cs="Times New Roman"/>
        </w:rPr>
        <w:t>provides a</w:t>
      </w:r>
      <w:r w:rsidR="000475FF">
        <w:rPr>
          <w:rFonts w:eastAsia="Calibri" w:cs="Times New Roman"/>
        </w:rPr>
        <w:t xml:space="preserve"> broad </w:t>
      </w:r>
      <w:r w:rsidR="001B1900">
        <w:rPr>
          <w:rFonts w:eastAsia="Calibri" w:cs="Times New Roman"/>
        </w:rPr>
        <w:t>overview of</w:t>
      </w:r>
      <w:r w:rsidR="00066029">
        <w:rPr>
          <w:rFonts w:eastAsia="Calibri" w:cs="Times New Roman"/>
        </w:rPr>
        <w:t xml:space="preserve"> the mandatory content requirements for ITE programs</w:t>
      </w:r>
      <w:r w:rsidR="00265121">
        <w:rPr>
          <w:rFonts w:eastAsia="Calibri" w:cs="Times New Roman"/>
        </w:rPr>
        <w:t xml:space="preserve">. This information is </w:t>
      </w:r>
      <w:r w:rsidR="00A03A36">
        <w:rPr>
          <w:rFonts w:eastAsia="Calibri" w:cs="Times New Roman"/>
        </w:rPr>
        <w:t xml:space="preserve">included </w:t>
      </w:r>
      <w:r w:rsidR="00034875">
        <w:rPr>
          <w:rFonts w:eastAsia="Calibri" w:cs="Times New Roman"/>
        </w:rPr>
        <w:t xml:space="preserve">in the </w:t>
      </w:r>
      <w:r w:rsidR="00034875" w:rsidRPr="0033782C">
        <w:rPr>
          <w:rFonts w:eastAsia="Calibri" w:cs="Times New Roman"/>
        </w:rPr>
        <w:t xml:space="preserve">PDF </w:t>
      </w:r>
      <w:r w:rsidR="00265121">
        <w:rPr>
          <w:rFonts w:eastAsia="Calibri" w:cs="Times New Roman"/>
        </w:rPr>
        <w:t xml:space="preserve">version of the </w:t>
      </w:r>
      <w:r w:rsidR="001B4B7A">
        <w:rPr>
          <w:rFonts w:eastAsia="Calibri" w:cs="Times New Roman"/>
        </w:rPr>
        <w:t xml:space="preserve">Accreditation </w:t>
      </w:r>
      <w:r w:rsidR="00034875" w:rsidRPr="0033782C">
        <w:rPr>
          <w:rFonts w:eastAsia="Calibri" w:cs="Times New Roman"/>
        </w:rPr>
        <w:t>Standards and Procedures</w:t>
      </w:r>
      <w:r w:rsidR="00034875">
        <w:rPr>
          <w:rFonts w:eastAsia="Calibri" w:cs="Times New Roman"/>
        </w:rPr>
        <w:t xml:space="preserve"> but not </w:t>
      </w:r>
      <w:r w:rsidR="002A085C">
        <w:rPr>
          <w:rFonts w:eastAsia="Calibri" w:cs="Times New Roman"/>
        </w:rPr>
        <w:t>outlined</w:t>
      </w:r>
      <w:r w:rsidR="007C034E">
        <w:rPr>
          <w:rFonts w:eastAsia="Calibri" w:cs="Times New Roman"/>
        </w:rPr>
        <w:t xml:space="preserve"> in</w:t>
      </w:r>
      <w:r w:rsidR="00034875">
        <w:rPr>
          <w:rFonts w:eastAsia="Calibri" w:cs="Times New Roman"/>
        </w:rPr>
        <w:t xml:space="preserve"> the </w:t>
      </w:r>
      <w:hyperlink r:id="rId12" w:history="1">
        <w:r w:rsidR="00007A97" w:rsidRPr="00007A97">
          <w:rPr>
            <w:rStyle w:val="Hyperlink"/>
            <w:rFonts w:eastAsia="Calibri" w:cs="Times New Roman"/>
          </w:rPr>
          <w:t>online</w:t>
        </w:r>
        <w:r w:rsidR="00DB1538" w:rsidRPr="00007A97">
          <w:rPr>
            <w:rStyle w:val="Hyperlink"/>
            <w:rFonts w:eastAsia="Calibri" w:cs="Times New Roman"/>
          </w:rPr>
          <w:t xml:space="preserve"> Program Standards</w:t>
        </w:r>
      </w:hyperlink>
      <w:r w:rsidR="00DB1538">
        <w:rPr>
          <w:rFonts w:eastAsia="Calibri" w:cs="Times New Roman"/>
        </w:rPr>
        <w:t>.</w:t>
      </w:r>
    </w:p>
    <w:p w14:paraId="0022482E" w14:textId="539092AB" w:rsidR="001B1900" w:rsidRDefault="00BD5517" w:rsidP="00E31C68">
      <w:pPr>
        <w:rPr>
          <w:rFonts w:eastAsia="Calibri" w:cs="Times New Roman"/>
        </w:rPr>
      </w:pPr>
      <w:r>
        <w:rPr>
          <w:rFonts w:eastAsia="Calibri" w:cs="Times New Roman"/>
        </w:rPr>
        <w:t xml:space="preserve">Beyond </w:t>
      </w:r>
      <w:r w:rsidR="00553C6E">
        <w:rPr>
          <w:rFonts w:eastAsia="Calibri" w:cs="Times New Roman"/>
        </w:rPr>
        <w:t xml:space="preserve">broad </w:t>
      </w:r>
      <w:r w:rsidR="00782AA6">
        <w:rPr>
          <w:rFonts w:eastAsia="Calibri" w:cs="Times New Roman"/>
        </w:rPr>
        <w:t xml:space="preserve">program guidance in </w:t>
      </w:r>
      <w:r w:rsidR="007C034E">
        <w:rPr>
          <w:rFonts w:eastAsia="Calibri" w:cs="Times New Roman"/>
        </w:rPr>
        <w:t>Standard 4 and Schedule 1</w:t>
      </w:r>
      <w:r>
        <w:rPr>
          <w:rFonts w:eastAsia="Calibri" w:cs="Times New Roman"/>
        </w:rPr>
        <w:t>, t</w:t>
      </w:r>
      <w:r w:rsidR="00D97C58">
        <w:rPr>
          <w:rFonts w:eastAsia="Calibri" w:cs="Times New Roman"/>
        </w:rPr>
        <w:t>here is no d</w:t>
      </w:r>
      <w:r w:rsidR="001B1900">
        <w:rPr>
          <w:rFonts w:eastAsia="Calibri" w:cs="Times New Roman"/>
        </w:rPr>
        <w:t xml:space="preserve">etailed information </w:t>
      </w:r>
      <w:r w:rsidR="00BF3762">
        <w:rPr>
          <w:rFonts w:eastAsia="Calibri" w:cs="Times New Roman"/>
        </w:rPr>
        <w:t>reflecting</w:t>
      </w:r>
      <w:r w:rsidR="00BD00D0">
        <w:rPr>
          <w:rFonts w:eastAsia="Calibri" w:cs="Times New Roman"/>
        </w:rPr>
        <w:t xml:space="preserve"> the</w:t>
      </w:r>
      <w:r w:rsidR="001B1900">
        <w:rPr>
          <w:rFonts w:eastAsia="Calibri" w:cs="Times New Roman"/>
        </w:rPr>
        <w:t xml:space="preserve"> foundational core content </w:t>
      </w:r>
      <w:r w:rsidR="00BD00D0">
        <w:rPr>
          <w:rFonts w:eastAsia="Calibri" w:cs="Times New Roman"/>
        </w:rPr>
        <w:t>necessary for ITE programs</w:t>
      </w:r>
      <w:r w:rsidR="00D97C58">
        <w:rPr>
          <w:rFonts w:eastAsia="Calibri" w:cs="Times New Roman"/>
        </w:rPr>
        <w:t>.</w:t>
      </w:r>
      <w:r w:rsidR="00681E31">
        <w:rPr>
          <w:rFonts w:eastAsia="Calibri" w:cs="Times New Roman"/>
        </w:rPr>
        <w:t xml:space="preserve"> </w:t>
      </w:r>
    </w:p>
    <w:p w14:paraId="25A9DAB8" w14:textId="647DEC64" w:rsidR="00F80530" w:rsidRDefault="00762E25" w:rsidP="00F80530">
      <w:pPr>
        <w:rPr>
          <w:rFonts w:eastAsia="Calibri" w:cs="Times New Roman"/>
        </w:rPr>
      </w:pPr>
      <w:r w:rsidRPr="00762E25">
        <w:rPr>
          <w:rFonts w:eastAsia="Calibri" w:cs="Times New Roman"/>
        </w:rPr>
        <w:t>The relevant Program Standards are included in Appendix A for reference.</w:t>
      </w:r>
    </w:p>
    <w:p w14:paraId="084AAA95" w14:textId="77777777" w:rsidR="00F80530" w:rsidRDefault="00F80530" w:rsidP="00F80530">
      <w:pPr>
        <w:rPr>
          <w:rFonts w:eastAsia="Calibri" w:cs="Times New Roman"/>
        </w:rPr>
      </w:pPr>
    </w:p>
    <w:p w14:paraId="2C0240D9" w14:textId="3D29348F" w:rsidR="00810133" w:rsidRPr="005B646E" w:rsidRDefault="00810133" w:rsidP="00171F66">
      <w:pPr>
        <w:pStyle w:val="Heading2"/>
      </w:pPr>
      <w:r w:rsidRPr="005B646E">
        <w:t xml:space="preserve">Principle </w:t>
      </w:r>
      <w:r w:rsidR="00737CE6">
        <w:t>3</w:t>
      </w:r>
      <w:r w:rsidRPr="005B646E">
        <w:t>.</w:t>
      </w:r>
      <w:r w:rsidR="00FA6C9C" w:rsidRPr="005B646E">
        <w:t xml:space="preserve"> </w:t>
      </w:r>
      <w:r w:rsidR="00634DBC">
        <w:t>Pedagogy</w:t>
      </w:r>
      <w:r w:rsidR="00D57524">
        <w:br/>
      </w:r>
      <w:r w:rsidR="00414684">
        <w:t xml:space="preserve">Drawing on adult skill development and </w:t>
      </w:r>
      <w:r w:rsidR="008F0402">
        <w:t>taught in the context of practice</w:t>
      </w:r>
    </w:p>
    <w:p w14:paraId="34ED81B8" w14:textId="1D89A516" w:rsidR="00B62236" w:rsidRDefault="00B62236" w:rsidP="00226621">
      <w:pPr>
        <w:pStyle w:val="Heading3"/>
      </w:pPr>
      <w:r>
        <w:t>What does it look like?</w:t>
      </w:r>
    </w:p>
    <w:p w14:paraId="4E6B9536" w14:textId="6E82A77E" w:rsidR="00A40806" w:rsidRDefault="0034587E" w:rsidP="00E74DE2">
      <w:r>
        <w:t>Integrating theory and practice in</w:t>
      </w:r>
      <w:r w:rsidR="00D11E24">
        <w:t>to</w:t>
      </w:r>
      <w:r>
        <w:t xml:space="preserve"> </w:t>
      </w:r>
      <w:r w:rsidR="002C1265">
        <w:t>ITE</w:t>
      </w:r>
      <w:r w:rsidR="00080317">
        <w:t xml:space="preserve"> </w:t>
      </w:r>
      <w:r>
        <w:t>is important to contextualise learning</w:t>
      </w:r>
      <w:r w:rsidR="007747CD">
        <w:t xml:space="preserve"> and enable pre-service teachers to practi</w:t>
      </w:r>
      <w:r w:rsidR="00680D47">
        <w:t>s</w:t>
      </w:r>
      <w:r w:rsidR="007747CD">
        <w:t xml:space="preserve">e </w:t>
      </w:r>
      <w:r w:rsidR="001B312D">
        <w:t xml:space="preserve">and refine </w:t>
      </w:r>
      <w:r w:rsidR="007747CD">
        <w:t>skills</w:t>
      </w:r>
      <w:r w:rsidR="0097619D">
        <w:t>. ITE program</w:t>
      </w:r>
      <w:r w:rsidR="0018504B">
        <w:t xml:space="preserve">s should draw on the principles of adult skill development and </w:t>
      </w:r>
      <w:r w:rsidR="009F6040">
        <w:t xml:space="preserve">be taught in the context of practice </w:t>
      </w:r>
      <w:r w:rsidR="005930AD">
        <w:t>to make learning relevant</w:t>
      </w:r>
      <w:r w:rsidR="008C157A">
        <w:t>.</w:t>
      </w:r>
      <w:r w:rsidR="00154CD9">
        <w:t xml:space="preserve"> </w:t>
      </w:r>
      <w:r w:rsidR="00E74DE2">
        <w:t xml:space="preserve">Adult learning principles </w:t>
      </w:r>
      <w:r w:rsidR="0087499E">
        <w:t>draw</w:t>
      </w:r>
      <w:r w:rsidR="00912EAC">
        <w:t xml:space="preserve"> on: </w:t>
      </w:r>
      <w:r w:rsidR="00A40806">
        <w:t>self-concept and self-direction</w:t>
      </w:r>
      <w:r w:rsidR="0087499E">
        <w:t>, prior life experiences and knowledge</w:t>
      </w:r>
      <w:r w:rsidR="00710368">
        <w:t>, readiness to learn, learning orientation and motivation to learn</w:t>
      </w:r>
      <w:r w:rsidR="00D94C54">
        <w:t xml:space="preserve"> </w:t>
      </w:r>
      <w:r w:rsidR="00B16CFF">
        <w:fldChar w:fldCharType="begin"/>
      </w:r>
      <w:r w:rsidR="00B16CFF">
        <w:instrText xml:space="preserve"> ADDIN ZOTERO_ITEM CSL_CITATION {"citationID":"bDRISkqb","properties":{"formattedCitation":"(Knowles et al. 2005)","plainCitation":"(Knowles et al. 2005)","noteIndex":0},"citationItems":[{"id":17726,"uris":["http://zotero.org/users/10549213/items/QALQF77G"],"itemData":{"id":17726,"type":"book","edition":"Sixth edition","event-place":"Burlington, MA","publisher":"Elsevier","publisher-place":"Burlington, MA","title":"The adult learner. The definitive classic in adult education and human resource development","author":[{"family":"Knowles","given":"Malcolm S"},{"family":"Holton III","given":"Elwood F"},{"family":"Swanson","given":"Richard A"}],"issued":{"date-parts":[["2005"]]}}}],"schema":"https://github.com/citation-style-language/schema/raw/master/csl-citation.json"} </w:instrText>
      </w:r>
      <w:r w:rsidR="00B16CFF">
        <w:fldChar w:fldCharType="separate"/>
      </w:r>
      <w:r w:rsidR="00B16CFF" w:rsidRPr="00B16CFF">
        <w:t>(Knowles et al. 2005)</w:t>
      </w:r>
      <w:r w:rsidR="00B16CFF">
        <w:fldChar w:fldCharType="end"/>
      </w:r>
      <w:r w:rsidR="003C7117">
        <w:t>.</w:t>
      </w:r>
    </w:p>
    <w:p w14:paraId="381A4A3B" w14:textId="42786785" w:rsidR="00483EBB" w:rsidRDefault="00AF2CBB" w:rsidP="00C2024C">
      <w:r>
        <w:lastRenderedPageBreak/>
        <w:t>Units</w:t>
      </w:r>
      <w:r w:rsidR="00825EAE">
        <w:t xml:space="preserve"> should be carefully sequenced within </w:t>
      </w:r>
      <w:r w:rsidR="00693644">
        <w:t>ITE</w:t>
      </w:r>
      <w:r w:rsidR="00825EAE">
        <w:t xml:space="preserve"> program</w:t>
      </w:r>
      <w:r w:rsidR="00693644">
        <w:t>s</w:t>
      </w:r>
      <w:r w:rsidR="00825EAE">
        <w:t xml:space="preserve"> to become progressively more complex</w:t>
      </w:r>
      <w:r w:rsidR="00483EBB">
        <w:t xml:space="preserve"> and </w:t>
      </w:r>
      <w:r w:rsidR="00C50340">
        <w:t>enable</w:t>
      </w:r>
      <w:r w:rsidR="00825EAE">
        <w:t xml:space="preserve"> </w:t>
      </w:r>
      <w:r w:rsidR="00B76F92">
        <w:t xml:space="preserve">pre-service teachers </w:t>
      </w:r>
      <w:r w:rsidR="00773A4F">
        <w:t>to</w:t>
      </w:r>
      <w:r w:rsidR="008C157A" w:rsidRPr="008C157A">
        <w:t xml:space="preserve"> </w:t>
      </w:r>
      <w:r w:rsidR="008C157A">
        <w:t>build</w:t>
      </w:r>
      <w:r w:rsidR="008C157A" w:rsidRPr="005B646E">
        <w:t xml:space="preserve"> competence</w:t>
      </w:r>
      <w:r w:rsidR="008C157A">
        <w:t xml:space="preserve"> </w:t>
      </w:r>
      <w:r w:rsidR="001B312D">
        <w:t xml:space="preserve">through </w:t>
      </w:r>
      <w:r w:rsidR="00DE47D9">
        <w:t xml:space="preserve">regular </w:t>
      </w:r>
      <w:r w:rsidR="001B312D">
        <w:t>practice</w:t>
      </w:r>
      <w:r w:rsidR="0038096E">
        <w:t xml:space="preserve"> and </w:t>
      </w:r>
      <w:r w:rsidR="008C157A">
        <w:t>feedback</w:t>
      </w:r>
      <w:r w:rsidR="00483EBB">
        <w:t>.</w:t>
      </w:r>
    </w:p>
    <w:p w14:paraId="06187429" w14:textId="15455FC4" w:rsidR="00AF15D4" w:rsidRPr="005B646E" w:rsidRDefault="00AF15D4" w:rsidP="00226621">
      <w:pPr>
        <w:pStyle w:val="Heading3"/>
      </w:pPr>
      <w:r w:rsidRPr="005B646E">
        <w:t>What is it not?</w:t>
      </w:r>
    </w:p>
    <w:p w14:paraId="20AECE27" w14:textId="16779562" w:rsidR="00483EBB" w:rsidRDefault="00483EBB" w:rsidP="00483EBB">
      <w:r>
        <w:t xml:space="preserve">In contrast, ITE programs that </w:t>
      </w:r>
      <w:r w:rsidR="00592FB0">
        <w:t>do not link theory and</w:t>
      </w:r>
      <w:r w:rsidR="00404133">
        <w:t xml:space="preserve"> practice limit </w:t>
      </w:r>
      <w:r w:rsidR="00F17C84">
        <w:t xml:space="preserve">opportunities </w:t>
      </w:r>
      <w:r w:rsidR="00ED0B17">
        <w:t xml:space="preserve">for pre-service teachers to </w:t>
      </w:r>
      <w:r w:rsidR="00F17C84">
        <w:t>apply their knowledge</w:t>
      </w:r>
      <w:r w:rsidR="00BA4F67">
        <w:t xml:space="preserve"> and </w:t>
      </w:r>
      <w:r w:rsidR="00C1454E">
        <w:t>risk developing</w:t>
      </w:r>
      <w:r w:rsidR="00CA0395">
        <w:t xml:space="preserve"> graduate teachers </w:t>
      </w:r>
      <w:r w:rsidR="00226395">
        <w:t xml:space="preserve">with analytic and writing skills but lacking </w:t>
      </w:r>
      <w:r w:rsidR="00CA0395">
        <w:t>effective classroom teaching</w:t>
      </w:r>
      <w:r w:rsidR="00226395">
        <w:t xml:space="preserve"> skills</w:t>
      </w:r>
      <w:r w:rsidR="00CA0395">
        <w:t>.</w:t>
      </w:r>
      <w:r w:rsidR="00C1454E">
        <w:t xml:space="preserve"> </w:t>
      </w:r>
      <w:r w:rsidR="003B6215">
        <w:t xml:space="preserve">Programs with </w:t>
      </w:r>
      <w:r w:rsidR="00AF2CBB">
        <w:t>units</w:t>
      </w:r>
      <w:r w:rsidR="003B6215">
        <w:t xml:space="preserve"> that are poorly sequenced</w:t>
      </w:r>
      <w:r w:rsidR="00825042">
        <w:t xml:space="preserve"> </w:t>
      </w:r>
      <w:r w:rsidR="003B6215">
        <w:t>limit progressive learning</w:t>
      </w:r>
      <w:r w:rsidR="0069752B">
        <w:t xml:space="preserve"> and lack coherence.</w:t>
      </w:r>
    </w:p>
    <w:p w14:paraId="57A90FEB" w14:textId="7EBD7E27" w:rsidR="009170E7" w:rsidRDefault="006F0BAC" w:rsidP="0014699B">
      <w:r>
        <w:t>There are obvious</w:t>
      </w:r>
      <w:r w:rsidRPr="006F0BAC">
        <w:t xml:space="preserve"> challenges </w:t>
      </w:r>
      <w:r>
        <w:t xml:space="preserve">regarding </w:t>
      </w:r>
      <w:r w:rsidR="009170E7">
        <w:t xml:space="preserve">how online programs support </w:t>
      </w:r>
      <w:r>
        <w:t>the</w:t>
      </w:r>
      <w:r w:rsidRPr="006F0BAC">
        <w:t xml:space="preserve"> integration of practice</w:t>
      </w:r>
      <w:r>
        <w:t xml:space="preserve"> for </w:t>
      </w:r>
      <w:r w:rsidR="009170E7">
        <w:t xml:space="preserve">pre-service </w:t>
      </w:r>
      <w:r w:rsidR="00BD1D1B">
        <w:t>teachers</w:t>
      </w:r>
      <w:r w:rsidR="00175EA9">
        <w:t xml:space="preserve">, </w:t>
      </w:r>
      <w:r w:rsidR="00A85448">
        <w:t xml:space="preserve">including </w:t>
      </w:r>
      <w:r w:rsidR="00E01E28">
        <w:t xml:space="preserve">opportunities to engage in practice activities during coursework and </w:t>
      </w:r>
      <w:r w:rsidR="002A111A">
        <w:t>access to professional experience.</w:t>
      </w:r>
    </w:p>
    <w:p w14:paraId="65BFEAE5" w14:textId="032A2EB1" w:rsidR="00696101" w:rsidRPr="005B646E" w:rsidRDefault="00D2379E" w:rsidP="00226621">
      <w:pPr>
        <w:pStyle w:val="Heading3"/>
      </w:pPr>
      <w:r>
        <w:t>What is the evidence base?</w:t>
      </w:r>
    </w:p>
    <w:p w14:paraId="27C1A8BF" w14:textId="72BFC461" w:rsidR="00221A61" w:rsidRDefault="00221A61" w:rsidP="0005685C">
      <w:r>
        <w:t xml:space="preserve">In </w:t>
      </w:r>
      <w:r w:rsidR="002A68AE">
        <w:t>the</w:t>
      </w:r>
      <w:r>
        <w:t xml:space="preserve"> report </w:t>
      </w:r>
      <w:r>
        <w:rPr>
          <w:i/>
          <w:iCs/>
        </w:rPr>
        <w:t>Preparing teachers: Building evidence for sound policy</w:t>
      </w:r>
      <w:r w:rsidR="002C28EB">
        <w:rPr>
          <w:i/>
          <w:iCs/>
        </w:rPr>
        <w:t xml:space="preserve"> </w:t>
      </w:r>
      <w:r w:rsidR="002C28EB">
        <w:fldChar w:fldCharType="begin"/>
      </w:r>
      <w:r w:rsidR="002C28EB">
        <w:instrText xml:space="preserve"> ADDIN ZOTERO_ITEM CSL_CITATION {"citationID":"QGKAeTXS","properties":{"formattedCitation":"(2010)","plainCitation":"(2010)","noteIndex":0},"citationItems":[{"id":17678,"uris":["http://zotero.org/users/10549213/items/BYNYLGXD"],"itemData":{"id":17678,"type":"book","abstract":"Teachers make a difference. The success of any plan for improving educational outcomes depends on the teachers who carry it out and thus on the abilities of those attracted to the field and their preparation. Yet there are many questions about how teachers are being prepared and how they ought to be prepared. Yet, teacher preparation is often treated as an afterthought in discussions of improving the public education system. Preparing Teachers addresses the issue of teacher preparation with specific attention to reading, mathematics, and science. The book evaluates the characteristics of the candidates who enter teacher preparation programs, the sorts of instruction and experiences teacher candidates receive in preparation programs, and the extent that the required instruction and experiences are consistent with converging scientific evidence. Preparing Teachers also identifies a need for a data collection model to provide valid and reliable information about the content knowledge, pedagogical competence, and effectiveness of graduates from the various kinds of teacher preparation programs.  Federal and state policy makers need reliable, outcomes-based information to make sound decisions, and teacher educators need to know how best to contribute to the development of effective teachers. Clearer understanding of the content and character of effective teacher preparation is critical to improving it and to ensuring that the same critiques and questions are not being repeated 10 years from now.","event-place":"Washington, DC","ISBN":"978-0-309-12805-6","language":"English","number-of-pages":"234","publisher":"National Academies Press","publisher-place":"Washington, DC","source":"Amazon","title":"Preparing teachers: Building evidence for sound policy","title-short":"Preparing teachers","author":[{"family":"National Research Council","given":""}],"issued":{"date-parts":[["2010",7,25]]}},"suppress-author":true}],"schema":"https://github.com/citation-style-language/schema/raw/master/csl-citation.json"} </w:instrText>
      </w:r>
      <w:r w:rsidR="002C28EB">
        <w:fldChar w:fldCharType="separate"/>
      </w:r>
      <w:r w:rsidR="002C28EB" w:rsidRPr="00256FDB">
        <w:t>(2010)</w:t>
      </w:r>
      <w:r w:rsidR="002C28EB">
        <w:fldChar w:fldCharType="end"/>
      </w:r>
      <w:r>
        <w:t xml:space="preserve">, the US National Research Council identified that opportunities for pre-service teachers to apply learning and refine their skills were </w:t>
      </w:r>
      <w:r w:rsidR="007F2B10">
        <w:t>essential for</w:t>
      </w:r>
      <w:r>
        <w:t xml:space="preserve"> successful learning.</w:t>
      </w:r>
    </w:p>
    <w:p w14:paraId="26DBE851" w14:textId="366A48AE" w:rsidR="002B41E9" w:rsidRDefault="007D08ED" w:rsidP="002B41E9">
      <w:r>
        <w:t>Research into high quality ITE programs</w:t>
      </w:r>
      <w:r w:rsidR="00C33C6F">
        <w:t xml:space="preserve"> </w:t>
      </w:r>
      <w:r w:rsidR="00AA6402">
        <w:t xml:space="preserve">identifies </w:t>
      </w:r>
      <w:r w:rsidR="00101A5D">
        <w:t xml:space="preserve">the integration of theory and practice across the program as a key </w:t>
      </w:r>
      <w:r w:rsidR="00242501">
        <w:t xml:space="preserve">feature </w:t>
      </w:r>
      <w:r w:rsidR="00584FBC">
        <w:t>enabling</w:t>
      </w:r>
      <w:r w:rsidR="00101A5D">
        <w:t xml:space="preserve"> </w:t>
      </w:r>
      <w:r w:rsidR="00CA6CD2">
        <w:t>graduate teachers to</w:t>
      </w:r>
      <w:r w:rsidR="0045724C">
        <w:t xml:space="preserve"> effectively</w:t>
      </w:r>
      <w:r w:rsidR="00CA6CD2">
        <w:t xml:space="preserve"> tap into their </w:t>
      </w:r>
      <w:r w:rsidR="0045724C">
        <w:t xml:space="preserve">knowledge </w:t>
      </w:r>
      <w:r w:rsidR="0033348E">
        <w:t xml:space="preserve">when teaching </w:t>
      </w:r>
      <w:r w:rsidR="0033348E">
        <w:fldChar w:fldCharType="begin"/>
      </w:r>
      <w:r w:rsidR="0033348E">
        <w:instrText xml:space="preserve"> ADDIN ZOTERO_ITEM CSL_CITATION {"citationID":"J6XehEXB","properties":{"formattedCitation":"(Darling-Hammond et al. 2019)","plainCitation":"(Darling-Hammond et al. 2019)","noteIndex":0},"citationItems":[{"id":48,"uris":["http://zotero.org/users/10549213/items/B8AI6J9A"],"itemData":{"id":48,"type":"report","abstract":"Preparing Teachers for Deeper Learning, summarized by this brief, describes the work of seven pioneering programs of teacher education that have organized themselves to meet the dual challenge of teacher preparation for deeper learning and equity. This study examined how teacher candidates learn to create personalized, inquiry-based learning opportunities for all children and how their programs create such opportunities for the candidates themselves. Through interviews, on-site observations, candidate surveys, and document review, the study describes the curriculum, practices, and institutional structures that make teacher preparation for deeper learning possible.","event-place":"Washington, DC","language":"en","publisher":"Learning Policy Institute","publisher-place":"Washington, DC","source":"Zotero","title":"Research brief: Preparing teachers for deeper learning","author":[{"family":"Darling-Hammond","given":"Linda"},{"family":"Oakes","given":"Jeannie"},{"family":"Wojcikiewicz","given":"Steven K"},{"family":"Hyler","given":"Maria E"},{"family":"Guha","given":"Roneeta"},{"family":"Podolsky","given":"Anne"},{"family":"Kini","given":"Tara"},{"family":"Cook-Harvey","given":"Channa M"},{"family":"Jackson Mercer","given":"Charmaine N"},{"family":"Harrell","given":"Akeelah"}],"issued":{"date-parts":[["2019"]]}}}],"schema":"https://github.com/citation-style-language/schema/raw/master/csl-citation.json"} </w:instrText>
      </w:r>
      <w:r w:rsidR="0033348E">
        <w:fldChar w:fldCharType="separate"/>
      </w:r>
      <w:r w:rsidR="0033348E" w:rsidRPr="0033348E">
        <w:t>(Darling-Hammond et al. 2019)</w:t>
      </w:r>
      <w:r w:rsidR="0033348E">
        <w:fldChar w:fldCharType="end"/>
      </w:r>
      <w:r w:rsidR="0033348E">
        <w:t xml:space="preserve">. </w:t>
      </w:r>
      <w:r w:rsidR="00743253">
        <w:t>A</w:t>
      </w:r>
      <w:r w:rsidR="0004530B">
        <w:t xml:space="preserve"> number of studies </w:t>
      </w:r>
      <w:r w:rsidR="00377647">
        <w:t xml:space="preserve">suggest </w:t>
      </w:r>
      <w:r w:rsidR="00FF2B3B">
        <w:t xml:space="preserve">that </w:t>
      </w:r>
      <w:r w:rsidR="00377647">
        <w:t xml:space="preserve">pre-service teacher learning and effectiveness </w:t>
      </w:r>
      <w:r w:rsidR="00BF2BBE">
        <w:t>are</w:t>
      </w:r>
      <w:r w:rsidR="00377647">
        <w:t xml:space="preserve"> </w:t>
      </w:r>
      <w:r w:rsidR="001E6A8F">
        <w:t xml:space="preserve">improved by </w:t>
      </w:r>
      <w:r w:rsidR="004B6991">
        <w:t>integrating practice into ITE</w:t>
      </w:r>
      <w:r w:rsidR="00256FDB">
        <w:t xml:space="preserve"> </w:t>
      </w:r>
      <w:r w:rsidR="00256FDB">
        <w:fldChar w:fldCharType="begin"/>
      </w:r>
      <w:r w:rsidR="00256FDB">
        <w:instrText xml:space="preserve"> ADDIN ZOTERO_ITEM CSL_CITATION {"citationID":"61pEARcV","properties":{"formattedCitation":"(Darling-Hammond and Bransford 2007)","plainCitation":"(Darling-Hammond and Bransford 2007)","noteIndex":0},"citationItems":[{"id":17666,"uris":["http://zotero.org/users/10549213/items/WS6VYYBI"],"itemData":{"id":17666,"type":"book","abstract":"Based on rapid advances in what is known about how people learn and how to teach effectively, this important book examines the core concepts and central pedagogies that should be at the heart of any teacher education program. Stemming from the results of a commission sponsored by the National Academy of Education, Preparing Teachers for a Changing World recommends the creation of an informed teacher education curriculum with the common elements that represent state-of-the-art standards for the profession. Written for teacher educators in both traditional and alternative programs, university and school system leaders, teachers, staff development professionals, researchers, and educational policymakers, the book addresses the key foundational knowledge for teaching and discusses how to implement that knowledge within the classroom. Preparing Teachers for a Changing World recommends that, in addition to strong subject matter knowledge, all new teachers have a basic understanding of how people learn and develop, as well as how children acquire and use language, which is the currency of education. In addition, the book suggests that teaching professionals must be able to apply that knowledge in developing curriculum that attends to students' needs, the demands of the content, and the social purposes of education: in teaching specific subject matter to diverse students, in managing the classroom, assessing student performance, and using technology in the classroom.","edition":"1st edition","event-place":"San Francisco, CA","ISBN":"978-0-7879-9634-5","language":"English","number-of-pages":"640","publisher":"Jossey-Bass","publisher-place":"San Francisco, CA","source":"Amazon","title":"Preparing teachers for a changing world: What teachers should learn and be able to do","title-short":"Preparing teachers for a changing world","editor":[{"family":"Darling-Hammond","given":"Linda"},{"family":"Bransford","given":"John"}],"issued":{"date-parts":[["2007",7,17]]}}}],"schema":"https://github.com/citation-style-language/schema/raw/master/csl-citation.json"} </w:instrText>
      </w:r>
      <w:r w:rsidR="00256FDB">
        <w:fldChar w:fldCharType="separate"/>
      </w:r>
      <w:r w:rsidR="00256FDB" w:rsidRPr="00256FDB">
        <w:t>(Darling-Hammond and Bransford 2007)</w:t>
      </w:r>
      <w:r w:rsidR="00256FDB">
        <w:fldChar w:fldCharType="end"/>
      </w:r>
      <w:r w:rsidR="00242D9F">
        <w:t xml:space="preserve">. </w:t>
      </w:r>
    </w:p>
    <w:p w14:paraId="4C5DA951" w14:textId="1E85ECDD" w:rsidR="008918E8" w:rsidRDefault="00481C25" w:rsidP="00EE1DE8">
      <w:r>
        <w:t xml:space="preserve">In </w:t>
      </w:r>
      <w:r w:rsidR="00841C9E">
        <w:t>the</w:t>
      </w:r>
      <w:r>
        <w:t xml:space="preserve"> report </w:t>
      </w:r>
      <w:r>
        <w:rPr>
          <w:i/>
          <w:iCs/>
        </w:rPr>
        <w:t xml:space="preserve">Practice with </w:t>
      </w:r>
      <w:r w:rsidR="005D1659">
        <w:rPr>
          <w:i/>
          <w:iCs/>
        </w:rPr>
        <w:t>p</w:t>
      </w:r>
      <w:r>
        <w:rPr>
          <w:i/>
          <w:iCs/>
        </w:rPr>
        <w:t>urpose</w:t>
      </w:r>
      <w:r w:rsidR="005D1659">
        <w:rPr>
          <w:i/>
          <w:iCs/>
        </w:rPr>
        <w:t xml:space="preserve">: </w:t>
      </w:r>
      <w:r>
        <w:rPr>
          <w:i/>
          <w:iCs/>
        </w:rPr>
        <w:t xml:space="preserve">The </w:t>
      </w:r>
      <w:r w:rsidR="005D1659">
        <w:rPr>
          <w:i/>
          <w:iCs/>
        </w:rPr>
        <w:t>e</w:t>
      </w:r>
      <w:r>
        <w:rPr>
          <w:i/>
          <w:iCs/>
        </w:rPr>
        <w:t xml:space="preserve">merging </w:t>
      </w:r>
      <w:r w:rsidR="005D1659">
        <w:rPr>
          <w:i/>
          <w:iCs/>
        </w:rPr>
        <w:t>s</w:t>
      </w:r>
      <w:r>
        <w:rPr>
          <w:i/>
          <w:iCs/>
        </w:rPr>
        <w:t xml:space="preserve">cience of </w:t>
      </w:r>
      <w:r w:rsidR="005D1659">
        <w:rPr>
          <w:i/>
          <w:iCs/>
        </w:rPr>
        <w:t>e</w:t>
      </w:r>
      <w:r>
        <w:rPr>
          <w:i/>
          <w:iCs/>
        </w:rPr>
        <w:t>xpertise</w:t>
      </w:r>
      <w:r w:rsidR="002C28EB">
        <w:rPr>
          <w:i/>
          <w:iCs/>
        </w:rPr>
        <w:t xml:space="preserve"> </w:t>
      </w:r>
      <w:r w:rsidR="002C28EB">
        <w:fldChar w:fldCharType="begin"/>
      </w:r>
      <w:r w:rsidR="002C28EB">
        <w:instrText xml:space="preserve"> ADDIN ZOTERO_ITEM CSL_CITATION {"citationID":"AVgSOJUA","properties":{"formattedCitation":"(2016)","plainCitation":"(2016)","noteIndex":0},"citationItems":[{"id":17633,"uris":["http://zotero.org/users/10549213/items/TUHJ8DIX"],"itemData":{"id":17633,"type":"report","event-place":"Austin, TX","publisher":"Deans for Impact","publisher-place":"Austin, TX","title":"Practice with purpose: The emerging science of teacher expertise","author":[{"family":"Deans for Impact","given":""}],"issued":{"date-parts":[["2016"]]}},"suppress-author":true}],"schema":"https://github.com/citation-style-language/schema/raw/master/csl-citation.json"} </w:instrText>
      </w:r>
      <w:r w:rsidR="002C28EB">
        <w:fldChar w:fldCharType="separate"/>
      </w:r>
      <w:r w:rsidR="002C28EB" w:rsidRPr="00D76950">
        <w:t>(2016)</w:t>
      </w:r>
      <w:r w:rsidR="002C28EB">
        <w:fldChar w:fldCharType="end"/>
      </w:r>
      <w:r>
        <w:rPr>
          <w:i/>
          <w:iCs/>
        </w:rPr>
        <w:t>,</w:t>
      </w:r>
      <w:r>
        <w:t xml:space="preserve"> t</w:t>
      </w:r>
      <w:r w:rsidR="00A74F71">
        <w:t>he</w:t>
      </w:r>
      <w:r w:rsidR="00FC2BB0">
        <w:t xml:space="preserve"> Deans</w:t>
      </w:r>
      <w:r w:rsidR="003071AB">
        <w:t xml:space="preserve"> for Impact</w:t>
      </w:r>
      <w:r w:rsidR="00A74F71">
        <w:t xml:space="preserve"> </w:t>
      </w:r>
      <w:r w:rsidR="00CC493D">
        <w:t xml:space="preserve">identified the </w:t>
      </w:r>
      <w:r w:rsidR="00075E54">
        <w:t>most relevant principles</w:t>
      </w:r>
      <w:r w:rsidR="00BA0047">
        <w:t xml:space="preserve"> </w:t>
      </w:r>
      <w:r w:rsidR="008961A5">
        <w:t xml:space="preserve">and evidence to develop teacher skill through </w:t>
      </w:r>
      <w:r w:rsidR="00A74F71">
        <w:t>‘deliberate practice’</w:t>
      </w:r>
      <w:r w:rsidR="00D76950">
        <w:t>:</w:t>
      </w:r>
    </w:p>
    <w:p w14:paraId="303A9CA4" w14:textId="570B6FAD" w:rsidR="002D7BE1" w:rsidRDefault="00DF1A06" w:rsidP="00DF1A06">
      <w:pPr>
        <w:pStyle w:val="ListParagraph"/>
        <w:numPr>
          <w:ilvl w:val="0"/>
          <w:numId w:val="31"/>
        </w:numPr>
      </w:pPr>
      <w:r>
        <w:t>Push beyond one’s comfort zone</w:t>
      </w:r>
    </w:p>
    <w:p w14:paraId="72B4CDFC" w14:textId="1D16A216" w:rsidR="00DF1A06" w:rsidRDefault="00DF1A06" w:rsidP="00DF1A06">
      <w:pPr>
        <w:pStyle w:val="ListParagraph"/>
        <w:numPr>
          <w:ilvl w:val="0"/>
          <w:numId w:val="31"/>
        </w:numPr>
      </w:pPr>
      <w:r>
        <w:t>Work towards well-defined specific goals</w:t>
      </w:r>
    </w:p>
    <w:p w14:paraId="39EE24DA" w14:textId="0CA7B4A9" w:rsidR="00DF1A06" w:rsidRDefault="00DF1A06" w:rsidP="00DF1A06">
      <w:pPr>
        <w:pStyle w:val="ListParagraph"/>
        <w:numPr>
          <w:ilvl w:val="0"/>
          <w:numId w:val="31"/>
        </w:numPr>
      </w:pPr>
      <w:r>
        <w:t>Focus intently on practice activities</w:t>
      </w:r>
    </w:p>
    <w:p w14:paraId="2BAE9970" w14:textId="57576E1D" w:rsidR="00DF1A06" w:rsidRDefault="0054533B" w:rsidP="00DF1A06">
      <w:pPr>
        <w:pStyle w:val="ListParagraph"/>
        <w:numPr>
          <w:ilvl w:val="0"/>
          <w:numId w:val="31"/>
        </w:numPr>
      </w:pPr>
      <w:r>
        <w:t>Receive and respond to high quality feedback</w:t>
      </w:r>
    </w:p>
    <w:p w14:paraId="32ACB980" w14:textId="0252C670" w:rsidR="0054533B" w:rsidRDefault="0054533B" w:rsidP="00DF1A06">
      <w:pPr>
        <w:pStyle w:val="ListParagraph"/>
        <w:numPr>
          <w:ilvl w:val="0"/>
          <w:numId w:val="31"/>
        </w:numPr>
      </w:pPr>
      <w:r>
        <w:t>Develop a mental model of expertise.</w:t>
      </w:r>
    </w:p>
    <w:p w14:paraId="6AC2CFDC" w14:textId="4F6A2772" w:rsidR="00944639" w:rsidRDefault="00F667AF" w:rsidP="00EE1DE8">
      <w:r>
        <w:t>Building on this, the</w:t>
      </w:r>
      <w:r w:rsidR="00B95A93">
        <w:t xml:space="preserve"> Ambition Institute </w:t>
      </w:r>
      <w:r w:rsidR="003664F0">
        <w:t>provide</w:t>
      </w:r>
      <w:r w:rsidR="008961A5">
        <w:t>d</w:t>
      </w:r>
      <w:r w:rsidR="003664F0">
        <w:t xml:space="preserve"> evidence-based guidance</w:t>
      </w:r>
      <w:r w:rsidR="00A62D94">
        <w:t xml:space="preserve"> for deliberate practice </w:t>
      </w:r>
      <w:r w:rsidR="003F4E59">
        <w:t xml:space="preserve">in ITE </w:t>
      </w:r>
      <w:r w:rsidR="00C477F2">
        <w:t>to develop</w:t>
      </w:r>
      <w:r w:rsidR="00FB264A">
        <w:t xml:space="preserve"> ‘adaptive expertise’, </w:t>
      </w:r>
      <w:r w:rsidR="00EE1DE8">
        <w:t xml:space="preserve">which is the ability </w:t>
      </w:r>
      <w:r w:rsidR="001353FA">
        <w:t xml:space="preserve">to </w:t>
      </w:r>
      <w:r w:rsidR="00F30C0E">
        <w:t>respond</w:t>
      </w:r>
      <w:r w:rsidR="00EE1DE8">
        <w:t xml:space="preserve"> to new contexts</w:t>
      </w:r>
      <w:r w:rsidR="004B5D46">
        <w:t>, refine skills and learn</w:t>
      </w:r>
      <w:r w:rsidR="00EE1DE8">
        <w:t xml:space="preserve"> </w:t>
      </w:r>
      <w:r w:rsidR="00D87519">
        <w:t>from experience</w:t>
      </w:r>
      <w:r w:rsidR="00D76950">
        <w:t xml:space="preserve"> </w:t>
      </w:r>
      <w:r w:rsidR="00D76950">
        <w:fldChar w:fldCharType="begin"/>
      </w:r>
      <w:r w:rsidR="00D76950">
        <w:instrText xml:space="preserve"> ADDIN ZOTERO_ITEM CSL_CITATION {"citationID":"e1RxcRxm","properties":{"formattedCitation":"(Fletcher-Wood and Farndon 2021)","plainCitation":"(Fletcher-Wood and Farndon 2021)","noteIndex":0},"citationItems":[{"id":17643,"uris":["http://zotero.org/users/10549213/items/Q3DW4GIA"],"itemData":{"id":17643,"type":"report","event-place":"London","number":"Version 2.0","publisher":"Ambition Institute","publisher-place":"London","title":"Deliberate practice in teacher education: A handbook","author":[{"family":"Fletcher-Wood","given":"Harry"},{"family":"Farndon","given":"Steve"}],"issued":{"date-parts":[["2021"]]}}}],"schema":"https://github.com/citation-style-language/schema/raw/master/csl-citation.json"} </w:instrText>
      </w:r>
      <w:r w:rsidR="00D76950">
        <w:fldChar w:fldCharType="separate"/>
      </w:r>
      <w:r w:rsidR="00D76950" w:rsidRPr="00D76950">
        <w:t>(Fletcher-Wood and Farndon 2021)</w:t>
      </w:r>
      <w:r w:rsidR="00D76950">
        <w:fldChar w:fldCharType="end"/>
      </w:r>
      <w:r w:rsidR="00EE1DE8">
        <w:t xml:space="preserve">. This </w:t>
      </w:r>
      <w:r w:rsidR="001353FA">
        <w:t>skill enable</w:t>
      </w:r>
      <w:r w:rsidR="004F0E00">
        <w:t>s</w:t>
      </w:r>
      <w:r w:rsidR="00944639">
        <w:t xml:space="preserve"> graduate teachers </w:t>
      </w:r>
      <w:r w:rsidR="004B1C04">
        <w:t xml:space="preserve">to </w:t>
      </w:r>
      <w:r w:rsidR="00944639">
        <w:t>respond to the</w:t>
      </w:r>
      <w:r w:rsidR="00944639" w:rsidRPr="00944639">
        <w:t xml:space="preserve"> challenging and changing demands of classroom teaching</w:t>
      </w:r>
      <w:r w:rsidR="00944639">
        <w:t xml:space="preserve">, while continuing to learn and improve skills (including via continued professional learning). </w:t>
      </w:r>
    </w:p>
    <w:p w14:paraId="47AF3422" w14:textId="15A124F8" w:rsidR="000456B7" w:rsidRDefault="00FF2B3C" w:rsidP="000456B7">
      <w:r>
        <w:t>Looking beyond ITE, t</w:t>
      </w:r>
      <w:r w:rsidR="00525F59">
        <w:t xml:space="preserve">he link between theory and practice is </w:t>
      </w:r>
      <w:r w:rsidR="0030475A">
        <w:t>embedded</w:t>
      </w:r>
      <w:r w:rsidR="00525F59">
        <w:t xml:space="preserve"> in the </w:t>
      </w:r>
      <w:r w:rsidR="000456B7">
        <w:t>structure of medical education</w:t>
      </w:r>
      <w:r w:rsidR="0030475A">
        <w:t>, which</w:t>
      </w:r>
      <w:r w:rsidR="000456B7">
        <w:t xml:space="preserve"> draws on the principles of adult learning theory by pairing knowledge with practice to facilitate meaningful learning</w:t>
      </w:r>
      <w:r w:rsidR="00217D89">
        <w:t xml:space="preserve"> </w:t>
      </w:r>
      <w:r w:rsidR="00217D89">
        <w:fldChar w:fldCharType="begin"/>
      </w:r>
      <w:r w:rsidR="00217D89">
        <w:instrText xml:space="preserve"> ADDIN ZOTERO_ITEM CSL_CITATION {"citationID":"hd1DImiX","properties":{"formattedCitation":"(Wijnen-Meijer et al. 2020)","plainCitation":"(Wijnen-Meijer et al. 2020)","noteIndex":0},"citationItems":[{"id":46,"uris":["http://zotero.org/users/10549213/items/6NPUMY7U"],"itemData":{"id":46,"type":"article-journal","abstract":"Curricular integration represents collaborations between disciplines to establish a coherent curriculum and has become the dominant recommendation for medical education in the second half of the twentieth century. Vertical integration specifically is the integration between the clinical and basic science parts throughout the program. Vertically integrated curricula present basic sciences imbedded in a clinical context from the start of medical school. The authors briefly discuss vertical integration in relationship with context theory, motivation theory, professional identity formation, transition to practice and the continuum of education and practice. They conclude that vertical integration, rather than horizontal integration, extends far beyond curriculum structure. They consider vertical integration a philosophy of education, with impact on students’ maturation and engagement with the profession, and which applies not only to undergraduate education but to the lifelong learning of professionals. The definition of vertical integration as “an educational approach that fosters a gradual increase of learner participation in the professional community through a stepwise increase of knowledge-based engagement in practice with graduated responsibilities in patient care” is more comprehensive than its older conceptualization.","container-title":"BMC Medical Education","DOI":"10.1186/s12909-020-02433-6","ISSN":"1472-6920","issue":"1","journalAbbreviation":"BMC Med Educ","language":"en","page":"509","source":"DOI.org (Crossref)","title":"Vertical integration in medical education: the broader perspective","title-short":"Vertical integration in medical education","volume":"20","author":[{"family":"Wijnen-Meijer","given":"Marjo"},{"family":"Broek","given":"Sjoukje","non-dropping-particle":"van den"},{"family":"Koens","given":"Franciska"},{"family":"Cate","given":"Olle","non-dropping-particle":"ten"}],"issued":{"date-parts":[["2020",12]]}}}],"schema":"https://github.com/citation-style-language/schema/raw/master/csl-citation.json"} </w:instrText>
      </w:r>
      <w:r w:rsidR="00217D89">
        <w:fldChar w:fldCharType="separate"/>
      </w:r>
      <w:r w:rsidR="00217D89" w:rsidRPr="00217D89">
        <w:t>(Wijnen-Meijer et al. 2020)</w:t>
      </w:r>
      <w:r w:rsidR="00217D89">
        <w:fldChar w:fldCharType="end"/>
      </w:r>
      <w:r w:rsidR="000456B7">
        <w:t xml:space="preserve">. Medical students receive early experience in clinical problem solving, while </w:t>
      </w:r>
      <w:r w:rsidR="000456B7">
        <w:lastRenderedPageBreak/>
        <w:t xml:space="preserve">clinical practice is interspersed with continued science learning throughout the program to contextualise theory and practice. Over time, medical programs </w:t>
      </w:r>
      <w:r w:rsidR="003C5520">
        <w:t xml:space="preserve">progressively increase clinical practice and decrease classroom </w:t>
      </w:r>
      <w:r w:rsidR="00421767">
        <w:t>learning</w:t>
      </w:r>
      <w:r w:rsidR="003C5520">
        <w:t xml:space="preserve"> to </w:t>
      </w:r>
      <w:r w:rsidR="000456B7">
        <w:t xml:space="preserve">build </w:t>
      </w:r>
      <w:r w:rsidR="003C5520">
        <w:t xml:space="preserve">medical students’ </w:t>
      </w:r>
      <w:r w:rsidR="000456B7">
        <w:t xml:space="preserve">skills and maximise </w:t>
      </w:r>
      <w:r w:rsidR="003C5520">
        <w:t xml:space="preserve">opportunities for </w:t>
      </w:r>
      <w:r w:rsidR="000456B7">
        <w:t xml:space="preserve">improvement. </w:t>
      </w:r>
    </w:p>
    <w:p w14:paraId="0EA34F80" w14:textId="1FDAB74C" w:rsidR="00696101" w:rsidRDefault="00D2379E" w:rsidP="00226621">
      <w:pPr>
        <w:pStyle w:val="Heading3"/>
      </w:pPr>
      <w:r>
        <w:t>How does this align with the National Program Standards?</w:t>
      </w:r>
    </w:p>
    <w:p w14:paraId="4C854800" w14:textId="78C519D5" w:rsidR="00641306" w:rsidRDefault="005B4DA1" w:rsidP="0014719C">
      <w:r>
        <w:t>P</w:t>
      </w:r>
      <w:r w:rsidR="00B84BE2">
        <w:t xml:space="preserve">ractice-based learning </w:t>
      </w:r>
      <w:r>
        <w:t>is</w:t>
      </w:r>
      <w:r w:rsidR="00B84BE2">
        <w:t xml:space="preserve"> </w:t>
      </w:r>
      <w:r w:rsidR="00DA438C">
        <w:t xml:space="preserve">not </w:t>
      </w:r>
      <w:r w:rsidR="00B84BE2">
        <w:t xml:space="preserve">clearly </w:t>
      </w:r>
      <w:r w:rsidR="00AE3FDB">
        <w:t>reflected</w:t>
      </w:r>
      <w:r w:rsidR="00DA438C">
        <w:t xml:space="preserve"> in the Program Standards</w:t>
      </w:r>
      <w:r>
        <w:t xml:space="preserve"> beyond </w:t>
      </w:r>
      <w:r w:rsidR="00CA0641">
        <w:t xml:space="preserve">assessment and </w:t>
      </w:r>
      <w:r w:rsidR="00C84C19">
        <w:t>professional experience</w:t>
      </w:r>
      <w:r w:rsidR="00242D9F">
        <w:t>.</w:t>
      </w:r>
      <w:r w:rsidR="00514F3A">
        <w:t xml:space="preserve"> Standard 2.3 outlines the resourcing</w:t>
      </w:r>
      <w:r w:rsidR="001965CC">
        <w:t xml:space="preserve">, teaching and assessment strategies </w:t>
      </w:r>
      <w:r w:rsidR="008417B1">
        <w:t>required for ITE programs</w:t>
      </w:r>
      <w:r w:rsidR="001965CC">
        <w:t>.</w:t>
      </w:r>
    </w:p>
    <w:p w14:paraId="207F42B3" w14:textId="77777777" w:rsidR="00F80530" w:rsidRPr="00160532" w:rsidRDefault="00F80530" w:rsidP="0014719C"/>
    <w:p w14:paraId="5B25E95B" w14:textId="6B4E5770" w:rsidR="00810133" w:rsidRDefault="00810133" w:rsidP="00171F66">
      <w:pPr>
        <w:pStyle w:val="Heading2"/>
      </w:pPr>
      <w:r w:rsidRPr="005B646E">
        <w:t xml:space="preserve">Principle </w:t>
      </w:r>
      <w:r w:rsidR="001C42F9">
        <w:t>4</w:t>
      </w:r>
      <w:r w:rsidRPr="005B646E">
        <w:t xml:space="preserve">. </w:t>
      </w:r>
      <w:r w:rsidR="00EA24B9">
        <w:t>Assessment</w:t>
      </w:r>
      <w:r w:rsidR="0097771F">
        <w:br/>
      </w:r>
      <w:r w:rsidR="006B0040">
        <w:t>Assessments mapped</w:t>
      </w:r>
      <w:r w:rsidR="00A721C4">
        <w:t xml:space="preserve"> against the</w:t>
      </w:r>
      <w:r w:rsidR="00D22738">
        <w:t xml:space="preserve"> vision of effective teaching practice</w:t>
      </w:r>
    </w:p>
    <w:p w14:paraId="6D629EB6" w14:textId="74919392" w:rsidR="00DC2834" w:rsidRPr="00DC2834" w:rsidRDefault="00DC2834" w:rsidP="00226621">
      <w:pPr>
        <w:pStyle w:val="Heading3"/>
      </w:pPr>
      <w:r>
        <w:t>What does this look like?</w:t>
      </w:r>
    </w:p>
    <w:p w14:paraId="756217AC" w14:textId="52D00C6B" w:rsidR="009B13D3" w:rsidRDefault="0000365A" w:rsidP="009B13D3">
      <w:pPr>
        <w:spacing w:after="60"/>
      </w:pPr>
      <w:r>
        <w:t>Assessments</w:t>
      </w:r>
      <w:r w:rsidR="00203BB6" w:rsidRPr="005B646E">
        <w:t xml:space="preserve"> </w:t>
      </w:r>
      <w:r w:rsidR="004A46B3">
        <w:t xml:space="preserve">that reflect the vision of effective teaching practice </w:t>
      </w:r>
      <w:r w:rsidR="00133B3A">
        <w:t xml:space="preserve">are important to </w:t>
      </w:r>
      <w:r w:rsidR="00D222E5">
        <w:t>support coherence across ITE programs</w:t>
      </w:r>
      <w:r w:rsidR="009673F9">
        <w:t xml:space="preserve">. </w:t>
      </w:r>
      <w:r w:rsidR="009B13D3">
        <w:t xml:space="preserve">Assessments should be mapped across the program </w:t>
      </w:r>
      <w:r w:rsidR="00753383">
        <w:t xml:space="preserve">to </w:t>
      </w:r>
      <w:r w:rsidR="00EA6DCB">
        <w:t>enhance</w:t>
      </w:r>
      <w:r w:rsidR="00753383">
        <w:t xml:space="preserve"> transparency</w:t>
      </w:r>
      <w:r w:rsidR="00E04752">
        <w:t xml:space="preserve">, reduce </w:t>
      </w:r>
      <w:proofErr w:type="gramStart"/>
      <w:r w:rsidR="00E04752">
        <w:t>duplication</w:t>
      </w:r>
      <w:proofErr w:type="gramEnd"/>
      <w:r w:rsidR="005A718F">
        <w:t xml:space="preserve"> and </w:t>
      </w:r>
      <w:r w:rsidR="006D70E2">
        <w:t>ensure the</w:t>
      </w:r>
      <w:r w:rsidR="008B7987">
        <w:t xml:space="preserve"> core aspects of teaching </w:t>
      </w:r>
      <w:r w:rsidR="006D70E2">
        <w:t>are</w:t>
      </w:r>
      <w:r w:rsidR="00CA3438">
        <w:t xml:space="preserve"> </w:t>
      </w:r>
      <w:r w:rsidR="008B7987">
        <w:t>measurable</w:t>
      </w:r>
      <w:r w:rsidR="0020115B">
        <w:t xml:space="preserve"> through diverse assessments at appropriate levels </w:t>
      </w:r>
      <w:r w:rsidR="00D47C64">
        <w:t>for pre-service teachers</w:t>
      </w:r>
      <w:r w:rsidR="009B13D3">
        <w:t>.</w:t>
      </w:r>
    </w:p>
    <w:p w14:paraId="0E0DA811" w14:textId="5F537309" w:rsidR="002B43EB" w:rsidRDefault="00A53693" w:rsidP="00F45DDD">
      <w:pPr>
        <w:spacing w:after="60"/>
      </w:pPr>
      <w:r>
        <w:t xml:space="preserve">Assessments should contextualise learning </w:t>
      </w:r>
      <w:r w:rsidR="00083E5B">
        <w:t xml:space="preserve">by relating </w:t>
      </w:r>
      <w:r w:rsidR="00FE311E">
        <w:t>theory to practice</w:t>
      </w:r>
      <w:r w:rsidR="007C36CB">
        <w:t xml:space="preserve">, for example through </w:t>
      </w:r>
      <w:r w:rsidR="004B3920" w:rsidRPr="005B646E">
        <w:t>simulation, role play, case stud</w:t>
      </w:r>
      <w:r w:rsidR="004B3920">
        <w:t>ies</w:t>
      </w:r>
      <w:r w:rsidR="004B3920" w:rsidRPr="005B646E">
        <w:t>, teacher research, performance assessments and portfoli</w:t>
      </w:r>
      <w:r w:rsidR="005E3004">
        <w:t>o</w:t>
      </w:r>
      <w:r w:rsidR="00D76421">
        <w:t>s</w:t>
      </w:r>
      <w:r w:rsidR="004B3920">
        <w:t>.</w:t>
      </w:r>
      <w:r w:rsidR="00250EB4">
        <w:t xml:space="preserve"> Effective assessments are also important to build </w:t>
      </w:r>
      <w:r w:rsidR="0000365A">
        <w:t>pre-service teachers’</w:t>
      </w:r>
      <w:r w:rsidR="00F45DDD">
        <w:t xml:space="preserve"> capacity for lifelong learning </w:t>
      </w:r>
      <w:r w:rsidR="006D2202">
        <w:t>and</w:t>
      </w:r>
      <w:r w:rsidR="00F45DDD">
        <w:t xml:space="preserve"> </w:t>
      </w:r>
      <w:r w:rsidR="00FA347B">
        <w:t xml:space="preserve">help them to </w:t>
      </w:r>
      <w:r w:rsidR="00F45DDD">
        <w:t>develop</w:t>
      </w:r>
      <w:r w:rsidR="006D2202">
        <w:t xml:space="preserve"> the</w:t>
      </w:r>
      <w:r w:rsidR="00F45DDD">
        <w:t xml:space="preserve"> </w:t>
      </w:r>
      <w:r w:rsidR="007352A8" w:rsidRPr="005B646E">
        <w:t xml:space="preserve">skills </w:t>
      </w:r>
      <w:r w:rsidR="007352A8" w:rsidRPr="00F45DDD">
        <w:t xml:space="preserve">to conduct and evaluate research </w:t>
      </w:r>
      <w:r w:rsidR="007352A8" w:rsidRPr="005B646E">
        <w:t xml:space="preserve">and integrate evidence into practice. </w:t>
      </w:r>
    </w:p>
    <w:p w14:paraId="0EEDD2CF" w14:textId="48333A87" w:rsidR="00696101" w:rsidRPr="005B646E" w:rsidRDefault="00696101" w:rsidP="00696101">
      <w:pPr>
        <w:keepNext/>
        <w:keepLines/>
        <w:spacing w:before="360" w:line="259" w:lineRule="auto"/>
        <w:outlineLvl w:val="2"/>
        <w:rPr>
          <w:rFonts w:eastAsiaTheme="majorEastAsia" w:cstheme="majorBidi"/>
          <w:color w:val="00305E" w:themeColor="text2"/>
          <w:sz w:val="28"/>
          <w:szCs w:val="24"/>
        </w:rPr>
      </w:pPr>
      <w:r w:rsidRPr="005B646E">
        <w:rPr>
          <w:rFonts w:eastAsiaTheme="majorEastAsia" w:cstheme="majorBidi"/>
          <w:color w:val="00305E" w:themeColor="text2"/>
          <w:sz w:val="28"/>
          <w:szCs w:val="24"/>
        </w:rPr>
        <w:t>What it is not?</w:t>
      </w:r>
    </w:p>
    <w:p w14:paraId="47AF69C4" w14:textId="412CD49E" w:rsidR="00B043DA" w:rsidRDefault="002E383D" w:rsidP="002E383D">
      <w:r>
        <w:t xml:space="preserve">In contrast, </w:t>
      </w:r>
      <w:r w:rsidR="004530EE">
        <w:t>some</w:t>
      </w:r>
      <w:r>
        <w:t xml:space="preserve"> ITE providers </w:t>
      </w:r>
      <w:r w:rsidR="000225E7">
        <w:t>rely on</w:t>
      </w:r>
      <w:r>
        <w:t xml:space="preserve"> assessments that do not relate to real-world learning</w:t>
      </w:r>
      <w:r w:rsidR="00BD0EB0" w:rsidRPr="00BD0EB0">
        <w:t xml:space="preserve"> </w:t>
      </w:r>
      <w:r w:rsidR="00BD0EB0" w:rsidRPr="00130467">
        <w:t>or entail critical reflection on assessment practice and outcomes</w:t>
      </w:r>
      <w:r w:rsidR="00BD0EB0">
        <w:t xml:space="preserve">. For example, </w:t>
      </w:r>
      <w:r w:rsidR="00B043DA">
        <w:t xml:space="preserve">consistent assessment through </w:t>
      </w:r>
      <w:r w:rsidR="00B42C64">
        <w:t>theoretical essays</w:t>
      </w:r>
      <w:r w:rsidR="00BD0EB0">
        <w:t xml:space="preserve"> </w:t>
      </w:r>
      <w:r w:rsidR="003C76F4">
        <w:t xml:space="preserve">alone </w:t>
      </w:r>
      <w:r w:rsidR="004E091E">
        <w:t>do</w:t>
      </w:r>
      <w:r w:rsidR="00431370">
        <w:t>es</w:t>
      </w:r>
      <w:r w:rsidR="00FE3DE2">
        <w:t xml:space="preserve"> not </w:t>
      </w:r>
      <w:r w:rsidR="00162EA5">
        <w:t xml:space="preserve">effectively </w:t>
      </w:r>
      <w:r w:rsidR="001B77E8">
        <w:t>assess</w:t>
      </w:r>
      <w:r w:rsidR="00457EB0">
        <w:t xml:space="preserve"> </w:t>
      </w:r>
      <w:r w:rsidR="00162EA5">
        <w:t xml:space="preserve">pre-service teachers’ </w:t>
      </w:r>
      <w:r w:rsidR="001B77E8">
        <w:t xml:space="preserve">skills and </w:t>
      </w:r>
      <w:r w:rsidR="00457EB0">
        <w:t>competence</w:t>
      </w:r>
      <w:r w:rsidR="00B42C64">
        <w:t xml:space="preserve">. </w:t>
      </w:r>
    </w:p>
    <w:p w14:paraId="0A26E0ED" w14:textId="34866643" w:rsidR="00130467" w:rsidRDefault="00B42C64" w:rsidP="002E383D">
      <w:r>
        <w:t xml:space="preserve">Assessments that are not mapped against the </w:t>
      </w:r>
      <w:r w:rsidR="0033051C">
        <w:t>vision of effective teaching practice</w:t>
      </w:r>
      <w:r>
        <w:t xml:space="preserve"> </w:t>
      </w:r>
      <w:r w:rsidR="00741EC0">
        <w:t xml:space="preserve">and the broader program are likely to </w:t>
      </w:r>
      <w:r w:rsidR="00850F0F">
        <w:t>be</w:t>
      </w:r>
      <w:r w:rsidR="00741EC0">
        <w:t xml:space="preserve"> siloed, duplicate work, and poorly complement</w:t>
      </w:r>
      <w:r w:rsidR="00162EA5">
        <w:t xml:space="preserve"> teaching and learning</w:t>
      </w:r>
      <w:r w:rsidR="00741EC0">
        <w:t>.</w:t>
      </w:r>
    </w:p>
    <w:p w14:paraId="33CB542F" w14:textId="7662596E" w:rsidR="002C5947" w:rsidRPr="005B646E" w:rsidRDefault="001B7A86" w:rsidP="00696101">
      <w:pPr>
        <w:keepNext/>
        <w:keepLines/>
        <w:spacing w:before="360" w:line="259" w:lineRule="auto"/>
        <w:outlineLvl w:val="2"/>
        <w:rPr>
          <w:rFonts w:eastAsiaTheme="majorEastAsia" w:cstheme="majorBidi"/>
          <w:color w:val="00305E" w:themeColor="text2"/>
          <w:sz w:val="28"/>
          <w:szCs w:val="24"/>
        </w:rPr>
      </w:pPr>
      <w:r>
        <w:rPr>
          <w:rFonts w:eastAsiaTheme="majorEastAsia" w:cstheme="majorBidi"/>
          <w:color w:val="00305E" w:themeColor="text2"/>
          <w:sz w:val="28"/>
          <w:szCs w:val="24"/>
        </w:rPr>
        <w:t>What is the evidence base?</w:t>
      </w:r>
    </w:p>
    <w:p w14:paraId="4183F01D" w14:textId="5180CC9F" w:rsidR="00D214D3" w:rsidRDefault="0046427D" w:rsidP="000D40EE">
      <w:pPr>
        <w:spacing w:after="60"/>
      </w:pPr>
      <w:r>
        <w:t xml:space="preserve">Effective </w:t>
      </w:r>
      <w:r w:rsidR="00484EEF">
        <w:t xml:space="preserve">use of </w:t>
      </w:r>
      <w:r>
        <w:t xml:space="preserve">assessments </w:t>
      </w:r>
      <w:r w:rsidR="00673802">
        <w:t xml:space="preserve">that relate to real-world learning </w:t>
      </w:r>
      <w:r w:rsidR="00EC79BE">
        <w:t>has been</w:t>
      </w:r>
      <w:r>
        <w:t xml:space="preserve"> highlighted </w:t>
      </w:r>
      <w:r w:rsidR="00673802">
        <w:t xml:space="preserve">as </w:t>
      </w:r>
      <w:r w:rsidR="00EC79BE">
        <w:t xml:space="preserve">a </w:t>
      </w:r>
      <w:r w:rsidR="00673802">
        <w:t>feature of high</w:t>
      </w:r>
      <w:r w:rsidR="00E363C7">
        <w:t xml:space="preserve"> quality ITE programs </w:t>
      </w:r>
      <w:r w:rsidR="00E363C7">
        <w:fldChar w:fldCharType="begin"/>
      </w:r>
      <w:r w:rsidR="00E363C7">
        <w:instrText xml:space="preserve"> ADDIN ZOTERO_ITEM CSL_CITATION {"citationID":"ZPIwk9uG","properties":{"formattedCitation":"(Darling-Hammond and Bransford 2007; Ingvarson et al. 2014)","plainCitation":"(Darling-Hammond and Bransford 2007; Ingvarson et al. 2014)","noteIndex":0},"citationItems":[{"id":17666,"uris":["http://zotero.org/users/10549213/items/WS6VYYBI"],"itemData":{"id":17666,"type":"book","abstract":"Based on rapid advances in what is known about how people learn and how to teach effectively, this important book examines the core concepts and central pedagogies that should be at the heart of any teacher education program. Stemming from the results of a commission sponsored by the National Academy of Education, Preparing Teachers for a Changing World recommends the creation of an informed teacher education curriculum with the common elements that represent state-of-the-art standards for the profession. Written for teacher educators in both traditional and alternative programs, university and school system leaders, teachers, staff development professionals, researchers, and educational policymakers, the book addresses the key foundational knowledge for teaching and discusses how to implement that knowledge within the classroom. Preparing Teachers for a Changing World recommends that, in addition to strong subject matter knowledge, all new teachers have a basic understanding of how people learn and develop, as well as how children acquire and use language, which is the currency of education. In addition, the book suggests that teaching professionals must be able to apply that knowledge in developing curriculum that attends to students' needs, the demands of the content, and the social purposes of education: in teaching specific subject matter to diverse students, in managing the classroom, assessing student performance, and using technology in the classroom.","edition":"1st edition","event-place":"San Francisco, CA","ISBN":"978-0-7879-9634-5","language":"English","number-of-pages":"640","publisher":"Jossey-Bass","publisher-place":"San Francisco, CA","source":"Amazon","title":"Preparing teachers for a changing world: What teachers should learn and be able to do","title-short":"Preparing teachers for a changing world","editor":[{"family":"Darling-Hammond","given":"Linda"},{"family":"Bransford","given":"John"}],"issued":{"date-parts":[["2007",7,17]]}}},{"id":43,"uris":["http://zotero.org/users/10549213/items/5RT9BBPH"],"itemData":{"id":43,"type":"report","event-place":"Canberra","language":"en","publisher":"Department of Education","publisher-place":"Canberra","source":"Zotero","title":"Best practice teacher education programs and Australia’s own programs","author":[{"family":"Ingvarson","given":"Lawrence"},{"family":"Reid","given":"Kate"},{"family":"Buckley","given":"Sarah"},{"family":"Kleinhenz","given":"Elizabeth"},{"family":"Masters","given":"Geoff"},{"family":"Rowley","given":"Glenn"}],"issued":{"date-parts":[["2014"]]}}}],"schema":"https://github.com/citation-style-language/schema/raw/master/csl-citation.json"} </w:instrText>
      </w:r>
      <w:r w:rsidR="00E363C7">
        <w:fldChar w:fldCharType="separate"/>
      </w:r>
      <w:r w:rsidR="00E363C7" w:rsidRPr="00E363C7">
        <w:t xml:space="preserve">(Darling-Hammond and Bransford 2007; </w:t>
      </w:r>
      <w:r w:rsidR="00E363C7" w:rsidRPr="00E363C7">
        <w:lastRenderedPageBreak/>
        <w:t>Ingvarson et al. 2014)</w:t>
      </w:r>
      <w:r w:rsidR="00E363C7">
        <w:fldChar w:fldCharType="end"/>
      </w:r>
      <w:r>
        <w:t>.</w:t>
      </w:r>
      <w:r w:rsidR="00DE3136">
        <w:t xml:space="preserve"> </w:t>
      </w:r>
      <w:r w:rsidR="00E363C7">
        <w:t>Research suggests</w:t>
      </w:r>
      <w:r w:rsidR="008A6750">
        <w:t xml:space="preserve"> that </w:t>
      </w:r>
      <w:r w:rsidR="00E83443">
        <w:t xml:space="preserve">effective </w:t>
      </w:r>
      <w:r w:rsidR="008A6750">
        <w:t>assessment</w:t>
      </w:r>
      <w:r w:rsidR="00E83443">
        <w:t>s should be used</w:t>
      </w:r>
      <w:r w:rsidR="008A6750">
        <w:t xml:space="preserve"> </w:t>
      </w:r>
      <w:r w:rsidR="00E83443">
        <w:t xml:space="preserve">to </w:t>
      </w:r>
      <w:r w:rsidR="00EF1DCE">
        <w:t xml:space="preserve">integrate theory </w:t>
      </w:r>
      <w:r w:rsidR="00CB7315">
        <w:t>into</w:t>
      </w:r>
      <w:r w:rsidR="00EF1DCE">
        <w:t xml:space="preserve"> practice and </w:t>
      </w:r>
      <w:r w:rsidR="00422A9A">
        <w:t xml:space="preserve">enable pre-service teachers to </w:t>
      </w:r>
      <w:r w:rsidR="007C1B49">
        <w:t xml:space="preserve">participate in activities that </w:t>
      </w:r>
      <w:r w:rsidR="00176650">
        <w:t>better prepare them for classroom teaching</w:t>
      </w:r>
      <w:r w:rsidR="0084380F">
        <w:t xml:space="preserve"> </w:t>
      </w:r>
      <w:r w:rsidR="0084380F">
        <w:fldChar w:fldCharType="begin"/>
      </w:r>
      <w:r w:rsidR="0084380F">
        <w:instrText xml:space="preserve"> ADDIN ZOTERO_ITEM CSL_CITATION {"citationID":"Nrrov68w","properties":{"formattedCitation":"(Darling-Hammond and Snyder 2000)","plainCitation":"(Darling-Hammond and Snyder 2000)","noteIndex":0},"citationItems":[{"id":17736,"uris":["http://zotero.org/users/10549213/items/2CMK8S7Z"],"itemData":{"id":17736,"type":"article-journal","abstract":"The demands of teaching more challenging content to more diverse learners suggest a need for teacher education that enables teachers to become more sophisticated in their understanding of the effects of context and learner variability on teaching and learning. Instead of implementing set routines, teachers need to become ever more skillful in their ability to evaluate teaching situations and develop teaching responses that can be effective under different circumstances. This article examines how a growing number of teacher education programs are using authentic assessments of teaching – cases, exhibitions, portfolios, and problem-based inquiries (or action research) – as tools to support teacher learning for these new challenges of practice. Using specific teacher education programs as examples, the article examines how and why these strategies appear to provide support for teacher learning and avenues for more valid assessment of teaching. The authors also discuss circumstances in which these strategies may be less effective and suggest features of the assessments and programmatic contexts that are associated with more and less successful use.","container-title":"Teaching and Teacher Education","DOI":"10.1016/S0742-051X(00)00015-9","ISSN":"0742-051X","issue":"5","journalAbbreviation":"Teaching and Teacher Education","language":"en","page":"523-545","source":"ScienceDirect","title":"Authentic assessment of teaching in context","volume":"16","author":[{"family":"Darling-Hammond","given":"Linda"},{"family":"Snyder","given":"Jon"}],"issued":{"date-parts":[["2000",7,1]]}}}],"schema":"https://github.com/citation-style-language/schema/raw/master/csl-citation.json"} </w:instrText>
      </w:r>
      <w:r w:rsidR="0084380F">
        <w:fldChar w:fldCharType="separate"/>
      </w:r>
      <w:r w:rsidR="0084380F" w:rsidRPr="0084380F">
        <w:t>(Darling-Hammond and Snyder 2000)</w:t>
      </w:r>
      <w:r w:rsidR="0084380F">
        <w:fldChar w:fldCharType="end"/>
      </w:r>
      <w:r w:rsidR="00176650">
        <w:t>.</w:t>
      </w:r>
      <w:r w:rsidR="007C1B49">
        <w:t xml:space="preserve"> </w:t>
      </w:r>
      <w:r w:rsidR="00EB5548">
        <w:t xml:space="preserve">Evidence also suggests that assessments are more effective when </w:t>
      </w:r>
      <w:r w:rsidR="00261D6E">
        <w:t xml:space="preserve">the aims and </w:t>
      </w:r>
      <w:r w:rsidR="00646F06">
        <w:t>requirements</w:t>
      </w:r>
      <w:r w:rsidR="00261D6E">
        <w:t xml:space="preserve"> are explicitly outlined for pre-service teachers </w:t>
      </w:r>
      <w:r w:rsidR="001D0EB8">
        <w:fldChar w:fldCharType="begin"/>
      </w:r>
      <w:r w:rsidR="001D0EB8">
        <w:instrText xml:space="preserve"> ADDIN ZOTERO_ITEM CSL_CITATION {"citationID":"0bVmrn9W","properties":{"formattedCitation":"(Thomas et al. 2019)","plainCitation":"(Thomas et al. 2019)","noteIndex":0},"citationItems":[{"id":40,"uris":["http://zotero.org/users/10549213/items/A222RJTH"],"itemData":{"id":40,"type":"article-journal","abstract":"Assessment is a central feature of student learning in higher education and has a strong influence on the student experience. Accordingly, the appropriate communication of assessment aims is a priority for all higher education institutions. This study proposes an analytical framework for the interpretation and creation of assessments across higher education disciplines. The framework suggests that assessments can be categorised according to rhetorical purposes, formats, modes and group arrangements. Assessments from three degree programmes at one Australian university are analysed using the framework to show its usefulness in classifying and evaluating task components and generating broad images of degrees based on assessment regimes. We draw on these practical applications to explain and compare discipline-specific qualities of each degree, and argue that the framework might enhance the communication of assessment aims to benefit higher education stakeholders.","container-title":"Assessment &amp; Evaluation in Higher Education","DOI":"10.1080/02602938.2018.1522615","ISSN":"0260-2938, 1469-297X","issue":"4","journalAbbreviation":"Assessment &amp; Evaluation in Higher Education","language":"en","page":"546-564","source":"DOI.org (Crossref)","title":"Elaborating a framework for communicating assessment aims in higher education","volume":"44","author":[{"family":"Thomas","given":"Damon"},{"family":"Moore","given":"Robbie"},{"family":"Rundle","given":"Olivia"},{"family":"Emery","given":"Sherridan"},{"family":"Greaves","given":"Robyn"},{"family":"Riele","given":"Kitty","non-dropping-particle":"te"},{"family":"Kowaluk","given":"Andy"}],"issued":{"date-parts":[["2019",5,19]]}}}],"schema":"https://github.com/citation-style-language/schema/raw/master/csl-citation.json"} </w:instrText>
      </w:r>
      <w:r w:rsidR="001D0EB8">
        <w:fldChar w:fldCharType="separate"/>
      </w:r>
      <w:r w:rsidR="001D0EB8" w:rsidRPr="001D0EB8">
        <w:t>(Thomas et al. 2019)</w:t>
      </w:r>
      <w:r w:rsidR="001D0EB8">
        <w:fldChar w:fldCharType="end"/>
      </w:r>
      <w:r w:rsidR="007E2DC3">
        <w:t>.</w:t>
      </w:r>
    </w:p>
    <w:p w14:paraId="6EA7AAE0" w14:textId="36E37572" w:rsidR="0002596E" w:rsidRDefault="00D929E0" w:rsidP="00493A82">
      <w:pPr>
        <w:spacing w:after="60"/>
      </w:pPr>
      <w:r>
        <w:t xml:space="preserve">Research </w:t>
      </w:r>
      <w:r w:rsidR="0022428D">
        <w:t>points to</w:t>
      </w:r>
      <w:r w:rsidR="00A26BDB">
        <w:t xml:space="preserve"> three core </w:t>
      </w:r>
      <w:r w:rsidR="001D54A6">
        <w:t>objectives for</w:t>
      </w:r>
      <w:r w:rsidR="00A26BDB">
        <w:t xml:space="preserve"> assessment in ITE programs</w:t>
      </w:r>
      <w:r w:rsidR="001733C7">
        <w:t xml:space="preserve">. </w:t>
      </w:r>
      <w:r w:rsidR="00C61F05">
        <w:t>First</w:t>
      </w:r>
      <w:r w:rsidR="00D103F3">
        <w:t>ly</w:t>
      </w:r>
      <w:r w:rsidR="00C61F05">
        <w:t xml:space="preserve">, </w:t>
      </w:r>
      <w:r w:rsidR="00301F63">
        <w:t xml:space="preserve">quality </w:t>
      </w:r>
      <w:r w:rsidR="00C61F05">
        <w:t xml:space="preserve">assessments are required to certify achievement and recognise </w:t>
      </w:r>
      <w:r w:rsidR="00E12BCC">
        <w:t xml:space="preserve">the </w:t>
      </w:r>
      <w:r w:rsidR="00C61F05">
        <w:t>expertise of pre</w:t>
      </w:r>
      <w:r w:rsidR="0067404B">
        <w:t>-service teachers</w:t>
      </w:r>
      <w:r w:rsidR="00821FEA">
        <w:t xml:space="preserve"> </w:t>
      </w:r>
      <w:r w:rsidR="00821FEA">
        <w:fldChar w:fldCharType="begin"/>
      </w:r>
      <w:r w:rsidR="00821FEA">
        <w:instrText xml:space="preserve"> ADDIN ZOTERO_ITEM CSL_CITATION {"citationID":"PHY5GAAC","properties":{"formattedCitation":"(Thomas et al. 2019)","plainCitation":"(Thomas et al. 2019)","noteIndex":0},"citationItems":[{"id":40,"uris":["http://zotero.org/users/10549213/items/A222RJTH"],"itemData":{"id":40,"type":"article-journal","abstract":"Assessment is a central feature of student learning in higher education and has a strong influence on the student experience. Accordingly, the appropriate communication of assessment aims is a priority for all higher education institutions. This study proposes an analytical framework for the interpretation and creation of assessments across higher education disciplines. The framework suggests that assessments can be categorised according to rhetorical purposes, formats, modes and group arrangements. Assessments from three degree programmes at one Australian university are analysed using the framework to show its usefulness in classifying and evaluating task components and generating broad images of degrees based on assessment regimes. We draw on these practical applications to explain and compare discipline-specific qualities of each degree, and argue that the framework might enhance the communication of assessment aims to benefit higher education stakeholders.","container-title":"Assessment &amp; Evaluation in Higher Education","DOI":"10.1080/02602938.2018.1522615","ISSN":"0260-2938, 1469-297X","issue":"4","journalAbbreviation":"Assessment &amp; Evaluation in Higher Education","language":"en","page":"546-564","source":"DOI.org (Crossref)","title":"Elaborating a framework for communicating assessment aims in higher education","volume":"44","author":[{"family":"Thomas","given":"Damon"},{"family":"Moore","given":"Robbie"},{"family":"Rundle","given":"Olivia"},{"family":"Emery","given":"Sherridan"},{"family":"Greaves","given":"Robyn"},{"family":"Riele","given":"Kitty","non-dropping-particle":"te"},{"family":"Kowaluk","given":"Andy"}],"issued":{"date-parts":[["2019",5,19]]}}}],"schema":"https://github.com/citation-style-language/schema/raw/master/csl-citation.json"} </w:instrText>
      </w:r>
      <w:r w:rsidR="00821FEA">
        <w:fldChar w:fldCharType="separate"/>
      </w:r>
      <w:r w:rsidR="00821FEA" w:rsidRPr="00821FEA">
        <w:t>(Thomas et al. 2019)</w:t>
      </w:r>
      <w:r w:rsidR="00821FEA">
        <w:fldChar w:fldCharType="end"/>
      </w:r>
      <w:r w:rsidR="00315E14">
        <w:t xml:space="preserve">. </w:t>
      </w:r>
      <w:r w:rsidR="00A44B87">
        <w:t xml:space="preserve">Assessments </w:t>
      </w:r>
      <w:r w:rsidR="00C22EA4">
        <w:t xml:space="preserve">that provide </w:t>
      </w:r>
      <w:r w:rsidR="008A1BB1">
        <w:t>valid methods and reliable evidence</w:t>
      </w:r>
      <w:r w:rsidR="00C22EA4">
        <w:t xml:space="preserve"> </w:t>
      </w:r>
      <w:r w:rsidR="009A62E9">
        <w:t>that</w:t>
      </w:r>
      <w:r w:rsidR="00C22EA4">
        <w:t xml:space="preserve"> </w:t>
      </w:r>
      <w:r w:rsidR="009A62E9">
        <w:t xml:space="preserve">pre-service teachers meet </w:t>
      </w:r>
      <w:r w:rsidR="00B67DE2">
        <w:t>accreditation</w:t>
      </w:r>
      <w:r w:rsidR="00C22EA4">
        <w:t xml:space="preserve"> standards are </w:t>
      </w:r>
      <w:r w:rsidR="009A62E9">
        <w:t>identified</w:t>
      </w:r>
      <w:r w:rsidR="00C22EA4">
        <w:t xml:space="preserve"> as a core component of a standards-based education system</w:t>
      </w:r>
      <w:r w:rsidR="00313FA8">
        <w:t xml:space="preserve"> </w:t>
      </w:r>
      <w:r w:rsidR="00313FA8">
        <w:fldChar w:fldCharType="begin"/>
      </w:r>
      <w:r w:rsidR="00313FA8">
        <w:instrText xml:space="preserve"> ADDIN ZOTERO_ITEM CSL_CITATION {"citationID":"WceDm6cA","properties":{"formattedCitation":"(Ingvarson et al. 2014)","plainCitation":"(Ingvarson et al. 2014)","noteIndex":0},"citationItems":[{"id":43,"uris":["http://zotero.org/users/10549213/items/5RT9BBPH"],"itemData":{"id":43,"type":"report","event-place":"Canberra","language":"en","publisher":"Department of Education","publisher-place":"Canberra","source":"Zotero","title":"Best practice teacher education programs and Australia’s own programs","author":[{"family":"Ingvarson","given":"Lawrence"},{"family":"Reid","given":"Kate"},{"family":"Buckley","given":"Sarah"},{"family":"Kleinhenz","given":"Elizabeth"},{"family":"Masters","given":"Geoff"},{"family":"Rowley","given":"Glenn"}],"issued":{"date-parts":[["2014"]]}}}],"schema":"https://github.com/citation-style-language/schema/raw/master/csl-citation.json"} </w:instrText>
      </w:r>
      <w:r w:rsidR="00313FA8">
        <w:fldChar w:fldCharType="separate"/>
      </w:r>
      <w:r w:rsidR="00313FA8" w:rsidRPr="00313FA8">
        <w:t>(Ingvarson et al. 2014)</w:t>
      </w:r>
      <w:r w:rsidR="00313FA8">
        <w:fldChar w:fldCharType="end"/>
      </w:r>
      <w:r w:rsidR="00313FA8">
        <w:t>.</w:t>
      </w:r>
      <w:r w:rsidR="00510181">
        <w:t xml:space="preserve"> </w:t>
      </w:r>
    </w:p>
    <w:p w14:paraId="5E925B55" w14:textId="0085DCCF" w:rsidR="007A3B94" w:rsidRDefault="00510181" w:rsidP="001C49F9">
      <w:pPr>
        <w:spacing w:after="60"/>
      </w:pPr>
      <w:r>
        <w:t xml:space="preserve">Secondly, assessments </w:t>
      </w:r>
      <w:r w:rsidR="00301F63">
        <w:t>facilitate and direct pre-service teacher learning</w:t>
      </w:r>
      <w:r w:rsidR="004C6616">
        <w:t xml:space="preserve">, </w:t>
      </w:r>
      <w:r w:rsidR="001C49F9">
        <w:t xml:space="preserve">enabling them to </w:t>
      </w:r>
      <w:r w:rsidR="00CD252F">
        <w:t>research</w:t>
      </w:r>
      <w:r w:rsidR="000B3FBB">
        <w:t>, plan</w:t>
      </w:r>
      <w:r w:rsidR="00CD252F">
        <w:t xml:space="preserve"> and design </w:t>
      </w:r>
      <w:r w:rsidR="001D0F5A">
        <w:t>examples of</w:t>
      </w:r>
      <w:r w:rsidR="00CD252F">
        <w:t xml:space="preserve"> teaching, </w:t>
      </w:r>
      <w:r w:rsidR="00BD7335">
        <w:t xml:space="preserve">evaluate </w:t>
      </w:r>
      <w:r w:rsidR="00B3449F">
        <w:t xml:space="preserve">the effectiveness of their approach, and refine teaching with feedback </w:t>
      </w:r>
      <w:r w:rsidR="007A3B94">
        <w:fldChar w:fldCharType="begin"/>
      </w:r>
      <w:r w:rsidR="007A3B94">
        <w:instrText xml:space="preserve"> ADDIN ZOTERO_ITEM CSL_CITATION {"citationID":"wWBE9uMW","properties":{"formattedCitation":"(Thomas et al. 2019; Queensland College of Teachers 2012)","plainCitation":"(Thomas et al. 2019; Queensland College of Teachers 2012)","noteIndex":0},"citationItems":[{"id":40,"uris":["http://zotero.org/users/10549213/items/A222RJTH"],"itemData":{"id":40,"type":"article-journal","abstract":"Assessment is a central feature of student learning in higher education and has a strong influence on the student experience. Accordingly, the appropriate communication of assessment aims is a priority for all higher education institutions. This study proposes an analytical framework for the interpretation and creation of assessments across higher education disciplines. The framework suggests that assessments can be categorised according to rhetorical purposes, formats, modes and group arrangements. Assessments from three degree programmes at one Australian university are analysed using the framework to show its usefulness in classifying and evaluating task components and generating broad images of degrees based on assessment regimes. We draw on these practical applications to explain and compare discipline-specific qualities of each degree, and argue that the framework might enhance the communication of assessment aims to benefit higher education stakeholders.","container-title":"Assessment &amp; Evaluation in Higher Education","DOI":"10.1080/02602938.2018.1522615","ISSN":"0260-2938, 1469-297X","issue":"4","journalAbbreviation":"Assessment &amp; Evaluation in Higher Education","language":"en","page":"546-564","source":"DOI.org (Crossref)","title":"Elaborating a framework for communicating assessment aims in higher education","volume":"44","author":[{"family":"Thomas","given":"Damon"},{"family":"Moore","given":"Robbie"},{"family":"Rundle","given":"Olivia"},{"family":"Emery","given":"Sherridan"},{"family":"Greaves","given":"Robyn"},{"family":"Riele","given":"Kitty","non-dropping-particle":"te"},{"family":"Kowaluk","given":"Andy"}],"issued":{"date-parts":[["2019",5,19]]}}},{"id":38,"uris":["http://zotero.org/users/10549213/items/KM2P5BGI"],"itemData":{"id":38,"type":"report","event-place":"Toowong, Qld.","language":"en","note":"OCLC: 793201303","publisher":"Queensland College of Teachers","publisher-place":"Toowong, Qld.","source":"Open WorldCat","title":"An investigation of best practice in evidence-based assessment within preservice teacher education programs and other professions: Report of research commissioned by the Queensland College of Teachers","title-short":"An investigation of best practice in evidence-based assessment within preservice teacher education programs and other professions","author":[{"family":"Queensland College of Teachers","given":""}],"issued":{"date-parts":[["2012"]]}}}],"schema":"https://github.com/citation-style-language/schema/raw/master/csl-citation.json"} </w:instrText>
      </w:r>
      <w:r w:rsidR="007A3B94">
        <w:fldChar w:fldCharType="separate"/>
      </w:r>
      <w:r w:rsidR="007A3B94" w:rsidRPr="007A3B94">
        <w:t>(Thomas et al. 2019; Queensland College of Teachers 2012)</w:t>
      </w:r>
      <w:r w:rsidR="007A3B94">
        <w:fldChar w:fldCharType="end"/>
      </w:r>
      <w:r w:rsidR="007A3B94">
        <w:t>.</w:t>
      </w:r>
    </w:p>
    <w:p w14:paraId="1F173244" w14:textId="64CCF54B" w:rsidR="00BD3DBB" w:rsidRDefault="00BD3DBB" w:rsidP="001C49F9">
      <w:pPr>
        <w:spacing w:after="60"/>
      </w:pPr>
      <w:r>
        <w:t xml:space="preserve">Thirdly, </w:t>
      </w:r>
      <w:r w:rsidR="00B73F7A">
        <w:t xml:space="preserve">assessments </w:t>
      </w:r>
      <w:r w:rsidR="00AC2EFF">
        <w:t>may be designed to</w:t>
      </w:r>
      <w:r w:rsidR="00B73F7A">
        <w:t xml:space="preserve"> build the capacity for lifelong learning</w:t>
      </w:r>
      <w:r w:rsidR="007A3B94">
        <w:t xml:space="preserve"> </w:t>
      </w:r>
      <w:r w:rsidR="007A3B94">
        <w:fldChar w:fldCharType="begin"/>
      </w:r>
      <w:r w:rsidR="007A3B94">
        <w:instrText xml:space="preserve"> ADDIN ZOTERO_ITEM CSL_CITATION {"citationID":"7z11f6CA","properties":{"formattedCitation":"(Thomas et al. 2019)","plainCitation":"(Thomas et al. 2019)","noteIndex":0},"citationItems":[{"id":40,"uris":["http://zotero.org/users/10549213/items/A222RJTH"],"itemData":{"id":40,"type":"article-journal","abstract":"Assessment is a central feature of student learning in higher education and has a strong influence on the student experience. Accordingly, the appropriate communication of assessment aims is a priority for all higher education institutions. This study proposes an analytical framework for the interpretation and creation of assessments across higher education disciplines. The framework suggests that assessments can be categorised according to rhetorical purposes, formats, modes and group arrangements. Assessments from three degree programmes at one Australian university are analysed using the framework to show its usefulness in classifying and evaluating task components and generating broad images of degrees based on assessment regimes. We draw on these practical applications to explain and compare discipline-specific qualities of each degree, and argue that the framework might enhance the communication of assessment aims to benefit higher education stakeholders.","container-title":"Assessment &amp; Evaluation in Higher Education","DOI":"10.1080/02602938.2018.1522615","ISSN":"0260-2938, 1469-297X","issue":"4","journalAbbreviation":"Assessment &amp; Evaluation in Higher Education","language":"en","page":"546-564","source":"DOI.org (Crossref)","title":"Elaborating a framework for communicating assessment aims in higher education","volume":"44","author":[{"family":"Thomas","given":"Damon"},{"family":"Moore","given":"Robbie"},{"family":"Rundle","given":"Olivia"},{"family":"Emery","given":"Sherridan"},{"family":"Greaves","given":"Robyn"},{"family":"Riele","given":"Kitty","non-dropping-particle":"te"},{"family":"Kowaluk","given":"Andy"}],"issued":{"date-parts":[["2019",5,19]]}}}],"schema":"https://github.com/citation-style-language/schema/raw/master/csl-citation.json"} </w:instrText>
      </w:r>
      <w:r w:rsidR="007A3B94">
        <w:fldChar w:fldCharType="separate"/>
      </w:r>
      <w:r w:rsidR="007A3B94" w:rsidRPr="007A3B94">
        <w:t>(Thomas et al. 2019)</w:t>
      </w:r>
      <w:r w:rsidR="007A3B94">
        <w:fldChar w:fldCharType="end"/>
      </w:r>
      <w:r w:rsidR="00B73F7A">
        <w:t xml:space="preserve">. </w:t>
      </w:r>
      <w:r w:rsidR="00C5481D">
        <w:t xml:space="preserve">Researchers </w:t>
      </w:r>
      <w:r w:rsidR="00934B34">
        <w:t xml:space="preserve">suggest that this type of ‘sustainable assessment’ meets </w:t>
      </w:r>
      <w:r w:rsidR="004D0288">
        <w:t xml:space="preserve">the needs of pre-service teachers during their ITE programs, while </w:t>
      </w:r>
      <w:r w:rsidR="000008E9">
        <w:t xml:space="preserve">building skills </w:t>
      </w:r>
      <w:r w:rsidR="000B3FBB">
        <w:t>to</w:t>
      </w:r>
      <w:r w:rsidR="000008E9">
        <w:t xml:space="preserve"> support complex decision making and lifelong learning as graduate teachers</w:t>
      </w:r>
      <w:r w:rsidR="000F105D">
        <w:t xml:space="preserve"> </w:t>
      </w:r>
      <w:r w:rsidR="000F105D">
        <w:fldChar w:fldCharType="begin"/>
      </w:r>
      <w:r w:rsidR="000F105D">
        <w:instrText xml:space="preserve"> ADDIN ZOTERO_ITEM CSL_CITATION {"citationID":"3hzFte89","properties":{"formattedCitation":"(Boud 2000; McLean 2018)","plainCitation":"(Boud 2000; McLean 2018)","noteIndex":0},"citationItems":[{"id":17738,"uris":["http://zotero.org/users/10549213/items/JV5D3RUX"],"itemData":{"id":17738,"type":"article-journal","abstract":"Assessment practices in higher education institutions tend not to equip students well for the processes of effective learning in a learning society. The purposes of assessment should be extended to include the preparation of students for sustainable assessment. Sustainable assessment encompasses the abilities required to undertake those activities that necessarily accompany learning throughout life in formal and informal settings. Characteristics of effective formative assessment identified by recent research are used to illustrate features of sustainable assessment. Assessment acts need both to meet the specific and immediate goals of a course as well as establishing a basis for students to undertake their own assessment activities in the future. To draw attention to the importance of this, the idea that assessment always has to do double duty is introduced.","container-title":"Studies in Continuing Education","DOI":"10.1080/713695728","ISSN":"0158-037X","issue":"2","note":"publisher: Routledge\n_eprint: https://doi.org/10.1080/713695728","page":"151-167","source":"Taylor and Francis+NEJM","title":"Sustainable Assessment: Rethinking assessment for the learning society","title-short":"Sustainable Assessment","volume":"22","author":[{"family":"Boud","given":"David"}],"issued":{"date-parts":[["2000",11,1]]}}},{"id":17739,"uris":["http://zotero.org/users/10549213/items/YAX9L837"],"itemData":{"id":17739,"type":"article-journal","abstract":"In this study, assessment and learning is reconceptualised as an integrated and dialogic process. Positioned in a sociocultural framework, the experiences of academics and students at an Australian university were examined to understand how they think about and participate in formative assessment to support learning. Semi-structured interviews and document analysis were used to investigate the lived experience, individual meanings and context of participants. The sociocultural issues that participants emphasised were highlighted through a power, risk and reconceptualisation analytical framework. Findings showed that academics and students give high value to dialogue as a device of trust and power for building learner capacity through assessment, and that academics’ familiarity with students’ individual learning reinforces student trust in the integrity and reliability of assessment. This study contributes to understandings of learning and assessment by offering their reconceptualisation as an integrated and dialogic whole when considered from sociocultural perspectives of the lived experience and context. Importantly, the study proposes that the design of intended learning experiences in assessment can also facilitate development of specific dispositions for thinking and being in students as learners and future citizens.","container-title":"Assessment &amp; Evaluation in Higher Education","DOI":"10.1080/02602938.2018.1446508","ISSN":"0260-2938","issue":"8","note":"publisher: Routledge\n_eprint: https://doi.org/10.1080/02602938.2018.1446508","page":"1228-1240","source":"Taylor and Francis+NEJM","title":"This is the way to teach: insights from academics and students about assessment that supports learning","title-short":"This is the way to teach","volume":"43","author":[{"family":"McLean","given":"Helen"}],"issued":{"date-parts":[["2018",11,17]]}}}],"schema":"https://github.com/citation-style-language/schema/raw/master/csl-citation.json"} </w:instrText>
      </w:r>
      <w:r w:rsidR="000F105D">
        <w:fldChar w:fldCharType="separate"/>
      </w:r>
      <w:r w:rsidR="000F105D" w:rsidRPr="000F105D">
        <w:t>(Boud 2000; McLean 2018)</w:t>
      </w:r>
      <w:r w:rsidR="000F105D">
        <w:fldChar w:fldCharType="end"/>
      </w:r>
      <w:r w:rsidR="002C28EB">
        <w:t>.</w:t>
      </w:r>
    </w:p>
    <w:p w14:paraId="46B92C69" w14:textId="4A9A9331" w:rsidR="00493A82" w:rsidRDefault="00394AF8" w:rsidP="00493A82">
      <w:pPr>
        <w:spacing w:after="60"/>
      </w:pPr>
      <w:r>
        <w:t>A</w:t>
      </w:r>
      <w:r w:rsidR="00931F20">
        <w:t xml:space="preserve"> </w:t>
      </w:r>
      <w:r w:rsidR="00DD7190">
        <w:t xml:space="preserve">Queensland College of Teachers </w:t>
      </w:r>
      <w:r w:rsidR="00931F20">
        <w:t xml:space="preserve">report </w:t>
      </w:r>
      <w:r w:rsidR="00227F88">
        <w:fldChar w:fldCharType="begin"/>
      </w:r>
      <w:r w:rsidR="00227F88">
        <w:instrText xml:space="preserve"> ADDIN ZOTERO_ITEM CSL_CITATION {"citationID":"tttNOX7M","properties":{"formattedCitation":"(2012)","plainCitation":"(2012)","noteIndex":0},"citationItems":[{"id":38,"uris":["http://zotero.org/users/10549213/items/KM2P5BGI"],"itemData":{"id":38,"type":"report","event-place":"Toowong, Qld.","language":"en","note":"OCLC: 793201303","publisher":"Queensland College of Teachers","publisher-place":"Toowong, Qld.","source":"Open WorldCat","title":"An investigation of best practice in evidence-based assessment within preservice teacher education programs and other professions: Report of research commissioned by the Queensland College of Teachers","title-short":"An investigation of best practice in evidence-based assessment within preservice teacher education programs and other professions","author":[{"family":"Queensland College of Teachers","given":""}],"issued":{"date-parts":[["2012"]]}},"suppress-author":true}],"schema":"https://github.com/citation-style-language/schema/raw/master/csl-citation.json"} </w:instrText>
      </w:r>
      <w:r w:rsidR="00227F88">
        <w:fldChar w:fldCharType="separate"/>
      </w:r>
      <w:r w:rsidR="00227F88" w:rsidRPr="00227F88">
        <w:t>(2012)</w:t>
      </w:r>
      <w:r w:rsidR="00227F88">
        <w:fldChar w:fldCharType="end"/>
      </w:r>
      <w:r w:rsidR="00227F88">
        <w:t xml:space="preserve"> </w:t>
      </w:r>
      <w:r w:rsidR="00A06866">
        <w:t>into best practice in evidence-based assessment in ITE</w:t>
      </w:r>
      <w:r w:rsidR="00DD7190">
        <w:t xml:space="preserve"> </w:t>
      </w:r>
      <w:r>
        <w:t xml:space="preserve">highlighted </w:t>
      </w:r>
      <w:r w:rsidR="00493A82">
        <w:t>key features of high-quality assessments</w:t>
      </w:r>
      <w:r w:rsidR="00FC2DEC">
        <w:t>, including</w:t>
      </w:r>
      <w:r w:rsidR="00493A82">
        <w:t>:</w:t>
      </w:r>
      <w:r w:rsidR="00493A82" w:rsidRPr="004809EB">
        <w:t xml:space="preserve"> </w:t>
      </w:r>
    </w:p>
    <w:p w14:paraId="48E988EB" w14:textId="33A4ADBB" w:rsidR="00493A82" w:rsidRDefault="00FC2DEC" w:rsidP="00733BB6">
      <w:pPr>
        <w:pStyle w:val="ListParagraph"/>
        <w:numPr>
          <w:ilvl w:val="0"/>
          <w:numId w:val="12"/>
        </w:numPr>
      </w:pPr>
      <w:r>
        <w:t>Aligning</w:t>
      </w:r>
      <w:r w:rsidR="00B449C6">
        <w:t xml:space="preserve"> with </w:t>
      </w:r>
      <w:r w:rsidR="00480A2F">
        <w:t xml:space="preserve">teaching </w:t>
      </w:r>
      <w:r w:rsidR="00B449C6">
        <w:t xml:space="preserve">standards, </w:t>
      </w:r>
      <w:r>
        <w:t>sampling</w:t>
      </w:r>
      <w:r w:rsidR="00B449C6">
        <w:t xml:space="preserve"> pre-service teachers’ skills and knowledge, </w:t>
      </w:r>
      <w:r w:rsidR="00480A2F">
        <w:t xml:space="preserve">and </w:t>
      </w:r>
      <w:r>
        <w:t>providing</w:t>
      </w:r>
      <w:r w:rsidR="00480A2F">
        <w:t xml:space="preserve"> opportunities for practice and feedback.</w:t>
      </w:r>
    </w:p>
    <w:p w14:paraId="423671DE" w14:textId="3B5032B4" w:rsidR="00493A82" w:rsidRDefault="00FC2DEC" w:rsidP="00733BB6">
      <w:pPr>
        <w:pStyle w:val="ListParagraph"/>
        <w:numPr>
          <w:ilvl w:val="0"/>
          <w:numId w:val="12"/>
        </w:numPr>
      </w:pPr>
      <w:r>
        <w:t>P</w:t>
      </w:r>
      <w:r w:rsidR="00480A2F">
        <w:t xml:space="preserve">art of a system with monitoring, evaluation, and moderation </w:t>
      </w:r>
      <w:r w:rsidR="00493A82">
        <w:t xml:space="preserve">to enhance reliability </w:t>
      </w:r>
      <w:r w:rsidR="005B3569">
        <w:t>and</w:t>
      </w:r>
      <w:r w:rsidR="00493A82">
        <w:t xml:space="preserve"> validity</w:t>
      </w:r>
      <w:r w:rsidR="00480A2F">
        <w:t xml:space="preserve"> across assessors.</w:t>
      </w:r>
    </w:p>
    <w:p w14:paraId="3DBB2AF7" w14:textId="4FA9C12A" w:rsidR="00493A82" w:rsidRDefault="00FC2DEC" w:rsidP="00733BB6">
      <w:pPr>
        <w:pStyle w:val="ListParagraph"/>
        <w:numPr>
          <w:ilvl w:val="0"/>
          <w:numId w:val="12"/>
        </w:numPr>
      </w:pPr>
      <w:r>
        <w:t>E</w:t>
      </w:r>
      <w:r w:rsidR="005B3569">
        <w:t>nhanc</w:t>
      </w:r>
      <w:r>
        <w:t>ing</w:t>
      </w:r>
      <w:r w:rsidR="005B3569">
        <w:t xml:space="preserve"> </w:t>
      </w:r>
      <w:r>
        <w:t xml:space="preserve">capacity for </w:t>
      </w:r>
      <w:r w:rsidR="00493A82">
        <w:t>self-assessment and reflection</w:t>
      </w:r>
      <w:r w:rsidR="00CF6ADB">
        <w:t xml:space="preserve"> to </w:t>
      </w:r>
      <w:r w:rsidR="00493A82">
        <w:t>integrate learning</w:t>
      </w:r>
      <w:r w:rsidR="00CF6ADB">
        <w:t xml:space="preserve"> into practice.</w:t>
      </w:r>
    </w:p>
    <w:p w14:paraId="506C0CFD" w14:textId="29C862AF" w:rsidR="00493A82" w:rsidRDefault="00FC2DEC" w:rsidP="00733BB6">
      <w:pPr>
        <w:pStyle w:val="ListParagraph"/>
        <w:numPr>
          <w:ilvl w:val="0"/>
          <w:numId w:val="12"/>
        </w:numPr>
      </w:pPr>
      <w:r>
        <w:t>C</w:t>
      </w:r>
      <w:r w:rsidR="00493A82">
        <w:t>aptur</w:t>
      </w:r>
      <w:r>
        <w:t>ing</w:t>
      </w:r>
      <w:r w:rsidR="005B3569">
        <w:t xml:space="preserve"> the</w:t>
      </w:r>
      <w:r w:rsidR="00493A82">
        <w:t xml:space="preserve"> complexity of teaching</w:t>
      </w:r>
      <w:r w:rsidR="00FC56B2">
        <w:t xml:space="preserve"> and </w:t>
      </w:r>
      <w:r w:rsidR="00B121BD">
        <w:t>help</w:t>
      </w:r>
      <w:r>
        <w:t>ing</w:t>
      </w:r>
      <w:r w:rsidR="00B121BD">
        <w:t xml:space="preserve"> </w:t>
      </w:r>
      <w:r>
        <w:t xml:space="preserve">to </w:t>
      </w:r>
      <w:r w:rsidR="00B121BD">
        <w:t xml:space="preserve">develop </w:t>
      </w:r>
      <w:r w:rsidR="00493A82">
        <w:t>adaptive expertise</w:t>
      </w:r>
      <w:r w:rsidR="00B121BD">
        <w:t>.</w:t>
      </w:r>
      <w:r w:rsidR="00DE3136">
        <w:t xml:space="preserve"> </w:t>
      </w:r>
    </w:p>
    <w:p w14:paraId="61BF8B9F" w14:textId="24D351EB" w:rsidR="00493A82" w:rsidRDefault="00FC2DEC" w:rsidP="00733BB6">
      <w:pPr>
        <w:pStyle w:val="ListParagraph"/>
        <w:numPr>
          <w:ilvl w:val="0"/>
          <w:numId w:val="12"/>
        </w:numPr>
      </w:pPr>
      <w:r>
        <w:t>R</w:t>
      </w:r>
      <w:r w:rsidR="00B121BD">
        <w:t>eflect</w:t>
      </w:r>
      <w:r>
        <w:t>ing</w:t>
      </w:r>
      <w:r w:rsidR="00B121BD">
        <w:t xml:space="preserve"> the</w:t>
      </w:r>
      <w:r w:rsidR="00493A82">
        <w:t xml:space="preserve"> </w:t>
      </w:r>
      <w:r w:rsidR="00FF6C1E">
        <w:t>educational goals</w:t>
      </w:r>
      <w:r w:rsidR="00D873E3">
        <w:t xml:space="preserve"> in the </w:t>
      </w:r>
      <w:hyperlink r:id="rId13" w:history="1">
        <w:r w:rsidR="00493A82" w:rsidRPr="00534861">
          <w:rPr>
            <w:rStyle w:val="Hyperlink"/>
          </w:rPr>
          <w:t>Alice Springs</w:t>
        </w:r>
        <w:r w:rsidR="00FF6C1E" w:rsidRPr="00534861">
          <w:rPr>
            <w:rStyle w:val="Hyperlink"/>
          </w:rPr>
          <w:t xml:space="preserve"> (</w:t>
        </w:r>
        <w:proofErr w:type="spellStart"/>
        <w:r w:rsidR="00493A82" w:rsidRPr="00534861">
          <w:rPr>
            <w:rStyle w:val="Hyperlink"/>
          </w:rPr>
          <w:t>Mparntwe</w:t>
        </w:r>
        <w:proofErr w:type="spellEnd"/>
        <w:r w:rsidR="00FF6C1E" w:rsidRPr="00534861">
          <w:rPr>
            <w:rStyle w:val="Hyperlink"/>
          </w:rPr>
          <w:t>) Education</w:t>
        </w:r>
        <w:r w:rsidR="00493A82" w:rsidRPr="00534861">
          <w:rPr>
            <w:rStyle w:val="Hyperlink"/>
          </w:rPr>
          <w:t xml:space="preserve"> Declaration</w:t>
        </w:r>
      </w:hyperlink>
      <w:r w:rsidR="00D873E3">
        <w:t>.</w:t>
      </w:r>
    </w:p>
    <w:p w14:paraId="1F949380" w14:textId="733C89E6" w:rsidR="00613FDF" w:rsidRPr="00613FDF" w:rsidRDefault="00DB2C23" w:rsidP="00E83464">
      <w:pPr>
        <w:spacing w:after="60"/>
      </w:pPr>
      <w:r>
        <w:t>In Australia, a</w:t>
      </w:r>
      <w:r w:rsidR="00E83464">
        <w:t>ll pre-service teachers are required to complete</w:t>
      </w:r>
      <w:r>
        <w:t xml:space="preserve"> </w:t>
      </w:r>
      <w:r w:rsidR="00C96172">
        <w:t>a</w:t>
      </w:r>
      <w:r w:rsidR="003C4D2E">
        <w:t>n accredited</w:t>
      </w:r>
      <w:r w:rsidR="00E83464">
        <w:t xml:space="preserve"> </w:t>
      </w:r>
      <w:hyperlink r:id="rId14" w:history="1">
        <w:r w:rsidR="000F2B6A" w:rsidRPr="00A57504">
          <w:rPr>
            <w:rStyle w:val="Hyperlink"/>
          </w:rPr>
          <w:t xml:space="preserve">Teaching Performance Assessment </w:t>
        </w:r>
        <w:r w:rsidR="00E83464" w:rsidRPr="00A57504">
          <w:rPr>
            <w:rStyle w:val="Hyperlink"/>
          </w:rPr>
          <w:t>(TPA)</w:t>
        </w:r>
      </w:hyperlink>
      <w:r w:rsidR="00993B29">
        <w:t xml:space="preserve">, which was introduced </w:t>
      </w:r>
      <w:r w:rsidR="00613FDF">
        <w:t xml:space="preserve">in 2019 following the </w:t>
      </w:r>
      <w:r w:rsidR="00613FDF">
        <w:rPr>
          <w:i/>
          <w:iCs/>
        </w:rPr>
        <w:t xml:space="preserve">Action Now: Classroom Ready Report </w:t>
      </w:r>
      <w:r w:rsidR="00B41C01">
        <w:t>to assess</w:t>
      </w:r>
      <w:r w:rsidR="00C941AB">
        <w:t xml:space="preserve"> pre-service teachers’</w:t>
      </w:r>
      <w:r w:rsidR="00B41C01">
        <w:t xml:space="preserve"> reflective practice (planning, teaching, assessing) using evidence </w:t>
      </w:r>
      <w:r w:rsidR="0013215C">
        <w:t xml:space="preserve">collected in their </w:t>
      </w:r>
      <w:r w:rsidR="00B41C01">
        <w:t xml:space="preserve">final year </w:t>
      </w:r>
      <w:r w:rsidR="00C941AB">
        <w:t xml:space="preserve">of </w:t>
      </w:r>
      <w:r w:rsidR="00C84C19">
        <w:t>professional experience</w:t>
      </w:r>
      <w:r w:rsidR="00C941AB">
        <w:t>.</w:t>
      </w:r>
      <w:r w:rsidR="00734EA8">
        <w:t xml:space="preserve"> </w:t>
      </w:r>
    </w:p>
    <w:p w14:paraId="747DDD19" w14:textId="5815DD24" w:rsidR="00696101" w:rsidRPr="005B646E" w:rsidRDefault="001B7A86" w:rsidP="00696101">
      <w:pPr>
        <w:keepNext/>
        <w:keepLines/>
        <w:spacing w:before="360" w:line="259" w:lineRule="auto"/>
        <w:outlineLvl w:val="2"/>
        <w:rPr>
          <w:rFonts w:eastAsiaTheme="majorEastAsia" w:cstheme="majorBidi"/>
          <w:color w:val="00305E" w:themeColor="text2"/>
          <w:sz w:val="28"/>
          <w:szCs w:val="24"/>
        </w:rPr>
      </w:pPr>
      <w:r>
        <w:rPr>
          <w:rFonts w:eastAsiaTheme="majorEastAsia" w:cstheme="majorBidi"/>
          <w:color w:val="00305E" w:themeColor="text2"/>
          <w:sz w:val="28"/>
          <w:szCs w:val="24"/>
        </w:rPr>
        <w:t>How does this align with the National Program Standards?</w:t>
      </w:r>
    </w:p>
    <w:p w14:paraId="4D99131E" w14:textId="12482E58" w:rsidR="00E50A39" w:rsidRDefault="00E50A39" w:rsidP="00DD388F">
      <w:r>
        <w:t>Program Standard</w:t>
      </w:r>
      <w:r w:rsidR="00DD388F">
        <w:t xml:space="preserve">s 1, 2, 4 and 5 outline various accreditation requirements relating to assessment. </w:t>
      </w:r>
    </w:p>
    <w:p w14:paraId="7B2B35BF" w14:textId="047F340D" w:rsidR="00E50A39" w:rsidRDefault="00E50A39" w:rsidP="00E50A39">
      <w:r>
        <w:t>The relevant Program Standards are included in Appendix A for reference.</w:t>
      </w:r>
    </w:p>
    <w:p w14:paraId="76E9436E" w14:textId="5E574BA1" w:rsidR="00810133" w:rsidRDefault="00810133" w:rsidP="00171F66">
      <w:pPr>
        <w:pStyle w:val="Heading2"/>
      </w:pPr>
      <w:r w:rsidRPr="005B646E">
        <w:lastRenderedPageBreak/>
        <w:t xml:space="preserve">Principle </w:t>
      </w:r>
      <w:r w:rsidR="001C42F9">
        <w:t>5</w:t>
      </w:r>
      <w:r w:rsidRPr="005B646E">
        <w:t xml:space="preserve">. </w:t>
      </w:r>
      <w:r w:rsidR="00EA24B9">
        <w:t>Partnerships</w:t>
      </w:r>
      <w:r w:rsidR="00BA5AFA">
        <w:br/>
      </w:r>
      <w:r w:rsidR="00EA24B9" w:rsidRPr="00EA24B9">
        <w:t>Strong partnerships between ITE providers and schools</w:t>
      </w:r>
      <w:r w:rsidR="009558A2">
        <w:t xml:space="preserve"> </w:t>
      </w:r>
    </w:p>
    <w:p w14:paraId="50331E9B" w14:textId="14511FE7" w:rsidR="00696F04" w:rsidRPr="00696F04" w:rsidRDefault="00696F04" w:rsidP="00226621">
      <w:pPr>
        <w:pStyle w:val="Heading3"/>
      </w:pPr>
      <w:r>
        <w:t>What does this look like?</w:t>
      </w:r>
    </w:p>
    <w:p w14:paraId="41AF78F5" w14:textId="5FF73CBB" w:rsidR="00495292" w:rsidRDefault="00085810" w:rsidP="004D1CAE">
      <w:r>
        <w:t xml:space="preserve">Strong partnerships between ITE providers and schools are important to enable </w:t>
      </w:r>
      <w:r w:rsidR="003E2DD9">
        <w:t>coordinated</w:t>
      </w:r>
      <w:r w:rsidR="000A315C">
        <w:t xml:space="preserve"> </w:t>
      </w:r>
      <w:r w:rsidR="00C84C19">
        <w:t>professional experience</w:t>
      </w:r>
      <w:r>
        <w:t>s</w:t>
      </w:r>
      <w:r w:rsidR="003E2DD9">
        <w:t xml:space="preserve"> with </w:t>
      </w:r>
      <w:r w:rsidR="00EA2A5F">
        <w:t>quality mentor</w:t>
      </w:r>
      <w:r w:rsidR="00FA15A2">
        <w:t>ing</w:t>
      </w:r>
      <w:r w:rsidR="00EA2A5F">
        <w:t xml:space="preserve"> and supervision</w:t>
      </w:r>
      <w:r>
        <w:t xml:space="preserve"> for pre-service teachers</w:t>
      </w:r>
      <w:r w:rsidR="0057120E">
        <w:t xml:space="preserve">. Genuine collaboration </w:t>
      </w:r>
      <w:r w:rsidR="00090632">
        <w:t>enables ITE providers and schools to identify their needs</w:t>
      </w:r>
      <w:r w:rsidR="00271BB5">
        <w:t xml:space="preserve"> and ensure alignment in </w:t>
      </w:r>
      <w:r w:rsidR="004D1CAE">
        <w:t xml:space="preserve">their vision of effective teaching practice. </w:t>
      </w:r>
    </w:p>
    <w:p w14:paraId="1EE2AC30" w14:textId="5ED4EB3B" w:rsidR="00F32064" w:rsidRDefault="0038582E" w:rsidP="00495292">
      <w:r>
        <w:t xml:space="preserve">Adequate resourcing is important </w:t>
      </w:r>
      <w:r w:rsidR="00A57AA5">
        <w:t xml:space="preserve">for schools </w:t>
      </w:r>
      <w:r w:rsidR="00CC2818">
        <w:t>to</w:t>
      </w:r>
      <w:r w:rsidR="004D00C1">
        <w:t xml:space="preserve"> </w:t>
      </w:r>
      <w:r w:rsidR="00705A52">
        <w:t>facilitate</w:t>
      </w:r>
      <w:r w:rsidR="00961481">
        <w:t xml:space="preserve"> high quality </w:t>
      </w:r>
      <w:r w:rsidR="00C84C19">
        <w:t>professional experience</w:t>
      </w:r>
      <w:r w:rsidR="00705A52">
        <w:t xml:space="preserve">s and ensure training for </w:t>
      </w:r>
      <w:r w:rsidR="00A01342">
        <w:t>supervisors</w:t>
      </w:r>
      <w:r w:rsidR="00460B29">
        <w:t xml:space="preserve">, which could be built into </w:t>
      </w:r>
      <w:r w:rsidR="00963596">
        <w:t xml:space="preserve">teacher professional development and continued certification. </w:t>
      </w:r>
      <w:r w:rsidR="00F711B7">
        <w:t>E</w:t>
      </w:r>
      <w:r w:rsidR="00AC0161">
        <w:t>ffective communication</w:t>
      </w:r>
      <w:r w:rsidR="00F711B7">
        <w:t xml:space="preserve"> between schools and ITE providers enables </w:t>
      </w:r>
      <w:r w:rsidR="00AC0161">
        <w:t>both groups</w:t>
      </w:r>
      <w:r w:rsidR="00F711B7">
        <w:t xml:space="preserve"> to identify their </w:t>
      </w:r>
      <w:r w:rsidR="00AC0161">
        <w:t>needs</w:t>
      </w:r>
      <w:r w:rsidR="009D2AC1">
        <w:t xml:space="preserve">, plan effective </w:t>
      </w:r>
      <w:r w:rsidR="00C84C19">
        <w:t>professional experience placements</w:t>
      </w:r>
      <w:r w:rsidR="001953E1">
        <w:t xml:space="preserve">, </w:t>
      </w:r>
      <w:r w:rsidR="00F619CD">
        <w:t xml:space="preserve">and </w:t>
      </w:r>
      <w:r w:rsidR="008D4CB2">
        <w:t xml:space="preserve">establish </w:t>
      </w:r>
      <w:r w:rsidR="009F0341">
        <w:t xml:space="preserve">pathways for graduate teachers </w:t>
      </w:r>
      <w:r w:rsidR="003F7197">
        <w:t>to</w:t>
      </w:r>
      <w:r w:rsidR="009F0341">
        <w:t xml:space="preserve"> address </w:t>
      </w:r>
      <w:r w:rsidR="001953E1">
        <w:t xml:space="preserve">school </w:t>
      </w:r>
      <w:r w:rsidR="009F0341">
        <w:t>staffing shortages.</w:t>
      </w:r>
    </w:p>
    <w:p w14:paraId="7905686D" w14:textId="179FE46F" w:rsidR="00B62530" w:rsidRDefault="008A647C" w:rsidP="00383BAF">
      <w:r>
        <w:t xml:space="preserve">Strong partnerships </w:t>
      </w:r>
      <w:r w:rsidR="00290281">
        <w:t>provide clarity on the roles and responsibilities for ITE providers and schools and</w:t>
      </w:r>
      <w:r>
        <w:t xml:space="preserve"> </w:t>
      </w:r>
      <w:r w:rsidR="001506F1">
        <w:t xml:space="preserve">support smooth transitions </w:t>
      </w:r>
      <w:r w:rsidR="00B17288">
        <w:t>for graduate teachers</w:t>
      </w:r>
      <w:r w:rsidR="001506F1">
        <w:t xml:space="preserve">. </w:t>
      </w:r>
      <w:r w:rsidR="00E132AB">
        <w:t>ITE providers</w:t>
      </w:r>
      <w:r w:rsidR="00C40496">
        <w:t xml:space="preserve"> </w:t>
      </w:r>
      <w:r w:rsidR="001506F1">
        <w:t xml:space="preserve">are </w:t>
      </w:r>
      <w:r w:rsidR="005555DB">
        <w:t xml:space="preserve">primarily </w:t>
      </w:r>
      <w:r w:rsidR="00E132AB">
        <w:t xml:space="preserve">responsible for </w:t>
      </w:r>
      <w:r w:rsidR="00106F1D">
        <w:t>prepar</w:t>
      </w:r>
      <w:r w:rsidR="005555DB">
        <w:t>ing</w:t>
      </w:r>
      <w:r w:rsidR="00106F1D">
        <w:t xml:space="preserve"> pre-service teachers </w:t>
      </w:r>
      <w:r w:rsidR="00FF32BA">
        <w:t>for</w:t>
      </w:r>
      <w:r w:rsidR="00106F1D">
        <w:t xml:space="preserve"> </w:t>
      </w:r>
      <w:r w:rsidR="003D753D">
        <w:t>registration</w:t>
      </w:r>
      <w:r w:rsidR="00B62530">
        <w:t xml:space="preserve"> </w:t>
      </w:r>
      <w:r w:rsidR="00AD2FC6">
        <w:t>in line with the Teacher Standards</w:t>
      </w:r>
      <w:r w:rsidR="00FF32BA">
        <w:t xml:space="preserve"> and s</w:t>
      </w:r>
      <w:r w:rsidR="00F84E86">
        <w:t xml:space="preserve">chools </w:t>
      </w:r>
      <w:r w:rsidR="001506F1">
        <w:t xml:space="preserve">are primarily </w:t>
      </w:r>
      <w:r w:rsidR="00F84E86">
        <w:t>responsible</w:t>
      </w:r>
      <w:r w:rsidR="00383BAF">
        <w:t xml:space="preserve"> for on</w:t>
      </w:r>
      <w:r w:rsidR="007130C8">
        <w:t>-</w:t>
      </w:r>
      <w:r w:rsidR="00383BAF">
        <w:t>the</w:t>
      </w:r>
      <w:r w:rsidR="007130C8">
        <w:t>-</w:t>
      </w:r>
      <w:r w:rsidR="00383BAF">
        <w:t xml:space="preserve">job learning </w:t>
      </w:r>
      <w:r w:rsidR="00470C7B">
        <w:t xml:space="preserve">via </w:t>
      </w:r>
      <w:r w:rsidR="004E1F62">
        <w:t>professional experience</w:t>
      </w:r>
      <w:r w:rsidR="00B01045">
        <w:t>s</w:t>
      </w:r>
      <w:r w:rsidR="00A54828">
        <w:t>, mentoring and supervision,</w:t>
      </w:r>
      <w:r w:rsidR="00470C7B">
        <w:t xml:space="preserve"> quality </w:t>
      </w:r>
      <w:r w:rsidR="001638A7">
        <w:t>induction</w:t>
      </w:r>
      <w:r w:rsidR="00470C7B">
        <w:t>, and ongoing professional learning.</w:t>
      </w:r>
      <w:r w:rsidR="00163F1B">
        <w:t xml:space="preserve"> </w:t>
      </w:r>
    </w:p>
    <w:p w14:paraId="7D4BBAC7" w14:textId="59862C1F" w:rsidR="00B14A2D" w:rsidRDefault="00B14A2D" w:rsidP="00B14A2D">
      <w:r>
        <w:t>Employment-based pathways rely on effective partnerships between ITE providers and schools to combine theoretical learning with professional experience and learning on</w:t>
      </w:r>
      <w:r w:rsidR="007130C8">
        <w:t>-</w:t>
      </w:r>
      <w:r>
        <w:t>the</w:t>
      </w:r>
      <w:r w:rsidR="007130C8">
        <w:t>-</w:t>
      </w:r>
      <w:r>
        <w:t>job</w:t>
      </w:r>
      <w:r w:rsidR="00B02C80">
        <w:t>.</w:t>
      </w:r>
      <w:r>
        <w:t xml:space="preserve"> Beyond effective partnerships, other key elements for employment-based programs </w:t>
      </w:r>
      <w:r w:rsidR="0009265D">
        <w:t>include</w:t>
      </w:r>
      <w:r>
        <w:t xml:space="preserve"> </w:t>
      </w:r>
      <w:r w:rsidRPr="00567D78">
        <w:t>expert mentors</w:t>
      </w:r>
      <w:r>
        <w:t xml:space="preserve"> and </w:t>
      </w:r>
      <w:r w:rsidRPr="00567D78">
        <w:t>supervisors, clinical methods, agreed assessment schemes, time and resources</w:t>
      </w:r>
      <w:r w:rsidR="0009251F">
        <w:t>,</w:t>
      </w:r>
      <w:r w:rsidRPr="00567D78">
        <w:t xml:space="preserve"> and professional development support</w:t>
      </w:r>
      <w:r>
        <w:t xml:space="preserve">. These elements are necessary to </w:t>
      </w:r>
      <w:r w:rsidR="00974E5E">
        <w:t>effectively</w:t>
      </w:r>
      <w:r>
        <w:t xml:space="preserve"> support </w:t>
      </w:r>
      <w:r w:rsidR="00974E5E">
        <w:t xml:space="preserve">pre-service teachers </w:t>
      </w:r>
      <w:r>
        <w:t xml:space="preserve">to </w:t>
      </w:r>
      <w:r w:rsidR="00974E5E">
        <w:t>integrate</w:t>
      </w:r>
      <w:r>
        <w:t xml:space="preserve"> evidence-based practices into </w:t>
      </w:r>
      <w:r w:rsidR="00974E5E">
        <w:t>classroom</w:t>
      </w:r>
      <w:r>
        <w:t xml:space="preserve"> teaching and ensure that students in schools are supported to learn effectively.</w:t>
      </w:r>
      <w:r w:rsidR="00D329FA">
        <w:t xml:space="preserve"> </w:t>
      </w:r>
      <w:r w:rsidR="00B8486C">
        <w:t>Employment-based pathways and c</w:t>
      </w:r>
      <w:r w:rsidR="00D329FA">
        <w:t xml:space="preserve">hanging </w:t>
      </w:r>
      <w:r w:rsidR="008B5905">
        <w:t>models of study are likely to be addressed further in Projects 5 and 6.</w:t>
      </w:r>
    </w:p>
    <w:p w14:paraId="5152B856" w14:textId="20777F34" w:rsidR="001638A7" w:rsidRPr="005B646E" w:rsidRDefault="001638A7" w:rsidP="001506F1">
      <w:pPr>
        <w:pStyle w:val="Heading3"/>
      </w:pPr>
      <w:r w:rsidRPr="005B646E">
        <w:t>What it is not?</w:t>
      </w:r>
    </w:p>
    <w:p w14:paraId="660827C4" w14:textId="5F39F294" w:rsidR="00594BF9" w:rsidRDefault="007A68AD" w:rsidP="00594BF9">
      <w:r>
        <w:t xml:space="preserve">Poor partnerships </w:t>
      </w:r>
      <w:r w:rsidR="00106CC5">
        <w:t>between ITE providers and schools can limit effective collaboration</w:t>
      </w:r>
      <w:r w:rsidR="00BF3184">
        <w:t xml:space="preserve"> and result in </w:t>
      </w:r>
      <w:r>
        <w:t>poor or disjointed</w:t>
      </w:r>
      <w:r w:rsidR="00BF3184">
        <w:t xml:space="preserve"> </w:t>
      </w:r>
      <w:r w:rsidR="00C84C19">
        <w:t>professional experience</w:t>
      </w:r>
      <w:r w:rsidR="00BF3184">
        <w:t xml:space="preserve">s. </w:t>
      </w:r>
      <w:r w:rsidR="00BD47C8">
        <w:t xml:space="preserve">Poor partnerships </w:t>
      </w:r>
      <w:r w:rsidR="00FC69E8">
        <w:t xml:space="preserve">contribute to limited access to </w:t>
      </w:r>
      <w:r w:rsidR="00C84C19">
        <w:t>professional experience,</w:t>
      </w:r>
      <w:r w:rsidR="00FC69E8">
        <w:t xml:space="preserve"> inadequate resourcing, poor supervision</w:t>
      </w:r>
      <w:r w:rsidR="009A3C98">
        <w:t xml:space="preserve"> and minimal training for supervisors</w:t>
      </w:r>
      <w:r w:rsidR="00FC69E8">
        <w:t>, lack of alignment in vision and teaching practices</w:t>
      </w:r>
      <w:r w:rsidR="009A3C98">
        <w:t xml:space="preserve">, and </w:t>
      </w:r>
      <w:r w:rsidR="00FC69E8" w:rsidRPr="009E0729">
        <w:t>burden shifting between ITE providers and school systems about who should be responsible for preparing teachers in what area.</w:t>
      </w:r>
    </w:p>
    <w:p w14:paraId="0739C2AC" w14:textId="77777777" w:rsidR="000F5BCE" w:rsidRDefault="00A83B12" w:rsidP="001506F1">
      <w:pPr>
        <w:pStyle w:val="Heading3"/>
      </w:pPr>
      <w:r>
        <w:lastRenderedPageBreak/>
        <w:t>What is the evidence base?</w:t>
      </w:r>
    </w:p>
    <w:p w14:paraId="167DA436" w14:textId="2DF1086F" w:rsidR="00214AE9" w:rsidRDefault="009A4F17" w:rsidP="00214AE9">
      <w:r>
        <w:t>Research shows</w:t>
      </w:r>
      <w:r w:rsidR="00214AE9">
        <w:t xml:space="preserve"> that high quality </w:t>
      </w:r>
      <w:r w:rsidR="005E61F7">
        <w:t xml:space="preserve">ITE programs have </w:t>
      </w:r>
      <w:r w:rsidR="00581DFE">
        <w:t>strong</w:t>
      </w:r>
      <w:r w:rsidR="005E61F7">
        <w:t xml:space="preserve"> connections</w:t>
      </w:r>
      <w:r w:rsidR="00191DDD">
        <w:t xml:space="preserve"> between ITE providers and schools, which support the provision of quality </w:t>
      </w:r>
      <w:r w:rsidR="00C84C19">
        <w:t>professional experience</w:t>
      </w:r>
      <w:r w:rsidR="00191DDD">
        <w:t>s</w:t>
      </w:r>
      <w:r w:rsidR="000F5BCE">
        <w:t xml:space="preserve"> </w:t>
      </w:r>
      <w:r w:rsidR="00025175">
        <w:fldChar w:fldCharType="begin"/>
      </w:r>
      <w:r w:rsidR="00025175">
        <w:instrText xml:space="preserve"> ADDIN ZOTERO_ITEM CSL_CITATION {"citationID":"Kule8heh","properties":{"formattedCitation":"(Darling-Hammond and Bransford 2007)","plainCitation":"(Darling-Hammond and Bransford 2007)","noteIndex":0},"citationItems":[{"id":17666,"uris":["http://zotero.org/users/10549213/items/WS6VYYBI"],"itemData":{"id":17666,"type":"book","abstract":"Based on rapid advances in what is known about how people learn and how to teach effectively, this important book examines the core concepts and central pedagogies that should be at the heart of any teacher education program. Stemming from the results of a commission sponsored by the National Academy of Education, Preparing Teachers for a Changing World recommends the creation of an informed teacher education curriculum with the common elements that represent state-of-the-art standards for the profession. Written for teacher educators in both traditional and alternative programs, university and school system leaders, teachers, staff development professionals, researchers, and educational policymakers, the book addresses the key foundational knowledge for teaching and discusses how to implement that knowledge within the classroom. Preparing Teachers for a Changing World recommends that, in addition to strong subject matter knowledge, all new teachers have a basic understanding of how people learn and develop, as well as how children acquire and use language, which is the currency of education. In addition, the book suggests that teaching professionals must be able to apply that knowledge in developing curriculum that attends to students' needs, the demands of the content, and the social purposes of education: in teaching specific subject matter to diverse students, in managing the classroom, assessing student performance, and using technology in the classroom.","edition":"1st edition","event-place":"San Francisco, CA","ISBN":"978-0-7879-9634-5","language":"English","number-of-pages":"640","publisher":"Jossey-Bass","publisher-place":"San Francisco, CA","source":"Amazon","title":"Preparing teachers for a changing world: What teachers should learn and be able to do","title-short":"Preparing teachers for a changing world","editor":[{"family":"Darling-Hammond","given":"Linda"},{"family":"Bransford","given":"John"}],"issued":{"date-parts":[["2007",7,17]]}}}],"schema":"https://github.com/citation-style-language/schema/raw/master/csl-citation.json"} </w:instrText>
      </w:r>
      <w:r w:rsidR="00025175">
        <w:fldChar w:fldCharType="separate"/>
      </w:r>
      <w:r w:rsidR="00025175" w:rsidRPr="00025175">
        <w:t>(Darling-Hammond and Bransford 2007)</w:t>
      </w:r>
      <w:r w:rsidR="00025175">
        <w:fldChar w:fldCharType="end"/>
      </w:r>
      <w:r w:rsidR="00191DDD">
        <w:t xml:space="preserve">. </w:t>
      </w:r>
      <w:r w:rsidR="006E413E">
        <w:t>K</w:t>
      </w:r>
      <w:r w:rsidR="00224A1F">
        <w:t xml:space="preserve">ey features </w:t>
      </w:r>
      <w:r w:rsidR="00B37E0A">
        <w:t>o</w:t>
      </w:r>
      <w:r w:rsidR="00224A1F">
        <w:t>f</w:t>
      </w:r>
      <w:r w:rsidR="0070638C">
        <w:t xml:space="preserve"> effective partnerships</w:t>
      </w:r>
      <w:r w:rsidR="006E413E">
        <w:t xml:space="preserve"> </w:t>
      </w:r>
      <w:r w:rsidR="00C918E3">
        <w:t>include</w:t>
      </w:r>
      <w:r w:rsidR="0070638C">
        <w:t xml:space="preserve"> </w:t>
      </w:r>
      <w:r w:rsidR="00A05C92">
        <w:t>a shared understanding and common beliefs about teaching and learning</w:t>
      </w:r>
      <w:r w:rsidR="006E413E">
        <w:t>, as well</w:t>
      </w:r>
      <w:r w:rsidR="00C94CA4">
        <w:t xml:space="preserve"> as a</w:t>
      </w:r>
      <w:r w:rsidR="00001F2B">
        <w:t xml:space="preserve"> common commitment to enhancing teacher education </w:t>
      </w:r>
      <w:r w:rsidR="00DA5BD5">
        <w:t>through</w:t>
      </w:r>
      <w:r w:rsidR="00001F2B">
        <w:t xml:space="preserve"> training pre-service teachers</w:t>
      </w:r>
      <w:r w:rsidR="0091466A">
        <w:t xml:space="preserve"> </w:t>
      </w:r>
      <w:r w:rsidR="00011617">
        <w:fldChar w:fldCharType="begin"/>
      </w:r>
      <w:r w:rsidR="00011617">
        <w:instrText xml:space="preserve"> ADDIN ZOTERO_ITEM CSL_CITATION {"citationID":"uHhvCRl6","properties":{"formattedCitation":"(Darling-Hammond and Bransford 2007)","plainCitation":"(Darling-Hammond and Bransford 2007)","noteIndex":0},"citationItems":[{"id":17666,"uris":["http://zotero.org/users/10549213/items/WS6VYYBI"],"itemData":{"id":17666,"type":"book","abstract":"Based on rapid advances in what is known about how people learn and how to teach effectively, this important book examines the core concepts and central pedagogies that should be at the heart of any teacher education program. Stemming from the results of a commission sponsored by the National Academy of Education, Preparing Teachers for a Changing World recommends the creation of an informed teacher education curriculum with the common elements that represent state-of-the-art standards for the profession. Written for teacher educators in both traditional and alternative programs, university and school system leaders, teachers, staff development professionals, researchers, and educational policymakers, the book addresses the key foundational knowledge for teaching and discusses how to implement that knowledge within the classroom. Preparing Teachers for a Changing World recommends that, in addition to strong subject matter knowledge, all new teachers have a basic understanding of how people learn and develop, as well as how children acquire and use language, which is the currency of education. In addition, the book suggests that teaching professionals must be able to apply that knowledge in developing curriculum that attends to students' needs, the demands of the content, and the social purposes of education: in teaching specific subject matter to diverse students, in managing the classroom, assessing student performance, and using technology in the classroom.","edition":"1st edition","event-place":"San Francisco, CA","ISBN":"978-0-7879-9634-5","language":"English","number-of-pages":"640","publisher":"Jossey-Bass","publisher-place":"San Francisco, CA","source":"Amazon","title":"Preparing teachers for a changing world: What teachers should learn and be able to do","title-short":"Preparing teachers for a changing world","editor":[{"family":"Darling-Hammond","given":"Linda"},{"family":"Bransford","given":"John"}],"issued":{"date-parts":[["2007",7,17]]}},"locator":"-"}],"schema":"https://github.com/citation-style-language/schema/raw/master/csl-citation.json"} </w:instrText>
      </w:r>
      <w:r w:rsidR="00011617">
        <w:fldChar w:fldCharType="separate"/>
      </w:r>
      <w:r w:rsidR="0091157A" w:rsidRPr="0091157A">
        <w:t>(Darling-Hammond and Bransford 2007)</w:t>
      </w:r>
      <w:r w:rsidR="00011617">
        <w:fldChar w:fldCharType="end"/>
      </w:r>
      <w:r w:rsidR="00DA6B9F">
        <w:t>.</w:t>
      </w:r>
    </w:p>
    <w:p w14:paraId="4F14CE73" w14:textId="66828983" w:rsidR="001F43BF" w:rsidRDefault="00EC7D35" w:rsidP="004210E9">
      <w:r>
        <w:t>A study into the</w:t>
      </w:r>
      <w:r w:rsidR="004C7F7F">
        <w:t xml:space="preserve"> </w:t>
      </w:r>
      <w:r w:rsidR="00AE57FF">
        <w:t xml:space="preserve">perceptions of effective graduate teachers </w:t>
      </w:r>
      <w:r>
        <w:t xml:space="preserve">identified </w:t>
      </w:r>
      <w:r w:rsidR="00FF0B89">
        <w:t xml:space="preserve">access to a high-quality </w:t>
      </w:r>
      <w:r w:rsidR="00C84C19">
        <w:t>professional experience</w:t>
      </w:r>
      <w:r w:rsidR="00FF0B89">
        <w:t xml:space="preserve"> </w:t>
      </w:r>
      <w:r w:rsidR="00AE57FF">
        <w:t xml:space="preserve">as the most important </w:t>
      </w:r>
      <w:r w:rsidR="00CF3495">
        <w:t>component of ITE programs</w:t>
      </w:r>
      <w:r w:rsidR="00FF0B89">
        <w:t xml:space="preserve"> </w:t>
      </w:r>
      <w:r w:rsidR="00094D18" w:rsidRPr="0056392F">
        <w:fldChar w:fldCharType="begin"/>
      </w:r>
      <w:r w:rsidR="00094D18" w:rsidRPr="0056392F">
        <w:instrText xml:space="preserve"> ADDIN ZOTERO_ITEM CSL_CITATION {"citationID":"KOGyI8uA","properties":{"formattedCitation":"(Behrstock-Sherratt et al. 2014)","plainCitation":"(Behrstock-Sherratt et al. 2014)","noteIndex":0},"citationItems":[{"id":17740,"uris":["http://zotero.org/users/10549213/items/WWTIY9GS"],"itemData":{"id":17740,"type":"report","abstract":"For well over a decade, teachers have been recognized as the single most important school-level factor influencing student achievement (Darling-Hammond, 2000; McCaffrey, Lockwood, Koretz, &amp; Hamilton, 2003; Rivkin, Hanushek, &amp; Kain, 2000; Rowan, Correnti &amp; Miller, 2002; Wright, Horn, &amp; Sanders, 1997). Tremendous public resources have been invested across the country in new systems to both assess and address teacher effectiveness. Yet the lion's share of existing research seeking to understand the factors that make teachers effective focuses on quantifiable--yet more surface-level--inputs, such as years on the job, grade point averages, certifications, and degrees. This research leaves many important policy questions unanswered--particularly questions about the specific types of professional experiences and supports necessary to maximize teacher effectiveness. This report helps to fill these gaps through a first-of-its-kind exploratory survey of National and State Teachers of the Year. These teachers are chosen by their states as among the best, and one teacher each year is selected as among the best in the nation (see \"Who Are the National and State Teachers of the Year?\" on page 3). In this report, we offer insights on the professional experiences and supports that these teachers believe most contributed to their growth and eventual excellence as a teacher. Reflecting back on their careers, from preparation through mastery and even into retirement, the National and State Teachers of the Year surveyed in this study provide education leaders and policymakers with needed information about the formative experiences of great teachers. The findings both surprise us and confirm much of what we knew about how teachers evolve from good to great. The main body of the report takes readers through the four stages that this study used to define the teacher career continuum: Preservice, Novice, Career, and Teacher Leader stages. For each stage, it describes the professional experiences and supports that the National and State Teachers of the Year viewed as increasing teacher effectiveness as they progressed through the stages of their career. The report concludes with considerations for policymakers at the school, district, and state levels as well as for teacher preparation programs. Methodology for the survey is appended. [Proposed by the National Network of State Teachers of the Year (NNSTOY) and led by the Center on Great Teachers and Leaders (GTL Center) at American Institutes for Research, this study involved the following partner organizations, which collaborated extensively on this study, contributing to the development of the survey questions, data analysis, and drafting of the report: American Association of Colleges of Teacher Education, Council for the Accreditation of Educator Preparation, Council of Chief State School Officers, GTL Center, National Council on Teacher Quality, National Education Association, and NNSTOY.]","language":"en","note":"container-title: Center on Great Teachers and Leaders\nERIC Number: ED555657","publisher":"Center on Great Teachers and Leaders","source":"ERIC","title":"From good to great: Exemplary teachers share perspectives on increasing teacher effectiveness across the career continuum","title-short":"From good to great","URL":"https://eric.ed.gov/?id=ED555657","author":[{"family":"Behrstock-Sherratt","given":"Ellen"},{"family":"Bassett","given":"Katherine"},{"family":"Olson","given":"Derek"},{"family":"Jacques","given":"Catherine"}],"accessed":{"date-parts":[["2023",1,31]]},"issued":{"date-parts":[["2014",4]]}}}],"schema":"https://github.com/citation-style-language/schema/raw/master/csl-citation.json"} </w:instrText>
      </w:r>
      <w:r w:rsidR="00094D18" w:rsidRPr="0056392F">
        <w:fldChar w:fldCharType="separate"/>
      </w:r>
      <w:r w:rsidR="00094D18" w:rsidRPr="0056392F">
        <w:t>(Behrstock-Sherratt et al. 2014)</w:t>
      </w:r>
      <w:r w:rsidR="00094D18" w:rsidRPr="0056392F">
        <w:fldChar w:fldCharType="end"/>
      </w:r>
      <w:r w:rsidR="0056392F" w:rsidRPr="0056392F">
        <w:t>.</w:t>
      </w:r>
      <w:r w:rsidR="0056392F">
        <w:t xml:space="preserve"> </w:t>
      </w:r>
      <w:r w:rsidR="0086526D">
        <w:t>Key to this was an effective supervising teacher</w:t>
      </w:r>
      <w:r w:rsidR="00D33838">
        <w:t xml:space="preserve"> and skilled mentor</w:t>
      </w:r>
      <w:r w:rsidR="00DA7EDF">
        <w:t xml:space="preserve">, who had </w:t>
      </w:r>
      <w:r w:rsidR="00D33838">
        <w:t xml:space="preserve">training and </w:t>
      </w:r>
      <w:r w:rsidR="00FF63B2">
        <w:t>relevant subject-specific experience.</w:t>
      </w:r>
      <w:r w:rsidR="00D42F76">
        <w:t xml:space="preserve"> </w:t>
      </w:r>
    </w:p>
    <w:p w14:paraId="5240972E" w14:textId="035E6BBF" w:rsidR="004771DF" w:rsidRDefault="004771DF" w:rsidP="004771DF">
      <w:r>
        <w:t xml:space="preserve">Evaluation of the Victorian School Centres for Teaching Excellence (SCTE) Initiative in 2012-13 reported that a key feature of the program was close collaboration between ITE providers and school staff, along with extended school placements </w:t>
      </w:r>
      <w:r>
        <w:fldChar w:fldCharType="begin"/>
      </w:r>
      <w:r>
        <w:instrText xml:space="preserve"> ADDIN ZOTERO_ITEM CSL_CITATION {"citationID":"xDC26g1d","properties":{"formattedCitation":"(Ingvarson et al. 2014)","plainCitation":"(Ingvarson et al. 2014)","noteIndex":0},"citationItems":[{"id":43,"uris":["http://zotero.org/users/10549213/items/5RT9BBPH"],"itemData":{"id":43,"type":"report","event-place":"Canberra","language":"en","publisher":"Department of Education","publisher-place":"Canberra","source":"Zotero","title":"Best practice teacher education programs and Australia’s own programs","author":[{"family":"Ingvarson","given":"Lawrence"},{"family":"Reid","given":"Kate"},{"family":"Buckley","given":"Sarah"},{"family":"Kleinhenz","given":"Elizabeth"},{"family":"Masters","given":"Geoff"},{"family":"Rowley","given":"Glenn"}],"issued":{"date-parts":[["2014"]]}}}],"schema":"https://github.com/citation-style-language/schema/raw/master/csl-citation.json"} </w:instrText>
      </w:r>
      <w:r>
        <w:fldChar w:fldCharType="separate"/>
      </w:r>
      <w:r w:rsidRPr="006660BE">
        <w:t>(Ingvarson et al. 2014)</w:t>
      </w:r>
      <w:r>
        <w:fldChar w:fldCharType="end"/>
      </w:r>
      <w:r>
        <w:t xml:space="preserve">. Graduate teachers from SCTE programs rated their programs as more effective in preparing them for </w:t>
      </w:r>
      <w:r w:rsidR="00796127">
        <w:t>registration</w:t>
      </w:r>
      <w:r>
        <w:t xml:space="preserve"> compared to graduates from other ITE programs.</w:t>
      </w:r>
    </w:p>
    <w:p w14:paraId="01F66099" w14:textId="705DA8D3" w:rsidR="00721075" w:rsidRDefault="00D42F76" w:rsidP="004210E9">
      <w:r>
        <w:t>A school</w:t>
      </w:r>
      <w:r w:rsidR="00911CAD">
        <w:t xml:space="preserve"> perspective on professional experience</w:t>
      </w:r>
      <w:r w:rsidR="000E0DC4">
        <w:t xml:space="preserve"> </w:t>
      </w:r>
      <w:r w:rsidR="001141AF">
        <w:t xml:space="preserve">identified that </w:t>
      </w:r>
      <w:r w:rsidR="00593C56">
        <w:t>school staff felt they had much to contribute to pre-service teacher</w:t>
      </w:r>
      <w:r w:rsidR="001F43BF">
        <w:t xml:space="preserve"> learning</w:t>
      </w:r>
      <w:r w:rsidR="00593C56">
        <w:t xml:space="preserve"> and could support meaningful school-ITE provider relationships</w:t>
      </w:r>
      <w:r w:rsidR="006660BE">
        <w:t xml:space="preserve"> </w:t>
      </w:r>
      <w:r w:rsidR="006660BE">
        <w:fldChar w:fldCharType="begin"/>
      </w:r>
      <w:r w:rsidR="006660BE">
        <w:instrText xml:space="preserve"> ADDIN ZOTERO_ITEM CSL_CITATION {"citationID":"h7xBIgvQ","properties":{"formattedCitation":"(Galvin et al. 2021)","plainCitation":"(Galvin et al. 2021)","noteIndex":0},"citationItems":[{"id":17683,"uris":["http://zotero.org/users/10549213/items/Q2ZJTAEJ"],"itemData":{"id":17683,"type":"article-journal","abstract":"School-university partnerships have been developed to invigorate initial teacher education (ITE). Such partnerships potentially offer rich educational opportunities to pre-service teachers. This paper examines integrated and school-embedded approaches to ITE in the Australian context, drawing on a case study analysis of a three-year, ITE school-university-system partnership named inSITE. inSITE is explored from the perspective of the school educators directly involved in its design and delivery. Complexity science provided the theoretical framework for inSITE and signalled its principles of holism, integration and reflective practice. The factors that contributed to and inhibited school-based initial teacher education from a school’s perspective are identified. The paper concludes that, given conducive conditions, an integrated, embedded and reflective approach can address the prevailing theory-practice dualism of ITE and may offer an important third way to prepare new teachers. The challenges and opportunities for school-embedded ITE in Australia are highlighted.","container-title":"Australian Journal of Teacher Education","DOI":"10.14221/ajte.2021v46n6.1","ISSN":"1835517X","issue":"6","journalAbbreviation":"AJTE","language":"en","page":"1-19","source":"DOI.org (Crossref)","title":"A school perspective on school-embedded initial teacher education","volume":"46","author":[{"family":"Galvin","given":"Anne"},{"family":"Ryan","given":"Pamela M"},{"family":"McKenna","given":"Kylie M"},{"family":"Pollard","given":"Megan"}],"issued":{"date-parts":[["2021",6]]}}}],"schema":"https://github.com/citation-style-language/schema/raw/master/csl-citation.json"} </w:instrText>
      </w:r>
      <w:r w:rsidR="006660BE">
        <w:fldChar w:fldCharType="separate"/>
      </w:r>
      <w:r w:rsidR="006660BE" w:rsidRPr="006660BE">
        <w:t>(Galvin et al. 2021)</w:t>
      </w:r>
      <w:r w:rsidR="006660BE">
        <w:fldChar w:fldCharType="end"/>
      </w:r>
      <w:r w:rsidR="004454FB">
        <w:t xml:space="preserve">. </w:t>
      </w:r>
      <w:r w:rsidR="000541F4">
        <w:t xml:space="preserve">While </w:t>
      </w:r>
      <w:r w:rsidR="00C07C10">
        <w:t>School Executives identified supervision and mentoring as a professional development opportunity for staff</w:t>
      </w:r>
      <w:r w:rsidR="000541F4">
        <w:t xml:space="preserve">, </w:t>
      </w:r>
      <w:r w:rsidR="002F04BC">
        <w:t xml:space="preserve">not all teachers were enthusiastic </w:t>
      </w:r>
      <w:r w:rsidR="00C07C10">
        <w:t>about participating as mentors or supervisors for pre-service teachers.</w:t>
      </w:r>
    </w:p>
    <w:p w14:paraId="77446366" w14:textId="68F06A36" w:rsidR="00E16AAB" w:rsidRPr="00A35333" w:rsidRDefault="00113995" w:rsidP="00C6387E">
      <w:r>
        <w:t>Other</w:t>
      </w:r>
      <w:r w:rsidR="00C24352">
        <w:t xml:space="preserve"> challenges </w:t>
      </w:r>
      <w:r w:rsidR="00DC050C">
        <w:t xml:space="preserve">for effective partnerships </w:t>
      </w:r>
      <w:r w:rsidR="00C24352">
        <w:t>were outlined in r</w:t>
      </w:r>
      <w:r w:rsidR="00A572FA">
        <w:t>ecent</w:t>
      </w:r>
      <w:r w:rsidR="004771DF">
        <w:t xml:space="preserve"> </w:t>
      </w:r>
      <w:r w:rsidR="00A572FA">
        <w:t xml:space="preserve">international </w:t>
      </w:r>
      <w:r w:rsidR="004771DF">
        <w:t xml:space="preserve">research </w:t>
      </w:r>
      <w:r w:rsidR="00D74AAF">
        <w:t xml:space="preserve">into </w:t>
      </w:r>
      <w:r w:rsidR="00E969B6">
        <w:t xml:space="preserve">professional experience </w:t>
      </w:r>
      <w:r w:rsidR="00D74AAF">
        <w:t xml:space="preserve">placements </w:t>
      </w:r>
      <w:r w:rsidR="00C123C0">
        <w:fldChar w:fldCharType="begin"/>
      </w:r>
      <w:r w:rsidR="00C123C0">
        <w:instrText xml:space="preserve"> ADDIN ZOTERO_ITEM CSL_CITATION {"citationID":"oMcM9cW8","properties":{"formattedCitation":"(White 2022)","plainCitation":"(White 2022)","noteIndex":0},"citationItems":[{"id":17685,"uris":["http://zotero.org/users/10549213/items/553XQ6XW"],"itemData":{"id":17685,"type":"article-journal","container-title":"European Journal of Teacher Education","DOI":"10.1080/02619768.2020.1803272","ISSN":"0261-9768","issue":"2","page":"282-298","title":"Learning from professional challenges identified by school and institute-based teacher educators within the context of school-university partnership","volume":"45","author":[{"family":"White","given":"Elizabeth"}],"issued":{"date-parts":[["2022",4]]}}}],"schema":"https://github.com/citation-style-language/schema/raw/master/csl-citation.json"} </w:instrText>
      </w:r>
      <w:r w:rsidR="00C123C0">
        <w:fldChar w:fldCharType="separate"/>
      </w:r>
      <w:r w:rsidR="00C123C0" w:rsidRPr="00C123C0">
        <w:t>(White 2022)</w:t>
      </w:r>
      <w:r w:rsidR="00C123C0">
        <w:fldChar w:fldCharType="end"/>
      </w:r>
      <w:r>
        <w:t>. These included:</w:t>
      </w:r>
    </w:p>
    <w:p w14:paraId="2D500E48" w14:textId="493E8807" w:rsidR="00E16AAB" w:rsidRDefault="00842DA8" w:rsidP="00E16AAB">
      <w:pPr>
        <w:pStyle w:val="ListParagraph"/>
        <w:numPr>
          <w:ilvl w:val="0"/>
          <w:numId w:val="29"/>
        </w:numPr>
      </w:pPr>
      <w:r>
        <w:t>P</w:t>
      </w:r>
      <w:r w:rsidR="002C6751">
        <w:t>rovid</w:t>
      </w:r>
      <w:r>
        <w:t xml:space="preserve">ing </w:t>
      </w:r>
      <w:r w:rsidR="00303021">
        <w:t>quality</w:t>
      </w:r>
      <w:r w:rsidR="00BC4812">
        <w:t xml:space="preserve"> guidance for</w:t>
      </w:r>
      <w:r w:rsidR="00E16AAB">
        <w:t xml:space="preserve"> </w:t>
      </w:r>
      <w:r w:rsidR="00C9192C">
        <w:t>pre-service</w:t>
      </w:r>
      <w:r w:rsidR="00E16AAB">
        <w:t xml:space="preserve"> teacher</w:t>
      </w:r>
      <w:r w:rsidR="00BC4812">
        <w:t>s</w:t>
      </w:r>
    </w:p>
    <w:p w14:paraId="7340B44C" w14:textId="48647DBB" w:rsidR="00E16AAB" w:rsidRDefault="00040C7F" w:rsidP="00E16AAB">
      <w:pPr>
        <w:pStyle w:val="ListParagraph"/>
        <w:numPr>
          <w:ilvl w:val="0"/>
          <w:numId w:val="29"/>
        </w:numPr>
      </w:pPr>
      <w:r>
        <w:t>Addressing</w:t>
      </w:r>
      <w:r w:rsidR="00E16AAB">
        <w:t xml:space="preserve"> </w:t>
      </w:r>
      <w:r w:rsidR="00C65350">
        <w:t xml:space="preserve">poor performance </w:t>
      </w:r>
      <w:r w:rsidR="00E75C1F">
        <w:t xml:space="preserve">in schools </w:t>
      </w:r>
      <w:r w:rsidR="00C65350">
        <w:t xml:space="preserve">by </w:t>
      </w:r>
      <w:r w:rsidR="00BC4812">
        <w:t>pre-service teacher</w:t>
      </w:r>
      <w:r w:rsidR="00C65350">
        <w:t>s</w:t>
      </w:r>
    </w:p>
    <w:p w14:paraId="1451C724" w14:textId="193A5558" w:rsidR="00E16AAB" w:rsidRDefault="00E16AAB" w:rsidP="00E16AAB">
      <w:pPr>
        <w:pStyle w:val="ListParagraph"/>
        <w:numPr>
          <w:ilvl w:val="0"/>
          <w:numId w:val="29"/>
        </w:numPr>
      </w:pPr>
      <w:r>
        <w:t xml:space="preserve">Lack of collaboration </w:t>
      </w:r>
      <w:r w:rsidR="00E75C1F">
        <w:t xml:space="preserve">between schools and ITE providers </w:t>
      </w:r>
      <w:r>
        <w:t>in meeting such challenges</w:t>
      </w:r>
    </w:p>
    <w:p w14:paraId="2051698D" w14:textId="1FD9A75C" w:rsidR="00E16AAB" w:rsidRDefault="00E16AAB" w:rsidP="00E16AAB">
      <w:pPr>
        <w:pStyle w:val="ListParagraph"/>
        <w:numPr>
          <w:ilvl w:val="0"/>
          <w:numId w:val="29"/>
        </w:numPr>
      </w:pPr>
      <w:r>
        <w:t>Clash in teaching methods between school</w:t>
      </w:r>
      <w:r w:rsidR="00C65350">
        <w:t>s</w:t>
      </w:r>
      <w:r>
        <w:t xml:space="preserve"> and ITE </w:t>
      </w:r>
      <w:r w:rsidR="00C65350">
        <w:t>providers</w:t>
      </w:r>
    </w:p>
    <w:p w14:paraId="6E4B05E9" w14:textId="4B06F1DB" w:rsidR="00E16AAB" w:rsidRDefault="00E16AAB" w:rsidP="00E16AAB">
      <w:pPr>
        <w:pStyle w:val="ListParagraph"/>
        <w:numPr>
          <w:ilvl w:val="0"/>
          <w:numId w:val="29"/>
        </w:numPr>
      </w:pPr>
      <w:r>
        <w:t>Clash in other requirements</w:t>
      </w:r>
      <w:r w:rsidR="00C65350">
        <w:t xml:space="preserve">, such as the </w:t>
      </w:r>
      <w:r>
        <w:t>timing or nature of assessments</w:t>
      </w:r>
    </w:p>
    <w:p w14:paraId="4F2EA49E" w14:textId="57B551B8" w:rsidR="00E16AAB" w:rsidRDefault="00E16AAB" w:rsidP="00E16AAB">
      <w:pPr>
        <w:pStyle w:val="ListParagraph"/>
        <w:numPr>
          <w:ilvl w:val="0"/>
          <w:numId w:val="29"/>
        </w:numPr>
      </w:pPr>
      <w:r>
        <w:t xml:space="preserve">Dual role of coaching and assessing </w:t>
      </w:r>
      <w:r w:rsidR="00C65350">
        <w:t>pre-service teachers</w:t>
      </w:r>
    </w:p>
    <w:p w14:paraId="4B6E2DAB" w14:textId="13784B2C" w:rsidR="00E16AAB" w:rsidRDefault="00E16AAB" w:rsidP="00E16AAB">
      <w:pPr>
        <w:pStyle w:val="ListParagraph"/>
        <w:numPr>
          <w:ilvl w:val="0"/>
          <w:numId w:val="29"/>
        </w:numPr>
      </w:pPr>
      <w:r>
        <w:t>Lack of school leadership commitment to placements and their demands</w:t>
      </w:r>
    </w:p>
    <w:p w14:paraId="5CDAE504" w14:textId="1950177E" w:rsidR="00E16AAB" w:rsidRDefault="00E16AAB" w:rsidP="00E16AAB">
      <w:pPr>
        <w:pStyle w:val="ListParagraph"/>
        <w:numPr>
          <w:ilvl w:val="0"/>
          <w:numId w:val="29"/>
        </w:numPr>
      </w:pPr>
      <w:r>
        <w:t>Poor communication between school</w:t>
      </w:r>
      <w:r w:rsidR="00EF0904">
        <w:t>s</w:t>
      </w:r>
      <w:r>
        <w:t xml:space="preserve"> and </w:t>
      </w:r>
      <w:r w:rsidR="00EF0904">
        <w:t>ITE providers</w:t>
      </w:r>
    </w:p>
    <w:p w14:paraId="5490B9DF" w14:textId="30A20109" w:rsidR="00E16AAB" w:rsidRDefault="00E16AAB" w:rsidP="00E16AAB">
      <w:pPr>
        <w:pStyle w:val="ListParagraph"/>
        <w:numPr>
          <w:ilvl w:val="0"/>
          <w:numId w:val="29"/>
        </w:numPr>
      </w:pPr>
      <w:r>
        <w:t>Ensuring access to appropriate learning opportunities in the school</w:t>
      </w:r>
      <w:r w:rsidR="00EF0904">
        <w:t>.</w:t>
      </w:r>
    </w:p>
    <w:p w14:paraId="2CB931DC" w14:textId="620FEC1A" w:rsidR="00572A10" w:rsidRPr="00B602A1" w:rsidRDefault="00EF0904" w:rsidP="00572A10">
      <w:r w:rsidRPr="00B602A1">
        <w:t xml:space="preserve">These challenges </w:t>
      </w:r>
      <w:r w:rsidR="002C4F03">
        <w:t>may be</w:t>
      </w:r>
      <w:r w:rsidRPr="00B602A1">
        <w:t xml:space="preserve"> especially relevant </w:t>
      </w:r>
      <w:r w:rsidR="00026D34" w:rsidRPr="00B602A1">
        <w:t>for changing models of study</w:t>
      </w:r>
      <w:r w:rsidR="00ED5D0C" w:rsidRPr="00B602A1">
        <w:t xml:space="preserve"> (such as employment-based programs and compressed programs)</w:t>
      </w:r>
      <w:r w:rsidR="00D8619A" w:rsidRPr="00B602A1">
        <w:t xml:space="preserve"> </w:t>
      </w:r>
      <w:proofErr w:type="gramStart"/>
      <w:r w:rsidR="00D8619A" w:rsidRPr="00B602A1">
        <w:t>with regard to</w:t>
      </w:r>
      <w:proofErr w:type="gramEnd"/>
      <w:r w:rsidR="00D8619A" w:rsidRPr="00B602A1">
        <w:t xml:space="preserve"> </w:t>
      </w:r>
      <w:r w:rsidR="008E5E28" w:rsidRPr="00B602A1">
        <w:t>learning and teaching</w:t>
      </w:r>
      <w:r w:rsidR="00D8619A" w:rsidRPr="00B602A1">
        <w:t xml:space="preserve"> evidence-based practices </w:t>
      </w:r>
      <w:r w:rsidR="00B602A1" w:rsidRPr="00B602A1">
        <w:t>during</w:t>
      </w:r>
      <w:r w:rsidR="008E5E28" w:rsidRPr="00B602A1">
        <w:t xml:space="preserve"> professional experience placements</w:t>
      </w:r>
      <w:r w:rsidR="00B602A1" w:rsidRPr="00B602A1">
        <w:t>.</w:t>
      </w:r>
      <w:r w:rsidR="00F228BC">
        <w:t xml:space="preserve"> </w:t>
      </w:r>
    </w:p>
    <w:p w14:paraId="136FB471" w14:textId="086C807A" w:rsidR="00C6387E" w:rsidRDefault="00170DF3" w:rsidP="00C6387E">
      <w:r>
        <w:t xml:space="preserve">Some jurisdictions have policies of </w:t>
      </w:r>
      <w:r w:rsidR="00A525EF" w:rsidRPr="00A525EF">
        <w:t xml:space="preserve">developing </w:t>
      </w:r>
      <w:r>
        <w:t xml:space="preserve">strong partnerships between schools and ITE providers. </w:t>
      </w:r>
      <w:r w:rsidR="00D77A4E">
        <w:t xml:space="preserve">The </w:t>
      </w:r>
      <w:hyperlink r:id="rId15" w:history="1">
        <w:r w:rsidR="00D77A4E" w:rsidRPr="002C4F03">
          <w:rPr>
            <w:rStyle w:val="Hyperlink"/>
          </w:rPr>
          <w:t>Memorandum of Understanding (MOU)</w:t>
        </w:r>
      </w:hyperlink>
      <w:r w:rsidR="00D77A4E">
        <w:t xml:space="preserve"> between t</w:t>
      </w:r>
      <w:r w:rsidR="00D77A4E" w:rsidRPr="00F81BDE">
        <w:t xml:space="preserve">he </w:t>
      </w:r>
      <w:r w:rsidR="00D77A4E">
        <w:t>Victorian Department of Education and Training and ITE providers is a</w:t>
      </w:r>
      <w:r w:rsidR="008E23B1">
        <w:t xml:space="preserve"> recent example </w:t>
      </w:r>
      <w:r w:rsidR="006769E1">
        <w:t xml:space="preserve">of </w:t>
      </w:r>
      <w:r w:rsidR="00D724AC">
        <w:t>a regulatory device to enhance partnerships</w:t>
      </w:r>
      <w:r w:rsidR="00D6644B">
        <w:t xml:space="preserve"> </w:t>
      </w:r>
      <w:r w:rsidR="00B64CF0">
        <w:t>and</w:t>
      </w:r>
      <w:r w:rsidR="0002284D">
        <w:t xml:space="preserve"> </w:t>
      </w:r>
      <w:r w:rsidR="00C933C0">
        <w:t xml:space="preserve">align </w:t>
      </w:r>
      <w:r w:rsidR="0002284D">
        <w:t>school</w:t>
      </w:r>
      <w:r w:rsidR="001E1143">
        <w:t xml:space="preserve"> and ITE </w:t>
      </w:r>
      <w:r w:rsidR="0002284D">
        <w:t>provider needs</w:t>
      </w:r>
      <w:r w:rsidR="00D02FBC">
        <w:t xml:space="preserve">. </w:t>
      </w:r>
      <w:r w:rsidR="00D02FBC">
        <w:lastRenderedPageBreak/>
        <w:t xml:space="preserve">The MOU is </w:t>
      </w:r>
      <w:r w:rsidR="008249C0">
        <w:t>designed</w:t>
      </w:r>
      <w:r w:rsidR="00C6387E">
        <w:t xml:space="preserve"> to </w:t>
      </w:r>
      <w:r w:rsidR="00D02FBC">
        <w:t>clarify</w:t>
      </w:r>
      <w:r w:rsidR="00C6387E">
        <w:t xml:space="preserve"> roles and responsibilities,</w:t>
      </w:r>
      <w:r w:rsidR="007E60B4">
        <w:t xml:space="preserve"> </w:t>
      </w:r>
      <w:r w:rsidR="00B57846">
        <w:t xml:space="preserve">increase schools’ capacity, </w:t>
      </w:r>
      <w:r w:rsidR="00C53080">
        <w:t xml:space="preserve">support ongoing collaboration, and </w:t>
      </w:r>
      <w:r w:rsidR="00C6387E">
        <w:t>reduce administrative burden</w:t>
      </w:r>
      <w:r w:rsidR="00B92EDB">
        <w:t xml:space="preserve"> </w:t>
      </w:r>
      <w:r w:rsidR="00C53080">
        <w:t>by aligning with</w:t>
      </w:r>
      <w:r w:rsidR="00B92EDB">
        <w:t xml:space="preserve"> </w:t>
      </w:r>
      <w:r w:rsidR="00B57846">
        <w:t>the Victorian Institute of Teaching (VIT)</w:t>
      </w:r>
      <w:r w:rsidR="00B92EDB">
        <w:t xml:space="preserve"> regulatory requirements</w:t>
      </w:r>
      <w:r w:rsidR="00D02FBC">
        <w:t xml:space="preserve"> for accreditation</w:t>
      </w:r>
      <w:r w:rsidR="00C6387E">
        <w:t xml:space="preserve">. </w:t>
      </w:r>
      <w:r w:rsidR="00090314">
        <w:t>While</w:t>
      </w:r>
      <w:r w:rsidR="008C1468">
        <w:t xml:space="preserve"> this is a new </w:t>
      </w:r>
      <w:r w:rsidR="00551B46">
        <w:t xml:space="preserve">policy and there is no </w:t>
      </w:r>
      <w:r w:rsidR="003172B8">
        <w:t>public</w:t>
      </w:r>
      <w:r w:rsidR="00EA581D">
        <w:t xml:space="preserve"> </w:t>
      </w:r>
      <w:r w:rsidR="00551B46">
        <w:t>evaluation</w:t>
      </w:r>
      <w:r w:rsidR="00090314">
        <w:t xml:space="preserve">, </w:t>
      </w:r>
      <w:r w:rsidR="00551B46">
        <w:t>the</w:t>
      </w:r>
      <w:r w:rsidR="004669D5">
        <w:t xml:space="preserve"> model </w:t>
      </w:r>
      <w:r w:rsidR="00594D1F">
        <w:t xml:space="preserve">is designed to </w:t>
      </w:r>
      <w:r w:rsidR="00EA581D">
        <w:t>strengthen</w:t>
      </w:r>
      <w:r w:rsidR="0035331F">
        <w:t xml:space="preserve"> relationships between ITE providers and schools </w:t>
      </w:r>
      <w:r w:rsidR="00594D1F">
        <w:t>by sharing</w:t>
      </w:r>
      <w:r w:rsidR="00594D1F" w:rsidRPr="00594D1F">
        <w:t xml:space="preserve"> responsibility for hosting placements </w:t>
      </w:r>
      <w:r w:rsidR="00594D1F">
        <w:t>across schools</w:t>
      </w:r>
      <w:r w:rsidR="00594D1F" w:rsidRPr="00594D1F">
        <w:t xml:space="preserve"> and </w:t>
      </w:r>
      <w:r w:rsidR="00594D1F">
        <w:t>facilitat</w:t>
      </w:r>
      <w:r w:rsidR="00BD7755">
        <w:t>ing broader</w:t>
      </w:r>
      <w:r w:rsidR="00594D1F" w:rsidRPr="00594D1F">
        <w:t xml:space="preserve"> access to graduate recruits</w:t>
      </w:r>
      <w:r w:rsidR="000E1215">
        <w:t>.</w:t>
      </w:r>
    </w:p>
    <w:p w14:paraId="0E25B596" w14:textId="03EA4EAC" w:rsidR="00696101" w:rsidRPr="005B646E" w:rsidRDefault="00A83B12" w:rsidP="00696101">
      <w:pPr>
        <w:keepNext/>
        <w:keepLines/>
        <w:spacing w:before="360" w:line="259" w:lineRule="auto"/>
        <w:outlineLvl w:val="2"/>
        <w:rPr>
          <w:rFonts w:eastAsiaTheme="majorEastAsia" w:cstheme="majorBidi"/>
          <w:color w:val="00305E" w:themeColor="text2"/>
          <w:sz w:val="28"/>
          <w:szCs w:val="24"/>
        </w:rPr>
      </w:pPr>
      <w:r>
        <w:rPr>
          <w:rFonts w:eastAsiaTheme="majorEastAsia" w:cstheme="majorBidi"/>
          <w:color w:val="00305E" w:themeColor="text2"/>
          <w:sz w:val="28"/>
          <w:szCs w:val="24"/>
        </w:rPr>
        <w:t>How does this align with the National Program Standards?</w:t>
      </w:r>
    </w:p>
    <w:p w14:paraId="54320DA3" w14:textId="7BA4CB89" w:rsidR="00CB70E6" w:rsidRDefault="00CB70E6" w:rsidP="00CB70E6">
      <w:r>
        <w:t xml:space="preserve">The </w:t>
      </w:r>
      <w:r w:rsidR="004E0E58">
        <w:t xml:space="preserve">Accreditation Standards and Procedures include </w:t>
      </w:r>
      <w:r w:rsidR="00C92EDC">
        <w:t xml:space="preserve">Partnerships as </w:t>
      </w:r>
      <w:r w:rsidR="004E0E58">
        <w:t xml:space="preserve">an overarching </w:t>
      </w:r>
      <w:r w:rsidR="00BD526F">
        <w:t>principle for national accreditation</w:t>
      </w:r>
      <w:r w:rsidR="004E0E58">
        <w:t>:</w:t>
      </w:r>
    </w:p>
    <w:p w14:paraId="228F2340" w14:textId="612C0D7D" w:rsidR="00652ABC" w:rsidRPr="00652ABC" w:rsidRDefault="00652ABC" w:rsidP="002C4F03">
      <w:pPr>
        <w:rPr>
          <w:i/>
          <w:iCs/>
          <w:sz w:val="20"/>
          <w:u w:val="single"/>
        </w:rPr>
      </w:pPr>
      <w:r>
        <w:rPr>
          <w:i/>
          <w:iCs/>
          <w:sz w:val="20"/>
          <w:u w:val="single"/>
        </w:rPr>
        <w:t>Partnerships</w:t>
      </w:r>
    </w:p>
    <w:p w14:paraId="48F06CEE" w14:textId="2CF733E8" w:rsidR="00CB70E6" w:rsidRPr="002C4F03" w:rsidRDefault="00CB70E6" w:rsidP="002C4F03">
      <w:pPr>
        <w:rPr>
          <w:i/>
          <w:iCs/>
          <w:sz w:val="20"/>
        </w:rPr>
      </w:pPr>
      <w:r w:rsidRPr="002C4F03">
        <w:rPr>
          <w:i/>
          <w:iCs/>
          <w:sz w:val="20"/>
        </w:rPr>
        <w:t>National accreditation is built around partnerships involving shared responsibilities and obligations among initial teacher education providers, education settings, teachers, employers, and Authorities and a shared commitment to improve initial teacher education and work in partnership to positively affect student learning and graduate outcomes.</w:t>
      </w:r>
    </w:p>
    <w:p w14:paraId="13AC2BAB" w14:textId="77777777" w:rsidR="006C486B" w:rsidRDefault="00F945BE" w:rsidP="00F945BE">
      <w:r>
        <w:t xml:space="preserve">Program Standard 5 outlines the requirements for professional experience, including formal partnerships. </w:t>
      </w:r>
    </w:p>
    <w:p w14:paraId="4F88E8A2" w14:textId="6F18561B" w:rsidR="00F945BE" w:rsidRDefault="00F945BE" w:rsidP="00F945BE">
      <w:r>
        <w:t>The relevant Program Standards are included in Appendix A for reference.</w:t>
      </w:r>
    </w:p>
    <w:p w14:paraId="4CF5FC2E" w14:textId="2AC101B1" w:rsidR="00950ECF" w:rsidRPr="00950ECF" w:rsidRDefault="00D54197" w:rsidP="00F80530">
      <w:pPr>
        <w:suppressAutoHyphens w:val="0"/>
        <w:spacing w:before="0" w:line="259" w:lineRule="auto"/>
        <w:rPr>
          <w:rFonts w:cs="Segoe UI"/>
        </w:rPr>
      </w:pPr>
      <w:r>
        <w:rPr>
          <w:rFonts w:cs="Segoe UI"/>
        </w:rPr>
        <w:br w:type="page"/>
      </w:r>
    </w:p>
    <w:tbl>
      <w:tblPr>
        <w:tblStyle w:val="TableGridLight"/>
        <w:tblpPr w:leftFromText="180" w:rightFromText="180" w:vertAnchor="text" w:horzAnchor="margin" w:tblpY="105"/>
        <w:tblW w:w="0" w:type="auto"/>
        <w:tblLook w:val="04A0" w:firstRow="1" w:lastRow="0" w:firstColumn="1" w:lastColumn="0" w:noHBand="0" w:noVBand="1"/>
      </w:tblPr>
      <w:tblGrid>
        <w:gridCol w:w="9629"/>
      </w:tblGrid>
      <w:tr w:rsidR="00E57B1A" w:rsidRPr="005B646E" w14:paraId="7AA3B260" w14:textId="77777777" w:rsidTr="00E57B1A">
        <w:trPr>
          <w:cnfStyle w:val="100000000000" w:firstRow="1" w:lastRow="0" w:firstColumn="0" w:lastColumn="0" w:oddVBand="0" w:evenVBand="0" w:oddHBand="0" w:evenHBand="0" w:firstRowFirstColumn="0" w:firstRowLastColumn="0" w:lastRowFirstColumn="0" w:lastRowLastColumn="0"/>
        </w:trPr>
        <w:tc>
          <w:tcPr>
            <w:tcW w:w="9629" w:type="dxa"/>
          </w:tcPr>
          <w:p w14:paraId="65448830" w14:textId="20CC4F44" w:rsidR="00092AB5" w:rsidRDefault="00092AB5" w:rsidP="00E57B1A">
            <w:pPr>
              <w:suppressAutoHyphens w:val="0"/>
              <w:spacing w:before="0" w:line="259" w:lineRule="auto"/>
              <w:rPr>
                <w:b w:val="0"/>
              </w:rPr>
            </w:pPr>
            <w:r>
              <w:lastRenderedPageBreak/>
              <w:t>Case study</w:t>
            </w:r>
          </w:p>
          <w:p w14:paraId="613CF584" w14:textId="4A913E2A" w:rsidR="001A2ADC" w:rsidRPr="00577544" w:rsidRDefault="00E74CEE" w:rsidP="00E57B1A">
            <w:pPr>
              <w:suppressAutoHyphens w:val="0"/>
              <w:spacing w:before="0" w:line="259" w:lineRule="auto"/>
            </w:pPr>
            <w:hyperlink r:id="rId16" w:history="1">
              <w:r w:rsidR="00092AB5" w:rsidRPr="00577544">
                <w:rPr>
                  <w:rStyle w:val="Hyperlink"/>
                </w:rPr>
                <w:t>National Institute of Education</w:t>
              </w:r>
              <w:r w:rsidR="000F50F3" w:rsidRPr="00577544">
                <w:rPr>
                  <w:rStyle w:val="Hyperlink"/>
                </w:rPr>
                <w:t xml:space="preserve"> (NIE)</w:t>
              </w:r>
              <w:r w:rsidR="00B367AE" w:rsidRPr="00577544">
                <w:rPr>
                  <w:rStyle w:val="Hyperlink"/>
                </w:rPr>
                <w:t xml:space="preserve"> |</w:t>
              </w:r>
              <w:r w:rsidR="00DE3605" w:rsidRPr="00577544">
                <w:rPr>
                  <w:rStyle w:val="Hyperlink"/>
                </w:rPr>
                <w:t xml:space="preserve"> </w:t>
              </w:r>
              <w:r w:rsidR="002771B4" w:rsidRPr="00577544">
                <w:rPr>
                  <w:rStyle w:val="Hyperlink"/>
                </w:rPr>
                <w:t>Nanyang Technological University</w:t>
              </w:r>
              <w:r w:rsidR="00DE3605" w:rsidRPr="00577544">
                <w:rPr>
                  <w:rStyle w:val="Hyperlink"/>
                </w:rPr>
                <w:t>, Singapore</w:t>
              </w:r>
            </w:hyperlink>
          </w:p>
        </w:tc>
      </w:tr>
      <w:tr w:rsidR="00E57B1A" w:rsidRPr="005B646E" w14:paraId="752A46AA" w14:textId="77777777" w:rsidTr="00E57B1A">
        <w:tc>
          <w:tcPr>
            <w:tcW w:w="9629" w:type="dxa"/>
          </w:tcPr>
          <w:p w14:paraId="5471E7D4" w14:textId="1F4AD2D3" w:rsidR="001439C7" w:rsidRDefault="00456942" w:rsidP="005F6FC8">
            <w:pPr>
              <w:rPr>
                <w:bCs/>
              </w:rPr>
            </w:pPr>
            <w:r>
              <w:rPr>
                <w:bCs/>
              </w:rPr>
              <w:t xml:space="preserve">The National Institute of Education (NIE) </w:t>
            </w:r>
            <w:r w:rsidR="004158E8">
              <w:rPr>
                <w:bCs/>
              </w:rPr>
              <w:t>is</w:t>
            </w:r>
            <w:r>
              <w:rPr>
                <w:bCs/>
              </w:rPr>
              <w:t xml:space="preserve"> the sole provider of ITE in Singapore</w:t>
            </w:r>
            <w:r w:rsidR="00BD1D67">
              <w:rPr>
                <w:bCs/>
              </w:rPr>
              <w:t xml:space="preserve"> and is consistently </w:t>
            </w:r>
            <w:r w:rsidR="00E6369F">
              <w:rPr>
                <w:bCs/>
              </w:rPr>
              <w:t xml:space="preserve">recognised as one of the highest-performing </w:t>
            </w:r>
            <w:r w:rsidR="00FD3FB0">
              <w:rPr>
                <w:bCs/>
              </w:rPr>
              <w:t>ITE providers</w:t>
            </w:r>
            <w:r w:rsidR="00E6369F">
              <w:rPr>
                <w:bCs/>
              </w:rPr>
              <w:t xml:space="preserve"> in the world</w:t>
            </w:r>
            <w:r w:rsidR="00606DE3">
              <w:rPr>
                <w:bCs/>
              </w:rPr>
              <w:t xml:space="preserve"> </w:t>
            </w:r>
            <w:r w:rsidR="00606DE3">
              <w:rPr>
                <w:bCs/>
              </w:rPr>
              <w:fldChar w:fldCharType="begin"/>
            </w:r>
            <w:r w:rsidR="00606DE3">
              <w:rPr>
                <w:bCs/>
              </w:rPr>
              <w:instrText xml:space="preserve"> ADDIN ZOTERO_ITEM CSL_CITATION {"citationID":"l5JTaKwl","properties":{"formattedCitation":"({\\i{}QS World University Rankings for Education &amp; Training 2022} n.d.)","plainCitation":"(QS World University Rankings for Education &amp; Training 2022 n.d.)","noteIndex":0},"citationItems":[{"id":17688,"uris":["http://zotero.org/users/10549213/items/LMRVM4HD"],"itemData":{"id":17688,"type":"webpage","abstract":"Discover the world's top universities for Education &amp; Training. Explore the QS World University Rankings by Subject 2022 in various disciplines.","container-title":"Top Universities","language":"en","title":"QS World University Rankings for Education &amp; Training 2022","URL":"https://www.topuniversities.com/university-rankings/university-subject-rankings/2022/education-training","accessed":{"date-parts":[["2023",1,30]]}}}],"schema":"https://github.com/citation-style-language/schema/raw/master/csl-citation.json"} </w:instrText>
            </w:r>
            <w:r w:rsidR="00606DE3">
              <w:rPr>
                <w:bCs/>
              </w:rPr>
              <w:fldChar w:fldCharType="separate"/>
            </w:r>
            <w:r w:rsidR="00606DE3" w:rsidRPr="00606DE3">
              <w:rPr>
                <w:rFonts w:cs="Times New Roman"/>
                <w:szCs w:val="24"/>
              </w:rPr>
              <w:t>(</w:t>
            </w:r>
            <w:r w:rsidR="00606DE3" w:rsidRPr="00606DE3">
              <w:rPr>
                <w:rFonts w:cs="Times New Roman"/>
                <w:i/>
                <w:iCs/>
                <w:szCs w:val="24"/>
              </w:rPr>
              <w:t>QS World University Rankings for Education &amp; Training 2022</w:t>
            </w:r>
            <w:r w:rsidR="00606DE3" w:rsidRPr="00606DE3">
              <w:rPr>
                <w:rFonts w:cs="Times New Roman"/>
                <w:szCs w:val="24"/>
              </w:rPr>
              <w:t xml:space="preserve"> n.d.)</w:t>
            </w:r>
            <w:r w:rsidR="00606DE3">
              <w:rPr>
                <w:bCs/>
              </w:rPr>
              <w:fldChar w:fldCharType="end"/>
            </w:r>
            <w:r w:rsidR="00606DE3">
              <w:rPr>
                <w:bCs/>
              </w:rPr>
              <w:t>.</w:t>
            </w:r>
          </w:p>
          <w:p w14:paraId="4B2F48B7" w14:textId="0FA57F37" w:rsidR="00D54197" w:rsidRDefault="00F351C0" w:rsidP="00D54197">
            <w:pPr>
              <w:rPr>
                <w:bCs/>
              </w:rPr>
            </w:pPr>
            <w:r>
              <w:rPr>
                <w:bCs/>
              </w:rPr>
              <w:t xml:space="preserve">NIE’s ITE programs </w:t>
            </w:r>
            <w:r w:rsidR="007E7DA7">
              <w:rPr>
                <w:bCs/>
              </w:rPr>
              <w:t>are</w:t>
            </w:r>
            <w:r>
              <w:rPr>
                <w:bCs/>
              </w:rPr>
              <w:t xml:space="preserve"> underpinned by a </w:t>
            </w:r>
            <w:r w:rsidRPr="00B20B07">
              <w:rPr>
                <w:b/>
              </w:rPr>
              <w:t>clear philosophy of teacher education</w:t>
            </w:r>
            <w:r w:rsidR="006821FE">
              <w:rPr>
                <w:bCs/>
              </w:rPr>
              <w:t xml:space="preserve">, represented by the </w:t>
            </w:r>
            <w:hyperlink r:id="rId17" w:history="1">
              <w:r w:rsidRPr="002C5C1C">
                <w:rPr>
                  <w:rStyle w:val="Hyperlink"/>
                  <w:bCs/>
                </w:rPr>
                <w:t>V3</w:t>
              </w:r>
              <w:r w:rsidR="006821FE" w:rsidRPr="002C5C1C">
                <w:rPr>
                  <w:rStyle w:val="Hyperlink"/>
                  <w:bCs/>
                </w:rPr>
                <w:t>SK framework</w:t>
              </w:r>
            </w:hyperlink>
            <w:r w:rsidR="00D82E27">
              <w:rPr>
                <w:bCs/>
              </w:rPr>
              <w:t xml:space="preserve">, which </w:t>
            </w:r>
            <w:r w:rsidR="003D4514">
              <w:rPr>
                <w:bCs/>
              </w:rPr>
              <w:t>outlines</w:t>
            </w:r>
            <w:r w:rsidR="006821FE">
              <w:rPr>
                <w:bCs/>
              </w:rPr>
              <w:t xml:space="preserve"> </w:t>
            </w:r>
            <w:r w:rsidR="00F65FE6">
              <w:rPr>
                <w:bCs/>
              </w:rPr>
              <w:t>a three-pronged set of values</w:t>
            </w:r>
            <w:r w:rsidR="006821FE">
              <w:rPr>
                <w:bCs/>
              </w:rPr>
              <w:t xml:space="preserve"> (learner-centredness, teacher identity, and service to the profession and community)</w:t>
            </w:r>
            <w:r w:rsidR="00F65FE6">
              <w:rPr>
                <w:bCs/>
              </w:rPr>
              <w:t xml:space="preserve"> together with skills and knowledge</w:t>
            </w:r>
            <w:r w:rsidR="00B03FAC">
              <w:rPr>
                <w:bCs/>
              </w:rPr>
              <w:t xml:space="preserve">. The framework guides the </w:t>
            </w:r>
            <w:r w:rsidR="003D4514">
              <w:rPr>
                <w:bCs/>
              </w:rPr>
              <w:t xml:space="preserve">design, </w:t>
            </w:r>
            <w:proofErr w:type="gramStart"/>
            <w:r w:rsidR="003D4514">
              <w:rPr>
                <w:bCs/>
              </w:rPr>
              <w:t>delivery</w:t>
            </w:r>
            <w:proofErr w:type="gramEnd"/>
            <w:r w:rsidR="003D4514">
              <w:rPr>
                <w:bCs/>
              </w:rPr>
              <w:t xml:space="preserve"> and enhancement of NIE’s ITE programs</w:t>
            </w:r>
            <w:r w:rsidR="00B03FAC">
              <w:rPr>
                <w:bCs/>
              </w:rPr>
              <w:t xml:space="preserve"> in order to develop graduate teachers who are classroom ready and </w:t>
            </w:r>
            <w:r w:rsidR="002669C7">
              <w:rPr>
                <w:bCs/>
              </w:rPr>
              <w:t xml:space="preserve">continually strive to </w:t>
            </w:r>
            <w:r w:rsidR="00F5386F">
              <w:rPr>
                <w:bCs/>
              </w:rPr>
              <w:t xml:space="preserve">extend their </w:t>
            </w:r>
            <w:r w:rsidR="008743DA">
              <w:rPr>
                <w:bCs/>
              </w:rPr>
              <w:t xml:space="preserve">teaching </w:t>
            </w:r>
            <w:r w:rsidR="00F5386F">
              <w:rPr>
                <w:bCs/>
              </w:rPr>
              <w:t>skills</w:t>
            </w:r>
            <w:r w:rsidR="002669C7">
              <w:rPr>
                <w:bCs/>
              </w:rPr>
              <w:t>.</w:t>
            </w:r>
          </w:p>
          <w:p w14:paraId="3EB629F5" w14:textId="6FE854B3" w:rsidR="00B1370E" w:rsidRDefault="008743DA" w:rsidP="00B1370E">
            <w:pPr>
              <w:rPr>
                <w:bCs/>
              </w:rPr>
            </w:pPr>
            <w:r>
              <w:rPr>
                <w:bCs/>
              </w:rPr>
              <w:t>T</w:t>
            </w:r>
            <w:r w:rsidR="00B1370E">
              <w:rPr>
                <w:bCs/>
              </w:rPr>
              <w:t xml:space="preserve">he </w:t>
            </w:r>
            <w:r w:rsidR="00B1370E" w:rsidRPr="006A690C">
              <w:rPr>
                <w:b/>
              </w:rPr>
              <w:t>tripartite relationship</w:t>
            </w:r>
            <w:r w:rsidR="00B1370E" w:rsidRPr="004A3875">
              <w:rPr>
                <w:bCs/>
              </w:rPr>
              <w:t xml:space="preserve"> between </w:t>
            </w:r>
            <w:hyperlink r:id="rId18" w:history="1">
              <w:r w:rsidR="00B1370E" w:rsidRPr="006A690C">
                <w:rPr>
                  <w:rStyle w:val="Hyperlink"/>
                  <w:bCs/>
                </w:rPr>
                <w:t>NIE, the Ministry of Education and schools</w:t>
              </w:r>
            </w:hyperlink>
            <w:r>
              <w:rPr>
                <w:bCs/>
              </w:rPr>
              <w:t xml:space="preserve"> is a</w:t>
            </w:r>
            <w:r w:rsidRPr="008743DA">
              <w:rPr>
                <w:bCs/>
              </w:rPr>
              <w:t xml:space="preserve"> key feature of the ITE programs</w:t>
            </w:r>
            <w:r w:rsidR="00B1370E">
              <w:rPr>
                <w:bCs/>
              </w:rPr>
              <w:t xml:space="preserve">. This relationship guides a collaborative approach to professional experiences by involving schools in teacher preparation and ensuring high-quality supervision for pre-service teachers. </w:t>
            </w:r>
            <w:r w:rsidR="00BC1138">
              <w:rPr>
                <w:bCs/>
              </w:rPr>
              <w:t xml:space="preserve">The professional experiences enable pre-service teachers to actively participate </w:t>
            </w:r>
            <w:r w:rsidR="000D10F6">
              <w:rPr>
                <w:bCs/>
              </w:rPr>
              <w:t xml:space="preserve">in schools, including through opportunities to teach their subjects of specialisation. </w:t>
            </w:r>
            <w:r w:rsidR="00B25C13">
              <w:rPr>
                <w:bCs/>
              </w:rPr>
              <w:t>This</w:t>
            </w:r>
            <w:r w:rsidR="00B1370E">
              <w:rPr>
                <w:bCs/>
              </w:rPr>
              <w:t xml:space="preserve"> collaboration supports the translation of theory into practice and builds opportunities to implement research-based pedagogical practices at NIE and in schools.</w:t>
            </w:r>
            <w:r w:rsidR="00B1370E" w:rsidRPr="004360B3">
              <w:rPr>
                <w:bCs/>
              </w:rPr>
              <w:t xml:space="preserve"> </w:t>
            </w:r>
          </w:p>
          <w:p w14:paraId="1F38B0FD" w14:textId="1A8B289E" w:rsidR="00E12B50" w:rsidRDefault="002418EF" w:rsidP="00E076B1">
            <w:pPr>
              <w:rPr>
                <w:bCs/>
              </w:rPr>
            </w:pPr>
            <w:r>
              <w:rPr>
                <w:bCs/>
              </w:rPr>
              <w:t>T</w:t>
            </w:r>
            <w:r w:rsidR="00434F4F">
              <w:rPr>
                <w:bCs/>
              </w:rPr>
              <w:t xml:space="preserve">he NIE programs </w:t>
            </w:r>
            <w:r w:rsidR="00F72485" w:rsidRPr="00BA22FE">
              <w:rPr>
                <w:b/>
              </w:rPr>
              <w:t>link theory and practice</w:t>
            </w:r>
            <w:r w:rsidR="00BF6FE3">
              <w:rPr>
                <w:bCs/>
              </w:rPr>
              <w:t xml:space="preserve"> through</w:t>
            </w:r>
            <w:r w:rsidR="00FA4F82">
              <w:rPr>
                <w:bCs/>
              </w:rPr>
              <w:t xml:space="preserve"> school-based professional </w:t>
            </w:r>
            <w:r w:rsidR="00F72485">
              <w:rPr>
                <w:bCs/>
              </w:rPr>
              <w:t xml:space="preserve">experience </w:t>
            </w:r>
            <w:r w:rsidR="00FA4F82">
              <w:rPr>
                <w:bCs/>
              </w:rPr>
              <w:t>placements,</w:t>
            </w:r>
            <w:r w:rsidR="004A55FB">
              <w:rPr>
                <w:bCs/>
              </w:rPr>
              <w:t xml:space="preserve"> case methods</w:t>
            </w:r>
            <w:r w:rsidR="00A92746">
              <w:rPr>
                <w:bCs/>
              </w:rPr>
              <w:t>,</w:t>
            </w:r>
            <w:r w:rsidR="004A55FB">
              <w:rPr>
                <w:bCs/>
              </w:rPr>
              <w:t xml:space="preserve"> </w:t>
            </w:r>
            <w:r w:rsidR="00A92746">
              <w:rPr>
                <w:bCs/>
              </w:rPr>
              <w:t xml:space="preserve">blended learning and </w:t>
            </w:r>
            <w:r w:rsidR="00A92746" w:rsidRPr="00BA22FE">
              <w:rPr>
                <w:bCs/>
              </w:rPr>
              <w:t>effective</w:t>
            </w:r>
            <w:r w:rsidR="00A92746" w:rsidRPr="00BA22FE">
              <w:rPr>
                <w:b/>
              </w:rPr>
              <w:t xml:space="preserve"> assessments that </w:t>
            </w:r>
            <w:r w:rsidR="00C062F3" w:rsidRPr="00BA22FE">
              <w:rPr>
                <w:b/>
              </w:rPr>
              <w:t>relate to real-world learning</w:t>
            </w:r>
            <w:r w:rsidR="00C062F3">
              <w:rPr>
                <w:bCs/>
              </w:rPr>
              <w:t xml:space="preserve">, such as portfolio evaluation. </w:t>
            </w:r>
            <w:r w:rsidR="008F4628">
              <w:rPr>
                <w:bCs/>
              </w:rPr>
              <w:t xml:space="preserve">A </w:t>
            </w:r>
            <w:r w:rsidR="00527EBB">
              <w:rPr>
                <w:bCs/>
              </w:rPr>
              <w:t xml:space="preserve">compulsory </w:t>
            </w:r>
            <w:r w:rsidR="008F4628">
              <w:rPr>
                <w:bCs/>
              </w:rPr>
              <w:t xml:space="preserve">one-year service-learning project is designed to </w:t>
            </w:r>
            <w:r w:rsidR="00527EBB">
              <w:rPr>
                <w:bCs/>
              </w:rPr>
              <w:t xml:space="preserve">foster values such as respect for diversity, collaboration, professional </w:t>
            </w:r>
            <w:proofErr w:type="gramStart"/>
            <w:r w:rsidR="00527EBB">
              <w:rPr>
                <w:bCs/>
              </w:rPr>
              <w:t>commitment</w:t>
            </w:r>
            <w:proofErr w:type="gramEnd"/>
            <w:r w:rsidR="00527EBB">
              <w:rPr>
                <w:bCs/>
              </w:rPr>
              <w:t xml:space="preserve"> and care.</w:t>
            </w:r>
          </w:p>
          <w:p w14:paraId="74FEFC84" w14:textId="48D6F703" w:rsidR="007E16F5" w:rsidRPr="004360B3" w:rsidRDefault="007E16F5" w:rsidP="00E076B1">
            <w:pPr>
              <w:rPr>
                <w:bCs/>
              </w:rPr>
            </w:pPr>
            <w:r>
              <w:rPr>
                <w:bCs/>
              </w:rPr>
              <w:t xml:space="preserve">NIE also offers </w:t>
            </w:r>
            <w:r w:rsidR="00BD0A5A">
              <w:rPr>
                <w:bCs/>
              </w:rPr>
              <w:t>a</w:t>
            </w:r>
            <w:r>
              <w:rPr>
                <w:bCs/>
              </w:rPr>
              <w:t xml:space="preserve"> professional learning program</w:t>
            </w:r>
            <w:r w:rsidR="00FD3763">
              <w:rPr>
                <w:bCs/>
              </w:rPr>
              <w:t xml:space="preserve">, which </w:t>
            </w:r>
            <w:r w:rsidR="002F17BE">
              <w:rPr>
                <w:bCs/>
              </w:rPr>
              <w:t>provide</w:t>
            </w:r>
            <w:r w:rsidR="00BD0A5A">
              <w:rPr>
                <w:bCs/>
              </w:rPr>
              <w:t>s</w:t>
            </w:r>
            <w:r w:rsidR="002F17BE">
              <w:rPr>
                <w:bCs/>
              </w:rPr>
              <w:t xml:space="preserve"> pedagogical leadership and mentoring </w:t>
            </w:r>
            <w:r w:rsidR="00F55CCE">
              <w:rPr>
                <w:bCs/>
              </w:rPr>
              <w:t xml:space="preserve">for Senior, Lead and Master Teachers to </w:t>
            </w:r>
            <w:r>
              <w:rPr>
                <w:bCs/>
              </w:rPr>
              <w:t xml:space="preserve">build </w:t>
            </w:r>
            <w:r w:rsidR="00B55328">
              <w:rPr>
                <w:bCs/>
              </w:rPr>
              <w:t xml:space="preserve">professional excellence, </w:t>
            </w:r>
            <w:r>
              <w:rPr>
                <w:bCs/>
              </w:rPr>
              <w:t>collabora</w:t>
            </w:r>
            <w:r w:rsidR="00B55328">
              <w:rPr>
                <w:bCs/>
              </w:rPr>
              <w:t>tion, and transformation</w:t>
            </w:r>
            <w:r w:rsidR="00E85C53">
              <w:rPr>
                <w:bCs/>
              </w:rPr>
              <w:t>al</w:t>
            </w:r>
            <w:r w:rsidR="00B55328">
              <w:rPr>
                <w:bCs/>
              </w:rPr>
              <w:t xml:space="preserve"> </w:t>
            </w:r>
            <w:r w:rsidR="00E85C53">
              <w:rPr>
                <w:bCs/>
              </w:rPr>
              <w:t xml:space="preserve">leadership </w:t>
            </w:r>
            <w:r w:rsidR="00B55328">
              <w:rPr>
                <w:bCs/>
              </w:rPr>
              <w:t>skills</w:t>
            </w:r>
            <w:r w:rsidR="001945B8">
              <w:rPr>
                <w:bCs/>
              </w:rPr>
              <w:t>.</w:t>
            </w:r>
          </w:p>
        </w:tc>
      </w:tr>
    </w:tbl>
    <w:p w14:paraId="066FA161" w14:textId="28AA01A8" w:rsidR="00E57B1A" w:rsidRPr="00F80530" w:rsidRDefault="00BD0A5A" w:rsidP="00F80530">
      <w:pPr>
        <w:suppressAutoHyphens w:val="0"/>
        <w:spacing w:before="0" w:line="259" w:lineRule="auto"/>
        <w:rPr>
          <w:rFonts w:ascii="Montserrat SemiBold" w:eastAsiaTheme="majorEastAsia" w:hAnsi="Montserrat SemiBold" w:cstheme="majorBidi"/>
          <w:color w:val="00305E" w:themeColor="text2"/>
          <w:sz w:val="36"/>
          <w:szCs w:val="32"/>
        </w:rPr>
      </w:pPr>
      <w:r>
        <w:rPr>
          <w:rFonts w:ascii="Montserrat SemiBold" w:eastAsiaTheme="majorEastAsia" w:hAnsi="Montserrat SemiBold" w:cstheme="majorBidi"/>
          <w:color w:val="00305E" w:themeColor="text2"/>
          <w:sz w:val="36"/>
          <w:szCs w:val="32"/>
        </w:rPr>
        <w:br w:type="page"/>
      </w:r>
    </w:p>
    <w:tbl>
      <w:tblPr>
        <w:tblStyle w:val="TableGridLight"/>
        <w:tblpPr w:leftFromText="180" w:rightFromText="180" w:vertAnchor="text" w:horzAnchor="margin" w:tblpY="105"/>
        <w:tblW w:w="0" w:type="auto"/>
        <w:tblLook w:val="04A0" w:firstRow="1" w:lastRow="0" w:firstColumn="1" w:lastColumn="0" w:noHBand="0" w:noVBand="1"/>
      </w:tblPr>
      <w:tblGrid>
        <w:gridCol w:w="9629"/>
      </w:tblGrid>
      <w:tr w:rsidR="00A8376D" w:rsidRPr="005B646E" w14:paraId="0F3D0EFE" w14:textId="77777777">
        <w:trPr>
          <w:cnfStyle w:val="100000000000" w:firstRow="1" w:lastRow="0" w:firstColumn="0" w:lastColumn="0" w:oddVBand="0" w:evenVBand="0" w:oddHBand="0" w:evenHBand="0" w:firstRowFirstColumn="0" w:firstRowLastColumn="0" w:lastRowFirstColumn="0" w:lastRowLastColumn="0"/>
        </w:trPr>
        <w:tc>
          <w:tcPr>
            <w:tcW w:w="9629" w:type="dxa"/>
          </w:tcPr>
          <w:p w14:paraId="3887360C" w14:textId="2A1EA9D7" w:rsidR="00F71FEB" w:rsidRPr="00263C3F" w:rsidRDefault="00F71FEB">
            <w:pPr>
              <w:suppressAutoHyphens w:val="0"/>
              <w:spacing w:before="0" w:line="259" w:lineRule="auto"/>
              <w:rPr>
                <w:bCs/>
              </w:rPr>
            </w:pPr>
            <w:r w:rsidRPr="00263C3F">
              <w:rPr>
                <w:bCs/>
              </w:rPr>
              <w:lastRenderedPageBreak/>
              <w:t>Case study</w:t>
            </w:r>
          </w:p>
          <w:p w14:paraId="59683EC6" w14:textId="6EBAD85C" w:rsidR="00A8376D" w:rsidRPr="00641A62" w:rsidRDefault="00E74CEE">
            <w:pPr>
              <w:suppressAutoHyphens w:val="0"/>
              <w:spacing w:before="0" w:line="259" w:lineRule="auto"/>
            </w:pPr>
            <w:hyperlink r:id="rId19" w:history="1">
              <w:r w:rsidR="00F71FEB" w:rsidRPr="00641A62">
                <w:rPr>
                  <w:rStyle w:val="Hyperlink"/>
                </w:rPr>
                <w:t xml:space="preserve">The Stanford </w:t>
              </w:r>
              <w:r w:rsidR="00263C3F" w:rsidRPr="00641A62">
                <w:rPr>
                  <w:rStyle w:val="Hyperlink"/>
                </w:rPr>
                <w:t>Teacher Education Program (STEP)</w:t>
              </w:r>
              <w:r w:rsidR="00950ECF" w:rsidRPr="00641A62">
                <w:rPr>
                  <w:rStyle w:val="Hyperlink"/>
                </w:rPr>
                <w:t>, United States of America</w:t>
              </w:r>
            </w:hyperlink>
          </w:p>
        </w:tc>
      </w:tr>
      <w:tr w:rsidR="00A8376D" w:rsidRPr="005B646E" w14:paraId="082E8521" w14:textId="77777777">
        <w:tc>
          <w:tcPr>
            <w:tcW w:w="9629" w:type="dxa"/>
          </w:tcPr>
          <w:p w14:paraId="38406951" w14:textId="2690F96F" w:rsidR="00275CA7" w:rsidRDefault="000F40FE" w:rsidP="009075E2">
            <w:pPr>
              <w:rPr>
                <w:bCs/>
              </w:rPr>
            </w:pPr>
            <w:r>
              <w:rPr>
                <w:bCs/>
              </w:rPr>
              <w:t xml:space="preserve">STEP </w:t>
            </w:r>
            <w:r w:rsidR="00E70CD6">
              <w:rPr>
                <w:bCs/>
              </w:rPr>
              <w:t>is a</w:t>
            </w:r>
            <w:r w:rsidR="00B922F7">
              <w:rPr>
                <w:bCs/>
              </w:rPr>
              <w:t xml:space="preserve"> consistently</w:t>
            </w:r>
            <w:r w:rsidR="00E70CD6">
              <w:rPr>
                <w:bCs/>
              </w:rPr>
              <w:t xml:space="preserve"> </w:t>
            </w:r>
            <w:r w:rsidR="00B922F7">
              <w:rPr>
                <w:bCs/>
              </w:rPr>
              <w:t>high achieving</w:t>
            </w:r>
            <w:r w:rsidR="00E70CD6">
              <w:rPr>
                <w:bCs/>
              </w:rPr>
              <w:t xml:space="preserve"> ITE </w:t>
            </w:r>
            <w:r w:rsidR="00F72C4B">
              <w:rPr>
                <w:bCs/>
              </w:rPr>
              <w:t>program</w:t>
            </w:r>
            <w:r w:rsidR="00394B45">
              <w:rPr>
                <w:bCs/>
              </w:rPr>
              <w:t xml:space="preserve"> </w:t>
            </w:r>
            <w:r w:rsidR="00394B45">
              <w:rPr>
                <w:bCs/>
              </w:rPr>
              <w:fldChar w:fldCharType="begin"/>
            </w:r>
            <w:r w:rsidR="00394B45">
              <w:rPr>
                <w:bCs/>
              </w:rPr>
              <w:instrText xml:space="preserve"> ADDIN ZOTERO_ITEM CSL_CITATION {"citationID":"WVMZTOwV","properties":{"formattedCitation":"({\\i{}QS World University Rankings for Education &amp; Training 2022} n.d.)","plainCitation":"(QS World University Rankings for Education &amp; Training 2022 n.d.)","noteIndex":0},"citationItems":[{"id":17688,"uris":["http://zotero.org/users/10549213/items/LMRVM4HD"],"itemData":{"id":17688,"type":"webpage","abstract":"Discover the world's top universities for Education &amp; Training. Explore the QS World University Rankings by Subject 2022 in various disciplines.","container-title":"Top Universities","language":"en","title":"QS World University Rankings for Education &amp; Training 2022","URL":"https://www.topuniversities.com/university-rankings/university-subject-rankings/2022/education-training","accessed":{"date-parts":[["2023",1,30]]}}}],"schema":"https://github.com/citation-style-language/schema/raw/master/csl-citation.json"} </w:instrText>
            </w:r>
            <w:r w:rsidR="00394B45">
              <w:rPr>
                <w:bCs/>
              </w:rPr>
              <w:fldChar w:fldCharType="separate"/>
            </w:r>
            <w:r w:rsidR="00394B45" w:rsidRPr="00394B45">
              <w:rPr>
                <w:rFonts w:cs="Times New Roman"/>
                <w:szCs w:val="24"/>
              </w:rPr>
              <w:t>(</w:t>
            </w:r>
            <w:r w:rsidR="00394B45" w:rsidRPr="00394B45">
              <w:rPr>
                <w:rFonts w:cs="Times New Roman"/>
                <w:i/>
                <w:iCs/>
                <w:szCs w:val="24"/>
              </w:rPr>
              <w:t>QS World University Rankings for Education &amp; Training 2022</w:t>
            </w:r>
            <w:r w:rsidR="00394B45" w:rsidRPr="00394B45">
              <w:rPr>
                <w:rFonts w:cs="Times New Roman"/>
                <w:szCs w:val="24"/>
              </w:rPr>
              <w:t xml:space="preserve"> n.d.)</w:t>
            </w:r>
            <w:r w:rsidR="00394B45">
              <w:rPr>
                <w:bCs/>
              </w:rPr>
              <w:fldChar w:fldCharType="end"/>
            </w:r>
            <w:r w:rsidR="00A60720">
              <w:rPr>
                <w:bCs/>
              </w:rPr>
              <w:t xml:space="preserve">, </w:t>
            </w:r>
            <w:r w:rsidR="00C85B47">
              <w:rPr>
                <w:bCs/>
              </w:rPr>
              <w:t>which combines academic coursework with a full year of professional experience in school placements</w:t>
            </w:r>
            <w:r w:rsidR="00F72C4B">
              <w:rPr>
                <w:bCs/>
              </w:rPr>
              <w:t xml:space="preserve">. The program is </w:t>
            </w:r>
            <w:r w:rsidR="00175822">
              <w:rPr>
                <w:bCs/>
              </w:rPr>
              <w:t xml:space="preserve">offered to </w:t>
            </w:r>
            <w:r w:rsidR="008869EF">
              <w:rPr>
                <w:bCs/>
              </w:rPr>
              <w:t xml:space="preserve">a </w:t>
            </w:r>
            <w:r w:rsidR="008302C9">
              <w:rPr>
                <w:bCs/>
              </w:rPr>
              <w:t xml:space="preserve">small </w:t>
            </w:r>
            <w:r w:rsidR="008869EF">
              <w:rPr>
                <w:bCs/>
              </w:rPr>
              <w:t>cohort of full-time pre-service teachers</w:t>
            </w:r>
            <w:r w:rsidR="00860E42">
              <w:rPr>
                <w:bCs/>
              </w:rPr>
              <w:t xml:space="preserve">, who </w:t>
            </w:r>
            <w:r w:rsidR="00900DD8">
              <w:rPr>
                <w:bCs/>
              </w:rPr>
              <w:t>participate in</w:t>
            </w:r>
            <w:r w:rsidR="00860E42">
              <w:rPr>
                <w:bCs/>
              </w:rPr>
              <w:t xml:space="preserve"> classroom placements </w:t>
            </w:r>
            <w:r w:rsidR="004C68B7">
              <w:rPr>
                <w:bCs/>
              </w:rPr>
              <w:t xml:space="preserve">alongside coursework to </w:t>
            </w:r>
            <w:r w:rsidR="004C68B7" w:rsidRPr="008E04BC">
              <w:rPr>
                <w:b/>
              </w:rPr>
              <w:t>embed learning into practice</w:t>
            </w:r>
            <w:r w:rsidR="004C68B7">
              <w:rPr>
                <w:bCs/>
              </w:rPr>
              <w:t>.</w:t>
            </w:r>
            <w:r w:rsidR="00BF6ACF">
              <w:rPr>
                <w:bCs/>
              </w:rPr>
              <w:t xml:space="preserve"> The professional experience placements are supported by a sequentially structured program, designed to equip pre-service teachers with deep content knowledge and understanding of pedagogical practices.</w:t>
            </w:r>
          </w:p>
          <w:p w14:paraId="22E7E1D9" w14:textId="2F802BB9" w:rsidR="00073F5D" w:rsidRDefault="008869EF" w:rsidP="009075E2">
            <w:pPr>
              <w:rPr>
                <w:bCs/>
              </w:rPr>
            </w:pPr>
            <w:r>
              <w:rPr>
                <w:bCs/>
              </w:rPr>
              <w:t>I</w:t>
            </w:r>
            <w:r w:rsidR="005E4CE8">
              <w:rPr>
                <w:bCs/>
              </w:rPr>
              <w:t>n the early 2000s</w:t>
            </w:r>
            <w:r>
              <w:rPr>
                <w:bCs/>
              </w:rPr>
              <w:t xml:space="preserve">, STEP was </w:t>
            </w:r>
            <w:r w:rsidR="00332993">
              <w:rPr>
                <w:bCs/>
              </w:rPr>
              <w:t xml:space="preserve">substantially </w:t>
            </w:r>
            <w:r>
              <w:rPr>
                <w:bCs/>
              </w:rPr>
              <w:t xml:space="preserve">redesigned </w:t>
            </w:r>
            <w:r w:rsidR="008B49B5">
              <w:rPr>
                <w:bCs/>
              </w:rPr>
              <w:t xml:space="preserve">to </w:t>
            </w:r>
            <w:r w:rsidR="00054B65">
              <w:rPr>
                <w:bCs/>
              </w:rPr>
              <w:t xml:space="preserve">build a </w:t>
            </w:r>
            <w:r w:rsidR="00054B65" w:rsidRPr="005F26DB">
              <w:rPr>
                <w:b/>
              </w:rPr>
              <w:t xml:space="preserve">shared vision </w:t>
            </w:r>
            <w:r w:rsidR="00054B65" w:rsidRPr="00113472">
              <w:rPr>
                <w:bCs/>
              </w:rPr>
              <w:t xml:space="preserve">of good teaching </w:t>
            </w:r>
            <w:r w:rsidR="003B4BFE" w:rsidRPr="00113472">
              <w:rPr>
                <w:bCs/>
              </w:rPr>
              <w:t xml:space="preserve">practice </w:t>
            </w:r>
            <w:r w:rsidR="003B4BFE">
              <w:rPr>
                <w:bCs/>
              </w:rPr>
              <w:t xml:space="preserve">into the program. Drawing on professional teaching standards, the </w:t>
            </w:r>
            <w:r w:rsidR="003B4BFE" w:rsidRPr="005F26DB">
              <w:rPr>
                <w:bCs/>
              </w:rPr>
              <w:t>shared vision</w:t>
            </w:r>
            <w:r w:rsidR="003B4BFE">
              <w:rPr>
                <w:bCs/>
              </w:rPr>
              <w:t xml:space="preserve"> was </w:t>
            </w:r>
            <w:r w:rsidR="00D772D2">
              <w:rPr>
                <w:bCs/>
              </w:rPr>
              <w:t>integrated</w:t>
            </w:r>
            <w:r w:rsidR="00443403">
              <w:rPr>
                <w:bCs/>
              </w:rPr>
              <w:t xml:space="preserve"> in</w:t>
            </w:r>
            <w:r w:rsidR="007A7B63">
              <w:rPr>
                <w:bCs/>
              </w:rPr>
              <w:t>to</w:t>
            </w:r>
            <w:r w:rsidR="003B4BFE">
              <w:rPr>
                <w:bCs/>
              </w:rPr>
              <w:t xml:space="preserve"> unit design</w:t>
            </w:r>
            <w:r w:rsidR="00443403">
              <w:rPr>
                <w:bCs/>
              </w:rPr>
              <w:t xml:space="preserve">, </w:t>
            </w:r>
            <w:proofErr w:type="gramStart"/>
            <w:r w:rsidR="00443403">
              <w:rPr>
                <w:bCs/>
              </w:rPr>
              <w:t>assessments</w:t>
            </w:r>
            <w:proofErr w:type="gramEnd"/>
            <w:r w:rsidR="00443403">
              <w:rPr>
                <w:bCs/>
              </w:rPr>
              <w:t xml:space="preserve"> and professional experience</w:t>
            </w:r>
            <w:r w:rsidR="009B252F">
              <w:rPr>
                <w:bCs/>
              </w:rPr>
              <w:t>s</w:t>
            </w:r>
            <w:r w:rsidR="00443403">
              <w:rPr>
                <w:bCs/>
              </w:rPr>
              <w:t xml:space="preserve"> to </w:t>
            </w:r>
            <w:r w:rsidR="007C3911">
              <w:rPr>
                <w:bCs/>
              </w:rPr>
              <w:t>create</w:t>
            </w:r>
            <w:r w:rsidR="0085494C">
              <w:rPr>
                <w:bCs/>
              </w:rPr>
              <w:t xml:space="preserve"> </w:t>
            </w:r>
            <w:r w:rsidR="00443403">
              <w:rPr>
                <w:bCs/>
              </w:rPr>
              <w:t xml:space="preserve">a coherent </w:t>
            </w:r>
            <w:r w:rsidR="0085494C">
              <w:rPr>
                <w:bCs/>
              </w:rPr>
              <w:t xml:space="preserve">ITE </w:t>
            </w:r>
            <w:r w:rsidR="00443403">
              <w:rPr>
                <w:bCs/>
              </w:rPr>
              <w:t>program.</w:t>
            </w:r>
            <w:r w:rsidR="0085494C">
              <w:rPr>
                <w:bCs/>
              </w:rPr>
              <w:t xml:space="preserve"> </w:t>
            </w:r>
            <w:r w:rsidR="00C14272">
              <w:rPr>
                <w:bCs/>
              </w:rPr>
              <w:t>The re</w:t>
            </w:r>
            <w:r w:rsidR="00CE1F4B">
              <w:rPr>
                <w:bCs/>
              </w:rPr>
              <w:t xml:space="preserve">design </w:t>
            </w:r>
            <w:r w:rsidR="004E0304">
              <w:rPr>
                <w:bCs/>
              </w:rPr>
              <w:t xml:space="preserve">prioritised the </w:t>
            </w:r>
            <w:r w:rsidR="004E0304" w:rsidRPr="008E04BC">
              <w:rPr>
                <w:bCs/>
              </w:rPr>
              <w:t>link between theory and practice</w:t>
            </w:r>
            <w:r w:rsidR="002A5AAB">
              <w:rPr>
                <w:bCs/>
              </w:rPr>
              <w:t xml:space="preserve">, </w:t>
            </w:r>
            <w:r w:rsidR="001323DB">
              <w:rPr>
                <w:bCs/>
              </w:rPr>
              <w:t>structur</w:t>
            </w:r>
            <w:r w:rsidR="004A262F">
              <w:rPr>
                <w:bCs/>
              </w:rPr>
              <w:t>ing</w:t>
            </w:r>
            <w:r w:rsidR="00D35511">
              <w:rPr>
                <w:bCs/>
              </w:rPr>
              <w:t xml:space="preserve"> units</w:t>
            </w:r>
            <w:r w:rsidR="00E414F2">
              <w:rPr>
                <w:bCs/>
              </w:rPr>
              <w:t xml:space="preserve"> </w:t>
            </w:r>
            <w:r w:rsidR="007C3911">
              <w:rPr>
                <w:bCs/>
              </w:rPr>
              <w:t xml:space="preserve">for </w:t>
            </w:r>
            <w:r w:rsidR="00524BFC">
              <w:rPr>
                <w:bCs/>
              </w:rPr>
              <w:t>progressive</w:t>
            </w:r>
            <w:r w:rsidR="00E414F2">
              <w:rPr>
                <w:bCs/>
              </w:rPr>
              <w:t xml:space="preserve"> learning and incorporat</w:t>
            </w:r>
            <w:r w:rsidR="004A262F">
              <w:rPr>
                <w:bCs/>
              </w:rPr>
              <w:t>ing</w:t>
            </w:r>
            <w:r w:rsidR="00E414F2">
              <w:rPr>
                <w:bCs/>
              </w:rPr>
              <w:t xml:space="preserve"> </w:t>
            </w:r>
            <w:r w:rsidR="00E414F2" w:rsidRPr="004A262F">
              <w:rPr>
                <w:b/>
              </w:rPr>
              <w:t>practical assessments</w:t>
            </w:r>
            <w:r w:rsidR="00E414F2">
              <w:rPr>
                <w:bCs/>
              </w:rPr>
              <w:t xml:space="preserve"> into coursework</w:t>
            </w:r>
            <w:r w:rsidR="00073F5D">
              <w:rPr>
                <w:bCs/>
              </w:rPr>
              <w:t xml:space="preserve"> to embed </w:t>
            </w:r>
            <w:r w:rsidR="00C87BB1">
              <w:rPr>
                <w:bCs/>
              </w:rPr>
              <w:t>knowledge</w:t>
            </w:r>
            <w:r w:rsidR="001323DB">
              <w:rPr>
                <w:bCs/>
              </w:rPr>
              <w:t xml:space="preserve"> </w:t>
            </w:r>
            <w:r w:rsidR="008C1A3C">
              <w:rPr>
                <w:bCs/>
              </w:rPr>
              <w:fldChar w:fldCharType="begin"/>
            </w:r>
            <w:r w:rsidR="008C1A3C">
              <w:rPr>
                <w:bCs/>
              </w:rPr>
              <w:instrText xml:space="preserve"> ADDIN ZOTERO_ITEM CSL_CITATION {"citationID":"w2ejr0VD","properties":{"formattedCitation":"(Darling-Hammond et al. 2010)","plainCitation":"(Darling-Hammond et al. 2010)","noteIndex":0},"citationItems":[{"id":17690,"uris":["http://zotero.org/users/10549213/items/6YMZZERS"],"itemData":{"id":17690,"type":"article-journal","abstract":"This paper considers a set of research and assessment strategies used to evaluate programme outcomes in the Stanford Teacher Education Programme (STEP) during a period of programme redesign over 10 years. These strategies include surveys and interviews of students’ perceptions of programme elements and their own preparedness, observations of their practice during and after teacher education, evaluations of their practice on a structured portfolio of practice (the Performance Assessment for California Teachers (PACT)) and analyses of the effects of a sample of graduates of STEP and other programmes on student outcomes, including value‐added measures. While the studies were able to ascertain that the students of STEP graduates had strong value‐added learning gains, the paper concludes that the use of student learning data alone as a measure of teacher effectiveness does not help guide decisions related to programme improvement, and a range of approaches is required. In addition it suggests that there will be continuing concerns about the narrowness of the learning measured by standardised tests, and about the many challenges of collecting and analysing such data in ways that overcome the technical and practical problems associated with their use.","container-title":"Journal of Education for Teaching","DOI":"10.1080/02607476.2010.513844","journalAbbreviation":"Journal of Education for Teaching","page":"369-388","source":"ResearchGate","title":"Evaluating teacher education outcomes: a study of the Stanford Teacher Education Programme","title-short":"Evaluating teacher education outcomes","volume":"36","author":[{"family":"Darling-Hammond","given":"Linda"},{"family":"Newton","given":"Xiaoxia"},{"family":"Wei","given":"Ruth"}],"issued":{"date-parts":[["2010",11,1]]}}}],"schema":"https://github.com/citation-style-language/schema/raw/master/csl-citation.json"} </w:instrText>
            </w:r>
            <w:r w:rsidR="008C1A3C">
              <w:rPr>
                <w:bCs/>
              </w:rPr>
              <w:fldChar w:fldCharType="separate"/>
            </w:r>
            <w:r w:rsidR="008C1A3C" w:rsidRPr="008C1A3C">
              <w:t>(Darling-Hammond et al. 2010)</w:t>
            </w:r>
            <w:r w:rsidR="008C1A3C">
              <w:rPr>
                <w:bCs/>
              </w:rPr>
              <w:fldChar w:fldCharType="end"/>
            </w:r>
            <w:r w:rsidR="00EF7BF0">
              <w:rPr>
                <w:bCs/>
              </w:rPr>
              <w:t>.</w:t>
            </w:r>
          </w:p>
          <w:p w14:paraId="18845399" w14:textId="464D535C" w:rsidR="00B96891" w:rsidRDefault="00B25ED9" w:rsidP="00EE224E">
            <w:r>
              <w:rPr>
                <w:bCs/>
              </w:rPr>
              <w:t>To enhance</w:t>
            </w:r>
            <w:r w:rsidR="001C1FB5">
              <w:rPr>
                <w:bCs/>
              </w:rPr>
              <w:t xml:space="preserve"> professional experience placements</w:t>
            </w:r>
            <w:r>
              <w:rPr>
                <w:bCs/>
              </w:rPr>
              <w:t xml:space="preserve">, </w:t>
            </w:r>
            <w:r w:rsidR="000C54BA">
              <w:rPr>
                <w:bCs/>
              </w:rPr>
              <w:t xml:space="preserve">STEP built </w:t>
            </w:r>
            <w:r w:rsidR="00855340" w:rsidRPr="00471135">
              <w:rPr>
                <w:b/>
              </w:rPr>
              <w:t xml:space="preserve">strong relationships </w:t>
            </w:r>
            <w:r w:rsidR="00855340" w:rsidRPr="00B20B07">
              <w:rPr>
                <w:bCs/>
              </w:rPr>
              <w:t>with schools</w:t>
            </w:r>
            <w:r w:rsidR="00855340">
              <w:rPr>
                <w:bCs/>
              </w:rPr>
              <w:t xml:space="preserve"> </w:t>
            </w:r>
            <w:r w:rsidR="000C54BA">
              <w:rPr>
                <w:bCs/>
              </w:rPr>
              <w:t xml:space="preserve">to </w:t>
            </w:r>
            <w:r w:rsidR="00E64A23">
              <w:rPr>
                <w:bCs/>
              </w:rPr>
              <w:t>facilitate</w:t>
            </w:r>
            <w:r w:rsidR="00855340">
              <w:rPr>
                <w:bCs/>
              </w:rPr>
              <w:t xml:space="preserve"> a </w:t>
            </w:r>
            <w:r w:rsidR="00F5350F">
              <w:rPr>
                <w:bCs/>
              </w:rPr>
              <w:t>consistent</w:t>
            </w:r>
            <w:r w:rsidR="00855340">
              <w:rPr>
                <w:bCs/>
              </w:rPr>
              <w:t xml:space="preserve"> vision of effective teaching </w:t>
            </w:r>
            <w:r>
              <w:rPr>
                <w:bCs/>
              </w:rPr>
              <w:t>practice</w:t>
            </w:r>
            <w:r w:rsidR="00562C98">
              <w:rPr>
                <w:bCs/>
              </w:rPr>
              <w:t xml:space="preserve">, </w:t>
            </w:r>
            <w:r w:rsidR="00D06490">
              <w:rPr>
                <w:bCs/>
              </w:rPr>
              <w:t>outline</w:t>
            </w:r>
            <w:r w:rsidR="00992B81">
              <w:rPr>
                <w:bCs/>
              </w:rPr>
              <w:t xml:space="preserve"> </w:t>
            </w:r>
            <w:r w:rsidR="006844C9">
              <w:rPr>
                <w:bCs/>
              </w:rPr>
              <w:t xml:space="preserve">clear expectations </w:t>
            </w:r>
            <w:r w:rsidR="0004373B">
              <w:rPr>
                <w:bCs/>
              </w:rPr>
              <w:t xml:space="preserve">and calibrated responsibility </w:t>
            </w:r>
            <w:r w:rsidR="006844C9">
              <w:rPr>
                <w:bCs/>
              </w:rPr>
              <w:t>for pre-service teacher</w:t>
            </w:r>
            <w:r w:rsidR="00A70824">
              <w:rPr>
                <w:bCs/>
              </w:rPr>
              <w:t>s in schools,</w:t>
            </w:r>
            <w:r w:rsidR="006844C9">
              <w:rPr>
                <w:bCs/>
              </w:rPr>
              <w:t xml:space="preserve"> and </w:t>
            </w:r>
            <w:r w:rsidR="00992B81">
              <w:rPr>
                <w:bCs/>
              </w:rPr>
              <w:t>ensure access to</w:t>
            </w:r>
            <w:r w:rsidR="00C13E90">
              <w:rPr>
                <w:bCs/>
              </w:rPr>
              <w:t xml:space="preserve"> quality, trained supervisors.</w:t>
            </w:r>
            <w:r w:rsidR="00FB4EDC">
              <w:rPr>
                <w:bCs/>
              </w:rPr>
              <w:t xml:space="preserve"> The </w:t>
            </w:r>
            <w:r w:rsidR="0059629A">
              <w:rPr>
                <w:bCs/>
              </w:rPr>
              <w:t>collaboration</w:t>
            </w:r>
            <w:r w:rsidR="00FB4EDC">
              <w:rPr>
                <w:bCs/>
              </w:rPr>
              <w:t xml:space="preserve"> between STEP and schools </w:t>
            </w:r>
            <w:r w:rsidR="00244AF2">
              <w:rPr>
                <w:bCs/>
              </w:rPr>
              <w:t>has informed curriculum restructure and provides an opportunity to address both groups’ needs</w:t>
            </w:r>
            <w:r w:rsidR="00EE224E">
              <w:rPr>
                <w:bCs/>
              </w:rPr>
              <w:t xml:space="preserve"> </w:t>
            </w:r>
            <w:r w:rsidR="00EE224E">
              <w:rPr>
                <w:bCs/>
              </w:rPr>
              <w:fldChar w:fldCharType="begin"/>
            </w:r>
            <w:r w:rsidR="00EE224E">
              <w:rPr>
                <w:bCs/>
              </w:rPr>
              <w:instrText xml:space="preserve"> ADDIN ZOTERO_ITEM CSL_CITATION {"citationID":"JTeOHPit","properties":{"formattedCitation":"(Darling-Hammond et al. 2010)","plainCitation":"(Darling-Hammond et al. 2010)","noteIndex":0},"citationItems":[{"id":17690,"uris":["http://zotero.org/users/10549213/items/6YMZZERS"],"itemData":{"id":17690,"type":"article-journal","abstract":"This paper considers a set of research and assessment strategies used to evaluate programme outcomes in the Stanford Teacher Education Programme (STEP) during a period of programme redesign over 10 years. These strategies include surveys and interviews of students’ perceptions of programme elements and their own preparedness, observations of their practice during and after teacher education, evaluations of their practice on a structured portfolio of practice (the Performance Assessment for California Teachers (PACT)) and analyses of the effects of a sample of graduates of STEP and other programmes on student outcomes, including value‐added measures. While the studies were able to ascertain that the students of STEP graduates had strong value‐added learning gains, the paper concludes that the use of student learning data alone as a measure of teacher effectiveness does not help guide decisions related to programme improvement, and a range of approaches is required. In addition it suggests that there will be continuing concerns about the narrowness of the learning measured by standardised tests, and about the many challenges of collecting and analysing such data in ways that overcome the technical and practical problems associated with their use.","container-title":"Journal of Education for Teaching","DOI":"10.1080/02607476.2010.513844","journalAbbreviation":"Journal of Education for Teaching","page":"369-388","source":"ResearchGate","title":"Evaluating teacher education outcomes: a study of the Stanford Teacher Education Programme","title-short":"Evaluating teacher education outcomes","volume":"36","author":[{"family":"Darling-Hammond","given":"Linda"},{"family":"Newton","given":"Xiaoxia"},{"family":"Wei","given":"Ruth"}],"issued":{"date-parts":[["2010",11,1]]}}}],"schema":"https://github.com/citation-style-language/schema/raw/master/csl-citation.json"} </w:instrText>
            </w:r>
            <w:r w:rsidR="00EE224E">
              <w:rPr>
                <w:bCs/>
              </w:rPr>
              <w:fldChar w:fldCharType="separate"/>
            </w:r>
            <w:r w:rsidR="00EE224E" w:rsidRPr="00EE224E">
              <w:t>(Darling-Hammond et al. 2010)</w:t>
            </w:r>
            <w:r w:rsidR="00EE224E">
              <w:rPr>
                <w:bCs/>
              </w:rPr>
              <w:fldChar w:fldCharType="end"/>
            </w:r>
            <w:r w:rsidR="00244AF2">
              <w:rPr>
                <w:bCs/>
              </w:rPr>
              <w:t>.</w:t>
            </w:r>
            <w:r w:rsidR="00CC7357">
              <w:rPr>
                <w:bCs/>
              </w:rPr>
              <w:t xml:space="preserve"> </w:t>
            </w:r>
          </w:p>
          <w:p w14:paraId="3B30B2DE" w14:textId="31A4E386" w:rsidR="001323DB" w:rsidRDefault="003E53E1" w:rsidP="0037678F">
            <w:pPr>
              <w:rPr>
                <w:bCs/>
              </w:rPr>
            </w:pPr>
            <w:r>
              <w:rPr>
                <w:bCs/>
              </w:rPr>
              <w:t xml:space="preserve">As </w:t>
            </w:r>
            <w:r w:rsidR="00387550">
              <w:rPr>
                <w:bCs/>
              </w:rPr>
              <w:t>S</w:t>
            </w:r>
            <w:r w:rsidR="00B0485B">
              <w:rPr>
                <w:bCs/>
              </w:rPr>
              <w:t>tanford is a research university</w:t>
            </w:r>
            <w:r w:rsidR="00D95623">
              <w:rPr>
                <w:bCs/>
              </w:rPr>
              <w:t xml:space="preserve">, pre-service teachers </w:t>
            </w:r>
            <w:proofErr w:type="gramStart"/>
            <w:r w:rsidR="00D95623">
              <w:rPr>
                <w:bCs/>
              </w:rPr>
              <w:t>have the opportunity to</w:t>
            </w:r>
            <w:proofErr w:type="gramEnd"/>
            <w:r w:rsidR="00D95623">
              <w:rPr>
                <w:bCs/>
              </w:rPr>
              <w:t xml:space="preserve"> experience research p</w:t>
            </w:r>
            <w:r w:rsidR="0096110D">
              <w:rPr>
                <w:bCs/>
              </w:rPr>
              <w:t xml:space="preserve">artnerships </w:t>
            </w:r>
            <w:r w:rsidR="00E930EE">
              <w:rPr>
                <w:bCs/>
              </w:rPr>
              <w:t>that connect theory and practice.</w:t>
            </w:r>
            <w:r w:rsidR="008426BF">
              <w:rPr>
                <w:bCs/>
              </w:rPr>
              <w:t xml:space="preserve"> </w:t>
            </w:r>
            <w:hyperlink r:id="rId20" w:history="1">
              <w:r w:rsidR="00B74159" w:rsidRPr="008A6F9A">
                <w:rPr>
                  <w:rStyle w:val="Hyperlink"/>
                  <w:bCs/>
                </w:rPr>
                <w:t>Research</w:t>
              </w:r>
              <w:r w:rsidR="002418EF" w:rsidRPr="008A6F9A">
                <w:rPr>
                  <w:rStyle w:val="Hyperlink"/>
                  <w:bCs/>
                </w:rPr>
                <w:t xml:space="preserve"> </w:t>
              </w:r>
              <w:r w:rsidR="00586E40" w:rsidRPr="008A6F9A">
                <w:rPr>
                  <w:rStyle w:val="Hyperlink"/>
                  <w:bCs/>
                </w:rPr>
                <w:t>partnerships</w:t>
              </w:r>
            </w:hyperlink>
            <w:r w:rsidR="00586E40">
              <w:rPr>
                <w:bCs/>
              </w:rPr>
              <w:t xml:space="preserve"> </w:t>
            </w:r>
            <w:r w:rsidR="00B74159">
              <w:rPr>
                <w:bCs/>
              </w:rPr>
              <w:t>with schools</w:t>
            </w:r>
            <w:r w:rsidR="008A6F9A">
              <w:rPr>
                <w:bCs/>
              </w:rPr>
              <w:t xml:space="preserve"> and</w:t>
            </w:r>
            <w:r w:rsidR="00B74159">
              <w:rPr>
                <w:bCs/>
              </w:rPr>
              <w:t xml:space="preserve"> </w:t>
            </w:r>
            <w:r w:rsidR="00D554C8">
              <w:rPr>
                <w:bCs/>
              </w:rPr>
              <w:t>school districts</w:t>
            </w:r>
            <w:r w:rsidR="00B74159">
              <w:rPr>
                <w:bCs/>
              </w:rPr>
              <w:t xml:space="preserve"> </w:t>
            </w:r>
            <w:r w:rsidR="008426BF">
              <w:rPr>
                <w:bCs/>
              </w:rPr>
              <w:t>enable</w:t>
            </w:r>
            <w:r w:rsidR="002418EF">
              <w:rPr>
                <w:bCs/>
              </w:rPr>
              <w:t xml:space="preserve"> STEP</w:t>
            </w:r>
            <w:r w:rsidR="00D40689">
              <w:rPr>
                <w:bCs/>
              </w:rPr>
              <w:t xml:space="preserve"> </w:t>
            </w:r>
            <w:r w:rsidR="00EB335A">
              <w:rPr>
                <w:bCs/>
              </w:rPr>
              <w:t>to learn from real world practice</w:t>
            </w:r>
            <w:r w:rsidR="002418EF">
              <w:rPr>
                <w:bCs/>
              </w:rPr>
              <w:t xml:space="preserve"> in schools</w:t>
            </w:r>
            <w:r w:rsidR="00EB335A">
              <w:rPr>
                <w:bCs/>
              </w:rPr>
              <w:t xml:space="preserve">, while </w:t>
            </w:r>
            <w:r w:rsidR="009B241F">
              <w:rPr>
                <w:bCs/>
              </w:rPr>
              <w:t xml:space="preserve">schools </w:t>
            </w:r>
            <w:r w:rsidR="008426BF">
              <w:rPr>
                <w:bCs/>
              </w:rPr>
              <w:t>gain</w:t>
            </w:r>
            <w:r w:rsidR="00E56139">
              <w:rPr>
                <w:bCs/>
              </w:rPr>
              <w:t xml:space="preserve"> access to</w:t>
            </w:r>
            <w:r w:rsidR="009B241F">
              <w:rPr>
                <w:bCs/>
              </w:rPr>
              <w:t xml:space="preserve"> </w:t>
            </w:r>
            <w:r w:rsidR="00E56139">
              <w:rPr>
                <w:bCs/>
              </w:rPr>
              <w:t>innovative education research.</w:t>
            </w:r>
            <w:r w:rsidR="0037678F">
              <w:rPr>
                <w:bCs/>
              </w:rPr>
              <w:t xml:space="preserve"> </w:t>
            </w:r>
          </w:p>
          <w:p w14:paraId="7B97C35B" w14:textId="69E30998" w:rsidR="0037678F" w:rsidRPr="009A0209" w:rsidRDefault="00E74CEE" w:rsidP="0037678F">
            <w:pPr>
              <w:rPr>
                <w:bCs/>
              </w:rPr>
            </w:pPr>
            <w:hyperlink r:id="rId21" w:history="1">
              <w:r w:rsidR="00437444" w:rsidRPr="00D279CB">
                <w:rPr>
                  <w:rStyle w:val="Hyperlink"/>
                  <w:bCs/>
                </w:rPr>
                <w:t>C</w:t>
              </w:r>
              <w:r w:rsidR="00B31D9B" w:rsidRPr="00D279CB">
                <w:rPr>
                  <w:rStyle w:val="Hyperlink"/>
                  <w:bCs/>
                </w:rPr>
                <w:t xml:space="preserve">lose relationships </w:t>
              </w:r>
              <w:r w:rsidR="00DC417D" w:rsidRPr="00D279CB">
                <w:rPr>
                  <w:rStyle w:val="Hyperlink"/>
                  <w:bCs/>
                </w:rPr>
                <w:t>support</w:t>
              </w:r>
              <w:r w:rsidR="00870F38" w:rsidRPr="00D279CB">
                <w:rPr>
                  <w:rStyle w:val="Hyperlink"/>
                  <w:bCs/>
                </w:rPr>
                <w:t xml:space="preserve"> pre-service teacher placements</w:t>
              </w:r>
            </w:hyperlink>
            <w:r w:rsidR="00095CD1">
              <w:rPr>
                <w:bCs/>
              </w:rPr>
              <w:t>, which</w:t>
            </w:r>
            <w:r w:rsidR="00870F38">
              <w:rPr>
                <w:bCs/>
              </w:rPr>
              <w:t xml:space="preserve"> are</w:t>
            </w:r>
            <w:r w:rsidR="00095CD1">
              <w:rPr>
                <w:bCs/>
              </w:rPr>
              <w:t xml:space="preserve"> </w:t>
            </w:r>
            <w:r w:rsidR="00870F38">
              <w:rPr>
                <w:bCs/>
              </w:rPr>
              <w:t>enhanced by</w:t>
            </w:r>
            <w:r w:rsidR="00DC417D">
              <w:rPr>
                <w:bCs/>
              </w:rPr>
              <w:t xml:space="preserve"> </w:t>
            </w:r>
            <w:r w:rsidR="00870F38">
              <w:rPr>
                <w:bCs/>
              </w:rPr>
              <w:t>quality</w:t>
            </w:r>
            <w:r w:rsidR="00DC417D">
              <w:rPr>
                <w:bCs/>
              </w:rPr>
              <w:t xml:space="preserve"> mentoring </w:t>
            </w:r>
            <w:r w:rsidR="00FF1B0F">
              <w:rPr>
                <w:bCs/>
              </w:rPr>
              <w:t>from both</w:t>
            </w:r>
            <w:r w:rsidR="00DC417D">
              <w:rPr>
                <w:bCs/>
              </w:rPr>
              <w:t xml:space="preserve"> STEP supervisory staff and </w:t>
            </w:r>
            <w:r w:rsidR="007E668D">
              <w:rPr>
                <w:bCs/>
              </w:rPr>
              <w:t xml:space="preserve">expert </w:t>
            </w:r>
            <w:r w:rsidR="00D915A3">
              <w:rPr>
                <w:bCs/>
              </w:rPr>
              <w:t>school supervisors</w:t>
            </w:r>
            <w:r w:rsidR="00FF1B0F">
              <w:rPr>
                <w:bCs/>
              </w:rPr>
              <w:t>.</w:t>
            </w:r>
            <w:r w:rsidR="001E36C1">
              <w:rPr>
                <w:bCs/>
              </w:rPr>
              <w:t xml:space="preserve"> Importantly, the relationships between STEP and schools extend to </w:t>
            </w:r>
            <w:r w:rsidR="00A64A14">
              <w:rPr>
                <w:bCs/>
              </w:rPr>
              <w:t>broader</w:t>
            </w:r>
            <w:r w:rsidR="001E36C1">
              <w:rPr>
                <w:bCs/>
              </w:rPr>
              <w:t xml:space="preserve"> faculty </w:t>
            </w:r>
            <w:r w:rsidR="006E325D">
              <w:rPr>
                <w:bCs/>
              </w:rPr>
              <w:t xml:space="preserve">and school-based </w:t>
            </w:r>
            <w:r w:rsidR="001E36C1">
              <w:rPr>
                <w:bCs/>
              </w:rPr>
              <w:t>staff</w:t>
            </w:r>
            <w:r w:rsidR="00BF6ACF">
              <w:rPr>
                <w:bCs/>
              </w:rPr>
              <w:t xml:space="preserve">, who provide administrative support for pre-service teachers and </w:t>
            </w:r>
            <w:r w:rsidR="0085632D">
              <w:rPr>
                <w:bCs/>
              </w:rPr>
              <w:t>promote program coherence and consistency</w:t>
            </w:r>
            <w:r w:rsidR="00BF6ACF">
              <w:rPr>
                <w:bCs/>
              </w:rPr>
              <w:t>.</w:t>
            </w:r>
          </w:p>
        </w:tc>
      </w:tr>
    </w:tbl>
    <w:p w14:paraId="278FF9A0" w14:textId="471E1ABB" w:rsidR="00A8376D" w:rsidRPr="005B646E" w:rsidRDefault="00A8376D">
      <w:pPr>
        <w:suppressAutoHyphens w:val="0"/>
        <w:spacing w:before="0" w:line="259" w:lineRule="auto"/>
        <w:rPr>
          <w:rFonts w:ascii="Montserrat SemiBold" w:eastAsiaTheme="majorEastAsia" w:hAnsi="Montserrat SemiBold" w:cstheme="majorBidi"/>
          <w:color w:val="00305E" w:themeColor="text2"/>
          <w:sz w:val="36"/>
          <w:szCs w:val="32"/>
        </w:rPr>
      </w:pPr>
    </w:p>
    <w:tbl>
      <w:tblPr>
        <w:tblStyle w:val="TableGridLight"/>
        <w:tblpPr w:leftFromText="180" w:rightFromText="180" w:vertAnchor="text" w:horzAnchor="margin" w:tblpY="105"/>
        <w:tblW w:w="0" w:type="auto"/>
        <w:tblLook w:val="04A0" w:firstRow="1" w:lastRow="0" w:firstColumn="1" w:lastColumn="0" w:noHBand="0" w:noVBand="1"/>
      </w:tblPr>
      <w:tblGrid>
        <w:gridCol w:w="9629"/>
      </w:tblGrid>
      <w:tr w:rsidR="00A8376D" w:rsidRPr="005B646E" w14:paraId="2F855800" w14:textId="77777777">
        <w:trPr>
          <w:cnfStyle w:val="100000000000" w:firstRow="1" w:lastRow="0" w:firstColumn="0" w:lastColumn="0" w:oddVBand="0" w:evenVBand="0" w:oddHBand="0" w:evenHBand="0" w:firstRowFirstColumn="0" w:firstRowLastColumn="0" w:lastRowFirstColumn="0" w:lastRowLastColumn="0"/>
        </w:trPr>
        <w:tc>
          <w:tcPr>
            <w:tcW w:w="9629" w:type="dxa"/>
          </w:tcPr>
          <w:p w14:paraId="1D0BA3E7" w14:textId="3DF725CC" w:rsidR="00A8376D" w:rsidRDefault="00DC12D0">
            <w:pPr>
              <w:suppressAutoHyphens w:val="0"/>
              <w:spacing w:before="0" w:line="259" w:lineRule="auto"/>
              <w:rPr>
                <w:b w:val="0"/>
              </w:rPr>
            </w:pPr>
            <w:r>
              <w:lastRenderedPageBreak/>
              <w:t>Case study</w:t>
            </w:r>
          </w:p>
          <w:p w14:paraId="02C08A46" w14:textId="336FD166" w:rsidR="00A8376D" w:rsidRPr="000C47AC" w:rsidRDefault="00E74CEE">
            <w:pPr>
              <w:suppressAutoHyphens w:val="0"/>
              <w:spacing w:before="0" w:line="259" w:lineRule="auto"/>
              <w:rPr>
                <w:bCs/>
              </w:rPr>
            </w:pPr>
            <w:hyperlink r:id="rId22" w:history="1">
              <w:r w:rsidR="00DC12D0" w:rsidRPr="000C47AC">
                <w:rPr>
                  <w:rStyle w:val="Hyperlink"/>
                  <w:bCs/>
                </w:rPr>
                <w:t xml:space="preserve">La Trobe </w:t>
              </w:r>
              <w:r w:rsidR="00950ECF" w:rsidRPr="000C47AC">
                <w:rPr>
                  <w:rStyle w:val="Hyperlink"/>
                  <w:bCs/>
                </w:rPr>
                <w:t>University, Australia</w:t>
              </w:r>
            </w:hyperlink>
          </w:p>
        </w:tc>
      </w:tr>
      <w:tr w:rsidR="00A8376D" w:rsidRPr="005B646E" w14:paraId="3A21F1B0" w14:textId="77777777">
        <w:tc>
          <w:tcPr>
            <w:tcW w:w="9629" w:type="dxa"/>
          </w:tcPr>
          <w:p w14:paraId="21956446" w14:textId="6152F4D6" w:rsidR="008B6393" w:rsidRDefault="00F5070B" w:rsidP="000C47AC">
            <w:r>
              <w:t>La Trobe University</w:t>
            </w:r>
            <w:r w:rsidR="00225C5D">
              <w:t xml:space="preserve"> </w:t>
            </w:r>
            <w:r w:rsidR="003265C2">
              <w:t xml:space="preserve">is a leading </w:t>
            </w:r>
            <w:r w:rsidR="00A90C03">
              <w:t>ITE p</w:t>
            </w:r>
            <w:r w:rsidR="003265C2">
              <w:t xml:space="preserve">rovider across Victoria, with ITE programs </w:t>
            </w:r>
            <w:r w:rsidR="000A4DAD">
              <w:t xml:space="preserve">and specialties </w:t>
            </w:r>
            <w:r w:rsidR="003265C2">
              <w:t xml:space="preserve">available in </w:t>
            </w:r>
            <w:r w:rsidR="00670B06">
              <w:t>Melbourne</w:t>
            </w:r>
            <w:r w:rsidR="001C16DF">
              <w:t xml:space="preserve"> </w:t>
            </w:r>
            <w:r w:rsidR="00670B06">
              <w:t xml:space="preserve">and </w:t>
            </w:r>
            <w:r w:rsidR="00ED0991">
              <w:t>all r</w:t>
            </w:r>
            <w:r w:rsidR="00553165">
              <w:t>egional</w:t>
            </w:r>
            <w:r w:rsidR="00670B06">
              <w:t xml:space="preserve"> campuses in </w:t>
            </w:r>
            <w:r w:rsidR="003265C2">
              <w:t>Bendigo, Shepparton, Albury-</w:t>
            </w:r>
            <w:proofErr w:type="gramStart"/>
            <w:r w:rsidR="003265C2">
              <w:t>Wodonga</w:t>
            </w:r>
            <w:proofErr w:type="gramEnd"/>
            <w:r w:rsidR="003265C2">
              <w:t xml:space="preserve"> and Mildura.</w:t>
            </w:r>
            <w:r w:rsidR="00571EEC">
              <w:t xml:space="preserve"> </w:t>
            </w:r>
            <w:r w:rsidR="000A4DAD">
              <w:t xml:space="preserve">The </w:t>
            </w:r>
            <w:r w:rsidR="00A73B43">
              <w:t xml:space="preserve">high </w:t>
            </w:r>
            <w:r w:rsidR="00D7040F">
              <w:t xml:space="preserve">program </w:t>
            </w:r>
            <w:r w:rsidR="008130B9">
              <w:t>completion</w:t>
            </w:r>
            <w:r w:rsidR="000B17B8">
              <w:t xml:space="preserve"> rate of </w:t>
            </w:r>
            <w:hyperlink r:id="rId23" w:history="1">
              <w:r w:rsidR="008130B9" w:rsidRPr="00D7040F">
                <w:rPr>
                  <w:rStyle w:val="Hyperlink"/>
                </w:rPr>
                <w:t xml:space="preserve">over </w:t>
              </w:r>
              <w:r w:rsidR="000B17B8" w:rsidRPr="00D7040F">
                <w:rPr>
                  <w:rStyle w:val="Hyperlink"/>
                </w:rPr>
                <w:t>7</w:t>
              </w:r>
              <w:r w:rsidR="00E42ED3" w:rsidRPr="00D7040F">
                <w:rPr>
                  <w:rStyle w:val="Hyperlink"/>
                </w:rPr>
                <w:t>0 percent</w:t>
              </w:r>
            </w:hyperlink>
            <w:r w:rsidR="00E42ED3">
              <w:t xml:space="preserve"> </w:t>
            </w:r>
            <w:r w:rsidR="009319A9">
              <w:t>for La Trobe’s ITE programs</w:t>
            </w:r>
            <w:r w:rsidR="00E42ED3">
              <w:t xml:space="preserve"> is </w:t>
            </w:r>
            <w:r w:rsidR="00BF4BB4">
              <w:t xml:space="preserve">well </w:t>
            </w:r>
            <w:r w:rsidR="00A73B43">
              <w:t>above</w:t>
            </w:r>
            <w:r w:rsidR="00E42ED3">
              <w:t xml:space="preserve"> the national average </w:t>
            </w:r>
            <w:r w:rsidR="00826381">
              <w:t xml:space="preserve">and </w:t>
            </w:r>
            <w:r w:rsidR="00A87D6A">
              <w:t>the majority of</w:t>
            </w:r>
            <w:r w:rsidR="00553165">
              <w:t xml:space="preserve"> </w:t>
            </w:r>
            <w:r w:rsidR="00C74DCB">
              <w:t>pre-service</w:t>
            </w:r>
            <w:r w:rsidR="00A87D6A">
              <w:t xml:space="preserve"> teachers</w:t>
            </w:r>
            <w:r w:rsidR="00553165">
              <w:t xml:space="preserve"> from regional campuses </w:t>
            </w:r>
            <w:r w:rsidR="00BF4BB4">
              <w:t xml:space="preserve">continue </w:t>
            </w:r>
            <w:r w:rsidR="00044159">
              <w:t xml:space="preserve">to work </w:t>
            </w:r>
            <w:r w:rsidR="00E24661">
              <w:t xml:space="preserve">in </w:t>
            </w:r>
            <w:r w:rsidR="00F873BE">
              <w:t xml:space="preserve">regional schools </w:t>
            </w:r>
            <w:r w:rsidR="00E24661">
              <w:t>after graduati</w:t>
            </w:r>
            <w:r w:rsidR="00D7040F">
              <w:t>on</w:t>
            </w:r>
            <w:r w:rsidR="00C932F0">
              <w:t xml:space="preserve"> </w:t>
            </w:r>
            <w:r w:rsidR="000129D5">
              <w:fldChar w:fldCharType="begin"/>
            </w:r>
            <w:r w:rsidR="000129D5">
              <w:instrText xml:space="preserve"> ADDIN ZOTERO_ITEM CSL_CITATION {"citationID":"XZIudqmG","properties":{"formattedCitation":"(La Trobe University 2021)","plainCitation":"(La Trobe University 2021)","noteIndex":0},"citationItems":[{"id":17694,"uris":["http://zotero.org/users/10549213/items/4MD6E548"],"itemData":{"id":17694,"type":"report","event-place":"Melbourne, Victoria","publisher":"La Trobe University","publisher-place":"Melbourne, Victoria","title":"La Trobe University's response to the Department of Education, Skills and Employment (DESE). Quality Initial Teacher Education Review","author":[{"family":"La Trobe University","given":""}],"issued":{"date-parts":[["2021"]]}}}],"schema":"https://github.com/citation-style-language/schema/raw/master/csl-citation.json"} </w:instrText>
            </w:r>
            <w:r w:rsidR="000129D5">
              <w:fldChar w:fldCharType="separate"/>
            </w:r>
            <w:r w:rsidR="000129D5" w:rsidRPr="000129D5">
              <w:t>(La Trobe University 2021)</w:t>
            </w:r>
            <w:r w:rsidR="000129D5">
              <w:fldChar w:fldCharType="end"/>
            </w:r>
            <w:r w:rsidR="00D47841">
              <w:t>.</w:t>
            </w:r>
          </w:p>
          <w:p w14:paraId="4E763E29" w14:textId="151FF9C4" w:rsidR="007809A9" w:rsidRDefault="00D47841" w:rsidP="007809A9">
            <w:r>
              <w:t xml:space="preserve">Over the past few years, La Trobe University has </w:t>
            </w:r>
            <w:r w:rsidR="00CC3929">
              <w:t>reviewed and redesigned its ITE programs to</w:t>
            </w:r>
            <w:r w:rsidR="00791593">
              <w:t xml:space="preserve"> </w:t>
            </w:r>
            <w:r w:rsidR="00FB39C9">
              <w:t xml:space="preserve">develop a </w:t>
            </w:r>
            <w:hyperlink r:id="rId24" w:history="1">
              <w:r w:rsidR="00FB39C9" w:rsidRPr="004A5192">
                <w:rPr>
                  <w:rStyle w:val="Hyperlink"/>
                </w:rPr>
                <w:t xml:space="preserve">high-quality </w:t>
              </w:r>
              <w:r w:rsidR="00A059C9" w:rsidRPr="004A5192">
                <w:rPr>
                  <w:rStyle w:val="Hyperlink"/>
                </w:rPr>
                <w:t>curriculum</w:t>
              </w:r>
              <w:r w:rsidR="00FB39C9" w:rsidRPr="0082409C">
                <w:rPr>
                  <w:rStyle w:val="Hyperlink"/>
                </w:rPr>
                <w:t xml:space="preserve"> that </w:t>
              </w:r>
              <w:r w:rsidR="001958E2" w:rsidRPr="0082409C">
                <w:rPr>
                  <w:rStyle w:val="Hyperlink"/>
                </w:rPr>
                <w:t>integrates</w:t>
              </w:r>
              <w:r w:rsidR="00895F0C" w:rsidRPr="0082409C">
                <w:rPr>
                  <w:rStyle w:val="Hyperlink"/>
                </w:rPr>
                <w:t xml:space="preserve"> evidence-based approaches</w:t>
              </w:r>
            </w:hyperlink>
            <w:r w:rsidR="00895F0C">
              <w:t xml:space="preserve"> into </w:t>
            </w:r>
            <w:r w:rsidR="00A1677F">
              <w:t>coursework to develop teachers’ skills.</w:t>
            </w:r>
            <w:r w:rsidR="00440FE3">
              <w:t xml:space="preserve"> The redesign </w:t>
            </w:r>
            <w:r w:rsidR="007568B8">
              <w:t xml:space="preserve">prioritises the science of learning and </w:t>
            </w:r>
            <w:r w:rsidR="007568B8" w:rsidRPr="001319BA">
              <w:rPr>
                <w:b/>
                <w:bCs/>
              </w:rPr>
              <w:t>links theory to practice</w:t>
            </w:r>
            <w:r w:rsidR="007568B8">
              <w:t xml:space="preserve"> to develop classroom-ready graduate teachers.</w:t>
            </w:r>
            <w:r w:rsidR="007809A9">
              <w:t xml:space="preserve"> The redesigned Bachelor of Education provides a </w:t>
            </w:r>
            <w:r w:rsidR="007809A9" w:rsidRPr="004A5192">
              <w:rPr>
                <w:b/>
                <w:bCs/>
              </w:rPr>
              <w:t xml:space="preserve">core </w:t>
            </w:r>
            <w:r w:rsidR="00A059C9" w:rsidRPr="004A5192">
              <w:rPr>
                <w:b/>
                <w:bCs/>
              </w:rPr>
              <w:t>curriculum</w:t>
            </w:r>
            <w:r w:rsidR="007809A9">
              <w:t xml:space="preserve"> for all pre-service teachers (</w:t>
            </w:r>
            <w:r w:rsidR="007809A9" w:rsidRPr="00D4516B">
              <w:t xml:space="preserve">Early Childhood, Primary and Secondary) </w:t>
            </w:r>
            <w:r w:rsidR="007809A9">
              <w:t>to complete as a cohort in their first year</w:t>
            </w:r>
            <w:r w:rsidR="006812CC">
              <w:t xml:space="preserve"> </w:t>
            </w:r>
            <w:proofErr w:type="gramStart"/>
            <w:r w:rsidR="006812CC">
              <w:t>in order</w:t>
            </w:r>
            <w:r w:rsidR="007809A9">
              <w:t xml:space="preserve"> to</w:t>
            </w:r>
            <w:proofErr w:type="gramEnd"/>
            <w:r w:rsidR="007809A9">
              <w:t xml:space="preserve"> build understanding and collaboration across all specialties.</w:t>
            </w:r>
          </w:p>
          <w:p w14:paraId="108C7CBD" w14:textId="6D15ACED" w:rsidR="00557E8C" w:rsidRDefault="00A1677F" w:rsidP="000C47AC">
            <w:r>
              <w:t xml:space="preserve">Research from the </w:t>
            </w:r>
            <w:hyperlink r:id="rId25" w:history="1">
              <w:r w:rsidR="00FB0F1A" w:rsidRPr="006E480D">
                <w:rPr>
                  <w:rStyle w:val="Hyperlink"/>
                </w:rPr>
                <w:t>La Trobe Science of Language and Reading (SOLAR) Lab</w:t>
              </w:r>
            </w:hyperlink>
            <w:r w:rsidR="00FB0F1A">
              <w:t xml:space="preserve"> is embedded</w:t>
            </w:r>
            <w:r w:rsidR="008B3878">
              <w:t xml:space="preserve"> into ITE programs to </w:t>
            </w:r>
            <w:r w:rsidR="00C77B07">
              <w:t xml:space="preserve">provide pre-service teachers with an evidence-based toolkit to </w:t>
            </w:r>
            <w:r w:rsidR="006B0A42">
              <w:t xml:space="preserve">teach and </w:t>
            </w:r>
            <w:r w:rsidR="00C77B07">
              <w:t xml:space="preserve">address </w:t>
            </w:r>
            <w:r w:rsidR="006B0A42">
              <w:t xml:space="preserve">reading </w:t>
            </w:r>
            <w:r w:rsidR="00C77B07">
              <w:t xml:space="preserve">challenges </w:t>
            </w:r>
            <w:r w:rsidR="00C55EB3">
              <w:t>in schools.</w:t>
            </w:r>
            <w:r w:rsidR="00117AC1">
              <w:t xml:space="preserve"> </w:t>
            </w:r>
            <w:r w:rsidR="00F01949">
              <w:t xml:space="preserve">The </w:t>
            </w:r>
            <w:r w:rsidR="00117AC1">
              <w:t xml:space="preserve">SOLAR Lab also </w:t>
            </w:r>
            <w:r w:rsidR="00F01949">
              <w:t>provides</w:t>
            </w:r>
            <w:r w:rsidR="00117AC1">
              <w:t xml:space="preserve"> opportunities for </w:t>
            </w:r>
            <w:r w:rsidR="007D5870">
              <w:t>current practising</w:t>
            </w:r>
            <w:r w:rsidR="00117AC1">
              <w:t xml:space="preserve"> teachers to upskill</w:t>
            </w:r>
            <w:r w:rsidR="00380487">
              <w:t xml:space="preserve"> through short courses and </w:t>
            </w:r>
            <w:r w:rsidR="00B94F4A">
              <w:t>direct engagement with schools.</w:t>
            </w:r>
          </w:p>
          <w:p w14:paraId="32AF57AD" w14:textId="3854DDF2" w:rsidR="00555504" w:rsidRDefault="00A31214" w:rsidP="000C47AC">
            <w:r>
              <w:t xml:space="preserve">La Trobe University identifies that </w:t>
            </w:r>
            <w:r w:rsidR="005679A9" w:rsidRPr="004A5192">
              <w:rPr>
                <w:b/>
                <w:bCs/>
              </w:rPr>
              <w:t>close</w:t>
            </w:r>
            <w:r w:rsidRPr="004A5192">
              <w:rPr>
                <w:b/>
                <w:bCs/>
              </w:rPr>
              <w:t xml:space="preserve"> relationships </w:t>
            </w:r>
            <w:r w:rsidR="000E3EF1" w:rsidRPr="004A5192">
              <w:rPr>
                <w:b/>
                <w:bCs/>
              </w:rPr>
              <w:t>with schools</w:t>
            </w:r>
            <w:r>
              <w:t xml:space="preserve"> </w:t>
            </w:r>
            <w:r w:rsidR="00A821E6">
              <w:t xml:space="preserve">are important </w:t>
            </w:r>
            <w:r w:rsidR="00A10E57">
              <w:t xml:space="preserve">to enable pre-service teachers to build skills </w:t>
            </w:r>
            <w:r w:rsidR="000A6849">
              <w:t>through real-world experience</w:t>
            </w:r>
            <w:r w:rsidR="00B67591">
              <w:t xml:space="preserve">. </w:t>
            </w:r>
            <w:r w:rsidR="006E3855">
              <w:t>Communit</w:t>
            </w:r>
            <w:r w:rsidR="00E5501A">
              <w:t>ies</w:t>
            </w:r>
            <w:r w:rsidR="006E3855">
              <w:t xml:space="preserve"> of Practice </w:t>
            </w:r>
            <w:r w:rsidR="00B67591">
              <w:t xml:space="preserve">provide opportunities </w:t>
            </w:r>
            <w:r w:rsidR="00ED50D1">
              <w:t>to</w:t>
            </w:r>
            <w:r w:rsidR="00CB78BA">
              <w:t xml:space="preserve"> connect </w:t>
            </w:r>
            <w:r w:rsidR="0050619E">
              <w:t xml:space="preserve">with other students </w:t>
            </w:r>
            <w:r w:rsidR="00CB78BA">
              <w:t xml:space="preserve">and learn from </w:t>
            </w:r>
            <w:r w:rsidR="00ED50D1">
              <w:t xml:space="preserve">experienced </w:t>
            </w:r>
            <w:r w:rsidR="0050619E">
              <w:t>teachers</w:t>
            </w:r>
            <w:r w:rsidR="00A47CB7">
              <w:t>.</w:t>
            </w:r>
            <w:r w:rsidR="00383BAB">
              <w:t xml:space="preserve"> </w:t>
            </w:r>
            <w:r w:rsidR="008577DE">
              <w:t xml:space="preserve">The University maintains a physical presence at partner schools to </w:t>
            </w:r>
            <w:r w:rsidR="00CC1E93">
              <w:t xml:space="preserve">support </w:t>
            </w:r>
            <w:r w:rsidR="00B020C9">
              <w:t>professional experience</w:t>
            </w:r>
            <w:r w:rsidR="00CC1E93">
              <w:t xml:space="preserve"> placements </w:t>
            </w:r>
            <w:r w:rsidR="001D746F">
              <w:t xml:space="preserve">and </w:t>
            </w:r>
            <w:r w:rsidR="00431D26">
              <w:t xml:space="preserve">gain </w:t>
            </w:r>
            <w:r w:rsidR="00037538">
              <w:t xml:space="preserve">program </w:t>
            </w:r>
            <w:r w:rsidR="00431D26">
              <w:t>input from</w:t>
            </w:r>
            <w:r w:rsidR="00942972">
              <w:t xml:space="preserve"> expert teachers and educational leaders</w:t>
            </w:r>
            <w:r w:rsidR="00D16537">
              <w:t>.</w:t>
            </w:r>
          </w:p>
          <w:p w14:paraId="360A09AD" w14:textId="5826A883" w:rsidR="00A8376D" w:rsidRPr="005B646E" w:rsidRDefault="00A47CB7" w:rsidP="00F42FFB">
            <w:r>
              <w:t xml:space="preserve">The </w:t>
            </w:r>
            <w:hyperlink r:id="rId26" w:history="1">
              <w:r w:rsidRPr="00EE06D5">
                <w:rPr>
                  <w:rStyle w:val="Hyperlink"/>
                </w:rPr>
                <w:t>NEXUS program</w:t>
              </w:r>
            </w:hyperlink>
            <w:r>
              <w:t xml:space="preserve"> at La Trobe University </w:t>
            </w:r>
            <w:r w:rsidR="006F77B2">
              <w:t>provides</w:t>
            </w:r>
            <w:r w:rsidR="00E8756D">
              <w:t xml:space="preserve"> a</w:t>
            </w:r>
            <w:r w:rsidR="009C19C7">
              <w:t>n employment-based pathway</w:t>
            </w:r>
            <w:r w:rsidR="009D2C4E">
              <w:t xml:space="preserve"> </w:t>
            </w:r>
            <w:r w:rsidR="00A70792">
              <w:t xml:space="preserve">into </w:t>
            </w:r>
            <w:r w:rsidR="009D2C4E">
              <w:t>teaching</w:t>
            </w:r>
            <w:r w:rsidR="009C19C7">
              <w:t xml:space="preserve"> for mid-career professional</w:t>
            </w:r>
            <w:r w:rsidR="00207E6D">
              <w:t>s</w:t>
            </w:r>
            <w:r w:rsidR="00891774">
              <w:t xml:space="preserve"> </w:t>
            </w:r>
            <w:r w:rsidR="001D377E">
              <w:t xml:space="preserve">by </w:t>
            </w:r>
            <w:r w:rsidR="007F4460">
              <w:t>supporting</w:t>
            </w:r>
            <w:r w:rsidR="006C476D">
              <w:t xml:space="preserve"> them to gain a teaching qualification, while </w:t>
            </w:r>
            <w:r w:rsidR="007F4460">
              <w:t>teaching</w:t>
            </w:r>
            <w:r w:rsidR="006C476D">
              <w:t xml:space="preserve"> in </w:t>
            </w:r>
            <w:r w:rsidR="00426839">
              <w:t>schools in rural, regional and lower-socioeconomic areas</w:t>
            </w:r>
            <w:r w:rsidR="00B7378D">
              <w:t>.</w:t>
            </w:r>
            <w:r w:rsidR="00C34404">
              <w:t xml:space="preserve"> </w:t>
            </w:r>
            <w:r w:rsidR="00BB4FF9">
              <w:t>S</w:t>
            </w:r>
            <w:r w:rsidR="00541F1E">
              <w:t>trengthening partnerships</w:t>
            </w:r>
            <w:r w:rsidR="0007017D">
              <w:t xml:space="preserve"> with ‘hard-to-staff’ </w:t>
            </w:r>
            <w:r w:rsidR="00541F1E">
              <w:t xml:space="preserve">schools </w:t>
            </w:r>
            <w:r w:rsidR="00BB4FF9">
              <w:t xml:space="preserve">is essential to this program, along with </w:t>
            </w:r>
            <w:r w:rsidR="005C2CFF">
              <w:t xml:space="preserve">funding </w:t>
            </w:r>
            <w:r w:rsidR="00163550">
              <w:t>to</w:t>
            </w:r>
            <w:r w:rsidR="005B5810">
              <w:t xml:space="preserve"> ensure</w:t>
            </w:r>
            <w:r w:rsidR="003B42BE">
              <w:t xml:space="preserve"> </w:t>
            </w:r>
            <w:r w:rsidR="005F71D7">
              <w:t xml:space="preserve">quality </w:t>
            </w:r>
            <w:r w:rsidR="00FD18BA">
              <w:t xml:space="preserve">individual </w:t>
            </w:r>
            <w:r w:rsidR="005F71D7">
              <w:t>mentoring</w:t>
            </w:r>
            <w:r w:rsidR="004B694E">
              <w:t xml:space="preserve"> </w:t>
            </w:r>
            <w:r w:rsidR="005F71D7">
              <w:t>from experienced school-based staff</w:t>
            </w:r>
            <w:r w:rsidR="00FD18BA">
              <w:t>.</w:t>
            </w:r>
            <w:r w:rsidR="00F42FFB">
              <w:t xml:space="preserve"> </w:t>
            </w:r>
            <w:r w:rsidR="00000CB9">
              <w:t>The program is delivered as part of the High Achieving Teachers Program</w:t>
            </w:r>
            <w:r w:rsidR="0074443D">
              <w:t>, supported by the Australian and Victorian Governments</w:t>
            </w:r>
            <w:r w:rsidR="00580B33">
              <w:t>.</w:t>
            </w:r>
          </w:p>
        </w:tc>
      </w:tr>
    </w:tbl>
    <w:p w14:paraId="68F46481" w14:textId="77777777" w:rsidR="00A8376D" w:rsidRPr="005B646E" w:rsidRDefault="00A8376D">
      <w:pPr>
        <w:suppressAutoHyphens w:val="0"/>
        <w:spacing w:before="0" w:line="259" w:lineRule="auto"/>
        <w:rPr>
          <w:rFonts w:ascii="Montserrat SemiBold" w:eastAsiaTheme="majorEastAsia" w:hAnsi="Montserrat SemiBold" w:cstheme="majorBidi"/>
          <w:color w:val="00305E" w:themeColor="text2"/>
          <w:sz w:val="36"/>
          <w:szCs w:val="32"/>
        </w:rPr>
      </w:pPr>
    </w:p>
    <w:p w14:paraId="0E371460" w14:textId="4F989F02" w:rsidR="00362105" w:rsidRPr="005B646E" w:rsidRDefault="008251E5" w:rsidP="00171F66">
      <w:pPr>
        <w:pStyle w:val="Heading1"/>
      </w:pPr>
      <w:r>
        <w:lastRenderedPageBreak/>
        <w:t xml:space="preserve">Considerations for the </w:t>
      </w:r>
      <w:r w:rsidR="008A628A">
        <w:t>p</w:t>
      </w:r>
      <w:r>
        <w:t>anel</w:t>
      </w:r>
    </w:p>
    <w:p w14:paraId="42661DA0" w14:textId="5338321F" w:rsidR="00856486" w:rsidRDefault="003B7254" w:rsidP="00482A15">
      <w:r>
        <w:t xml:space="preserve">The </w:t>
      </w:r>
      <w:r w:rsidR="004149CE">
        <w:t>e</w:t>
      </w:r>
      <w:r w:rsidR="00856486">
        <w:t xml:space="preserve">xpert </w:t>
      </w:r>
      <w:r w:rsidR="004149CE">
        <w:t>p</w:t>
      </w:r>
      <w:r w:rsidR="00856486">
        <w:t>anel</w:t>
      </w:r>
      <w:r w:rsidR="00A974E0">
        <w:t xml:space="preserve"> should consider</w:t>
      </w:r>
      <w:r w:rsidR="00560C3D">
        <w:t xml:space="preserve"> whether the existing Program Standards and accreditation process</w:t>
      </w:r>
      <w:r w:rsidR="00C30459">
        <w:t>es</w:t>
      </w:r>
      <w:r w:rsidR="00560C3D">
        <w:t xml:space="preserve"> are sufficient to </w:t>
      </w:r>
      <w:r w:rsidR="00DA610F">
        <w:t>embed</w:t>
      </w:r>
      <w:r w:rsidR="00CC173D">
        <w:t xml:space="preserve"> </w:t>
      </w:r>
      <w:r w:rsidR="00560C3D">
        <w:t>evidence-based</w:t>
      </w:r>
      <w:r w:rsidR="001F2730">
        <w:t xml:space="preserve"> teaching</w:t>
      </w:r>
      <w:r w:rsidR="00560C3D">
        <w:t xml:space="preserve"> practices </w:t>
      </w:r>
      <w:r w:rsidR="00CC173D">
        <w:t>into</w:t>
      </w:r>
      <w:r w:rsidR="00F67D91">
        <w:t xml:space="preserve"> </w:t>
      </w:r>
      <w:r w:rsidR="00072700">
        <w:t>ITE programs</w:t>
      </w:r>
      <w:r w:rsidR="00F67D91">
        <w:t xml:space="preserve"> and professional experience</w:t>
      </w:r>
      <w:r w:rsidR="00072700">
        <w:t>.</w:t>
      </w:r>
      <w:r w:rsidR="001F2730">
        <w:t xml:space="preserve"> </w:t>
      </w:r>
      <w:r w:rsidR="00856486">
        <w:t xml:space="preserve">Specifically, the </w:t>
      </w:r>
      <w:r w:rsidR="004149CE">
        <w:t>p</w:t>
      </w:r>
      <w:r w:rsidR="00856486">
        <w:t>anel could consider:</w:t>
      </w:r>
    </w:p>
    <w:tbl>
      <w:tblPr>
        <w:tblStyle w:val="TableGridLight"/>
        <w:tblpPr w:leftFromText="180" w:rightFromText="180" w:vertAnchor="text" w:horzAnchor="margin" w:tblpY="105"/>
        <w:tblW w:w="0" w:type="auto"/>
        <w:tblLook w:val="04A0" w:firstRow="1" w:lastRow="0" w:firstColumn="1" w:lastColumn="0" w:noHBand="0" w:noVBand="1"/>
      </w:tblPr>
      <w:tblGrid>
        <w:gridCol w:w="9629"/>
      </w:tblGrid>
      <w:tr w:rsidR="00C7098D" w:rsidRPr="005B646E" w14:paraId="2628D4A0" w14:textId="77777777" w:rsidTr="00E41C4F">
        <w:trPr>
          <w:cnfStyle w:val="100000000000" w:firstRow="1" w:lastRow="0" w:firstColumn="0" w:lastColumn="0" w:oddVBand="0" w:evenVBand="0" w:oddHBand="0" w:evenHBand="0" w:firstRowFirstColumn="0" w:firstRowLastColumn="0" w:lastRowFirstColumn="0" w:lastRowLastColumn="0"/>
        </w:trPr>
        <w:tc>
          <w:tcPr>
            <w:tcW w:w="9629" w:type="dxa"/>
          </w:tcPr>
          <w:p w14:paraId="4E36C4CD" w14:textId="17260458" w:rsidR="00C7098D" w:rsidRPr="00C7098D" w:rsidRDefault="00C70A00" w:rsidP="00E41C4F">
            <w:pPr>
              <w:suppressAutoHyphens w:val="0"/>
              <w:spacing w:before="0" w:line="259" w:lineRule="auto"/>
              <w:rPr>
                <w:b w:val="0"/>
              </w:rPr>
            </w:pPr>
            <w:r>
              <w:t>How can</w:t>
            </w:r>
            <w:r w:rsidR="003022B2">
              <w:t xml:space="preserve"> the National Program Standards be strengthened to</w:t>
            </w:r>
            <w:r w:rsidR="001C12BC">
              <w:t xml:space="preserve"> better</w:t>
            </w:r>
            <w:r w:rsidR="00A35A7A">
              <w:t xml:space="preserve"> integrate evidence-based practices into the </w:t>
            </w:r>
            <w:r w:rsidR="001C12BC">
              <w:t xml:space="preserve">design and delivery of ITE </w:t>
            </w:r>
            <w:r w:rsidR="005760EB">
              <w:t>programs</w:t>
            </w:r>
            <w:r w:rsidR="00505DB2">
              <w:t>?</w:t>
            </w:r>
          </w:p>
        </w:tc>
      </w:tr>
      <w:tr w:rsidR="00C7098D" w:rsidRPr="005B646E" w14:paraId="22FAC390" w14:textId="77777777" w:rsidTr="00E41C4F">
        <w:tc>
          <w:tcPr>
            <w:tcW w:w="9629" w:type="dxa"/>
          </w:tcPr>
          <w:p w14:paraId="68DF9204" w14:textId="77777777" w:rsidR="00C7098D" w:rsidRDefault="00C7098D" w:rsidP="00E41C4F">
            <w:r>
              <w:t>T</w:t>
            </w:r>
            <w:r w:rsidR="005760EB">
              <w:t>his could include:</w:t>
            </w:r>
          </w:p>
          <w:p w14:paraId="6A9C95F6" w14:textId="68069BB9" w:rsidR="005B45D0" w:rsidRDefault="003B38BC" w:rsidP="005760EB">
            <w:pPr>
              <w:pStyle w:val="ListParagraph"/>
              <w:numPr>
                <w:ilvl w:val="0"/>
                <w:numId w:val="39"/>
              </w:numPr>
            </w:pPr>
            <w:r>
              <w:t>Revising</w:t>
            </w:r>
            <w:r w:rsidR="00B5362E">
              <w:t xml:space="preserve"> the Program Standards to</w:t>
            </w:r>
            <w:r w:rsidR="009F4E53">
              <w:t xml:space="preserve"> incorporate</w:t>
            </w:r>
            <w:r w:rsidR="00E35FF0">
              <w:t xml:space="preserve"> the</w:t>
            </w:r>
            <w:r w:rsidR="00AC7B87">
              <w:t xml:space="preserve"> </w:t>
            </w:r>
            <w:r w:rsidR="005376E3">
              <w:t xml:space="preserve">best practice </w:t>
            </w:r>
            <w:r w:rsidR="00AC7B87">
              <w:t xml:space="preserve">principles </w:t>
            </w:r>
            <w:r w:rsidR="00057D4E">
              <w:t>(</w:t>
            </w:r>
            <w:r w:rsidR="00C7667A">
              <w:t xml:space="preserve">particularly </w:t>
            </w:r>
            <w:r w:rsidR="00681413">
              <w:t xml:space="preserve">vision, </w:t>
            </w:r>
            <w:proofErr w:type="gramStart"/>
            <w:r w:rsidR="00681413">
              <w:t>content</w:t>
            </w:r>
            <w:proofErr w:type="gramEnd"/>
            <w:r w:rsidR="00C7667A">
              <w:t xml:space="preserve"> and</w:t>
            </w:r>
            <w:r w:rsidR="00681413">
              <w:t xml:space="preserve"> pedagogy</w:t>
            </w:r>
            <w:r w:rsidR="00057D4E">
              <w:t>)</w:t>
            </w:r>
            <w:r w:rsidR="00681413">
              <w:t xml:space="preserve"> </w:t>
            </w:r>
            <w:r w:rsidR="00E82CCB">
              <w:t xml:space="preserve">into the accreditation requirements. </w:t>
            </w:r>
          </w:p>
          <w:p w14:paraId="416A3833" w14:textId="083B9CC7" w:rsidR="000D6CD8" w:rsidRPr="005B646E" w:rsidRDefault="00743290" w:rsidP="00F079E8">
            <w:pPr>
              <w:pStyle w:val="ListParagraph"/>
              <w:numPr>
                <w:ilvl w:val="0"/>
                <w:numId w:val="39"/>
              </w:numPr>
            </w:pPr>
            <w:r>
              <w:t xml:space="preserve">Developing national </w:t>
            </w:r>
            <w:r w:rsidR="000727B3">
              <w:t>guidance</w:t>
            </w:r>
            <w:r w:rsidR="009751A9">
              <w:t xml:space="preserve"> </w:t>
            </w:r>
            <w:r w:rsidR="00E13742">
              <w:t xml:space="preserve">on </w:t>
            </w:r>
            <w:r w:rsidR="006E2845">
              <w:t>the</w:t>
            </w:r>
            <w:r w:rsidR="00E13742">
              <w:t xml:space="preserve"> </w:t>
            </w:r>
            <w:r w:rsidR="005F580E">
              <w:t xml:space="preserve">best practice </w:t>
            </w:r>
            <w:r w:rsidR="00E13742">
              <w:t xml:space="preserve">principles </w:t>
            </w:r>
            <w:r w:rsidR="009751A9">
              <w:t>to</w:t>
            </w:r>
            <w:r w:rsidR="003177A8">
              <w:t xml:space="preserve"> </w:t>
            </w:r>
            <w:r w:rsidR="00940A1A">
              <w:t xml:space="preserve">provide clarity and </w:t>
            </w:r>
            <w:r w:rsidR="000727B3">
              <w:t>help</w:t>
            </w:r>
            <w:r w:rsidR="002049C5">
              <w:t xml:space="preserve"> </w:t>
            </w:r>
            <w:r w:rsidR="00640CE6">
              <w:t xml:space="preserve">ITE providers </w:t>
            </w:r>
            <w:r w:rsidR="009A1143">
              <w:t>embed</w:t>
            </w:r>
            <w:r w:rsidR="009751A9">
              <w:t xml:space="preserve"> </w:t>
            </w:r>
            <w:r>
              <w:t>evidence-based practice</w:t>
            </w:r>
            <w:r w:rsidR="001857F7">
              <w:t>s</w:t>
            </w:r>
            <w:r w:rsidR="00940A1A">
              <w:t xml:space="preserve"> into ITE program design and delivery.</w:t>
            </w:r>
          </w:p>
        </w:tc>
      </w:tr>
    </w:tbl>
    <w:p w14:paraId="0AADFD8E" w14:textId="74736B60" w:rsidR="00C10062" w:rsidRDefault="00C10062" w:rsidP="00482A15"/>
    <w:tbl>
      <w:tblPr>
        <w:tblStyle w:val="TableGridLight"/>
        <w:tblpPr w:leftFromText="180" w:rightFromText="180" w:vertAnchor="text" w:horzAnchor="margin" w:tblpY="105"/>
        <w:tblW w:w="0" w:type="auto"/>
        <w:tblLook w:val="04A0" w:firstRow="1" w:lastRow="0" w:firstColumn="1" w:lastColumn="0" w:noHBand="0" w:noVBand="1"/>
      </w:tblPr>
      <w:tblGrid>
        <w:gridCol w:w="9629"/>
      </w:tblGrid>
      <w:tr w:rsidR="004043A2" w:rsidRPr="005B646E" w14:paraId="14EA5FC1" w14:textId="77777777" w:rsidTr="00E41C4F">
        <w:trPr>
          <w:cnfStyle w:val="100000000000" w:firstRow="1" w:lastRow="0" w:firstColumn="0" w:lastColumn="0" w:oddVBand="0" w:evenVBand="0" w:oddHBand="0" w:evenHBand="0" w:firstRowFirstColumn="0" w:firstRowLastColumn="0" w:lastRowFirstColumn="0" w:lastRowLastColumn="0"/>
        </w:trPr>
        <w:tc>
          <w:tcPr>
            <w:tcW w:w="9629" w:type="dxa"/>
          </w:tcPr>
          <w:p w14:paraId="4B79A637" w14:textId="4C531609" w:rsidR="004043A2" w:rsidRPr="00C7098D" w:rsidRDefault="00D939AC" w:rsidP="00E41C4F">
            <w:pPr>
              <w:suppressAutoHyphens w:val="0"/>
              <w:spacing w:before="0" w:line="259" w:lineRule="auto"/>
              <w:rPr>
                <w:b w:val="0"/>
              </w:rPr>
            </w:pPr>
            <w:r>
              <w:t xml:space="preserve">How can accreditation and compliance processes be </w:t>
            </w:r>
            <w:r w:rsidRPr="00D939AC">
              <w:t>strengthened</w:t>
            </w:r>
            <w:r>
              <w:t xml:space="preserve"> to support a high national standard</w:t>
            </w:r>
            <w:r w:rsidR="00B01D87">
              <w:t>?</w:t>
            </w:r>
          </w:p>
        </w:tc>
      </w:tr>
      <w:tr w:rsidR="004043A2" w:rsidRPr="005B646E" w14:paraId="7B8624DD" w14:textId="77777777" w:rsidTr="00E41C4F">
        <w:tc>
          <w:tcPr>
            <w:tcW w:w="9629" w:type="dxa"/>
          </w:tcPr>
          <w:p w14:paraId="7E68256F" w14:textId="77777777" w:rsidR="004043A2" w:rsidRDefault="004043A2" w:rsidP="00E41C4F">
            <w:r>
              <w:t>This could include:</w:t>
            </w:r>
          </w:p>
          <w:p w14:paraId="0A1AC4E2" w14:textId="27A6A96A" w:rsidR="00B01D87" w:rsidRDefault="00B01D87" w:rsidP="00E41C4F">
            <w:pPr>
              <w:pStyle w:val="ListParagraph"/>
              <w:numPr>
                <w:ilvl w:val="0"/>
                <w:numId w:val="39"/>
              </w:numPr>
            </w:pPr>
            <w:r>
              <w:t xml:space="preserve">Developing more specific </w:t>
            </w:r>
            <w:r w:rsidR="00DC5C97">
              <w:t>elaborations</w:t>
            </w:r>
            <w:r>
              <w:t xml:space="preserve"> </w:t>
            </w:r>
            <w:r w:rsidR="005B35A0">
              <w:t xml:space="preserve">around the </w:t>
            </w:r>
            <w:r w:rsidR="005376E3">
              <w:t xml:space="preserve">best practice </w:t>
            </w:r>
            <w:r w:rsidR="005B35A0">
              <w:t xml:space="preserve">principles </w:t>
            </w:r>
            <w:r w:rsidR="004A0C2C">
              <w:t>to support</w:t>
            </w:r>
            <w:r>
              <w:t xml:space="preserve"> </w:t>
            </w:r>
            <w:r w:rsidR="00F17014">
              <w:t xml:space="preserve">robust and consistent </w:t>
            </w:r>
            <w:r w:rsidR="00635C32">
              <w:t xml:space="preserve">assessment by </w:t>
            </w:r>
            <w:r w:rsidR="00F17014">
              <w:t>accreditation panel</w:t>
            </w:r>
            <w:r w:rsidR="00635C32">
              <w:t>s</w:t>
            </w:r>
            <w:r w:rsidR="00AD6A97">
              <w:t>.</w:t>
            </w:r>
          </w:p>
          <w:p w14:paraId="3D04C854" w14:textId="635425B7" w:rsidR="00A3069B" w:rsidRPr="005B646E" w:rsidRDefault="00635C32" w:rsidP="00E60520">
            <w:pPr>
              <w:pStyle w:val="ListParagraph"/>
              <w:numPr>
                <w:ilvl w:val="0"/>
                <w:numId w:val="39"/>
              </w:numPr>
            </w:pPr>
            <w:r>
              <w:t xml:space="preserve">Enhancing training for accreditation panel members to achieve </w:t>
            </w:r>
            <w:r w:rsidR="003467FC">
              <w:t>a</w:t>
            </w:r>
            <w:r>
              <w:t xml:space="preserve"> </w:t>
            </w:r>
            <w:r w:rsidR="003467FC">
              <w:t>high</w:t>
            </w:r>
            <w:r w:rsidR="00E14A2D">
              <w:t xml:space="preserve"> </w:t>
            </w:r>
            <w:r w:rsidR="003467FC">
              <w:t xml:space="preserve">common </w:t>
            </w:r>
            <w:r w:rsidR="00E14A2D">
              <w:t xml:space="preserve">standard for </w:t>
            </w:r>
            <w:r>
              <w:t xml:space="preserve">accreditation practices </w:t>
            </w:r>
            <w:r w:rsidR="001112D0">
              <w:t xml:space="preserve">across jurisdictions </w:t>
            </w:r>
            <w:r>
              <w:t xml:space="preserve">(e.g., using case studies to examine challenging issues, </w:t>
            </w:r>
            <w:r w:rsidR="001112D0">
              <w:t>sharing</w:t>
            </w:r>
            <w:r>
              <w:t xml:space="preserve"> examples of best practice).</w:t>
            </w:r>
          </w:p>
        </w:tc>
      </w:tr>
    </w:tbl>
    <w:p w14:paraId="4BDB5819" w14:textId="77777777" w:rsidR="00EB662B" w:rsidRDefault="00EB662B" w:rsidP="0078417E"/>
    <w:tbl>
      <w:tblPr>
        <w:tblStyle w:val="TableGridLight"/>
        <w:tblpPr w:leftFromText="180" w:rightFromText="180" w:vertAnchor="text" w:horzAnchor="margin" w:tblpY="105"/>
        <w:tblW w:w="0" w:type="auto"/>
        <w:tblLook w:val="04A0" w:firstRow="1" w:lastRow="0" w:firstColumn="1" w:lastColumn="0" w:noHBand="0" w:noVBand="1"/>
      </w:tblPr>
      <w:tblGrid>
        <w:gridCol w:w="9629"/>
      </w:tblGrid>
      <w:tr w:rsidR="00EB662B" w:rsidRPr="00C7098D" w14:paraId="04BC8CA3" w14:textId="77777777" w:rsidTr="00E22686">
        <w:trPr>
          <w:cnfStyle w:val="100000000000" w:firstRow="1" w:lastRow="0" w:firstColumn="0" w:lastColumn="0" w:oddVBand="0" w:evenVBand="0" w:oddHBand="0" w:evenHBand="0" w:firstRowFirstColumn="0" w:firstRowLastColumn="0" w:lastRowFirstColumn="0" w:lastRowLastColumn="0"/>
          <w:tblHeader w:val="0"/>
        </w:trPr>
        <w:tc>
          <w:tcPr>
            <w:tcW w:w="9629" w:type="dxa"/>
          </w:tcPr>
          <w:p w14:paraId="3F53965F" w14:textId="10DD12BF" w:rsidR="00EB662B" w:rsidRPr="00C7098D" w:rsidRDefault="00EB662B" w:rsidP="000C5C29">
            <w:pPr>
              <w:suppressAutoHyphens w:val="0"/>
              <w:spacing w:before="0" w:line="259" w:lineRule="auto"/>
              <w:rPr>
                <w:b w:val="0"/>
              </w:rPr>
            </w:pPr>
            <w:r>
              <w:t xml:space="preserve">Are there ways to clarify the roles and responsibilities </w:t>
            </w:r>
            <w:r w:rsidR="002D08F1">
              <w:t>for</w:t>
            </w:r>
            <w:r>
              <w:t xml:space="preserve"> ITE providers and school systems?</w:t>
            </w:r>
          </w:p>
        </w:tc>
      </w:tr>
      <w:tr w:rsidR="00EB662B" w:rsidRPr="005B646E" w14:paraId="4AEA78F6" w14:textId="77777777" w:rsidTr="000C5C29">
        <w:tc>
          <w:tcPr>
            <w:tcW w:w="9629" w:type="dxa"/>
          </w:tcPr>
          <w:p w14:paraId="506BFFB0" w14:textId="77777777" w:rsidR="00EB662B" w:rsidRDefault="00EB662B" w:rsidP="000C5C29">
            <w:r>
              <w:t>This could include:</w:t>
            </w:r>
          </w:p>
          <w:p w14:paraId="5A3CDECC" w14:textId="25AA2079" w:rsidR="00EB662B" w:rsidRDefault="00EB662B" w:rsidP="00EB662B">
            <w:pPr>
              <w:pStyle w:val="ListParagraph"/>
              <w:numPr>
                <w:ilvl w:val="0"/>
                <w:numId w:val="39"/>
              </w:numPr>
            </w:pPr>
            <w:r>
              <w:t>Developing MOUs between the Teacher Regulatory Authorities (TRAs), ITE providers, government departments (on behalf of schools) and other school authorities to outline responsibilities and better align needs.</w:t>
            </w:r>
          </w:p>
          <w:p w14:paraId="5B82FB2B" w14:textId="53E4CD92" w:rsidR="00EB662B" w:rsidRPr="005B646E" w:rsidRDefault="00EB662B" w:rsidP="006B7A1E">
            <w:pPr>
              <w:pStyle w:val="ListParagraph"/>
              <w:numPr>
                <w:ilvl w:val="0"/>
                <w:numId w:val="39"/>
              </w:numPr>
            </w:pPr>
            <w:r>
              <w:t>Leveraging key points around partnerships between ITE providers and school systems as part of the next National School Reform Agreement</w:t>
            </w:r>
            <w:r w:rsidR="00E22686">
              <w:t>.</w:t>
            </w:r>
          </w:p>
        </w:tc>
      </w:tr>
    </w:tbl>
    <w:p w14:paraId="489A3BD7" w14:textId="313482D6" w:rsidR="00362105" w:rsidRDefault="00362105" w:rsidP="00171F66">
      <w:pPr>
        <w:pStyle w:val="Heading1"/>
      </w:pPr>
      <w:r w:rsidRPr="005B646E">
        <w:lastRenderedPageBreak/>
        <w:t>References</w:t>
      </w:r>
    </w:p>
    <w:p w14:paraId="0E889995" w14:textId="77777777" w:rsidR="00040400" w:rsidRPr="00040400" w:rsidRDefault="00BB2D90" w:rsidP="00040400">
      <w:pPr>
        <w:pStyle w:val="Bibliography"/>
      </w:pPr>
      <w:r>
        <w:fldChar w:fldCharType="begin"/>
      </w:r>
      <w:r w:rsidR="0091157A">
        <w:instrText xml:space="preserve"> ADDIN ZOTERO_BIBL {"uncited":[],"omitted":[],"custom":[]} CSL_BIBLIOGRAPHY </w:instrText>
      </w:r>
      <w:r>
        <w:fldChar w:fldCharType="separate"/>
      </w:r>
      <w:r w:rsidR="00040400" w:rsidRPr="00040400">
        <w:t xml:space="preserve">Behrstock-Sherratt E, Bassett K, Olson D and Jacques C (2014) </w:t>
      </w:r>
      <w:r w:rsidR="00040400" w:rsidRPr="00040400">
        <w:rPr>
          <w:i/>
          <w:iCs/>
        </w:rPr>
        <w:t>From good to great: Exemplary teachers share perspectives on increasing teacher effectiveness across the career continuum</w:t>
      </w:r>
      <w:r w:rsidR="00040400" w:rsidRPr="00040400">
        <w:t>, Center on Great Teachers and Leaders, https://eric.ed.gov/?id=ED555657, accessed 31 January 2023.</w:t>
      </w:r>
    </w:p>
    <w:p w14:paraId="2978AE97" w14:textId="77777777" w:rsidR="00040400" w:rsidRPr="00040400" w:rsidRDefault="00040400" w:rsidP="00040400">
      <w:pPr>
        <w:pStyle w:val="Bibliography"/>
      </w:pPr>
      <w:r w:rsidRPr="00040400">
        <w:t xml:space="preserve">Boud D (2000) ‘Sustainable Assessment: Rethinking assessment for the learning society’, </w:t>
      </w:r>
      <w:r w:rsidRPr="00040400">
        <w:rPr>
          <w:i/>
          <w:iCs/>
        </w:rPr>
        <w:t>Studies in Continuing Education</w:t>
      </w:r>
      <w:r w:rsidRPr="00040400">
        <w:t>, 22(2):151–167, doi:10.1080/713695728.</w:t>
      </w:r>
    </w:p>
    <w:p w14:paraId="15CE98F2" w14:textId="77777777" w:rsidR="00040400" w:rsidRPr="00040400" w:rsidRDefault="00040400" w:rsidP="00040400">
      <w:pPr>
        <w:pStyle w:val="Bibliography"/>
      </w:pPr>
      <w:r w:rsidRPr="00040400">
        <w:t xml:space="preserve">Cochran-Smith M and Zeichner KM (eds) (2009) </w:t>
      </w:r>
      <w:r w:rsidRPr="00040400">
        <w:rPr>
          <w:i/>
          <w:iCs/>
        </w:rPr>
        <w:t>Studying teacher education: The report of the AERA panel on research and teacher education</w:t>
      </w:r>
      <w:r w:rsidRPr="00040400">
        <w:t>, 1st edition, Routledge.</w:t>
      </w:r>
    </w:p>
    <w:p w14:paraId="31CE3755" w14:textId="77777777" w:rsidR="00040400" w:rsidRPr="00040400" w:rsidRDefault="00040400" w:rsidP="00040400">
      <w:pPr>
        <w:pStyle w:val="Bibliography"/>
      </w:pPr>
      <w:r w:rsidRPr="00040400">
        <w:t xml:space="preserve">Darling-Hammond L (2021) ‘Defining teaching quality around the world’, </w:t>
      </w:r>
      <w:r w:rsidRPr="00040400">
        <w:rPr>
          <w:i/>
          <w:iCs/>
        </w:rPr>
        <w:t>European Journal of Teacher Education</w:t>
      </w:r>
      <w:r w:rsidRPr="00040400">
        <w:t>, 44(3):295–308, doi:10.1080/02619768.2021.1919080.</w:t>
      </w:r>
    </w:p>
    <w:p w14:paraId="4F2D934A" w14:textId="77777777" w:rsidR="00040400" w:rsidRPr="00040400" w:rsidRDefault="00040400" w:rsidP="00040400">
      <w:pPr>
        <w:pStyle w:val="Bibliography"/>
      </w:pPr>
      <w:r w:rsidRPr="00040400">
        <w:t xml:space="preserve">Darling-Hammond L and Bransford J (eds) (2007) </w:t>
      </w:r>
      <w:r w:rsidRPr="00040400">
        <w:rPr>
          <w:i/>
          <w:iCs/>
        </w:rPr>
        <w:t>Preparing teachers for a changing world: What teachers should learn and be able to do</w:t>
      </w:r>
      <w:r w:rsidRPr="00040400">
        <w:t>, 1st edition, Jossey-Bass, San Francisco, CA.</w:t>
      </w:r>
    </w:p>
    <w:p w14:paraId="22786ECD" w14:textId="77777777" w:rsidR="00040400" w:rsidRPr="00040400" w:rsidRDefault="00040400" w:rsidP="00040400">
      <w:pPr>
        <w:pStyle w:val="Bibliography"/>
      </w:pPr>
      <w:r w:rsidRPr="00040400">
        <w:t xml:space="preserve">Darling-Hammond L, Chung R and Frelow F (2002) ‘Variation in Teacher Preparation: How Well Do Different Pathways Prepare Teachers to Teach?’, </w:t>
      </w:r>
      <w:r w:rsidRPr="00040400">
        <w:rPr>
          <w:i/>
          <w:iCs/>
        </w:rPr>
        <w:t>Journal of Teacher Education - J TEACH EDUC</w:t>
      </w:r>
      <w:r w:rsidRPr="00040400">
        <w:t>, 53:286–302, doi:10.1177/0022487102053004002.</w:t>
      </w:r>
    </w:p>
    <w:p w14:paraId="013F7E0D" w14:textId="77777777" w:rsidR="00040400" w:rsidRPr="00040400" w:rsidRDefault="00040400" w:rsidP="00040400">
      <w:pPr>
        <w:pStyle w:val="Bibliography"/>
      </w:pPr>
      <w:r w:rsidRPr="00040400">
        <w:t xml:space="preserve">Darling-Hammond L, Newton X and Wei R (2010) ‘Evaluating teacher education outcomes: a study of the Stanford Teacher Education Programme’, </w:t>
      </w:r>
      <w:r w:rsidRPr="00040400">
        <w:rPr>
          <w:i/>
          <w:iCs/>
        </w:rPr>
        <w:t>Journal of Education for Teaching</w:t>
      </w:r>
      <w:r w:rsidRPr="00040400">
        <w:t>, 36:369–388, doi:10.1080/02607476.2010.513844.</w:t>
      </w:r>
    </w:p>
    <w:p w14:paraId="7BD36873" w14:textId="77777777" w:rsidR="00040400" w:rsidRPr="00040400" w:rsidRDefault="00040400" w:rsidP="00040400">
      <w:pPr>
        <w:pStyle w:val="Bibliography"/>
      </w:pPr>
      <w:r w:rsidRPr="00040400">
        <w:t xml:space="preserve">Darling-Hammond L, Oakes J, Wojcikiewicz SK, Hyler ME, Guha R, Podolsky A, Kini T, Cook-Harvey CM, Jackson Mercer CN and Harrell A (2019) </w:t>
      </w:r>
      <w:r w:rsidRPr="00040400">
        <w:rPr>
          <w:i/>
          <w:iCs/>
        </w:rPr>
        <w:t>Research brief: Preparing teachers for deeper learning</w:t>
      </w:r>
      <w:r w:rsidRPr="00040400">
        <w:t>, Learning Policy Institute, Washington, DC.</w:t>
      </w:r>
    </w:p>
    <w:p w14:paraId="785AF8AA" w14:textId="77777777" w:rsidR="00040400" w:rsidRPr="00040400" w:rsidRDefault="00040400" w:rsidP="00040400">
      <w:pPr>
        <w:pStyle w:val="Bibliography"/>
      </w:pPr>
      <w:r w:rsidRPr="00040400">
        <w:t xml:space="preserve">Darling-Hammond L and Snyder J (2000) ‘Authentic assessment of teaching in context’, </w:t>
      </w:r>
      <w:r w:rsidRPr="00040400">
        <w:rPr>
          <w:i/>
          <w:iCs/>
        </w:rPr>
        <w:t>Teaching and Teacher Education</w:t>
      </w:r>
      <w:r w:rsidRPr="00040400">
        <w:t>, 16(5):523–545, doi:10.1016/S0742-051X(00)00015-9.</w:t>
      </w:r>
    </w:p>
    <w:p w14:paraId="550284EC" w14:textId="77777777" w:rsidR="00040400" w:rsidRPr="00040400" w:rsidRDefault="00040400" w:rsidP="00040400">
      <w:pPr>
        <w:pStyle w:val="Bibliography"/>
      </w:pPr>
      <w:r w:rsidRPr="00040400">
        <w:t xml:space="preserve">Deans for Impact (2016) </w:t>
      </w:r>
      <w:r w:rsidRPr="00040400">
        <w:rPr>
          <w:i/>
          <w:iCs/>
        </w:rPr>
        <w:t>Practice with purpose: The emerging science of teacher expertise</w:t>
      </w:r>
      <w:r w:rsidRPr="00040400">
        <w:t>, Deans for Impact, Austin, TX.</w:t>
      </w:r>
    </w:p>
    <w:p w14:paraId="5CB2329D" w14:textId="77777777" w:rsidR="00040400" w:rsidRPr="00040400" w:rsidRDefault="00040400" w:rsidP="00040400">
      <w:pPr>
        <w:pStyle w:val="Bibliography"/>
      </w:pPr>
      <w:r w:rsidRPr="00040400">
        <w:t xml:space="preserve">Department of Education (2015) </w:t>
      </w:r>
      <w:r w:rsidRPr="00040400">
        <w:rPr>
          <w:i/>
          <w:iCs/>
        </w:rPr>
        <w:t>Action now: Classroom ready teachers. Teacher Education Ministerial Advisory Group December 2014</w:t>
      </w:r>
      <w:r w:rsidRPr="00040400">
        <w:t>, Department of Education, Canberra.</w:t>
      </w:r>
    </w:p>
    <w:p w14:paraId="3B4CABEB" w14:textId="77777777" w:rsidR="00040400" w:rsidRPr="00040400" w:rsidRDefault="00040400" w:rsidP="00040400">
      <w:pPr>
        <w:pStyle w:val="Bibliography"/>
      </w:pPr>
      <w:r w:rsidRPr="00040400">
        <w:t xml:space="preserve">Department of Education, Skills and Employment (2022) </w:t>
      </w:r>
      <w:r w:rsidRPr="00040400">
        <w:rPr>
          <w:i/>
          <w:iCs/>
        </w:rPr>
        <w:t>Next steps: Report of the Quality Initial Teacher Education Review</w:t>
      </w:r>
      <w:r w:rsidRPr="00040400">
        <w:t>, Department of Education, Skills and Employment, Canberra, https://www.education.gov.au/quality-initial-teacher-education-review/resources/next-steps-report-quality-initial-teacher-education-review, accessed 31 January 2023.</w:t>
      </w:r>
    </w:p>
    <w:p w14:paraId="076C2C05" w14:textId="77777777" w:rsidR="00040400" w:rsidRPr="00040400" w:rsidRDefault="00040400" w:rsidP="00040400">
      <w:pPr>
        <w:pStyle w:val="Bibliography"/>
      </w:pPr>
      <w:r w:rsidRPr="00040400">
        <w:lastRenderedPageBreak/>
        <w:t xml:space="preserve">Fletcher-Wood H and Farndon S (2021) </w:t>
      </w:r>
      <w:r w:rsidRPr="00040400">
        <w:rPr>
          <w:i/>
          <w:iCs/>
        </w:rPr>
        <w:t>Deliberate practice in teacher education: A handbook</w:t>
      </w:r>
      <w:r w:rsidRPr="00040400">
        <w:t>, Ambition Institute, London.</w:t>
      </w:r>
    </w:p>
    <w:p w14:paraId="5BE16088" w14:textId="77777777" w:rsidR="00040400" w:rsidRPr="00040400" w:rsidRDefault="00040400" w:rsidP="00040400">
      <w:pPr>
        <w:pStyle w:val="Bibliography"/>
      </w:pPr>
      <w:r w:rsidRPr="00040400">
        <w:t xml:space="preserve">Galvin A, Ryan PM, McKenna KM and Pollard M (2021) ‘A school perspective on school-embedded initial teacher education’, </w:t>
      </w:r>
      <w:r w:rsidRPr="00040400">
        <w:rPr>
          <w:i/>
          <w:iCs/>
        </w:rPr>
        <w:t>Australian Journal of Teacher Education</w:t>
      </w:r>
      <w:r w:rsidRPr="00040400">
        <w:t>, 46(6):1–19, doi:10.14221/ajte.2021v46n6.1.</w:t>
      </w:r>
    </w:p>
    <w:p w14:paraId="70411B64" w14:textId="77777777" w:rsidR="00040400" w:rsidRPr="00040400" w:rsidRDefault="00040400" w:rsidP="00040400">
      <w:pPr>
        <w:pStyle w:val="Bibliography"/>
      </w:pPr>
      <w:r w:rsidRPr="00040400">
        <w:t xml:space="preserve">Grossman P (2008) ‘Constructing coherence: Structural predictors of perceptions of coherence in NYC teacher education programs’, </w:t>
      </w:r>
      <w:r w:rsidRPr="00040400">
        <w:rPr>
          <w:i/>
          <w:iCs/>
        </w:rPr>
        <w:t>Journal of Teacher Education</w:t>
      </w:r>
      <w:r w:rsidRPr="00040400">
        <w:t>, 59(4):273.</w:t>
      </w:r>
    </w:p>
    <w:p w14:paraId="0CC4D14E" w14:textId="77777777" w:rsidR="00040400" w:rsidRPr="00040400" w:rsidRDefault="00040400" w:rsidP="00040400">
      <w:pPr>
        <w:pStyle w:val="Bibliography"/>
      </w:pPr>
      <w:r w:rsidRPr="00040400">
        <w:t xml:space="preserve">Hill H, Mancenido Z and Loeb S (2021) </w:t>
      </w:r>
      <w:r w:rsidRPr="00040400">
        <w:rPr>
          <w:i/>
          <w:iCs/>
        </w:rPr>
        <w:t>Effectiveness research for teacher education. (EdWorkingPaper: 21-252).</w:t>
      </w:r>
      <w:r w:rsidRPr="00040400">
        <w:t>, EdWorkingPapers.com, Retrieved from Annenberg Institute at Brown University: https://doi.org/10.26300/zhhb-j781, accessed 30 January 2023.</w:t>
      </w:r>
    </w:p>
    <w:p w14:paraId="759E481E" w14:textId="77777777" w:rsidR="00040400" w:rsidRPr="00040400" w:rsidRDefault="00040400" w:rsidP="00040400">
      <w:pPr>
        <w:pStyle w:val="Bibliography"/>
      </w:pPr>
      <w:r w:rsidRPr="00040400">
        <w:t xml:space="preserve">Imbimbo J and Silvernail D (1999) </w:t>
      </w:r>
      <w:r w:rsidRPr="00040400">
        <w:rPr>
          <w:i/>
          <w:iCs/>
        </w:rPr>
        <w:t>Prepared To Teach? Key Findings of the New York City Teacher Survey. Policy and Research Series</w:t>
      </w:r>
      <w:r w:rsidRPr="00040400">
        <w:t>, New Visions for Public Schools, 96 Morton Street, New York, NY 10014; Tel: 212-645-5110; Fax: 212-645-7409, https://eric.ed.gov/?id=ED442764, accessed 31 January 2023.</w:t>
      </w:r>
    </w:p>
    <w:p w14:paraId="54419C3C" w14:textId="77777777" w:rsidR="00040400" w:rsidRPr="00040400" w:rsidRDefault="00040400" w:rsidP="00040400">
      <w:pPr>
        <w:pStyle w:val="Bibliography"/>
      </w:pPr>
      <w:r w:rsidRPr="00040400">
        <w:t>Ingvarson L, Kleinhenz E, Khoo ST and Wilkinson J (2007) ‘The VIT Program for supporting provisionally registered teachers</w:t>
      </w:r>
      <w:r w:rsidRPr="00040400">
        <w:rPr>
          <w:rFonts w:ascii="Times New Roman" w:hAnsi="Times New Roman" w:cs="Times New Roman"/>
        </w:rPr>
        <w:t> </w:t>
      </w:r>
      <w:r w:rsidRPr="00040400">
        <w:t>: Evaluation of implementation in 2005.</w:t>
      </w:r>
      <w:r w:rsidRPr="00040400">
        <w:rPr>
          <w:rFonts w:cs="Montserrat"/>
        </w:rPr>
        <w:t>’</w:t>
      </w:r>
      <w:r w:rsidRPr="00040400">
        <w:t xml:space="preserve">, </w:t>
      </w:r>
      <w:r w:rsidRPr="00040400">
        <w:rPr>
          <w:i/>
          <w:iCs/>
        </w:rPr>
        <w:t>Teacher education</w:t>
      </w:r>
      <w:r w:rsidRPr="00040400">
        <w:t>, https://research.acer.edu.au/teacher_education/2.</w:t>
      </w:r>
    </w:p>
    <w:p w14:paraId="74139504" w14:textId="77777777" w:rsidR="00040400" w:rsidRPr="00040400" w:rsidRDefault="00040400" w:rsidP="00040400">
      <w:pPr>
        <w:pStyle w:val="Bibliography"/>
      </w:pPr>
      <w:r w:rsidRPr="00040400">
        <w:t xml:space="preserve">Ingvarson L, Reid K, Buckley S, Kleinhenz E, Masters G and Rowley G (2014) </w:t>
      </w:r>
      <w:r w:rsidRPr="00040400">
        <w:rPr>
          <w:i/>
          <w:iCs/>
        </w:rPr>
        <w:t>Best practice teacher education programs and Australia’s own programs</w:t>
      </w:r>
      <w:r w:rsidRPr="00040400">
        <w:t>, Department of Education, Canberra.</w:t>
      </w:r>
    </w:p>
    <w:p w14:paraId="2E48B7E2" w14:textId="77777777" w:rsidR="00040400" w:rsidRPr="00040400" w:rsidRDefault="00040400" w:rsidP="00040400">
      <w:pPr>
        <w:pStyle w:val="Bibliography"/>
      </w:pPr>
      <w:r w:rsidRPr="00040400">
        <w:t xml:space="preserve">Knowles MS, Holton III EF and Swanson RA (2005) </w:t>
      </w:r>
      <w:r w:rsidRPr="00040400">
        <w:rPr>
          <w:i/>
          <w:iCs/>
        </w:rPr>
        <w:t>The adult learner. The definitive classic in adult education and human resource development</w:t>
      </w:r>
      <w:r w:rsidRPr="00040400">
        <w:t>, Sixth edition, Elsevier, Burlington, MA.</w:t>
      </w:r>
    </w:p>
    <w:p w14:paraId="36C335A4" w14:textId="77777777" w:rsidR="00040400" w:rsidRPr="00040400" w:rsidRDefault="00040400" w:rsidP="00040400">
      <w:pPr>
        <w:pStyle w:val="Bibliography"/>
      </w:pPr>
      <w:r w:rsidRPr="00040400">
        <w:t xml:space="preserve">La Trobe University (2021) </w:t>
      </w:r>
      <w:r w:rsidRPr="00040400">
        <w:rPr>
          <w:i/>
          <w:iCs/>
        </w:rPr>
        <w:t>La Trobe University’s response to the Department of Education, Skills and Employment (DESE). Quality Initial Teacher Education Review</w:t>
      </w:r>
      <w:r w:rsidRPr="00040400">
        <w:t>, La Trobe University, Melbourne, Victoria.</w:t>
      </w:r>
    </w:p>
    <w:p w14:paraId="79ED9490" w14:textId="77777777" w:rsidR="00040400" w:rsidRPr="00040400" w:rsidRDefault="00040400" w:rsidP="00040400">
      <w:pPr>
        <w:pStyle w:val="Bibliography"/>
      </w:pPr>
      <w:r w:rsidRPr="00040400">
        <w:t>Mancenido Z (2022) ‘Impact evaluations of teacher preparation practices: Challenges and opportunities for more rigorous research. (EdWorkingPaper: 22-534)’, Retrieved from Annenberg Institute at Brown University: https://doi.org/10.26300/ywnd-4c31, accessed 30 January 2023.</w:t>
      </w:r>
    </w:p>
    <w:p w14:paraId="2A695D29" w14:textId="77777777" w:rsidR="00040400" w:rsidRPr="00040400" w:rsidRDefault="00040400" w:rsidP="00040400">
      <w:pPr>
        <w:pStyle w:val="Bibliography"/>
      </w:pPr>
      <w:r w:rsidRPr="00040400">
        <w:t xml:space="preserve">McLean H (2018) ‘This is the way to teach: insights from academics and students about assessment that supports learning’, </w:t>
      </w:r>
      <w:r w:rsidRPr="00040400">
        <w:rPr>
          <w:i/>
          <w:iCs/>
        </w:rPr>
        <w:t>Assessment &amp; Evaluation in Higher Education</w:t>
      </w:r>
      <w:r w:rsidRPr="00040400">
        <w:t>, 43(8):1228–1240, doi:10.1080/02602938.2018.1446508.</w:t>
      </w:r>
    </w:p>
    <w:p w14:paraId="2727C9AF" w14:textId="77777777" w:rsidR="00040400" w:rsidRPr="00040400" w:rsidRDefault="00040400" w:rsidP="00040400">
      <w:pPr>
        <w:pStyle w:val="Bibliography"/>
      </w:pPr>
      <w:r w:rsidRPr="00040400">
        <w:t xml:space="preserve">National Academy of Education (n.d.) </w:t>
      </w:r>
      <w:r w:rsidRPr="00040400">
        <w:rPr>
          <w:i/>
          <w:iCs/>
        </w:rPr>
        <w:t>Evaluating and Improving Teacher Preparation Programs. Commissioned Paper Series</w:t>
      </w:r>
      <w:r w:rsidRPr="00040400">
        <w:t>, National Academy of Education, Washington, DC, https://naeducation.org/evaluating-and-improving-teacher-preparation-programs-commissioned-paper-series/, accessed 31 January 2023.</w:t>
      </w:r>
    </w:p>
    <w:p w14:paraId="3C71059B" w14:textId="77777777" w:rsidR="00040400" w:rsidRPr="00040400" w:rsidRDefault="00040400" w:rsidP="00040400">
      <w:pPr>
        <w:pStyle w:val="Bibliography"/>
      </w:pPr>
      <w:r w:rsidRPr="00040400">
        <w:lastRenderedPageBreak/>
        <w:t xml:space="preserve">National Research Council (2010) </w:t>
      </w:r>
      <w:r w:rsidRPr="00040400">
        <w:rPr>
          <w:i/>
          <w:iCs/>
        </w:rPr>
        <w:t>Preparing teachers: Building evidence for sound policy</w:t>
      </w:r>
      <w:r w:rsidRPr="00040400">
        <w:t>, National Academies Press, Washington, DC.</w:t>
      </w:r>
    </w:p>
    <w:p w14:paraId="56F0ECA4" w14:textId="77777777" w:rsidR="00040400" w:rsidRPr="00040400" w:rsidRDefault="00040400" w:rsidP="00040400">
      <w:pPr>
        <w:pStyle w:val="Bibliography"/>
      </w:pPr>
      <w:r w:rsidRPr="00040400">
        <w:rPr>
          <w:i/>
          <w:iCs/>
        </w:rPr>
        <w:t>QS World University Rankings for Education &amp; Training 2022</w:t>
      </w:r>
      <w:r w:rsidRPr="00040400">
        <w:t xml:space="preserve"> (n.d.) </w:t>
      </w:r>
      <w:r w:rsidRPr="00040400">
        <w:rPr>
          <w:i/>
          <w:iCs/>
        </w:rPr>
        <w:t>Top Universities</w:t>
      </w:r>
      <w:r w:rsidRPr="00040400">
        <w:t>, https://www.topuniversities.com/university-rankings/university-subject-rankings/2022/education-training, accessed 30 January 2023.</w:t>
      </w:r>
    </w:p>
    <w:p w14:paraId="73B3278B" w14:textId="77777777" w:rsidR="00040400" w:rsidRPr="00040400" w:rsidRDefault="00040400" w:rsidP="00040400">
      <w:pPr>
        <w:pStyle w:val="Bibliography"/>
      </w:pPr>
      <w:r w:rsidRPr="00040400">
        <w:t xml:space="preserve">Queensland College of Teachers (2012) </w:t>
      </w:r>
      <w:r w:rsidRPr="00040400">
        <w:rPr>
          <w:i/>
          <w:iCs/>
        </w:rPr>
        <w:t>An investigation of best practice in evidence-based assessment within preservice teacher education programs and other professions: Report of research commissioned by the Queensland College of Teachers</w:t>
      </w:r>
      <w:r w:rsidRPr="00040400">
        <w:t>, Queensland College of Teachers, Toowong, Qld.</w:t>
      </w:r>
    </w:p>
    <w:p w14:paraId="3B00E2C7" w14:textId="77777777" w:rsidR="00040400" w:rsidRPr="00040400" w:rsidRDefault="00040400" w:rsidP="00040400">
      <w:pPr>
        <w:pStyle w:val="Bibliography"/>
      </w:pPr>
      <w:r w:rsidRPr="00040400">
        <w:t xml:space="preserve">Ronfeldt M (2021) </w:t>
      </w:r>
      <w:r w:rsidRPr="00040400">
        <w:rPr>
          <w:i/>
          <w:iCs/>
        </w:rPr>
        <w:t>Links among teacher preparation, retention, and teaching effectiveness</w:t>
      </w:r>
      <w:r w:rsidRPr="00040400">
        <w:t>, National Academy of Education Committee on Evaluating and Improving Teacher Preparation Programs, National Academy of Education, https://naeducation.org/evaluating-and-improving-teacher-preparation-programs-commissioned-paper-series/, accessed 30 January 2023.</w:t>
      </w:r>
    </w:p>
    <w:p w14:paraId="2C08B9B2" w14:textId="77777777" w:rsidR="00040400" w:rsidRPr="00040400" w:rsidRDefault="00040400" w:rsidP="00040400">
      <w:pPr>
        <w:pStyle w:val="Bibliography"/>
      </w:pPr>
      <w:r w:rsidRPr="00040400">
        <w:t xml:space="preserve">Tatto MT (2012) </w:t>
      </w:r>
      <w:r w:rsidRPr="00040400">
        <w:rPr>
          <w:i/>
          <w:iCs/>
        </w:rPr>
        <w:t>Policy, practice, and readiness to teach primary and secondary mathematics in 17 countries: findings from the IEA Teacher Education and Development Study in Mathematics (TEDS-M)</w:t>
      </w:r>
      <w:r w:rsidRPr="00040400">
        <w:t>, International Association for the Evaluation of Educational Achievement (IEA), Amsterdam.</w:t>
      </w:r>
    </w:p>
    <w:p w14:paraId="65C8AD7D" w14:textId="77777777" w:rsidR="00040400" w:rsidRPr="00040400" w:rsidRDefault="00040400" w:rsidP="00040400">
      <w:pPr>
        <w:pStyle w:val="Bibliography"/>
      </w:pPr>
      <w:r w:rsidRPr="00040400">
        <w:t xml:space="preserve">Thomas D, Moore R, Rundle O, Emery S, Greaves R, te Riele K and Kowaluk A (2019) ‘Elaborating a framework for communicating assessment aims in higher education’, </w:t>
      </w:r>
      <w:r w:rsidRPr="00040400">
        <w:rPr>
          <w:i/>
          <w:iCs/>
        </w:rPr>
        <w:t>Assessment &amp; Evaluation in Higher Education</w:t>
      </w:r>
      <w:r w:rsidRPr="00040400">
        <w:t>, 44(4):546–564, doi:10.1080/02602938.2018.1522615.</w:t>
      </w:r>
    </w:p>
    <w:p w14:paraId="5EB48DB8" w14:textId="77777777" w:rsidR="00040400" w:rsidRPr="00040400" w:rsidRDefault="00040400" w:rsidP="00040400">
      <w:pPr>
        <w:pStyle w:val="Bibliography"/>
      </w:pPr>
      <w:r w:rsidRPr="00040400">
        <w:t xml:space="preserve">White E (2022) ‘Learning from professional challenges identified by school and institute-based teacher educators within the context of school-university partnership’, </w:t>
      </w:r>
      <w:r w:rsidRPr="00040400">
        <w:rPr>
          <w:i/>
          <w:iCs/>
        </w:rPr>
        <w:t>European Journal of Teacher Education</w:t>
      </w:r>
      <w:r w:rsidRPr="00040400">
        <w:t>, 45(2):282–298, doi:10.1080/02619768.2020.1803272.</w:t>
      </w:r>
    </w:p>
    <w:p w14:paraId="4FADA89B" w14:textId="77777777" w:rsidR="00040400" w:rsidRPr="00040400" w:rsidRDefault="00040400" w:rsidP="00040400">
      <w:pPr>
        <w:pStyle w:val="Bibliography"/>
      </w:pPr>
      <w:r w:rsidRPr="00040400">
        <w:t xml:space="preserve">Wijnen-Meijer M, van den Broek S, Koens F and ten Cate O (2020) ‘Vertical integration in medical education: the broader perspective’, </w:t>
      </w:r>
      <w:r w:rsidRPr="00040400">
        <w:rPr>
          <w:i/>
          <w:iCs/>
        </w:rPr>
        <w:t>BMC Medical Education</w:t>
      </w:r>
      <w:r w:rsidRPr="00040400">
        <w:t>, 20(1):509, doi:10.1186/s12909-020-02433-6.</w:t>
      </w:r>
    </w:p>
    <w:p w14:paraId="542A1734" w14:textId="77777777" w:rsidR="00040400" w:rsidRPr="00040400" w:rsidRDefault="00040400" w:rsidP="00040400">
      <w:pPr>
        <w:pStyle w:val="Bibliography"/>
      </w:pPr>
      <w:r w:rsidRPr="00040400">
        <w:t xml:space="preserve">Wilson S, Floden R and Ferrini-Mundy J (2002) ‘Teacher preparation research: An insider’s view from the outside’, </w:t>
      </w:r>
      <w:r w:rsidRPr="00040400">
        <w:rPr>
          <w:i/>
          <w:iCs/>
        </w:rPr>
        <w:t>Journal of Teacher Education - J TEACH EDUC</w:t>
      </w:r>
      <w:r w:rsidRPr="00040400">
        <w:t>, 53:190–204, doi:10.1177/0022487102053003002.</w:t>
      </w:r>
    </w:p>
    <w:p w14:paraId="01EBD95D" w14:textId="51DF67ED" w:rsidR="00BB2D90" w:rsidRPr="00BB2D90" w:rsidRDefault="00BB2D90" w:rsidP="00BB2D90">
      <w:r>
        <w:fldChar w:fldCharType="end"/>
      </w:r>
    </w:p>
    <w:p w14:paraId="20940864" w14:textId="04609C1A" w:rsidR="001262B6" w:rsidRDefault="001262B6">
      <w:pPr>
        <w:suppressAutoHyphens w:val="0"/>
        <w:spacing w:before="0" w:line="259" w:lineRule="auto"/>
      </w:pPr>
      <w:r>
        <w:br w:type="page"/>
      </w:r>
    </w:p>
    <w:p w14:paraId="095142AD" w14:textId="0A02E424" w:rsidR="00C10EEB" w:rsidRDefault="001262B6" w:rsidP="00171F66">
      <w:pPr>
        <w:pStyle w:val="Heading1"/>
      </w:pPr>
      <w:r>
        <w:lastRenderedPageBreak/>
        <w:t>Appendix A</w:t>
      </w:r>
      <w:r w:rsidR="00513A4C">
        <w:t xml:space="preserve"> -</w:t>
      </w:r>
      <w:r w:rsidR="0051725C">
        <w:t xml:space="preserve"> </w:t>
      </w:r>
      <w:r w:rsidR="00513A4C">
        <w:t xml:space="preserve">Alignment with </w:t>
      </w:r>
      <w:r w:rsidR="00216254">
        <w:t>Program Standards</w:t>
      </w:r>
    </w:p>
    <w:p w14:paraId="2A47F1F3" w14:textId="60AA628C" w:rsidR="008832A8" w:rsidRDefault="008832A8" w:rsidP="008832A8">
      <w:r>
        <w:t xml:space="preserve">The full text of relevant </w:t>
      </w:r>
      <w:hyperlink r:id="rId27" w:history="1">
        <w:r w:rsidRPr="004B28D9">
          <w:rPr>
            <w:rStyle w:val="Hyperlink"/>
          </w:rPr>
          <w:t>Program Standards</w:t>
        </w:r>
      </w:hyperlink>
      <w:r>
        <w:t xml:space="preserve"> is </w:t>
      </w:r>
      <w:r w:rsidR="0092463F">
        <w:t>included</w:t>
      </w:r>
      <w:r>
        <w:t xml:space="preserve"> below </w:t>
      </w:r>
      <w:r w:rsidR="0092463F">
        <w:t xml:space="preserve">to consider </w:t>
      </w:r>
      <w:r w:rsidR="006633F6">
        <w:t>alignment with the principles</w:t>
      </w:r>
      <w:r w:rsidR="0092463F">
        <w:t>.</w:t>
      </w:r>
    </w:p>
    <w:p w14:paraId="1287DE8B" w14:textId="61F25F89" w:rsidR="00CC0B55" w:rsidRDefault="005945AC" w:rsidP="005945AC">
      <w:pPr>
        <w:pStyle w:val="Heading3"/>
      </w:pPr>
      <w:r>
        <w:t>Principle 1</w:t>
      </w:r>
      <w:r w:rsidR="00513A4C">
        <w:t>. Vision</w:t>
      </w:r>
    </w:p>
    <w:p w14:paraId="6AE64654" w14:textId="77777777" w:rsidR="001C42F9" w:rsidRPr="00817F25" w:rsidRDefault="001C42F9" w:rsidP="001C42F9">
      <w:pPr>
        <w:rPr>
          <w:i/>
          <w:iCs/>
          <w:sz w:val="20"/>
          <w:u w:val="single"/>
        </w:rPr>
      </w:pPr>
      <w:r w:rsidRPr="00817F25">
        <w:rPr>
          <w:i/>
          <w:iCs/>
          <w:sz w:val="20"/>
          <w:u w:val="single"/>
        </w:rPr>
        <w:t>Standard 1 – Program outcomes</w:t>
      </w:r>
    </w:p>
    <w:p w14:paraId="1F24E4CD" w14:textId="77777777" w:rsidR="001C42F9" w:rsidRPr="00817F25" w:rsidRDefault="001C42F9" w:rsidP="00D72D23">
      <w:pPr>
        <w:suppressAutoHyphens w:val="0"/>
        <w:spacing w:before="120" w:after="144" w:line="240" w:lineRule="auto"/>
        <w:rPr>
          <w:rFonts w:eastAsia="Times New Roman" w:cs="Arial"/>
          <w:i/>
          <w:iCs/>
          <w:sz w:val="20"/>
        </w:rPr>
      </w:pPr>
      <w:r w:rsidRPr="00817F25">
        <w:rPr>
          <w:rFonts w:eastAsia="Times New Roman" w:cs="Arial"/>
          <w:i/>
          <w:iCs/>
          <w:sz w:val="20"/>
        </w:rPr>
        <w:t xml:space="preserve">1.1 Program design and assessment processes identify where each Graduate Teacher Standard is taught, </w:t>
      </w:r>
      <w:proofErr w:type="gramStart"/>
      <w:r w:rsidRPr="00817F25">
        <w:rPr>
          <w:rFonts w:eastAsia="Times New Roman" w:cs="Arial"/>
          <w:i/>
          <w:iCs/>
          <w:sz w:val="20"/>
        </w:rPr>
        <w:t>practised</w:t>
      </w:r>
      <w:proofErr w:type="gramEnd"/>
      <w:r w:rsidRPr="00817F25">
        <w:rPr>
          <w:rFonts w:eastAsia="Times New Roman" w:cs="Arial"/>
          <w:i/>
          <w:iCs/>
          <w:sz w:val="20"/>
        </w:rPr>
        <w:t xml:space="preserve"> and assessed and require that pre-service teachers have demonstrated successful performance against all of the Graduate Teacher Standards prior to graduation.</w:t>
      </w:r>
    </w:p>
    <w:p w14:paraId="36E2EA26" w14:textId="087BD0C1" w:rsidR="005945AC" w:rsidRPr="00817F25" w:rsidRDefault="005945AC" w:rsidP="005945AC">
      <w:pPr>
        <w:rPr>
          <w:i/>
          <w:iCs/>
          <w:sz w:val="20"/>
          <w:u w:val="single"/>
        </w:rPr>
      </w:pPr>
      <w:r w:rsidRPr="00817F25">
        <w:rPr>
          <w:i/>
          <w:iCs/>
          <w:sz w:val="20"/>
          <w:u w:val="single"/>
        </w:rPr>
        <w:t xml:space="preserve">Standard 2 – Program development, </w:t>
      </w:r>
      <w:proofErr w:type="gramStart"/>
      <w:r w:rsidRPr="00817F25">
        <w:rPr>
          <w:i/>
          <w:iCs/>
          <w:sz w:val="20"/>
          <w:u w:val="single"/>
        </w:rPr>
        <w:t>design</w:t>
      </w:r>
      <w:proofErr w:type="gramEnd"/>
      <w:r w:rsidRPr="00817F25">
        <w:rPr>
          <w:i/>
          <w:iCs/>
          <w:sz w:val="20"/>
          <w:u w:val="single"/>
        </w:rPr>
        <w:t xml:space="preserve"> and delivery</w:t>
      </w:r>
    </w:p>
    <w:p w14:paraId="3A3D9091" w14:textId="77777777" w:rsidR="005945AC" w:rsidRPr="00817F25" w:rsidRDefault="005945AC" w:rsidP="005945AC">
      <w:pPr>
        <w:rPr>
          <w:i/>
          <w:iCs/>
          <w:sz w:val="20"/>
        </w:rPr>
      </w:pPr>
      <w:r w:rsidRPr="00817F25">
        <w:rPr>
          <w:i/>
          <w:iCs/>
          <w:sz w:val="20"/>
        </w:rPr>
        <w:t>2.1 Program development, design and delivery are based on:</w:t>
      </w:r>
    </w:p>
    <w:p w14:paraId="66DFDF91" w14:textId="77777777" w:rsidR="005945AC" w:rsidRPr="00817F25" w:rsidRDefault="005945AC" w:rsidP="005945AC">
      <w:pPr>
        <w:pStyle w:val="ListParagraph"/>
        <w:numPr>
          <w:ilvl w:val="0"/>
          <w:numId w:val="18"/>
        </w:numPr>
        <w:rPr>
          <w:i/>
          <w:iCs/>
          <w:sz w:val="20"/>
          <w:szCs w:val="20"/>
        </w:rPr>
      </w:pPr>
      <w:r w:rsidRPr="00817F25">
        <w:rPr>
          <w:i/>
          <w:iCs/>
          <w:sz w:val="20"/>
          <w:szCs w:val="20"/>
        </w:rPr>
        <w:t>a documented coherent rationale based on authoritative and evidence-based understandings of how the program will develop effective teachers who meet the Graduate Teacher Standards, including having a positive impact on student learning</w:t>
      </w:r>
    </w:p>
    <w:p w14:paraId="3590B629" w14:textId="77777777" w:rsidR="005945AC" w:rsidRPr="00817F25" w:rsidRDefault="005945AC" w:rsidP="00D72D23">
      <w:pPr>
        <w:pStyle w:val="ListParagraph"/>
        <w:numPr>
          <w:ilvl w:val="0"/>
          <w:numId w:val="18"/>
        </w:numPr>
        <w:rPr>
          <w:i/>
          <w:iCs/>
          <w:sz w:val="20"/>
          <w:szCs w:val="20"/>
        </w:rPr>
      </w:pPr>
      <w:r w:rsidRPr="00817F25">
        <w:rPr>
          <w:i/>
          <w:iCs/>
          <w:sz w:val="20"/>
          <w:szCs w:val="20"/>
        </w:rPr>
        <w:t>a coherent and sequenced delivery of program content including professional experience that facilitates achievement of the Graduate Teacher Standards.</w:t>
      </w:r>
    </w:p>
    <w:p w14:paraId="15B45986" w14:textId="77777777" w:rsidR="00563224" w:rsidRPr="00817F25" w:rsidRDefault="00563224" w:rsidP="00D72D23">
      <w:pPr>
        <w:suppressAutoHyphens w:val="0"/>
        <w:spacing w:before="120" w:after="144" w:line="240" w:lineRule="auto"/>
        <w:rPr>
          <w:rFonts w:eastAsia="Times New Roman" w:cs="Arial"/>
          <w:i/>
          <w:iCs/>
          <w:sz w:val="20"/>
        </w:rPr>
      </w:pPr>
      <w:r w:rsidRPr="00817F25">
        <w:rPr>
          <w:rFonts w:eastAsia="Times New Roman" w:cs="Arial"/>
          <w:i/>
          <w:iCs/>
          <w:sz w:val="20"/>
        </w:rPr>
        <w:t xml:space="preserve">2.3 The resourcing for the program and its teaching and assessment strategies is consistent with the program’s rationale and expected outcomes and: </w:t>
      </w:r>
    </w:p>
    <w:p w14:paraId="6EE86BF0" w14:textId="407B49D1" w:rsidR="00563224" w:rsidRPr="00817F25" w:rsidRDefault="00563224" w:rsidP="00563224">
      <w:pPr>
        <w:pStyle w:val="ListParagraph"/>
        <w:numPr>
          <w:ilvl w:val="0"/>
          <w:numId w:val="37"/>
        </w:numPr>
        <w:rPr>
          <w:i/>
          <w:iCs/>
          <w:sz w:val="20"/>
        </w:rPr>
      </w:pPr>
      <w:r w:rsidRPr="00817F25">
        <w:rPr>
          <w:i/>
          <w:iCs/>
          <w:sz w:val="20"/>
        </w:rPr>
        <w:t xml:space="preserve">prepares pre-service teachers for contemporary school environments and early childhood education environments where relevant </w:t>
      </w:r>
    </w:p>
    <w:p w14:paraId="3D89B46D" w14:textId="3893FA26" w:rsidR="00563224" w:rsidRPr="00817F25" w:rsidRDefault="00563224" w:rsidP="00563224">
      <w:pPr>
        <w:pStyle w:val="ListParagraph"/>
        <w:numPr>
          <w:ilvl w:val="0"/>
          <w:numId w:val="37"/>
        </w:numPr>
        <w:rPr>
          <w:i/>
          <w:iCs/>
          <w:sz w:val="20"/>
        </w:rPr>
      </w:pPr>
      <w:r w:rsidRPr="00817F25">
        <w:rPr>
          <w:i/>
          <w:iCs/>
          <w:sz w:val="20"/>
        </w:rPr>
        <w:t xml:space="preserve">takes into account the learning and professional experience needs of pre-service teachers across all offered modes of </w:t>
      </w:r>
      <w:proofErr w:type="gramStart"/>
      <w:r w:rsidRPr="00817F25">
        <w:rPr>
          <w:i/>
          <w:iCs/>
          <w:sz w:val="20"/>
        </w:rPr>
        <w:t>delivery</w:t>
      </w:r>
      <w:proofErr w:type="gramEnd"/>
      <w:r w:rsidRPr="00817F25">
        <w:rPr>
          <w:i/>
          <w:iCs/>
          <w:sz w:val="20"/>
        </w:rPr>
        <w:t xml:space="preserve"> </w:t>
      </w:r>
    </w:p>
    <w:p w14:paraId="1E95B285" w14:textId="7B3DCA36" w:rsidR="00563224" w:rsidRPr="00817F25" w:rsidRDefault="00563224" w:rsidP="00563224">
      <w:pPr>
        <w:pStyle w:val="ListParagraph"/>
        <w:numPr>
          <w:ilvl w:val="0"/>
          <w:numId w:val="37"/>
        </w:numPr>
        <w:rPr>
          <w:i/>
          <w:iCs/>
          <w:sz w:val="20"/>
          <w:szCs w:val="20"/>
        </w:rPr>
      </w:pPr>
      <w:r w:rsidRPr="00817F25">
        <w:rPr>
          <w:i/>
          <w:iCs/>
          <w:sz w:val="20"/>
        </w:rPr>
        <w:t>includes staff who have ongoing or recent school-based experience and early childhood experience where relevant.</w:t>
      </w:r>
    </w:p>
    <w:p w14:paraId="6DCD084E" w14:textId="1EA44BF5" w:rsidR="0051725C" w:rsidRDefault="00DC768C" w:rsidP="00DC768C">
      <w:pPr>
        <w:pStyle w:val="Heading3"/>
      </w:pPr>
      <w:r>
        <w:t xml:space="preserve">Principle </w:t>
      </w:r>
      <w:r w:rsidR="001C42F9">
        <w:t>2</w:t>
      </w:r>
      <w:r>
        <w:t>. Content</w:t>
      </w:r>
    </w:p>
    <w:p w14:paraId="2255E699" w14:textId="6B8D4149" w:rsidR="00A81C0D" w:rsidRPr="00817F25" w:rsidRDefault="00A81C0D" w:rsidP="00D72D23">
      <w:pPr>
        <w:suppressAutoHyphens w:val="0"/>
        <w:spacing w:before="0" w:line="259" w:lineRule="auto"/>
        <w:rPr>
          <w:rFonts w:eastAsia="Calibri" w:cs="Times New Roman"/>
          <w:i/>
          <w:iCs/>
          <w:sz w:val="20"/>
          <w:u w:val="single"/>
        </w:rPr>
      </w:pPr>
      <w:r w:rsidRPr="00817F25">
        <w:rPr>
          <w:rFonts w:eastAsia="Calibri" w:cs="Times New Roman"/>
          <w:i/>
          <w:iCs/>
          <w:sz w:val="20"/>
          <w:u w:val="single"/>
        </w:rPr>
        <w:t xml:space="preserve">Standard 4 – Program </w:t>
      </w:r>
      <w:r w:rsidR="00583AFA" w:rsidRPr="00817F25">
        <w:rPr>
          <w:rFonts w:eastAsia="Calibri" w:cs="Times New Roman"/>
          <w:i/>
          <w:iCs/>
          <w:sz w:val="20"/>
          <w:u w:val="single"/>
        </w:rPr>
        <w:t>s</w:t>
      </w:r>
      <w:r w:rsidRPr="00817F25">
        <w:rPr>
          <w:rFonts w:eastAsia="Calibri" w:cs="Times New Roman"/>
          <w:i/>
          <w:iCs/>
          <w:sz w:val="20"/>
          <w:u w:val="single"/>
        </w:rPr>
        <w:t xml:space="preserve">tructure and </w:t>
      </w:r>
      <w:r w:rsidR="00583AFA" w:rsidRPr="00817F25">
        <w:rPr>
          <w:rFonts w:eastAsia="Calibri" w:cs="Times New Roman"/>
          <w:i/>
          <w:iCs/>
          <w:sz w:val="20"/>
          <w:u w:val="single"/>
        </w:rPr>
        <w:t>c</w:t>
      </w:r>
      <w:r w:rsidRPr="00817F25">
        <w:rPr>
          <w:rFonts w:eastAsia="Calibri" w:cs="Times New Roman"/>
          <w:i/>
          <w:iCs/>
          <w:sz w:val="20"/>
          <w:u w:val="single"/>
        </w:rPr>
        <w:t>ontent</w:t>
      </w:r>
    </w:p>
    <w:p w14:paraId="547C4B4E" w14:textId="6B10E92A" w:rsidR="00A81C0D" w:rsidRPr="00817F25" w:rsidRDefault="00A81C0D" w:rsidP="00D72D23">
      <w:pPr>
        <w:suppressAutoHyphens w:val="0"/>
        <w:spacing w:before="120" w:after="144" w:line="240" w:lineRule="auto"/>
        <w:rPr>
          <w:rFonts w:eastAsia="Times New Roman" w:cs="Arial"/>
          <w:i/>
          <w:iCs/>
          <w:sz w:val="20"/>
        </w:rPr>
      </w:pPr>
      <w:r w:rsidRPr="00817F25">
        <w:rPr>
          <w:rFonts w:eastAsia="Times New Roman" w:cs="Arial"/>
          <w:i/>
          <w:iCs/>
          <w:sz w:val="20"/>
        </w:rPr>
        <w:t>4.1 Programs comprise at least two years of full-time equivalent professional studies in education and are structured so that a graduate has undertaken a four-year or longer full-time equivalent program(s) that leads to a higher education qualification(s) in one of the following configurations:</w:t>
      </w:r>
    </w:p>
    <w:p w14:paraId="3F61D35E" w14:textId="77777777" w:rsidR="00A81C0D" w:rsidRPr="00817F25" w:rsidRDefault="00A81C0D" w:rsidP="00A81C0D">
      <w:pPr>
        <w:pStyle w:val="ListParagraph"/>
        <w:numPr>
          <w:ilvl w:val="0"/>
          <w:numId w:val="33"/>
        </w:numPr>
        <w:rPr>
          <w:rFonts w:eastAsia="Calibri" w:cs="Times New Roman"/>
          <w:i/>
          <w:iCs/>
          <w:sz w:val="20"/>
        </w:rPr>
      </w:pPr>
      <w:r w:rsidRPr="00817F25">
        <w:rPr>
          <w:rFonts w:eastAsia="Calibri" w:cs="Times New Roman"/>
          <w:i/>
          <w:iCs/>
          <w:sz w:val="20"/>
        </w:rPr>
        <w:t>a three-year undergraduate degree providing the required discipline knowledge, plus a two-year graduate entry professional qualification</w:t>
      </w:r>
    </w:p>
    <w:p w14:paraId="26F6836F" w14:textId="77777777" w:rsidR="00A81C0D" w:rsidRPr="00817F25" w:rsidRDefault="00A81C0D" w:rsidP="00A81C0D">
      <w:pPr>
        <w:pStyle w:val="ListParagraph"/>
        <w:numPr>
          <w:ilvl w:val="0"/>
          <w:numId w:val="33"/>
        </w:numPr>
        <w:rPr>
          <w:rFonts w:eastAsia="Calibri" w:cs="Times New Roman"/>
          <w:i/>
          <w:iCs/>
          <w:sz w:val="20"/>
        </w:rPr>
      </w:pPr>
      <w:r w:rsidRPr="00817F25">
        <w:rPr>
          <w:rFonts w:eastAsia="Calibri" w:cs="Times New Roman"/>
          <w:i/>
          <w:iCs/>
          <w:sz w:val="20"/>
        </w:rPr>
        <w:t>an integrated degree of at least four years comprising discipline studies and professional studies</w:t>
      </w:r>
    </w:p>
    <w:p w14:paraId="5A1CFB56" w14:textId="77777777" w:rsidR="00A81C0D" w:rsidRPr="00817F25" w:rsidRDefault="00A81C0D" w:rsidP="00A81C0D">
      <w:pPr>
        <w:pStyle w:val="ListParagraph"/>
        <w:numPr>
          <w:ilvl w:val="0"/>
          <w:numId w:val="33"/>
        </w:numPr>
        <w:rPr>
          <w:rFonts w:eastAsia="Calibri" w:cs="Times New Roman"/>
          <w:i/>
          <w:iCs/>
          <w:sz w:val="20"/>
        </w:rPr>
      </w:pPr>
      <w:r w:rsidRPr="00817F25">
        <w:rPr>
          <w:rFonts w:eastAsia="Calibri" w:cs="Times New Roman"/>
          <w:i/>
          <w:iCs/>
          <w:sz w:val="20"/>
        </w:rPr>
        <w:t>combined degrees of at least four years comprising discipline studies and professional studies</w:t>
      </w:r>
    </w:p>
    <w:p w14:paraId="24E2ED0F" w14:textId="77777777" w:rsidR="00A81C0D" w:rsidRPr="00817F25" w:rsidRDefault="00A81C0D" w:rsidP="00A81C0D">
      <w:pPr>
        <w:pStyle w:val="ListParagraph"/>
        <w:numPr>
          <w:ilvl w:val="0"/>
          <w:numId w:val="33"/>
        </w:numPr>
        <w:rPr>
          <w:rFonts w:eastAsia="Calibri" w:cs="Times New Roman"/>
          <w:i/>
          <w:iCs/>
          <w:sz w:val="20"/>
        </w:rPr>
      </w:pPr>
      <w:r w:rsidRPr="00817F25">
        <w:rPr>
          <w:rFonts w:eastAsia="Calibri" w:cs="Times New Roman"/>
          <w:i/>
          <w:iCs/>
          <w:sz w:val="20"/>
        </w:rPr>
        <w:t>other combinations of qualifications proposed by the provider and approved by the Authority in consultation with AITSL as equivalent to the above that enable alternative or flexible pathways into the teaching profession.</w:t>
      </w:r>
    </w:p>
    <w:p w14:paraId="30AD119F" w14:textId="282BC590" w:rsidR="00A81C0D" w:rsidRPr="00817F25" w:rsidRDefault="00A81C0D" w:rsidP="00A81C0D">
      <w:pPr>
        <w:suppressAutoHyphens w:val="0"/>
        <w:spacing w:before="0" w:line="259" w:lineRule="auto"/>
        <w:rPr>
          <w:rFonts w:eastAsia="Calibri" w:cs="Times New Roman"/>
          <w:i/>
          <w:iCs/>
          <w:sz w:val="20"/>
        </w:rPr>
      </w:pPr>
      <w:r w:rsidRPr="00817F25">
        <w:rPr>
          <w:rFonts w:eastAsia="Calibri" w:cs="Times New Roman"/>
          <w:i/>
          <w:iCs/>
          <w:sz w:val="20"/>
        </w:rPr>
        <w:lastRenderedPageBreak/>
        <w:t xml:space="preserve">4.2 Initial teacher education programs prepare pre-service teachers for the school curriculum and learning areas of their chosen discipline and/or stage of schooling in accordance with </w:t>
      </w:r>
      <w:r w:rsidRPr="00817F25">
        <w:rPr>
          <w:rFonts w:eastAsia="Calibri" w:cs="Times New Roman"/>
          <w:i/>
          <w:iCs/>
          <w:sz w:val="20"/>
          <w:u w:val="single"/>
        </w:rPr>
        <w:t>Schedule 1.</w:t>
      </w:r>
    </w:p>
    <w:p w14:paraId="7A89CAF0" w14:textId="77777777" w:rsidR="00A81C0D" w:rsidRPr="00817F25" w:rsidRDefault="00A81C0D" w:rsidP="00A81C0D">
      <w:pPr>
        <w:suppressAutoHyphens w:val="0"/>
        <w:spacing w:before="0" w:line="259" w:lineRule="auto"/>
        <w:contextualSpacing/>
        <w:rPr>
          <w:rFonts w:eastAsia="Calibri" w:cs="Times New Roman"/>
          <w:i/>
          <w:iCs/>
          <w:sz w:val="20"/>
        </w:rPr>
      </w:pPr>
      <w:r w:rsidRPr="00817F25">
        <w:rPr>
          <w:rFonts w:eastAsia="Calibri" w:cs="Times New Roman"/>
          <w:i/>
          <w:iCs/>
          <w:sz w:val="20"/>
        </w:rPr>
        <w:t>4.3 Combined programs: Some programs prepare graduates for teaching across multiple educational settings, for example early childhood/primary school and primary school/secondary school (‘middle school’):</w:t>
      </w:r>
    </w:p>
    <w:p w14:paraId="133B52A6" w14:textId="77777777" w:rsidR="00A81C0D" w:rsidRPr="00817F25" w:rsidRDefault="00A81C0D" w:rsidP="00A81C0D">
      <w:pPr>
        <w:pStyle w:val="ListParagraph"/>
        <w:numPr>
          <w:ilvl w:val="0"/>
          <w:numId w:val="21"/>
        </w:numPr>
        <w:rPr>
          <w:rFonts w:eastAsia="Calibri" w:cs="Times New Roman"/>
          <w:i/>
          <w:iCs/>
          <w:sz w:val="20"/>
          <w:szCs w:val="20"/>
        </w:rPr>
      </w:pPr>
      <w:r w:rsidRPr="00817F25">
        <w:rPr>
          <w:rFonts w:eastAsia="Calibri" w:cs="Times New Roman"/>
          <w:i/>
          <w:iCs/>
          <w:sz w:val="20"/>
          <w:szCs w:val="20"/>
        </w:rPr>
        <w:t>Programs that prepare graduates to teach in both early childhood settings and primary schools prepare teachers for teaching the curriculum across both contexts.</w:t>
      </w:r>
    </w:p>
    <w:p w14:paraId="65DE6EB6" w14:textId="77777777" w:rsidR="00A81C0D" w:rsidRPr="00817F25" w:rsidRDefault="00A81C0D" w:rsidP="00A81C0D">
      <w:pPr>
        <w:pStyle w:val="ListParagraph"/>
        <w:numPr>
          <w:ilvl w:val="0"/>
          <w:numId w:val="21"/>
        </w:numPr>
        <w:rPr>
          <w:rFonts w:eastAsia="Calibri" w:cs="Times New Roman"/>
          <w:i/>
          <w:iCs/>
          <w:sz w:val="20"/>
          <w:szCs w:val="20"/>
        </w:rPr>
      </w:pPr>
      <w:r w:rsidRPr="00817F25">
        <w:rPr>
          <w:rFonts w:eastAsia="Calibri" w:cs="Times New Roman"/>
          <w:i/>
          <w:iCs/>
          <w:sz w:val="20"/>
          <w:szCs w:val="20"/>
        </w:rPr>
        <w:t>Programs that prepare graduates for primary and secondary school teaching must fully address the requirements for primary teaching and for secondary teaching in at least one major study or two minor studies in secondary teaching areas. However, programs may have a stronger emphasis on teaching particular year levels (</w:t>
      </w:r>
      <w:proofErr w:type="gramStart"/>
      <w:r w:rsidRPr="00817F25">
        <w:rPr>
          <w:rFonts w:eastAsia="Calibri" w:cs="Times New Roman"/>
          <w:i/>
          <w:iCs/>
          <w:sz w:val="20"/>
          <w:szCs w:val="20"/>
        </w:rPr>
        <w:t>e.g.</w:t>
      </w:r>
      <w:proofErr w:type="gramEnd"/>
      <w:r w:rsidRPr="00817F25">
        <w:rPr>
          <w:rFonts w:eastAsia="Calibri" w:cs="Times New Roman"/>
          <w:i/>
          <w:iCs/>
          <w:sz w:val="20"/>
          <w:szCs w:val="20"/>
        </w:rPr>
        <w:t xml:space="preserve"> Years 5 to 9).</w:t>
      </w:r>
    </w:p>
    <w:p w14:paraId="214A361A" w14:textId="77777777" w:rsidR="00A81C0D" w:rsidRPr="00817F25" w:rsidRDefault="00A81C0D" w:rsidP="00D72D23">
      <w:pPr>
        <w:pStyle w:val="ListParagraph"/>
        <w:numPr>
          <w:ilvl w:val="0"/>
          <w:numId w:val="21"/>
        </w:numPr>
        <w:rPr>
          <w:rFonts w:eastAsia="Calibri" w:cs="Times New Roman"/>
          <w:i/>
          <w:iCs/>
          <w:sz w:val="20"/>
          <w:szCs w:val="20"/>
        </w:rPr>
      </w:pPr>
      <w:r w:rsidRPr="00817F25">
        <w:rPr>
          <w:rFonts w:eastAsia="Calibri" w:cs="Times New Roman"/>
          <w:i/>
          <w:iCs/>
          <w:sz w:val="20"/>
          <w:szCs w:val="20"/>
        </w:rPr>
        <w:t>Programs that prepare graduates for teaching in other specialised teaching roles in schools and other educational settings must address the specific content and pedagogy of the specialisation.</w:t>
      </w:r>
    </w:p>
    <w:p w14:paraId="370A5232" w14:textId="77777777" w:rsidR="00A81C0D" w:rsidRPr="00817F25" w:rsidRDefault="00A81C0D" w:rsidP="00D72D23">
      <w:pPr>
        <w:suppressAutoHyphens w:val="0"/>
        <w:spacing w:before="120" w:after="144" w:line="240" w:lineRule="auto"/>
        <w:rPr>
          <w:rFonts w:eastAsia="Times New Roman" w:cs="Arial"/>
          <w:i/>
          <w:iCs/>
          <w:sz w:val="20"/>
        </w:rPr>
      </w:pPr>
      <w:r w:rsidRPr="00817F25">
        <w:rPr>
          <w:rFonts w:eastAsia="Times New Roman" w:cs="Arial"/>
          <w:i/>
          <w:iCs/>
          <w:sz w:val="20"/>
        </w:rPr>
        <w:t>4.4 In addition to study in each of the learning areas of the primary school curriculum sufficient to equip teachers to teach across the years of primary schooling, programs provide all primary graduates with a subject specialisation through:</w:t>
      </w:r>
    </w:p>
    <w:p w14:paraId="22001E55" w14:textId="77777777" w:rsidR="00A81C0D" w:rsidRPr="00817F25" w:rsidRDefault="00A81C0D" w:rsidP="00A81C0D">
      <w:pPr>
        <w:pStyle w:val="ListParagraph"/>
        <w:numPr>
          <w:ilvl w:val="0"/>
          <w:numId w:val="34"/>
        </w:numPr>
        <w:rPr>
          <w:rFonts w:eastAsia="Calibri" w:cs="Times New Roman"/>
          <w:i/>
          <w:iCs/>
          <w:sz w:val="20"/>
        </w:rPr>
      </w:pPr>
      <w:r w:rsidRPr="00817F25">
        <w:rPr>
          <w:rFonts w:eastAsia="Calibri" w:cs="Times New Roman"/>
          <w:i/>
          <w:iCs/>
          <w:sz w:val="20"/>
        </w:rPr>
        <w:t xml:space="preserve">clearly defined pathways into and/or within a program that </w:t>
      </w:r>
      <w:proofErr w:type="gramStart"/>
      <w:r w:rsidRPr="00817F25">
        <w:rPr>
          <w:rFonts w:eastAsia="Calibri" w:cs="Times New Roman"/>
          <w:i/>
          <w:iCs/>
          <w:sz w:val="20"/>
        </w:rPr>
        <w:t>lead</w:t>
      </w:r>
      <w:proofErr w:type="gramEnd"/>
      <w:r w:rsidRPr="00817F25">
        <w:rPr>
          <w:rFonts w:eastAsia="Calibri" w:cs="Times New Roman"/>
          <w:i/>
          <w:iCs/>
          <w:sz w:val="20"/>
        </w:rPr>
        <w:t xml:space="preserve"> to specialisations, that are in demand, with a focus on subject/curriculum areas</w:t>
      </w:r>
    </w:p>
    <w:p w14:paraId="7998785E" w14:textId="77777777" w:rsidR="00A81C0D" w:rsidRPr="00817F25" w:rsidRDefault="00A81C0D" w:rsidP="00A81C0D">
      <w:pPr>
        <w:pStyle w:val="ListParagraph"/>
        <w:numPr>
          <w:ilvl w:val="0"/>
          <w:numId w:val="34"/>
        </w:numPr>
        <w:rPr>
          <w:rFonts w:eastAsia="Calibri" w:cs="Times New Roman"/>
          <w:i/>
          <w:iCs/>
          <w:sz w:val="20"/>
        </w:rPr>
      </w:pPr>
      <w:r w:rsidRPr="00817F25">
        <w:rPr>
          <w:rFonts w:eastAsia="Calibri" w:cs="Times New Roman"/>
          <w:i/>
          <w:iCs/>
          <w:sz w:val="20"/>
        </w:rPr>
        <w:t>assessment within the program requiring graduates to demonstrate expert content knowledge and pedagogical content knowledge and highly effective classroom teaching in their area of specialisation</w:t>
      </w:r>
    </w:p>
    <w:p w14:paraId="694EB804" w14:textId="77777777" w:rsidR="00A81C0D" w:rsidRPr="00817F25" w:rsidRDefault="00A81C0D" w:rsidP="00A81C0D">
      <w:pPr>
        <w:pStyle w:val="ListParagraph"/>
        <w:numPr>
          <w:ilvl w:val="0"/>
          <w:numId w:val="34"/>
        </w:numPr>
        <w:rPr>
          <w:rFonts w:eastAsia="Calibri" w:cs="Times New Roman"/>
          <w:i/>
          <w:iCs/>
          <w:sz w:val="20"/>
          <w:szCs w:val="20"/>
        </w:rPr>
      </w:pPr>
      <w:r w:rsidRPr="00817F25">
        <w:rPr>
          <w:rFonts w:eastAsia="Calibri" w:cs="Times New Roman"/>
          <w:i/>
          <w:iCs/>
          <w:sz w:val="20"/>
        </w:rPr>
        <w:t>publishing the specialisations available, and numbers of graduates per specialisation through their annual reports.</w:t>
      </w:r>
    </w:p>
    <w:p w14:paraId="6AC78CD3" w14:textId="443BC528" w:rsidR="00125A2F" w:rsidRDefault="00125A2F" w:rsidP="00125A2F">
      <w:pPr>
        <w:pStyle w:val="Heading3"/>
        <w:rPr>
          <w:rFonts w:eastAsia="Calibri"/>
        </w:rPr>
      </w:pPr>
      <w:r>
        <w:rPr>
          <w:rFonts w:eastAsia="Calibri"/>
        </w:rPr>
        <w:t>Principle</w:t>
      </w:r>
      <w:r w:rsidR="001C42F9">
        <w:rPr>
          <w:rFonts w:eastAsia="Calibri"/>
        </w:rPr>
        <w:t xml:space="preserve"> 3</w:t>
      </w:r>
      <w:r>
        <w:rPr>
          <w:rFonts w:eastAsia="Calibri"/>
        </w:rPr>
        <w:t>. Pedagogy</w:t>
      </w:r>
    </w:p>
    <w:p w14:paraId="19956136" w14:textId="5F98D965" w:rsidR="00FB3D3C" w:rsidRPr="006B6F4C" w:rsidRDefault="006B6F4C" w:rsidP="00125A2F">
      <w:pPr>
        <w:rPr>
          <w:i/>
          <w:iCs/>
          <w:sz w:val="20"/>
          <w:u w:val="single"/>
        </w:rPr>
      </w:pPr>
      <w:r w:rsidRPr="006B6F4C">
        <w:rPr>
          <w:i/>
          <w:iCs/>
          <w:sz w:val="20"/>
          <w:u w:val="single"/>
        </w:rPr>
        <w:t xml:space="preserve">Standard 2 – Program development, </w:t>
      </w:r>
      <w:proofErr w:type="gramStart"/>
      <w:r w:rsidRPr="006B6F4C">
        <w:rPr>
          <w:i/>
          <w:iCs/>
          <w:sz w:val="20"/>
          <w:u w:val="single"/>
        </w:rPr>
        <w:t>design</w:t>
      </w:r>
      <w:proofErr w:type="gramEnd"/>
      <w:r w:rsidRPr="006B6F4C">
        <w:rPr>
          <w:i/>
          <w:iCs/>
          <w:sz w:val="20"/>
          <w:u w:val="single"/>
        </w:rPr>
        <w:t xml:space="preserve"> and delivery</w:t>
      </w:r>
    </w:p>
    <w:p w14:paraId="3756B2E7" w14:textId="486F9186" w:rsidR="006B6F4C" w:rsidRPr="00CB263D" w:rsidRDefault="003D142C" w:rsidP="00D72D23">
      <w:pPr>
        <w:suppressAutoHyphens w:val="0"/>
        <w:spacing w:before="120" w:after="144" w:line="240" w:lineRule="auto"/>
        <w:rPr>
          <w:rFonts w:eastAsia="Times New Roman" w:cs="Arial"/>
          <w:i/>
          <w:iCs/>
          <w:sz w:val="20"/>
        </w:rPr>
      </w:pPr>
      <w:r w:rsidRPr="00CB263D">
        <w:rPr>
          <w:rFonts w:eastAsia="Times New Roman" w:cs="Arial"/>
          <w:i/>
          <w:iCs/>
          <w:sz w:val="20"/>
        </w:rPr>
        <w:t xml:space="preserve">2.3 </w:t>
      </w:r>
      <w:r w:rsidR="006B6F4C" w:rsidRPr="00CB263D">
        <w:rPr>
          <w:rFonts w:eastAsia="Times New Roman" w:cs="Arial"/>
          <w:i/>
          <w:iCs/>
          <w:sz w:val="20"/>
        </w:rPr>
        <w:t xml:space="preserve">The resourcing for the program and its teaching and assessment strategies is consistent with the program’s rationale and expected outcomes and: </w:t>
      </w:r>
    </w:p>
    <w:p w14:paraId="4937A507" w14:textId="54607A34" w:rsidR="006B6F4C" w:rsidRPr="00CB263D" w:rsidRDefault="006B6F4C" w:rsidP="004C576F">
      <w:pPr>
        <w:pStyle w:val="ListParagraph"/>
        <w:numPr>
          <w:ilvl w:val="0"/>
          <w:numId w:val="35"/>
        </w:numPr>
        <w:rPr>
          <w:i/>
          <w:iCs/>
          <w:sz w:val="20"/>
        </w:rPr>
      </w:pPr>
      <w:r w:rsidRPr="00CB263D">
        <w:rPr>
          <w:i/>
          <w:iCs/>
          <w:sz w:val="20"/>
        </w:rPr>
        <w:t xml:space="preserve">prepares pre-service teachers for contemporary school environments and early childhood education environments where relevant </w:t>
      </w:r>
    </w:p>
    <w:p w14:paraId="2D040E4F" w14:textId="7861FB89" w:rsidR="006B6F4C" w:rsidRPr="00CB263D" w:rsidRDefault="006B6F4C" w:rsidP="004C576F">
      <w:pPr>
        <w:pStyle w:val="ListParagraph"/>
        <w:numPr>
          <w:ilvl w:val="0"/>
          <w:numId w:val="35"/>
        </w:numPr>
        <w:rPr>
          <w:i/>
          <w:iCs/>
          <w:sz w:val="20"/>
        </w:rPr>
      </w:pPr>
      <w:r w:rsidRPr="00CB263D">
        <w:rPr>
          <w:i/>
          <w:iCs/>
          <w:sz w:val="20"/>
        </w:rPr>
        <w:t xml:space="preserve">takes into account the learning and professional experience needs of pre-service teachers across all offered modes of </w:t>
      </w:r>
      <w:proofErr w:type="gramStart"/>
      <w:r w:rsidRPr="00CB263D">
        <w:rPr>
          <w:i/>
          <w:iCs/>
          <w:sz w:val="20"/>
        </w:rPr>
        <w:t>delivery</w:t>
      </w:r>
      <w:proofErr w:type="gramEnd"/>
      <w:r w:rsidRPr="00CB263D">
        <w:rPr>
          <w:i/>
          <w:iCs/>
          <w:sz w:val="20"/>
        </w:rPr>
        <w:t xml:space="preserve"> </w:t>
      </w:r>
    </w:p>
    <w:p w14:paraId="6B1052E2" w14:textId="476FF5A4" w:rsidR="006B6F4C" w:rsidRPr="00CB263D" w:rsidRDefault="006B6F4C" w:rsidP="004C576F">
      <w:pPr>
        <w:pStyle w:val="ListParagraph"/>
        <w:numPr>
          <w:ilvl w:val="0"/>
          <w:numId w:val="35"/>
        </w:numPr>
        <w:rPr>
          <w:i/>
          <w:iCs/>
          <w:sz w:val="20"/>
        </w:rPr>
      </w:pPr>
      <w:r w:rsidRPr="00CB263D">
        <w:rPr>
          <w:i/>
          <w:iCs/>
          <w:sz w:val="20"/>
        </w:rPr>
        <w:t>includes staff who have ongoing or recent school-based experience and early childhood experience where relevant.</w:t>
      </w:r>
    </w:p>
    <w:p w14:paraId="182790E0" w14:textId="2D570F22" w:rsidR="00125A2F" w:rsidRDefault="00125A2F" w:rsidP="00125A2F">
      <w:pPr>
        <w:pStyle w:val="Heading3"/>
      </w:pPr>
      <w:r>
        <w:t xml:space="preserve">Principle </w:t>
      </w:r>
      <w:r w:rsidR="001C42F9">
        <w:t>4</w:t>
      </w:r>
      <w:r>
        <w:t>. Assessment</w:t>
      </w:r>
    </w:p>
    <w:p w14:paraId="66FD5A5F" w14:textId="77777777" w:rsidR="00DD388F" w:rsidRPr="0061560E" w:rsidRDefault="00DD388F" w:rsidP="00DD388F">
      <w:pPr>
        <w:rPr>
          <w:i/>
          <w:iCs/>
          <w:sz w:val="20"/>
          <w:u w:val="single"/>
        </w:rPr>
      </w:pPr>
      <w:r w:rsidRPr="0061560E">
        <w:rPr>
          <w:i/>
          <w:iCs/>
          <w:sz w:val="20"/>
          <w:u w:val="single"/>
        </w:rPr>
        <w:t>Standard 1 – Program outcomes.</w:t>
      </w:r>
    </w:p>
    <w:p w14:paraId="2080CA60" w14:textId="77777777" w:rsidR="00DD388F" w:rsidRPr="0061560E" w:rsidRDefault="00DD388F" w:rsidP="00B30622">
      <w:pPr>
        <w:shd w:val="clear" w:color="auto" w:fill="FFFFFF"/>
        <w:suppressAutoHyphens w:val="0"/>
        <w:spacing w:before="120" w:after="144" w:line="240" w:lineRule="auto"/>
        <w:rPr>
          <w:rFonts w:eastAsia="Times New Roman" w:cs="Arial"/>
          <w:i/>
          <w:iCs/>
          <w:sz w:val="20"/>
        </w:rPr>
      </w:pPr>
      <w:r w:rsidRPr="0061560E">
        <w:rPr>
          <w:rFonts w:eastAsia="Times New Roman" w:cs="Arial"/>
          <w:i/>
          <w:iCs/>
          <w:sz w:val="20"/>
        </w:rPr>
        <w:t xml:space="preserve">1.1 Program design and assessment processes identify where each Graduate Teacher Standard is taught, </w:t>
      </w:r>
      <w:proofErr w:type="gramStart"/>
      <w:r w:rsidRPr="0061560E">
        <w:rPr>
          <w:rFonts w:eastAsia="Times New Roman" w:cs="Arial"/>
          <w:i/>
          <w:iCs/>
          <w:sz w:val="20"/>
        </w:rPr>
        <w:t>practised</w:t>
      </w:r>
      <w:proofErr w:type="gramEnd"/>
      <w:r w:rsidRPr="0061560E">
        <w:rPr>
          <w:rFonts w:eastAsia="Times New Roman" w:cs="Arial"/>
          <w:i/>
          <w:iCs/>
          <w:sz w:val="20"/>
        </w:rPr>
        <w:t xml:space="preserve"> and assessed and require that pre-service teachers have demonstrated successful performance against all of the Graduate Teacher Standards prior to graduation.</w:t>
      </w:r>
    </w:p>
    <w:p w14:paraId="07E092E1" w14:textId="77777777" w:rsidR="00DD388F" w:rsidRPr="0061560E" w:rsidRDefault="00DD388F" w:rsidP="00B30622">
      <w:pPr>
        <w:shd w:val="clear" w:color="auto" w:fill="FFFFFF"/>
        <w:suppressAutoHyphens w:val="0"/>
        <w:spacing w:before="120" w:after="144" w:line="240" w:lineRule="auto"/>
        <w:rPr>
          <w:rFonts w:eastAsia="Times New Roman" w:cs="Arial"/>
          <w:i/>
          <w:iCs/>
          <w:sz w:val="20"/>
        </w:rPr>
      </w:pPr>
      <w:r w:rsidRPr="0061560E">
        <w:rPr>
          <w:rFonts w:eastAsia="Times New Roman" w:cs="Arial"/>
          <w:i/>
          <w:iCs/>
          <w:sz w:val="20"/>
        </w:rPr>
        <w:t>1.2 Program design and assessment processes require pre-service teachers to have successfully completed a final-year teaching performance assessment prior to graduation that is shown to:</w:t>
      </w:r>
    </w:p>
    <w:p w14:paraId="4D6F7896" w14:textId="77777777" w:rsidR="00DD388F" w:rsidRPr="00426EE3" w:rsidRDefault="00DD388F" w:rsidP="00DD388F">
      <w:pPr>
        <w:pStyle w:val="ListParagraph"/>
        <w:numPr>
          <w:ilvl w:val="0"/>
          <w:numId w:val="22"/>
        </w:numPr>
        <w:rPr>
          <w:i/>
          <w:iCs/>
          <w:sz w:val="20"/>
          <w:szCs w:val="20"/>
        </w:rPr>
      </w:pPr>
      <w:r w:rsidRPr="00426EE3">
        <w:rPr>
          <w:i/>
          <w:iCs/>
          <w:sz w:val="20"/>
          <w:szCs w:val="20"/>
        </w:rPr>
        <w:lastRenderedPageBreak/>
        <w:t xml:space="preserve">be a reflection of classroom teaching practice including the elements of planning, teaching, assessing and </w:t>
      </w:r>
      <w:proofErr w:type="gramStart"/>
      <w:r w:rsidRPr="00426EE3">
        <w:rPr>
          <w:i/>
          <w:iCs/>
          <w:sz w:val="20"/>
          <w:szCs w:val="20"/>
        </w:rPr>
        <w:t>reflecting</w:t>
      </w:r>
      <w:proofErr w:type="gramEnd"/>
    </w:p>
    <w:p w14:paraId="4871EAD5" w14:textId="77777777" w:rsidR="00DD388F" w:rsidRPr="00426EE3" w:rsidRDefault="00DD388F" w:rsidP="00DD388F">
      <w:pPr>
        <w:pStyle w:val="ListParagraph"/>
        <w:numPr>
          <w:ilvl w:val="0"/>
          <w:numId w:val="22"/>
        </w:numPr>
        <w:rPr>
          <w:i/>
          <w:iCs/>
          <w:sz w:val="20"/>
          <w:szCs w:val="20"/>
        </w:rPr>
      </w:pPr>
      <w:r w:rsidRPr="00426EE3">
        <w:rPr>
          <w:i/>
          <w:iCs/>
          <w:sz w:val="20"/>
          <w:szCs w:val="20"/>
        </w:rPr>
        <w:t>be a valid assessment that clearly assesses the content of the Graduate Teacher Standards</w:t>
      </w:r>
    </w:p>
    <w:p w14:paraId="554ACD23" w14:textId="77777777" w:rsidR="00DD388F" w:rsidRPr="00426EE3" w:rsidRDefault="00DD388F" w:rsidP="00DD388F">
      <w:pPr>
        <w:pStyle w:val="ListParagraph"/>
        <w:numPr>
          <w:ilvl w:val="0"/>
          <w:numId w:val="22"/>
        </w:numPr>
        <w:rPr>
          <w:i/>
          <w:iCs/>
          <w:sz w:val="20"/>
          <w:szCs w:val="20"/>
        </w:rPr>
      </w:pPr>
      <w:r w:rsidRPr="00426EE3">
        <w:rPr>
          <w:i/>
          <w:iCs/>
          <w:sz w:val="20"/>
          <w:szCs w:val="20"/>
        </w:rPr>
        <w:t>have clear, measurable and justifiable achievement criteria that discriminate between meeting and not meeting the Graduate Teacher Standards</w:t>
      </w:r>
    </w:p>
    <w:p w14:paraId="31AC96CD" w14:textId="77777777" w:rsidR="00DD388F" w:rsidRPr="00426EE3" w:rsidRDefault="00DD388F" w:rsidP="00DD388F">
      <w:pPr>
        <w:pStyle w:val="ListParagraph"/>
        <w:numPr>
          <w:ilvl w:val="0"/>
          <w:numId w:val="22"/>
        </w:numPr>
        <w:rPr>
          <w:i/>
          <w:iCs/>
          <w:sz w:val="20"/>
          <w:szCs w:val="20"/>
        </w:rPr>
      </w:pPr>
      <w:r w:rsidRPr="00426EE3">
        <w:rPr>
          <w:i/>
          <w:iCs/>
          <w:sz w:val="20"/>
          <w:szCs w:val="20"/>
        </w:rPr>
        <w:t>be a reliable assessment in which there are appropriate processes in place for ensuring consistent scoring between assessors</w:t>
      </w:r>
    </w:p>
    <w:p w14:paraId="4521FD34" w14:textId="77777777" w:rsidR="00DD388F" w:rsidRPr="00426EE3" w:rsidRDefault="00DD388F" w:rsidP="00DD388F">
      <w:pPr>
        <w:pStyle w:val="ListParagraph"/>
        <w:numPr>
          <w:ilvl w:val="0"/>
          <w:numId w:val="22"/>
        </w:numPr>
        <w:rPr>
          <w:i/>
          <w:iCs/>
          <w:sz w:val="20"/>
          <w:szCs w:val="20"/>
        </w:rPr>
      </w:pPr>
      <w:r w:rsidRPr="00426EE3">
        <w:rPr>
          <w:i/>
          <w:iCs/>
          <w:sz w:val="20"/>
          <w:szCs w:val="20"/>
        </w:rPr>
        <w:t>include moderation processes that support consistent decision-making against the achievement criteria.</w:t>
      </w:r>
    </w:p>
    <w:p w14:paraId="43FB9FB6" w14:textId="77777777" w:rsidR="00DD388F" w:rsidRPr="0061560E" w:rsidRDefault="00DD388F" w:rsidP="0061560E">
      <w:pPr>
        <w:suppressAutoHyphens w:val="0"/>
        <w:spacing w:before="120" w:after="144" w:line="240" w:lineRule="auto"/>
        <w:rPr>
          <w:rFonts w:eastAsia="Times New Roman" w:cs="Arial"/>
          <w:i/>
          <w:iCs/>
          <w:sz w:val="20"/>
        </w:rPr>
      </w:pPr>
      <w:r w:rsidRPr="0061560E">
        <w:rPr>
          <w:rFonts w:eastAsia="Times New Roman" w:cs="Arial"/>
          <w:i/>
          <w:iCs/>
          <w:sz w:val="20"/>
        </w:rPr>
        <w:t>1.3 Providers identify how their pre-service teachers demonstrate a positive impact on student learning in relation to the assessment requirements in Program Standards 1.1 and 1.2.</w:t>
      </w:r>
    </w:p>
    <w:p w14:paraId="272AF192" w14:textId="77777777" w:rsidR="00DD388F" w:rsidRPr="00426EE3" w:rsidRDefault="00DD388F" w:rsidP="00DD388F">
      <w:pPr>
        <w:rPr>
          <w:i/>
          <w:iCs/>
          <w:sz w:val="20"/>
          <w:u w:val="single"/>
        </w:rPr>
      </w:pPr>
      <w:r w:rsidRPr="00426EE3">
        <w:rPr>
          <w:i/>
          <w:iCs/>
          <w:sz w:val="20"/>
          <w:u w:val="single"/>
        </w:rPr>
        <w:t xml:space="preserve">Standard 2 – Program development, </w:t>
      </w:r>
      <w:proofErr w:type="gramStart"/>
      <w:r w:rsidRPr="00426EE3">
        <w:rPr>
          <w:i/>
          <w:iCs/>
          <w:sz w:val="20"/>
          <w:u w:val="single"/>
        </w:rPr>
        <w:t>design</w:t>
      </w:r>
      <w:proofErr w:type="gramEnd"/>
      <w:r w:rsidRPr="00426EE3">
        <w:rPr>
          <w:i/>
          <w:iCs/>
          <w:sz w:val="20"/>
          <w:u w:val="single"/>
        </w:rPr>
        <w:t xml:space="preserve"> and delivery</w:t>
      </w:r>
    </w:p>
    <w:p w14:paraId="35822975" w14:textId="77777777" w:rsidR="00DD388F" w:rsidRPr="00554BC8" w:rsidRDefault="00DD388F" w:rsidP="0061560E">
      <w:pPr>
        <w:suppressAutoHyphens w:val="0"/>
        <w:spacing w:before="120" w:after="144" w:line="240" w:lineRule="auto"/>
        <w:rPr>
          <w:rFonts w:eastAsia="Times New Roman" w:cs="Arial"/>
          <w:i/>
          <w:iCs/>
          <w:sz w:val="20"/>
        </w:rPr>
      </w:pPr>
      <w:r w:rsidRPr="00554BC8">
        <w:rPr>
          <w:rFonts w:eastAsia="Times New Roman" w:cs="Arial"/>
          <w:i/>
          <w:iCs/>
          <w:sz w:val="20"/>
        </w:rPr>
        <w:t>2.3 The resourcing for the program and its teaching and assessment strategies is consistent with the program’s rationale and expected outcomes and:</w:t>
      </w:r>
    </w:p>
    <w:p w14:paraId="5D7D48EA" w14:textId="77777777" w:rsidR="00DD388F" w:rsidRPr="00426EE3" w:rsidRDefault="00DD388F" w:rsidP="00DD388F">
      <w:pPr>
        <w:pStyle w:val="ListParagraph"/>
        <w:numPr>
          <w:ilvl w:val="0"/>
          <w:numId w:val="23"/>
        </w:numPr>
        <w:rPr>
          <w:i/>
          <w:iCs/>
          <w:sz w:val="20"/>
          <w:szCs w:val="20"/>
        </w:rPr>
      </w:pPr>
      <w:r w:rsidRPr="00426EE3">
        <w:rPr>
          <w:i/>
          <w:iCs/>
          <w:sz w:val="20"/>
          <w:szCs w:val="20"/>
        </w:rPr>
        <w:t>prepares pre-service teachers for contemporary school environments and early childhood education environments where relevant</w:t>
      </w:r>
    </w:p>
    <w:p w14:paraId="2A6329ED" w14:textId="77777777" w:rsidR="00DD388F" w:rsidRPr="00426EE3" w:rsidRDefault="00DD388F" w:rsidP="00DD388F">
      <w:pPr>
        <w:pStyle w:val="ListParagraph"/>
        <w:numPr>
          <w:ilvl w:val="0"/>
          <w:numId w:val="23"/>
        </w:numPr>
        <w:rPr>
          <w:i/>
          <w:iCs/>
          <w:sz w:val="20"/>
          <w:szCs w:val="20"/>
        </w:rPr>
      </w:pPr>
      <w:r w:rsidRPr="00426EE3">
        <w:rPr>
          <w:i/>
          <w:iCs/>
          <w:sz w:val="20"/>
          <w:szCs w:val="20"/>
        </w:rPr>
        <w:t xml:space="preserve">takes into account the learning and professional experience needs of pre-service teachers across all offered modes of </w:t>
      </w:r>
      <w:proofErr w:type="gramStart"/>
      <w:r w:rsidRPr="00426EE3">
        <w:rPr>
          <w:i/>
          <w:iCs/>
          <w:sz w:val="20"/>
          <w:szCs w:val="20"/>
        </w:rPr>
        <w:t>delivery</w:t>
      </w:r>
      <w:proofErr w:type="gramEnd"/>
    </w:p>
    <w:p w14:paraId="394C38AC" w14:textId="77777777" w:rsidR="00DD388F" w:rsidRPr="00426EE3" w:rsidRDefault="00DD388F" w:rsidP="00DD388F">
      <w:pPr>
        <w:pStyle w:val="ListParagraph"/>
        <w:numPr>
          <w:ilvl w:val="0"/>
          <w:numId w:val="23"/>
        </w:numPr>
        <w:rPr>
          <w:i/>
          <w:iCs/>
          <w:sz w:val="20"/>
          <w:szCs w:val="20"/>
        </w:rPr>
      </w:pPr>
      <w:r w:rsidRPr="00426EE3">
        <w:rPr>
          <w:i/>
          <w:iCs/>
          <w:sz w:val="20"/>
          <w:szCs w:val="20"/>
        </w:rPr>
        <w:t>includes staff who have ongoing or recent school-based experience and early childhood experience where relevant.</w:t>
      </w:r>
    </w:p>
    <w:p w14:paraId="3C26F494" w14:textId="77777777" w:rsidR="00DD388F" w:rsidRPr="00426EE3" w:rsidRDefault="00DD388F" w:rsidP="00DD388F">
      <w:pPr>
        <w:rPr>
          <w:i/>
          <w:iCs/>
          <w:sz w:val="20"/>
          <w:u w:val="single"/>
        </w:rPr>
      </w:pPr>
      <w:r w:rsidRPr="00426EE3">
        <w:rPr>
          <w:i/>
          <w:iCs/>
          <w:sz w:val="20"/>
          <w:u w:val="single"/>
        </w:rPr>
        <w:t>Standard 4 – Program structure and content</w:t>
      </w:r>
    </w:p>
    <w:p w14:paraId="3D81A04A" w14:textId="77777777" w:rsidR="00DD388F" w:rsidRPr="00FD2AF2" w:rsidRDefault="00DD388F" w:rsidP="00FD2AF2">
      <w:pPr>
        <w:suppressAutoHyphens w:val="0"/>
        <w:spacing w:before="120" w:after="144" w:line="240" w:lineRule="auto"/>
        <w:rPr>
          <w:rFonts w:eastAsia="Times New Roman" w:cs="Arial"/>
          <w:i/>
          <w:iCs/>
          <w:sz w:val="20"/>
        </w:rPr>
      </w:pPr>
      <w:r w:rsidRPr="00FD2AF2">
        <w:rPr>
          <w:rFonts w:eastAsia="Times New Roman" w:cs="Arial"/>
          <w:i/>
          <w:iCs/>
          <w:sz w:val="20"/>
        </w:rPr>
        <w:t>4.4 In addition to study in each of the learning areas of the primary school curriculum sufficient to equip teachers to teach across the years of primary schooling, programs provide all primary graduates with a subject specialisation through:</w:t>
      </w:r>
    </w:p>
    <w:p w14:paraId="30EF1E83" w14:textId="77777777" w:rsidR="00DD388F" w:rsidRPr="00426EE3" w:rsidRDefault="00DD388F" w:rsidP="00DD388F">
      <w:pPr>
        <w:pStyle w:val="ListParagraph"/>
        <w:numPr>
          <w:ilvl w:val="0"/>
          <w:numId w:val="24"/>
        </w:numPr>
        <w:rPr>
          <w:i/>
          <w:iCs/>
          <w:sz w:val="20"/>
          <w:szCs w:val="20"/>
        </w:rPr>
      </w:pPr>
      <w:r w:rsidRPr="00426EE3">
        <w:rPr>
          <w:i/>
          <w:iCs/>
          <w:sz w:val="20"/>
          <w:szCs w:val="20"/>
        </w:rPr>
        <w:t xml:space="preserve">clearly defined pathways into and/or within a program that </w:t>
      </w:r>
      <w:proofErr w:type="gramStart"/>
      <w:r w:rsidRPr="00426EE3">
        <w:rPr>
          <w:i/>
          <w:iCs/>
          <w:sz w:val="20"/>
          <w:szCs w:val="20"/>
        </w:rPr>
        <w:t>lead</w:t>
      </w:r>
      <w:proofErr w:type="gramEnd"/>
      <w:r w:rsidRPr="00426EE3">
        <w:rPr>
          <w:i/>
          <w:iCs/>
          <w:sz w:val="20"/>
          <w:szCs w:val="20"/>
        </w:rPr>
        <w:t xml:space="preserve"> to specialisations, that are in demand, with a focus on subject/curriculum areas</w:t>
      </w:r>
    </w:p>
    <w:p w14:paraId="60724315" w14:textId="77777777" w:rsidR="00DD388F" w:rsidRPr="00426EE3" w:rsidRDefault="00DD388F" w:rsidP="00DD388F">
      <w:pPr>
        <w:pStyle w:val="ListParagraph"/>
        <w:numPr>
          <w:ilvl w:val="0"/>
          <w:numId w:val="24"/>
        </w:numPr>
        <w:rPr>
          <w:i/>
          <w:iCs/>
          <w:sz w:val="20"/>
          <w:szCs w:val="20"/>
        </w:rPr>
      </w:pPr>
      <w:r w:rsidRPr="00426EE3">
        <w:rPr>
          <w:i/>
          <w:iCs/>
          <w:sz w:val="20"/>
          <w:szCs w:val="20"/>
        </w:rPr>
        <w:t>assessment within the program requiring graduates to demonstrate expert content knowledge and pedagogical content knowledge and highly effective classroom teaching in their area of specialisation</w:t>
      </w:r>
    </w:p>
    <w:p w14:paraId="1A845F03" w14:textId="77777777" w:rsidR="00DD388F" w:rsidRPr="00426EE3" w:rsidRDefault="00DD388F" w:rsidP="00DD388F">
      <w:pPr>
        <w:pStyle w:val="ListParagraph"/>
        <w:numPr>
          <w:ilvl w:val="0"/>
          <w:numId w:val="24"/>
        </w:numPr>
        <w:rPr>
          <w:i/>
          <w:iCs/>
          <w:sz w:val="20"/>
          <w:szCs w:val="20"/>
        </w:rPr>
      </w:pPr>
      <w:r w:rsidRPr="00426EE3">
        <w:rPr>
          <w:i/>
          <w:iCs/>
          <w:sz w:val="20"/>
          <w:szCs w:val="20"/>
        </w:rPr>
        <w:t>publishing the specialisations available, and numbers of graduates per specialisation through their annual reports.</w:t>
      </w:r>
    </w:p>
    <w:p w14:paraId="633DBC85" w14:textId="77777777" w:rsidR="00DD388F" w:rsidRPr="00426EE3" w:rsidRDefault="00DD388F" w:rsidP="00DD388F">
      <w:pPr>
        <w:rPr>
          <w:i/>
          <w:iCs/>
          <w:sz w:val="20"/>
          <w:u w:val="single"/>
        </w:rPr>
      </w:pPr>
      <w:r w:rsidRPr="00426EE3">
        <w:rPr>
          <w:i/>
          <w:iCs/>
          <w:sz w:val="20"/>
          <w:u w:val="single"/>
        </w:rPr>
        <w:t>Standard 5 – Professional experience</w:t>
      </w:r>
    </w:p>
    <w:p w14:paraId="527630A1" w14:textId="77777777" w:rsidR="00DD388F" w:rsidRPr="00502B3F" w:rsidRDefault="00DD388F" w:rsidP="00502B3F">
      <w:pPr>
        <w:suppressAutoHyphens w:val="0"/>
        <w:spacing w:before="120" w:after="144" w:line="240" w:lineRule="auto"/>
        <w:rPr>
          <w:rFonts w:eastAsia="Times New Roman" w:cs="Arial"/>
          <w:i/>
          <w:iCs/>
          <w:sz w:val="20"/>
        </w:rPr>
      </w:pPr>
      <w:r w:rsidRPr="00502B3F">
        <w:rPr>
          <w:rFonts w:eastAsia="Times New Roman" w:cs="Arial"/>
          <w:i/>
          <w:iCs/>
          <w:sz w:val="20"/>
        </w:rPr>
        <w:t>5.4 Providers work with their placement school(s)/systems to achieve a rigorous approach to the assessment of pre-service teachers’ achievements against the Graduate Teacher Standards including:</w:t>
      </w:r>
    </w:p>
    <w:p w14:paraId="1B346310" w14:textId="77777777" w:rsidR="00DD388F" w:rsidRPr="00426EE3" w:rsidRDefault="00DD388F" w:rsidP="00DD388F">
      <w:pPr>
        <w:pStyle w:val="ListParagraph"/>
        <w:numPr>
          <w:ilvl w:val="0"/>
          <w:numId w:val="25"/>
        </w:numPr>
        <w:rPr>
          <w:i/>
          <w:iCs/>
          <w:sz w:val="20"/>
          <w:szCs w:val="20"/>
        </w:rPr>
      </w:pPr>
      <w:r w:rsidRPr="00426EE3">
        <w:rPr>
          <w:i/>
          <w:iCs/>
          <w:sz w:val="20"/>
          <w:szCs w:val="20"/>
        </w:rPr>
        <w:t>identification of the Standards to be assessed</w:t>
      </w:r>
    </w:p>
    <w:p w14:paraId="43C916BB" w14:textId="77777777" w:rsidR="00DD388F" w:rsidRPr="00426EE3" w:rsidRDefault="00DD388F" w:rsidP="00DD388F">
      <w:pPr>
        <w:pStyle w:val="ListParagraph"/>
        <w:numPr>
          <w:ilvl w:val="0"/>
          <w:numId w:val="25"/>
        </w:numPr>
        <w:rPr>
          <w:i/>
          <w:iCs/>
          <w:sz w:val="20"/>
          <w:szCs w:val="20"/>
        </w:rPr>
      </w:pPr>
      <w:r w:rsidRPr="00426EE3">
        <w:rPr>
          <w:i/>
          <w:iCs/>
          <w:sz w:val="20"/>
          <w:szCs w:val="20"/>
        </w:rPr>
        <w:t xml:space="preserve">provision of assessment tools, protocols, </w:t>
      </w:r>
      <w:proofErr w:type="gramStart"/>
      <w:r w:rsidRPr="00426EE3">
        <w:rPr>
          <w:i/>
          <w:iCs/>
          <w:sz w:val="20"/>
          <w:szCs w:val="20"/>
        </w:rPr>
        <w:t>practices</w:t>
      </w:r>
      <w:proofErr w:type="gramEnd"/>
      <w:r w:rsidRPr="00426EE3">
        <w:rPr>
          <w:i/>
          <w:iCs/>
          <w:sz w:val="20"/>
          <w:szCs w:val="20"/>
        </w:rPr>
        <w:t xml:space="preserve"> and guidelines</w:t>
      </w:r>
    </w:p>
    <w:p w14:paraId="1479ED70" w14:textId="77777777" w:rsidR="00DD388F" w:rsidRPr="00426EE3" w:rsidRDefault="00DD388F" w:rsidP="00DD388F">
      <w:pPr>
        <w:pStyle w:val="ListParagraph"/>
        <w:numPr>
          <w:ilvl w:val="0"/>
          <w:numId w:val="25"/>
        </w:numPr>
        <w:rPr>
          <w:i/>
          <w:iCs/>
          <w:sz w:val="20"/>
          <w:szCs w:val="20"/>
        </w:rPr>
      </w:pPr>
      <w:r w:rsidRPr="00426EE3">
        <w:rPr>
          <w:i/>
          <w:iCs/>
          <w:sz w:val="20"/>
          <w:szCs w:val="20"/>
        </w:rPr>
        <w:t>clarification of expectations and roles in assessment, particularly designated roles for supervising teachers in practical assessment of pre-service teachers</w:t>
      </w:r>
    </w:p>
    <w:p w14:paraId="24968B93" w14:textId="77777777" w:rsidR="00DD388F" w:rsidRPr="00426EE3" w:rsidRDefault="00DD388F" w:rsidP="00DD388F">
      <w:pPr>
        <w:pStyle w:val="ListParagraph"/>
        <w:numPr>
          <w:ilvl w:val="0"/>
          <w:numId w:val="25"/>
        </w:numPr>
        <w:rPr>
          <w:i/>
          <w:iCs/>
          <w:sz w:val="20"/>
          <w:szCs w:val="20"/>
        </w:rPr>
      </w:pPr>
      <w:r w:rsidRPr="00426EE3">
        <w:rPr>
          <w:i/>
          <w:iCs/>
          <w:sz w:val="20"/>
          <w:szCs w:val="20"/>
        </w:rPr>
        <w:t>timely identification of pre-service teachers at risk of not satisfactorily completing the formal teaching practice, ensuring appropriate support for improvement</w:t>
      </w:r>
    </w:p>
    <w:p w14:paraId="3E754E7C" w14:textId="77777777" w:rsidR="00DD388F" w:rsidRDefault="00DD388F" w:rsidP="00DD388F">
      <w:pPr>
        <w:pStyle w:val="ListParagraph"/>
        <w:numPr>
          <w:ilvl w:val="0"/>
          <w:numId w:val="25"/>
        </w:numPr>
        <w:rPr>
          <w:i/>
          <w:iCs/>
          <w:sz w:val="20"/>
          <w:szCs w:val="20"/>
        </w:rPr>
      </w:pPr>
      <w:r w:rsidRPr="00426EE3">
        <w:rPr>
          <w:i/>
          <w:iCs/>
          <w:sz w:val="20"/>
          <w:szCs w:val="20"/>
        </w:rPr>
        <w:t>mandating a satisfactory formal assessment of pre-service teachers against the Graduate Teacher Standards as a requirement for graduating from the program.</w:t>
      </w:r>
    </w:p>
    <w:p w14:paraId="5A53576E" w14:textId="17866F24" w:rsidR="00F945BE" w:rsidRDefault="00F945BE" w:rsidP="00F945BE">
      <w:pPr>
        <w:pStyle w:val="Heading3"/>
      </w:pPr>
      <w:r>
        <w:lastRenderedPageBreak/>
        <w:t xml:space="preserve">Principle </w:t>
      </w:r>
      <w:r w:rsidR="001C42F9">
        <w:t>5</w:t>
      </w:r>
      <w:r>
        <w:t>. Partnerships</w:t>
      </w:r>
    </w:p>
    <w:p w14:paraId="41120871" w14:textId="77777777" w:rsidR="001D4292" w:rsidRPr="001B2C07" w:rsidRDefault="001D4292" w:rsidP="001D4292">
      <w:pPr>
        <w:rPr>
          <w:i/>
          <w:iCs/>
          <w:sz w:val="20"/>
          <w:u w:val="single"/>
        </w:rPr>
      </w:pPr>
      <w:r w:rsidRPr="001B2C07">
        <w:rPr>
          <w:i/>
          <w:iCs/>
          <w:sz w:val="20"/>
          <w:u w:val="single"/>
        </w:rPr>
        <w:t>Standard 5 – Professional experience</w:t>
      </w:r>
    </w:p>
    <w:p w14:paraId="6BDAA69F" w14:textId="77777777" w:rsidR="001D4292" w:rsidRPr="00502B3F" w:rsidRDefault="001D4292" w:rsidP="00502B3F">
      <w:pPr>
        <w:suppressAutoHyphens w:val="0"/>
        <w:spacing w:before="120" w:after="144" w:line="240" w:lineRule="auto"/>
        <w:rPr>
          <w:rFonts w:eastAsia="Times New Roman" w:cs="Arial"/>
          <w:i/>
          <w:iCs/>
          <w:sz w:val="20"/>
        </w:rPr>
      </w:pPr>
      <w:r w:rsidRPr="00502B3F">
        <w:rPr>
          <w:rFonts w:eastAsia="Times New Roman" w:cs="Arial"/>
          <w:i/>
          <w:iCs/>
          <w:sz w:val="20"/>
        </w:rPr>
        <w:t xml:space="preserve">5.1 Formal partnerships, agreed in writing, are </w:t>
      </w:r>
      <w:proofErr w:type="gramStart"/>
      <w:r w:rsidRPr="00502B3F">
        <w:rPr>
          <w:rFonts w:eastAsia="Times New Roman" w:cs="Arial"/>
          <w:i/>
          <w:iCs/>
          <w:sz w:val="20"/>
        </w:rPr>
        <w:t>developed</w:t>
      </w:r>
      <w:proofErr w:type="gramEnd"/>
      <w:r w:rsidRPr="00502B3F">
        <w:rPr>
          <w:rFonts w:eastAsia="Times New Roman" w:cs="Arial"/>
          <w:i/>
          <w:iCs/>
          <w:sz w:val="20"/>
        </w:rPr>
        <w:t xml:space="preserve"> and used by providers and schools/sites/systems to facilitate the delivery of programs, particularly professional experience for pre-service teachers. Formal partnerships exist for every professional experience school/site and clearly specify components of placements and planned experiences, identified roles and responsibilities for both parties and responsible contacts for day-to-day administration of the arrangement.</w:t>
      </w:r>
    </w:p>
    <w:p w14:paraId="3E371E38" w14:textId="77777777" w:rsidR="001D4292" w:rsidRPr="00502B3F" w:rsidRDefault="001D4292" w:rsidP="00502B3F">
      <w:pPr>
        <w:suppressAutoHyphens w:val="0"/>
        <w:spacing w:before="120" w:after="144" w:line="240" w:lineRule="auto"/>
        <w:rPr>
          <w:rFonts w:eastAsia="Times New Roman" w:cs="Arial"/>
          <w:i/>
          <w:iCs/>
          <w:sz w:val="20"/>
        </w:rPr>
      </w:pPr>
      <w:r w:rsidRPr="00502B3F">
        <w:rPr>
          <w:rFonts w:eastAsia="Times New Roman" w:cs="Arial"/>
          <w:i/>
          <w:iCs/>
          <w:sz w:val="20"/>
        </w:rPr>
        <w:t>5.2 The professional experience components of programs are relevant to a classroom environment, and:</w:t>
      </w:r>
    </w:p>
    <w:p w14:paraId="638F18F1" w14:textId="77777777" w:rsidR="001D4292" w:rsidRPr="00502B3F" w:rsidRDefault="001D4292" w:rsidP="00502B3F">
      <w:pPr>
        <w:pStyle w:val="ListParagraph"/>
        <w:numPr>
          <w:ilvl w:val="0"/>
          <w:numId w:val="26"/>
        </w:numPr>
        <w:spacing w:before="120" w:after="144" w:line="240" w:lineRule="auto"/>
        <w:rPr>
          <w:rFonts w:eastAsia="Times New Roman" w:cs="Arial"/>
          <w:i/>
          <w:iCs/>
          <w:sz w:val="20"/>
          <w:szCs w:val="20"/>
        </w:rPr>
      </w:pPr>
      <w:r w:rsidRPr="00502B3F">
        <w:rPr>
          <w:rFonts w:eastAsia="Times New Roman" w:cs="Arial"/>
          <w:i/>
          <w:iCs/>
          <w:sz w:val="20"/>
          <w:szCs w:val="20"/>
        </w:rPr>
        <w:t>include no fewer than 80 days in undergraduate and double-degree teacher education programs and no fewer than 60 days in graduate-entry programs</w:t>
      </w:r>
    </w:p>
    <w:p w14:paraId="03BCC426" w14:textId="77777777" w:rsidR="001D4292" w:rsidRPr="00502B3F" w:rsidRDefault="001D4292" w:rsidP="00502B3F">
      <w:pPr>
        <w:pStyle w:val="ListParagraph"/>
        <w:numPr>
          <w:ilvl w:val="0"/>
          <w:numId w:val="26"/>
        </w:numPr>
        <w:spacing w:before="120" w:after="144" w:line="240" w:lineRule="auto"/>
        <w:rPr>
          <w:rFonts w:eastAsia="Times New Roman" w:cs="Arial"/>
          <w:i/>
          <w:iCs/>
          <w:sz w:val="20"/>
          <w:szCs w:val="20"/>
        </w:rPr>
      </w:pPr>
      <w:r w:rsidRPr="00502B3F">
        <w:rPr>
          <w:rFonts w:eastAsia="Times New Roman" w:cs="Arial"/>
          <w:i/>
          <w:iCs/>
          <w:sz w:val="20"/>
          <w:szCs w:val="20"/>
        </w:rPr>
        <w:t>consist of supervised and assessed teaching practice undertaken over a substantial and sustained period that is mostly in Australia and mostly in a recognised school setting</w:t>
      </w:r>
    </w:p>
    <w:p w14:paraId="7BBD9D2C" w14:textId="77777777" w:rsidR="001D4292" w:rsidRPr="00502B3F" w:rsidRDefault="001D4292" w:rsidP="00502B3F">
      <w:pPr>
        <w:pStyle w:val="ListParagraph"/>
        <w:numPr>
          <w:ilvl w:val="0"/>
          <w:numId w:val="26"/>
        </w:numPr>
        <w:spacing w:before="120" w:after="144" w:line="240" w:lineRule="auto"/>
        <w:rPr>
          <w:rFonts w:eastAsia="Times New Roman" w:cs="Arial"/>
          <w:i/>
          <w:iCs/>
          <w:sz w:val="20"/>
          <w:szCs w:val="20"/>
        </w:rPr>
      </w:pPr>
      <w:r w:rsidRPr="00502B3F">
        <w:rPr>
          <w:rFonts w:eastAsia="Times New Roman" w:cs="Arial"/>
          <w:i/>
          <w:iCs/>
          <w:sz w:val="20"/>
          <w:szCs w:val="20"/>
        </w:rPr>
        <w:t>are as diverse as practicable</w:t>
      </w:r>
    </w:p>
    <w:p w14:paraId="3443AA1B" w14:textId="77777777" w:rsidR="001D4292" w:rsidRPr="00502B3F" w:rsidRDefault="001D4292" w:rsidP="00502B3F">
      <w:pPr>
        <w:pStyle w:val="ListParagraph"/>
        <w:numPr>
          <w:ilvl w:val="0"/>
          <w:numId w:val="26"/>
        </w:numPr>
        <w:spacing w:before="120" w:after="144" w:line="240" w:lineRule="auto"/>
        <w:rPr>
          <w:rFonts w:eastAsia="Times New Roman" w:cs="Arial"/>
          <w:i/>
          <w:iCs/>
          <w:sz w:val="20"/>
          <w:szCs w:val="20"/>
        </w:rPr>
      </w:pPr>
      <w:r w:rsidRPr="00502B3F">
        <w:rPr>
          <w:rFonts w:eastAsia="Times New Roman" w:cs="Arial"/>
          <w:i/>
          <w:iCs/>
          <w:sz w:val="20"/>
          <w:szCs w:val="20"/>
        </w:rPr>
        <w:t>provide opportunities for pre-service teachers to observe and participate purposefully in a school/site as early as practicable in a program.</w:t>
      </w:r>
    </w:p>
    <w:p w14:paraId="22E190DF" w14:textId="77777777" w:rsidR="001D4292" w:rsidRPr="00502B3F" w:rsidRDefault="001D4292" w:rsidP="00502B3F">
      <w:pPr>
        <w:suppressAutoHyphens w:val="0"/>
        <w:spacing w:before="120" w:after="144" w:line="240" w:lineRule="auto"/>
        <w:rPr>
          <w:rFonts w:eastAsia="Times New Roman" w:cs="Arial"/>
          <w:i/>
          <w:iCs/>
          <w:sz w:val="20"/>
        </w:rPr>
      </w:pPr>
      <w:r w:rsidRPr="00502B3F">
        <w:rPr>
          <w:rFonts w:eastAsia="Times New Roman" w:cs="Arial"/>
          <w:i/>
          <w:iCs/>
          <w:sz w:val="20"/>
        </w:rPr>
        <w:t>5.3 For every professional experience placement, regardless of delivery mode, there are clear mechanisms to communicate between the initial teacher education provider and the school the knowledge, skills and experiences pre-service teachers have already developed in a program and the expected learning outcomes of that placement.</w:t>
      </w:r>
    </w:p>
    <w:p w14:paraId="427F844B" w14:textId="77777777" w:rsidR="001D4292" w:rsidRPr="00502B3F" w:rsidRDefault="001D4292" w:rsidP="00502B3F">
      <w:pPr>
        <w:suppressAutoHyphens w:val="0"/>
        <w:spacing w:before="120" w:after="144" w:line="240" w:lineRule="auto"/>
        <w:rPr>
          <w:rFonts w:eastAsia="Times New Roman" w:cs="Arial"/>
          <w:i/>
          <w:iCs/>
          <w:sz w:val="20"/>
        </w:rPr>
      </w:pPr>
      <w:r w:rsidRPr="00502B3F">
        <w:rPr>
          <w:rFonts w:eastAsia="Times New Roman" w:cs="Arial"/>
          <w:i/>
          <w:iCs/>
          <w:sz w:val="20"/>
        </w:rPr>
        <w:t>5.4 Providers work with their placement school(s)/systems to achieve a rigorous approach to the assessment of pre-service teachers’ achievements against the Graduate Teacher Standards including:</w:t>
      </w:r>
    </w:p>
    <w:p w14:paraId="3102FD73" w14:textId="77777777" w:rsidR="001D4292" w:rsidRPr="00502B3F" w:rsidRDefault="001D4292" w:rsidP="00502B3F">
      <w:pPr>
        <w:pStyle w:val="ListParagraph"/>
        <w:numPr>
          <w:ilvl w:val="0"/>
          <w:numId w:val="27"/>
        </w:numPr>
        <w:rPr>
          <w:i/>
          <w:iCs/>
          <w:sz w:val="20"/>
          <w:szCs w:val="20"/>
        </w:rPr>
      </w:pPr>
      <w:r w:rsidRPr="00502B3F">
        <w:rPr>
          <w:i/>
          <w:iCs/>
          <w:sz w:val="20"/>
          <w:szCs w:val="20"/>
        </w:rPr>
        <w:t>identification of the Standards to be assessed</w:t>
      </w:r>
    </w:p>
    <w:p w14:paraId="5AC1F433" w14:textId="77777777" w:rsidR="001D4292" w:rsidRPr="00502B3F" w:rsidRDefault="001D4292" w:rsidP="00502B3F">
      <w:pPr>
        <w:pStyle w:val="ListParagraph"/>
        <w:numPr>
          <w:ilvl w:val="0"/>
          <w:numId w:val="27"/>
        </w:numPr>
        <w:rPr>
          <w:i/>
          <w:iCs/>
          <w:sz w:val="20"/>
          <w:szCs w:val="20"/>
        </w:rPr>
      </w:pPr>
      <w:r w:rsidRPr="00502B3F">
        <w:rPr>
          <w:i/>
          <w:iCs/>
          <w:sz w:val="20"/>
          <w:szCs w:val="20"/>
        </w:rPr>
        <w:t xml:space="preserve">provision of assessment tools, protocols, </w:t>
      </w:r>
      <w:proofErr w:type="gramStart"/>
      <w:r w:rsidRPr="00502B3F">
        <w:rPr>
          <w:i/>
          <w:iCs/>
          <w:sz w:val="20"/>
          <w:szCs w:val="20"/>
        </w:rPr>
        <w:t>practices</w:t>
      </w:r>
      <w:proofErr w:type="gramEnd"/>
      <w:r w:rsidRPr="00502B3F">
        <w:rPr>
          <w:i/>
          <w:iCs/>
          <w:sz w:val="20"/>
          <w:szCs w:val="20"/>
        </w:rPr>
        <w:t xml:space="preserve"> and guidelines</w:t>
      </w:r>
    </w:p>
    <w:p w14:paraId="5DC2370C" w14:textId="77777777" w:rsidR="001D4292" w:rsidRPr="00502B3F" w:rsidRDefault="001D4292" w:rsidP="00502B3F">
      <w:pPr>
        <w:pStyle w:val="ListParagraph"/>
        <w:numPr>
          <w:ilvl w:val="0"/>
          <w:numId w:val="27"/>
        </w:numPr>
        <w:rPr>
          <w:i/>
          <w:iCs/>
          <w:sz w:val="20"/>
          <w:szCs w:val="20"/>
        </w:rPr>
      </w:pPr>
      <w:r w:rsidRPr="00502B3F">
        <w:rPr>
          <w:i/>
          <w:iCs/>
          <w:sz w:val="20"/>
          <w:szCs w:val="20"/>
        </w:rPr>
        <w:t>clarification of expectations and roles in assessment, particularly designated roles for supervising teachers in practical assessment of pre-service teachers</w:t>
      </w:r>
    </w:p>
    <w:p w14:paraId="7EC69E1F" w14:textId="77777777" w:rsidR="001D4292" w:rsidRPr="00502B3F" w:rsidRDefault="001D4292" w:rsidP="00502B3F">
      <w:pPr>
        <w:pStyle w:val="ListParagraph"/>
        <w:numPr>
          <w:ilvl w:val="0"/>
          <w:numId w:val="27"/>
        </w:numPr>
        <w:rPr>
          <w:i/>
          <w:iCs/>
          <w:sz w:val="20"/>
          <w:szCs w:val="20"/>
        </w:rPr>
      </w:pPr>
      <w:r w:rsidRPr="00502B3F">
        <w:rPr>
          <w:i/>
          <w:iCs/>
          <w:sz w:val="20"/>
          <w:szCs w:val="20"/>
        </w:rPr>
        <w:t>timely identification of pre-service teachers at risk of not satisfactorily completing the formal teaching practice, ensuring appropriate support for improvement</w:t>
      </w:r>
    </w:p>
    <w:p w14:paraId="24AD1881" w14:textId="77777777" w:rsidR="001D4292" w:rsidRPr="00502B3F" w:rsidRDefault="001D4292" w:rsidP="00502B3F">
      <w:pPr>
        <w:pStyle w:val="ListParagraph"/>
        <w:numPr>
          <w:ilvl w:val="0"/>
          <w:numId w:val="27"/>
        </w:numPr>
        <w:rPr>
          <w:i/>
          <w:iCs/>
          <w:sz w:val="20"/>
          <w:szCs w:val="20"/>
        </w:rPr>
      </w:pPr>
      <w:r w:rsidRPr="00502B3F">
        <w:rPr>
          <w:i/>
          <w:iCs/>
          <w:sz w:val="20"/>
          <w:szCs w:val="20"/>
        </w:rPr>
        <w:t xml:space="preserve">mandating a satisfactory formal assessment of pre-service teachers against the Graduate Teacher Standards as a requirement for graduating from the program. </w:t>
      </w:r>
    </w:p>
    <w:p w14:paraId="471C5359" w14:textId="254D0068" w:rsidR="001D4292" w:rsidRPr="00502B3F" w:rsidRDefault="001D4292" w:rsidP="00502B3F">
      <w:pPr>
        <w:suppressAutoHyphens w:val="0"/>
        <w:spacing w:before="120" w:after="144" w:line="240" w:lineRule="auto"/>
        <w:rPr>
          <w:rFonts w:eastAsia="Times New Roman" w:cs="Arial"/>
          <w:i/>
          <w:iCs/>
          <w:sz w:val="20"/>
        </w:rPr>
      </w:pPr>
      <w:r w:rsidRPr="00502B3F">
        <w:rPr>
          <w:rFonts w:eastAsia="Times New Roman" w:cs="Arial"/>
          <w:i/>
          <w:iCs/>
          <w:sz w:val="20"/>
        </w:rPr>
        <w:t>5.5 Providers support the delivery of professional experience in partner schools/sites, including by identification and provision of professional learning opportunities for supervising teachers and communication from, and access to, designated initial teacher education provider staff who, preferably, have current or recent experience in teaching.</w:t>
      </w:r>
    </w:p>
    <w:p w14:paraId="36A018C4" w14:textId="77777777" w:rsidR="005945AC" w:rsidRPr="00502B3F" w:rsidRDefault="005945AC" w:rsidP="00502B3F"/>
    <w:sectPr w:rsidR="005945AC" w:rsidRPr="00502B3F" w:rsidSect="005523D7">
      <w:headerReference w:type="even" r:id="rId28"/>
      <w:headerReference w:type="default" r:id="rId29"/>
      <w:footerReference w:type="even" r:id="rId30"/>
      <w:footerReference w:type="default" r:id="rId31"/>
      <w:headerReference w:type="first" r:id="rId32"/>
      <w:footerReference w:type="first" r:id="rId33"/>
      <w:pgSz w:w="11907" w:h="16840"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845A6" w14:textId="77777777" w:rsidR="00B62C9F" w:rsidRDefault="00B62C9F" w:rsidP="00CD4A42">
      <w:pPr>
        <w:spacing w:after="0" w:line="240" w:lineRule="auto"/>
      </w:pPr>
      <w:r>
        <w:separator/>
      </w:r>
    </w:p>
  </w:endnote>
  <w:endnote w:type="continuationSeparator" w:id="0">
    <w:p w14:paraId="4DCFBEC6" w14:textId="77777777" w:rsidR="00B62C9F" w:rsidRDefault="00B62C9F" w:rsidP="00CD4A42">
      <w:pPr>
        <w:spacing w:after="0" w:line="240" w:lineRule="auto"/>
      </w:pPr>
      <w:r>
        <w:continuationSeparator/>
      </w:r>
    </w:p>
  </w:endnote>
  <w:endnote w:type="continuationNotice" w:id="1">
    <w:p w14:paraId="017524FC" w14:textId="77777777" w:rsidR="00B62C9F" w:rsidRDefault="00B62C9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charset w:val="00"/>
    <w:family w:val="auto"/>
    <w:pitch w:val="variable"/>
    <w:sig w:usb0="2000020F" w:usb1="00000003" w:usb2="00000000" w:usb3="00000000" w:csb0="00000197" w:csb1="00000000"/>
    <w:embedRegular r:id="rId1" w:fontKey="{CBD603F1-3714-4F9A-AEF1-36CB3CA1DE0F}"/>
    <w:embedBold r:id="rId2" w:fontKey="{601AE421-EC2B-4AFB-A400-1A1A7C378CEB}"/>
    <w:embedItalic r:id="rId3" w:fontKey="{4A827064-6C8B-441B-9807-C19214201C5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70F590E4-0B07-4A2A-A1D3-7D5E5AEB7740}"/>
    <w:embedBold r:id="rId5" w:fontKey="{9CE1C95B-8602-432A-A71F-627277AEC19E}"/>
    <w:embedItalic r:id="rId6" w:fontKey="{7DFC31D6-53B4-42E1-8C14-8D6A27F0CC37}"/>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embedRegular r:id="rId7" w:fontKey="{69C6E9D6-2CB8-4570-8DB8-F40FB33CA9AC}"/>
  </w:font>
  <w:font w:name="DengXian Light">
    <w:charset w:val="86"/>
    <w:family w:val="auto"/>
    <w:pitch w:val="variable"/>
    <w:sig w:usb0="A00002BF" w:usb1="38CF7CFA" w:usb2="00000016" w:usb3="00000000" w:csb0="0004000F" w:csb1="00000000"/>
  </w:font>
  <w:font w:name="Montserrat Medium">
    <w:charset w:val="00"/>
    <w:family w:val="auto"/>
    <w:pitch w:val="variable"/>
    <w:sig w:usb0="2000020F" w:usb1="00000003" w:usb2="00000000" w:usb3="00000000" w:csb0="00000197" w:csb1="00000000"/>
    <w:embedRegular r:id="rId8" w:fontKey="{5FA6B1D8-51C4-4550-8990-991E2BF8CC7E}"/>
  </w:font>
  <w:font w:name="Bell MT">
    <w:panose1 w:val="02020503060305020303"/>
    <w:charset w:val="00"/>
    <w:family w:val="roman"/>
    <w:pitch w:val="variable"/>
    <w:sig w:usb0="00000003" w:usb1="00000000" w:usb2="00000000" w:usb3="00000000" w:csb0="00000001" w:csb1="00000000"/>
    <w:embedRegular r:id="rId9" w:fontKey="{024AB00B-C218-4123-860D-F77D2AB5FCEC}"/>
  </w:font>
  <w:font w:name="Futura PT Demi">
    <w:altName w:val="Century Gothic"/>
    <w:panose1 w:val="00000000000000000000"/>
    <w:charset w:val="00"/>
    <w:family w:val="swiss"/>
    <w:notTrueType/>
    <w:pitch w:val="variable"/>
    <w:sig w:usb0="A00002FF" w:usb1="5000204B" w:usb2="00000000" w:usb3="00000000" w:csb0="00000097" w:csb1="00000000"/>
  </w:font>
  <w:font w:name="Segoe UI">
    <w:panose1 w:val="020B0502040204020203"/>
    <w:charset w:val="00"/>
    <w:family w:val="swiss"/>
    <w:pitch w:val="variable"/>
    <w:sig w:usb0="E4002EFF" w:usb1="C000E47F" w:usb2="00000009" w:usb3="00000000" w:csb0="000001FF" w:csb1="00000000"/>
    <w:embedRegular r:id="rId10" w:fontKey="{2D0EF695-8CFE-44BC-94A3-AA251A523EC1}"/>
  </w:font>
  <w:font w:name="Swis721 Lt BT">
    <w:altName w:val="Calibri"/>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embedRegular r:id="rId11" w:fontKey="{10E93A23-3AB9-4625-979A-40D85A046385}"/>
    <w:embedBold r:id="rId12" w:fontKey="{26908C57-AF2F-435B-AB5C-AE4B6542A62D}"/>
  </w:font>
  <w:font w:name="Calibri Light">
    <w:panose1 w:val="020F0302020204030204"/>
    <w:charset w:val="00"/>
    <w:family w:val="swiss"/>
    <w:pitch w:val="variable"/>
    <w:sig w:usb0="E4002EFF" w:usb1="C200247B" w:usb2="00000009" w:usb3="00000000" w:csb0="000001FF" w:csb1="00000000"/>
    <w:embedRegular r:id="rId13" w:fontKey="{68CD96E9-D671-46F7-A353-56A57069F631}"/>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EF5D9" w14:textId="77777777" w:rsidR="00C84F89" w:rsidRDefault="00C84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F8E2" w14:textId="77777777" w:rsidR="005523D7" w:rsidRDefault="00E74CEE">
    <w:pPr>
      <w:pStyle w:val="Footer"/>
    </w:pPr>
    <w:hyperlink r:id="rId1" w:history="1">
      <w:r w:rsidR="005523D7" w:rsidRPr="00F700A9">
        <w:rPr>
          <w:rStyle w:val="Footerurl"/>
        </w:rPr>
        <w:t>edresearch.edu.au</w:t>
      </w:r>
    </w:hyperlink>
    <w:r w:rsidR="005523D7">
      <w:ptab w:relativeTo="margin" w:alignment="right" w:leader="none"/>
    </w:r>
    <w:r w:rsidR="005523D7">
      <w:fldChar w:fldCharType="begin"/>
    </w:r>
    <w:r w:rsidR="005523D7">
      <w:instrText xml:space="preserve"> PAGE  \* Arabic  \* MERGEFORMAT </w:instrText>
    </w:r>
    <w:r w:rsidR="005523D7">
      <w:fldChar w:fldCharType="separate"/>
    </w:r>
    <w:r w:rsidR="005523D7">
      <w:t>1</w:t>
    </w:r>
    <w:r w:rsidR="005523D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098A" w14:textId="77777777" w:rsidR="005523D7" w:rsidRDefault="00E74CEE">
    <w:pPr>
      <w:pStyle w:val="Footer"/>
    </w:pPr>
    <w:hyperlink r:id="rId1" w:history="1">
      <w:r w:rsidR="005523D7" w:rsidRPr="00F700A9">
        <w:rPr>
          <w:rStyle w:val="Footerurl"/>
        </w:rPr>
        <w:t>edresearch.edu.au</w:t>
      </w:r>
    </w:hyperlink>
    <w:r w:rsidR="005523D7">
      <w:ptab w:relativeTo="margin" w:alignment="right" w:leader="none"/>
    </w:r>
    <w:r w:rsidR="005523D7">
      <w:fldChar w:fldCharType="begin"/>
    </w:r>
    <w:r w:rsidR="005523D7">
      <w:instrText xml:space="preserve"> PAGE  \* Arabic  \* MERGEFORMAT </w:instrText>
    </w:r>
    <w:r w:rsidR="005523D7">
      <w:fldChar w:fldCharType="separate"/>
    </w:r>
    <w:r w:rsidR="005523D7">
      <w:t>1</w:t>
    </w:r>
    <w:r w:rsidR="005523D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00790" w14:textId="77777777" w:rsidR="00B62C9F" w:rsidRDefault="00B62C9F" w:rsidP="00CD4A42">
      <w:pPr>
        <w:spacing w:after="0" w:line="240" w:lineRule="auto"/>
      </w:pPr>
      <w:r>
        <w:separator/>
      </w:r>
    </w:p>
  </w:footnote>
  <w:footnote w:type="continuationSeparator" w:id="0">
    <w:p w14:paraId="2EC31A89" w14:textId="77777777" w:rsidR="00B62C9F" w:rsidRDefault="00B62C9F" w:rsidP="00CD4A42">
      <w:pPr>
        <w:spacing w:after="0" w:line="240" w:lineRule="auto"/>
      </w:pPr>
      <w:r>
        <w:continuationSeparator/>
      </w:r>
    </w:p>
  </w:footnote>
  <w:footnote w:type="continuationNotice" w:id="1">
    <w:p w14:paraId="0D2C5179" w14:textId="77777777" w:rsidR="00B62C9F" w:rsidRDefault="00B62C9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6E36" w14:textId="2235115D" w:rsidR="00DC623C" w:rsidRDefault="00DC6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B665" w14:textId="68E7D07C" w:rsidR="00A90820" w:rsidRDefault="00E74CEE">
    <w:pPr>
      <w:pStyle w:val="Header"/>
    </w:pPr>
    <w:sdt>
      <w:sdtPr>
        <w:alias w:val="Title"/>
        <w:tag w:val=""/>
        <w:id w:val="-1155058305"/>
        <w:dataBinding w:prefixMappings="xmlns:ns0='http://purl.org/dc/elements/1.1/' xmlns:ns1='http://schemas.openxmlformats.org/package/2006/metadata/core-properties' " w:xpath="/ns1:coreProperties[1]/ns0:title[1]" w:storeItemID="{6C3C8BC8-F283-45AE-878A-BAB7291924A1}"/>
        <w:text/>
      </w:sdtPr>
      <w:sdtEndPr/>
      <w:sdtContent>
        <w:r w:rsidR="003168D5">
          <w:t>Incorporating evidence-based teaching practices into ITE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Look w:val="04A0" w:firstRow="1" w:lastRow="0" w:firstColumn="1" w:lastColumn="0" w:noHBand="0" w:noVBand="1"/>
    </w:tblPr>
    <w:tblGrid>
      <w:gridCol w:w="4395"/>
      <w:gridCol w:w="5103"/>
    </w:tblGrid>
    <w:tr w:rsidR="00C84F89" w14:paraId="64CCB022" w14:textId="77777777" w:rsidTr="003210E1">
      <w:trPr>
        <w:trHeight w:val="1100"/>
      </w:trPr>
      <w:tc>
        <w:tcPr>
          <w:tcW w:w="4395" w:type="dxa"/>
          <w:shd w:val="clear" w:color="auto" w:fill="auto"/>
        </w:tcPr>
        <w:p w14:paraId="07545C7C" w14:textId="77777777" w:rsidR="00C84F89" w:rsidRPr="00AE42E2" w:rsidRDefault="00C84F89" w:rsidP="00C84F89">
          <w:pPr>
            <w:rPr>
              <w:rFonts w:ascii="Arial Narrow" w:hAnsi="Arial Narrow"/>
              <w:color w:val="3F4D4D"/>
              <w:sz w:val="72"/>
              <w:szCs w:val="72"/>
            </w:rPr>
          </w:pPr>
        </w:p>
      </w:tc>
      <w:tc>
        <w:tcPr>
          <w:tcW w:w="5103" w:type="dxa"/>
          <w:shd w:val="clear" w:color="auto" w:fill="auto"/>
        </w:tcPr>
        <w:p w14:paraId="4A6CAC51" w14:textId="79CA3D94" w:rsidR="001C7B9B" w:rsidRPr="00FD0D24" w:rsidRDefault="00C84F89" w:rsidP="001C7B9B">
          <w:pPr>
            <w:tabs>
              <w:tab w:val="left" w:pos="390"/>
              <w:tab w:val="right" w:pos="4200"/>
            </w:tabs>
            <w:spacing w:before="240" w:after="60" w:line="360" w:lineRule="exact"/>
            <w:rPr>
              <w:rFonts w:ascii="Arial Narrow" w:hAnsi="Arial Narrow"/>
              <w:color w:val="000000" w:themeColor="text1"/>
            </w:rPr>
          </w:pPr>
          <w:r w:rsidRPr="00FD0D24">
            <w:rPr>
              <w:rFonts w:ascii="Arial Narrow" w:hAnsi="Arial Narrow"/>
              <w:b/>
              <w:color w:val="000000" w:themeColor="text1"/>
              <w:sz w:val="36"/>
              <w:szCs w:val="36"/>
              <w:lang w:bidi="x-none"/>
            </w:rPr>
            <w:tab/>
          </w:r>
          <w:r w:rsidRPr="00FD0D24">
            <w:rPr>
              <w:rFonts w:ascii="Arial Narrow" w:hAnsi="Arial Narrow"/>
              <w:b/>
              <w:color w:val="000000" w:themeColor="text1"/>
              <w:sz w:val="36"/>
              <w:szCs w:val="36"/>
              <w:lang w:bidi="x-none"/>
            </w:rPr>
            <w:tab/>
          </w:r>
        </w:p>
        <w:p w14:paraId="20A493F4" w14:textId="41EB0D5E" w:rsidR="00C84F89" w:rsidRPr="00D73E0F" w:rsidRDefault="00C84F89" w:rsidP="00C84F89">
          <w:pPr>
            <w:pStyle w:val="Header"/>
            <w:jc w:val="right"/>
            <w:rPr>
              <w:rFonts w:ascii="Arial Narrow" w:hAnsi="Arial Narrow"/>
              <w:bCs/>
              <w:color w:val="E36C0A"/>
              <w:lang w:bidi="x-none"/>
            </w:rPr>
          </w:pPr>
          <w:r w:rsidRPr="00FD0D24">
            <w:rPr>
              <w:rFonts w:ascii="Arial Narrow" w:hAnsi="Arial Narrow"/>
              <w:color w:val="000000" w:themeColor="text1"/>
            </w:rPr>
            <w:t xml:space="preserve"> </w:t>
          </w:r>
        </w:p>
      </w:tc>
    </w:tr>
  </w:tbl>
  <w:p w14:paraId="066BFCDE" w14:textId="5EA95BD6" w:rsidR="00333101" w:rsidRDefault="00333101" w:rsidP="00333101">
    <w:pPr>
      <w:pStyle w:val="Logo-coverpage"/>
    </w:pPr>
    <w:r>
      <w:rPr>
        <w:noProof/>
      </w:rPr>
      <w:drawing>
        <wp:inline distT="0" distB="0" distL="0" distR="0" wp14:anchorId="54F85ABE" wp14:editId="56BE156C">
          <wp:extent cx="1368000" cy="577367"/>
          <wp:effectExtent l="0" t="0" r="3810" b="0"/>
          <wp:docPr id="2" name="Picture 2" descr="Australian Education Research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Education Research Organisat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8000" cy="577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3381A1E"/>
    <w:lvl w:ilvl="0">
      <w:start w:val="1"/>
      <w:numFmt w:val="lowerLetter"/>
      <w:pStyle w:val="ListNumber2"/>
      <w:lvlText w:val="%1."/>
      <w:lvlJc w:val="left"/>
      <w:pPr>
        <w:ind w:left="643" w:hanging="360"/>
      </w:pPr>
    </w:lvl>
  </w:abstractNum>
  <w:abstractNum w:abstractNumId="1" w15:restartNumberingAfterBreak="0">
    <w:nsid w:val="FFFFFF83"/>
    <w:multiLevelType w:val="singleLevel"/>
    <w:tmpl w:val="34FE5820"/>
    <w:lvl w:ilvl="0">
      <w:start w:val="1"/>
      <w:numFmt w:val="bullet"/>
      <w:pStyle w:val="ListBullet2"/>
      <w:lvlText w:val="‒"/>
      <w:lvlJc w:val="left"/>
      <w:pPr>
        <w:ind w:left="644" w:hanging="360"/>
      </w:pPr>
      <w:rPr>
        <w:rFonts w:ascii="Montserrat" w:hAnsi="Montserrat" w:hint="default"/>
        <w:b w:val="0"/>
        <w:i w:val="0"/>
        <w:color w:val="auto"/>
        <w:sz w:val="22"/>
      </w:rPr>
    </w:lvl>
  </w:abstractNum>
  <w:abstractNum w:abstractNumId="2" w15:restartNumberingAfterBreak="0">
    <w:nsid w:val="FFFFFF88"/>
    <w:multiLevelType w:val="singleLevel"/>
    <w:tmpl w:val="0660DF2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9D6A5682"/>
    <w:lvl w:ilvl="0">
      <w:start w:val="1"/>
      <w:numFmt w:val="bullet"/>
      <w:pStyle w:val="ListBullet"/>
      <w:lvlText w:val=""/>
      <w:lvlJc w:val="left"/>
      <w:pPr>
        <w:ind w:left="360" w:hanging="360"/>
      </w:pPr>
      <w:rPr>
        <w:rFonts w:ascii="Symbol" w:hAnsi="Symbol" w:hint="default"/>
      </w:rPr>
    </w:lvl>
  </w:abstractNum>
  <w:abstractNum w:abstractNumId="4" w15:restartNumberingAfterBreak="0">
    <w:nsid w:val="029E1E00"/>
    <w:multiLevelType w:val="hybridMultilevel"/>
    <w:tmpl w:val="42AC1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925339"/>
    <w:multiLevelType w:val="hybridMultilevel"/>
    <w:tmpl w:val="041C21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F1F73"/>
    <w:multiLevelType w:val="hybridMultilevel"/>
    <w:tmpl w:val="C122ABB0"/>
    <w:lvl w:ilvl="0" w:tplc="04090019">
      <w:start w:val="1"/>
      <w:numFmt w:val="lowerLetter"/>
      <w:lvlText w:val="%1."/>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C055DF"/>
    <w:multiLevelType w:val="hybridMultilevel"/>
    <w:tmpl w:val="38B25A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654C95"/>
    <w:multiLevelType w:val="hybridMultilevel"/>
    <w:tmpl w:val="59C8CC28"/>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9108A2"/>
    <w:multiLevelType w:val="hybridMultilevel"/>
    <w:tmpl w:val="C7FCA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C67E3"/>
    <w:multiLevelType w:val="hybridMultilevel"/>
    <w:tmpl w:val="5A42EC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753EBF"/>
    <w:multiLevelType w:val="hybridMultilevel"/>
    <w:tmpl w:val="DA72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E60F3D"/>
    <w:multiLevelType w:val="hybridMultilevel"/>
    <w:tmpl w:val="A35698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C4EA1"/>
    <w:multiLevelType w:val="hybridMultilevel"/>
    <w:tmpl w:val="5948A7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EC035A"/>
    <w:multiLevelType w:val="hybridMultilevel"/>
    <w:tmpl w:val="A21A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0B52AF"/>
    <w:multiLevelType w:val="hybridMultilevel"/>
    <w:tmpl w:val="9AE23F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E6EF9"/>
    <w:multiLevelType w:val="hybridMultilevel"/>
    <w:tmpl w:val="453473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392C5F"/>
    <w:multiLevelType w:val="hybridMultilevel"/>
    <w:tmpl w:val="E7AE9F0A"/>
    <w:lvl w:ilvl="0" w:tplc="727C9AD4">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B625B4"/>
    <w:multiLevelType w:val="hybridMultilevel"/>
    <w:tmpl w:val="B62652E2"/>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8F31AAA"/>
    <w:multiLevelType w:val="hybridMultilevel"/>
    <w:tmpl w:val="3348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33C10"/>
    <w:multiLevelType w:val="hybridMultilevel"/>
    <w:tmpl w:val="FF5AD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4A1143"/>
    <w:multiLevelType w:val="hybridMultilevel"/>
    <w:tmpl w:val="AFC23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062952"/>
    <w:multiLevelType w:val="hybridMultilevel"/>
    <w:tmpl w:val="9FAE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4C7FA2"/>
    <w:multiLevelType w:val="hybridMultilevel"/>
    <w:tmpl w:val="53C8862C"/>
    <w:lvl w:ilvl="0" w:tplc="EBF010E8">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7448A6"/>
    <w:multiLevelType w:val="hybridMultilevel"/>
    <w:tmpl w:val="3796D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E60731"/>
    <w:multiLevelType w:val="hybridMultilevel"/>
    <w:tmpl w:val="0FF21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5F7220"/>
    <w:multiLevelType w:val="hybridMultilevel"/>
    <w:tmpl w:val="D0284232"/>
    <w:lvl w:ilvl="0" w:tplc="727C9AD4">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75949"/>
    <w:multiLevelType w:val="hybridMultilevel"/>
    <w:tmpl w:val="1954FA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5604B4"/>
    <w:multiLevelType w:val="hybridMultilevel"/>
    <w:tmpl w:val="E2485F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AF21F49"/>
    <w:multiLevelType w:val="hybridMultilevel"/>
    <w:tmpl w:val="9EB04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1A4B16"/>
    <w:multiLevelType w:val="hybridMultilevel"/>
    <w:tmpl w:val="2DAA2A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B30CAD"/>
    <w:multiLevelType w:val="hybridMultilevel"/>
    <w:tmpl w:val="D778A2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84677"/>
    <w:multiLevelType w:val="hybridMultilevel"/>
    <w:tmpl w:val="B8786F80"/>
    <w:lvl w:ilvl="0" w:tplc="20E40E4E">
      <w:start w:val="1"/>
      <w:numFmt w:val="decimal"/>
      <w:lvlText w:val="%1."/>
      <w:lvlJc w:val="left"/>
      <w:pPr>
        <w:ind w:left="720" w:hanging="360"/>
      </w:pPr>
      <w:rPr>
        <w:rFonts w:hint="default"/>
        <w:i w:val="0"/>
        <w:i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FE1561B"/>
    <w:multiLevelType w:val="hybridMultilevel"/>
    <w:tmpl w:val="0464EFDA"/>
    <w:lvl w:ilvl="0" w:tplc="727C9AD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382F1A"/>
    <w:multiLevelType w:val="hybridMultilevel"/>
    <w:tmpl w:val="CEA67094"/>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71D786F"/>
    <w:multiLevelType w:val="hybridMultilevel"/>
    <w:tmpl w:val="F814A6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75ADB14">
      <w:start w:val="2"/>
      <w:numFmt w:val="bullet"/>
      <w:lvlText w:val="•"/>
      <w:lvlJc w:val="left"/>
      <w:pPr>
        <w:ind w:left="2160" w:hanging="720"/>
      </w:pPr>
      <w:rPr>
        <w:rFonts w:ascii="Montserrat" w:eastAsiaTheme="minorHAnsi" w:hAnsi="Montserrat"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77808DB"/>
    <w:multiLevelType w:val="hybridMultilevel"/>
    <w:tmpl w:val="E5C8D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E042FB"/>
    <w:multiLevelType w:val="hybridMultilevel"/>
    <w:tmpl w:val="2C00486E"/>
    <w:lvl w:ilvl="0" w:tplc="2926FC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8D30CF"/>
    <w:multiLevelType w:val="hybridMultilevel"/>
    <w:tmpl w:val="7F14A85E"/>
    <w:lvl w:ilvl="0" w:tplc="8658672C">
      <w:start w:val="1"/>
      <w:numFmt w:val="bullet"/>
      <w:pStyle w:val="ListBullet3"/>
      <w:lvlText w:val="»"/>
      <w:lvlJc w:val="left"/>
      <w:pPr>
        <w:ind w:left="720" w:hanging="360"/>
      </w:pPr>
      <w:rPr>
        <w:rFonts w:ascii="Montserrat" w:hAnsi="Montserrat"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C90D8C"/>
    <w:multiLevelType w:val="hybridMultilevel"/>
    <w:tmpl w:val="D5163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5832480">
    <w:abstractNumId w:val="3"/>
  </w:num>
  <w:num w:numId="2" w16cid:durableId="725422062">
    <w:abstractNumId w:val="1"/>
  </w:num>
  <w:num w:numId="3" w16cid:durableId="1431124955">
    <w:abstractNumId w:val="2"/>
  </w:num>
  <w:num w:numId="4" w16cid:durableId="1367101031">
    <w:abstractNumId w:val="0"/>
  </w:num>
  <w:num w:numId="5" w16cid:durableId="1136024159">
    <w:abstractNumId w:val="38"/>
  </w:num>
  <w:num w:numId="6" w16cid:durableId="2106681504">
    <w:abstractNumId w:val="23"/>
  </w:num>
  <w:num w:numId="7" w16cid:durableId="1783455660">
    <w:abstractNumId w:val="19"/>
  </w:num>
  <w:num w:numId="8" w16cid:durableId="115686619">
    <w:abstractNumId w:val="28"/>
  </w:num>
  <w:num w:numId="9" w16cid:durableId="1996256710">
    <w:abstractNumId w:val="9"/>
  </w:num>
  <w:num w:numId="10" w16cid:durableId="450170597">
    <w:abstractNumId w:val="29"/>
  </w:num>
  <w:num w:numId="11" w16cid:durableId="961688334">
    <w:abstractNumId w:val="14"/>
  </w:num>
  <w:num w:numId="12" w16cid:durableId="277837028">
    <w:abstractNumId w:val="35"/>
  </w:num>
  <w:num w:numId="13" w16cid:durableId="1393308625">
    <w:abstractNumId w:val="39"/>
  </w:num>
  <w:num w:numId="14" w16cid:durableId="1244947425">
    <w:abstractNumId w:val="20"/>
  </w:num>
  <w:num w:numId="15" w16cid:durableId="1766728247">
    <w:abstractNumId w:val="33"/>
  </w:num>
  <w:num w:numId="16" w16cid:durableId="647638754">
    <w:abstractNumId w:val="26"/>
  </w:num>
  <w:num w:numId="17" w16cid:durableId="396972398">
    <w:abstractNumId w:val="17"/>
  </w:num>
  <w:num w:numId="18" w16cid:durableId="933364473">
    <w:abstractNumId w:val="8"/>
  </w:num>
  <w:num w:numId="19" w16cid:durableId="1509177573">
    <w:abstractNumId w:val="12"/>
  </w:num>
  <w:num w:numId="20" w16cid:durableId="317617524">
    <w:abstractNumId w:val="34"/>
  </w:num>
  <w:num w:numId="21" w16cid:durableId="249630144">
    <w:abstractNumId w:val="10"/>
  </w:num>
  <w:num w:numId="22" w16cid:durableId="835149068">
    <w:abstractNumId w:val="6"/>
  </w:num>
  <w:num w:numId="23" w16cid:durableId="173225384">
    <w:abstractNumId w:val="5"/>
  </w:num>
  <w:num w:numId="24" w16cid:durableId="1882933723">
    <w:abstractNumId w:val="7"/>
  </w:num>
  <w:num w:numId="25" w16cid:durableId="775828312">
    <w:abstractNumId w:val="27"/>
  </w:num>
  <w:num w:numId="26" w16cid:durableId="1847283337">
    <w:abstractNumId w:val="4"/>
  </w:num>
  <w:num w:numId="27" w16cid:durableId="1758092251">
    <w:abstractNumId w:val="16"/>
  </w:num>
  <w:num w:numId="28" w16cid:durableId="933511969">
    <w:abstractNumId w:val="25"/>
  </w:num>
  <w:num w:numId="29" w16cid:durableId="968315698">
    <w:abstractNumId w:val="22"/>
  </w:num>
  <w:num w:numId="30" w16cid:durableId="910575371">
    <w:abstractNumId w:val="18"/>
  </w:num>
  <w:num w:numId="31" w16cid:durableId="1937008799">
    <w:abstractNumId w:val="37"/>
  </w:num>
  <w:num w:numId="32" w16cid:durableId="526870903">
    <w:abstractNumId w:val="11"/>
  </w:num>
  <w:num w:numId="33" w16cid:durableId="1456563239">
    <w:abstractNumId w:val="13"/>
  </w:num>
  <w:num w:numId="34" w16cid:durableId="836964536">
    <w:abstractNumId w:val="31"/>
  </w:num>
  <w:num w:numId="35" w16cid:durableId="264117182">
    <w:abstractNumId w:val="15"/>
  </w:num>
  <w:num w:numId="36" w16cid:durableId="1747338815">
    <w:abstractNumId w:val="30"/>
  </w:num>
  <w:num w:numId="37" w16cid:durableId="721099145">
    <w:abstractNumId w:val="36"/>
  </w:num>
  <w:num w:numId="38" w16cid:durableId="690684061">
    <w:abstractNumId w:val="24"/>
  </w:num>
  <w:num w:numId="39" w16cid:durableId="971323843">
    <w:abstractNumId w:val="21"/>
  </w:num>
  <w:num w:numId="40" w16cid:durableId="2002997408">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5E"/>
    <w:rsid w:val="00000132"/>
    <w:rsid w:val="00000372"/>
    <w:rsid w:val="0000046C"/>
    <w:rsid w:val="00000758"/>
    <w:rsid w:val="000008E9"/>
    <w:rsid w:val="00000CB9"/>
    <w:rsid w:val="00000CCE"/>
    <w:rsid w:val="0000134F"/>
    <w:rsid w:val="000016F0"/>
    <w:rsid w:val="000017E8"/>
    <w:rsid w:val="00001F2B"/>
    <w:rsid w:val="00002A15"/>
    <w:rsid w:val="0000300A"/>
    <w:rsid w:val="0000365A"/>
    <w:rsid w:val="00004351"/>
    <w:rsid w:val="000048DF"/>
    <w:rsid w:val="00004E07"/>
    <w:rsid w:val="00005148"/>
    <w:rsid w:val="000056E5"/>
    <w:rsid w:val="00005839"/>
    <w:rsid w:val="00005912"/>
    <w:rsid w:val="00006FD4"/>
    <w:rsid w:val="00007425"/>
    <w:rsid w:val="00007679"/>
    <w:rsid w:val="00007A97"/>
    <w:rsid w:val="00007B17"/>
    <w:rsid w:val="00007F35"/>
    <w:rsid w:val="000100A1"/>
    <w:rsid w:val="0001158F"/>
    <w:rsid w:val="00011617"/>
    <w:rsid w:val="00011B8D"/>
    <w:rsid w:val="00011F84"/>
    <w:rsid w:val="00012468"/>
    <w:rsid w:val="000129D5"/>
    <w:rsid w:val="00012D36"/>
    <w:rsid w:val="00012EF7"/>
    <w:rsid w:val="00012F71"/>
    <w:rsid w:val="00012FFE"/>
    <w:rsid w:val="00014308"/>
    <w:rsid w:val="00015C4F"/>
    <w:rsid w:val="0001672A"/>
    <w:rsid w:val="00017033"/>
    <w:rsid w:val="0001792B"/>
    <w:rsid w:val="00020B68"/>
    <w:rsid w:val="0002148F"/>
    <w:rsid w:val="00021B5F"/>
    <w:rsid w:val="0002201B"/>
    <w:rsid w:val="000225E7"/>
    <w:rsid w:val="0002284D"/>
    <w:rsid w:val="0002354E"/>
    <w:rsid w:val="00023A7D"/>
    <w:rsid w:val="00023C47"/>
    <w:rsid w:val="00024002"/>
    <w:rsid w:val="000241C1"/>
    <w:rsid w:val="0002467D"/>
    <w:rsid w:val="00024A66"/>
    <w:rsid w:val="00024D82"/>
    <w:rsid w:val="000250DA"/>
    <w:rsid w:val="00025175"/>
    <w:rsid w:val="0002596E"/>
    <w:rsid w:val="00025BB2"/>
    <w:rsid w:val="00026413"/>
    <w:rsid w:val="00026D34"/>
    <w:rsid w:val="00027187"/>
    <w:rsid w:val="000273AB"/>
    <w:rsid w:val="00027E93"/>
    <w:rsid w:val="000300CF"/>
    <w:rsid w:val="0003036A"/>
    <w:rsid w:val="00030453"/>
    <w:rsid w:val="00031FAA"/>
    <w:rsid w:val="0003250A"/>
    <w:rsid w:val="00032C0F"/>
    <w:rsid w:val="00032D2C"/>
    <w:rsid w:val="00033300"/>
    <w:rsid w:val="00033947"/>
    <w:rsid w:val="00033A84"/>
    <w:rsid w:val="00033FAE"/>
    <w:rsid w:val="00034875"/>
    <w:rsid w:val="00034F40"/>
    <w:rsid w:val="00034F8D"/>
    <w:rsid w:val="00035A03"/>
    <w:rsid w:val="00035EE9"/>
    <w:rsid w:val="00036E70"/>
    <w:rsid w:val="0003711D"/>
    <w:rsid w:val="000371C5"/>
    <w:rsid w:val="00037538"/>
    <w:rsid w:val="0003775C"/>
    <w:rsid w:val="0003797D"/>
    <w:rsid w:val="00037FB6"/>
    <w:rsid w:val="00040400"/>
    <w:rsid w:val="00040C53"/>
    <w:rsid w:val="00040C7F"/>
    <w:rsid w:val="00041101"/>
    <w:rsid w:val="0004134E"/>
    <w:rsid w:val="00041D62"/>
    <w:rsid w:val="00042643"/>
    <w:rsid w:val="000427D2"/>
    <w:rsid w:val="00043227"/>
    <w:rsid w:val="0004373B"/>
    <w:rsid w:val="00044159"/>
    <w:rsid w:val="000442DD"/>
    <w:rsid w:val="0004469F"/>
    <w:rsid w:val="000449DB"/>
    <w:rsid w:val="00044E27"/>
    <w:rsid w:val="0004530B"/>
    <w:rsid w:val="000456B7"/>
    <w:rsid w:val="00046778"/>
    <w:rsid w:val="00046E98"/>
    <w:rsid w:val="000471B5"/>
    <w:rsid w:val="00047258"/>
    <w:rsid w:val="0004750A"/>
    <w:rsid w:val="000475FF"/>
    <w:rsid w:val="000507F6"/>
    <w:rsid w:val="000541F4"/>
    <w:rsid w:val="0005442B"/>
    <w:rsid w:val="00054A84"/>
    <w:rsid w:val="00054B44"/>
    <w:rsid w:val="00054B65"/>
    <w:rsid w:val="00054BBD"/>
    <w:rsid w:val="00055AE5"/>
    <w:rsid w:val="00055C95"/>
    <w:rsid w:val="00056049"/>
    <w:rsid w:val="0005671C"/>
    <w:rsid w:val="0005685C"/>
    <w:rsid w:val="0005714D"/>
    <w:rsid w:val="00057526"/>
    <w:rsid w:val="00057643"/>
    <w:rsid w:val="00057BBF"/>
    <w:rsid w:val="00057D1D"/>
    <w:rsid w:val="00057D4E"/>
    <w:rsid w:val="00060159"/>
    <w:rsid w:val="000601C1"/>
    <w:rsid w:val="00060BF5"/>
    <w:rsid w:val="00060DD1"/>
    <w:rsid w:val="0006151F"/>
    <w:rsid w:val="000617A3"/>
    <w:rsid w:val="00061BAD"/>
    <w:rsid w:val="00061EC2"/>
    <w:rsid w:val="00065E0C"/>
    <w:rsid w:val="00065F8A"/>
    <w:rsid w:val="00066029"/>
    <w:rsid w:val="00066453"/>
    <w:rsid w:val="00066737"/>
    <w:rsid w:val="00066F22"/>
    <w:rsid w:val="0006712D"/>
    <w:rsid w:val="000673F8"/>
    <w:rsid w:val="00067653"/>
    <w:rsid w:val="00067EAF"/>
    <w:rsid w:val="0007017D"/>
    <w:rsid w:val="0007049F"/>
    <w:rsid w:val="00071255"/>
    <w:rsid w:val="000713D6"/>
    <w:rsid w:val="000716CA"/>
    <w:rsid w:val="0007188F"/>
    <w:rsid w:val="00071A74"/>
    <w:rsid w:val="00071C2F"/>
    <w:rsid w:val="00071CA4"/>
    <w:rsid w:val="000723E0"/>
    <w:rsid w:val="00072700"/>
    <w:rsid w:val="000727B3"/>
    <w:rsid w:val="000728EE"/>
    <w:rsid w:val="00073197"/>
    <w:rsid w:val="00073A8A"/>
    <w:rsid w:val="00073CF2"/>
    <w:rsid w:val="00073F5D"/>
    <w:rsid w:val="00074610"/>
    <w:rsid w:val="00075145"/>
    <w:rsid w:val="0007533B"/>
    <w:rsid w:val="0007587A"/>
    <w:rsid w:val="00075E54"/>
    <w:rsid w:val="00076031"/>
    <w:rsid w:val="0007622B"/>
    <w:rsid w:val="00077402"/>
    <w:rsid w:val="00077C8E"/>
    <w:rsid w:val="00077CB3"/>
    <w:rsid w:val="00080317"/>
    <w:rsid w:val="00080AF2"/>
    <w:rsid w:val="00080BA9"/>
    <w:rsid w:val="000812FB"/>
    <w:rsid w:val="00081AF1"/>
    <w:rsid w:val="000825AE"/>
    <w:rsid w:val="000827BD"/>
    <w:rsid w:val="00082AB0"/>
    <w:rsid w:val="00083451"/>
    <w:rsid w:val="00083868"/>
    <w:rsid w:val="00083E5B"/>
    <w:rsid w:val="00083F1B"/>
    <w:rsid w:val="00084199"/>
    <w:rsid w:val="00084D12"/>
    <w:rsid w:val="00085225"/>
    <w:rsid w:val="00085810"/>
    <w:rsid w:val="00085953"/>
    <w:rsid w:val="00086039"/>
    <w:rsid w:val="00087744"/>
    <w:rsid w:val="00087C5A"/>
    <w:rsid w:val="00090314"/>
    <w:rsid w:val="000905EF"/>
    <w:rsid w:val="00090632"/>
    <w:rsid w:val="00091404"/>
    <w:rsid w:val="0009251F"/>
    <w:rsid w:val="00092528"/>
    <w:rsid w:val="0009265D"/>
    <w:rsid w:val="00092AB5"/>
    <w:rsid w:val="00092C51"/>
    <w:rsid w:val="0009448A"/>
    <w:rsid w:val="00094B67"/>
    <w:rsid w:val="00094D09"/>
    <w:rsid w:val="00094D18"/>
    <w:rsid w:val="00095CD1"/>
    <w:rsid w:val="00096715"/>
    <w:rsid w:val="000967F0"/>
    <w:rsid w:val="00096D3E"/>
    <w:rsid w:val="00097264"/>
    <w:rsid w:val="000A0521"/>
    <w:rsid w:val="000A0559"/>
    <w:rsid w:val="000A059A"/>
    <w:rsid w:val="000A067C"/>
    <w:rsid w:val="000A1094"/>
    <w:rsid w:val="000A1F0C"/>
    <w:rsid w:val="000A1FC9"/>
    <w:rsid w:val="000A2533"/>
    <w:rsid w:val="000A2B97"/>
    <w:rsid w:val="000A315C"/>
    <w:rsid w:val="000A32B0"/>
    <w:rsid w:val="000A3342"/>
    <w:rsid w:val="000A3816"/>
    <w:rsid w:val="000A3EB1"/>
    <w:rsid w:val="000A441F"/>
    <w:rsid w:val="000A4DAD"/>
    <w:rsid w:val="000A4FE9"/>
    <w:rsid w:val="000A5BA8"/>
    <w:rsid w:val="000A6849"/>
    <w:rsid w:val="000A68A6"/>
    <w:rsid w:val="000A75CB"/>
    <w:rsid w:val="000A782B"/>
    <w:rsid w:val="000A7862"/>
    <w:rsid w:val="000A7FAF"/>
    <w:rsid w:val="000B08A2"/>
    <w:rsid w:val="000B17B8"/>
    <w:rsid w:val="000B1CE0"/>
    <w:rsid w:val="000B227F"/>
    <w:rsid w:val="000B253A"/>
    <w:rsid w:val="000B2705"/>
    <w:rsid w:val="000B27B4"/>
    <w:rsid w:val="000B3B8B"/>
    <w:rsid w:val="000B3C28"/>
    <w:rsid w:val="000B3F96"/>
    <w:rsid w:val="000B3FBB"/>
    <w:rsid w:val="000B4022"/>
    <w:rsid w:val="000B4279"/>
    <w:rsid w:val="000B51B4"/>
    <w:rsid w:val="000B51F0"/>
    <w:rsid w:val="000B5620"/>
    <w:rsid w:val="000B5A86"/>
    <w:rsid w:val="000B6494"/>
    <w:rsid w:val="000B6E7C"/>
    <w:rsid w:val="000B704F"/>
    <w:rsid w:val="000B70E3"/>
    <w:rsid w:val="000B7A93"/>
    <w:rsid w:val="000B7E28"/>
    <w:rsid w:val="000C0AA1"/>
    <w:rsid w:val="000C0C2F"/>
    <w:rsid w:val="000C1A42"/>
    <w:rsid w:val="000C239E"/>
    <w:rsid w:val="000C26C0"/>
    <w:rsid w:val="000C2BA9"/>
    <w:rsid w:val="000C2ECB"/>
    <w:rsid w:val="000C2F67"/>
    <w:rsid w:val="000C352A"/>
    <w:rsid w:val="000C47AC"/>
    <w:rsid w:val="000C4C85"/>
    <w:rsid w:val="000C5226"/>
    <w:rsid w:val="000C54BA"/>
    <w:rsid w:val="000C5EC5"/>
    <w:rsid w:val="000C5FB8"/>
    <w:rsid w:val="000C5FFD"/>
    <w:rsid w:val="000C6081"/>
    <w:rsid w:val="000C75C7"/>
    <w:rsid w:val="000D0211"/>
    <w:rsid w:val="000D0334"/>
    <w:rsid w:val="000D09DC"/>
    <w:rsid w:val="000D0F31"/>
    <w:rsid w:val="000D10F6"/>
    <w:rsid w:val="000D18BA"/>
    <w:rsid w:val="000D2164"/>
    <w:rsid w:val="000D2394"/>
    <w:rsid w:val="000D2C89"/>
    <w:rsid w:val="000D3803"/>
    <w:rsid w:val="000D3DF2"/>
    <w:rsid w:val="000D3F23"/>
    <w:rsid w:val="000D40EE"/>
    <w:rsid w:val="000D43A4"/>
    <w:rsid w:val="000D4BE8"/>
    <w:rsid w:val="000D6CD8"/>
    <w:rsid w:val="000D7868"/>
    <w:rsid w:val="000D7FCD"/>
    <w:rsid w:val="000E0DC4"/>
    <w:rsid w:val="000E1215"/>
    <w:rsid w:val="000E17C3"/>
    <w:rsid w:val="000E20DE"/>
    <w:rsid w:val="000E2C59"/>
    <w:rsid w:val="000E31C5"/>
    <w:rsid w:val="000E3298"/>
    <w:rsid w:val="000E364D"/>
    <w:rsid w:val="000E39B6"/>
    <w:rsid w:val="000E3EF1"/>
    <w:rsid w:val="000E40A9"/>
    <w:rsid w:val="000E4433"/>
    <w:rsid w:val="000E4682"/>
    <w:rsid w:val="000E5446"/>
    <w:rsid w:val="000E5E1D"/>
    <w:rsid w:val="000E6101"/>
    <w:rsid w:val="000E6D19"/>
    <w:rsid w:val="000E7511"/>
    <w:rsid w:val="000E7999"/>
    <w:rsid w:val="000F08CD"/>
    <w:rsid w:val="000F0E95"/>
    <w:rsid w:val="000F105D"/>
    <w:rsid w:val="000F13F4"/>
    <w:rsid w:val="000F15FF"/>
    <w:rsid w:val="000F1C63"/>
    <w:rsid w:val="000F2B6A"/>
    <w:rsid w:val="000F3846"/>
    <w:rsid w:val="000F3CE2"/>
    <w:rsid w:val="000F3E60"/>
    <w:rsid w:val="000F40B6"/>
    <w:rsid w:val="000F40FE"/>
    <w:rsid w:val="000F425E"/>
    <w:rsid w:val="000F47D1"/>
    <w:rsid w:val="000F4EB5"/>
    <w:rsid w:val="000F4F5A"/>
    <w:rsid w:val="000F50F3"/>
    <w:rsid w:val="000F5BCE"/>
    <w:rsid w:val="000F5E1C"/>
    <w:rsid w:val="000F638A"/>
    <w:rsid w:val="000F63E1"/>
    <w:rsid w:val="000F63F0"/>
    <w:rsid w:val="000F6C00"/>
    <w:rsid w:val="000F7648"/>
    <w:rsid w:val="001010E5"/>
    <w:rsid w:val="001016E5"/>
    <w:rsid w:val="00101713"/>
    <w:rsid w:val="00101A5D"/>
    <w:rsid w:val="00102C8D"/>
    <w:rsid w:val="0010316D"/>
    <w:rsid w:val="001034FD"/>
    <w:rsid w:val="00103945"/>
    <w:rsid w:val="00103F81"/>
    <w:rsid w:val="001046E8"/>
    <w:rsid w:val="00104C64"/>
    <w:rsid w:val="00104FC3"/>
    <w:rsid w:val="00105209"/>
    <w:rsid w:val="00105BD3"/>
    <w:rsid w:val="0010605E"/>
    <w:rsid w:val="00106307"/>
    <w:rsid w:val="0010696B"/>
    <w:rsid w:val="00106AAD"/>
    <w:rsid w:val="00106CC5"/>
    <w:rsid w:val="00106F1D"/>
    <w:rsid w:val="001071F7"/>
    <w:rsid w:val="00107644"/>
    <w:rsid w:val="00107981"/>
    <w:rsid w:val="00107EB6"/>
    <w:rsid w:val="0011061A"/>
    <w:rsid w:val="00110684"/>
    <w:rsid w:val="001107AF"/>
    <w:rsid w:val="00110AA2"/>
    <w:rsid w:val="00110ED9"/>
    <w:rsid w:val="001112D0"/>
    <w:rsid w:val="00112C1F"/>
    <w:rsid w:val="00112CB4"/>
    <w:rsid w:val="00113472"/>
    <w:rsid w:val="00113995"/>
    <w:rsid w:val="00113DA9"/>
    <w:rsid w:val="00113F6E"/>
    <w:rsid w:val="00114031"/>
    <w:rsid w:val="0011410C"/>
    <w:rsid w:val="001141AF"/>
    <w:rsid w:val="00114457"/>
    <w:rsid w:val="001154FC"/>
    <w:rsid w:val="0011587B"/>
    <w:rsid w:val="00115D02"/>
    <w:rsid w:val="00117774"/>
    <w:rsid w:val="00117A8F"/>
    <w:rsid w:val="00117AC1"/>
    <w:rsid w:val="00121509"/>
    <w:rsid w:val="00121D06"/>
    <w:rsid w:val="00123E73"/>
    <w:rsid w:val="00124AC0"/>
    <w:rsid w:val="00124C10"/>
    <w:rsid w:val="00124CA9"/>
    <w:rsid w:val="00124D2F"/>
    <w:rsid w:val="00124DCA"/>
    <w:rsid w:val="00124FBE"/>
    <w:rsid w:val="00125A2F"/>
    <w:rsid w:val="001262B6"/>
    <w:rsid w:val="001276A2"/>
    <w:rsid w:val="00127861"/>
    <w:rsid w:val="00127913"/>
    <w:rsid w:val="0012791E"/>
    <w:rsid w:val="00130467"/>
    <w:rsid w:val="001314FA"/>
    <w:rsid w:val="001319BA"/>
    <w:rsid w:val="0013215C"/>
    <w:rsid w:val="0013217F"/>
    <w:rsid w:val="001323DB"/>
    <w:rsid w:val="00132907"/>
    <w:rsid w:val="0013358E"/>
    <w:rsid w:val="0013369C"/>
    <w:rsid w:val="00133B3A"/>
    <w:rsid w:val="001347FA"/>
    <w:rsid w:val="00134896"/>
    <w:rsid w:val="00134A23"/>
    <w:rsid w:val="00134FA7"/>
    <w:rsid w:val="001353FA"/>
    <w:rsid w:val="001357CF"/>
    <w:rsid w:val="0013624A"/>
    <w:rsid w:val="00136461"/>
    <w:rsid w:val="00136A17"/>
    <w:rsid w:val="00136D4F"/>
    <w:rsid w:val="001371BF"/>
    <w:rsid w:val="001378FE"/>
    <w:rsid w:val="00137D36"/>
    <w:rsid w:val="00140756"/>
    <w:rsid w:val="00140D2F"/>
    <w:rsid w:val="00141410"/>
    <w:rsid w:val="00141E72"/>
    <w:rsid w:val="00142477"/>
    <w:rsid w:val="00142C61"/>
    <w:rsid w:val="00143167"/>
    <w:rsid w:val="001439C7"/>
    <w:rsid w:val="00143AFC"/>
    <w:rsid w:val="00143D6B"/>
    <w:rsid w:val="00144152"/>
    <w:rsid w:val="00144880"/>
    <w:rsid w:val="001451F3"/>
    <w:rsid w:val="00146687"/>
    <w:rsid w:val="001466E1"/>
    <w:rsid w:val="0014699B"/>
    <w:rsid w:val="0014719C"/>
    <w:rsid w:val="00147C0D"/>
    <w:rsid w:val="001506F1"/>
    <w:rsid w:val="00151ACD"/>
    <w:rsid w:val="0015230E"/>
    <w:rsid w:val="00153C06"/>
    <w:rsid w:val="00153E25"/>
    <w:rsid w:val="00153E29"/>
    <w:rsid w:val="00154B61"/>
    <w:rsid w:val="00154CD9"/>
    <w:rsid w:val="00155486"/>
    <w:rsid w:val="00156CCF"/>
    <w:rsid w:val="00156EE6"/>
    <w:rsid w:val="00157099"/>
    <w:rsid w:val="00157231"/>
    <w:rsid w:val="00157940"/>
    <w:rsid w:val="00157BF8"/>
    <w:rsid w:val="00157F9F"/>
    <w:rsid w:val="00160532"/>
    <w:rsid w:val="0016095D"/>
    <w:rsid w:val="00160D54"/>
    <w:rsid w:val="001614BA"/>
    <w:rsid w:val="00161E32"/>
    <w:rsid w:val="001624AB"/>
    <w:rsid w:val="00162946"/>
    <w:rsid w:val="00162EA5"/>
    <w:rsid w:val="00163550"/>
    <w:rsid w:val="001637C7"/>
    <w:rsid w:val="001638A7"/>
    <w:rsid w:val="00163F1B"/>
    <w:rsid w:val="00164A78"/>
    <w:rsid w:val="00164F86"/>
    <w:rsid w:val="001650DE"/>
    <w:rsid w:val="001658F5"/>
    <w:rsid w:val="00165929"/>
    <w:rsid w:val="00165BCD"/>
    <w:rsid w:val="001660BF"/>
    <w:rsid w:val="0016665B"/>
    <w:rsid w:val="00166B9A"/>
    <w:rsid w:val="00167015"/>
    <w:rsid w:val="00167360"/>
    <w:rsid w:val="00167428"/>
    <w:rsid w:val="001679D9"/>
    <w:rsid w:val="00170657"/>
    <w:rsid w:val="001707D8"/>
    <w:rsid w:val="00170C29"/>
    <w:rsid w:val="00170DD5"/>
    <w:rsid w:val="00170DF3"/>
    <w:rsid w:val="00171338"/>
    <w:rsid w:val="001715EE"/>
    <w:rsid w:val="00171651"/>
    <w:rsid w:val="00171F66"/>
    <w:rsid w:val="00172DE5"/>
    <w:rsid w:val="001730FA"/>
    <w:rsid w:val="001733C7"/>
    <w:rsid w:val="00173648"/>
    <w:rsid w:val="001742EB"/>
    <w:rsid w:val="00174D58"/>
    <w:rsid w:val="00174F34"/>
    <w:rsid w:val="001752D9"/>
    <w:rsid w:val="001752E2"/>
    <w:rsid w:val="001755FE"/>
    <w:rsid w:val="001756D6"/>
    <w:rsid w:val="00175822"/>
    <w:rsid w:val="001758ED"/>
    <w:rsid w:val="00175EA9"/>
    <w:rsid w:val="0017639B"/>
    <w:rsid w:val="00176650"/>
    <w:rsid w:val="00176DA0"/>
    <w:rsid w:val="00176FBD"/>
    <w:rsid w:val="00177563"/>
    <w:rsid w:val="00177938"/>
    <w:rsid w:val="0018046E"/>
    <w:rsid w:val="001810D9"/>
    <w:rsid w:val="0018161E"/>
    <w:rsid w:val="00181AD2"/>
    <w:rsid w:val="001827A1"/>
    <w:rsid w:val="001829A0"/>
    <w:rsid w:val="00182DD2"/>
    <w:rsid w:val="00182DF4"/>
    <w:rsid w:val="0018388A"/>
    <w:rsid w:val="001841BB"/>
    <w:rsid w:val="001845BB"/>
    <w:rsid w:val="00184640"/>
    <w:rsid w:val="00184C0E"/>
    <w:rsid w:val="00184C4D"/>
    <w:rsid w:val="0018504B"/>
    <w:rsid w:val="0018547B"/>
    <w:rsid w:val="001857F7"/>
    <w:rsid w:val="001859F6"/>
    <w:rsid w:val="00185EA0"/>
    <w:rsid w:val="00186312"/>
    <w:rsid w:val="00186472"/>
    <w:rsid w:val="001866CF"/>
    <w:rsid w:val="00186B59"/>
    <w:rsid w:val="001873BA"/>
    <w:rsid w:val="00187584"/>
    <w:rsid w:val="001877F9"/>
    <w:rsid w:val="00187F17"/>
    <w:rsid w:val="001903DF"/>
    <w:rsid w:val="00190915"/>
    <w:rsid w:val="00190F26"/>
    <w:rsid w:val="0019127E"/>
    <w:rsid w:val="00191DDD"/>
    <w:rsid w:val="00192C10"/>
    <w:rsid w:val="00192EE4"/>
    <w:rsid w:val="00193500"/>
    <w:rsid w:val="00193BAA"/>
    <w:rsid w:val="00193EE1"/>
    <w:rsid w:val="0019443D"/>
    <w:rsid w:val="00194505"/>
    <w:rsid w:val="001945B8"/>
    <w:rsid w:val="00194F30"/>
    <w:rsid w:val="001953E1"/>
    <w:rsid w:val="001954FA"/>
    <w:rsid w:val="001958E2"/>
    <w:rsid w:val="0019609B"/>
    <w:rsid w:val="001965CC"/>
    <w:rsid w:val="00197170"/>
    <w:rsid w:val="001975AD"/>
    <w:rsid w:val="001A077E"/>
    <w:rsid w:val="001A0F3C"/>
    <w:rsid w:val="001A1A87"/>
    <w:rsid w:val="001A1BD9"/>
    <w:rsid w:val="001A1C81"/>
    <w:rsid w:val="001A1D23"/>
    <w:rsid w:val="001A1EF8"/>
    <w:rsid w:val="001A2A93"/>
    <w:rsid w:val="001A2ADC"/>
    <w:rsid w:val="001A2B4E"/>
    <w:rsid w:val="001A2CFD"/>
    <w:rsid w:val="001A484A"/>
    <w:rsid w:val="001A5264"/>
    <w:rsid w:val="001A5628"/>
    <w:rsid w:val="001A63F9"/>
    <w:rsid w:val="001A788F"/>
    <w:rsid w:val="001A7EF3"/>
    <w:rsid w:val="001A7F28"/>
    <w:rsid w:val="001B01F5"/>
    <w:rsid w:val="001B0436"/>
    <w:rsid w:val="001B0896"/>
    <w:rsid w:val="001B16B4"/>
    <w:rsid w:val="001B16F7"/>
    <w:rsid w:val="001B1900"/>
    <w:rsid w:val="001B19C4"/>
    <w:rsid w:val="001B1C32"/>
    <w:rsid w:val="001B1D0F"/>
    <w:rsid w:val="001B1F74"/>
    <w:rsid w:val="001B25D1"/>
    <w:rsid w:val="001B27CB"/>
    <w:rsid w:val="001B2818"/>
    <w:rsid w:val="001B2C07"/>
    <w:rsid w:val="001B3100"/>
    <w:rsid w:val="001B312D"/>
    <w:rsid w:val="001B343D"/>
    <w:rsid w:val="001B3693"/>
    <w:rsid w:val="001B3FB3"/>
    <w:rsid w:val="001B41ED"/>
    <w:rsid w:val="001B45D6"/>
    <w:rsid w:val="001B4B7A"/>
    <w:rsid w:val="001B5478"/>
    <w:rsid w:val="001B5A30"/>
    <w:rsid w:val="001B62EC"/>
    <w:rsid w:val="001B70FE"/>
    <w:rsid w:val="001B74F2"/>
    <w:rsid w:val="001B7754"/>
    <w:rsid w:val="001B77E8"/>
    <w:rsid w:val="001B7A86"/>
    <w:rsid w:val="001C12BC"/>
    <w:rsid w:val="001C133B"/>
    <w:rsid w:val="001C16DF"/>
    <w:rsid w:val="001C1D97"/>
    <w:rsid w:val="001C1FB5"/>
    <w:rsid w:val="001C2150"/>
    <w:rsid w:val="001C26E0"/>
    <w:rsid w:val="001C2F1A"/>
    <w:rsid w:val="001C3396"/>
    <w:rsid w:val="001C42F9"/>
    <w:rsid w:val="001C487E"/>
    <w:rsid w:val="001C49F9"/>
    <w:rsid w:val="001C4A8B"/>
    <w:rsid w:val="001C58C4"/>
    <w:rsid w:val="001C5960"/>
    <w:rsid w:val="001C6501"/>
    <w:rsid w:val="001C72A0"/>
    <w:rsid w:val="001C77DC"/>
    <w:rsid w:val="001C7B9B"/>
    <w:rsid w:val="001D0119"/>
    <w:rsid w:val="001D0161"/>
    <w:rsid w:val="001D01C5"/>
    <w:rsid w:val="001D03A6"/>
    <w:rsid w:val="001D08ED"/>
    <w:rsid w:val="001D0EB8"/>
    <w:rsid w:val="001D0F5A"/>
    <w:rsid w:val="001D1130"/>
    <w:rsid w:val="001D118E"/>
    <w:rsid w:val="001D1554"/>
    <w:rsid w:val="001D1AD7"/>
    <w:rsid w:val="001D377E"/>
    <w:rsid w:val="001D4292"/>
    <w:rsid w:val="001D5220"/>
    <w:rsid w:val="001D54A6"/>
    <w:rsid w:val="001D5E21"/>
    <w:rsid w:val="001D5F02"/>
    <w:rsid w:val="001D698A"/>
    <w:rsid w:val="001D6B66"/>
    <w:rsid w:val="001D6BAA"/>
    <w:rsid w:val="001D746F"/>
    <w:rsid w:val="001D7598"/>
    <w:rsid w:val="001E024A"/>
    <w:rsid w:val="001E0C7B"/>
    <w:rsid w:val="001E1143"/>
    <w:rsid w:val="001E1C32"/>
    <w:rsid w:val="001E23A6"/>
    <w:rsid w:val="001E23E2"/>
    <w:rsid w:val="001E2953"/>
    <w:rsid w:val="001E33EA"/>
    <w:rsid w:val="001E3475"/>
    <w:rsid w:val="001E35E6"/>
    <w:rsid w:val="001E3644"/>
    <w:rsid w:val="001E36C1"/>
    <w:rsid w:val="001E37EB"/>
    <w:rsid w:val="001E396C"/>
    <w:rsid w:val="001E3AB3"/>
    <w:rsid w:val="001E4E0C"/>
    <w:rsid w:val="001E5793"/>
    <w:rsid w:val="001E590B"/>
    <w:rsid w:val="001E599F"/>
    <w:rsid w:val="001E6A8F"/>
    <w:rsid w:val="001E78EF"/>
    <w:rsid w:val="001E7D04"/>
    <w:rsid w:val="001F09FC"/>
    <w:rsid w:val="001F10AB"/>
    <w:rsid w:val="001F1F8C"/>
    <w:rsid w:val="001F22E0"/>
    <w:rsid w:val="001F260D"/>
    <w:rsid w:val="001F26A5"/>
    <w:rsid w:val="001F2730"/>
    <w:rsid w:val="001F3E6B"/>
    <w:rsid w:val="001F4076"/>
    <w:rsid w:val="001F43BF"/>
    <w:rsid w:val="001F453E"/>
    <w:rsid w:val="001F478C"/>
    <w:rsid w:val="001F4A61"/>
    <w:rsid w:val="001F5895"/>
    <w:rsid w:val="001F59B9"/>
    <w:rsid w:val="001F66F4"/>
    <w:rsid w:val="001F6D08"/>
    <w:rsid w:val="00200042"/>
    <w:rsid w:val="00200DE7"/>
    <w:rsid w:val="00200F85"/>
    <w:rsid w:val="0020115B"/>
    <w:rsid w:val="002017E9"/>
    <w:rsid w:val="00201B6E"/>
    <w:rsid w:val="00202549"/>
    <w:rsid w:val="00202C4B"/>
    <w:rsid w:val="00203B48"/>
    <w:rsid w:val="00203BB6"/>
    <w:rsid w:val="0020430A"/>
    <w:rsid w:val="0020445B"/>
    <w:rsid w:val="0020478E"/>
    <w:rsid w:val="002049C5"/>
    <w:rsid w:val="00204B83"/>
    <w:rsid w:val="00204F9B"/>
    <w:rsid w:val="00205C32"/>
    <w:rsid w:val="0020651F"/>
    <w:rsid w:val="00206BCE"/>
    <w:rsid w:val="00206CEC"/>
    <w:rsid w:val="0020749E"/>
    <w:rsid w:val="00207E6D"/>
    <w:rsid w:val="002103B6"/>
    <w:rsid w:val="002103EE"/>
    <w:rsid w:val="00210BAD"/>
    <w:rsid w:val="002122AB"/>
    <w:rsid w:val="00212731"/>
    <w:rsid w:val="00212738"/>
    <w:rsid w:val="0021281A"/>
    <w:rsid w:val="00213068"/>
    <w:rsid w:val="002140A8"/>
    <w:rsid w:val="00214708"/>
    <w:rsid w:val="00214AE9"/>
    <w:rsid w:val="00214CE3"/>
    <w:rsid w:val="00214FEC"/>
    <w:rsid w:val="00215097"/>
    <w:rsid w:val="00215889"/>
    <w:rsid w:val="00215BCF"/>
    <w:rsid w:val="00216254"/>
    <w:rsid w:val="00216D2C"/>
    <w:rsid w:val="00216F5B"/>
    <w:rsid w:val="00217496"/>
    <w:rsid w:val="00217502"/>
    <w:rsid w:val="00217547"/>
    <w:rsid w:val="002175DA"/>
    <w:rsid w:val="00217A31"/>
    <w:rsid w:val="00217D89"/>
    <w:rsid w:val="00220358"/>
    <w:rsid w:val="00220AD0"/>
    <w:rsid w:val="00220FA2"/>
    <w:rsid w:val="00221210"/>
    <w:rsid w:val="002213A8"/>
    <w:rsid w:val="00221705"/>
    <w:rsid w:val="00221A61"/>
    <w:rsid w:val="00222814"/>
    <w:rsid w:val="0022289F"/>
    <w:rsid w:val="0022295E"/>
    <w:rsid w:val="00222ED3"/>
    <w:rsid w:val="0022394E"/>
    <w:rsid w:val="00223BCB"/>
    <w:rsid w:val="002241DC"/>
    <w:rsid w:val="0022428D"/>
    <w:rsid w:val="00224303"/>
    <w:rsid w:val="00224A1F"/>
    <w:rsid w:val="00225163"/>
    <w:rsid w:val="00225C5D"/>
    <w:rsid w:val="00225CF7"/>
    <w:rsid w:val="00225F8E"/>
    <w:rsid w:val="00225FA3"/>
    <w:rsid w:val="00226395"/>
    <w:rsid w:val="00226621"/>
    <w:rsid w:val="002266A2"/>
    <w:rsid w:val="00226938"/>
    <w:rsid w:val="00226CB0"/>
    <w:rsid w:val="00226D27"/>
    <w:rsid w:val="00226F70"/>
    <w:rsid w:val="00227F7C"/>
    <w:rsid w:val="00227F88"/>
    <w:rsid w:val="002308DA"/>
    <w:rsid w:val="002309BD"/>
    <w:rsid w:val="00230ED0"/>
    <w:rsid w:val="00230FDC"/>
    <w:rsid w:val="00231312"/>
    <w:rsid w:val="00231664"/>
    <w:rsid w:val="002319C7"/>
    <w:rsid w:val="00231C3A"/>
    <w:rsid w:val="00231D56"/>
    <w:rsid w:val="00231FE4"/>
    <w:rsid w:val="002327D4"/>
    <w:rsid w:val="00232F02"/>
    <w:rsid w:val="00233830"/>
    <w:rsid w:val="00233FA1"/>
    <w:rsid w:val="00234020"/>
    <w:rsid w:val="00234B4D"/>
    <w:rsid w:val="00234B76"/>
    <w:rsid w:val="00234DDE"/>
    <w:rsid w:val="00235015"/>
    <w:rsid w:val="00235336"/>
    <w:rsid w:val="00235419"/>
    <w:rsid w:val="00235604"/>
    <w:rsid w:val="00235C3C"/>
    <w:rsid w:val="00235CFB"/>
    <w:rsid w:val="0023717A"/>
    <w:rsid w:val="00237783"/>
    <w:rsid w:val="00237F92"/>
    <w:rsid w:val="00240106"/>
    <w:rsid w:val="0024036D"/>
    <w:rsid w:val="0024095D"/>
    <w:rsid w:val="00240ED2"/>
    <w:rsid w:val="00240F49"/>
    <w:rsid w:val="00241874"/>
    <w:rsid w:val="002418EF"/>
    <w:rsid w:val="00241E4C"/>
    <w:rsid w:val="002422A1"/>
    <w:rsid w:val="00242501"/>
    <w:rsid w:val="00242640"/>
    <w:rsid w:val="00242D9F"/>
    <w:rsid w:val="0024339D"/>
    <w:rsid w:val="00243B19"/>
    <w:rsid w:val="00243CC1"/>
    <w:rsid w:val="002444BD"/>
    <w:rsid w:val="002447FB"/>
    <w:rsid w:val="00244AF2"/>
    <w:rsid w:val="002453F4"/>
    <w:rsid w:val="002456C0"/>
    <w:rsid w:val="00245B95"/>
    <w:rsid w:val="00245D12"/>
    <w:rsid w:val="002461BC"/>
    <w:rsid w:val="0024681F"/>
    <w:rsid w:val="00246B2A"/>
    <w:rsid w:val="00246BAD"/>
    <w:rsid w:val="0024772E"/>
    <w:rsid w:val="0025032D"/>
    <w:rsid w:val="00250EB4"/>
    <w:rsid w:val="00251103"/>
    <w:rsid w:val="00251185"/>
    <w:rsid w:val="002512A7"/>
    <w:rsid w:val="00251CF7"/>
    <w:rsid w:val="0025330C"/>
    <w:rsid w:val="00254227"/>
    <w:rsid w:val="00254927"/>
    <w:rsid w:val="00254ADE"/>
    <w:rsid w:val="002550C1"/>
    <w:rsid w:val="00255119"/>
    <w:rsid w:val="00255495"/>
    <w:rsid w:val="002557DB"/>
    <w:rsid w:val="00255FDE"/>
    <w:rsid w:val="00256954"/>
    <w:rsid w:val="00256C9C"/>
    <w:rsid w:val="00256FDB"/>
    <w:rsid w:val="0025783D"/>
    <w:rsid w:val="002578F3"/>
    <w:rsid w:val="00257DC9"/>
    <w:rsid w:val="002604D5"/>
    <w:rsid w:val="0026065E"/>
    <w:rsid w:val="002612FE"/>
    <w:rsid w:val="00261D6E"/>
    <w:rsid w:val="0026276F"/>
    <w:rsid w:val="0026280B"/>
    <w:rsid w:val="00262A8A"/>
    <w:rsid w:val="00263C3F"/>
    <w:rsid w:val="00264690"/>
    <w:rsid w:val="00265121"/>
    <w:rsid w:val="002656F4"/>
    <w:rsid w:val="00265953"/>
    <w:rsid w:val="00265B8B"/>
    <w:rsid w:val="00265C6B"/>
    <w:rsid w:val="00265F89"/>
    <w:rsid w:val="0026614C"/>
    <w:rsid w:val="0026631D"/>
    <w:rsid w:val="00266770"/>
    <w:rsid w:val="002669C7"/>
    <w:rsid w:val="002676F5"/>
    <w:rsid w:val="0026779D"/>
    <w:rsid w:val="002679BB"/>
    <w:rsid w:val="0027030C"/>
    <w:rsid w:val="0027151F"/>
    <w:rsid w:val="00271BB5"/>
    <w:rsid w:val="00271F63"/>
    <w:rsid w:val="00271FD7"/>
    <w:rsid w:val="002723DF"/>
    <w:rsid w:val="00272777"/>
    <w:rsid w:val="0027318E"/>
    <w:rsid w:val="002733C0"/>
    <w:rsid w:val="0027431A"/>
    <w:rsid w:val="002743AD"/>
    <w:rsid w:val="002751F6"/>
    <w:rsid w:val="002754E8"/>
    <w:rsid w:val="00275CA7"/>
    <w:rsid w:val="00276685"/>
    <w:rsid w:val="002771B4"/>
    <w:rsid w:val="002772AD"/>
    <w:rsid w:val="002802BD"/>
    <w:rsid w:val="00280832"/>
    <w:rsid w:val="0028089A"/>
    <w:rsid w:val="00280CE3"/>
    <w:rsid w:val="00280DBA"/>
    <w:rsid w:val="002810DF"/>
    <w:rsid w:val="00281815"/>
    <w:rsid w:val="00281A90"/>
    <w:rsid w:val="00281DF3"/>
    <w:rsid w:val="0028279A"/>
    <w:rsid w:val="00282B60"/>
    <w:rsid w:val="00282DF2"/>
    <w:rsid w:val="002835A9"/>
    <w:rsid w:val="00283ED0"/>
    <w:rsid w:val="00283FD6"/>
    <w:rsid w:val="00284244"/>
    <w:rsid w:val="0028445C"/>
    <w:rsid w:val="00284502"/>
    <w:rsid w:val="00284A10"/>
    <w:rsid w:val="00284DB5"/>
    <w:rsid w:val="0028553C"/>
    <w:rsid w:val="00285555"/>
    <w:rsid w:val="00285DFD"/>
    <w:rsid w:val="002866A3"/>
    <w:rsid w:val="00286D92"/>
    <w:rsid w:val="00287F34"/>
    <w:rsid w:val="00290281"/>
    <w:rsid w:val="002909CC"/>
    <w:rsid w:val="00290B8E"/>
    <w:rsid w:val="00290F88"/>
    <w:rsid w:val="002910AF"/>
    <w:rsid w:val="00292ADE"/>
    <w:rsid w:val="00292B23"/>
    <w:rsid w:val="00292B76"/>
    <w:rsid w:val="00292BB9"/>
    <w:rsid w:val="0029383E"/>
    <w:rsid w:val="00293986"/>
    <w:rsid w:val="00293F94"/>
    <w:rsid w:val="00294AB9"/>
    <w:rsid w:val="00295B7D"/>
    <w:rsid w:val="0029679F"/>
    <w:rsid w:val="002A0265"/>
    <w:rsid w:val="002A03A3"/>
    <w:rsid w:val="002A043E"/>
    <w:rsid w:val="002A04EE"/>
    <w:rsid w:val="002A085C"/>
    <w:rsid w:val="002A111A"/>
    <w:rsid w:val="002A2224"/>
    <w:rsid w:val="002A226A"/>
    <w:rsid w:val="002A24FC"/>
    <w:rsid w:val="002A2661"/>
    <w:rsid w:val="002A2BE3"/>
    <w:rsid w:val="002A3AC9"/>
    <w:rsid w:val="002A3B13"/>
    <w:rsid w:val="002A44C6"/>
    <w:rsid w:val="002A46D8"/>
    <w:rsid w:val="002A4873"/>
    <w:rsid w:val="002A4A6F"/>
    <w:rsid w:val="002A5347"/>
    <w:rsid w:val="002A54B8"/>
    <w:rsid w:val="002A54DB"/>
    <w:rsid w:val="002A5664"/>
    <w:rsid w:val="002A5AAB"/>
    <w:rsid w:val="002A5BD4"/>
    <w:rsid w:val="002A5D4B"/>
    <w:rsid w:val="002A68AE"/>
    <w:rsid w:val="002A7175"/>
    <w:rsid w:val="002A759A"/>
    <w:rsid w:val="002A77C8"/>
    <w:rsid w:val="002A7807"/>
    <w:rsid w:val="002A7C71"/>
    <w:rsid w:val="002B0466"/>
    <w:rsid w:val="002B0550"/>
    <w:rsid w:val="002B0785"/>
    <w:rsid w:val="002B0EA4"/>
    <w:rsid w:val="002B235E"/>
    <w:rsid w:val="002B27AB"/>
    <w:rsid w:val="002B2F9B"/>
    <w:rsid w:val="002B30C5"/>
    <w:rsid w:val="002B3B36"/>
    <w:rsid w:val="002B41E9"/>
    <w:rsid w:val="002B43EB"/>
    <w:rsid w:val="002B45AB"/>
    <w:rsid w:val="002B4BF5"/>
    <w:rsid w:val="002B56FD"/>
    <w:rsid w:val="002B5CF9"/>
    <w:rsid w:val="002B6587"/>
    <w:rsid w:val="002B6B77"/>
    <w:rsid w:val="002B6BD7"/>
    <w:rsid w:val="002B77E5"/>
    <w:rsid w:val="002B7A46"/>
    <w:rsid w:val="002B7A6B"/>
    <w:rsid w:val="002C04D8"/>
    <w:rsid w:val="002C0723"/>
    <w:rsid w:val="002C09F5"/>
    <w:rsid w:val="002C0CE9"/>
    <w:rsid w:val="002C0CED"/>
    <w:rsid w:val="002C119D"/>
    <w:rsid w:val="002C1265"/>
    <w:rsid w:val="002C14EE"/>
    <w:rsid w:val="002C1D37"/>
    <w:rsid w:val="002C2050"/>
    <w:rsid w:val="002C2778"/>
    <w:rsid w:val="002C28EB"/>
    <w:rsid w:val="002C3727"/>
    <w:rsid w:val="002C4418"/>
    <w:rsid w:val="002C4F03"/>
    <w:rsid w:val="002C5947"/>
    <w:rsid w:val="002C5C1C"/>
    <w:rsid w:val="002C5D7B"/>
    <w:rsid w:val="002C5D88"/>
    <w:rsid w:val="002C606A"/>
    <w:rsid w:val="002C61B1"/>
    <w:rsid w:val="002C6523"/>
    <w:rsid w:val="002C6751"/>
    <w:rsid w:val="002C68F4"/>
    <w:rsid w:val="002C76EC"/>
    <w:rsid w:val="002C7AC9"/>
    <w:rsid w:val="002C7B54"/>
    <w:rsid w:val="002D0475"/>
    <w:rsid w:val="002D08F1"/>
    <w:rsid w:val="002D0B34"/>
    <w:rsid w:val="002D127A"/>
    <w:rsid w:val="002D213C"/>
    <w:rsid w:val="002D24A8"/>
    <w:rsid w:val="002D26BC"/>
    <w:rsid w:val="002D2D66"/>
    <w:rsid w:val="002D336F"/>
    <w:rsid w:val="002D3B79"/>
    <w:rsid w:val="002D3F11"/>
    <w:rsid w:val="002D4295"/>
    <w:rsid w:val="002D4986"/>
    <w:rsid w:val="002D52AC"/>
    <w:rsid w:val="002D58D2"/>
    <w:rsid w:val="002D5C87"/>
    <w:rsid w:val="002D7B04"/>
    <w:rsid w:val="002D7BE1"/>
    <w:rsid w:val="002E0D01"/>
    <w:rsid w:val="002E261C"/>
    <w:rsid w:val="002E284F"/>
    <w:rsid w:val="002E383D"/>
    <w:rsid w:val="002E3DA7"/>
    <w:rsid w:val="002E4DEE"/>
    <w:rsid w:val="002E72DD"/>
    <w:rsid w:val="002E7563"/>
    <w:rsid w:val="002E7BF7"/>
    <w:rsid w:val="002E7C53"/>
    <w:rsid w:val="002F01C7"/>
    <w:rsid w:val="002F04BC"/>
    <w:rsid w:val="002F08EB"/>
    <w:rsid w:val="002F0DAE"/>
    <w:rsid w:val="002F11F4"/>
    <w:rsid w:val="002F17BE"/>
    <w:rsid w:val="002F23B3"/>
    <w:rsid w:val="002F25DA"/>
    <w:rsid w:val="002F3033"/>
    <w:rsid w:val="002F3464"/>
    <w:rsid w:val="002F3725"/>
    <w:rsid w:val="002F4547"/>
    <w:rsid w:val="002F52E9"/>
    <w:rsid w:val="002F5606"/>
    <w:rsid w:val="002F65C9"/>
    <w:rsid w:val="002F6B61"/>
    <w:rsid w:val="002F77A2"/>
    <w:rsid w:val="002F799F"/>
    <w:rsid w:val="002F7BCA"/>
    <w:rsid w:val="002F7ED5"/>
    <w:rsid w:val="003000DF"/>
    <w:rsid w:val="00300E3E"/>
    <w:rsid w:val="00301103"/>
    <w:rsid w:val="0030110A"/>
    <w:rsid w:val="003017A6"/>
    <w:rsid w:val="00301F63"/>
    <w:rsid w:val="003022B2"/>
    <w:rsid w:val="003025CC"/>
    <w:rsid w:val="00302977"/>
    <w:rsid w:val="00303021"/>
    <w:rsid w:val="00304747"/>
    <w:rsid w:val="0030475A"/>
    <w:rsid w:val="00304F17"/>
    <w:rsid w:val="00305F17"/>
    <w:rsid w:val="00306199"/>
    <w:rsid w:val="003066A8"/>
    <w:rsid w:val="003067A6"/>
    <w:rsid w:val="00306D1B"/>
    <w:rsid w:val="003071AB"/>
    <w:rsid w:val="00307442"/>
    <w:rsid w:val="00310D10"/>
    <w:rsid w:val="00313103"/>
    <w:rsid w:val="003135D9"/>
    <w:rsid w:val="00313F04"/>
    <w:rsid w:val="00313FA8"/>
    <w:rsid w:val="00314101"/>
    <w:rsid w:val="00314B38"/>
    <w:rsid w:val="00314BD4"/>
    <w:rsid w:val="00315460"/>
    <w:rsid w:val="003159E5"/>
    <w:rsid w:val="00315ADD"/>
    <w:rsid w:val="00315E14"/>
    <w:rsid w:val="003168D5"/>
    <w:rsid w:val="00316B63"/>
    <w:rsid w:val="00316FD6"/>
    <w:rsid w:val="003172B8"/>
    <w:rsid w:val="003175B4"/>
    <w:rsid w:val="003176C0"/>
    <w:rsid w:val="003177A8"/>
    <w:rsid w:val="003177B5"/>
    <w:rsid w:val="00317985"/>
    <w:rsid w:val="00317BB0"/>
    <w:rsid w:val="00317F36"/>
    <w:rsid w:val="00320492"/>
    <w:rsid w:val="0032089F"/>
    <w:rsid w:val="003212DC"/>
    <w:rsid w:val="003214BA"/>
    <w:rsid w:val="00321C2A"/>
    <w:rsid w:val="0032221E"/>
    <w:rsid w:val="0032263C"/>
    <w:rsid w:val="0032274A"/>
    <w:rsid w:val="00322CB3"/>
    <w:rsid w:val="00325A8C"/>
    <w:rsid w:val="00325B1C"/>
    <w:rsid w:val="00325CA9"/>
    <w:rsid w:val="00325CDE"/>
    <w:rsid w:val="00325DC3"/>
    <w:rsid w:val="0032607C"/>
    <w:rsid w:val="003263D0"/>
    <w:rsid w:val="003265C2"/>
    <w:rsid w:val="00326702"/>
    <w:rsid w:val="0032675F"/>
    <w:rsid w:val="003268CD"/>
    <w:rsid w:val="0032749F"/>
    <w:rsid w:val="00327B90"/>
    <w:rsid w:val="00327CF9"/>
    <w:rsid w:val="003300F6"/>
    <w:rsid w:val="0033051C"/>
    <w:rsid w:val="00330A61"/>
    <w:rsid w:val="00330F8F"/>
    <w:rsid w:val="0033102D"/>
    <w:rsid w:val="00331464"/>
    <w:rsid w:val="003314DD"/>
    <w:rsid w:val="003323AC"/>
    <w:rsid w:val="003323D6"/>
    <w:rsid w:val="00332993"/>
    <w:rsid w:val="00332C72"/>
    <w:rsid w:val="00333101"/>
    <w:rsid w:val="0033348E"/>
    <w:rsid w:val="00333F75"/>
    <w:rsid w:val="00333F95"/>
    <w:rsid w:val="0033421D"/>
    <w:rsid w:val="003343A8"/>
    <w:rsid w:val="003348DF"/>
    <w:rsid w:val="00334B98"/>
    <w:rsid w:val="00334CC7"/>
    <w:rsid w:val="003350CA"/>
    <w:rsid w:val="003357E5"/>
    <w:rsid w:val="00335EB5"/>
    <w:rsid w:val="0033671A"/>
    <w:rsid w:val="00336786"/>
    <w:rsid w:val="00336D50"/>
    <w:rsid w:val="00336E18"/>
    <w:rsid w:val="0033771D"/>
    <w:rsid w:val="0033782C"/>
    <w:rsid w:val="00337A77"/>
    <w:rsid w:val="0034016D"/>
    <w:rsid w:val="003405D4"/>
    <w:rsid w:val="00340965"/>
    <w:rsid w:val="00340E95"/>
    <w:rsid w:val="00340FD3"/>
    <w:rsid w:val="0034119E"/>
    <w:rsid w:val="00341204"/>
    <w:rsid w:val="00341C40"/>
    <w:rsid w:val="00341CB6"/>
    <w:rsid w:val="00342458"/>
    <w:rsid w:val="003428B1"/>
    <w:rsid w:val="00342A4F"/>
    <w:rsid w:val="00342C9E"/>
    <w:rsid w:val="0034366E"/>
    <w:rsid w:val="00343732"/>
    <w:rsid w:val="003446A9"/>
    <w:rsid w:val="003448C9"/>
    <w:rsid w:val="003454AC"/>
    <w:rsid w:val="003456DA"/>
    <w:rsid w:val="0034587E"/>
    <w:rsid w:val="00345B50"/>
    <w:rsid w:val="003467FC"/>
    <w:rsid w:val="00346E8B"/>
    <w:rsid w:val="00346F64"/>
    <w:rsid w:val="00347EEC"/>
    <w:rsid w:val="003505F6"/>
    <w:rsid w:val="0035072C"/>
    <w:rsid w:val="003508AA"/>
    <w:rsid w:val="00350C8C"/>
    <w:rsid w:val="00351158"/>
    <w:rsid w:val="0035146A"/>
    <w:rsid w:val="0035210B"/>
    <w:rsid w:val="0035331F"/>
    <w:rsid w:val="0035490C"/>
    <w:rsid w:val="00355ABC"/>
    <w:rsid w:val="0035681F"/>
    <w:rsid w:val="00356EE0"/>
    <w:rsid w:val="0035724B"/>
    <w:rsid w:val="00357B88"/>
    <w:rsid w:val="003607CA"/>
    <w:rsid w:val="00361755"/>
    <w:rsid w:val="00361C5E"/>
    <w:rsid w:val="00362105"/>
    <w:rsid w:val="00362FB4"/>
    <w:rsid w:val="00363890"/>
    <w:rsid w:val="0036614F"/>
    <w:rsid w:val="003664F0"/>
    <w:rsid w:val="00366642"/>
    <w:rsid w:val="00366DDA"/>
    <w:rsid w:val="003677DA"/>
    <w:rsid w:val="00367F3E"/>
    <w:rsid w:val="00371120"/>
    <w:rsid w:val="00371977"/>
    <w:rsid w:val="00372B50"/>
    <w:rsid w:val="00372E68"/>
    <w:rsid w:val="003732A2"/>
    <w:rsid w:val="003733A7"/>
    <w:rsid w:val="003737E5"/>
    <w:rsid w:val="0037380A"/>
    <w:rsid w:val="00373B3D"/>
    <w:rsid w:val="003749AF"/>
    <w:rsid w:val="00374AF2"/>
    <w:rsid w:val="003750DD"/>
    <w:rsid w:val="003752AE"/>
    <w:rsid w:val="003755E1"/>
    <w:rsid w:val="00375759"/>
    <w:rsid w:val="003759F5"/>
    <w:rsid w:val="0037678F"/>
    <w:rsid w:val="00376911"/>
    <w:rsid w:val="00377647"/>
    <w:rsid w:val="00377C14"/>
    <w:rsid w:val="00380458"/>
    <w:rsid w:val="00380487"/>
    <w:rsid w:val="003808D8"/>
    <w:rsid w:val="0038096E"/>
    <w:rsid w:val="00380AFC"/>
    <w:rsid w:val="00380ECE"/>
    <w:rsid w:val="00381054"/>
    <w:rsid w:val="003810A6"/>
    <w:rsid w:val="003817D3"/>
    <w:rsid w:val="00381EAA"/>
    <w:rsid w:val="00381ECC"/>
    <w:rsid w:val="0038236B"/>
    <w:rsid w:val="00382650"/>
    <w:rsid w:val="003831DA"/>
    <w:rsid w:val="00383294"/>
    <w:rsid w:val="003833E0"/>
    <w:rsid w:val="00383434"/>
    <w:rsid w:val="00383BAB"/>
    <w:rsid w:val="00383BAF"/>
    <w:rsid w:val="003846A8"/>
    <w:rsid w:val="0038582E"/>
    <w:rsid w:val="003859C0"/>
    <w:rsid w:val="00385C3D"/>
    <w:rsid w:val="00385DDD"/>
    <w:rsid w:val="00385EA6"/>
    <w:rsid w:val="003866A0"/>
    <w:rsid w:val="00387550"/>
    <w:rsid w:val="00387585"/>
    <w:rsid w:val="003879FE"/>
    <w:rsid w:val="0039072C"/>
    <w:rsid w:val="00390A5A"/>
    <w:rsid w:val="00390EEE"/>
    <w:rsid w:val="0039199E"/>
    <w:rsid w:val="00391A36"/>
    <w:rsid w:val="00391EE9"/>
    <w:rsid w:val="0039209C"/>
    <w:rsid w:val="00392BA0"/>
    <w:rsid w:val="00392E31"/>
    <w:rsid w:val="00392E50"/>
    <w:rsid w:val="00392F9A"/>
    <w:rsid w:val="00392FEA"/>
    <w:rsid w:val="00393417"/>
    <w:rsid w:val="00393D89"/>
    <w:rsid w:val="0039433A"/>
    <w:rsid w:val="00394776"/>
    <w:rsid w:val="003947FD"/>
    <w:rsid w:val="00394A2B"/>
    <w:rsid w:val="00394AF8"/>
    <w:rsid w:val="00394B45"/>
    <w:rsid w:val="003951E2"/>
    <w:rsid w:val="003953B4"/>
    <w:rsid w:val="0039575E"/>
    <w:rsid w:val="00395EE3"/>
    <w:rsid w:val="00396187"/>
    <w:rsid w:val="003961F4"/>
    <w:rsid w:val="00396ED0"/>
    <w:rsid w:val="00396F95"/>
    <w:rsid w:val="003A0154"/>
    <w:rsid w:val="003A0303"/>
    <w:rsid w:val="003A067B"/>
    <w:rsid w:val="003A0BE9"/>
    <w:rsid w:val="003A0BEB"/>
    <w:rsid w:val="003A0DE4"/>
    <w:rsid w:val="003A1439"/>
    <w:rsid w:val="003A18B2"/>
    <w:rsid w:val="003A19FA"/>
    <w:rsid w:val="003A2191"/>
    <w:rsid w:val="003A22CD"/>
    <w:rsid w:val="003A2D85"/>
    <w:rsid w:val="003A2E23"/>
    <w:rsid w:val="003A3EBD"/>
    <w:rsid w:val="003A4A39"/>
    <w:rsid w:val="003A52F8"/>
    <w:rsid w:val="003A695F"/>
    <w:rsid w:val="003B009F"/>
    <w:rsid w:val="003B045C"/>
    <w:rsid w:val="003B0A82"/>
    <w:rsid w:val="003B11E9"/>
    <w:rsid w:val="003B1FC7"/>
    <w:rsid w:val="003B24D9"/>
    <w:rsid w:val="003B273C"/>
    <w:rsid w:val="003B275B"/>
    <w:rsid w:val="003B2D66"/>
    <w:rsid w:val="003B3000"/>
    <w:rsid w:val="003B38BC"/>
    <w:rsid w:val="003B3980"/>
    <w:rsid w:val="003B3DDE"/>
    <w:rsid w:val="003B3FEF"/>
    <w:rsid w:val="003B42BE"/>
    <w:rsid w:val="003B4BFE"/>
    <w:rsid w:val="003B4CAC"/>
    <w:rsid w:val="003B5178"/>
    <w:rsid w:val="003B5A0E"/>
    <w:rsid w:val="003B6215"/>
    <w:rsid w:val="003B6795"/>
    <w:rsid w:val="003B7102"/>
    <w:rsid w:val="003B7254"/>
    <w:rsid w:val="003B75AF"/>
    <w:rsid w:val="003B75D6"/>
    <w:rsid w:val="003B7BE1"/>
    <w:rsid w:val="003B7E4B"/>
    <w:rsid w:val="003C023A"/>
    <w:rsid w:val="003C0525"/>
    <w:rsid w:val="003C0B15"/>
    <w:rsid w:val="003C0D8B"/>
    <w:rsid w:val="003C0DF4"/>
    <w:rsid w:val="003C2F0C"/>
    <w:rsid w:val="003C2F86"/>
    <w:rsid w:val="003C4D2E"/>
    <w:rsid w:val="003C5520"/>
    <w:rsid w:val="003C6345"/>
    <w:rsid w:val="003C6EF6"/>
    <w:rsid w:val="003C7117"/>
    <w:rsid w:val="003C76F4"/>
    <w:rsid w:val="003D0645"/>
    <w:rsid w:val="003D0D50"/>
    <w:rsid w:val="003D142C"/>
    <w:rsid w:val="003D2845"/>
    <w:rsid w:val="003D28B2"/>
    <w:rsid w:val="003D292F"/>
    <w:rsid w:val="003D3CE7"/>
    <w:rsid w:val="003D42F8"/>
    <w:rsid w:val="003D44CC"/>
    <w:rsid w:val="003D4514"/>
    <w:rsid w:val="003D58ED"/>
    <w:rsid w:val="003D5B6D"/>
    <w:rsid w:val="003D7352"/>
    <w:rsid w:val="003D753D"/>
    <w:rsid w:val="003D7627"/>
    <w:rsid w:val="003D7826"/>
    <w:rsid w:val="003D7DDB"/>
    <w:rsid w:val="003E00A6"/>
    <w:rsid w:val="003E0214"/>
    <w:rsid w:val="003E0246"/>
    <w:rsid w:val="003E0C4B"/>
    <w:rsid w:val="003E100E"/>
    <w:rsid w:val="003E1870"/>
    <w:rsid w:val="003E198A"/>
    <w:rsid w:val="003E1C44"/>
    <w:rsid w:val="003E2DD9"/>
    <w:rsid w:val="003E2ED3"/>
    <w:rsid w:val="003E470D"/>
    <w:rsid w:val="003E53E1"/>
    <w:rsid w:val="003E541F"/>
    <w:rsid w:val="003E59DE"/>
    <w:rsid w:val="003E5B30"/>
    <w:rsid w:val="003E6540"/>
    <w:rsid w:val="003E6715"/>
    <w:rsid w:val="003E73D7"/>
    <w:rsid w:val="003E78EA"/>
    <w:rsid w:val="003E7B0B"/>
    <w:rsid w:val="003F078A"/>
    <w:rsid w:val="003F09A1"/>
    <w:rsid w:val="003F0B78"/>
    <w:rsid w:val="003F0F0D"/>
    <w:rsid w:val="003F11A6"/>
    <w:rsid w:val="003F1D56"/>
    <w:rsid w:val="003F25C4"/>
    <w:rsid w:val="003F2CB2"/>
    <w:rsid w:val="003F2E49"/>
    <w:rsid w:val="003F3D10"/>
    <w:rsid w:val="003F409D"/>
    <w:rsid w:val="003F437B"/>
    <w:rsid w:val="003F4DDA"/>
    <w:rsid w:val="003F4E59"/>
    <w:rsid w:val="003F5C02"/>
    <w:rsid w:val="003F5CF4"/>
    <w:rsid w:val="003F5F6F"/>
    <w:rsid w:val="003F6356"/>
    <w:rsid w:val="003F63B8"/>
    <w:rsid w:val="003F6C11"/>
    <w:rsid w:val="003F7197"/>
    <w:rsid w:val="003F78A6"/>
    <w:rsid w:val="003F7F0C"/>
    <w:rsid w:val="00400897"/>
    <w:rsid w:val="00401C63"/>
    <w:rsid w:val="00403126"/>
    <w:rsid w:val="004031C7"/>
    <w:rsid w:val="0040337A"/>
    <w:rsid w:val="004034C9"/>
    <w:rsid w:val="00404133"/>
    <w:rsid w:val="004043A2"/>
    <w:rsid w:val="00404455"/>
    <w:rsid w:val="004048F7"/>
    <w:rsid w:val="0040547D"/>
    <w:rsid w:val="00405575"/>
    <w:rsid w:val="004056A1"/>
    <w:rsid w:val="004059C6"/>
    <w:rsid w:val="00405D86"/>
    <w:rsid w:val="004061B0"/>
    <w:rsid w:val="00406ABF"/>
    <w:rsid w:val="00407913"/>
    <w:rsid w:val="00410B01"/>
    <w:rsid w:val="00410FE9"/>
    <w:rsid w:val="00411076"/>
    <w:rsid w:val="00411150"/>
    <w:rsid w:val="0041130E"/>
    <w:rsid w:val="0041163E"/>
    <w:rsid w:val="00411B5B"/>
    <w:rsid w:val="0041244B"/>
    <w:rsid w:val="004129A8"/>
    <w:rsid w:val="00413825"/>
    <w:rsid w:val="00413845"/>
    <w:rsid w:val="00414684"/>
    <w:rsid w:val="004149CE"/>
    <w:rsid w:val="004150A2"/>
    <w:rsid w:val="0041570C"/>
    <w:rsid w:val="004158E8"/>
    <w:rsid w:val="00415C46"/>
    <w:rsid w:val="0041640E"/>
    <w:rsid w:val="0041670B"/>
    <w:rsid w:val="00416A51"/>
    <w:rsid w:val="00417863"/>
    <w:rsid w:val="00417912"/>
    <w:rsid w:val="00420615"/>
    <w:rsid w:val="00420884"/>
    <w:rsid w:val="004210E9"/>
    <w:rsid w:val="004212A7"/>
    <w:rsid w:val="00421767"/>
    <w:rsid w:val="004217D8"/>
    <w:rsid w:val="00422518"/>
    <w:rsid w:val="00422549"/>
    <w:rsid w:val="0042297F"/>
    <w:rsid w:val="00422A9A"/>
    <w:rsid w:val="00422CF8"/>
    <w:rsid w:val="00423488"/>
    <w:rsid w:val="004237A3"/>
    <w:rsid w:val="004255AA"/>
    <w:rsid w:val="00425691"/>
    <w:rsid w:val="0042615D"/>
    <w:rsid w:val="00426230"/>
    <w:rsid w:val="00426839"/>
    <w:rsid w:val="00426AF3"/>
    <w:rsid w:val="00426D2C"/>
    <w:rsid w:val="00426EE3"/>
    <w:rsid w:val="00426F61"/>
    <w:rsid w:val="0042716C"/>
    <w:rsid w:val="00427B61"/>
    <w:rsid w:val="00430096"/>
    <w:rsid w:val="004306F6"/>
    <w:rsid w:val="0043072D"/>
    <w:rsid w:val="0043130F"/>
    <w:rsid w:val="00431370"/>
    <w:rsid w:val="004316A0"/>
    <w:rsid w:val="0043172D"/>
    <w:rsid w:val="00431D26"/>
    <w:rsid w:val="00431F3B"/>
    <w:rsid w:val="00432217"/>
    <w:rsid w:val="00432EE2"/>
    <w:rsid w:val="00433EEB"/>
    <w:rsid w:val="00434681"/>
    <w:rsid w:val="00434D59"/>
    <w:rsid w:val="00434F4F"/>
    <w:rsid w:val="00435415"/>
    <w:rsid w:val="00435A15"/>
    <w:rsid w:val="00435BD4"/>
    <w:rsid w:val="00435E85"/>
    <w:rsid w:val="00435F6A"/>
    <w:rsid w:val="004360B3"/>
    <w:rsid w:val="004367F2"/>
    <w:rsid w:val="00437444"/>
    <w:rsid w:val="004379A0"/>
    <w:rsid w:val="004403D3"/>
    <w:rsid w:val="00440B66"/>
    <w:rsid w:val="00440FE3"/>
    <w:rsid w:val="00441FD8"/>
    <w:rsid w:val="00442919"/>
    <w:rsid w:val="004429D6"/>
    <w:rsid w:val="00443403"/>
    <w:rsid w:val="00443D3F"/>
    <w:rsid w:val="00444105"/>
    <w:rsid w:val="00444A3A"/>
    <w:rsid w:val="004454FB"/>
    <w:rsid w:val="004455B7"/>
    <w:rsid w:val="00446F22"/>
    <w:rsid w:val="0044765A"/>
    <w:rsid w:val="00447EA4"/>
    <w:rsid w:val="00447FE9"/>
    <w:rsid w:val="00450744"/>
    <w:rsid w:val="0045087A"/>
    <w:rsid w:val="00451503"/>
    <w:rsid w:val="00451525"/>
    <w:rsid w:val="004521B5"/>
    <w:rsid w:val="004530EE"/>
    <w:rsid w:val="00453A62"/>
    <w:rsid w:val="0045430F"/>
    <w:rsid w:val="004547E9"/>
    <w:rsid w:val="004555DA"/>
    <w:rsid w:val="00455CF7"/>
    <w:rsid w:val="004561C5"/>
    <w:rsid w:val="004564D7"/>
    <w:rsid w:val="00456615"/>
    <w:rsid w:val="004566CB"/>
    <w:rsid w:val="00456942"/>
    <w:rsid w:val="00456E1C"/>
    <w:rsid w:val="00456F2A"/>
    <w:rsid w:val="00457073"/>
    <w:rsid w:val="0045724C"/>
    <w:rsid w:val="004575C3"/>
    <w:rsid w:val="00457934"/>
    <w:rsid w:val="00457BE6"/>
    <w:rsid w:val="00457D76"/>
    <w:rsid w:val="00457EB0"/>
    <w:rsid w:val="00460B29"/>
    <w:rsid w:val="004613C2"/>
    <w:rsid w:val="00461845"/>
    <w:rsid w:val="00462146"/>
    <w:rsid w:val="004622AE"/>
    <w:rsid w:val="004623FC"/>
    <w:rsid w:val="00462417"/>
    <w:rsid w:val="00462DA2"/>
    <w:rsid w:val="00462F2A"/>
    <w:rsid w:val="0046412E"/>
    <w:rsid w:val="0046427D"/>
    <w:rsid w:val="0046476A"/>
    <w:rsid w:val="00464AC8"/>
    <w:rsid w:val="00464C20"/>
    <w:rsid w:val="0046543A"/>
    <w:rsid w:val="00465D79"/>
    <w:rsid w:val="0046659A"/>
    <w:rsid w:val="004669D5"/>
    <w:rsid w:val="00466BD2"/>
    <w:rsid w:val="00466D4A"/>
    <w:rsid w:val="00466FF8"/>
    <w:rsid w:val="00467252"/>
    <w:rsid w:val="004674B6"/>
    <w:rsid w:val="004700E2"/>
    <w:rsid w:val="00470204"/>
    <w:rsid w:val="00470C7B"/>
    <w:rsid w:val="00471135"/>
    <w:rsid w:val="0047134C"/>
    <w:rsid w:val="00471EDF"/>
    <w:rsid w:val="004722ED"/>
    <w:rsid w:val="00472849"/>
    <w:rsid w:val="00472F0D"/>
    <w:rsid w:val="00473439"/>
    <w:rsid w:val="00473954"/>
    <w:rsid w:val="00473C8E"/>
    <w:rsid w:val="00475264"/>
    <w:rsid w:val="0047651F"/>
    <w:rsid w:val="004767DF"/>
    <w:rsid w:val="00477102"/>
    <w:rsid w:val="004771DF"/>
    <w:rsid w:val="004772D3"/>
    <w:rsid w:val="00477735"/>
    <w:rsid w:val="00477B9B"/>
    <w:rsid w:val="00477E45"/>
    <w:rsid w:val="004801C9"/>
    <w:rsid w:val="004809EB"/>
    <w:rsid w:val="00480A2F"/>
    <w:rsid w:val="00481462"/>
    <w:rsid w:val="00481C25"/>
    <w:rsid w:val="004821BE"/>
    <w:rsid w:val="00482A15"/>
    <w:rsid w:val="0048342E"/>
    <w:rsid w:val="0048349A"/>
    <w:rsid w:val="004837E8"/>
    <w:rsid w:val="00483993"/>
    <w:rsid w:val="004839BE"/>
    <w:rsid w:val="00483D07"/>
    <w:rsid w:val="00483EBB"/>
    <w:rsid w:val="00484802"/>
    <w:rsid w:val="00484EEF"/>
    <w:rsid w:val="00485732"/>
    <w:rsid w:val="00486377"/>
    <w:rsid w:val="00487026"/>
    <w:rsid w:val="004872E1"/>
    <w:rsid w:val="004873C5"/>
    <w:rsid w:val="004903DF"/>
    <w:rsid w:val="004907EF"/>
    <w:rsid w:val="00490833"/>
    <w:rsid w:val="004909A2"/>
    <w:rsid w:val="00490A57"/>
    <w:rsid w:val="00490D59"/>
    <w:rsid w:val="004916F4"/>
    <w:rsid w:val="00491A9C"/>
    <w:rsid w:val="00491D6F"/>
    <w:rsid w:val="00492172"/>
    <w:rsid w:val="004936A6"/>
    <w:rsid w:val="004939D8"/>
    <w:rsid w:val="00493A82"/>
    <w:rsid w:val="00493EEC"/>
    <w:rsid w:val="0049492B"/>
    <w:rsid w:val="00494E3B"/>
    <w:rsid w:val="00494FF6"/>
    <w:rsid w:val="00495292"/>
    <w:rsid w:val="00495DDA"/>
    <w:rsid w:val="00495E60"/>
    <w:rsid w:val="00496129"/>
    <w:rsid w:val="004964CA"/>
    <w:rsid w:val="00497A25"/>
    <w:rsid w:val="00497BD9"/>
    <w:rsid w:val="00497F3E"/>
    <w:rsid w:val="004A0C2C"/>
    <w:rsid w:val="004A0D42"/>
    <w:rsid w:val="004A1F2E"/>
    <w:rsid w:val="004A1F3D"/>
    <w:rsid w:val="004A238D"/>
    <w:rsid w:val="004A262F"/>
    <w:rsid w:val="004A3424"/>
    <w:rsid w:val="004A35DC"/>
    <w:rsid w:val="004A3875"/>
    <w:rsid w:val="004A39B9"/>
    <w:rsid w:val="004A3FBA"/>
    <w:rsid w:val="004A45B5"/>
    <w:rsid w:val="004A46B3"/>
    <w:rsid w:val="004A490A"/>
    <w:rsid w:val="004A4C60"/>
    <w:rsid w:val="004A4E5A"/>
    <w:rsid w:val="004A5192"/>
    <w:rsid w:val="004A55FB"/>
    <w:rsid w:val="004A5BB0"/>
    <w:rsid w:val="004A640B"/>
    <w:rsid w:val="004A6AC5"/>
    <w:rsid w:val="004A6AE9"/>
    <w:rsid w:val="004A7898"/>
    <w:rsid w:val="004A79E2"/>
    <w:rsid w:val="004A7C40"/>
    <w:rsid w:val="004B0CDF"/>
    <w:rsid w:val="004B0D5B"/>
    <w:rsid w:val="004B1514"/>
    <w:rsid w:val="004B1C04"/>
    <w:rsid w:val="004B28D9"/>
    <w:rsid w:val="004B3390"/>
    <w:rsid w:val="004B3920"/>
    <w:rsid w:val="004B5AEC"/>
    <w:rsid w:val="004B5CCD"/>
    <w:rsid w:val="004B5D46"/>
    <w:rsid w:val="004B694E"/>
    <w:rsid w:val="004B6991"/>
    <w:rsid w:val="004B7017"/>
    <w:rsid w:val="004B741F"/>
    <w:rsid w:val="004B754C"/>
    <w:rsid w:val="004B7932"/>
    <w:rsid w:val="004B79FA"/>
    <w:rsid w:val="004B7E5F"/>
    <w:rsid w:val="004C117C"/>
    <w:rsid w:val="004C206A"/>
    <w:rsid w:val="004C26F6"/>
    <w:rsid w:val="004C2B49"/>
    <w:rsid w:val="004C377C"/>
    <w:rsid w:val="004C3E47"/>
    <w:rsid w:val="004C4865"/>
    <w:rsid w:val="004C576F"/>
    <w:rsid w:val="004C6616"/>
    <w:rsid w:val="004C68B7"/>
    <w:rsid w:val="004C6E19"/>
    <w:rsid w:val="004C7916"/>
    <w:rsid w:val="004C7F6C"/>
    <w:rsid w:val="004C7F7F"/>
    <w:rsid w:val="004D00C1"/>
    <w:rsid w:val="004D0288"/>
    <w:rsid w:val="004D1209"/>
    <w:rsid w:val="004D1AB9"/>
    <w:rsid w:val="004D1CAE"/>
    <w:rsid w:val="004D2AE7"/>
    <w:rsid w:val="004D33C5"/>
    <w:rsid w:val="004D3D86"/>
    <w:rsid w:val="004D406B"/>
    <w:rsid w:val="004D41B4"/>
    <w:rsid w:val="004D4B68"/>
    <w:rsid w:val="004D4BD2"/>
    <w:rsid w:val="004D5160"/>
    <w:rsid w:val="004D5276"/>
    <w:rsid w:val="004D62FB"/>
    <w:rsid w:val="004D6BAA"/>
    <w:rsid w:val="004D6D09"/>
    <w:rsid w:val="004D6D5D"/>
    <w:rsid w:val="004D6E04"/>
    <w:rsid w:val="004D72A6"/>
    <w:rsid w:val="004E0304"/>
    <w:rsid w:val="004E091E"/>
    <w:rsid w:val="004E0E58"/>
    <w:rsid w:val="004E14EA"/>
    <w:rsid w:val="004E1791"/>
    <w:rsid w:val="004E1F62"/>
    <w:rsid w:val="004E20A5"/>
    <w:rsid w:val="004E248E"/>
    <w:rsid w:val="004E2C8C"/>
    <w:rsid w:val="004E3B44"/>
    <w:rsid w:val="004E4439"/>
    <w:rsid w:val="004E450D"/>
    <w:rsid w:val="004E4F47"/>
    <w:rsid w:val="004E56DC"/>
    <w:rsid w:val="004E5DFD"/>
    <w:rsid w:val="004E5FCE"/>
    <w:rsid w:val="004E7004"/>
    <w:rsid w:val="004E750E"/>
    <w:rsid w:val="004E7997"/>
    <w:rsid w:val="004F0E00"/>
    <w:rsid w:val="004F1090"/>
    <w:rsid w:val="004F178A"/>
    <w:rsid w:val="004F1987"/>
    <w:rsid w:val="004F1CCE"/>
    <w:rsid w:val="004F23C6"/>
    <w:rsid w:val="004F3DB8"/>
    <w:rsid w:val="004F3E59"/>
    <w:rsid w:val="004F4AEF"/>
    <w:rsid w:val="004F4E56"/>
    <w:rsid w:val="004F5593"/>
    <w:rsid w:val="004F5982"/>
    <w:rsid w:val="004F5D8A"/>
    <w:rsid w:val="004F5EB3"/>
    <w:rsid w:val="004F6597"/>
    <w:rsid w:val="004F6BB5"/>
    <w:rsid w:val="004F7D8D"/>
    <w:rsid w:val="004F7EFD"/>
    <w:rsid w:val="00501C15"/>
    <w:rsid w:val="00501D03"/>
    <w:rsid w:val="00502B3F"/>
    <w:rsid w:val="0050315A"/>
    <w:rsid w:val="005031E2"/>
    <w:rsid w:val="005034BA"/>
    <w:rsid w:val="00503627"/>
    <w:rsid w:val="005036EE"/>
    <w:rsid w:val="00503928"/>
    <w:rsid w:val="00503E6A"/>
    <w:rsid w:val="00503EE5"/>
    <w:rsid w:val="00504035"/>
    <w:rsid w:val="005040F2"/>
    <w:rsid w:val="005042EC"/>
    <w:rsid w:val="00504680"/>
    <w:rsid w:val="005049AF"/>
    <w:rsid w:val="00504B7E"/>
    <w:rsid w:val="005052F9"/>
    <w:rsid w:val="005057B6"/>
    <w:rsid w:val="00505DB2"/>
    <w:rsid w:val="0050619E"/>
    <w:rsid w:val="00510181"/>
    <w:rsid w:val="0051037C"/>
    <w:rsid w:val="00510A48"/>
    <w:rsid w:val="00510D71"/>
    <w:rsid w:val="0051148A"/>
    <w:rsid w:val="005117C4"/>
    <w:rsid w:val="00511A38"/>
    <w:rsid w:val="00511F4C"/>
    <w:rsid w:val="00512511"/>
    <w:rsid w:val="00512A82"/>
    <w:rsid w:val="00512AC8"/>
    <w:rsid w:val="00513A4C"/>
    <w:rsid w:val="00513CEF"/>
    <w:rsid w:val="00514F3A"/>
    <w:rsid w:val="0051595E"/>
    <w:rsid w:val="005163D5"/>
    <w:rsid w:val="00516576"/>
    <w:rsid w:val="0051715C"/>
    <w:rsid w:val="0051718D"/>
    <w:rsid w:val="0051725C"/>
    <w:rsid w:val="005176F8"/>
    <w:rsid w:val="00517C2D"/>
    <w:rsid w:val="0052006D"/>
    <w:rsid w:val="005208F4"/>
    <w:rsid w:val="00520CAD"/>
    <w:rsid w:val="00520EAB"/>
    <w:rsid w:val="005218A2"/>
    <w:rsid w:val="00522729"/>
    <w:rsid w:val="00523D37"/>
    <w:rsid w:val="00524BFC"/>
    <w:rsid w:val="0052513B"/>
    <w:rsid w:val="00525218"/>
    <w:rsid w:val="00525476"/>
    <w:rsid w:val="00525913"/>
    <w:rsid w:val="0052592D"/>
    <w:rsid w:val="00525D90"/>
    <w:rsid w:val="00525F59"/>
    <w:rsid w:val="00526794"/>
    <w:rsid w:val="00526D6F"/>
    <w:rsid w:val="00526DEA"/>
    <w:rsid w:val="00526E90"/>
    <w:rsid w:val="00527EBB"/>
    <w:rsid w:val="0053089A"/>
    <w:rsid w:val="00530E60"/>
    <w:rsid w:val="0053214F"/>
    <w:rsid w:val="00532ADF"/>
    <w:rsid w:val="0053307E"/>
    <w:rsid w:val="00533B42"/>
    <w:rsid w:val="005340CC"/>
    <w:rsid w:val="00534519"/>
    <w:rsid w:val="00534861"/>
    <w:rsid w:val="0053487E"/>
    <w:rsid w:val="00534B89"/>
    <w:rsid w:val="00535353"/>
    <w:rsid w:val="00536203"/>
    <w:rsid w:val="005364DA"/>
    <w:rsid w:val="00536C24"/>
    <w:rsid w:val="0053735E"/>
    <w:rsid w:val="0053750E"/>
    <w:rsid w:val="005376E3"/>
    <w:rsid w:val="00537C86"/>
    <w:rsid w:val="00537E13"/>
    <w:rsid w:val="00540789"/>
    <w:rsid w:val="00541F1E"/>
    <w:rsid w:val="00542467"/>
    <w:rsid w:val="005431BE"/>
    <w:rsid w:val="00543299"/>
    <w:rsid w:val="005432D3"/>
    <w:rsid w:val="0054366A"/>
    <w:rsid w:val="00543AA5"/>
    <w:rsid w:val="00543E5F"/>
    <w:rsid w:val="0054415D"/>
    <w:rsid w:val="00544891"/>
    <w:rsid w:val="00544AD7"/>
    <w:rsid w:val="00544B9C"/>
    <w:rsid w:val="00544CEE"/>
    <w:rsid w:val="005451C1"/>
    <w:rsid w:val="0054533B"/>
    <w:rsid w:val="00545950"/>
    <w:rsid w:val="00545B41"/>
    <w:rsid w:val="005465E5"/>
    <w:rsid w:val="00550103"/>
    <w:rsid w:val="00550164"/>
    <w:rsid w:val="00550EFA"/>
    <w:rsid w:val="00551B46"/>
    <w:rsid w:val="00552026"/>
    <w:rsid w:val="005523D7"/>
    <w:rsid w:val="00552591"/>
    <w:rsid w:val="005530EE"/>
    <w:rsid w:val="00553165"/>
    <w:rsid w:val="00553AD9"/>
    <w:rsid w:val="00553C6E"/>
    <w:rsid w:val="00554BC8"/>
    <w:rsid w:val="00554FF7"/>
    <w:rsid w:val="00555504"/>
    <w:rsid w:val="005555DB"/>
    <w:rsid w:val="005570E9"/>
    <w:rsid w:val="00557584"/>
    <w:rsid w:val="005576FC"/>
    <w:rsid w:val="00557E8C"/>
    <w:rsid w:val="00560C3D"/>
    <w:rsid w:val="00560E7B"/>
    <w:rsid w:val="005619F9"/>
    <w:rsid w:val="00561F4E"/>
    <w:rsid w:val="00561FB1"/>
    <w:rsid w:val="00562145"/>
    <w:rsid w:val="00562235"/>
    <w:rsid w:val="00562C1F"/>
    <w:rsid w:val="00562C98"/>
    <w:rsid w:val="00562F9A"/>
    <w:rsid w:val="00563038"/>
    <w:rsid w:val="0056305C"/>
    <w:rsid w:val="00563060"/>
    <w:rsid w:val="005630D7"/>
    <w:rsid w:val="00563224"/>
    <w:rsid w:val="00563616"/>
    <w:rsid w:val="005637E1"/>
    <w:rsid w:val="0056392F"/>
    <w:rsid w:val="00564001"/>
    <w:rsid w:val="00564627"/>
    <w:rsid w:val="005647F8"/>
    <w:rsid w:val="00564CA4"/>
    <w:rsid w:val="00565039"/>
    <w:rsid w:val="00565CF8"/>
    <w:rsid w:val="00566800"/>
    <w:rsid w:val="00566E62"/>
    <w:rsid w:val="0056723D"/>
    <w:rsid w:val="005679A9"/>
    <w:rsid w:val="00567D78"/>
    <w:rsid w:val="00570869"/>
    <w:rsid w:val="00570A48"/>
    <w:rsid w:val="0057120E"/>
    <w:rsid w:val="00571EEC"/>
    <w:rsid w:val="00572078"/>
    <w:rsid w:val="0057230B"/>
    <w:rsid w:val="00572A10"/>
    <w:rsid w:val="0057305A"/>
    <w:rsid w:val="005731F7"/>
    <w:rsid w:val="005734E4"/>
    <w:rsid w:val="00573884"/>
    <w:rsid w:val="00573DE8"/>
    <w:rsid w:val="00573E32"/>
    <w:rsid w:val="005760EB"/>
    <w:rsid w:val="00576581"/>
    <w:rsid w:val="005765CC"/>
    <w:rsid w:val="00576834"/>
    <w:rsid w:val="00576EA1"/>
    <w:rsid w:val="005771AA"/>
    <w:rsid w:val="00577544"/>
    <w:rsid w:val="005778CA"/>
    <w:rsid w:val="005778DE"/>
    <w:rsid w:val="00577BFF"/>
    <w:rsid w:val="00577E37"/>
    <w:rsid w:val="00577F4F"/>
    <w:rsid w:val="0058017C"/>
    <w:rsid w:val="00580366"/>
    <w:rsid w:val="005804F2"/>
    <w:rsid w:val="00580B33"/>
    <w:rsid w:val="0058102D"/>
    <w:rsid w:val="00581679"/>
    <w:rsid w:val="00581CA8"/>
    <w:rsid w:val="00581CC0"/>
    <w:rsid w:val="00581D7B"/>
    <w:rsid w:val="00581DFE"/>
    <w:rsid w:val="0058307E"/>
    <w:rsid w:val="00583AFA"/>
    <w:rsid w:val="005845D6"/>
    <w:rsid w:val="005847E8"/>
    <w:rsid w:val="005848EA"/>
    <w:rsid w:val="00584C93"/>
    <w:rsid w:val="00584EDE"/>
    <w:rsid w:val="00584F34"/>
    <w:rsid w:val="00584FBC"/>
    <w:rsid w:val="00585399"/>
    <w:rsid w:val="00585B1B"/>
    <w:rsid w:val="00585FC7"/>
    <w:rsid w:val="00586C06"/>
    <w:rsid w:val="00586E40"/>
    <w:rsid w:val="00586F51"/>
    <w:rsid w:val="0058700D"/>
    <w:rsid w:val="00587057"/>
    <w:rsid w:val="0058706F"/>
    <w:rsid w:val="005871E7"/>
    <w:rsid w:val="005875C4"/>
    <w:rsid w:val="00587E5F"/>
    <w:rsid w:val="005905FB"/>
    <w:rsid w:val="005909AE"/>
    <w:rsid w:val="00592FB0"/>
    <w:rsid w:val="005930AD"/>
    <w:rsid w:val="0059346C"/>
    <w:rsid w:val="00593C56"/>
    <w:rsid w:val="00593D25"/>
    <w:rsid w:val="00594130"/>
    <w:rsid w:val="00594335"/>
    <w:rsid w:val="005943B8"/>
    <w:rsid w:val="005945AC"/>
    <w:rsid w:val="005947B6"/>
    <w:rsid w:val="00594B2F"/>
    <w:rsid w:val="00594BF9"/>
    <w:rsid w:val="00594D1F"/>
    <w:rsid w:val="00594D45"/>
    <w:rsid w:val="00594F3D"/>
    <w:rsid w:val="005953F0"/>
    <w:rsid w:val="005959E1"/>
    <w:rsid w:val="00595A48"/>
    <w:rsid w:val="00595C04"/>
    <w:rsid w:val="00595E96"/>
    <w:rsid w:val="0059629A"/>
    <w:rsid w:val="0059641A"/>
    <w:rsid w:val="005975B7"/>
    <w:rsid w:val="005A070B"/>
    <w:rsid w:val="005A07EC"/>
    <w:rsid w:val="005A085E"/>
    <w:rsid w:val="005A0E02"/>
    <w:rsid w:val="005A1570"/>
    <w:rsid w:val="005A17D1"/>
    <w:rsid w:val="005A192F"/>
    <w:rsid w:val="005A1A2F"/>
    <w:rsid w:val="005A1CCE"/>
    <w:rsid w:val="005A1FCF"/>
    <w:rsid w:val="005A27C5"/>
    <w:rsid w:val="005A2A36"/>
    <w:rsid w:val="005A2DE0"/>
    <w:rsid w:val="005A36BF"/>
    <w:rsid w:val="005A38D3"/>
    <w:rsid w:val="005A4C30"/>
    <w:rsid w:val="005A50F2"/>
    <w:rsid w:val="005A5937"/>
    <w:rsid w:val="005A5BBA"/>
    <w:rsid w:val="005A5C01"/>
    <w:rsid w:val="005A5CB6"/>
    <w:rsid w:val="005A6A32"/>
    <w:rsid w:val="005A6DBE"/>
    <w:rsid w:val="005A6EED"/>
    <w:rsid w:val="005A718F"/>
    <w:rsid w:val="005A7D7B"/>
    <w:rsid w:val="005B01BC"/>
    <w:rsid w:val="005B059B"/>
    <w:rsid w:val="005B077F"/>
    <w:rsid w:val="005B1570"/>
    <w:rsid w:val="005B15F5"/>
    <w:rsid w:val="005B25BF"/>
    <w:rsid w:val="005B2942"/>
    <w:rsid w:val="005B296E"/>
    <w:rsid w:val="005B3569"/>
    <w:rsid w:val="005B35A0"/>
    <w:rsid w:val="005B375E"/>
    <w:rsid w:val="005B3AA1"/>
    <w:rsid w:val="005B3D96"/>
    <w:rsid w:val="005B45D0"/>
    <w:rsid w:val="005B45FD"/>
    <w:rsid w:val="005B4DA1"/>
    <w:rsid w:val="005B570E"/>
    <w:rsid w:val="005B5810"/>
    <w:rsid w:val="005B5EED"/>
    <w:rsid w:val="005B6240"/>
    <w:rsid w:val="005B63DC"/>
    <w:rsid w:val="005B646E"/>
    <w:rsid w:val="005B66B7"/>
    <w:rsid w:val="005B71EE"/>
    <w:rsid w:val="005B7466"/>
    <w:rsid w:val="005C0653"/>
    <w:rsid w:val="005C0EA3"/>
    <w:rsid w:val="005C1585"/>
    <w:rsid w:val="005C190B"/>
    <w:rsid w:val="005C256E"/>
    <w:rsid w:val="005C2CFF"/>
    <w:rsid w:val="005C392C"/>
    <w:rsid w:val="005C3B15"/>
    <w:rsid w:val="005C3FEA"/>
    <w:rsid w:val="005C5523"/>
    <w:rsid w:val="005C55E5"/>
    <w:rsid w:val="005C5A9A"/>
    <w:rsid w:val="005C5E72"/>
    <w:rsid w:val="005C651C"/>
    <w:rsid w:val="005C672F"/>
    <w:rsid w:val="005C720C"/>
    <w:rsid w:val="005C7A2B"/>
    <w:rsid w:val="005D0779"/>
    <w:rsid w:val="005D1121"/>
    <w:rsid w:val="005D1659"/>
    <w:rsid w:val="005D1675"/>
    <w:rsid w:val="005D16F1"/>
    <w:rsid w:val="005D1DAC"/>
    <w:rsid w:val="005D1F3C"/>
    <w:rsid w:val="005D2AF2"/>
    <w:rsid w:val="005D3B2B"/>
    <w:rsid w:val="005D3D97"/>
    <w:rsid w:val="005D4466"/>
    <w:rsid w:val="005D498F"/>
    <w:rsid w:val="005D4A5C"/>
    <w:rsid w:val="005D5015"/>
    <w:rsid w:val="005D5CD4"/>
    <w:rsid w:val="005D6363"/>
    <w:rsid w:val="005D696D"/>
    <w:rsid w:val="005D7048"/>
    <w:rsid w:val="005D7868"/>
    <w:rsid w:val="005D786A"/>
    <w:rsid w:val="005D7969"/>
    <w:rsid w:val="005D7CDD"/>
    <w:rsid w:val="005D7D38"/>
    <w:rsid w:val="005E0C82"/>
    <w:rsid w:val="005E162E"/>
    <w:rsid w:val="005E1B41"/>
    <w:rsid w:val="005E25EA"/>
    <w:rsid w:val="005E2891"/>
    <w:rsid w:val="005E2AEA"/>
    <w:rsid w:val="005E2C77"/>
    <w:rsid w:val="005E3004"/>
    <w:rsid w:val="005E3466"/>
    <w:rsid w:val="005E3B05"/>
    <w:rsid w:val="005E4CE8"/>
    <w:rsid w:val="005E4E50"/>
    <w:rsid w:val="005E50DE"/>
    <w:rsid w:val="005E53F4"/>
    <w:rsid w:val="005E5702"/>
    <w:rsid w:val="005E578F"/>
    <w:rsid w:val="005E60BC"/>
    <w:rsid w:val="005E61F7"/>
    <w:rsid w:val="005E65FC"/>
    <w:rsid w:val="005E6734"/>
    <w:rsid w:val="005E6AE2"/>
    <w:rsid w:val="005E6F67"/>
    <w:rsid w:val="005E79D0"/>
    <w:rsid w:val="005E7E4A"/>
    <w:rsid w:val="005F0D1C"/>
    <w:rsid w:val="005F10D6"/>
    <w:rsid w:val="005F10DD"/>
    <w:rsid w:val="005F14BA"/>
    <w:rsid w:val="005F1BD5"/>
    <w:rsid w:val="005F26DB"/>
    <w:rsid w:val="005F2F0D"/>
    <w:rsid w:val="005F3BFE"/>
    <w:rsid w:val="005F4841"/>
    <w:rsid w:val="005F4899"/>
    <w:rsid w:val="005F4D46"/>
    <w:rsid w:val="005F580E"/>
    <w:rsid w:val="005F63AD"/>
    <w:rsid w:val="005F645B"/>
    <w:rsid w:val="005F6FC8"/>
    <w:rsid w:val="005F71D7"/>
    <w:rsid w:val="005F7662"/>
    <w:rsid w:val="005F793F"/>
    <w:rsid w:val="00600103"/>
    <w:rsid w:val="006001D9"/>
    <w:rsid w:val="00600C80"/>
    <w:rsid w:val="00601420"/>
    <w:rsid w:val="00601BA3"/>
    <w:rsid w:val="00602BF4"/>
    <w:rsid w:val="00603468"/>
    <w:rsid w:val="006054E8"/>
    <w:rsid w:val="00606DE3"/>
    <w:rsid w:val="00607241"/>
    <w:rsid w:val="006079FA"/>
    <w:rsid w:val="00607B9C"/>
    <w:rsid w:val="00607D67"/>
    <w:rsid w:val="0061018D"/>
    <w:rsid w:val="006108D5"/>
    <w:rsid w:val="00610D08"/>
    <w:rsid w:val="00611FAE"/>
    <w:rsid w:val="0061213A"/>
    <w:rsid w:val="006123C6"/>
    <w:rsid w:val="00612BE0"/>
    <w:rsid w:val="00612F4F"/>
    <w:rsid w:val="00613340"/>
    <w:rsid w:val="006133D2"/>
    <w:rsid w:val="00613427"/>
    <w:rsid w:val="00613598"/>
    <w:rsid w:val="0061365D"/>
    <w:rsid w:val="0061371C"/>
    <w:rsid w:val="0061388A"/>
    <w:rsid w:val="00613B32"/>
    <w:rsid w:val="00613FDF"/>
    <w:rsid w:val="006150E0"/>
    <w:rsid w:val="006152F7"/>
    <w:rsid w:val="0061560E"/>
    <w:rsid w:val="00616056"/>
    <w:rsid w:val="00616287"/>
    <w:rsid w:val="006163BC"/>
    <w:rsid w:val="00616910"/>
    <w:rsid w:val="00616ABE"/>
    <w:rsid w:val="00616D5A"/>
    <w:rsid w:val="00616FFA"/>
    <w:rsid w:val="006175B5"/>
    <w:rsid w:val="00617699"/>
    <w:rsid w:val="0062091B"/>
    <w:rsid w:val="00620FCC"/>
    <w:rsid w:val="0062105C"/>
    <w:rsid w:val="00621097"/>
    <w:rsid w:val="006213CE"/>
    <w:rsid w:val="006218B0"/>
    <w:rsid w:val="006219CA"/>
    <w:rsid w:val="00621B9C"/>
    <w:rsid w:val="00622114"/>
    <w:rsid w:val="006222C5"/>
    <w:rsid w:val="00623019"/>
    <w:rsid w:val="006236ED"/>
    <w:rsid w:val="0062375C"/>
    <w:rsid w:val="00623ED9"/>
    <w:rsid w:val="00624142"/>
    <w:rsid w:val="0062540B"/>
    <w:rsid w:val="006255CA"/>
    <w:rsid w:val="00625BC0"/>
    <w:rsid w:val="00625E6B"/>
    <w:rsid w:val="006262D2"/>
    <w:rsid w:val="00627A02"/>
    <w:rsid w:val="00627CD9"/>
    <w:rsid w:val="00630B03"/>
    <w:rsid w:val="00631BE4"/>
    <w:rsid w:val="00632D8D"/>
    <w:rsid w:val="00634625"/>
    <w:rsid w:val="006347D2"/>
    <w:rsid w:val="00634851"/>
    <w:rsid w:val="00634DBC"/>
    <w:rsid w:val="006352E4"/>
    <w:rsid w:val="00635C32"/>
    <w:rsid w:val="0063695F"/>
    <w:rsid w:val="006371F3"/>
    <w:rsid w:val="00637797"/>
    <w:rsid w:val="00640CE6"/>
    <w:rsid w:val="00641306"/>
    <w:rsid w:val="00641339"/>
    <w:rsid w:val="006415E7"/>
    <w:rsid w:val="00641A62"/>
    <w:rsid w:val="006420C3"/>
    <w:rsid w:val="00642350"/>
    <w:rsid w:val="00642457"/>
    <w:rsid w:val="00642CC8"/>
    <w:rsid w:val="006431BC"/>
    <w:rsid w:val="006432E8"/>
    <w:rsid w:val="006433D2"/>
    <w:rsid w:val="00643872"/>
    <w:rsid w:val="006448C0"/>
    <w:rsid w:val="00645022"/>
    <w:rsid w:val="00645230"/>
    <w:rsid w:val="0064629F"/>
    <w:rsid w:val="00646F06"/>
    <w:rsid w:val="0064728F"/>
    <w:rsid w:val="00647F08"/>
    <w:rsid w:val="006507CA"/>
    <w:rsid w:val="00650C53"/>
    <w:rsid w:val="00651D06"/>
    <w:rsid w:val="0065279C"/>
    <w:rsid w:val="0065295B"/>
    <w:rsid w:val="00652ABC"/>
    <w:rsid w:val="0065414E"/>
    <w:rsid w:val="00654353"/>
    <w:rsid w:val="00654E3C"/>
    <w:rsid w:val="00654F83"/>
    <w:rsid w:val="00656C5E"/>
    <w:rsid w:val="0065700A"/>
    <w:rsid w:val="006573D1"/>
    <w:rsid w:val="00657659"/>
    <w:rsid w:val="00660509"/>
    <w:rsid w:val="0066072A"/>
    <w:rsid w:val="00661732"/>
    <w:rsid w:val="006618A9"/>
    <w:rsid w:val="00662E48"/>
    <w:rsid w:val="00662EA9"/>
    <w:rsid w:val="00662F11"/>
    <w:rsid w:val="006630B5"/>
    <w:rsid w:val="006633F6"/>
    <w:rsid w:val="0066354A"/>
    <w:rsid w:val="0066566C"/>
    <w:rsid w:val="0066585E"/>
    <w:rsid w:val="006660BE"/>
    <w:rsid w:val="006664FE"/>
    <w:rsid w:val="00666C47"/>
    <w:rsid w:val="00667C93"/>
    <w:rsid w:val="00667E3B"/>
    <w:rsid w:val="00667EE4"/>
    <w:rsid w:val="00667F79"/>
    <w:rsid w:val="00670198"/>
    <w:rsid w:val="00670B06"/>
    <w:rsid w:val="00670B2F"/>
    <w:rsid w:val="00670D3B"/>
    <w:rsid w:val="00671292"/>
    <w:rsid w:val="00671490"/>
    <w:rsid w:val="0067210C"/>
    <w:rsid w:val="006726A0"/>
    <w:rsid w:val="00672BDD"/>
    <w:rsid w:val="00673327"/>
    <w:rsid w:val="0067344E"/>
    <w:rsid w:val="00673802"/>
    <w:rsid w:val="00673F85"/>
    <w:rsid w:val="0067404B"/>
    <w:rsid w:val="00674058"/>
    <w:rsid w:val="00674473"/>
    <w:rsid w:val="0067485C"/>
    <w:rsid w:val="00674F96"/>
    <w:rsid w:val="0067513C"/>
    <w:rsid w:val="00675414"/>
    <w:rsid w:val="006754F1"/>
    <w:rsid w:val="006768DF"/>
    <w:rsid w:val="00676926"/>
    <w:rsid w:val="006769E1"/>
    <w:rsid w:val="006774CF"/>
    <w:rsid w:val="00680212"/>
    <w:rsid w:val="00680A17"/>
    <w:rsid w:val="00680D47"/>
    <w:rsid w:val="00680E79"/>
    <w:rsid w:val="006812CC"/>
    <w:rsid w:val="00681413"/>
    <w:rsid w:val="0068192F"/>
    <w:rsid w:val="00681E31"/>
    <w:rsid w:val="00681E93"/>
    <w:rsid w:val="0068216D"/>
    <w:rsid w:val="006821FE"/>
    <w:rsid w:val="0068238D"/>
    <w:rsid w:val="006827D0"/>
    <w:rsid w:val="00682B24"/>
    <w:rsid w:val="00682F66"/>
    <w:rsid w:val="0068306C"/>
    <w:rsid w:val="00683EB3"/>
    <w:rsid w:val="006844C9"/>
    <w:rsid w:val="00685339"/>
    <w:rsid w:val="00685621"/>
    <w:rsid w:val="00685FD4"/>
    <w:rsid w:val="00685FEF"/>
    <w:rsid w:val="0068607C"/>
    <w:rsid w:val="00687125"/>
    <w:rsid w:val="00687258"/>
    <w:rsid w:val="00687BB5"/>
    <w:rsid w:val="00687D8C"/>
    <w:rsid w:val="00690A9E"/>
    <w:rsid w:val="00690FFE"/>
    <w:rsid w:val="00691BD6"/>
    <w:rsid w:val="00691DC8"/>
    <w:rsid w:val="00691E19"/>
    <w:rsid w:val="00691E37"/>
    <w:rsid w:val="006927DD"/>
    <w:rsid w:val="0069281B"/>
    <w:rsid w:val="00692950"/>
    <w:rsid w:val="00692A8C"/>
    <w:rsid w:val="00692BD9"/>
    <w:rsid w:val="006931CC"/>
    <w:rsid w:val="00693567"/>
    <w:rsid w:val="00693644"/>
    <w:rsid w:val="006939C9"/>
    <w:rsid w:val="006939E7"/>
    <w:rsid w:val="00693C6A"/>
    <w:rsid w:val="00694BC3"/>
    <w:rsid w:val="00696101"/>
    <w:rsid w:val="00696709"/>
    <w:rsid w:val="00696BC9"/>
    <w:rsid w:val="00696CDB"/>
    <w:rsid w:val="00696F04"/>
    <w:rsid w:val="0069705B"/>
    <w:rsid w:val="00697194"/>
    <w:rsid w:val="0069752B"/>
    <w:rsid w:val="00697ABC"/>
    <w:rsid w:val="00697E34"/>
    <w:rsid w:val="00697E7D"/>
    <w:rsid w:val="006A006C"/>
    <w:rsid w:val="006A0F5B"/>
    <w:rsid w:val="006A1044"/>
    <w:rsid w:val="006A170F"/>
    <w:rsid w:val="006A1DF6"/>
    <w:rsid w:val="006A20AF"/>
    <w:rsid w:val="006A2314"/>
    <w:rsid w:val="006A3501"/>
    <w:rsid w:val="006A351B"/>
    <w:rsid w:val="006A50DE"/>
    <w:rsid w:val="006A58CE"/>
    <w:rsid w:val="006A5D9D"/>
    <w:rsid w:val="006A6086"/>
    <w:rsid w:val="006A690C"/>
    <w:rsid w:val="006A6D69"/>
    <w:rsid w:val="006A72FC"/>
    <w:rsid w:val="006A7F9E"/>
    <w:rsid w:val="006B0040"/>
    <w:rsid w:val="006B0235"/>
    <w:rsid w:val="006B0739"/>
    <w:rsid w:val="006B0A42"/>
    <w:rsid w:val="006B0EA9"/>
    <w:rsid w:val="006B11A2"/>
    <w:rsid w:val="006B124B"/>
    <w:rsid w:val="006B1998"/>
    <w:rsid w:val="006B1AE1"/>
    <w:rsid w:val="006B1D69"/>
    <w:rsid w:val="006B1F51"/>
    <w:rsid w:val="006B25A4"/>
    <w:rsid w:val="006B2744"/>
    <w:rsid w:val="006B2C37"/>
    <w:rsid w:val="006B3E5A"/>
    <w:rsid w:val="006B43EB"/>
    <w:rsid w:val="006B45E9"/>
    <w:rsid w:val="006B5821"/>
    <w:rsid w:val="006B5A03"/>
    <w:rsid w:val="006B658A"/>
    <w:rsid w:val="006B6F4C"/>
    <w:rsid w:val="006B79EA"/>
    <w:rsid w:val="006B7A1E"/>
    <w:rsid w:val="006C0144"/>
    <w:rsid w:val="006C03E7"/>
    <w:rsid w:val="006C0C3A"/>
    <w:rsid w:val="006C17C2"/>
    <w:rsid w:val="006C1AB6"/>
    <w:rsid w:val="006C24CC"/>
    <w:rsid w:val="006C30F0"/>
    <w:rsid w:val="006C325E"/>
    <w:rsid w:val="006C3460"/>
    <w:rsid w:val="006C37E8"/>
    <w:rsid w:val="006C4127"/>
    <w:rsid w:val="006C46BB"/>
    <w:rsid w:val="006C476D"/>
    <w:rsid w:val="006C486B"/>
    <w:rsid w:val="006C5CDB"/>
    <w:rsid w:val="006C6E46"/>
    <w:rsid w:val="006C74DF"/>
    <w:rsid w:val="006D1C03"/>
    <w:rsid w:val="006D2202"/>
    <w:rsid w:val="006D2299"/>
    <w:rsid w:val="006D27BD"/>
    <w:rsid w:val="006D2F6C"/>
    <w:rsid w:val="006D3A58"/>
    <w:rsid w:val="006D5080"/>
    <w:rsid w:val="006D5EF0"/>
    <w:rsid w:val="006D62D9"/>
    <w:rsid w:val="006D62F1"/>
    <w:rsid w:val="006D67FD"/>
    <w:rsid w:val="006D70E2"/>
    <w:rsid w:val="006D78F8"/>
    <w:rsid w:val="006E03FC"/>
    <w:rsid w:val="006E083B"/>
    <w:rsid w:val="006E1D7F"/>
    <w:rsid w:val="006E23A2"/>
    <w:rsid w:val="006E2799"/>
    <w:rsid w:val="006E2845"/>
    <w:rsid w:val="006E2991"/>
    <w:rsid w:val="006E2F6C"/>
    <w:rsid w:val="006E325D"/>
    <w:rsid w:val="006E37BD"/>
    <w:rsid w:val="006E3855"/>
    <w:rsid w:val="006E3B3D"/>
    <w:rsid w:val="006E413E"/>
    <w:rsid w:val="006E472F"/>
    <w:rsid w:val="006E480D"/>
    <w:rsid w:val="006E4A2E"/>
    <w:rsid w:val="006E65A8"/>
    <w:rsid w:val="006E7311"/>
    <w:rsid w:val="006E74E1"/>
    <w:rsid w:val="006E776F"/>
    <w:rsid w:val="006E77A0"/>
    <w:rsid w:val="006E7A99"/>
    <w:rsid w:val="006E7E41"/>
    <w:rsid w:val="006F047B"/>
    <w:rsid w:val="006F0677"/>
    <w:rsid w:val="006F098B"/>
    <w:rsid w:val="006F0BAC"/>
    <w:rsid w:val="006F1188"/>
    <w:rsid w:val="006F1526"/>
    <w:rsid w:val="006F2053"/>
    <w:rsid w:val="006F205C"/>
    <w:rsid w:val="006F20EB"/>
    <w:rsid w:val="006F291B"/>
    <w:rsid w:val="006F2D36"/>
    <w:rsid w:val="006F3478"/>
    <w:rsid w:val="006F3813"/>
    <w:rsid w:val="006F4414"/>
    <w:rsid w:val="006F4DA2"/>
    <w:rsid w:val="006F5310"/>
    <w:rsid w:val="006F5828"/>
    <w:rsid w:val="006F58A1"/>
    <w:rsid w:val="006F5AE3"/>
    <w:rsid w:val="006F5CB0"/>
    <w:rsid w:val="006F613B"/>
    <w:rsid w:val="006F6E3D"/>
    <w:rsid w:val="006F6EB3"/>
    <w:rsid w:val="006F77B2"/>
    <w:rsid w:val="006F79D9"/>
    <w:rsid w:val="006F7E62"/>
    <w:rsid w:val="00700148"/>
    <w:rsid w:val="00700E89"/>
    <w:rsid w:val="007017FC"/>
    <w:rsid w:val="00701992"/>
    <w:rsid w:val="00702024"/>
    <w:rsid w:val="0070524C"/>
    <w:rsid w:val="00705887"/>
    <w:rsid w:val="00705A52"/>
    <w:rsid w:val="00705C1F"/>
    <w:rsid w:val="0070638C"/>
    <w:rsid w:val="00706C78"/>
    <w:rsid w:val="00707094"/>
    <w:rsid w:val="007074AA"/>
    <w:rsid w:val="00707718"/>
    <w:rsid w:val="00707B01"/>
    <w:rsid w:val="00707BEF"/>
    <w:rsid w:val="00707FE8"/>
    <w:rsid w:val="00710368"/>
    <w:rsid w:val="007105A3"/>
    <w:rsid w:val="007112C6"/>
    <w:rsid w:val="00711419"/>
    <w:rsid w:val="00712024"/>
    <w:rsid w:val="00712724"/>
    <w:rsid w:val="00712926"/>
    <w:rsid w:val="00712BF5"/>
    <w:rsid w:val="007130C8"/>
    <w:rsid w:val="00713CB8"/>
    <w:rsid w:val="00713EF1"/>
    <w:rsid w:val="0071414A"/>
    <w:rsid w:val="00714901"/>
    <w:rsid w:val="00714AD5"/>
    <w:rsid w:val="00714B96"/>
    <w:rsid w:val="007151D8"/>
    <w:rsid w:val="00715315"/>
    <w:rsid w:val="00715629"/>
    <w:rsid w:val="00715B8A"/>
    <w:rsid w:val="00716809"/>
    <w:rsid w:val="00716970"/>
    <w:rsid w:val="007174B2"/>
    <w:rsid w:val="007175D9"/>
    <w:rsid w:val="0071791A"/>
    <w:rsid w:val="00717A9F"/>
    <w:rsid w:val="00720279"/>
    <w:rsid w:val="007204E3"/>
    <w:rsid w:val="00720A19"/>
    <w:rsid w:val="00721075"/>
    <w:rsid w:val="00722259"/>
    <w:rsid w:val="00722693"/>
    <w:rsid w:val="00722CE0"/>
    <w:rsid w:val="00723001"/>
    <w:rsid w:val="007234DF"/>
    <w:rsid w:val="0072353C"/>
    <w:rsid w:val="00723F4B"/>
    <w:rsid w:val="00724F4D"/>
    <w:rsid w:val="007254D5"/>
    <w:rsid w:val="0072584A"/>
    <w:rsid w:val="007259E9"/>
    <w:rsid w:val="007262FA"/>
    <w:rsid w:val="00726B92"/>
    <w:rsid w:val="00726E78"/>
    <w:rsid w:val="00726E9C"/>
    <w:rsid w:val="00726F29"/>
    <w:rsid w:val="00730702"/>
    <w:rsid w:val="00731999"/>
    <w:rsid w:val="00731D50"/>
    <w:rsid w:val="00731D58"/>
    <w:rsid w:val="007326E3"/>
    <w:rsid w:val="00732F14"/>
    <w:rsid w:val="00733853"/>
    <w:rsid w:val="0073388D"/>
    <w:rsid w:val="00733B10"/>
    <w:rsid w:val="00733BB6"/>
    <w:rsid w:val="00733E78"/>
    <w:rsid w:val="007340EC"/>
    <w:rsid w:val="00734EA8"/>
    <w:rsid w:val="00735049"/>
    <w:rsid w:val="007352A8"/>
    <w:rsid w:val="00735434"/>
    <w:rsid w:val="007354DC"/>
    <w:rsid w:val="00735DEF"/>
    <w:rsid w:val="00736218"/>
    <w:rsid w:val="0073782A"/>
    <w:rsid w:val="00737C5A"/>
    <w:rsid w:val="00737CE6"/>
    <w:rsid w:val="00737F3B"/>
    <w:rsid w:val="0074013F"/>
    <w:rsid w:val="0074052B"/>
    <w:rsid w:val="00740F02"/>
    <w:rsid w:val="00740F33"/>
    <w:rsid w:val="00741037"/>
    <w:rsid w:val="00741255"/>
    <w:rsid w:val="00741A60"/>
    <w:rsid w:val="00741C06"/>
    <w:rsid w:val="00741EC0"/>
    <w:rsid w:val="00742250"/>
    <w:rsid w:val="0074261F"/>
    <w:rsid w:val="00743253"/>
    <w:rsid w:val="00743290"/>
    <w:rsid w:val="00743F4B"/>
    <w:rsid w:val="0074401F"/>
    <w:rsid w:val="00744057"/>
    <w:rsid w:val="0074443D"/>
    <w:rsid w:val="007447A4"/>
    <w:rsid w:val="007449ED"/>
    <w:rsid w:val="007451CE"/>
    <w:rsid w:val="00745D72"/>
    <w:rsid w:val="007460EF"/>
    <w:rsid w:val="00746E6C"/>
    <w:rsid w:val="007503BD"/>
    <w:rsid w:val="007506C4"/>
    <w:rsid w:val="00750CA9"/>
    <w:rsid w:val="00750E14"/>
    <w:rsid w:val="00752266"/>
    <w:rsid w:val="00753383"/>
    <w:rsid w:val="00753F95"/>
    <w:rsid w:val="007542C1"/>
    <w:rsid w:val="007544D3"/>
    <w:rsid w:val="0075537E"/>
    <w:rsid w:val="00755D04"/>
    <w:rsid w:val="00756452"/>
    <w:rsid w:val="007568B8"/>
    <w:rsid w:val="0075741B"/>
    <w:rsid w:val="00757FF2"/>
    <w:rsid w:val="0076014E"/>
    <w:rsid w:val="00760326"/>
    <w:rsid w:val="00761539"/>
    <w:rsid w:val="007617D6"/>
    <w:rsid w:val="007619B5"/>
    <w:rsid w:val="00761CFA"/>
    <w:rsid w:val="00762352"/>
    <w:rsid w:val="00762527"/>
    <w:rsid w:val="00762E25"/>
    <w:rsid w:val="00762EBE"/>
    <w:rsid w:val="00763193"/>
    <w:rsid w:val="00763356"/>
    <w:rsid w:val="00763499"/>
    <w:rsid w:val="007636F5"/>
    <w:rsid w:val="00763FE7"/>
    <w:rsid w:val="0076407F"/>
    <w:rsid w:val="00765E1A"/>
    <w:rsid w:val="0076653D"/>
    <w:rsid w:val="007670D3"/>
    <w:rsid w:val="007677AC"/>
    <w:rsid w:val="00767A8A"/>
    <w:rsid w:val="00770B92"/>
    <w:rsid w:val="00772940"/>
    <w:rsid w:val="00772AE8"/>
    <w:rsid w:val="00773028"/>
    <w:rsid w:val="0077348C"/>
    <w:rsid w:val="007735DC"/>
    <w:rsid w:val="00773A4F"/>
    <w:rsid w:val="00774542"/>
    <w:rsid w:val="007747CD"/>
    <w:rsid w:val="00775180"/>
    <w:rsid w:val="0077522D"/>
    <w:rsid w:val="007752E9"/>
    <w:rsid w:val="00775358"/>
    <w:rsid w:val="00775704"/>
    <w:rsid w:val="007758BA"/>
    <w:rsid w:val="00775F02"/>
    <w:rsid w:val="00776CF1"/>
    <w:rsid w:val="00777A77"/>
    <w:rsid w:val="00777C86"/>
    <w:rsid w:val="00777CBF"/>
    <w:rsid w:val="007805C4"/>
    <w:rsid w:val="007809A5"/>
    <w:rsid w:val="007809A9"/>
    <w:rsid w:val="00780C4B"/>
    <w:rsid w:val="00780CA4"/>
    <w:rsid w:val="00780CE4"/>
    <w:rsid w:val="0078158B"/>
    <w:rsid w:val="007818F9"/>
    <w:rsid w:val="00781D80"/>
    <w:rsid w:val="00782814"/>
    <w:rsid w:val="0078293B"/>
    <w:rsid w:val="00782AA6"/>
    <w:rsid w:val="007840BA"/>
    <w:rsid w:val="0078411E"/>
    <w:rsid w:val="0078417E"/>
    <w:rsid w:val="007843BD"/>
    <w:rsid w:val="00785DA1"/>
    <w:rsid w:val="00785E4A"/>
    <w:rsid w:val="007868CE"/>
    <w:rsid w:val="007903F9"/>
    <w:rsid w:val="00791201"/>
    <w:rsid w:val="007912F2"/>
    <w:rsid w:val="00791544"/>
    <w:rsid w:val="00791593"/>
    <w:rsid w:val="0079199F"/>
    <w:rsid w:val="00791C36"/>
    <w:rsid w:val="00791F54"/>
    <w:rsid w:val="007934BC"/>
    <w:rsid w:val="00793618"/>
    <w:rsid w:val="00793E51"/>
    <w:rsid w:val="0079515C"/>
    <w:rsid w:val="00796127"/>
    <w:rsid w:val="00796944"/>
    <w:rsid w:val="007969E2"/>
    <w:rsid w:val="00796A7F"/>
    <w:rsid w:val="00796FFC"/>
    <w:rsid w:val="00797802"/>
    <w:rsid w:val="007979A8"/>
    <w:rsid w:val="007A03F3"/>
    <w:rsid w:val="007A0507"/>
    <w:rsid w:val="007A0B18"/>
    <w:rsid w:val="007A0D4E"/>
    <w:rsid w:val="007A13DB"/>
    <w:rsid w:val="007A16CA"/>
    <w:rsid w:val="007A174D"/>
    <w:rsid w:val="007A1910"/>
    <w:rsid w:val="007A2A4D"/>
    <w:rsid w:val="007A370F"/>
    <w:rsid w:val="007A3A7F"/>
    <w:rsid w:val="007A3B6F"/>
    <w:rsid w:val="007A3B94"/>
    <w:rsid w:val="007A4B8B"/>
    <w:rsid w:val="007A4BD8"/>
    <w:rsid w:val="007A4F3F"/>
    <w:rsid w:val="007A58D8"/>
    <w:rsid w:val="007A5AE4"/>
    <w:rsid w:val="007A5CA1"/>
    <w:rsid w:val="007A616D"/>
    <w:rsid w:val="007A641B"/>
    <w:rsid w:val="007A68AD"/>
    <w:rsid w:val="007A68F4"/>
    <w:rsid w:val="007A70AB"/>
    <w:rsid w:val="007A7335"/>
    <w:rsid w:val="007A73A7"/>
    <w:rsid w:val="007A7745"/>
    <w:rsid w:val="007A78B6"/>
    <w:rsid w:val="007A7B63"/>
    <w:rsid w:val="007A7E4F"/>
    <w:rsid w:val="007B1DF5"/>
    <w:rsid w:val="007B1E62"/>
    <w:rsid w:val="007B2ABE"/>
    <w:rsid w:val="007B35AE"/>
    <w:rsid w:val="007B54CA"/>
    <w:rsid w:val="007B56AA"/>
    <w:rsid w:val="007B5750"/>
    <w:rsid w:val="007B5BFF"/>
    <w:rsid w:val="007B6267"/>
    <w:rsid w:val="007B63D1"/>
    <w:rsid w:val="007B73BF"/>
    <w:rsid w:val="007C034E"/>
    <w:rsid w:val="007C0453"/>
    <w:rsid w:val="007C0771"/>
    <w:rsid w:val="007C0812"/>
    <w:rsid w:val="007C0E1E"/>
    <w:rsid w:val="007C0FCE"/>
    <w:rsid w:val="007C1264"/>
    <w:rsid w:val="007C1B49"/>
    <w:rsid w:val="007C1D8D"/>
    <w:rsid w:val="007C2D99"/>
    <w:rsid w:val="007C2DC5"/>
    <w:rsid w:val="007C36CB"/>
    <w:rsid w:val="007C389F"/>
    <w:rsid w:val="007C3911"/>
    <w:rsid w:val="007C4430"/>
    <w:rsid w:val="007C4459"/>
    <w:rsid w:val="007C4F60"/>
    <w:rsid w:val="007C5761"/>
    <w:rsid w:val="007C5770"/>
    <w:rsid w:val="007C5CF5"/>
    <w:rsid w:val="007C6533"/>
    <w:rsid w:val="007C6A32"/>
    <w:rsid w:val="007C6E25"/>
    <w:rsid w:val="007C7933"/>
    <w:rsid w:val="007C7A0A"/>
    <w:rsid w:val="007D04F6"/>
    <w:rsid w:val="007D0815"/>
    <w:rsid w:val="007D08ED"/>
    <w:rsid w:val="007D148E"/>
    <w:rsid w:val="007D17F6"/>
    <w:rsid w:val="007D1CE4"/>
    <w:rsid w:val="007D24E4"/>
    <w:rsid w:val="007D2D4A"/>
    <w:rsid w:val="007D3B20"/>
    <w:rsid w:val="007D3FF4"/>
    <w:rsid w:val="007D4DB0"/>
    <w:rsid w:val="007D4ED5"/>
    <w:rsid w:val="007D5870"/>
    <w:rsid w:val="007D5EBB"/>
    <w:rsid w:val="007D609B"/>
    <w:rsid w:val="007D6568"/>
    <w:rsid w:val="007D69D5"/>
    <w:rsid w:val="007D7066"/>
    <w:rsid w:val="007D726C"/>
    <w:rsid w:val="007D7685"/>
    <w:rsid w:val="007D76CA"/>
    <w:rsid w:val="007E0C49"/>
    <w:rsid w:val="007E0F9A"/>
    <w:rsid w:val="007E10B1"/>
    <w:rsid w:val="007E1413"/>
    <w:rsid w:val="007E16F5"/>
    <w:rsid w:val="007E1711"/>
    <w:rsid w:val="007E23F9"/>
    <w:rsid w:val="007E2DC3"/>
    <w:rsid w:val="007E43C2"/>
    <w:rsid w:val="007E445A"/>
    <w:rsid w:val="007E4BC3"/>
    <w:rsid w:val="007E598F"/>
    <w:rsid w:val="007E60B4"/>
    <w:rsid w:val="007E636D"/>
    <w:rsid w:val="007E668D"/>
    <w:rsid w:val="007E7300"/>
    <w:rsid w:val="007E7B88"/>
    <w:rsid w:val="007E7DA7"/>
    <w:rsid w:val="007F0CC6"/>
    <w:rsid w:val="007F15D6"/>
    <w:rsid w:val="007F253A"/>
    <w:rsid w:val="007F2B10"/>
    <w:rsid w:val="007F2E71"/>
    <w:rsid w:val="007F2F65"/>
    <w:rsid w:val="007F3418"/>
    <w:rsid w:val="007F4460"/>
    <w:rsid w:val="007F48AA"/>
    <w:rsid w:val="007F49C9"/>
    <w:rsid w:val="007F4F83"/>
    <w:rsid w:val="007F52B2"/>
    <w:rsid w:val="007F6046"/>
    <w:rsid w:val="007F60F9"/>
    <w:rsid w:val="007F642C"/>
    <w:rsid w:val="007F722C"/>
    <w:rsid w:val="007F7742"/>
    <w:rsid w:val="007F79E1"/>
    <w:rsid w:val="007F7BA8"/>
    <w:rsid w:val="007F7F46"/>
    <w:rsid w:val="00800FF4"/>
    <w:rsid w:val="00800FF9"/>
    <w:rsid w:val="0080105F"/>
    <w:rsid w:val="00801D8D"/>
    <w:rsid w:val="0080226D"/>
    <w:rsid w:val="00802577"/>
    <w:rsid w:val="00802C1C"/>
    <w:rsid w:val="00803794"/>
    <w:rsid w:val="00803CA6"/>
    <w:rsid w:val="00803F70"/>
    <w:rsid w:val="00803FAF"/>
    <w:rsid w:val="00804C4E"/>
    <w:rsid w:val="008050BE"/>
    <w:rsid w:val="008055D0"/>
    <w:rsid w:val="00806892"/>
    <w:rsid w:val="00806DFE"/>
    <w:rsid w:val="008079C1"/>
    <w:rsid w:val="00807C65"/>
    <w:rsid w:val="00807D86"/>
    <w:rsid w:val="00807EAA"/>
    <w:rsid w:val="00810088"/>
    <w:rsid w:val="00810133"/>
    <w:rsid w:val="0081053E"/>
    <w:rsid w:val="0081098A"/>
    <w:rsid w:val="00810BB5"/>
    <w:rsid w:val="00810FF9"/>
    <w:rsid w:val="0081115A"/>
    <w:rsid w:val="00811A47"/>
    <w:rsid w:val="00811E47"/>
    <w:rsid w:val="00812AFF"/>
    <w:rsid w:val="0081303C"/>
    <w:rsid w:val="008130B9"/>
    <w:rsid w:val="0081332D"/>
    <w:rsid w:val="0081338A"/>
    <w:rsid w:val="00813D40"/>
    <w:rsid w:val="008140E0"/>
    <w:rsid w:val="00814176"/>
    <w:rsid w:val="00814810"/>
    <w:rsid w:val="00814A6E"/>
    <w:rsid w:val="00814D2D"/>
    <w:rsid w:val="00814EC5"/>
    <w:rsid w:val="008158A6"/>
    <w:rsid w:val="00815BF8"/>
    <w:rsid w:val="00815EE1"/>
    <w:rsid w:val="00816ABF"/>
    <w:rsid w:val="00816ACA"/>
    <w:rsid w:val="00816CC1"/>
    <w:rsid w:val="00817073"/>
    <w:rsid w:val="00817147"/>
    <w:rsid w:val="00817F25"/>
    <w:rsid w:val="00820578"/>
    <w:rsid w:val="0082121C"/>
    <w:rsid w:val="008212A5"/>
    <w:rsid w:val="00821DE8"/>
    <w:rsid w:val="00821FEA"/>
    <w:rsid w:val="00822BE0"/>
    <w:rsid w:val="00822C69"/>
    <w:rsid w:val="00822CAF"/>
    <w:rsid w:val="00822EAF"/>
    <w:rsid w:val="00823429"/>
    <w:rsid w:val="00823472"/>
    <w:rsid w:val="00823D63"/>
    <w:rsid w:val="0082409C"/>
    <w:rsid w:val="0082484D"/>
    <w:rsid w:val="008249C0"/>
    <w:rsid w:val="00824C59"/>
    <w:rsid w:val="00824FE9"/>
    <w:rsid w:val="00825042"/>
    <w:rsid w:val="008251E5"/>
    <w:rsid w:val="00825AE2"/>
    <w:rsid w:val="00825EAE"/>
    <w:rsid w:val="0082622A"/>
    <w:rsid w:val="00826314"/>
    <w:rsid w:val="00826381"/>
    <w:rsid w:val="008265B8"/>
    <w:rsid w:val="008276CE"/>
    <w:rsid w:val="008277FC"/>
    <w:rsid w:val="00827BCB"/>
    <w:rsid w:val="008301E1"/>
    <w:rsid w:val="00830263"/>
    <w:rsid w:val="008302C9"/>
    <w:rsid w:val="00830DD3"/>
    <w:rsid w:val="00830DDC"/>
    <w:rsid w:val="00831669"/>
    <w:rsid w:val="00832B7C"/>
    <w:rsid w:val="00832E59"/>
    <w:rsid w:val="0083419A"/>
    <w:rsid w:val="008357DA"/>
    <w:rsid w:val="008363DE"/>
    <w:rsid w:val="008369FE"/>
    <w:rsid w:val="00836B20"/>
    <w:rsid w:val="008370B7"/>
    <w:rsid w:val="00837E79"/>
    <w:rsid w:val="008400B1"/>
    <w:rsid w:val="00840105"/>
    <w:rsid w:val="008407C4"/>
    <w:rsid w:val="00840A7C"/>
    <w:rsid w:val="00840F1D"/>
    <w:rsid w:val="008417B1"/>
    <w:rsid w:val="00841C9E"/>
    <w:rsid w:val="008426BF"/>
    <w:rsid w:val="00842BD6"/>
    <w:rsid w:val="00842DA8"/>
    <w:rsid w:val="008430B9"/>
    <w:rsid w:val="0084361E"/>
    <w:rsid w:val="0084380F"/>
    <w:rsid w:val="00843C35"/>
    <w:rsid w:val="00843D35"/>
    <w:rsid w:val="00844B0A"/>
    <w:rsid w:val="0084500E"/>
    <w:rsid w:val="0084535F"/>
    <w:rsid w:val="00845401"/>
    <w:rsid w:val="008456A8"/>
    <w:rsid w:val="00845B78"/>
    <w:rsid w:val="0084674B"/>
    <w:rsid w:val="00846821"/>
    <w:rsid w:val="0084722D"/>
    <w:rsid w:val="00847267"/>
    <w:rsid w:val="0084728E"/>
    <w:rsid w:val="008478D5"/>
    <w:rsid w:val="00850F0F"/>
    <w:rsid w:val="00850F7A"/>
    <w:rsid w:val="0085157A"/>
    <w:rsid w:val="00851B9F"/>
    <w:rsid w:val="00852390"/>
    <w:rsid w:val="00852AB9"/>
    <w:rsid w:val="008538E6"/>
    <w:rsid w:val="00853B8D"/>
    <w:rsid w:val="0085420E"/>
    <w:rsid w:val="008547FD"/>
    <w:rsid w:val="0085494C"/>
    <w:rsid w:val="00855340"/>
    <w:rsid w:val="00855B79"/>
    <w:rsid w:val="00855C21"/>
    <w:rsid w:val="00856055"/>
    <w:rsid w:val="0085632D"/>
    <w:rsid w:val="0085643E"/>
    <w:rsid w:val="00856486"/>
    <w:rsid w:val="00857385"/>
    <w:rsid w:val="008574A9"/>
    <w:rsid w:val="008574D5"/>
    <w:rsid w:val="008577DE"/>
    <w:rsid w:val="00860913"/>
    <w:rsid w:val="00860A41"/>
    <w:rsid w:val="00860E42"/>
    <w:rsid w:val="00861157"/>
    <w:rsid w:val="008614AC"/>
    <w:rsid w:val="00861C13"/>
    <w:rsid w:val="00861C2F"/>
    <w:rsid w:val="00862365"/>
    <w:rsid w:val="00862386"/>
    <w:rsid w:val="008629DE"/>
    <w:rsid w:val="00862A1E"/>
    <w:rsid w:val="00862BE8"/>
    <w:rsid w:val="00862FD1"/>
    <w:rsid w:val="00863046"/>
    <w:rsid w:val="008638EE"/>
    <w:rsid w:val="00863CA7"/>
    <w:rsid w:val="00863F66"/>
    <w:rsid w:val="008643ED"/>
    <w:rsid w:val="00864502"/>
    <w:rsid w:val="00864973"/>
    <w:rsid w:val="0086497E"/>
    <w:rsid w:val="0086526D"/>
    <w:rsid w:val="00865383"/>
    <w:rsid w:val="0086549C"/>
    <w:rsid w:val="00865873"/>
    <w:rsid w:val="00865D6E"/>
    <w:rsid w:val="00865DE9"/>
    <w:rsid w:val="00865E55"/>
    <w:rsid w:val="0086619C"/>
    <w:rsid w:val="0086753A"/>
    <w:rsid w:val="00870DCE"/>
    <w:rsid w:val="00870F38"/>
    <w:rsid w:val="00870F7D"/>
    <w:rsid w:val="00871522"/>
    <w:rsid w:val="00871D6E"/>
    <w:rsid w:val="00872004"/>
    <w:rsid w:val="00872434"/>
    <w:rsid w:val="00872BD8"/>
    <w:rsid w:val="008731B8"/>
    <w:rsid w:val="00873387"/>
    <w:rsid w:val="00873564"/>
    <w:rsid w:val="008736D7"/>
    <w:rsid w:val="00873D6A"/>
    <w:rsid w:val="00874017"/>
    <w:rsid w:val="008743DA"/>
    <w:rsid w:val="00874701"/>
    <w:rsid w:val="0087499E"/>
    <w:rsid w:val="008752DE"/>
    <w:rsid w:val="0087550E"/>
    <w:rsid w:val="00875763"/>
    <w:rsid w:val="00875AD4"/>
    <w:rsid w:val="00875D27"/>
    <w:rsid w:val="0087698E"/>
    <w:rsid w:val="0087699A"/>
    <w:rsid w:val="008776F3"/>
    <w:rsid w:val="00877D83"/>
    <w:rsid w:val="0088037F"/>
    <w:rsid w:val="00880D0E"/>
    <w:rsid w:val="008810C7"/>
    <w:rsid w:val="00882289"/>
    <w:rsid w:val="00882B51"/>
    <w:rsid w:val="00882CF2"/>
    <w:rsid w:val="00882F8E"/>
    <w:rsid w:val="008832A8"/>
    <w:rsid w:val="0088350B"/>
    <w:rsid w:val="00883523"/>
    <w:rsid w:val="00883838"/>
    <w:rsid w:val="00884B77"/>
    <w:rsid w:val="00884DA1"/>
    <w:rsid w:val="00885129"/>
    <w:rsid w:val="008851EE"/>
    <w:rsid w:val="008853BE"/>
    <w:rsid w:val="00885C9C"/>
    <w:rsid w:val="008869EF"/>
    <w:rsid w:val="008869F2"/>
    <w:rsid w:val="00887E39"/>
    <w:rsid w:val="008900A0"/>
    <w:rsid w:val="0089023B"/>
    <w:rsid w:val="00891178"/>
    <w:rsid w:val="008911FE"/>
    <w:rsid w:val="008913CA"/>
    <w:rsid w:val="008915FB"/>
    <w:rsid w:val="00891774"/>
    <w:rsid w:val="008918E8"/>
    <w:rsid w:val="00891C7A"/>
    <w:rsid w:val="00891FC5"/>
    <w:rsid w:val="00892607"/>
    <w:rsid w:val="00892968"/>
    <w:rsid w:val="00892B7A"/>
    <w:rsid w:val="00892DFD"/>
    <w:rsid w:val="00892EC8"/>
    <w:rsid w:val="00892F23"/>
    <w:rsid w:val="008933FC"/>
    <w:rsid w:val="00893BBC"/>
    <w:rsid w:val="00894314"/>
    <w:rsid w:val="00894F52"/>
    <w:rsid w:val="008954E6"/>
    <w:rsid w:val="008958B2"/>
    <w:rsid w:val="008958C3"/>
    <w:rsid w:val="00895F0C"/>
    <w:rsid w:val="008961A5"/>
    <w:rsid w:val="00896218"/>
    <w:rsid w:val="0089627A"/>
    <w:rsid w:val="008963B8"/>
    <w:rsid w:val="00896B2C"/>
    <w:rsid w:val="00897B5D"/>
    <w:rsid w:val="008A027C"/>
    <w:rsid w:val="008A050E"/>
    <w:rsid w:val="008A0B22"/>
    <w:rsid w:val="008A0C28"/>
    <w:rsid w:val="008A1552"/>
    <w:rsid w:val="008A186A"/>
    <w:rsid w:val="008A1ACF"/>
    <w:rsid w:val="008A1BB1"/>
    <w:rsid w:val="008A1E65"/>
    <w:rsid w:val="008A2B75"/>
    <w:rsid w:val="008A2C31"/>
    <w:rsid w:val="008A3421"/>
    <w:rsid w:val="008A3F4B"/>
    <w:rsid w:val="008A5AA6"/>
    <w:rsid w:val="008A5D81"/>
    <w:rsid w:val="008A628A"/>
    <w:rsid w:val="008A647C"/>
    <w:rsid w:val="008A6750"/>
    <w:rsid w:val="008A6ABD"/>
    <w:rsid w:val="008A6F9A"/>
    <w:rsid w:val="008A7C58"/>
    <w:rsid w:val="008A7E3E"/>
    <w:rsid w:val="008B0102"/>
    <w:rsid w:val="008B052F"/>
    <w:rsid w:val="008B0686"/>
    <w:rsid w:val="008B1141"/>
    <w:rsid w:val="008B1847"/>
    <w:rsid w:val="008B1CB0"/>
    <w:rsid w:val="008B27DE"/>
    <w:rsid w:val="008B28AD"/>
    <w:rsid w:val="008B2E41"/>
    <w:rsid w:val="008B31AB"/>
    <w:rsid w:val="008B3878"/>
    <w:rsid w:val="008B3A60"/>
    <w:rsid w:val="008B422B"/>
    <w:rsid w:val="008B442E"/>
    <w:rsid w:val="008B46CD"/>
    <w:rsid w:val="008B49B5"/>
    <w:rsid w:val="008B5426"/>
    <w:rsid w:val="008B57CC"/>
    <w:rsid w:val="008B5905"/>
    <w:rsid w:val="008B59C4"/>
    <w:rsid w:val="008B5D91"/>
    <w:rsid w:val="008B60B2"/>
    <w:rsid w:val="008B6393"/>
    <w:rsid w:val="008B67D2"/>
    <w:rsid w:val="008B6D1A"/>
    <w:rsid w:val="008B723B"/>
    <w:rsid w:val="008B7987"/>
    <w:rsid w:val="008B7B63"/>
    <w:rsid w:val="008B7BD3"/>
    <w:rsid w:val="008C00D1"/>
    <w:rsid w:val="008C1136"/>
    <w:rsid w:val="008C1468"/>
    <w:rsid w:val="008C157A"/>
    <w:rsid w:val="008C191C"/>
    <w:rsid w:val="008C1A3C"/>
    <w:rsid w:val="008C1D26"/>
    <w:rsid w:val="008C2359"/>
    <w:rsid w:val="008C2F03"/>
    <w:rsid w:val="008C32A5"/>
    <w:rsid w:val="008C3490"/>
    <w:rsid w:val="008C356B"/>
    <w:rsid w:val="008C3844"/>
    <w:rsid w:val="008C3D63"/>
    <w:rsid w:val="008C47CC"/>
    <w:rsid w:val="008C498A"/>
    <w:rsid w:val="008C4E78"/>
    <w:rsid w:val="008C530F"/>
    <w:rsid w:val="008C567A"/>
    <w:rsid w:val="008C5C86"/>
    <w:rsid w:val="008C5DED"/>
    <w:rsid w:val="008C60D1"/>
    <w:rsid w:val="008C623A"/>
    <w:rsid w:val="008C6295"/>
    <w:rsid w:val="008C77EF"/>
    <w:rsid w:val="008C7AD2"/>
    <w:rsid w:val="008C7B7C"/>
    <w:rsid w:val="008C7CD2"/>
    <w:rsid w:val="008D0AA5"/>
    <w:rsid w:val="008D13C3"/>
    <w:rsid w:val="008D15BF"/>
    <w:rsid w:val="008D2A39"/>
    <w:rsid w:val="008D32D3"/>
    <w:rsid w:val="008D32ED"/>
    <w:rsid w:val="008D365F"/>
    <w:rsid w:val="008D3724"/>
    <w:rsid w:val="008D3860"/>
    <w:rsid w:val="008D40F9"/>
    <w:rsid w:val="008D41FD"/>
    <w:rsid w:val="008D4203"/>
    <w:rsid w:val="008D4A60"/>
    <w:rsid w:val="008D4A81"/>
    <w:rsid w:val="008D4CB2"/>
    <w:rsid w:val="008D721D"/>
    <w:rsid w:val="008E031D"/>
    <w:rsid w:val="008E04BC"/>
    <w:rsid w:val="008E058E"/>
    <w:rsid w:val="008E0783"/>
    <w:rsid w:val="008E0CA0"/>
    <w:rsid w:val="008E10B9"/>
    <w:rsid w:val="008E124E"/>
    <w:rsid w:val="008E17C9"/>
    <w:rsid w:val="008E1A6F"/>
    <w:rsid w:val="008E23B1"/>
    <w:rsid w:val="008E270E"/>
    <w:rsid w:val="008E32E5"/>
    <w:rsid w:val="008E3672"/>
    <w:rsid w:val="008E3971"/>
    <w:rsid w:val="008E3B5C"/>
    <w:rsid w:val="008E42BD"/>
    <w:rsid w:val="008E4569"/>
    <w:rsid w:val="008E47C7"/>
    <w:rsid w:val="008E48A4"/>
    <w:rsid w:val="008E5E28"/>
    <w:rsid w:val="008E5EE6"/>
    <w:rsid w:val="008E600B"/>
    <w:rsid w:val="008E612B"/>
    <w:rsid w:val="008E7142"/>
    <w:rsid w:val="008E7A93"/>
    <w:rsid w:val="008E7AEC"/>
    <w:rsid w:val="008F02D3"/>
    <w:rsid w:val="008F03D7"/>
    <w:rsid w:val="008F0402"/>
    <w:rsid w:val="008F0F06"/>
    <w:rsid w:val="008F1CC3"/>
    <w:rsid w:val="008F3B8C"/>
    <w:rsid w:val="008F4134"/>
    <w:rsid w:val="008F452F"/>
    <w:rsid w:val="008F4628"/>
    <w:rsid w:val="008F46E2"/>
    <w:rsid w:val="008F4A45"/>
    <w:rsid w:val="008F535D"/>
    <w:rsid w:val="008F545B"/>
    <w:rsid w:val="008F5499"/>
    <w:rsid w:val="008F54C6"/>
    <w:rsid w:val="008F57D6"/>
    <w:rsid w:val="008F5936"/>
    <w:rsid w:val="008F63CC"/>
    <w:rsid w:val="008F656B"/>
    <w:rsid w:val="008F77E6"/>
    <w:rsid w:val="009002B6"/>
    <w:rsid w:val="0090095E"/>
    <w:rsid w:val="00900B6C"/>
    <w:rsid w:val="00900DD8"/>
    <w:rsid w:val="00902053"/>
    <w:rsid w:val="00902C40"/>
    <w:rsid w:val="00903199"/>
    <w:rsid w:val="009031A4"/>
    <w:rsid w:val="00904700"/>
    <w:rsid w:val="00905CDC"/>
    <w:rsid w:val="00906306"/>
    <w:rsid w:val="009063EC"/>
    <w:rsid w:val="00906B0F"/>
    <w:rsid w:val="00907396"/>
    <w:rsid w:val="009075E2"/>
    <w:rsid w:val="00907E05"/>
    <w:rsid w:val="0091002D"/>
    <w:rsid w:val="009106B2"/>
    <w:rsid w:val="00910731"/>
    <w:rsid w:val="00910978"/>
    <w:rsid w:val="00911277"/>
    <w:rsid w:val="009113CC"/>
    <w:rsid w:val="009114DD"/>
    <w:rsid w:val="0091157A"/>
    <w:rsid w:val="00911CAD"/>
    <w:rsid w:val="00911DE7"/>
    <w:rsid w:val="00912071"/>
    <w:rsid w:val="009125BB"/>
    <w:rsid w:val="00912652"/>
    <w:rsid w:val="00912678"/>
    <w:rsid w:val="00912772"/>
    <w:rsid w:val="009128FA"/>
    <w:rsid w:val="00912D0D"/>
    <w:rsid w:val="00912EAC"/>
    <w:rsid w:val="009139C7"/>
    <w:rsid w:val="00913A91"/>
    <w:rsid w:val="0091466A"/>
    <w:rsid w:val="00914C18"/>
    <w:rsid w:val="0091527D"/>
    <w:rsid w:val="009158EB"/>
    <w:rsid w:val="00915A4C"/>
    <w:rsid w:val="009162AB"/>
    <w:rsid w:val="009164AF"/>
    <w:rsid w:val="009168AF"/>
    <w:rsid w:val="0091690A"/>
    <w:rsid w:val="009170E7"/>
    <w:rsid w:val="00917586"/>
    <w:rsid w:val="00917CAB"/>
    <w:rsid w:val="00920426"/>
    <w:rsid w:val="009204E3"/>
    <w:rsid w:val="00920E9D"/>
    <w:rsid w:val="00921047"/>
    <w:rsid w:val="0092222D"/>
    <w:rsid w:val="00922243"/>
    <w:rsid w:val="00922845"/>
    <w:rsid w:val="0092302D"/>
    <w:rsid w:val="00923FEC"/>
    <w:rsid w:val="009242CB"/>
    <w:rsid w:val="0092445C"/>
    <w:rsid w:val="009245B2"/>
    <w:rsid w:val="0092463F"/>
    <w:rsid w:val="00924B19"/>
    <w:rsid w:val="00924DFB"/>
    <w:rsid w:val="00925293"/>
    <w:rsid w:val="00925378"/>
    <w:rsid w:val="0092574F"/>
    <w:rsid w:val="00926039"/>
    <w:rsid w:val="00926CCE"/>
    <w:rsid w:val="009278DC"/>
    <w:rsid w:val="00930511"/>
    <w:rsid w:val="009305ED"/>
    <w:rsid w:val="00930B75"/>
    <w:rsid w:val="00931373"/>
    <w:rsid w:val="0093178C"/>
    <w:rsid w:val="00931975"/>
    <w:rsid w:val="009319A9"/>
    <w:rsid w:val="00931A8B"/>
    <w:rsid w:val="00931F20"/>
    <w:rsid w:val="0093248F"/>
    <w:rsid w:val="00932EB8"/>
    <w:rsid w:val="009334F4"/>
    <w:rsid w:val="00933784"/>
    <w:rsid w:val="00934B34"/>
    <w:rsid w:val="00935037"/>
    <w:rsid w:val="009354FA"/>
    <w:rsid w:val="00935AE0"/>
    <w:rsid w:val="00935E0E"/>
    <w:rsid w:val="0093621A"/>
    <w:rsid w:val="00936241"/>
    <w:rsid w:val="0093641B"/>
    <w:rsid w:val="0093788D"/>
    <w:rsid w:val="00937A43"/>
    <w:rsid w:val="00940099"/>
    <w:rsid w:val="00940158"/>
    <w:rsid w:val="009406AB"/>
    <w:rsid w:val="00940A1A"/>
    <w:rsid w:val="0094145A"/>
    <w:rsid w:val="00941A66"/>
    <w:rsid w:val="00941F5A"/>
    <w:rsid w:val="00941F76"/>
    <w:rsid w:val="00942581"/>
    <w:rsid w:val="00942924"/>
    <w:rsid w:val="00942972"/>
    <w:rsid w:val="009429EF"/>
    <w:rsid w:val="00942EB7"/>
    <w:rsid w:val="00942EDE"/>
    <w:rsid w:val="00943976"/>
    <w:rsid w:val="00944639"/>
    <w:rsid w:val="00944BF9"/>
    <w:rsid w:val="00945EA3"/>
    <w:rsid w:val="009468E0"/>
    <w:rsid w:val="00946977"/>
    <w:rsid w:val="00946A67"/>
    <w:rsid w:val="00946D49"/>
    <w:rsid w:val="00946EE3"/>
    <w:rsid w:val="00946FF9"/>
    <w:rsid w:val="00947F21"/>
    <w:rsid w:val="009506FC"/>
    <w:rsid w:val="00950A30"/>
    <w:rsid w:val="00950ECF"/>
    <w:rsid w:val="009514B3"/>
    <w:rsid w:val="00951897"/>
    <w:rsid w:val="0095265F"/>
    <w:rsid w:val="00952909"/>
    <w:rsid w:val="009529F2"/>
    <w:rsid w:val="0095350D"/>
    <w:rsid w:val="0095387C"/>
    <w:rsid w:val="00954C67"/>
    <w:rsid w:val="00954F4F"/>
    <w:rsid w:val="00955234"/>
    <w:rsid w:val="009558A2"/>
    <w:rsid w:val="00955A56"/>
    <w:rsid w:val="00955D4F"/>
    <w:rsid w:val="0095601F"/>
    <w:rsid w:val="0095779F"/>
    <w:rsid w:val="009578F0"/>
    <w:rsid w:val="0096010A"/>
    <w:rsid w:val="00960DF4"/>
    <w:rsid w:val="0096110D"/>
    <w:rsid w:val="00961481"/>
    <w:rsid w:val="00961F85"/>
    <w:rsid w:val="00962FFC"/>
    <w:rsid w:val="0096357E"/>
    <w:rsid w:val="00963596"/>
    <w:rsid w:val="009639E0"/>
    <w:rsid w:val="00963E78"/>
    <w:rsid w:val="00963E97"/>
    <w:rsid w:val="009644C2"/>
    <w:rsid w:val="009644F4"/>
    <w:rsid w:val="0096471D"/>
    <w:rsid w:val="009657B0"/>
    <w:rsid w:val="009659E7"/>
    <w:rsid w:val="0096612D"/>
    <w:rsid w:val="00966597"/>
    <w:rsid w:val="00966E13"/>
    <w:rsid w:val="009673F9"/>
    <w:rsid w:val="0096751A"/>
    <w:rsid w:val="009675FB"/>
    <w:rsid w:val="00970354"/>
    <w:rsid w:val="009709E0"/>
    <w:rsid w:val="00972995"/>
    <w:rsid w:val="009730C4"/>
    <w:rsid w:val="009739A3"/>
    <w:rsid w:val="00974864"/>
    <w:rsid w:val="00974CDB"/>
    <w:rsid w:val="00974E5E"/>
    <w:rsid w:val="00974F12"/>
    <w:rsid w:val="009751A9"/>
    <w:rsid w:val="00975DB7"/>
    <w:rsid w:val="00975E10"/>
    <w:rsid w:val="0097619D"/>
    <w:rsid w:val="00976C55"/>
    <w:rsid w:val="00976D26"/>
    <w:rsid w:val="0097771F"/>
    <w:rsid w:val="00980CE3"/>
    <w:rsid w:val="00981D49"/>
    <w:rsid w:val="00982702"/>
    <w:rsid w:val="00982F45"/>
    <w:rsid w:val="00982F9F"/>
    <w:rsid w:val="009839D0"/>
    <w:rsid w:val="009839F3"/>
    <w:rsid w:val="00983BCF"/>
    <w:rsid w:val="00983E67"/>
    <w:rsid w:val="00984013"/>
    <w:rsid w:val="00984E35"/>
    <w:rsid w:val="00984E39"/>
    <w:rsid w:val="00985AE3"/>
    <w:rsid w:val="00985B69"/>
    <w:rsid w:val="00986221"/>
    <w:rsid w:val="0098654D"/>
    <w:rsid w:val="009869E2"/>
    <w:rsid w:val="009876D4"/>
    <w:rsid w:val="00987B04"/>
    <w:rsid w:val="0099106A"/>
    <w:rsid w:val="0099137F"/>
    <w:rsid w:val="00991DE7"/>
    <w:rsid w:val="00992546"/>
    <w:rsid w:val="00992B81"/>
    <w:rsid w:val="00992CD2"/>
    <w:rsid w:val="00992EB6"/>
    <w:rsid w:val="00993741"/>
    <w:rsid w:val="00993B29"/>
    <w:rsid w:val="009944A0"/>
    <w:rsid w:val="00994B3A"/>
    <w:rsid w:val="00995755"/>
    <w:rsid w:val="00995CE7"/>
    <w:rsid w:val="00995CFC"/>
    <w:rsid w:val="00996F5A"/>
    <w:rsid w:val="00997048"/>
    <w:rsid w:val="00997178"/>
    <w:rsid w:val="009A0209"/>
    <w:rsid w:val="009A0287"/>
    <w:rsid w:val="009A0655"/>
    <w:rsid w:val="009A076C"/>
    <w:rsid w:val="009A0E33"/>
    <w:rsid w:val="009A0F4A"/>
    <w:rsid w:val="009A112E"/>
    <w:rsid w:val="009A1143"/>
    <w:rsid w:val="009A1273"/>
    <w:rsid w:val="009A13EF"/>
    <w:rsid w:val="009A14B1"/>
    <w:rsid w:val="009A3268"/>
    <w:rsid w:val="009A374B"/>
    <w:rsid w:val="009A3C98"/>
    <w:rsid w:val="009A4A29"/>
    <w:rsid w:val="009A4F17"/>
    <w:rsid w:val="009A4F99"/>
    <w:rsid w:val="009A55B4"/>
    <w:rsid w:val="009A5760"/>
    <w:rsid w:val="009A6106"/>
    <w:rsid w:val="009A62E9"/>
    <w:rsid w:val="009A7645"/>
    <w:rsid w:val="009A7917"/>
    <w:rsid w:val="009A7B2F"/>
    <w:rsid w:val="009A7B84"/>
    <w:rsid w:val="009B00AF"/>
    <w:rsid w:val="009B13D3"/>
    <w:rsid w:val="009B17E7"/>
    <w:rsid w:val="009B241F"/>
    <w:rsid w:val="009B252F"/>
    <w:rsid w:val="009B2570"/>
    <w:rsid w:val="009B2C28"/>
    <w:rsid w:val="009B320C"/>
    <w:rsid w:val="009B39A3"/>
    <w:rsid w:val="009B4175"/>
    <w:rsid w:val="009B42E8"/>
    <w:rsid w:val="009B48DC"/>
    <w:rsid w:val="009B4B4D"/>
    <w:rsid w:val="009B6967"/>
    <w:rsid w:val="009B7078"/>
    <w:rsid w:val="009B72B6"/>
    <w:rsid w:val="009B756E"/>
    <w:rsid w:val="009B7662"/>
    <w:rsid w:val="009B778F"/>
    <w:rsid w:val="009B7801"/>
    <w:rsid w:val="009B7DA1"/>
    <w:rsid w:val="009C07DB"/>
    <w:rsid w:val="009C0EB7"/>
    <w:rsid w:val="009C19C7"/>
    <w:rsid w:val="009C1F1F"/>
    <w:rsid w:val="009C1FBD"/>
    <w:rsid w:val="009C1FF3"/>
    <w:rsid w:val="009C2433"/>
    <w:rsid w:val="009C271D"/>
    <w:rsid w:val="009C2A3A"/>
    <w:rsid w:val="009C3648"/>
    <w:rsid w:val="009C3A19"/>
    <w:rsid w:val="009C3DE1"/>
    <w:rsid w:val="009C40C5"/>
    <w:rsid w:val="009C458F"/>
    <w:rsid w:val="009C4943"/>
    <w:rsid w:val="009C52B1"/>
    <w:rsid w:val="009C54C2"/>
    <w:rsid w:val="009C5AE5"/>
    <w:rsid w:val="009C6677"/>
    <w:rsid w:val="009C6B8C"/>
    <w:rsid w:val="009C7D38"/>
    <w:rsid w:val="009C7E06"/>
    <w:rsid w:val="009C7E61"/>
    <w:rsid w:val="009D1D99"/>
    <w:rsid w:val="009D1EB7"/>
    <w:rsid w:val="009D2AC1"/>
    <w:rsid w:val="009D2C4E"/>
    <w:rsid w:val="009D3AE2"/>
    <w:rsid w:val="009D5C04"/>
    <w:rsid w:val="009D5DA0"/>
    <w:rsid w:val="009D5E7A"/>
    <w:rsid w:val="009D66ED"/>
    <w:rsid w:val="009D68B0"/>
    <w:rsid w:val="009D6E36"/>
    <w:rsid w:val="009D7BF9"/>
    <w:rsid w:val="009E0729"/>
    <w:rsid w:val="009E0786"/>
    <w:rsid w:val="009E0A8A"/>
    <w:rsid w:val="009E10BB"/>
    <w:rsid w:val="009E11D4"/>
    <w:rsid w:val="009E152F"/>
    <w:rsid w:val="009E1A72"/>
    <w:rsid w:val="009E1CB9"/>
    <w:rsid w:val="009E1F38"/>
    <w:rsid w:val="009E1FE1"/>
    <w:rsid w:val="009E2B8C"/>
    <w:rsid w:val="009E316C"/>
    <w:rsid w:val="009E320F"/>
    <w:rsid w:val="009E418D"/>
    <w:rsid w:val="009E4AB9"/>
    <w:rsid w:val="009E504F"/>
    <w:rsid w:val="009E5F98"/>
    <w:rsid w:val="009E60ED"/>
    <w:rsid w:val="009E6647"/>
    <w:rsid w:val="009E6674"/>
    <w:rsid w:val="009E6D28"/>
    <w:rsid w:val="009E7981"/>
    <w:rsid w:val="009E7FBC"/>
    <w:rsid w:val="009F00DD"/>
    <w:rsid w:val="009F0341"/>
    <w:rsid w:val="009F0AF3"/>
    <w:rsid w:val="009F0C90"/>
    <w:rsid w:val="009F0CD0"/>
    <w:rsid w:val="009F0D46"/>
    <w:rsid w:val="009F1158"/>
    <w:rsid w:val="009F1C9D"/>
    <w:rsid w:val="009F2704"/>
    <w:rsid w:val="009F2FA6"/>
    <w:rsid w:val="009F3D3D"/>
    <w:rsid w:val="009F44CA"/>
    <w:rsid w:val="009F4524"/>
    <w:rsid w:val="009F4939"/>
    <w:rsid w:val="009F4E53"/>
    <w:rsid w:val="009F5866"/>
    <w:rsid w:val="009F5C9A"/>
    <w:rsid w:val="009F6040"/>
    <w:rsid w:val="00A00D66"/>
    <w:rsid w:val="00A01342"/>
    <w:rsid w:val="00A0175B"/>
    <w:rsid w:val="00A01E33"/>
    <w:rsid w:val="00A01F1F"/>
    <w:rsid w:val="00A02E17"/>
    <w:rsid w:val="00A03A36"/>
    <w:rsid w:val="00A04CB9"/>
    <w:rsid w:val="00A052F6"/>
    <w:rsid w:val="00A05426"/>
    <w:rsid w:val="00A0542B"/>
    <w:rsid w:val="00A059C9"/>
    <w:rsid w:val="00A05C92"/>
    <w:rsid w:val="00A05D31"/>
    <w:rsid w:val="00A05E46"/>
    <w:rsid w:val="00A06741"/>
    <w:rsid w:val="00A06866"/>
    <w:rsid w:val="00A07175"/>
    <w:rsid w:val="00A10DA2"/>
    <w:rsid w:val="00A10E57"/>
    <w:rsid w:val="00A114FA"/>
    <w:rsid w:val="00A12313"/>
    <w:rsid w:val="00A1249D"/>
    <w:rsid w:val="00A1250D"/>
    <w:rsid w:val="00A1364D"/>
    <w:rsid w:val="00A13E9D"/>
    <w:rsid w:val="00A1401E"/>
    <w:rsid w:val="00A15062"/>
    <w:rsid w:val="00A1582E"/>
    <w:rsid w:val="00A15DEA"/>
    <w:rsid w:val="00A15F93"/>
    <w:rsid w:val="00A1677F"/>
    <w:rsid w:val="00A17219"/>
    <w:rsid w:val="00A1741B"/>
    <w:rsid w:val="00A17A3B"/>
    <w:rsid w:val="00A17AAC"/>
    <w:rsid w:val="00A17FC0"/>
    <w:rsid w:val="00A21009"/>
    <w:rsid w:val="00A215B7"/>
    <w:rsid w:val="00A2172F"/>
    <w:rsid w:val="00A227D8"/>
    <w:rsid w:val="00A2296E"/>
    <w:rsid w:val="00A22A65"/>
    <w:rsid w:val="00A23A2A"/>
    <w:rsid w:val="00A24002"/>
    <w:rsid w:val="00A24076"/>
    <w:rsid w:val="00A241F1"/>
    <w:rsid w:val="00A253B3"/>
    <w:rsid w:val="00A25441"/>
    <w:rsid w:val="00A260BD"/>
    <w:rsid w:val="00A26724"/>
    <w:rsid w:val="00A26760"/>
    <w:rsid w:val="00A26BDB"/>
    <w:rsid w:val="00A26EDA"/>
    <w:rsid w:val="00A27F5C"/>
    <w:rsid w:val="00A30182"/>
    <w:rsid w:val="00A30194"/>
    <w:rsid w:val="00A3069B"/>
    <w:rsid w:val="00A30A8B"/>
    <w:rsid w:val="00A31214"/>
    <w:rsid w:val="00A3171D"/>
    <w:rsid w:val="00A3183D"/>
    <w:rsid w:val="00A3230A"/>
    <w:rsid w:val="00A327BE"/>
    <w:rsid w:val="00A32F5E"/>
    <w:rsid w:val="00A34163"/>
    <w:rsid w:val="00A343F6"/>
    <w:rsid w:val="00A34633"/>
    <w:rsid w:val="00A34644"/>
    <w:rsid w:val="00A346F3"/>
    <w:rsid w:val="00A3489C"/>
    <w:rsid w:val="00A351B4"/>
    <w:rsid w:val="00A35333"/>
    <w:rsid w:val="00A35A7A"/>
    <w:rsid w:val="00A35D1A"/>
    <w:rsid w:val="00A35F2D"/>
    <w:rsid w:val="00A36012"/>
    <w:rsid w:val="00A360D7"/>
    <w:rsid w:val="00A363E3"/>
    <w:rsid w:val="00A36755"/>
    <w:rsid w:val="00A36FA3"/>
    <w:rsid w:val="00A37DCE"/>
    <w:rsid w:val="00A404C3"/>
    <w:rsid w:val="00A40806"/>
    <w:rsid w:val="00A40A27"/>
    <w:rsid w:val="00A4140B"/>
    <w:rsid w:val="00A4143C"/>
    <w:rsid w:val="00A4159A"/>
    <w:rsid w:val="00A41698"/>
    <w:rsid w:val="00A41A36"/>
    <w:rsid w:val="00A41CAC"/>
    <w:rsid w:val="00A41E5C"/>
    <w:rsid w:val="00A4340A"/>
    <w:rsid w:val="00A443D0"/>
    <w:rsid w:val="00A44B18"/>
    <w:rsid w:val="00A44B87"/>
    <w:rsid w:val="00A44E4C"/>
    <w:rsid w:val="00A45EE3"/>
    <w:rsid w:val="00A46217"/>
    <w:rsid w:val="00A465F0"/>
    <w:rsid w:val="00A47472"/>
    <w:rsid w:val="00A47CB7"/>
    <w:rsid w:val="00A47D4C"/>
    <w:rsid w:val="00A47F6D"/>
    <w:rsid w:val="00A50958"/>
    <w:rsid w:val="00A51689"/>
    <w:rsid w:val="00A51E66"/>
    <w:rsid w:val="00A525EF"/>
    <w:rsid w:val="00A5312B"/>
    <w:rsid w:val="00A53693"/>
    <w:rsid w:val="00A53E69"/>
    <w:rsid w:val="00A5437A"/>
    <w:rsid w:val="00A5443A"/>
    <w:rsid w:val="00A54828"/>
    <w:rsid w:val="00A54963"/>
    <w:rsid w:val="00A5545B"/>
    <w:rsid w:val="00A55AC5"/>
    <w:rsid w:val="00A56205"/>
    <w:rsid w:val="00A57270"/>
    <w:rsid w:val="00A572FA"/>
    <w:rsid w:val="00A57504"/>
    <w:rsid w:val="00A57AA5"/>
    <w:rsid w:val="00A57EC4"/>
    <w:rsid w:val="00A60720"/>
    <w:rsid w:val="00A61576"/>
    <w:rsid w:val="00A61641"/>
    <w:rsid w:val="00A6172A"/>
    <w:rsid w:val="00A62384"/>
    <w:rsid w:val="00A62806"/>
    <w:rsid w:val="00A62D8B"/>
    <w:rsid w:val="00A62D94"/>
    <w:rsid w:val="00A63F48"/>
    <w:rsid w:val="00A641ED"/>
    <w:rsid w:val="00A64A14"/>
    <w:rsid w:val="00A65003"/>
    <w:rsid w:val="00A651C3"/>
    <w:rsid w:val="00A65DF4"/>
    <w:rsid w:val="00A665B0"/>
    <w:rsid w:val="00A66E8D"/>
    <w:rsid w:val="00A6716C"/>
    <w:rsid w:val="00A67DCD"/>
    <w:rsid w:val="00A67F81"/>
    <w:rsid w:val="00A70792"/>
    <w:rsid w:val="00A707DF"/>
    <w:rsid w:val="00A70824"/>
    <w:rsid w:val="00A7098D"/>
    <w:rsid w:val="00A709CB"/>
    <w:rsid w:val="00A70C7E"/>
    <w:rsid w:val="00A7147E"/>
    <w:rsid w:val="00A71F5C"/>
    <w:rsid w:val="00A721C4"/>
    <w:rsid w:val="00A72273"/>
    <w:rsid w:val="00A7254B"/>
    <w:rsid w:val="00A72C1F"/>
    <w:rsid w:val="00A73B43"/>
    <w:rsid w:val="00A7414D"/>
    <w:rsid w:val="00A74F71"/>
    <w:rsid w:val="00A7531E"/>
    <w:rsid w:val="00A754E9"/>
    <w:rsid w:val="00A7606B"/>
    <w:rsid w:val="00A7680D"/>
    <w:rsid w:val="00A76EE5"/>
    <w:rsid w:val="00A76F4C"/>
    <w:rsid w:val="00A77637"/>
    <w:rsid w:val="00A80E44"/>
    <w:rsid w:val="00A818A0"/>
    <w:rsid w:val="00A81C0D"/>
    <w:rsid w:val="00A81CBA"/>
    <w:rsid w:val="00A821E6"/>
    <w:rsid w:val="00A827C0"/>
    <w:rsid w:val="00A832A3"/>
    <w:rsid w:val="00A834C0"/>
    <w:rsid w:val="00A8376D"/>
    <w:rsid w:val="00A83B12"/>
    <w:rsid w:val="00A83F1B"/>
    <w:rsid w:val="00A83F81"/>
    <w:rsid w:val="00A841C4"/>
    <w:rsid w:val="00A84CBF"/>
    <w:rsid w:val="00A85448"/>
    <w:rsid w:val="00A859A1"/>
    <w:rsid w:val="00A85B2A"/>
    <w:rsid w:val="00A8730C"/>
    <w:rsid w:val="00A877A9"/>
    <w:rsid w:val="00A87C1F"/>
    <w:rsid w:val="00A87D6A"/>
    <w:rsid w:val="00A9044D"/>
    <w:rsid w:val="00A90820"/>
    <w:rsid w:val="00A90C03"/>
    <w:rsid w:val="00A92570"/>
    <w:rsid w:val="00A92746"/>
    <w:rsid w:val="00A92899"/>
    <w:rsid w:val="00A92AFC"/>
    <w:rsid w:val="00A92BF5"/>
    <w:rsid w:val="00A92EE7"/>
    <w:rsid w:val="00A93202"/>
    <w:rsid w:val="00A93375"/>
    <w:rsid w:val="00A935B1"/>
    <w:rsid w:val="00A93A74"/>
    <w:rsid w:val="00A946FA"/>
    <w:rsid w:val="00A95122"/>
    <w:rsid w:val="00A9543F"/>
    <w:rsid w:val="00A9546B"/>
    <w:rsid w:val="00A95CEF"/>
    <w:rsid w:val="00A96BCC"/>
    <w:rsid w:val="00A96F53"/>
    <w:rsid w:val="00A974AD"/>
    <w:rsid w:val="00A974E0"/>
    <w:rsid w:val="00A97665"/>
    <w:rsid w:val="00AA021F"/>
    <w:rsid w:val="00AA05FA"/>
    <w:rsid w:val="00AA07AA"/>
    <w:rsid w:val="00AA26F8"/>
    <w:rsid w:val="00AA33CC"/>
    <w:rsid w:val="00AA384B"/>
    <w:rsid w:val="00AA3BE2"/>
    <w:rsid w:val="00AA5F80"/>
    <w:rsid w:val="00AA6402"/>
    <w:rsid w:val="00AA67F3"/>
    <w:rsid w:val="00AA6A2D"/>
    <w:rsid w:val="00AA71AB"/>
    <w:rsid w:val="00AA73B0"/>
    <w:rsid w:val="00AA73B9"/>
    <w:rsid w:val="00AA7537"/>
    <w:rsid w:val="00AA7A5B"/>
    <w:rsid w:val="00AA7D4A"/>
    <w:rsid w:val="00AA7DAC"/>
    <w:rsid w:val="00AB04D7"/>
    <w:rsid w:val="00AB05BF"/>
    <w:rsid w:val="00AB164A"/>
    <w:rsid w:val="00AB3225"/>
    <w:rsid w:val="00AB3399"/>
    <w:rsid w:val="00AB3923"/>
    <w:rsid w:val="00AB395A"/>
    <w:rsid w:val="00AB5517"/>
    <w:rsid w:val="00AB5D59"/>
    <w:rsid w:val="00AB6172"/>
    <w:rsid w:val="00AB6C85"/>
    <w:rsid w:val="00AB6E7B"/>
    <w:rsid w:val="00AB6FD6"/>
    <w:rsid w:val="00AB7A54"/>
    <w:rsid w:val="00AB7ED9"/>
    <w:rsid w:val="00AC0161"/>
    <w:rsid w:val="00AC0705"/>
    <w:rsid w:val="00AC2832"/>
    <w:rsid w:val="00AC2A11"/>
    <w:rsid w:val="00AC2C09"/>
    <w:rsid w:val="00AC2EFF"/>
    <w:rsid w:val="00AC3182"/>
    <w:rsid w:val="00AC320A"/>
    <w:rsid w:val="00AC3C22"/>
    <w:rsid w:val="00AC40C5"/>
    <w:rsid w:val="00AC4DA0"/>
    <w:rsid w:val="00AC66CC"/>
    <w:rsid w:val="00AC6754"/>
    <w:rsid w:val="00AC6A7E"/>
    <w:rsid w:val="00AC6D4D"/>
    <w:rsid w:val="00AC7019"/>
    <w:rsid w:val="00AC7557"/>
    <w:rsid w:val="00AC7592"/>
    <w:rsid w:val="00AC7B87"/>
    <w:rsid w:val="00AD0085"/>
    <w:rsid w:val="00AD0EEA"/>
    <w:rsid w:val="00AD1065"/>
    <w:rsid w:val="00AD144C"/>
    <w:rsid w:val="00AD1828"/>
    <w:rsid w:val="00AD1CE6"/>
    <w:rsid w:val="00AD2FC6"/>
    <w:rsid w:val="00AD3322"/>
    <w:rsid w:val="00AD347E"/>
    <w:rsid w:val="00AD357A"/>
    <w:rsid w:val="00AD5384"/>
    <w:rsid w:val="00AD69AC"/>
    <w:rsid w:val="00AD6A97"/>
    <w:rsid w:val="00AD6DB4"/>
    <w:rsid w:val="00AD7872"/>
    <w:rsid w:val="00AD7D09"/>
    <w:rsid w:val="00AE0260"/>
    <w:rsid w:val="00AE0692"/>
    <w:rsid w:val="00AE0BD7"/>
    <w:rsid w:val="00AE1BDE"/>
    <w:rsid w:val="00AE1EDB"/>
    <w:rsid w:val="00AE208A"/>
    <w:rsid w:val="00AE2964"/>
    <w:rsid w:val="00AE2C02"/>
    <w:rsid w:val="00AE2C29"/>
    <w:rsid w:val="00AE3EDF"/>
    <w:rsid w:val="00AE3FDB"/>
    <w:rsid w:val="00AE44DE"/>
    <w:rsid w:val="00AE451B"/>
    <w:rsid w:val="00AE4D4B"/>
    <w:rsid w:val="00AE57FF"/>
    <w:rsid w:val="00AE5E92"/>
    <w:rsid w:val="00AE6F5F"/>
    <w:rsid w:val="00AF0D58"/>
    <w:rsid w:val="00AF1188"/>
    <w:rsid w:val="00AF155D"/>
    <w:rsid w:val="00AF15D4"/>
    <w:rsid w:val="00AF22AE"/>
    <w:rsid w:val="00AF238B"/>
    <w:rsid w:val="00AF2CBB"/>
    <w:rsid w:val="00AF343B"/>
    <w:rsid w:val="00AF5409"/>
    <w:rsid w:val="00AF5F3C"/>
    <w:rsid w:val="00AF60CF"/>
    <w:rsid w:val="00AF65E1"/>
    <w:rsid w:val="00AF65E5"/>
    <w:rsid w:val="00AF6737"/>
    <w:rsid w:val="00AF6778"/>
    <w:rsid w:val="00AF6E43"/>
    <w:rsid w:val="00AF741B"/>
    <w:rsid w:val="00AF7E27"/>
    <w:rsid w:val="00B00260"/>
    <w:rsid w:val="00B01045"/>
    <w:rsid w:val="00B012BE"/>
    <w:rsid w:val="00B0176C"/>
    <w:rsid w:val="00B019D3"/>
    <w:rsid w:val="00B01D87"/>
    <w:rsid w:val="00B020C9"/>
    <w:rsid w:val="00B0228F"/>
    <w:rsid w:val="00B02C80"/>
    <w:rsid w:val="00B02CCA"/>
    <w:rsid w:val="00B02CD1"/>
    <w:rsid w:val="00B02F0F"/>
    <w:rsid w:val="00B0386A"/>
    <w:rsid w:val="00B03B85"/>
    <w:rsid w:val="00B03FAC"/>
    <w:rsid w:val="00B0409C"/>
    <w:rsid w:val="00B04323"/>
    <w:rsid w:val="00B043DA"/>
    <w:rsid w:val="00B045F9"/>
    <w:rsid w:val="00B0485B"/>
    <w:rsid w:val="00B04DED"/>
    <w:rsid w:val="00B04F1E"/>
    <w:rsid w:val="00B05049"/>
    <w:rsid w:val="00B050E2"/>
    <w:rsid w:val="00B05179"/>
    <w:rsid w:val="00B05D97"/>
    <w:rsid w:val="00B06D7C"/>
    <w:rsid w:val="00B07245"/>
    <w:rsid w:val="00B0727E"/>
    <w:rsid w:val="00B07910"/>
    <w:rsid w:val="00B0798A"/>
    <w:rsid w:val="00B07C95"/>
    <w:rsid w:val="00B07CD7"/>
    <w:rsid w:val="00B100C8"/>
    <w:rsid w:val="00B10270"/>
    <w:rsid w:val="00B108E2"/>
    <w:rsid w:val="00B10C35"/>
    <w:rsid w:val="00B10E8D"/>
    <w:rsid w:val="00B11930"/>
    <w:rsid w:val="00B121BD"/>
    <w:rsid w:val="00B12C97"/>
    <w:rsid w:val="00B12CDC"/>
    <w:rsid w:val="00B13007"/>
    <w:rsid w:val="00B1370E"/>
    <w:rsid w:val="00B13D52"/>
    <w:rsid w:val="00B1491E"/>
    <w:rsid w:val="00B14A2D"/>
    <w:rsid w:val="00B14F6B"/>
    <w:rsid w:val="00B1546F"/>
    <w:rsid w:val="00B15F4F"/>
    <w:rsid w:val="00B15F87"/>
    <w:rsid w:val="00B162A1"/>
    <w:rsid w:val="00B1631C"/>
    <w:rsid w:val="00B166BF"/>
    <w:rsid w:val="00B16CFF"/>
    <w:rsid w:val="00B17191"/>
    <w:rsid w:val="00B17288"/>
    <w:rsid w:val="00B17D93"/>
    <w:rsid w:val="00B2007A"/>
    <w:rsid w:val="00B20163"/>
    <w:rsid w:val="00B2066B"/>
    <w:rsid w:val="00B20998"/>
    <w:rsid w:val="00B20B07"/>
    <w:rsid w:val="00B20B52"/>
    <w:rsid w:val="00B20C0E"/>
    <w:rsid w:val="00B2102C"/>
    <w:rsid w:val="00B21088"/>
    <w:rsid w:val="00B21B05"/>
    <w:rsid w:val="00B2234F"/>
    <w:rsid w:val="00B22CC2"/>
    <w:rsid w:val="00B2355C"/>
    <w:rsid w:val="00B23FAD"/>
    <w:rsid w:val="00B241B8"/>
    <w:rsid w:val="00B242ED"/>
    <w:rsid w:val="00B24955"/>
    <w:rsid w:val="00B24AE4"/>
    <w:rsid w:val="00B24EB5"/>
    <w:rsid w:val="00B25751"/>
    <w:rsid w:val="00B2599B"/>
    <w:rsid w:val="00B2599F"/>
    <w:rsid w:val="00B25C13"/>
    <w:rsid w:val="00B25D07"/>
    <w:rsid w:val="00B25E6F"/>
    <w:rsid w:val="00B25ED9"/>
    <w:rsid w:val="00B2607C"/>
    <w:rsid w:val="00B26428"/>
    <w:rsid w:val="00B27D4F"/>
    <w:rsid w:val="00B27F97"/>
    <w:rsid w:val="00B30622"/>
    <w:rsid w:val="00B31D9B"/>
    <w:rsid w:val="00B31E59"/>
    <w:rsid w:val="00B32943"/>
    <w:rsid w:val="00B32E6D"/>
    <w:rsid w:val="00B3302E"/>
    <w:rsid w:val="00B338A1"/>
    <w:rsid w:val="00B33DA7"/>
    <w:rsid w:val="00B34126"/>
    <w:rsid w:val="00B3449F"/>
    <w:rsid w:val="00B34598"/>
    <w:rsid w:val="00B345FE"/>
    <w:rsid w:val="00B34A10"/>
    <w:rsid w:val="00B35460"/>
    <w:rsid w:val="00B35D40"/>
    <w:rsid w:val="00B36570"/>
    <w:rsid w:val="00B36634"/>
    <w:rsid w:val="00B367AE"/>
    <w:rsid w:val="00B374C9"/>
    <w:rsid w:val="00B37E0A"/>
    <w:rsid w:val="00B40510"/>
    <w:rsid w:val="00B40D63"/>
    <w:rsid w:val="00B40E7D"/>
    <w:rsid w:val="00B41740"/>
    <w:rsid w:val="00B41C01"/>
    <w:rsid w:val="00B426ED"/>
    <w:rsid w:val="00B426FA"/>
    <w:rsid w:val="00B4298D"/>
    <w:rsid w:val="00B42C64"/>
    <w:rsid w:val="00B43882"/>
    <w:rsid w:val="00B449C6"/>
    <w:rsid w:val="00B44BAD"/>
    <w:rsid w:val="00B44D8B"/>
    <w:rsid w:val="00B466DA"/>
    <w:rsid w:val="00B46B50"/>
    <w:rsid w:val="00B46DF1"/>
    <w:rsid w:val="00B472C2"/>
    <w:rsid w:val="00B47614"/>
    <w:rsid w:val="00B47770"/>
    <w:rsid w:val="00B5053B"/>
    <w:rsid w:val="00B506D5"/>
    <w:rsid w:val="00B50CE8"/>
    <w:rsid w:val="00B5164B"/>
    <w:rsid w:val="00B516F0"/>
    <w:rsid w:val="00B5184B"/>
    <w:rsid w:val="00B51C3F"/>
    <w:rsid w:val="00B526A0"/>
    <w:rsid w:val="00B527F4"/>
    <w:rsid w:val="00B52E2C"/>
    <w:rsid w:val="00B532D8"/>
    <w:rsid w:val="00B5362E"/>
    <w:rsid w:val="00B55328"/>
    <w:rsid w:val="00B5546E"/>
    <w:rsid w:val="00B555B9"/>
    <w:rsid w:val="00B55F75"/>
    <w:rsid w:val="00B56B57"/>
    <w:rsid w:val="00B57846"/>
    <w:rsid w:val="00B57D37"/>
    <w:rsid w:val="00B602A1"/>
    <w:rsid w:val="00B605CE"/>
    <w:rsid w:val="00B60A4F"/>
    <w:rsid w:val="00B60E23"/>
    <w:rsid w:val="00B60F8B"/>
    <w:rsid w:val="00B61191"/>
    <w:rsid w:val="00B61378"/>
    <w:rsid w:val="00B616E9"/>
    <w:rsid w:val="00B61C69"/>
    <w:rsid w:val="00B61D46"/>
    <w:rsid w:val="00B62236"/>
    <w:rsid w:val="00B624A3"/>
    <w:rsid w:val="00B62530"/>
    <w:rsid w:val="00B62AEA"/>
    <w:rsid w:val="00B62B0E"/>
    <w:rsid w:val="00B62B88"/>
    <w:rsid w:val="00B62C9F"/>
    <w:rsid w:val="00B642B5"/>
    <w:rsid w:val="00B646D3"/>
    <w:rsid w:val="00B6478F"/>
    <w:rsid w:val="00B64C55"/>
    <w:rsid w:val="00B64CF0"/>
    <w:rsid w:val="00B65433"/>
    <w:rsid w:val="00B657C7"/>
    <w:rsid w:val="00B6678B"/>
    <w:rsid w:val="00B66ABA"/>
    <w:rsid w:val="00B66CB6"/>
    <w:rsid w:val="00B66E42"/>
    <w:rsid w:val="00B67591"/>
    <w:rsid w:val="00B676EA"/>
    <w:rsid w:val="00B67DE2"/>
    <w:rsid w:val="00B7087F"/>
    <w:rsid w:val="00B70E6F"/>
    <w:rsid w:val="00B7175A"/>
    <w:rsid w:val="00B7193C"/>
    <w:rsid w:val="00B71E86"/>
    <w:rsid w:val="00B721B5"/>
    <w:rsid w:val="00B722EC"/>
    <w:rsid w:val="00B72657"/>
    <w:rsid w:val="00B7289F"/>
    <w:rsid w:val="00B72AAB"/>
    <w:rsid w:val="00B7378D"/>
    <w:rsid w:val="00B73F7A"/>
    <w:rsid w:val="00B740FE"/>
    <w:rsid w:val="00B74159"/>
    <w:rsid w:val="00B74A22"/>
    <w:rsid w:val="00B74AFE"/>
    <w:rsid w:val="00B753EC"/>
    <w:rsid w:val="00B75B7B"/>
    <w:rsid w:val="00B75C93"/>
    <w:rsid w:val="00B75EED"/>
    <w:rsid w:val="00B760B7"/>
    <w:rsid w:val="00B76371"/>
    <w:rsid w:val="00B76F92"/>
    <w:rsid w:val="00B7706D"/>
    <w:rsid w:val="00B77A2E"/>
    <w:rsid w:val="00B807B6"/>
    <w:rsid w:val="00B80888"/>
    <w:rsid w:val="00B80FDB"/>
    <w:rsid w:val="00B810A2"/>
    <w:rsid w:val="00B816AE"/>
    <w:rsid w:val="00B81CD1"/>
    <w:rsid w:val="00B822A4"/>
    <w:rsid w:val="00B82C7A"/>
    <w:rsid w:val="00B83E23"/>
    <w:rsid w:val="00B843F7"/>
    <w:rsid w:val="00B8486C"/>
    <w:rsid w:val="00B84AE1"/>
    <w:rsid w:val="00B84BDF"/>
    <w:rsid w:val="00B84BE2"/>
    <w:rsid w:val="00B84CFF"/>
    <w:rsid w:val="00B8513D"/>
    <w:rsid w:val="00B8535E"/>
    <w:rsid w:val="00B86D03"/>
    <w:rsid w:val="00B870FE"/>
    <w:rsid w:val="00B87155"/>
    <w:rsid w:val="00B878BA"/>
    <w:rsid w:val="00B87D52"/>
    <w:rsid w:val="00B903A7"/>
    <w:rsid w:val="00B911DD"/>
    <w:rsid w:val="00B9181E"/>
    <w:rsid w:val="00B91E1D"/>
    <w:rsid w:val="00B922F7"/>
    <w:rsid w:val="00B927F5"/>
    <w:rsid w:val="00B92EDB"/>
    <w:rsid w:val="00B941CB"/>
    <w:rsid w:val="00B94B0C"/>
    <w:rsid w:val="00B94B97"/>
    <w:rsid w:val="00B94F4A"/>
    <w:rsid w:val="00B9518E"/>
    <w:rsid w:val="00B9538F"/>
    <w:rsid w:val="00B9584D"/>
    <w:rsid w:val="00B95A93"/>
    <w:rsid w:val="00B96891"/>
    <w:rsid w:val="00B9700F"/>
    <w:rsid w:val="00B97014"/>
    <w:rsid w:val="00B97BA2"/>
    <w:rsid w:val="00BA0047"/>
    <w:rsid w:val="00BA0883"/>
    <w:rsid w:val="00BA0FA0"/>
    <w:rsid w:val="00BA22FE"/>
    <w:rsid w:val="00BA3578"/>
    <w:rsid w:val="00BA3EDE"/>
    <w:rsid w:val="00BA4392"/>
    <w:rsid w:val="00BA46AA"/>
    <w:rsid w:val="00BA4F67"/>
    <w:rsid w:val="00BA4FEB"/>
    <w:rsid w:val="00BA5AA2"/>
    <w:rsid w:val="00BA5AFA"/>
    <w:rsid w:val="00BA5DB6"/>
    <w:rsid w:val="00BA5E7F"/>
    <w:rsid w:val="00BA64FE"/>
    <w:rsid w:val="00BA66FE"/>
    <w:rsid w:val="00BA6AFE"/>
    <w:rsid w:val="00BA7028"/>
    <w:rsid w:val="00BA7A92"/>
    <w:rsid w:val="00BB0276"/>
    <w:rsid w:val="00BB0B31"/>
    <w:rsid w:val="00BB0B63"/>
    <w:rsid w:val="00BB0FCD"/>
    <w:rsid w:val="00BB186A"/>
    <w:rsid w:val="00BB18DE"/>
    <w:rsid w:val="00BB1AE4"/>
    <w:rsid w:val="00BB258B"/>
    <w:rsid w:val="00BB2CDB"/>
    <w:rsid w:val="00BB2D90"/>
    <w:rsid w:val="00BB39FF"/>
    <w:rsid w:val="00BB3E0C"/>
    <w:rsid w:val="00BB49EE"/>
    <w:rsid w:val="00BB4A38"/>
    <w:rsid w:val="00BB4FF9"/>
    <w:rsid w:val="00BB636B"/>
    <w:rsid w:val="00BB6899"/>
    <w:rsid w:val="00BB6D6C"/>
    <w:rsid w:val="00BB6DB8"/>
    <w:rsid w:val="00BB6EAB"/>
    <w:rsid w:val="00BB7C40"/>
    <w:rsid w:val="00BB7DF5"/>
    <w:rsid w:val="00BC066A"/>
    <w:rsid w:val="00BC069F"/>
    <w:rsid w:val="00BC091C"/>
    <w:rsid w:val="00BC0FEB"/>
    <w:rsid w:val="00BC1138"/>
    <w:rsid w:val="00BC12AF"/>
    <w:rsid w:val="00BC196A"/>
    <w:rsid w:val="00BC1C11"/>
    <w:rsid w:val="00BC1CBD"/>
    <w:rsid w:val="00BC4011"/>
    <w:rsid w:val="00BC45D9"/>
    <w:rsid w:val="00BC4812"/>
    <w:rsid w:val="00BC49F7"/>
    <w:rsid w:val="00BC4F02"/>
    <w:rsid w:val="00BC5075"/>
    <w:rsid w:val="00BC5C44"/>
    <w:rsid w:val="00BC63F9"/>
    <w:rsid w:val="00BC6801"/>
    <w:rsid w:val="00BC7163"/>
    <w:rsid w:val="00BC74E7"/>
    <w:rsid w:val="00BC7554"/>
    <w:rsid w:val="00BC7F3B"/>
    <w:rsid w:val="00BD00D0"/>
    <w:rsid w:val="00BD080D"/>
    <w:rsid w:val="00BD0981"/>
    <w:rsid w:val="00BD0A5A"/>
    <w:rsid w:val="00BD0B84"/>
    <w:rsid w:val="00BD0EB0"/>
    <w:rsid w:val="00BD17C8"/>
    <w:rsid w:val="00BD1ADA"/>
    <w:rsid w:val="00BD1D1B"/>
    <w:rsid w:val="00BD1D67"/>
    <w:rsid w:val="00BD35BE"/>
    <w:rsid w:val="00BD3BF9"/>
    <w:rsid w:val="00BD3DBB"/>
    <w:rsid w:val="00BD419F"/>
    <w:rsid w:val="00BD4241"/>
    <w:rsid w:val="00BD4720"/>
    <w:rsid w:val="00BD4764"/>
    <w:rsid w:val="00BD47C8"/>
    <w:rsid w:val="00BD4D2B"/>
    <w:rsid w:val="00BD51B2"/>
    <w:rsid w:val="00BD526F"/>
    <w:rsid w:val="00BD5517"/>
    <w:rsid w:val="00BD6146"/>
    <w:rsid w:val="00BD6431"/>
    <w:rsid w:val="00BD65A5"/>
    <w:rsid w:val="00BD7335"/>
    <w:rsid w:val="00BD7755"/>
    <w:rsid w:val="00BD77EF"/>
    <w:rsid w:val="00BD7A96"/>
    <w:rsid w:val="00BE0404"/>
    <w:rsid w:val="00BE0623"/>
    <w:rsid w:val="00BE084B"/>
    <w:rsid w:val="00BE09A9"/>
    <w:rsid w:val="00BE0D96"/>
    <w:rsid w:val="00BE1EA8"/>
    <w:rsid w:val="00BE2790"/>
    <w:rsid w:val="00BE2A77"/>
    <w:rsid w:val="00BE2CB2"/>
    <w:rsid w:val="00BE3288"/>
    <w:rsid w:val="00BE4C27"/>
    <w:rsid w:val="00BE4CF4"/>
    <w:rsid w:val="00BE4FDE"/>
    <w:rsid w:val="00BE543A"/>
    <w:rsid w:val="00BE57A0"/>
    <w:rsid w:val="00BE6459"/>
    <w:rsid w:val="00BE658F"/>
    <w:rsid w:val="00BE724F"/>
    <w:rsid w:val="00BE74B7"/>
    <w:rsid w:val="00BE751F"/>
    <w:rsid w:val="00BF038B"/>
    <w:rsid w:val="00BF055F"/>
    <w:rsid w:val="00BF09CF"/>
    <w:rsid w:val="00BF0C09"/>
    <w:rsid w:val="00BF1540"/>
    <w:rsid w:val="00BF1F8B"/>
    <w:rsid w:val="00BF21CA"/>
    <w:rsid w:val="00BF236E"/>
    <w:rsid w:val="00BF24C6"/>
    <w:rsid w:val="00BF269A"/>
    <w:rsid w:val="00BF2BBE"/>
    <w:rsid w:val="00BF3184"/>
    <w:rsid w:val="00BF31A6"/>
    <w:rsid w:val="00BF31A7"/>
    <w:rsid w:val="00BF31C2"/>
    <w:rsid w:val="00BF3762"/>
    <w:rsid w:val="00BF377A"/>
    <w:rsid w:val="00BF3D07"/>
    <w:rsid w:val="00BF486C"/>
    <w:rsid w:val="00BF4894"/>
    <w:rsid w:val="00BF4BB4"/>
    <w:rsid w:val="00BF640D"/>
    <w:rsid w:val="00BF6ACF"/>
    <w:rsid w:val="00BF6E35"/>
    <w:rsid w:val="00BF6FE3"/>
    <w:rsid w:val="00BF7316"/>
    <w:rsid w:val="00BF79DB"/>
    <w:rsid w:val="00BF7D29"/>
    <w:rsid w:val="00C00E01"/>
    <w:rsid w:val="00C0127E"/>
    <w:rsid w:val="00C02008"/>
    <w:rsid w:val="00C03F9F"/>
    <w:rsid w:val="00C048E9"/>
    <w:rsid w:val="00C049EA"/>
    <w:rsid w:val="00C051EA"/>
    <w:rsid w:val="00C05B7C"/>
    <w:rsid w:val="00C05E5F"/>
    <w:rsid w:val="00C061C4"/>
    <w:rsid w:val="00C062F3"/>
    <w:rsid w:val="00C063DB"/>
    <w:rsid w:val="00C066F0"/>
    <w:rsid w:val="00C07C10"/>
    <w:rsid w:val="00C07C18"/>
    <w:rsid w:val="00C07F5F"/>
    <w:rsid w:val="00C10062"/>
    <w:rsid w:val="00C10186"/>
    <w:rsid w:val="00C1067D"/>
    <w:rsid w:val="00C109C6"/>
    <w:rsid w:val="00C10B72"/>
    <w:rsid w:val="00C10E2E"/>
    <w:rsid w:val="00C10EB1"/>
    <w:rsid w:val="00C10EEB"/>
    <w:rsid w:val="00C10F0B"/>
    <w:rsid w:val="00C1120D"/>
    <w:rsid w:val="00C1159D"/>
    <w:rsid w:val="00C11D79"/>
    <w:rsid w:val="00C123C0"/>
    <w:rsid w:val="00C127BA"/>
    <w:rsid w:val="00C12F3F"/>
    <w:rsid w:val="00C12FEA"/>
    <w:rsid w:val="00C13AF9"/>
    <w:rsid w:val="00C13E90"/>
    <w:rsid w:val="00C14272"/>
    <w:rsid w:val="00C1454E"/>
    <w:rsid w:val="00C14B82"/>
    <w:rsid w:val="00C16215"/>
    <w:rsid w:val="00C17113"/>
    <w:rsid w:val="00C17652"/>
    <w:rsid w:val="00C1783E"/>
    <w:rsid w:val="00C17DBF"/>
    <w:rsid w:val="00C2024C"/>
    <w:rsid w:val="00C2090C"/>
    <w:rsid w:val="00C2091F"/>
    <w:rsid w:val="00C20B08"/>
    <w:rsid w:val="00C20C27"/>
    <w:rsid w:val="00C20DB4"/>
    <w:rsid w:val="00C2196D"/>
    <w:rsid w:val="00C21C33"/>
    <w:rsid w:val="00C22EA4"/>
    <w:rsid w:val="00C2361F"/>
    <w:rsid w:val="00C23A4F"/>
    <w:rsid w:val="00C23CAB"/>
    <w:rsid w:val="00C23FB9"/>
    <w:rsid w:val="00C242FC"/>
    <w:rsid w:val="00C24352"/>
    <w:rsid w:val="00C24A78"/>
    <w:rsid w:val="00C24BD9"/>
    <w:rsid w:val="00C24F7A"/>
    <w:rsid w:val="00C2616E"/>
    <w:rsid w:val="00C2689C"/>
    <w:rsid w:val="00C26E19"/>
    <w:rsid w:val="00C27AEC"/>
    <w:rsid w:val="00C30459"/>
    <w:rsid w:val="00C30566"/>
    <w:rsid w:val="00C30BC0"/>
    <w:rsid w:val="00C31849"/>
    <w:rsid w:val="00C31D7F"/>
    <w:rsid w:val="00C31F0F"/>
    <w:rsid w:val="00C31F3F"/>
    <w:rsid w:val="00C33C6F"/>
    <w:rsid w:val="00C34404"/>
    <w:rsid w:val="00C34C60"/>
    <w:rsid w:val="00C35789"/>
    <w:rsid w:val="00C36C42"/>
    <w:rsid w:val="00C40496"/>
    <w:rsid w:val="00C405FC"/>
    <w:rsid w:val="00C40715"/>
    <w:rsid w:val="00C40A32"/>
    <w:rsid w:val="00C40FA5"/>
    <w:rsid w:val="00C41053"/>
    <w:rsid w:val="00C41401"/>
    <w:rsid w:val="00C41DF1"/>
    <w:rsid w:val="00C41F11"/>
    <w:rsid w:val="00C42181"/>
    <w:rsid w:val="00C42654"/>
    <w:rsid w:val="00C428B5"/>
    <w:rsid w:val="00C42D84"/>
    <w:rsid w:val="00C4405D"/>
    <w:rsid w:val="00C44E1E"/>
    <w:rsid w:val="00C45228"/>
    <w:rsid w:val="00C45F7C"/>
    <w:rsid w:val="00C46AD4"/>
    <w:rsid w:val="00C477F2"/>
    <w:rsid w:val="00C4792A"/>
    <w:rsid w:val="00C47C24"/>
    <w:rsid w:val="00C47CE1"/>
    <w:rsid w:val="00C50340"/>
    <w:rsid w:val="00C5047E"/>
    <w:rsid w:val="00C50682"/>
    <w:rsid w:val="00C50899"/>
    <w:rsid w:val="00C50F98"/>
    <w:rsid w:val="00C5133E"/>
    <w:rsid w:val="00C513BA"/>
    <w:rsid w:val="00C515F2"/>
    <w:rsid w:val="00C518B8"/>
    <w:rsid w:val="00C52098"/>
    <w:rsid w:val="00C521B3"/>
    <w:rsid w:val="00C5277E"/>
    <w:rsid w:val="00C52D27"/>
    <w:rsid w:val="00C53080"/>
    <w:rsid w:val="00C5343B"/>
    <w:rsid w:val="00C53EFF"/>
    <w:rsid w:val="00C545C2"/>
    <w:rsid w:val="00C5481D"/>
    <w:rsid w:val="00C556EC"/>
    <w:rsid w:val="00C55956"/>
    <w:rsid w:val="00C55BC9"/>
    <w:rsid w:val="00C55C0F"/>
    <w:rsid w:val="00C55EB3"/>
    <w:rsid w:val="00C55EC5"/>
    <w:rsid w:val="00C562C0"/>
    <w:rsid w:val="00C56603"/>
    <w:rsid w:val="00C567A8"/>
    <w:rsid w:val="00C56887"/>
    <w:rsid w:val="00C56BBF"/>
    <w:rsid w:val="00C57CA2"/>
    <w:rsid w:val="00C603B3"/>
    <w:rsid w:val="00C6095C"/>
    <w:rsid w:val="00C60AA5"/>
    <w:rsid w:val="00C60D3E"/>
    <w:rsid w:val="00C6108F"/>
    <w:rsid w:val="00C6110D"/>
    <w:rsid w:val="00C61446"/>
    <w:rsid w:val="00C61787"/>
    <w:rsid w:val="00C61A16"/>
    <w:rsid w:val="00C61F05"/>
    <w:rsid w:val="00C620CC"/>
    <w:rsid w:val="00C6273F"/>
    <w:rsid w:val="00C6380D"/>
    <w:rsid w:val="00C6387E"/>
    <w:rsid w:val="00C6402D"/>
    <w:rsid w:val="00C6403E"/>
    <w:rsid w:val="00C6414B"/>
    <w:rsid w:val="00C651C9"/>
    <w:rsid w:val="00C65350"/>
    <w:rsid w:val="00C663CC"/>
    <w:rsid w:val="00C671CA"/>
    <w:rsid w:val="00C6758B"/>
    <w:rsid w:val="00C67777"/>
    <w:rsid w:val="00C67D29"/>
    <w:rsid w:val="00C67DFD"/>
    <w:rsid w:val="00C7098D"/>
    <w:rsid w:val="00C70A00"/>
    <w:rsid w:val="00C71D37"/>
    <w:rsid w:val="00C71E85"/>
    <w:rsid w:val="00C72990"/>
    <w:rsid w:val="00C72AE2"/>
    <w:rsid w:val="00C72C08"/>
    <w:rsid w:val="00C7364E"/>
    <w:rsid w:val="00C737B1"/>
    <w:rsid w:val="00C73A42"/>
    <w:rsid w:val="00C73CAB"/>
    <w:rsid w:val="00C73F7F"/>
    <w:rsid w:val="00C74186"/>
    <w:rsid w:val="00C74DCB"/>
    <w:rsid w:val="00C750FD"/>
    <w:rsid w:val="00C75441"/>
    <w:rsid w:val="00C757B2"/>
    <w:rsid w:val="00C75D68"/>
    <w:rsid w:val="00C7667A"/>
    <w:rsid w:val="00C76DE3"/>
    <w:rsid w:val="00C7711F"/>
    <w:rsid w:val="00C77579"/>
    <w:rsid w:val="00C77640"/>
    <w:rsid w:val="00C77B07"/>
    <w:rsid w:val="00C77BC1"/>
    <w:rsid w:val="00C77F0F"/>
    <w:rsid w:val="00C802C9"/>
    <w:rsid w:val="00C80449"/>
    <w:rsid w:val="00C80A40"/>
    <w:rsid w:val="00C81BCE"/>
    <w:rsid w:val="00C826E6"/>
    <w:rsid w:val="00C83440"/>
    <w:rsid w:val="00C835FE"/>
    <w:rsid w:val="00C838E3"/>
    <w:rsid w:val="00C83DDE"/>
    <w:rsid w:val="00C83E64"/>
    <w:rsid w:val="00C84102"/>
    <w:rsid w:val="00C849D9"/>
    <w:rsid w:val="00C84C19"/>
    <w:rsid w:val="00C84F89"/>
    <w:rsid w:val="00C85B47"/>
    <w:rsid w:val="00C866DD"/>
    <w:rsid w:val="00C875DE"/>
    <w:rsid w:val="00C87952"/>
    <w:rsid w:val="00C87BB1"/>
    <w:rsid w:val="00C9004D"/>
    <w:rsid w:val="00C918E3"/>
    <w:rsid w:val="00C9192C"/>
    <w:rsid w:val="00C91D5D"/>
    <w:rsid w:val="00C921A1"/>
    <w:rsid w:val="00C92248"/>
    <w:rsid w:val="00C92566"/>
    <w:rsid w:val="00C92EDC"/>
    <w:rsid w:val="00C932F0"/>
    <w:rsid w:val="00C933C0"/>
    <w:rsid w:val="00C9360B"/>
    <w:rsid w:val="00C937FE"/>
    <w:rsid w:val="00C93C62"/>
    <w:rsid w:val="00C9403C"/>
    <w:rsid w:val="00C941AB"/>
    <w:rsid w:val="00C94911"/>
    <w:rsid w:val="00C94CA4"/>
    <w:rsid w:val="00C958CE"/>
    <w:rsid w:val="00C9610F"/>
    <w:rsid w:val="00C96172"/>
    <w:rsid w:val="00C968DF"/>
    <w:rsid w:val="00C96B02"/>
    <w:rsid w:val="00C96CDB"/>
    <w:rsid w:val="00C96DB0"/>
    <w:rsid w:val="00C97CEA"/>
    <w:rsid w:val="00C97FC3"/>
    <w:rsid w:val="00CA0187"/>
    <w:rsid w:val="00CA0395"/>
    <w:rsid w:val="00CA0641"/>
    <w:rsid w:val="00CA08B7"/>
    <w:rsid w:val="00CA172A"/>
    <w:rsid w:val="00CA3438"/>
    <w:rsid w:val="00CA362E"/>
    <w:rsid w:val="00CA399E"/>
    <w:rsid w:val="00CA3CC3"/>
    <w:rsid w:val="00CA4320"/>
    <w:rsid w:val="00CA4394"/>
    <w:rsid w:val="00CA4488"/>
    <w:rsid w:val="00CA45C7"/>
    <w:rsid w:val="00CA4AA6"/>
    <w:rsid w:val="00CA4C3E"/>
    <w:rsid w:val="00CA4CDE"/>
    <w:rsid w:val="00CA4D51"/>
    <w:rsid w:val="00CA4FE1"/>
    <w:rsid w:val="00CA547F"/>
    <w:rsid w:val="00CA6027"/>
    <w:rsid w:val="00CA675B"/>
    <w:rsid w:val="00CA6C0F"/>
    <w:rsid w:val="00CA6CD2"/>
    <w:rsid w:val="00CA73E5"/>
    <w:rsid w:val="00CB05B7"/>
    <w:rsid w:val="00CB0F64"/>
    <w:rsid w:val="00CB14F4"/>
    <w:rsid w:val="00CB1536"/>
    <w:rsid w:val="00CB202E"/>
    <w:rsid w:val="00CB263D"/>
    <w:rsid w:val="00CB28F4"/>
    <w:rsid w:val="00CB342D"/>
    <w:rsid w:val="00CB3CEA"/>
    <w:rsid w:val="00CB4228"/>
    <w:rsid w:val="00CB4A89"/>
    <w:rsid w:val="00CB4C77"/>
    <w:rsid w:val="00CB5065"/>
    <w:rsid w:val="00CB540F"/>
    <w:rsid w:val="00CB6462"/>
    <w:rsid w:val="00CB6F43"/>
    <w:rsid w:val="00CB6F9C"/>
    <w:rsid w:val="00CB70E6"/>
    <w:rsid w:val="00CB7315"/>
    <w:rsid w:val="00CB78BA"/>
    <w:rsid w:val="00CB7BCF"/>
    <w:rsid w:val="00CC0112"/>
    <w:rsid w:val="00CC013F"/>
    <w:rsid w:val="00CC0A07"/>
    <w:rsid w:val="00CC0ABF"/>
    <w:rsid w:val="00CC0B55"/>
    <w:rsid w:val="00CC1120"/>
    <w:rsid w:val="00CC1128"/>
    <w:rsid w:val="00CC173D"/>
    <w:rsid w:val="00CC1E93"/>
    <w:rsid w:val="00CC2136"/>
    <w:rsid w:val="00CC2818"/>
    <w:rsid w:val="00CC2877"/>
    <w:rsid w:val="00CC2A5E"/>
    <w:rsid w:val="00CC3929"/>
    <w:rsid w:val="00CC3E10"/>
    <w:rsid w:val="00CC3FED"/>
    <w:rsid w:val="00CC44E1"/>
    <w:rsid w:val="00CC47D0"/>
    <w:rsid w:val="00CC493D"/>
    <w:rsid w:val="00CC4F9D"/>
    <w:rsid w:val="00CC575F"/>
    <w:rsid w:val="00CC57EF"/>
    <w:rsid w:val="00CC589A"/>
    <w:rsid w:val="00CC58F7"/>
    <w:rsid w:val="00CC5FBA"/>
    <w:rsid w:val="00CC7357"/>
    <w:rsid w:val="00CC73B8"/>
    <w:rsid w:val="00CC75C0"/>
    <w:rsid w:val="00CC7EA7"/>
    <w:rsid w:val="00CD095A"/>
    <w:rsid w:val="00CD0F46"/>
    <w:rsid w:val="00CD1C6B"/>
    <w:rsid w:val="00CD1F99"/>
    <w:rsid w:val="00CD252F"/>
    <w:rsid w:val="00CD33E5"/>
    <w:rsid w:val="00CD39ED"/>
    <w:rsid w:val="00CD4A42"/>
    <w:rsid w:val="00CD4B8C"/>
    <w:rsid w:val="00CD544F"/>
    <w:rsid w:val="00CD5CDD"/>
    <w:rsid w:val="00CD5F1A"/>
    <w:rsid w:val="00CD6611"/>
    <w:rsid w:val="00CD6CD5"/>
    <w:rsid w:val="00CD6EDD"/>
    <w:rsid w:val="00CD71E4"/>
    <w:rsid w:val="00CD7B93"/>
    <w:rsid w:val="00CE03E9"/>
    <w:rsid w:val="00CE0974"/>
    <w:rsid w:val="00CE0E07"/>
    <w:rsid w:val="00CE1C05"/>
    <w:rsid w:val="00CE1F4B"/>
    <w:rsid w:val="00CE27DD"/>
    <w:rsid w:val="00CE27F4"/>
    <w:rsid w:val="00CE2869"/>
    <w:rsid w:val="00CE2BE3"/>
    <w:rsid w:val="00CE3A47"/>
    <w:rsid w:val="00CE3A7F"/>
    <w:rsid w:val="00CE3B68"/>
    <w:rsid w:val="00CE4795"/>
    <w:rsid w:val="00CE4A58"/>
    <w:rsid w:val="00CE4BB3"/>
    <w:rsid w:val="00CE4CB1"/>
    <w:rsid w:val="00CE4E34"/>
    <w:rsid w:val="00CE5A0F"/>
    <w:rsid w:val="00CE5C5D"/>
    <w:rsid w:val="00CE629E"/>
    <w:rsid w:val="00CE647D"/>
    <w:rsid w:val="00CE6ACF"/>
    <w:rsid w:val="00CE7523"/>
    <w:rsid w:val="00CE7E80"/>
    <w:rsid w:val="00CF0997"/>
    <w:rsid w:val="00CF0C05"/>
    <w:rsid w:val="00CF104D"/>
    <w:rsid w:val="00CF1139"/>
    <w:rsid w:val="00CF18B7"/>
    <w:rsid w:val="00CF19D5"/>
    <w:rsid w:val="00CF1D9C"/>
    <w:rsid w:val="00CF2B33"/>
    <w:rsid w:val="00CF2F5A"/>
    <w:rsid w:val="00CF3226"/>
    <w:rsid w:val="00CF3495"/>
    <w:rsid w:val="00CF34B7"/>
    <w:rsid w:val="00CF3714"/>
    <w:rsid w:val="00CF3CDF"/>
    <w:rsid w:val="00CF46FD"/>
    <w:rsid w:val="00CF4EEC"/>
    <w:rsid w:val="00CF4EF8"/>
    <w:rsid w:val="00CF5400"/>
    <w:rsid w:val="00CF5C1A"/>
    <w:rsid w:val="00CF5DD8"/>
    <w:rsid w:val="00CF62D4"/>
    <w:rsid w:val="00CF64B3"/>
    <w:rsid w:val="00CF6ADB"/>
    <w:rsid w:val="00CF6F98"/>
    <w:rsid w:val="00CF7D9F"/>
    <w:rsid w:val="00CF7F82"/>
    <w:rsid w:val="00D0089B"/>
    <w:rsid w:val="00D00F07"/>
    <w:rsid w:val="00D02411"/>
    <w:rsid w:val="00D02CF6"/>
    <w:rsid w:val="00D02FBC"/>
    <w:rsid w:val="00D035E4"/>
    <w:rsid w:val="00D036F9"/>
    <w:rsid w:val="00D037E0"/>
    <w:rsid w:val="00D03923"/>
    <w:rsid w:val="00D049DD"/>
    <w:rsid w:val="00D04E19"/>
    <w:rsid w:val="00D05D6D"/>
    <w:rsid w:val="00D05F6E"/>
    <w:rsid w:val="00D06490"/>
    <w:rsid w:val="00D067AA"/>
    <w:rsid w:val="00D07157"/>
    <w:rsid w:val="00D100EB"/>
    <w:rsid w:val="00D103F3"/>
    <w:rsid w:val="00D10BB7"/>
    <w:rsid w:val="00D11132"/>
    <w:rsid w:val="00D11271"/>
    <w:rsid w:val="00D11E24"/>
    <w:rsid w:val="00D1365F"/>
    <w:rsid w:val="00D13797"/>
    <w:rsid w:val="00D13D12"/>
    <w:rsid w:val="00D13DA1"/>
    <w:rsid w:val="00D13DB3"/>
    <w:rsid w:val="00D14038"/>
    <w:rsid w:val="00D141D8"/>
    <w:rsid w:val="00D157BA"/>
    <w:rsid w:val="00D16537"/>
    <w:rsid w:val="00D16FB2"/>
    <w:rsid w:val="00D1719F"/>
    <w:rsid w:val="00D214D3"/>
    <w:rsid w:val="00D21B68"/>
    <w:rsid w:val="00D222E5"/>
    <w:rsid w:val="00D224F6"/>
    <w:rsid w:val="00D22606"/>
    <w:rsid w:val="00D22738"/>
    <w:rsid w:val="00D22D39"/>
    <w:rsid w:val="00D22E17"/>
    <w:rsid w:val="00D232B1"/>
    <w:rsid w:val="00D234B4"/>
    <w:rsid w:val="00D2379E"/>
    <w:rsid w:val="00D23E36"/>
    <w:rsid w:val="00D24030"/>
    <w:rsid w:val="00D2449F"/>
    <w:rsid w:val="00D25D9B"/>
    <w:rsid w:val="00D279B5"/>
    <w:rsid w:val="00D279CB"/>
    <w:rsid w:val="00D27EC4"/>
    <w:rsid w:val="00D30DFE"/>
    <w:rsid w:val="00D31810"/>
    <w:rsid w:val="00D32789"/>
    <w:rsid w:val="00D329FA"/>
    <w:rsid w:val="00D32EA8"/>
    <w:rsid w:val="00D33838"/>
    <w:rsid w:val="00D338A8"/>
    <w:rsid w:val="00D3424E"/>
    <w:rsid w:val="00D34B22"/>
    <w:rsid w:val="00D34BB7"/>
    <w:rsid w:val="00D34C55"/>
    <w:rsid w:val="00D34D8C"/>
    <w:rsid w:val="00D35077"/>
    <w:rsid w:val="00D35511"/>
    <w:rsid w:val="00D3583E"/>
    <w:rsid w:val="00D358C2"/>
    <w:rsid w:val="00D36142"/>
    <w:rsid w:val="00D36468"/>
    <w:rsid w:val="00D36DC7"/>
    <w:rsid w:val="00D376A8"/>
    <w:rsid w:val="00D376CB"/>
    <w:rsid w:val="00D37AE8"/>
    <w:rsid w:val="00D37F51"/>
    <w:rsid w:val="00D40689"/>
    <w:rsid w:val="00D40DE0"/>
    <w:rsid w:val="00D4145C"/>
    <w:rsid w:val="00D4157F"/>
    <w:rsid w:val="00D415E1"/>
    <w:rsid w:val="00D418E2"/>
    <w:rsid w:val="00D42339"/>
    <w:rsid w:val="00D42865"/>
    <w:rsid w:val="00D42F76"/>
    <w:rsid w:val="00D43285"/>
    <w:rsid w:val="00D43638"/>
    <w:rsid w:val="00D4398E"/>
    <w:rsid w:val="00D43E4A"/>
    <w:rsid w:val="00D44072"/>
    <w:rsid w:val="00D443D3"/>
    <w:rsid w:val="00D4516B"/>
    <w:rsid w:val="00D463F0"/>
    <w:rsid w:val="00D46414"/>
    <w:rsid w:val="00D4702A"/>
    <w:rsid w:val="00D473EE"/>
    <w:rsid w:val="00D47841"/>
    <w:rsid w:val="00D47C64"/>
    <w:rsid w:val="00D517A9"/>
    <w:rsid w:val="00D525F6"/>
    <w:rsid w:val="00D529C1"/>
    <w:rsid w:val="00D52CAD"/>
    <w:rsid w:val="00D531A8"/>
    <w:rsid w:val="00D54197"/>
    <w:rsid w:val="00D54889"/>
    <w:rsid w:val="00D54D8E"/>
    <w:rsid w:val="00D553B9"/>
    <w:rsid w:val="00D554C8"/>
    <w:rsid w:val="00D55632"/>
    <w:rsid w:val="00D55AB6"/>
    <w:rsid w:val="00D56278"/>
    <w:rsid w:val="00D56A47"/>
    <w:rsid w:val="00D56C34"/>
    <w:rsid w:val="00D57524"/>
    <w:rsid w:val="00D5776B"/>
    <w:rsid w:val="00D6032D"/>
    <w:rsid w:val="00D60658"/>
    <w:rsid w:val="00D606D2"/>
    <w:rsid w:val="00D607C1"/>
    <w:rsid w:val="00D60E43"/>
    <w:rsid w:val="00D61D09"/>
    <w:rsid w:val="00D61D0A"/>
    <w:rsid w:val="00D61E4E"/>
    <w:rsid w:val="00D6255B"/>
    <w:rsid w:val="00D63757"/>
    <w:rsid w:val="00D64A46"/>
    <w:rsid w:val="00D65278"/>
    <w:rsid w:val="00D65EAD"/>
    <w:rsid w:val="00D6644B"/>
    <w:rsid w:val="00D66595"/>
    <w:rsid w:val="00D66916"/>
    <w:rsid w:val="00D66FBB"/>
    <w:rsid w:val="00D67414"/>
    <w:rsid w:val="00D67A35"/>
    <w:rsid w:val="00D67D9B"/>
    <w:rsid w:val="00D7040F"/>
    <w:rsid w:val="00D70578"/>
    <w:rsid w:val="00D70D1A"/>
    <w:rsid w:val="00D7119C"/>
    <w:rsid w:val="00D7122F"/>
    <w:rsid w:val="00D716D9"/>
    <w:rsid w:val="00D719A8"/>
    <w:rsid w:val="00D7232F"/>
    <w:rsid w:val="00D724AC"/>
    <w:rsid w:val="00D72D23"/>
    <w:rsid w:val="00D72D38"/>
    <w:rsid w:val="00D73706"/>
    <w:rsid w:val="00D73D40"/>
    <w:rsid w:val="00D73F5C"/>
    <w:rsid w:val="00D74046"/>
    <w:rsid w:val="00D74AAF"/>
    <w:rsid w:val="00D7501E"/>
    <w:rsid w:val="00D75A18"/>
    <w:rsid w:val="00D75D61"/>
    <w:rsid w:val="00D762CA"/>
    <w:rsid w:val="00D76421"/>
    <w:rsid w:val="00D76950"/>
    <w:rsid w:val="00D769A7"/>
    <w:rsid w:val="00D7716D"/>
    <w:rsid w:val="00D772D2"/>
    <w:rsid w:val="00D7755D"/>
    <w:rsid w:val="00D77A4E"/>
    <w:rsid w:val="00D77EE1"/>
    <w:rsid w:val="00D80CAD"/>
    <w:rsid w:val="00D817D9"/>
    <w:rsid w:val="00D81910"/>
    <w:rsid w:val="00D81D84"/>
    <w:rsid w:val="00D81FBF"/>
    <w:rsid w:val="00D82247"/>
    <w:rsid w:val="00D82E27"/>
    <w:rsid w:val="00D83233"/>
    <w:rsid w:val="00D84118"/>
    <w:rsid w:val="00D847A2"/>
    <w:rsid w:val="00D8495D"/>
    <w:rsid w:val="00D85F25"/>
    <w:rsid w:val="00D8619A"/>
    <w:rsid w:val="00D86214"/>
    <w:rsid w:val="00D862D8"/>
    <w:rsid w:val="00D8665A"/>
    <w:rsid w:val="00D8684A"/>
    <w:rsid w:val="00D873E3"/>
    <w:rsid w:val="00D874D3"/>
    <w:rsid w:val="00D87519"/>
    <w:rsid w:val="00D87552"/>
    <w:rsid w:val="00D87AC2"/>
    <w:rsid w:val="00D87FE3"/>
    <w:rsid w:val="00D90608"/>
    <w:rsid w:val="00D90A16"/>
    <w:rsid w:val="00D90A4B"/>
    <w:rsid w:val="00D90D2D"/>
    <w:rsid w:val="00D915A3"/>
    <w:rsid w:val="00D929E0"/>
    <w:rsid w:val="00D93940"/>
    <w:rsid w:val="00D939AC"/>
    <w:rsid w:val="00D9488A"/>
    <w:rsid w:val="00D94C54"/>
    <w:rsid w:val="00D954CE"/>
    <w:rsid w:val="00D95623"/>
    <w:rsid w:val="00D96A0A"/>
    <w:rsid w:val="00D96B1B"/>
    <w:rsid w:val="00D96C1F"/>
    <w:rsid w:val="00D977F4"/>
    <w:rsid w:val="00D97C58"/>
    <w:rsid w:val="00DA0329"/>
    <w:rsid w:val="00DA059C"/>
    <w:rsid w:val="00DA174A"/>
    <w:rsid w:val="00DA2169"/>
    <w:rsid w:val="00DA2271"/>
    <w:rsid w:val="00DA22FC"/>
    <w:rsid w:val="00DA24BB"/>
    <w:rsid w:val="00DA27DF"/>
    <w:rsid w:val="00DA29E9"/>
    <w:rsid w:val="00DA2D36"/>
    <w:rsid w:val="00DA302C"/>
    <w:rsid w:val="00DA3F88"/>
    <w:rsid w:val="00DA4200"/>
    <w:rsid w:val="00DA438C"/>
    <w:rsid w:val="00DA4522"/>
    <w:rsid w:val="00DA4E3D"/>
    <w:rsid w:val="00DA559F"/>
    <w:rsid w:val="00DA5BD5"/>
    <w:rsid w:val="00DA5DCA"/>
    <w:rsid w:val="00DA5F19"/>
    <w:rsid w:val="00DA6027"/>
    <w:rsid w:val="00DA602F"/>
    <w:rsid w:val="00DA610F"/>
    <w:rsid w:val="00DA67A5"/>
    <w:rsid w:val="00DA6B9F"/>
    <w:rsid w:val="00DA77E0"/>
    <w:rsid w:val="00DA7EDF"/>
    <w:rsid w:val="00DB0858"/>
    <w:rsid w:val="00DB0876"/>
    <w:rsid w:val="00DB1538"/>
    <w:rsid w:val="00DB2183"/>
    <w:rsid w:val="00DB2C23"/>
    <w:rsid w:val="00DB351D"/>
    <w:rsid w:val="00DB39F0"/>
    <w:rsid w:val="00DB401A"/>
    <w:rsid w:val="00DB41D8"/>
    <w:rsid w:val="00DB496C"/>
    <w:rsid w:val="00DB4AD7"/>
    <w:rsid w:val="00DB4D12"/>
    <w:rsid w:val="00DB4FEA"/>
    <w:rsid w:val="00DB550A"/>
    <w:rsid w:val="00DB6215"/>
    <w:rsid w:val="00DB6241"/>
    <w:rsid w:val="00DB6CCB"/>
    <w:rsid w:val="00DB7063"/>
    <w:rsid w:val="00DC050C"/>
    <w:rsid w:val="00DC0591"/>
    <w:rsid w:val="00DC12D0"/>
    <w:rsid w:val="00DC131F"/>
    <w:rsid w:val="00DC1483"/>
    <w:rsid w:val="00DC19B6"/>
    <w:rsid w:val="00DC1CC8"/>
    <w:rsid w:val="00DC24C0"/>
    <w:rsid w:val="00DC2834"/>
    <w:rsid w:val="00DC2984"/>
    <w:rsid w:val="00DC2C0B"/>
    <w:rsid w:val="00DC3657"/>
    <w:rsid w:val="00DC3C2E"/>
    <w:rsid w:val="00DC40C5"/>
    <w:rsid w:val="00DC417D"/>
    <w:rsid w:val="00DC429E"/>
    <w:rsid w:val="00DC45F0"/>
    <w:rsid w:val="00DC481F"/>
    <w:rsid w:val="00DC491E"/>
    <w:rsid w:val="00DC5466"/>
    <w:rsid w:val="00DC5A58"/>
    <w:rsid w:val="00DC5C52"/>
    <w:rsid w:val="00DC5C97"/>
    <w:rsid w:val="00DC623C"/>
    <w:rsid w:val="00DC69A3"/>
    <w:rsid w:val="00DC768C"/>
    <w:rsid w:val="00DC76B3"/>
    <w:rsid w:val="00DC786B"/>
    <w:rsid w:val="00DC78E5"/>
    <w:rsid w:val="00DD026F"/>
    <w:rsid w:val="00DD04AC"/>
    <w:rsid w:val="00DD07F5"/>
    <w:rsid w:val="00DD1764"/>
    <w:rsid w:val="00DD2161"/>
    <w:rsid w:val="00DD229D"/>
    <w:rsid w:val="00DD27D7"/>
    <w:rsid w:val="00DD28F4"/>
    <w:rsid w:val="00DD3240"/>
    <w:rsid w:val="00DD388F"/>
    <w:rsid w:val="00DD38AF"/>
    <w:rsid w:val="00DD44FC"/>
    <w:rsid w:val="00DD5834"/>
    <w:rsid w:val="00DD66C4"/>
    <w:rsid w:val="00DD6ED8"/>
    <w:rsid w:val="00DD7190"/>
    <w:rsid w:val="00DD72BD"/>
    <w:rsid w:val="00DD7379"/>
    <w:rsid w:val="00DD740E"/>
    <w:rsid w:val="00DD7B31"/>
    <w:rsid w:val="00DE0649"/>
    <w:rsid w:val="00DE0B83"/>
    <w:rsid w:val="00DE0DB4"/>
    <w:rsid w:val="00DE1076"/>
    <w:rsid w:val="00DE12C8"/>
    <w:rsid w:val="00DE1391"/>
    <w:rsid w:val="00DE1CB1"/>
    <w:rsid w:val="00DE1DC4"/>
    <w:rsid w:val="00DE22C1"/>
    <w:rsid w:val="00DE3136"/>
    <w:rsid w:val="00DE3291"/>
    <w:rsid w:val="00DE3605"/>
    <w:rsid w:val="00DE4328"/>
    <w:rsid w:val="00DE463F"/>
    <w:rsid w:val="00DE47D9"/>
    <w:rsid w:val="00DE4A7B"/>
    <w:rsid w:val="00DE586D"/>
    <w:rsid w:val="00DE5CD6"/>
    <w:rsid w:val="00DE5F39"/>
    <w:rsid w:val="00DE64FB"/>
    <w:rsid w:val="00DE6909"/>
    <w:rsid w:val="00DE6945"/>
    <w:rsid w:val="00DE6C16"/>
    <w:rsid w:val="00DE6E01"/>
    <w:rsid w:val="00DE6EF9"/>
    <w:rsid w:val="00DE6F6A"/>
    <w:rsid w:val="00DF01ED"/>
    <w:rsid w:val="00DF0602"/>
    <w:rsid w:val="00DF0EE8"/>
    <w:rsid w:val="00DF1929"/>
    <w:rsid w:val="00DF1A06"/>
    <w:rsid w:val="00DF1B01"/>
    <w:rsid w:val="00DF29D6"/>
    <w:rsid w:val="00DF2B05"/>
    <w:rsid w:val="00DF2CDE"/>
    <w:rsid w:val="00DF2DF0"/>
    <w:rsid w:val="00DF2DFA"/>
    <w:rsid w:val="00DF2E6E"/>
    <w:rsid w:val="00DF3F4D"/>
    <w:rsid w:val="00DF488A"/>
    <w:rsid w:val="00DF4F70"/>
    <w:rsid w:val="00DF64BB"/>
    <w:rsid w:val="00DF6982"/>
    <w:rsid w:val="00DF6FB2"/>
    <w:rsid w:val="00E00129"/>
    <w:rsid w:val="00E006B5"/>
    <w:rsid w:val="00E008AA"/>
    <w:rsid w:val="00E01D8D"/>
    <w:rsid w:val="00E01E28"/>
    <w:rsid w:val="00E01F13"/>
    <w:rsid w:val="00E02673"/>
    <w:rsid w:val="00E0277A"/>
    <w:rsid w:val="00E027FE"/>
    <w:rsid w:val="00E02935"/>
    <w:rsid w:val="00E033FE"/>
    <w:rsid w:val="00E039E8"/>
    <w:rsid w:val="00E040C2"/>
    <w:rsid w:val="00E041F3"/>
    <w:rsid w:val="00E042EB"/>
    <w:rsid w:val="00E04752"/>
    <w:rsid w:val="00E05969"/>
    <w:rsid w:val="00E0681D"/>
    <w:rsid w:val="00E06D83"/>
    <w:rsid w:val="00E076B1"/>
    <w:rsid w:val="00E07B98"/>
    <w:rsid w:val="00E07E42"/>
    <w:rsid w:val="00E10AE6"/>
    <w:rsid w:val="00E110AA"/>
    <w:rsid w:val="00E1141E"/>
    <w:rsid w:val="00E115C1"/>
    <w:rsid w:val="00E11D17"/>
    <w:rsid w:val="00E1279C"/>
    <w:rsid w:val="00E12B50"/>
    <w:rsid w:val="00E12BCC"/>
    <w:rsid w:val="00E12CB0"/>
    <w:rsid w:val="00E12F4B"/>
    <w:rsid w:val="00E132AB"/>
    <w:rsid w:val="00E133BB"/>
    <w:rsid w:val="00E1349D"/>
    <w:rsid w:val="00E135D1"/>
    <w:rsid w:val="00E13742"/>
    <w:rsid w:val="00E146BC"/>
    <w:rsid w:val="00E14A2D"/>
    <w:rsid w:val="00E14C37"/>
    <w:rsid w:val="00E1567A"/>
    <w:rsid w:val="00E158A0"/>
    <w:rsid w:val="00E165E3"/>
    <w:rsid w:val="00E167ED"/>
    <w:rsid w:val="00E16A03"/>
    <w:rsid w:val="00E16AAB"/>
    <w:rsid w:val="00E17040"/>
    <w:rsid w:val="00E206FC"/>
    <w:rsid w:val="00E20CDD"/>
    <w:rsid w:val="00E213F7"/>
    <w:rsid w:val="00E21D1D"/>
    <w:rsid w:val="00E220D8"/>
    <w:rsid w:val="00E22686"/>
    <w:rsid w:val="00E22A93"/>
    <w:rsid w:val="00E22EAF"/>
    <w:rsid w:val="00E22F34"/>
    <w:rsid w:val="00E23091"/>
    <w:rsid w:val="00E2412B"/>
    <w:rsid w:val="00E24661"/>
    <w:rsid w:val="00E2474E"/>
    <w:rsid w:val="00E250F8"/>
    <w:rsid w:val="00E2593D"/>
    <w:rsid w:val="00E25B5A"/>
    <w:rsid w:val="00E25B64"/>
    <w:rsid w:val="00E25D8E"/>
    <w:rsid w:val="00E26A93"/>
    <w:rsid w:val="00E26CBA"/>
    <w:rsid w:val="00E26EDA"/>
    <w:rsid w:val="00E2788B"/>
    <w:rsid w:val="00E278E3"/>
    <w:rsid w:val="00E27E0D"/>
    <w:rsid w:val="00E3009E"/>
    <w:rsid w:val="00E301A5"/>
    <w:rsid w:val="00E30549"/>
    <w:rsid w:val="00E30582"/>
    <w:rsid w:val="00E31C68"/>
    <w:rsid w:val="00E32520"/>
    <w:rsid w:val="00E3284F"/>
    <w:rsid w:val="00E32956"/>
    <w:rsid w:val="00E32B26"/>
    <w:rsid w:val="00E32E43"/>
    <w:rsid w:val="00E33305"/>
    <w:rsid w:val="00E33B94"/>
    <w:rsid w:val="00E34DB3"/>
    <w:rsid w:val="00E35C95"/>
    <w:rsid w:val="00E35D94"/>
    <w:rsid w:val="00E35FF0"/>
    <w:rsid w:val="00E363C7"/>
    <w:rsid w:val="00E36FC1"/>
    <w:rsid w:val="00E37605"/>
    <w:rsid w:val="00E37A54"/>
    <w:rsid w:val="00E37E3F"/>
    <w:rsid w:val="00E40186"/>
    <w:rsid w:val="00E40883"/>
    <w:rsid w:val="00E414F2"/>
    <w:rsid w:val="00E41C39"/>
    <w:rsid w:val="00E41F48"/>
    <w:rsid w:val="00E41FE4"/>
    <w:rsid w:val="00E4235F"/>
    <w:rsid w:val="00E42400"/>
    <w:rsid w:val="00E42C88"/>
    <w:rsid w:val="00E42D10"/>
    <w:rsid w:val="00E42ED3"/>
    <w:rsid w:val="00E43489"/>
    <w:rsid w:val="00E4376C"/>
    <w:rsid w:val="00E43EDB"/>
    <w:rsid w:val="00E44465"/>
    <w:rsid w:val="00E4599E"/>
    <w:rsid w:val="00E461C3"/>
    <w:rsid w:val="00E4658C"/>
    <w:rsid w:val="00E471F5"/>
    <w:rsid w:val="00E4768A"/>
    <w:rsid w:val="00E478A8"/>
    <w:rsid w:val="00E47B3D"/>
    <w:rsid w:val="00E50535"/>
    <w:rsid w:val="00E50818"/>
    <w:rsid w:val="00E50A39"/>
    <w:rsid w:val="00E50AA2"/>
    <w:rsid w:val="00E51567"/>
    <w:rsid w:val="00E5189C"/>
    <w:rsid w:val="00E51E2E"/>
    <w:rsid w:val="00E52830"/>
    <w:rsid w:val="00E535FD"/>
    <w:rsid w:val="00E53930"/>
    <w:rsid w:val="00E53BF3"/>
    <w:rsid w:val="00E53C13"/>
    <w:rsid w:val="00E5415E"/>
    <w:rsid w:val="00E541B3"/>
    <w:rsid w:val="00E54452"/>
    <w:rsid w:val="00E5501A"/>
    <w:rsid w:val="00E551AC"/>
    <w:rsid w:val="00E55828"/>
    <w:rsid w:val="00E55ACC"/>
    <w:rsid w:val="00E560D5"/>
    <w:rsid w:val="00E560DA"/>
    <w:rsid w:val="00E56139"/>
    <w:rsid w:val="00E56407"/>
    <w:rsid w:val="00E564D2"/>
    <w:rsid w:val="00E56D3C"/>
    <w:rsid w:val="00E57383"/>
    <w:rsid w:val="00E57B1A"/>
    <w:rsid w:val="00E57BBF"/>
    <w:rsid w:val="00E601EE"/>
    <w:rsid w:val="00E602AF"/>
    <w:rsid w:val="00E60362"/>
    <w:rsid w:val="00E60520"/>
    <w:rsid w:val="00E6090D"/>
    <w:rsid w:val="00E60B33"/>
    <w:rsid w:val="00E612DA"/>
    <w:rsid w:val="00E62D51"/>
    <w:rsid w:val="00E63559"/>
    <w:rsid w:val="00E6369F"/>
    <w:rsid w:val="00E63948"/>
    <w:rsid w:val="00E6405F"/>
    <w:rsid w:val="00E643E8"/>
    <w:rsid w:val="00E64860"/>
    <w:rsid w:val="00E64A23"/>
    <w:rsid w:val="00E64FB0"/>
    <w:rsid w:val="00E6521A"/>
    <w:rsid w:val="00E65488"/>
    <w:rsid w:val="00E65ACC"/>
    <w:rsid w:val="00E65C4D"/>
    <w:rsid w:val="00E6612D"/>
    <w:rsid w:val="00E6690C"/>
    <w:rsid w:val="00E6751D"/>
    <w:rsid w:val="00E70395"/>
    <w:rsid w:val="00E7047A"/>
    <w:rsid w:val="00E70CD6"/>
    <w:rsid w:val="00E716E6"/>
    <w:rsid w:val="00E717DF"/>
    <w:rsid w:val="00E72BE3"/>
    <w:rsid w:val="00E72D06"/>
    <w:rsid w:val="00E72E5A"/>
    <w:rsid w:val="00E72FDC"/>
    <w:rsid w:val="00E73EE7"/>
    <w:rsid w:val="00E74412"/>
    <w:rsid w:val="00E74CEE"/>
    <w:rsid w:val="00E74DE2"/>
    <w:rsid w:val="00E74F48"/>
    <w:rsid w:val="00E74FC3"/>
    <w:rsid w:val="00E75C1F"/>
    <w:rsid w:val="00E76510"/>
    <w:rsid w:val="00E7666E"/>
    <w:rsid w:val="00E775E1"/>
    <w:rsid w:val="00E77CAF"/>
    <w:rsid w:val="00E77FBD"/>
    <w:rsid w:val="00E803B2"/>
    <w:rsid w:val="00E806ED"/>
    <w:rsid w:val="00E81425"/>
    <w:rsid w:val="00E81CAF"/>
    <w:rsid w:val="00E82ACA"/>
    <w:rsid w:val="00E82CCB"/>
    <w:rsid w:val="00E82DD0"/>
    <w:rsid w:val="00E8321F"/>
    <w:rsid w:val="00E833E8"/>
    <w:rsid w:val="00E8341E"/>
    <w:rsid w:val="00E83443"/>
    <w:rsid w:val="00E83464"/>
    <w:rsid w:val="00E8399D"/>
    <w:rsid w:val="00E8436A"/>
    <w:rsid w:val="00E844E0"/>
    <w:rsid w:val="00E846AA"/>
    <w:rsid w:val="00E847FC"/>
    <w:rsid w:val="00E84CF6"/>
    <w:rsid w:val="00E8527B"/>
    <w:rsid w:val="00E85C53"/>
    <w:rsid w:val="00E85D89"/>
    <w:rsid w:val="00E85E25"/>
    <w:rsid w:val="00E86CBE"/>
    <w:rsid w:val="00E87175"/>
    <w:rsid w:val="00E874D0"/>
    <w:rsid w:val="00E8756D"/>
    <w:rsid w:val="00E8785C"/>
    <w:rsid w:val="00E879F6"/>
    <w:rsid w:val="00E87AFC"/>
    <w:rsid w:val="00E90689"/>
    <w:rsid w:val="00E90F2B"/>
    <w:rsid w:val="00E916B7"/>
    <w:rsid w:val="00E9194D"/>
    <w:rsid w:val="00E9201A"/>
    <w:rsid w:val="00E930EE"/>
    <w:rsid w:val="00E93871"/>
    <w:rsid w:val="00E94296"/>
    <w:rsid w:val="00E944ED"/>
    <w:rsid w:val="00E94F2C"/>
    <w:rsid w:val="00E951FC"/>
    <w:rsid w:val="00E954E7"/>
    <w:rsid w:val="00E956C1"/>
    <w:rsid w:val="00E95DFB"/>
    <w:rsid w:val="00E96009"/>
    <w:rsid w:val="00E969B6"/>
    <w:rsid w:val="00E96E26"/>
    <w:rsid w:val="00E96FA5"/>
    <w:rsid w:val="00E97622"/>
    <w:rsid w:val="00E97674"/>
    <w:rsid w:val="00E9791D"/>
    <w:rsid w:val="00EA071B"/>
    <w:rsid w:val="00EA0BB4"/>
    <w:rsid w:val="00EA0E26"/>
    <w:rsid w:val="00EA1A36"/>
    <w:rsid w:val="00EA1C23"/>
    <w:rsid w:val="00EA24B9"/>
    <w:rsid w:val="00EA258C"/>
    <w:rsid w:val="00EA2772"/>
    <w:rsid w:val="00EA2A5F"/>
    <w:rsid w:val="00EA2D4F"/>
    <w:rsid w:val="00EA330B"/>
    <w:rsid w:val="00EA3396"/>
    <w:rsid w:val="00EA3F36"/>
    <w:rsid w:val="00EA4186"/>
    <w:rsid w:val="00EA581D"/>
    <w:rsid w:val="00EA5B36"/>
    <w:rsid w:val="00EA6129"/>
    <w:rsid w:val="00EA64E7"/>
    <w:rsid w:val="00EA6B05"/>
    <w:rsid w:val="00EA6DCB"/>
    <w:rsid w:val="00EA7719"/>
    <w:rsid w:val="00EB0AAB"/>
    <w:rsid w:val="00EB1CF8"/>
    <w:rsid w:val="00EB2004"/>
    <w:rsid w:val="00EB218A"/>
    <w:rsid w:val="00EB22CB"/>
    <w:rsid w:val="00EB262F"/>
    <w:rsid w:val="00EB2EB3"/>
    <w:rsid w:val="00EB335A"/>
    <w:rsid w:val="00EB33D3"/>
    <w:rsid w:val="00EB3A9B"/>
    <w:rsid w:val="00EB3B2F"/>
    <w:rsid w:val="00EB479C"/>
    <w:rsid w:val="00EB52CF"/>
    <w:rsid w:val="00EB5548"/>
    <w:rsid w:val="00EB5B66"/>
    <w:rsid w:val="00EB61C9"/>
    <w:rsid w:val="00EB6312"/>
    <w:rsid w:val="00EB662B"/>
    <w:rsid w:val="00EB70B8"/>
    <w:rsid w:val="00EC0071"/>
    <w:rsid w:val="00EC0C5B"/>
    <w:rsid w:val="00EC0F12"/>
    <w:rsid w:val="00EC12F3"/>
    <w:rsid w:val="00EC13ED"/>
    <w:rsid w:val="00EC1884"/>
    <w:rsid w:val="00EC2387"/>
    <w:rsid w:val="00EC2ABC"/>
    <w:rsid w:val="00EC3160"/>
    <w:rsid w:val="00EC375C"/>
    <w:rsid w:val="00EC3931"/>
    <w:rsid w:val="00EC4144"/>
    <w:rsid w:val="00EC4B95"/>
    <w:rsid w:val="00EC4F16"/>
    <w:rsid w:val="00EC558B"/>
    <w:rsid w:val="00EC60E5"/>
    <w:rsid w:val="00EC6414"/>
    <w:rsid w:val="00EC6C9E"/>
    <w:rsid w:val="00EC78A1"/>
    <w:rsid w:val="00EC79BE"/>
    <w:rsid w:val="00EC7D35"/>
    <w:rsid w:val="00EC7D6A"/>
    <w:rsid w:val="00EC7F4E"/>
    <w:rsid w:val="00ED011F"/>
    <w:rsid w:val="00ED0942"/>
    <w:rsid w:val="00ED0991"/>
    <w:rsid w:val="00ED0B17"/>
    <w:rsid w:val="00ED1300"/>
    <w:rsid w:val="00ED17B2"/>
    <w:rsid w:val="00ED1BD6"/>
    <w:rsid w:val="00ED2115"/>
    <w:rsid w:val="00ED2318"/>
    <w:rsid w:val="00ED3061"/>
    <w:rsid w:val="00ED3D96"/>
    <w:rsid w:val="00ED4231"/>
    <w:rsid w:val="00ED46D4"/>
    <w:rsid w:val="00ED473E"/>
    <w:rsid w:val="00ED50D1"/>
    <w:rsid w:val="00ED597A"/>
    <w:rsid w:val="00ED5D0C"/>
    <w:rsid w:val="00ED5E53"/>
    <w:rsid w:val="00ED5ED2"/>
    <w:rsid w:val="00ED6074"/>
    <w:rsid w:val="00ED6C07"/>
    <w:rsid w:val="00ED6C5D"/>
    <w:rsid w:val="00ED74C3"/>
    <w:rsid w:val="00ED7573"/>
    <w:rsid w:val="00ED79F1"/>
    <w:rsid w:val="00ED7EB9"/>
    <w:rsid w:val="00EE06D5"/>
    <w:rsid w:val="00EE06E7"/>
    <w:rsid w:val="00EE090E"/>
    <w:rsid w:val="00EE13C2"/>
    <w:rsid w:val="00EE1827"/>
    <w:rsid w:val="00EE1D23"/>
    <w:rsid w:val="00EE1DE8"/>
    <w:rsid w:val="00EE2196"/>
    <w:rsid w:val="00EE224E"/>
    <w:rsid w:val="00EE3154"/>
    <w:rsid w:val="00EE35A8"/>
    <w:rsid w:val="00EE38DE"/>
    <w:rsid w:val="00EE3CDA"/>
    <w:rsid w:val="00EE3DC7"/>
    <w:rsid w:val="00EE429F"/>
    <w:rsid w:val="00EE42E6"/>
    <w:rsid w:val="00EE4668"/>
    <w:rsid w:val="00EE5FEB"/>
    <w:rsid w:val="00EE658F"/>
    <w:rsid w:val="00EE69F6"/>
    <w:rsid w:val="00EE6C2B"/>
    <w:rsid w:val="00EE6FD1"/>
    <w:rsid w:val="00EE777D"/>
    <w:rsid w:val="00EE7A0F"/>
    <w:rsid w:val="00EE7A1E"/>
    <w:rsid w:val="00EE7ABF"/>
    <w:rsid w:val="00EE7C4F"/>
    <w:rsid w:val="00EE7E11"/>
    <w:rsid w:val="00EF0287"/>
    <w:rsid w:val="00EF0904"/>
    <w:rsid w:val="00EF0ED6"/>
    <w:rsid w:val="00EF169D"/>
    <w:rsid w:val="00EF1867"/>
    <w:rsid w:val="00EF1DCE"/>
    <w:rsid w:val="00EF20E0"/>
    <w:rsid w:val="00EF2116"/>
    <w:rsid w:val="00EF2B7A"/>
    <w:rsid w:val="00EF3038"/>
    <w:rsid w:val="00EF3315"/>
    <w:rsid w:val="00EF45C0"/>
    <w:rsid w:val="00EF46BE"/>
    <w:rsid w:val="00EF4DFA"/>
    <w:rsid w:val="00EF5853"/>
    <w:rsid w:val="00EF5CA0"/>
    <w:rsid w:val="00EF5E69"/>
    <w:rsid w:val="00EF6CFB"/>
    <w:rsid w:val="00EF75F4"/>
    <w:rsid w:val="00EF7BF0"/>
    <w:rsid w:val="00EF7E6C"/>
    <w:rsid w:val="00F0010A"/>
    <w:rsid w:val="00F01949"/>
    <w:rsid w:val="00F01DDF"/>
    <w:rsid w:val="00F01F45"/>
    <w:rsid w:val="00F01F56"/>
    <w:rsid w:val="00F0238A"/>
    <w:rsid w:val="00F02437"/>
    <w:rsid w:val="00F04D62"/>
    <w:rsid w:val="00F05093"/>
    <w:rsid w:val="00F06772"/>
    <w:rsid w:val="00F06B6B"/>
    <w:rsid w:val="00F07347"/>
    <w:rsid w:val="00F07558"/>
    <w:rsid w:val="00F079E8"/>
    <w:rsid w:val="00F07D4C"/>
    <w:rsid w:val="00F107DA"/>
    <w:rsid w:val="00F108BA"/>
    <w:rsid w:val="00F1125D"/>
    <w:rsid w:val="00F12933"/>
    <w:rsid w:val="00F12C34"/>
    <w:rsid w:val="00F12D0B"/>
    <w:rsid w:val="00F12E4C"/>
    <w:rsid w:val="00F12E74"/>
    <w:rsid w:val="00F1335B"/>
    <w:rsid w:val="00F137F6"/>
    <w:rsid w:val="00F13A7D"/>
    <w:rsid w:val="00F14335"/>
    <w:rsid w:val="00F145F1"/>
    <w:rsid w:val="00F14701"/>
    <w:rsid w:val="00F14C8B"/>
    <w:rsid w:val="00F14EA7"/>
    <w:rsid w:val="00F150BC"/>
    <w:rsid w:val="00F15309"/>
    <w:rsid w:val="00F15CCD"/>
    <w:rsid w:val="00F160C1"/>
    <w:rsid w:val="00F167F7"/>
    <w:rsid w:val="00F16FBE"/>
    <w:rsid w:val="00F17014"/>
    <w:rsid w:val="00F1713C"/>
    <w:rsid w:val="00F176FB"/>
    <w:rsid w:val="00F17C84"/>
    <w:rsid w:val="00F17F90"/>
    <w:rsid w:val="00F215E2"/>
    <w:rsid w:val="00F21753"/>
    <w:rsid w:val="00F228BC"/>
    <w:rsid w:val="00F230D2"/>
    <w:rsid w:val="00F23152"/>
    <w:rsid w:val="00F24208"/>
    <w:rsid w:val="00F24A9C"/>
    <w:rsid w:val="00F24F6E"/>
    <w:rsid w:val="00F25EB9"/>
    <w:rsid w:val="00F25FD5"/>
    <w:rsid w:val="00F27439"/>
    <w:rsid w:val="00F27AED"/>
    <w:rsid w:val="00F27B24"/>
    <w:rsid w:val="00F3004D"/>
    <w:rsid w:val="00F302BA"/>
    <w:rsid w:val="00F30C0E"/>
    <w:rsid w:val="00F30E60"/>
    <w:rsid w:val="00F30FCA"/>
    <w:rsid w:val="00F31264"/>
    <w:rsid w:val="00F3153E"/>
    <w:rsid w:val="00F32064"/>
    <w:rsid w:val="00F320BD"/>
    <w:rsid w:val="00F3306F"/>
    <w:rsid w:val="00F332AE"/>
    <w:rsid w:val="00F341A0"/>
    <w:rsid w:val="00F347C4"/>
    <w:rsid w:val="00F349EF"/>
    <w:rsid w:val="00F34CA9"/>
    <w:rsid w:val="00F34FCA"/>
    <w:rsid w:val="00F351C0"/>
    <w:rsid w:val="00F3621E"/>
    <w:rsid w:val="00F369BD"/>
    <w:rsid w:val="00F37159"/>
    <w:rsid w:val="00F37F1C"/>
    <w:rsid w:val="00F37F22"/>
    <w:rsid w:val="00F401F2"/>
    <w:rsid w:val="00F40B17"/>
    <w:rsid w:val="00F4214E"/>
    <w:rsid w:val="00F42B28"/>
    <w:rsid w:val="00F42FFB"/>
    <w:rsid w:val="00F43638"/>
    <w:rsid w:val="00F4424F"/>
    <w:rsid w:val="00F450F8"/>
    <w:rsid w:val="00F45B7C"/>
    <w:rsid w:val="00F45DDD"/>
    <w:rsid w:val="00F4621F"/>
    <w:rsid w:val="00F462D4"/>
    <w:rsid w:val="00F4637C"/>
    <w:rsid w:val="00F46C7B"/>
    <w:rsid w:val="00F478F9"/>
    <w:rsid w:val="00F5070B"/>
    <w:rsid w:val="00F50BD0"/>
    <w:rsid w:val="00F50EAF"/>
    <w:rsid w:val="00F510AE"/>
    <w:rsid w:val="00F51473"/>
    <w:rsid w:val="00F514CD"/>
    <w:rsid w:val="00F51541"/>
    <w:rsid w:val="00F5165B"/>
    <w:rsid w:val="00F51AC5"/>
    <w:rsid w:val="00F51F20"/>
    <w:rsid w:val="00F5232D"/>
    <w:rsid w:val="00F523EE"/>
    <w:rsid w:val="00F53181"/>
    <w:rsid w:val="00F5350F"/>
    <w:rsid w:val="00F53843"/>
    <w:rsid w:val="00F5386F"/>
    <w:rsid w:val="00F54917"/>
    <w:rsid w:val="00F54A17"/>
    <w:rsid w:val="00F54D1F"/>
    <w:rsid w:val="00F550B9"/>
    <w:rsid w:val="00F55174"/>
    <w:rsid w:val="00F551C5"/>
    <w:rsid w:val="00F554F2"/>
    <w:rsid w:val="00F55627"/>
    <w:rsid w:val="00F55CCE"/>
    <w:rsid w:val="00F55E4B"/>
    <w:rsid w:val="00F5610B"/>
    <w:rsid w:val="00F56FA5"/>
    <w:rsid w:val="00F57122"/>
    <w:rsid w:val="00F60516"/>
    <w:rsid w:val="00F60865"/>
    <w:rsid w:val="00F60B8D"/>
    <w:rsid w:val="00F60E44"/>
    <w:rsid w:val="00F61593"/>
    <w:rsid w:val="00F619CD"/>
    <w:rsid w:val="00F61EFE"/>
    <w:rsid w:val="00F62147"/>
    <w:rsid w:val="00F62390"/>
    <w:rsid w:val="00F631D0"/>
    <w:rsid w:val="00F63781"/>
    <w:rsid w:val="00F64206"/>
    <w:rsid w:val="00F64CB6"/>
    <w:rsid w:val="00F64E1F"/>
    <w:rsid w:val="00F653C1"/>
    <w:rsid w:val="00F657F5"/>
    <w:rsid w:val="00F65F1F"/>
    <w:rsid w:val="00F65F20"/>
    <w:rsid w:val="00F65FE6"/>
    <w:rsid w:val="00F667AF"/>
    <w:rsid w:val="00F672E4"/>
    <w:rsid w:val="00F6730A"/>
    <w:rsid w:val="00F673E3"/>
    <w:rsid w:val="00F6754C"/>
    <w:rsid w:val="00F67AAA"/>
    <w:rsid w:val="00F67C03"/>
    <w:rsid w:val="00F67D91"/>
    <w:rsid w:val="00F700A9"/>
    <w:rsid w:val="00F7030C"/>
    <w:rsid w:val="00F70A4E"/>
    <w:rsid w:val="00F70F55"/>
    <w:rsid w:val="00F711B7"/>
    <w:rsid w:val="00F71950"/>
    <w:rsid w:val="00F71FEB"/>
    <w:rsid w:val="00F7207F"/>
    <w:rsid w:val="00F7221F"/>
    <w:rsid w:val="00F72485"/>
    <w:rsid w:val="00F72C4B"/>
    <w:rsid w:val="00F72F73"/>
    <w:rsid w:val="00F73601"/>
    <w:rsid w:val="00F736F4"/>
    <w:rsid w:val="00F73CE5"/>
    <w:rsid w:val="00F744E7"/>
    <w:rsid w:val="00F74938"/>
    <w:rsid w:val="00F74C84"/>
    <w:rsid w:val="00F750DE"/>
    <w:rsid w:val="00F7524E"/>
    <w:rsid w:val="00F753BF"/>
    <w:rsid w:val="00F75546"/>
    <w:rsid w:val="00F76F4C"/>
    <w:rsid w:val="00F77164"/>
    <w:rsid w:val="00F77355"/>
    <w:rsid w:val="00F77D76"/>
    <w:rsid w:val="00F801BE"/>
    <w:rsid w:val="00F80256"/>
    <w:rsid w:val="00F80530"/>
    <w:rsid w:val="00F815D1"/>
    <w:rsid w:val="00F81611"/>
    <w:rsid w:val="00F81BDE"/>
    <w:rsid w:val="00F81F07"/>
    <w:rsid w:val="00F82836"/>
    <w:rsid w:val="00F8288E"/>
    <w:rsid w:val="00F82E27"/>
    <w:rsid w:val="00F83A21"/>
    <w:rsid w:val="00F83AB9"/>
    <w:rsid w:val="00F8434F"/>
    <w:rsid w:val="00F845DC"/>
    <w:rsid w:val="00F84BE4"/>
    <w:rsid w:val="00F84E86"/>
    <w:rsid w:val="00F8579F"/>
    <w:rsid w:val="00F85871"/>
    <w:rsid w:val="00F863CF"/>
    <w:rsid w:val="00F86A0C"/>
    <w:rsid w:val="00F873BE"/>
    <w:rsid w:val="00F87794"/>
    <w:rsid w:val="00F901AA"/>
    <w:rsid w:val="00F910AD"/>
    <w:rsid w:val="00F9113D"/>
    <w:rsid w:val="00F912E4"/>
    <w:rsid w:val="00F91721"/>
    <w:rsid w:val="00F91FA6"/>
    <w:rsid w:val="00F92399"/>
    <w:rsid w:val="00F92406"/>
    <w:rsid w:val="00F9295E"/>
    <w:rsid w:val="00F92DC4"/>
    <w:rsid w:val="00F940EB"/>
    <w:rsid w:val="00F94573"/>
    <w:rsid w:val="00F945BE"/>
    <w:rsid w:val="00F94B07"/>
    <w:rsid w:val="00F94DC5"/>
    <w:rsid w:val="00F951A1"/>
    <w:rsid w:val="00F9538E"/>
    <w:rsid w:val="00F953D9"/>
    <w:rsid w:val="00F9555E"/>
    <w:rsid w:val="00F95A87"/>
    <w:rsid w:val="00F95C79"/>
    <w:rsid w:val="00F95C9E"/>
    <w:rsid w:val="00F962AE"/>
    <w:rsid w:val="00F9667A"/>
    <w:rsid w:val="00F96A7A"/>
    <w:rsid w:val="00F96B98"/>
    <w:rsid w:val="00F97066"/>
    <w:rsid w:val="00F971E1"/>
    <w:rsid w:val="00F97437"/>
    <w:rsid w:val="00F97876"/>
    <w:rsid w:val="00F97EB2"/>
    <w:rsid w:val="00FA05D0"/>
    <w:rsid w:val="00FA091D"/>
    <w:rsid w:val="00FA0DF4"/>
    <w:rsid w:val="00FA1137"/>
    <w:rsid w:val="00FA13D9"/>
    <w:rsid w:val="00FA15A2"/>
    <w:rsid w:val="00FA1611"/>
    <w:rsid w:val="00FA1B99"/>
    <w:rsid w:val="00FA1B9D"/>
    <w:rsid w:val="00FA1C64"/>
    <w:rsid w:val="00FA23C2"/>
    <w:rsid w:val="00FA2519"/>
    <w:rsid w:val="00FA261C"/>
    <w:rsid w:val="00FA347B"/>
    <w:rsid w:val="00FA36B7"/>
    <w:rsid w:val="00FA3EF5"/>
    <w:rsid w:val="00FA4047"/>
    <w:rsid w:val="00FA4523"/>
    <w:rsid w:val="00FA456F"/>
    <w:rsid w:val="00FA476A"/>
    <w:rsid w:val="00FA4A28"/>
    <w:rsid w:val="00FA4C9A"/>
    <w:rsid w:val="00FA4D8A"/>
    <w:rsid w:val="00FA4F82"/>
    <w:rsid w:val="00FA6AA0"/>
    <w:rsid w:val="00FA6C9C"/>
    <w:rsid w:val="00FA7451"/>
    <w:rsid w:val="00FA7FF8"/>
    <w:rsid w:val="00FB08B3"/>
    <w:rsid w:val="00FB0F1A"/>
    <w:rsid w:val="00FB1455"/>
    <w:rsid w:val="00FB14F1"/>
    <w:rsid w:val="00FB1A0A"/>
    <w:rsid w:val="00FB1C59"/>
    <w:rsid w:val="00FB1FB9"/>
    <w:rsid w:val="00FB2133"/>
    <w:rsid w:val="00FB264A"/>
    <w:rsid w:val="00FB2E8A"/>
    <w:rsid w:val="00FB39C9"/>
    <w:rsid w:val="00FB3A7C"/>
    <w:rsid w:val="00FB3D3C"/>
    <w:rsid w:val="00FB3DE1"/>
    <w:rsid w:val="00FB40E9"/>
    <w:rsid w:val="00FB454A"/>
    <w:rsid w:val="00FB4646"/>
    <w:rsid w:val="00FB46FA"/>
    <w:rsid w:val="00FB4B20"/>
    <w:rsid w:val="00FB4BF3"/>
    <w:rsid w:val="00FB4EDC"/>
    <w:rsid w:val="00FB4FE1"/>
    <w:rsid w:val="00FB5008"/>
    <w:rsid w:val="00FB50FF"/>
    <w:rsid w:val="00FB544C"/>
    <w:rsid w:val="00FB558C"/>
    <w:rsid w:val="00FB5A0F"/>
    <w:rsid w:val="00FB5C1B"/>
    <w:rsid w:val="00FB5F34"/>
    <w:rsid w:val="00FB6216"/>
    <w:rsid w:val="00FB68C6"/>
    <w:rsid w:val="00FB6BA6"/>
    <w:rsid w:val="00FB7257"/>
    <w:rsid w:val="00FB72AA"/>
    <w:rsid w:val="00FB78AE"/>
    <w:rsid w:val="00FB78D1"/>
    <w:rsid w:val="00FC0069"/>
    <w:rsid w:val="00FC0189"/>
    <w:rsid w:val="00FC073A"/>
    <w:rsid w:val="00FC18D1"/>
    <w:rsid w:val="00FC22E7"/>
    <w:rsid w:val="00FC27D8"/>
    <w:rsid w:val="00FC2BB0"/>
    <w:rsid w:val="00FC2DEC"/>
    <w:rsid w:val="00FC3012"/>
    <w:rsid w:val="00FC4E0D"/>
    <w:rsid w:val="00FC4F45"/>
    <w:rsid w:val="00FC56B2"/>
    <w:rsid w:val="00FC5786"/>
    <w:rsid w:val="00FC5C6B"/>
    <w:rsid w:val="00FC69E8"/>
    <w:rsid w:val="00FC6DF0"/>
    <w:rsid w:val="00FC73AA"/>
    <w:rsid w:val="00FC759B"/>
    <w:rsid w:val="00FC75C8"/>
    <w:rsid w:val="00FC7672"/>
    <w:rsid w:val="00FD1017"/>
    <w:rsid w:val="00FD111F"/>
    <w:rsid w:val="00FD13D2"/>
    <w:rsid w:val="00FD18BA"/>
    <w:rsid w:val="00FD1B9C"/>
    <w:rsid w:val="00FD1D54"/>
    <w:rsid w:val="00FD1E6E"/>
    <w:rsid w:val="00FD24E3"/>
    <w:rsid w:val="00FD2866"/>
    <w:rsid w:val="00FD29A9"/>
    <w:rsid w:val="00FD2AF2"/>
    <w:rsid w:val="00FD3219"/>
    <w:rsid w:val="00FD3763"/>
    <w:rsid w:val="00FD3FB0"/>
    <w:rsid w:val="00FD41DD"/>
    <w:rsid w:val="00FD4BBC"/>
    <w:rsid w:val="00FD4D50"/>
    <w:rsid w:val="00FD5A30"/>
    <w:rsid w:val="00FD5F19"/>
    <w:rsid w:val="00FD6D20"/>
    <w:rsid w:val="00FD77BB"/>
    <w:rsid w:val="00FD7DF7"/>
    <w:rsid w:val="00FE0036"/>
    <w:rsid w:val="00FE0825"/>
    <w:rsid w:val="00FE0A99"/>
    <w:rsid w:val="00FE0C4F"/>
    <w:rsid w:val="00FE0C53"/>
    <w:rsid w:val="00FE12C4"/>
    <w:rsid w:val="00FE177F"/>
    <w:rsid w:val="00FE1786"/>
    <w:rsid w:val="00FE2A3B"/>
    <w:rsid w:val="00FE311E"/>
    <w:rsid w:val="00FE3686"/>
    <w:rsid w:val="00FE37DB"/>
    <w:rsid w:val="00FE3A0A"/>
    <w:rsid w:val="00FE3ABF"/>
    <w:rsid w:val="00FE3DE2"/>
    <w:rsid w:val="00FE4521"/>
    <w:rsid w:val="00FE4624"/>
    <w:rsid w:val="00FE4BDF"/>
    <w:rsid w:val="00FE5B37"/>
    <w:rsid w:val="00FE5BF7"/>
    <w:rsid w:val="00FE5D83"/>
    <w:rsid w:val="00FE6577"/>
    <w:rsid w:val="00FE66FB"/>
    <w:rsid w:val="00FE71BE"/>
    <w:rsid w:val="00FF0197"/>
    <w:rsid w:val="00FF01C5"/>
    <w:rsid w:val="00FF0645"/>
    <w:rsid w:val="00FF0B89"/>
    <w:rsid w:val="00FF1B0F"/>
    <w:rsid w:val="00FF2435"/>
    <w:rsid w:val="00FF2A7F"/>
    <w:rsid w:val="00FF2B3B"/>
    <w:rsid w:val="00FF2B3C"/>
    <w:rsid w:val="00FF3086"/>
    <w:rsid w:val="00FF30FC"/>
    <w:rsid w:val="00FF32BA"/>
    <w:rsid w:val="00FF32FA"/>
    <w:rsid w:val="00FF3F6F"/>
    <w:rsid w:val="00FF487E"/>
    <w:rsid w:val="00FF4F4C"/>
    <w:rsid w:val="00FF608A"/>
    <w:rsid w:val="00FF63B2"/>
    <w:rsid w:val="00FF6C1E"/>
    <w:rsid w:val="00FF7393"/>
    <w:rsid w:val="00FF7964"/>
    <w:rsid w:val="2EB2A0EA"/>
    <w:rsid w:val="5FE24026"/>
    <w:rsid w:val="70BDBF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51EAC"/>
  <w15:chartTrackingRefBased/>
  <w15:docId w15:val="{E1BEED9C-E79A-427E-9BCB-9DB8EEDE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heme="minorHAnsi" w:hAnsi="Montserrat"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01"/>
    <w:pPr>
      <w:suppressAutoHyphens/>
      <w:spacing w:before="160" w:line="300" w:lineRule="atLeast"/>
    </w:pPr>
    <w:rPr>
      <w:sz w:val="22"/>
      <w:lang w:val="en-AU"/>
    </w:rPr>
  </w:style>
  <w:style w:type="paragraph" w:styleId="Heading1">
    <w:name w:val="heading 1"/>
    <w:next w:val="Normal"/>
    <w:link w:val="Heading1Char"/>
    <w:autoRedefine/>
    <w:uiPriority w:val="9"/>
    <w:qFormat/>
    <w:rsid w:val="00171F66"/>
    <w:pPr>
      <w:keepNext/>
      <w:keepLines/>
      <w:tabs>
        <w:tab w:val="center" w:pos="4819"/>
      </w:tabs>
      <w:suppressAutoHyphens/>
      <w:spacing w:before="240" w:after="240"/>
      <w:outlineLvl w:val="0"/>
    </w:pPr>
    <w:rPr>
      <w:rFonts w:ascii="Montserrat SemiBold" w:eastAsiaTheme="majorEastAsia" w:hAnsi="Montserrat SemiBold" w:cstheme="majorBidi"/>
      <w:color w:val="00305E" w:themeColor="text2"/>
      <w:sz w:val="36"/>
      <w:szCs w:val="32"/>
      <w:lang w:val="en-AU"/>
    </w:rPr>
  </w:style>
  <w:style w:type="paragraph" w:styleId="Heading2">
    <w:name w:val="heading 2"/>
    <w:next w:val="Normal"/>
    <w:link w:val="Heading2Char"/>
    <w:autoRedefine/>
    <w:uiPriority w:val="9"/>
    <w:unhideWhenUsed/>
    <w:qFormat/>
    <w:rsid w:val="00171F66"/>
    <w:pPr>
      <w:keepNext/>
      <w:keepLines/>
      <w:suppressAutoHyphens/>
      <w:spacing w:before="240" w:after="120"/>
      <w:outlineLvl w:val="1"/>
    </w:pPr>
    <w:rPr>
      <w:rFonts w:ascii="Montserrat Medium" w:eastAsiaTheme="majorEastAsia" w:hAnsi="Montserrat Medium" w:cstheme="majorBidi"/>
      <w:color w:val="01838F" w:themeColor="accent1"/>
      <w:sz w:val="32"/>
      <w:szCs w:val="26"/>
      <w:lang w:val="en-AU"/>
    </w:rPr>
  </w:style>
  <w:style w:type="paragraph" w:styleId="Heading3">
    <w:name w:val="heading 3"/>
    <w:next w:val="Normal"/>
    <w:link w:val="Heading3Char"/>
    <w:autoRedefine/>
    <w:uiPriority w:val="9"/>
    <w:unhideWhenUsed/>
    <w:qFormat/>
    <w:rsid w:val="00226621"/>
    <w:pPr>
      <w:keepNext/>
      <w:keepLines/>
      <w:suppressAutoHyphens/>
      <w:spacing w:before="360"/>
      <w:outlineLvl w:val="2"/>
    </w:pPr>
    <w:rPr>
      <w:rFonts w:eastAsiaTheme="majorEastAsia" w:cstheme="majorBidi"/>
      <w:color w:val="00305E" w:themeColor="text2"/>
      <w:sz w:val="28"/>
      <w:szCs w:val="24"/>
      <w:lang w:val="en-AU"/>
    </w:rPr>
  </w:style>
  <w:style w:type="paragraph" w:styleId="Heading4">
    <w:name w:val="heading 4"/>
    <w:next w:val="Normal"/>
    <w:link w:val="Heading4Char"/>
    <w:autoRedefine/>
    <w:uiPriority w:val="9"/>
    <w:unhideWhenUsed/>
    <w:qFormat/>
    <w:rsid w:val="008A3421"/>
    <w:pPr>
      <w:keepNext/>
      <w:keepLines/>
      <w:suppressAutoHyphens/>
      <w:spacing w:before="360" w:after="120"/>
      <w:outlineLvl w:val="3"/>
    </w:pPr>
    <w:rPr>
      <w:rFonts w:ascii="Montserrat SemiBold" w:eastAsiaTheme="majorEastAsia" w:hAnsi="Montserrat SemiBold" w:cstheme="majorBidi"/>
      <w:iCs/>
      <w:color w:val="00305E" w:themeColor="text2"/>
      <w:sz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autoRedefine/>
    <w:uiPriority w:val="99"/>
    <w:unhideWhenUsed/>
    <w:rsid w:val="008A3421"/>
    <w:pPr>
      <w:tabs>
        <w:tab w:val="center" w:pos="4680"/>
        <w:tab w:val="right" w:pos="9360"/>
      </w:tabs>
      <w:spacing w:after="0" w:line="240" w:lineRule="auto"/>
    </w:pPr>
    <w:rPr>
      <w:color w:val="00305E" w:themeColor="text2"/>
      <w:lang w:val="en-AU"/>
    </w:rPr>
  </w:style>
  <w:style w:type="character" w:customStyle="1" w:styleId="HeaderChar">
    <w:name w:val="Header Char"/>
    <w:basedOn w:val="DefaultParagraphFont"/>
    <w:link w:val="Header"/>
    <w:uiPriority w:val="99"/>
    <w:rsid w:val="008A3421"/>
    <w:rPr>
      <w:color w:val="00305E" w:themeColor="text2"/>
      <w:lang w:val="en-AU"/>
    </w:rPr>
  </w:style>
  <w:style w:type="paragraph" w:styleId="Footer">
    <w:name w:val="footer"/>
    <w:basedOn w:val="Normal"/>
    <w:link w:val="FooterChar"/>
    <w:autoRedefine/>
    <w:uiPriority w:val="99"/>
    <w:unhideWhenUsed/>
    <w:rsid w:val="008A3421"/>
    <w:pPr>
      <w:tabs>
        <w:tab w:val="center" w:pos="4680"/>
        <w:tab w:val="right" w:pos="9360"/>
      </w:tabs>
      <w:spacing w:after="0" w:line="240" w:lineRule="auto"/>
    </w:pPr>
    <w:rPr>
      <w:rFonts w:ascii="Montserrat Medium" w:hAnsi="Montserrat Medium"/>
      <w:color w:val="000000" w:themeColor="text1"/>
      <w:sz w:val="20"/>
    </w:rPr>
  </w:style>
  <w:style w:type="character" w:customStyle="1" w:styleId="FooterChar">
    <w:name w:val="Footer Char"/>
    <w:basedOn w:val="DefaultParagraphFont"/>
    <w:link w:val="Footer"/>
    <w:uiPriority w:val="99"/>
    <w:rsid w:val="008A3421"/>
    <w:rPr>
      <w:rFonts w:ascii="Montserrat Medium" w:hAnsi="Montserrat Medium"/>
      <w:color w:val="000000" w:themeColor="text1"/>
      <w:lang w:val="en-AU"/>
    </w:rPr>
  </w:style>
  <w:style w:type="paragraph" w:customStyle="1" w:styleId="Logo-coverpage">
    <w:name w:val="Logo - cover page"/>
    <w:basedOn w:val="Header"/>
    <w:autoRedefine/>
    <w:rsid w:val="008A3421"/>
    <w:pPr>
      <w:jc w:val="right"/>
    </w:pPr>
  </w:style>
  <w:style w:type="character" w:customStyle="1" w:styleId="Heading1Char">
    <w:name w:val="Heading 1 Char"/>
    <w:basedOn w:val="DefaultParagraphFont"/>
    <w:link w:val="Heading1"/>
    <w:uiPriority w:val="9"/>
    <w:rsid w:val="00171F66"/>
    <w:rPr>
      <w:rFonts w:ascii="Montserrat SemiBold" w:eastAsiaTheme="majorEastAsia" w:hAnsi="Montserrat SemiBold" w:cstheme="majorBidi"/>
      <w:color w:val="00305E" w:themeColor="text2"/>
      <w:sz w:val="36"/>
      <w:szCs w:val="32"/>
      <w:lang w:val="en-AU"/>
    </w:rPr>
  </w:style>
  <w:style w:type="character" w:customStyle="1" w:styleId="Heading2Char">
    <w:name w:val="Heading 2 Char"/>
    <w:basedOn w:val="DefaultParagraphFont"/>
    <w:link w:val="Heading2"/>
    <w:uiPriority w:val="9"/>
    <w:rsid w:val="00171F66"/>
    <w:rPr>
      <w:rFonts w:ascii="Montserrat Medium" w:eastAsiaTheme="majorEastAsia" w:hAnsi="Montserrat Medium" w:cstheme="majorBidi"/>
      <w:color w:val="01838F" w:themeColor="accent1"/>
      <w:sz w:val="32"/>
      <w:szCs w:val="26"/>
      <w:lang w:val="en-AU"/>
    </w:rPr>
  </w:style>
  <w:style w:type="character" w:customStyle="1" w:styleId="Heading3Char">
    <w:name w:val="Heading 3 Char"/>
    <w:basedOn w:val="DefaultParagraphFont"/>
    <w:link w:val="Heading3"/>
    <w:uiPriority w:val="9"/>
    <w:rsid w:val="00226621"/>
    <w:rPr>
      <w:rFonts w:eastAsiaTheme="majorEastAsia" w:cstheme="majorBidi"/>
      <w:color w:val="00305E" w:themeColor="text2"/>
      <w:sz w:val="28"/>
      <w:szCs w:val="24"/>
      <w:lang w:val="en-AU"/>
    </w:rPr>
  </w:style>
  <w:style w:type="paragraph" w:customStyle="1" w:styleId="Designernotes">
    <w:name w:val="Designer notes"/>
    <w:autoRedefine/>
    <w:rsid w:val="008A3421"/>
    <w:rPr>
      <w:rFonts w:eastAsiaTheme="majorEastAsia" w:cstheme="majorBidi"/>
      <w:color w:val="A31F60" w:themeColor="accent5"/>
      <w:sz w:val="22"/>
      <w:szCs w:val="26"/>
      <w:lang w:val="en-AU"/>
    </w:rPr>
  </w:style>
  <w:style w:type="character" w:styleId="PlaceholderText">
    <w:name w:val="Placeholder Text"/>
    <w:basedOn w:val="DefaultParagraphFont"/>
    <w:uiPriority w:val="99"/>
    <w:semiHidden/>
    <w:rsid w:val="00E1141E"/>
    <w:rPr>
      <w:color w:val="808080"/>
    </w:rPr>
  </w:style>
  <w:style w:type="character" w:styleId="Strong">
    <w:name w:val="Strong"/>
    <w:aliases w:val="Bold"/>
    <w:basedOn w:val="DefaultParagraphFont"/>
    <w:uiPriority w:val="22"/>
    <w:qFormat/>
    <w:rsid w:val="00ED597A"/>
    <w:rPr>
      <w:b/>
      <w:bCs/>
    </w:rPr>
  </w:style>
  <w:style w:type="paragraph" w:styleId="TOC1">
    <w:name w:val="toc 1"/>
    <w:next w:val="Normal"/>
    <w:autoRedefine/>
    <w:uiPriority w:val="39"/>
    <w:unhideWhenUsed/>
    <w:rsid w:val="008A3421"/>
    <w:pPr>
      <w:pBdr>
        <w:bottom w:val="single" w:sz="8" w:space="5" w:color="01838F" w:themeColor="accent1"/>
        <w:between w:val="single" w:sz="8" w:space="1" w:color="01838F" w:themeColor="accent1"/>
      </w:pBdr>
      <w:suppressAutoHyphens/>
      <w:spacing w:before="400" w:after="120"/>
    </w:pPr>
    <w:rPr>
      <w:rFonts w:ascii="Montserrat SemiBold" w:hAnsi="Montserrat SemiBold"/>
      <w:color w:val="00305E" w:themeColor="text2"/>
      <w:sz w:val="24"/>
      <w:lang w:val="en-AU"/>
    </w:rPr>
  </w:style>
  <w:style w:type="paragraph" w:styleId="TOCHeading">
    <w:name w:val="TOC Heading"/>
    <w:next w:val="Normal"/>
    <w:uiPriority w:val="39"/>
    <w:unhideWhenUsed/>
    <w:rsid w:val="005D7048"/>
    <w:pPr>
      <w:spacing w:before="600" w:after="360"/>
    </w:pPr>
    <w:rPr>
      <w:rFonts w:ascii="Montserrat Medium" w:eastAsiaTheme="majorEastAsia" w:hAnsi="Montserrat Medium" w:cstheme="majorBidi"/>
      <w:color w:val="00305E" w:themeColor="text2"/>
      <w:sz w:val="36"/>
      <w:szCs w:val="32"/>
      <w:lang w:val="en-AU"/>
    </w:rPr>
  </w:style>
  <w:style w:type="character" w:styleId="Hyperlink">
    <w:name w:val="Hyperlink"/>
    <w:basedOn w:val="DefaultParagraphFont"/>
    <w:uiPriority w:val="99"/>
    <w:unhideWhenUsed/>
    <w:qFormat/>
    <w:rsid w:val="00A0175B"/>
    <w:rPr>
      <w:color w:val="01838F" w:themeColor="hyperlink"/>
      <w:u w:val="single"/>
    </w:rPr>
  </w:style>
  <w:style w:type="character" w:styleId="UnresolvedMention">
    <w:name w:val="Unresolved Mention"/>
    <w:basedOn w:val="DefaultParagraphFont"/>
    <w:uiPriority w:val="99"/>
    <w:semiHidden/>
    <w:unhideWhenUsed/>
    <w:rsid w:val="00A0175B"/>
    <w:rPr>
      <w:color w:val="605E5C"/>
      <w:shd w:val="clear" w:color="auto" w:fill="E1DFDD"/>
    </w:rPr>
  </w:style>
  <w:style w:type="character" w:customStyle="1" w:styleId="Footerurl">
    <w:name w:val="Footer url"/>
    <w:basedOn w:val="DefaultParagraphFont"/>
    <w:uiPriority w:val="1"/>
    <w:rsid w:val="00F700A9"/>
    <w:rPr>
      <w:rFonts w:ascii="Montserrat Medium" w:hAnsi="Montserrat Medium"/>
      <w:color w:val="01838F" w:themeColor="accent1"/>
    </w:rPr>
  </w:style>
  <w:style w:type="paragraph" w:styleId="Title">
    <w:name w:val="Title"/>
    <w:next w:val="Subtitle"/>
    <w:link w:val="TitleChar"/>
    <w:autoRedefine/>
    <w:uiPriority w:val="10"/>
    <w:qFormat/>
    <w:rsid w:val="00DB496C"/>
    <w:pPr>
      <w:spacing w:before="240" w:after="120"/>
    </w:pPr>
    <w:rPr>
      <w:rFonts w:eastAsiaTheme="majorEastAsia" w:cstheme="majorBidi"/>
      <w:b/>
      <w:color w:val="00305E" w:themeColor="text2"/>
      <w:sz w:val="56"/>
      <w:szCs w:val="32"/>
      <w:lang w:val="en-AU"/>
    </w:rPr>
  </w:style>
  <w:style w:type="character" w:customStyle="1" w:styleId="TitleChar">
    <w:name w:val="Title Char"/>
    <w:basedOn w:val="DefaultParagraphFont"/>
    <w:link w:val="Title"/>
    <w:uiPriority w:val="10"/>
    <w:rsid w:val="00DB496C"/>
    <w:rPr>
      <w:rFonts w:eastAsiaTheme="majorEastAsia" w:cstheme="majorBidi"/>
      <w:b/>
      <w:color w:val="00305E" w:themeColor="text2"/>
      <w:sz w:val="56"/>
      <w:szCs w:val="32"/>
      <w:lang w:val="en-AU"/>
    </w:rPr>
  </w:style>
  <w:style w:type="paragraph" w:styleId="Subtitle">
    <w:name w:val="Subtitle"/>
    <w:next w:val="Normal"/>
    <w:link w:val="SubtitleChar"/>
    <w:autoRedefine/>
    <w:uiPriority w:val="11"/>
    <w:qFormat/>
    <w:rsid w:val="008A3421"/>
    <w:rPr>
      <w:rFonts w:ascii="Montserrat Medium" w:eastAsiaTheme="majorEastAsia" w:hAnsi="Montserrat Medium" w:cstheme="majorBidi"/>
      <w:color w:val="01838F" w:themeColor="accent1"/>
      <w:sz w:val="44"/>
      <w:szCs w:val="26"/>
      <w:lang w:val="en-AU"/>
    </w:rPr>
  </w:style>
  <w:style w:type="character" w:customStyle="1" w:styleId="SubtitleChar">
    <w:name w:val="Subtitle Char"/>
    <w:basedOn w:val="DefaultParagraphFont"/>
    <w:link w:val="Subtitle"/>
    <w:uiPriority w:val="11"/>
    <w:rsid w:val="008A3421"/>
    <w:rPr>
      <w:rFonts w:ascii="Montserrat Medium" w:eastAsiaTheme="majorEastAsia" w:hAnsi="Montserrat Medium" w:cstheme="majorBidi"/>
      <w:color w:val="01838F" w:themeColor="accent1"/>
      <w:sz w:val="44"/>
      <w:szCs w:val="26"/>
      <w:lang w:val="en-AU"/>
    </w:rPr>
  </w:style>
  <w:style w:type="character" w:customStyle="1" w:styleId="Heading4Char">
    <w:name w:val="Heading 4 Char"/>
    <w:basedOn w:val="DefaultParagraphFont"/>
    <w:link w:val="Heading4"/>
    <w:uiPriority w:val="9"/>
    <w:rsid w:val="008A3421"/>
    <w:rPr>
      <w:rFonts w:ascii="Montserrat SemiBold" w:eastAsiaTheme="majorEastAsia" w:hAnsi="Montserrat SemiBold" w:cstheme="majorBidi"/>
      <w:iCs/>
      <w:color w:val="00305E" w:themeColor="text2"/>
      <w:sz w:val="22"/>
      <w:lang w:val="en-AU"/>
    </w:rPr>
  </w:style>
  <w:style w:type="character" w:customStyle="1" w:styleId="Italic">
    <w:name w:val="Italic"/>
    <w:basedOn w:val="DefaultParagraphFont"/>
    <w:uiPriority w:val="1"/>
    <w:qFormat/>
    <w:rsid w:val="0087550E"/>
    <w:rPr>
      <w:i/>
    </w:rPr>
  </w:style>
  <w:style w:type="paragraph" w:customStyle="1" w:styleId="Introduction">
    <w:name w:val="Introduction"/>
    <w:basedOn w:val="Normal"/>
    <w:autoRedefine/>
    <w:qFormat/>
    <w:rsid w:val="00AE1BDE"/>
    <w:pPr>
      <w:pBdr>
        <w:top w:val="single" w:sz="6" w:space="8" w:color="01838F" w:themeColor="accent1"/>
        <w:bottom w:val="single" w:sz="6" w:space="8" w:color="01838F" w:themeColor="accent1"/>
      </w:pBdr>
      <w:spacing w:before="360" w:line="320" w:lineRule="exact"/>
    </w:pPr>
    <w:rPr>
      <w:color w:val="01838F" w:themeColor="accent1"/>
      <w:sz w:val="24"/>
    </w:rPr>
  </w:style>
  <w:style w:type="paragraph" w:styleId="ListBullet">
    <w:name w:val="List Bullet"/>
    <w:autoRedefine/>
    <w:uiPriority w:val="99"/>
    <w:unhideWhenUsed/>
    <w:qFormat/>
    <w:rsid w:val="008A3421"/>
    <w:pPr>
      <w:numPr>
        <w:numId w:val="1"/>
      </w:numPr>
      <w:suppressAutoHyphens/>
      <w:spacing w:after="120"/>
      <w:ind w:left="284" w:hanging="284"/>
    </w:pPr>
    <w:rPr>
      <w:sz w:val="22"/>
      <w:lang w:val="en-AU"/>
    </w:rPr>
  </w:style>
  <w:style w:type="paragraph" w:styleId="ListBullet2">
    <w:name w:val="List Bullet 2"/>
    <w:autoRedefine/>
    <w:uiPriority w:val="99"/>
    <w:unhideWhenUsed/>
    <w:qFormat/>
    <w:rsid w:val="008A3421"/>
    <w:pPr>
      <w:numPr>
        <w:numId w:val="2"/>
      </w:numPr>
      <w:suppressAutoHyphens/>
      <w:spacing w:after="120"/>
      <w:ind w:left="568" w:hanging="284"/>
    </w:pPr>
    <w:rPr>
      <w:sz w:val="22"/>
      <w:lang w:val="en-AU"/>
    </w:rPr>
  </w:style>
  <w:style w:type="paragraph" w:styleId="ListBullet3">
    <w:name w:val="List Bullet 3"/>
    <w:autoRedefine/>
    <w:uiPriority w:val="99"/>
    <w:unhideWhenUsed/>
    <w:qFormat/>
    <w:rsid w:val="008A3421"/>
    <w:pPr>
      <w:numPr>
        <w:numId w:val="5"/>
      </w:numPr>
      <w:suppressAutoHyphens/>
      <w:spacing w:after="120"/>
      <w:ind w:left="851" w:hanging="284"/>
    </w:pPr>
    <w:rPr>
      <w:sz w:val="22"/>
      <w:lang w:val="en-AU"/>
    </w:rPr>
  </w:style>
  <w:style w:type="paragraph" w:styleId="ListNumber">
    <w:name w:val="List Number"/>
    <w:autoRedefine/>
    <w:uiPriority w:val="99"/>
    <w:unhideWhenUsed/>
    <w:qFormat/>
    <w:rsid w:val="008A3421"/>
    <w:pPr>
      <w:numPr>
        <w:numId w:val="3"/>
      </w:numPr>
      <w:spacing w:after="120"/>
      <w:ind w:left="357" w:hanging="357"/>
    </w:pPr>
    <w:rPr>
      <w:sz w:val="22"/>
      <w:lang w:val="en-AU"/>
    </w:rPr>
  </w:style>
  <w:style w:type="paragraph" w:styleId="ListNumber2">
    <w:name w:val="List Number 2"/>
    <w:autoRedefine/>
    <w:uiPriority w:val="99"/>
    <w:unhideWhenUsed/>
    <w:qFormat/>
    <w:rsid w:val="008A3421"/>
    <w:pPr>
      <w:numPr>
        <w:numId w:val="4"/>
      </w:numPr>
      <w:spacing w:after="120"/>
      <w:ind w:left="738" w:hanging="284"/>
    </w:pPr>
    <w:rPr>
      <w:sz w:val="22"/>
      <w:lang w:val="en-AU"/>
    </w:rPr>
  </w:style>
  <w:style w:type="paragraph" w:styleId="ListNumber3">
    <w:name w:val="List Number 3"/>
    <w:autoRedefine/>
    <w:uiPriority w:val="99"/>
    <w:unhideWhenUsed/>
    <w:qFormat/>
    <w:rsid w:val="00B5546E"/>
    <w:pPr>
      <w:suppressAutoHyphens/>
      <w:spacing w:after="120"/>
    </w:pPr>
    <w:rPr>
      <w:sz w:val="22"/>
      <w:lang w:val="en-AU"/>
    </w:rPr>
  </w:style>
  <w:style w:type="paragraph" w:styleId="Quote">
    <w:name w:val="Quote"/>
    <w:next w:val="Normal"/>
    <w:link w:val="QuoteChar"/>
    <w:autoRedefine/>
    <w:uiPriority w:val="29"/>
    <w:qFormat/>
    <w:rsid w:val="00EF7BF0"/>
    <w:pPr>
      <w:spacing w:before="360" w:after="360" w:line="280" w:lineRule="atLeast"/>
      <w:ind w:left="720" w:right="851"/>
    </w:pPr>
    <w:rPr>
      <w:iCs/>
      <w:color w:val="01838F" w:themeColor="accent1"/>
      <w:sz w:val="22"/>
      <w:lang w:val="en-AU"/>
    </w:rPr>
  </w:style>
  <w:style w:type="character" w:customStyle="1" w:styleId="QuoteChar">
    <w:name w:val="Quote Char"/>
    <w:basedOn w:val="DefaultParagraphFont"/>
    <w:link w:val="Quote"/>
    <w:uiPriority w:val="29"/>
    <w:rsid w:val="00EF7BF0"/>
    <w:rPr>
      <w:iCs/>
      <w:color w:val="01838F" w:themeColor="accent1"/>
      <w:sz w:val="22"/>
      <w:lang w:val="en-AU"/>
    </w:rPr>
  </w:style>
  <w:style w:type="paragraph" w:styleId="FootnoteText">
    <w:name w:val="footnote text"/>
    <w:basedOn w:val="Normal"/>
    <w:link w:val="FootnoteTextChar"/>
    <w:autoRedefine/>
    <w:uiPriority w:val="99"/>
    <w:unhideWhenUsed/>
    <w:rsid w:val="008A3421"/>
    <w:pPr>
      <w:spacing w:before="0" w:after="0" w:line="240" w:lineRule="auto"/>
    </w:pPr>
    <w:rPr>
      <w:sz w:val="18"/>
    </w:rPr>
  </w:style>
  <w:style w:type="character" w:customStyle="1" w:styleId="FootnoteTextChar">
    <w:name w:val="Footnote Text Char"/>
    <w:basedOn w:val="DefaultParagraphFont"/>
    <w:link w:val="FootnoteText"/>
    <w:uiPriority w:val="99"/>
    <w:rsid w:val="008A3421"/>
    <w:rPr>
      <w:sz w:val="18"/>
      <w:lang w:val="en-AU"/>
    </w:rPr>
  </w:style>
  <w:style w:type="character" w:styleId="FootnoteReference">
    <w:name w:val="footnote reference"/>
    <w:basedOn w:val="DefaultParagraphFont"/>
    <w:uiPriority w:val="99"/>
    <w:semiHidden/>
    <w:unhideWhenUsed/>
    <w:rsid w:val="00237F92"/>
    <w:rPr>
      <w:vertAlign w:val="superscript"/>
    </w:rPr>
  </w:style>
  <w:style w:type="character" w:styleId="CommentReference">
    <w:name w:val="annotation reference"/>
    <w:basedOn w:val="DefaultParagraphFont"/>
    <w:uiPriority w:val="99"/>
    <w:semiHidden/>
    <w:unhideWhenUsed/>
    <w:rsid w:val="00F369BD"/>
    <w:rPr>
      <w:sz w:val="16"/>
      <w:szCs w:val="16"/>
    </w:rPr>
  </w:style>
  <w:style w:type="paragraph" w:styleId="Caption">
    <w:name w:val="caption"/>
    <w:aliases w:val="Image title"/>
    <w:next w:val="Normal"/>
    <w:uiPriority w:val="35"/>
    <w:unhideWhenUsed/>
    <w:qFormat/>
    <w:rsid w:val="00746E6C"/>
    <w:pPr>
      <w:keepNext/>
      <w:spacing w:before="480" w:after="240" w:line="240" w:lineRule="auto"/>
    </w:pPr>
    <w:rPr>
      <w:rFonts w:ascii="Montserrat Medium" w:hAnsi="Montserrat Medium"/>
      <w:iCs/>
      <w:color w:val="01838F" w:themeColor="accent1"/>
      <w:szCs w:val="18"/>
      <w:lang w:val="en-AU"/>
    </w:rPr>
  </w:style>
  <w:style w:type="paragraph" w:customStyle="1" w:styleId="Imagecaption">
    <w:name w:val="Image caption"/>
    <w:aliases w:val="table caption"/>
    <w:qFormat/>
    <w:rsid w:val="008A3421"/>
    <w:pPr>
      <w:spacing w:before="120" w:after="240"/>
    </w:pPr>
    <w:rPr>
      <w:sz w:val="18"/>
      <w:lang w:val="en-AU"/>
    </w:rPr>
  </w:style>
  <w:style w:type="character" w:styleId="FollowedHyperlink">
    <w:name w:val="FollowedHyperlink"/>
    <w:basedOn w:val="DefaultParagraphFont"/>
    <w:uiPriority w:val="99"/>
    <w:semiHidden/>
    <w:unhideWhenUsed/>
    <w:rsid w:val="00887E39"/>
    <w:rPr>
      <w:color w:val="01838F" w:themeColor="followedHyperlink"/>
      <w:u w:val="single"/>
    </w:rPr>
  </w:style>
  <w:style w:type="table" w:styleId="TableGrid">
    <w:name w:val="Table Grid"/>
    <w:aliases w:val="AERO basic table"/>
    <w:basedOn w:val="TableNormal"/>
    <w:uiPriority w:val="39"/>
    <w:rsid w:val="00C80A40"/>
    <w:pPr>
      <w:suppressAutoHyphens/>
      <w:spacing w:after="0" w:line="240" w:lineRule="auto"/>
    </w:pPr>
    <w:rPr>
      <w:sz w:val="22"/>
    </w:rPr>
    <w:tblPr>
      <w:tblBorders>
        <w:bottom w:val="single" w:sz="12" w:space="0" w:color="01838F" w:themeColor="accent1"/>
        <w:insideH w:val="single" w:sz="4" w:space="0" w:color="01838F" w:themeColor="accent1"/>
        <w:insideV w:val="single" w:sz="4" w:space="0" w:color="01838F" w:themeColor="accent1"/>
      </w:tblBorders>
      <w:tblCellMar>
        <w:left w:w="85" w:type="dxa"/>
        <w:bottom w:w="142" w:type="dxa"/>
        <w:right w:w="85" w:type="dxa"/>
      </w:tblCellMar>
    </w:tblPr>
    <w:tcPr>
      <w:shd w:val="clear" w:color="auto" w:fill="auto"/>
    </w:tcPr>
    <w:tblStylePr w:type="firstRow">
      <w:pPr>
        <w:jc w:val="left"/>
      </w:pPr>
      <w:rPr>
        <w:rFonts w:ascii="Bell MT" w:hAnsi="Bell MT"/>
        <w:color w:val="FFFFFF" w:themeColor="background2"/>
      </w:rPr>
      <w:tblPr/>
      <w:trPr>
        <w:tblHeader/>
      </w:trPr>
      <w:tcPr>
        <w:shd w:val="clear" w:color="auto" w:fill="01838F" w:themeFill="accent1"/>
      </w:tcPr>
    </w:tblStylePr>
  </w:style>
  <w:style w:type="table" w:styleId="TableGridLight">
    <w:name w:val="Grid Table Light"/>
    <w:aliases w:val="Call-out box"/>
    <w:basedOn w:val="TableNormal"/>
    <w:uiPriority w:val="40"/>
    <w:rsid w:val="00034F8D"/>
    <w:pPr>
      <w:spacing w:after="0" w:line="280" w:lineRule="atLeast"/>
    </w:pPr>
    <w:rPr>
      <w:sz w:val="22"/>
    </w:rPr>
    <w:tblPr>
      <w:tblBorders>
        <w:top w:val="single" w:sz="4" w:space="0" w:color="01838F" w:themeColor="accent1"/>
        <w:left w:val="single" w:sz="4" w:space="0" w:color="01838F" w:themeColor="accent1"/>
        <w:bottom w:val="single" w:sz="4" w:space="0" w:color="01838F" w:themeColor="accent1"/>
        <w:right w:val="single" w:sz="4" w:space="0" w:color="01838F" w:themeColor="accent1"/>
      </w:tblBorders>
      <w:tblCellMar>
        <w:top w:w="170" w:type="dxa"/>
        <w:left w:w="170" w:type="dxa"/>
        <w:bottom w:w="170" w:type="dxa"/>
        <w:right w:w="170" w:type="dxa"/>
      </w:tblCellMar>
    </w:tblPr>
    <w:tcPr>
      <w:shd w:val="clear" w:color="auto" w:fill="E8FCFA"/>
    </w:tcPr>
    <w:tblStylePr w:type="firstRow">
      <w:rPr>
        <w:b/>
      </w:rPr>
      <w:tblPr/>
      <w:trPr>
        <w:tblHeader/>
      </w:trPr>
    </w:tblStylePr>
  </w:style>
  <w:style w:type="paragraph" w:styleId="NormalWeb">
    <w:name w:val="Normal (Web)"/>
    <w:basedOn w:val="Normal"/>
    <w:uiPriority w:val="99"/>
    <w:semiHidden/>
    <w:unhideWhenUsed/>
    <w:rsid w:val="00B2599B"/>
    <w:pPr>
      <w:suppressAutoHyphens w:val="0"/>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2">
    <w:name w:val="toc 2"/>
    <w:next w:val="Normal"/>
    <w:autoRedefine/>
    <w:uiPriority w:val="39"/>
    <w:unhideWhenUsed/>
    <w:rsid w:val="008A3421"/>
    <w:pPr>
      <w:tabs>
        <w:tab w:val="right" w:pos="9639"/>
      </w:tabs>
      <w:spacing w:before="160"/>
      <w:ind w:left="227"/>
    </w:pPr>
    <w:rPr>
      <w:noProof/>
      <w:sz w:val="22"/>
      <w:lang w:val="en-AU"/>
    </w:rPr>
  </w:style>
  <w:style w:type="paragraph" w:styleId="TOC3">
    <w:name w:val="toc 3"/>
    <w:basedOn w:val="Normal"/>
    <w:next w:val="Normal"/>
    <w:autoRedefine/>
    <w:uiPriority w:val="39"/>
    <w:unhideWhenUsed/>
    <w:rsid w:val="008A3421"/>
    <w:pPr>
      <w:tabs>
        <w:tab w:val="right" w:pos="9639"/>
      </w:tabs>
      <w:spacing w:after="100"/>
      <w:ind w:left="440"/>
    </w:pPr>
  </w:style>
  <w:style w:type="paragraph" w:styleId="Revision">
    <w:name w:val="Revision"/>
    <w:hidden/>
    <w:uiPriority w:val="99"/>
    <w:semiHidden/>
    <w:rsid w:val="00B32943"/>
    <w:pPr>
      <w:spacing w:after="0" w:line="240" w:lineRule="auto"/>
    </w:pPr>
    <w:rPr>
      <w:sz w:val="22"/>
    </w:rPr>
  </w:style>
  <w:style w:type="paragraph" w:styleId="CommentSubject">
    <w:name w:val="annotation subject"/>
    <w:basedOn w:val="Normal"/>
    <w:next w:val="Normal"/>
    <w:link w:val="CommentSubjectChar"/>
    <w:uiPriority w:val="99"/>
    <w:semiHidden/>
    <w:unhideWhenUsed/>
    <w:rsid w:val="00A343F6"/>
    <w:rPr>
      <w:b/>
      <w:bCs/>
    </w:rPr>
  </w:style>
  <w:style w:type="character" w:customStyle="1" w:styleId="CommentSubjectChar">
    <w:name w:val="Comment Subject Char"/>
    <w:basedOn w:val="DefaultParagraphFont"/>
    <w:link w:val="CommentSubject"/>
    <w:uiPriority w:val="99"/>
    <w:semiHidden/>
    <w:rsid w:val="00A343F6"/>
    <w:rPr>
      <w:b/>
      <w:bCs/>
    </w:rPr>
  </w:style>
  <w:style w:type="paragraph" w:styleId="Date">
    <w:name w:val="Date"/>
    <w:next w:val="Normal"/>
    <w:link w:val="DateChar"/>
    <w:autoRedefine/>
    <w:uiPriority w:val="99"/>
    <w:unhideWhenUsed/>
    <w:qFormat/>
    <w:rsid w:val="00171F66"/>
    <w:pPr>
      <w:spacing w:before="240" w:after="120"/>
    </w:pPr>
    <w:rPr>
      <w:color w:val="757575"/>
      <w:lang w:val="en-AU"/>
    </w:rPr>
  </w:style>
  <w:style w:type="character" w:customStyle="1" w:styleId="DateChar">
    <w:name w:val="Date Char"/>
    <w:basedOn w:val="DefaultParagraphFont"/>
    <w:link w:val="Date"/>
    <w:uiPriority w:val="99"/>
    <w:rsid w:val="00171F66"/>
    <w:rPr>
      <w:color w:val="757575"/>
      <w:lang w:val="en-AU"/>
    </w:rPr>
  </w:style>
  <w:style w:type="paragraph" w:customStyle="1" w:styleId="Style1-Heading3">
    <w:name w:val="Style1 - Heading 3"/>
    <w:basedOn w:val="Normal"/>
    <w:link w:val="Style1-Heading3Char"/>
    <w:qFormat/>
    <w:rsid w:val="00676926"/>
    <w:pPr>
      <w:suppressAutoHyphens w:val="0"/>
      <w:spacing w:before="0" w:line="259" w:lineRule="auto"/>
      <w:ind w:left="142"/>
    </w:pPr>
    <w:rPr>
      <w:rFonts w:ascii="Futura PT Demi" w:hAnsi="Futura PT Demi" w:cs="Arial"/>
      <w:color w:val="33A391"/>
      <w:sz w:val="24"/>
      <w:szCs w:val="24"/>
    </w:rPr>
  </w:style>
  <w:style w:type="character" w:customStyle="1" w:styleId="Style1-Heading3Char">
    <w:name w:val="Style1 - Heading 3 Char"/>
    <w:basedOn w:val="DefaultParagraphFont"/>
    <w:link w:val="Style1-Heading3"/>
    <w:rsid w:val="00676926"/>
    <w:rPr>
      <w:rFonts w:ascii="Futura PT Demi" w:hAnsi="Futura PT Demi" w:cs="Arial"/>
      <w:color w:val="33A391"/>
      <w:sz w:val="24"/>
      <w:szCs w:val="24"/>
      <w:lang w:val="en-AU"/>
    </w:rPr>
  </w:style>
  <w:style w:type="paragraph" w:styleId="CommentText">
    <w:name w:val="annotation text"/>
    <w:basedOn w:val="Normal"/>
    <w:link w:val="CommentTextChar"/>
    <w:uiPriority w:val="99"/>
    <w:unhideWhenUsed/>
    <w:rsid w:val="00C45F7C"/>
    <w:pPr>
      <w:spacing w:line="240" w:lineRule="auto"/>
    </w:pPr>
    <w:rPr>
      <w:sz w:val="20"/>
    </w:rPr>
  </w:style>
  <w:style w:type="character" w:customStyle="1" w:styleId="CommentTextChar">
    <w:name w:val="Comment Text Char"/>
    <w:basedOn w:val="DefaultParagraphFont"/>
    <w:link w:val="CommentText"/>
    <w:uiPriority w:val="99"/>
    <w:rsid w:val="00C45F7C"/>
    <w:rPr>
      <w:lang w:val="en-AU"/>
    </w:rPr>
  </w:style>
  <w:style w:type="paragraph" w:styleId="ListParagraph">
    <w:name w:val="List Paragraph"/>
    <w:basedOn w:val="Normal"/>
    <w:uiPriority w:val="34"/>
    <w:qFormat/>
    <w:rsid w:val="00BD65A5"/>
    <w:pPr>
      <w:suppressAutoHyphens w:val="0"/>
      <w:spacing w:before="0" w:line="259" w:lineRule="auto"/>
      <w:ind w:left="720"/>
      <w:contextualSpacing/>
    </w:pPr>
    <w:rPr>
      <w:szCs w:val="22"/>
    </w:rPr>
  </w:style>
  <w:style w:type="paragraph" w:customStyle="1" w:styleId="pf0">
    <w:name w:val="pf0"/>
    <w:basedOn w:val="Normal"/>
    <w:rsid w:val="00726F29"/>
    <w:pPr>
      <w:suppressAutoHyphens w:val="0"/>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726F29"/>
    <w:rPr>
      <w:rFonts w:ascii="Segoe UI" w:hAnsi="Segoe UI" w:cs="Segoe UI" w:hint="default"/>
      <w:sz w:val="18"/>
      <w:szCs w:val="18"/>
    </w:rPr>
  </w:style>
  <w:style w:type="paragraph" w:customStyle="1" w:styleId="Default">
    <w:name w:val="Default"/>
    <w:rsid w:val="00CD544F"/>
    <w:pPr>
      <w:autoSpaceDE w:val="0"/>
      <w:autoSpaceDN w:val="0"/>
      <w:adjustRightInd w:val="0"/>
      <w:spacing w:after="0" w:line="240" w:lineRule="auto"/>
    </w:pPr>
    <w:rPr>
      <w:rFonts w:ascii="Swis721 Lt BT" w:hAnsi="Swis721 Lt BT" w:cs="Swis721 Lt BT"/>
      <w:color w:val="000000"/>
      <w:sz w:val="24"/>
      <w:szCs w:val="24"/>
    </w:rPr>
  </w:style>
  <w:style w:type="paragraph" w:customStyle="1" w:styleId="Pa18">
    <w:name w:val="Pa18"/>
    <w:basedOn w:val="Default"/>
    <w:next w:val="Default"/>
    <w:uiPriority w:val="99"/>
    <w:rsid w:val="00CD544F"/>
    <w:pPr>
      <w:spacing w:line="201" w:lineRule="atLeast"/>
    </w:pPr>
    <w:rPr>
      <w:rFonts w:cstheme="minorBidi"/>
      <w:color w:val="auto"/>
    </w:rPr>
  </w:style>
  <w:style w:type="character" w:customStyle="1" w:styleId="A12">
    <w:name w:val="A12"/>
    <w:uiPriority w:val="99"/>
    <w:rsid w:val="00CD544F"/>
    <w:rPr>
      <w:rFonts w:cs="Swis721 Lt BT"/>
      <w:color w:val="007378"/>
      <w:sz w:val="20"/>
      <w:szCs w:val="20"/>
    </w:rPr>
  </w:style>
  <w:style w:type="character" w:styleId="Mention">
    <w:name w:val="Mention"/>
    <w:basedOn w:val="DefaultParagraphFont"/>
    <w:uiPriority w:val="99"/>
    <w:unhideWhenUsed/>
    <w:rsid w:val="00F72F73"/>
    <w:rPr>
      <w:color w:val="2B579A"/>
      <w:shd w:val="clear" w:color="auto" w:fill="E1DFDD"/>
    </w:rPr>
  </w:style>
  <w:style w:type="paragraph" w:styleId="Bibliography">
    <w:name w:val="Bibliography"/>
    <w:basedOn w:val="Normal"/>
    <w:next w:val="Normal"/>
    <w:uiPriority w:val="37"/>
    <w:unhideWhenUsed/>
    <w:rsid w:val="00BB2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13500">
      <w:bodyDiv w:val="1"/>
      <w:marLeft w:val="0"/>
      <w:marRight w:val="0"/>
      <w:marTop w:val="0"/>
      <w:marBottom w:val="0"/>
      <w:divBdr>
        <w:top w:val="none" w:sz="0" w:space="0" w:color="auto"/>
        <w:left w:val="none" w:sz="0" w:space="0" w:color="auto"/>
        <w:bottom w:val="none" w:sz="0" w:space="0" w:color="auto"/>
        <w:right w:val="none" w:sz="0" w:space="0" w:color="auto"/>
      </w:divBdr>
    </w:div>
    <w:div w:id="204410171">
      <w:bodyDiv w:val="1"/>
      <w:marLeft w:val="0"/>
      <w:marRight w:val="0"/>
      <w:marTop w:val="0"/>
      <w:marBottom w:val="0"/>
      <w:divBdr>
        <w:top w:val="none" w:sz="0" w:space="0" w:color="auto"/>
        <w:left w:val="none" w:sz="0" w:space="0" w:color="auto"/>
        <w:bottom w:val="none" w:sz="0" w:space="0" w:color="auto"/>
        <w:right w:val="none" w:sz="0" w:space="0" w:color="auto"/>
      </w:divBdr>
    </w:div>
    <w:div w:id="221718061">
      <w:bodyDiv w:val="1"/>
      <w:marLeft w:val="0"/>
      <w:marRight w:val="0"/>
      <w:marTop w:val="0"/>
      <w:marBottom w:val="0"/>
      <w:divBdr>
        <w:top w:val="none" w:sz="0" w:space="0" w:color="auto"/>
        <w:left w:val="none" w:sz="0" w:space="0" w:color="auto"/>
        <w:bottom w:val="none" w:sz="0" w:space="0" w:color="auto"/>
        <w:right w:val="none" w:sz="0" w:space="0" w:color="auto"/>
      </w:divBdr>
    </w:div>
    <w:div w:id="252974727">
      <w:bodyDiv w:val="1"/>
      <w:marLeft w:val="0"/>
      <w:marRight w:val="0"/>
      <w:marTop w:val="0"/>
      <w:marBottom w:val="0"/>
      <w:divBdr>
        <w:top w:val="none" w:sz="0" w:space="0" w:color="auto"/>
        <w:left w:val="none" w:sz="0" w:space="0" w:color="auto"/>
        <w:bottom w:val="none" w:sz="0" w:space="0" w:color="auto"/>
        <w:right w:val="none" w:sz="0" w:space="0" w:color="auto"/>
      </w:divBdr>
    </w:div>
    <w:div w:id="371881103">
      <w:bodyDiv w:val="1"/>
      <w:marLeft w:val="0"/>
      <w:marRight w:val="0"/>
      <w:marTop w:val="0"/>
      <w:marBottom w:val="0"/>
      <w:divBdr>
        <w:top w:val="none" w:sz="0" w:space="0" w:color="auto"/>
        <w:left w:val="none" w:sz="0" w:space="0" w:color="auto"/>
        <w:bottom w:val="none" w:sz="0" w:space="0" w:color="auto"/>
        <w:right w:val="none" w:sz="0" w:space="0" w:color="auto"/>
      </w:divBdr>
    </w:div>
    <w:div w:id="376971939">
      <w:bodyDiv w:val="1"/>
      <w:marLeft w:val="0"/>
      <w:marRight w:val="0"/>
      <w:marTop w:val="0"/>
      <w:marBottom w:val="0"/>
      <w:divBdr>
        <w:top w:val="none" w:sz="0" w:space="0" w:color="auto"/>
        <w:left w:val="none" w:sz="0" w:space="0" w:color="auto"/>
        <w:bottom w:val="none" w:sz="0" w:space="0" w:color="auto"/>
        <w:right w:val="none" w:sz="0" w:space="0" w:color="auto"/>
      </w:divBdr>
    </w:div>
    <w:div w:id="402142170">
      <w:bodyDiv w:val="1"/>
      <w:marLeft w:val="0"/>
      <w:marRight w:val="0"/>
      <w:marTop w:val="0"/>
      <w:marBottom w:val="0"/>
      <w:divBdr>
        <w:top w:val="none" w:sz="0" w:space="0" w:color="auto"/>
        <w:left w:val="none" w:sz="0" w:space="0" w:color="auto"/>
        <w:bottom w:val="none" w:sz="0" w:space="0" w:color="auto"/>
        <w:right w:val="none" w:sz="0" w:space="0" w:color="auto"/>
      </w:divBdr>
    </w:div>
    <w:div w:id="488206014">
      <w:bodyDiv w:val="1"/>
      <w:marLeft w:val="0"/>
      <w:marRight w:val="0"/>
      <w:marTop w:val="0"/>
      <w:marBottom w:val="0"/>
      <w:divBdr>
        <w:top w:val="none" w:sz="0" w:space="0" w:color="auto"/>
        <w:left w:val="none" w:sz="0" w:space="0" w:color="auto"/>
        <w:bottom w:val="none" w:sz="0" w:space="0" w:color="auto"/>
        <w:right w:val="none" w:sz="0" w:space="0" w:color="auto"/>
      </w:divBdr>
    </w:div>
    <w:div w:id="491792940">
      <w:bodyDiv w:val="1"/>
      <w:marLeft w:val="0"/>
      <w:marRight w:val="0"/>
      <w:marTop w:val="0"/>
      <w:marBottom w:val="0"/>
      <w:divBdr>
        <w:top w:val="none" w:sz="0" w:space="0" w:color="auto"/>
        <w:left w:val="none" w:sz="0" w:space="0" w:color="auto"/>
        <w:bottom w:val="none" w:sz="0" w:space="0" w:color="auto"/>
        <w:right w:val="none" w:sz="0" w:space="0" w:color="auto"/>
      </w:divBdr>
    </w:div>
    <w:div w:id="499271218">
      <w:bodyDiv w:val="1"/>
      <w:marLeft w:val="0"/>
      <w:marRight w:val="0"/>
      <w:marTop w:val="0"/>
      <w:marBottom w:val="0"/>
      <w:divBdr>
        <w:top w:val="none" w:sz="0" w:space="0" w:color="auto"/>
        <w:left w:val="none" w:sz="0" w:space="0" w:color="auto"/>
        <w:bottom w:val="none" w:sz="0" w:space="0" w:color="auto"/>
        <w:right w:val="none" w:sz="0" w:space="0" w:color="auto"/>
      </w:divBdr>
    </w:div>
    <w:div w:id="647633750">
      <w:bodyDiv w:val="1"/>
      <w:marLeft w:val="0"/>
      <w:marRight w:val="0"/>
      <w:marTop w:val="0"/>
      <w:marBottom w:val="0"/>
      <w:divBdr>
        <w:top w:val="none" w:sz="0" w:space="0" w:color="auto"/>
        <w:left w:val="none" w:sz="0" w:space="0" w:color="auto"/>
        <w:bottom w:val="none" w:sz="0" w:space="0" w:color="auto"/>
        <w:right w:val="none" w:sz="0" w:space="0" w:color="auto"/>
      </w:divBdr>
    </w:div>
    <w:div w:id="662704285">
      <w:bodyDiv w:val="1"/>
      <w:marLeft w:val="0"/>
      <w:marRight w:val="0"/>
      <w:marTop w:val="0"/>
      <w:marBottom w:val="0"/>
      <w:divBdr>
        <w:top w:val="none" w:sz="0" w:space="0" w:color="auto"/>
        <w:left w:val="none" w:sz="0" w:space="0" w:color="auto"/>
        <w:bottom w:val="none" w:sz="0" w:space="0" w:color="auto"/>
        <w:right w:val="none" w:sz="0" w:space="0" w:color="auto"/>
      </w:divBdr>
    </w:div>
    <w:div w:id="681207726">
      <w:bodyDiv w:val="1"/>
      <w:marLeft w:val="0"/>
      <w:marRight w:val="0"/>
      <w:marTop w:val="0"/>
      <w:marBottom w:val="0"/>
      <w:divBdr>
        <w:top w:val="none" w:sz="0" w:space="0" w:color="auto"/>
        <w:left w:val="none" w:sz="0" w:space="0" w:color="auto"/>
        <w:bottom w:val="none" w:sz="0" w:space="0" w:color="auto"/>
        <w:right w:val="none" w:sz="0" w:space="0" w:color="auto"/>
      </w:divBdr>
    </w:div>
    <w:div w:id="752161120">
      <w:bodyDiv w:val="1"/>
      <w:marLeft w:val="0"/>
      <w:marRight w:val="0"/>
      <w:marTop w:val="0"/>
      <w:marBottom w:val="0"/>
      <w:divBdr>
        <w:top w:val="none" w:sz="0" w:space="0" w:color="auto"/>
        <w:left w:val="none" w:sz="0" w:space="0" w:color="auto"/>
        <w:bottom w:val="none" w:sz="0" w:space="0" w:color="auto"/>
        <w:right w:val="none" w:sz="0" w:space="0" w:color="auto"/>
      </w:divBdr>
    </w:div>
    <w:div w:id="770704875">
      <w:bodyDiv w:val="1"/>
      <w:marLeft w:val="0"/>
      <w:marRight w:val="0"/>
      <w:marTop w:val="0"/>
      <w:marBottom w:val="0"/>
      <w:divBdr>
        <w:top w:val="none" w:sz="0" w:space="0" w:color="auto"/>
        <w:left w:val="none" w:sz="0" w:space="0" w:color="auto"/>
        <w:bottom w:val="none" w:sz="0" w:space="0" w:color="auto"/>
        <w:right w:val="none" w:sz="0" w:space="0" w:color="auto"/>
      </w:divBdr>
    </w:div>
    <w:div w:id="795486085">
      <w:bodyDiv w:val="1"/>
      <w:marLeft w:val="0"/>
      <w:marRight w:val="0"/>
      <w:marTop w:val="0"/>
      <w:marBottom w:val="0"/>
      <w:divBdr>
        <w:top w:val="none" w:sz="0" w:space="0" w:color="auto"/>
        <w:left w:val="none" w:sz="0" w:space="0" w:color="auto"/>
        <w:bottom w:val="none" w:sz="0" w:space="0" w:color="auto"/>
        <w:right w:val="none" w:sz="0" w:space="0" w:color="auto"/>
      </w:divBdr>
    </w:div>
    <w:div w:id="942153863">
      <w:bodyDiv w:val="1"/>
      <w:marLeft w:val="0"/>
      <w:marRight w:val="0"/>
      <w:marTop w:val="0"/>
      <w:marBottom w:val="0"/>
      <w:divBdr>
        <w:top w:val="none" w:sz="0" w:space="0" w:color="auto"/>
        <w:left w:val="none" w:sz="0" w:space="0" w:color="auto"/>
        <w:bottom w:val="none" w:sz="0" w:space="0" w:color="auto"/>
        <w:right w:val="none" w:sz="0" w:space="0" w:color="auto"/>
      </w:divBdr>
    </w:div>
    <w:div w:id="971137092">
      <w:bodyDiv w:val="1"/>
      <w:marLeft w:val="0"/>
      <w:marRight w:val="0"/>
      <w:marTop w:val="0"/>
      <w:marBottom w:val="0"/>
      <w:divBdr>
        <w:top w:val="none" w:sz="0" w:space="0" w:color="auto"/>
        <w:left w:val="none" w:sz="0" w:space="0" w:color="auto"/>
        <w:bottom w:val="none" w:sz="0" w:space="0" w:color="auto"/>
        <w:right w:val="none" w:sz="0" w:space="0" w:color="auto"/>
      </w:divBdr>
    </w:div>
    <w:div w:id="979379653">
      <w:bodyDiv w:val="1"/>
      <w:marLeft w:val="0"/>
      <w:marRight w:val="0"/>
      <w:marTop w:val="0"/>
      <w:marBottom w:val="0"/>
      <w:divBdr>
        <w:top w:val="none" w:sz="0" w:space="0" w:color="auto"/>
        <w:left w:val="none" w:sz="0" w:space="0" w:color="auto"/>
        <w:bottom w:val="none" w:sz="0" w:space="0" w:color="auto"/>
        <w:right w:val="none" w:sz="0" w:space="0" w:color="auto"/>
      </w:divBdr>
    </w:div>
    <w:div w:id="1049957571">
      <w:bodyDiv w:val="1"/>
      <w:marLeft w:val="0"/>
      <w:marRight w:val="0"/>
      <w:marTop w:val="0"/>
      <w:marBottom w:val="0"/>
      <w:divBdr>
        <w:top w:val="none" w:sz="0" w:space="0" w:color="auto"/>
        <w:left w:val="none" w:sz="0" w:space="0" w:color="auto"/>
        <w:bottom w:val="none" w:sz="0" w:space="0" w:color="auto"/>
        <w:right w:val="none" w:sz="0" w:space="0" w:color="auto"/>
      </w:divBdr>
    </w:div>
    <w:div w:id="1056398158">
      <w:bodyDiv w:val="1"/>
      <w:marLeft w:val="0"/>
      <w:marRight w:val="0"/>
      <w:marTop w:val="0"/>
      <w:marBottom w:val="0"/>
      <w:divBdr>
        <w:top w:val="none" w:sz="0" w:space="0" w:color="auto"/>
        <w:left w:val="none" w:sz="0" w:space="0" w:color="auto"/>
        <w:bottom w:val="none" w:sz="0" w:space="0" w:color="auto"/>
        <w:right w:val="none" w:sz="0" w:space="0" w:color="auto"/>
      </w:divBdr>
    </w:div>
    <w:div w:id="1059937056">
      <w:bodyDiv w:val="1"/>
      <w:marLeft w:val="0"/>
      <w:marRight w:val="0"/>
      <w:marTop w:val="0"/>
      <w:marBottom w:val="0"/>
      <w:divBdr>
        <w:top w:val="none" w:sz="0" w:space="0" w:color="auto"/>
        <w:left w:val="none" w:sz="0" w:space="0" w:color="auto"/>
        <w:bottom w:val="none" w:sz="0" w:space="0" w:color="auto"/>
        <w:right w:val="none" w:sz="0" w:space="0" w:color="auto"/>
      </w:divBdr>
    </w:div>
    <w:div w:id="1068462265">
      <w:bodyDiv w:val="1"/>
      <w:marLeft w:val="0"/>
      <w:marRight w:val="0"/>
      <w:marTop w:val="0"/>
      <w:marBottom w:val="0"/>
      <w:divBdr>
        <w:top w:val="none" w:sz="0" w:space="0" w:color="auto"/>
        <w:left w:val="none" w:sz="0" w:space="0" w:color="auto"/>
        <w:bottom w:val="none" w:sz="0" w:space="0" w:color="auto"/>
        <w:right w:val="none" w:sz="0" w:space="0" w:color="auto"/>
      </w:divBdr>
    </w:div>
    <w:div w:id="1108700721">
      <w:bodyDiv w:val="1"/>
      <w:marLeft w:val="0"/>
      <w:marRight w:val="0"/>
      <w:marTop w:val="0"/>
      <w:marBottom w:val="0"/>
      <w:divBdr>
        <w:top w:val="none" w:sz="0" w:space="0" w:color="auto"/>
        <w:left w:val="none" w:sz="0" w:space="0" w:color="auto"/>
        <w:bottom w:val="none" w:sz="0" w:space="0" w:color="auto"/>
        <w:right w:val="none" w:sz="0" w:space="0" w:color="auto"/>
      </w:divBdr>
    </w:div>
    <w:div w:id="1117138986">
      <w:bodyDiv w:val="1"/>
      <w:marLeft w:val="0"/>
      <w:marRight w:val="0"/>
      <w:marTop w:val="0"/>
      <w:marBottom w:val="0"/>
      <w:divBdr>
        <w:top w:val="none" w:sz="0" w:space="0" w:color="auto"/>
        <w:left w:val="none" w:sz="0" w:space="0" w:color="auto"/>
        <w:bottom w:val="none" w:sz="0" w:space="0" w:color="auto"/>
        <w:right w:val="none" w:sz="0" w:space="0" w:color="auto"/>
      </w:divBdr>
    </w:div>
    <w:div w:id="1131217312">
      <w:bodyDiv w:val="1"/>
      <w:marLeft w:val="0"/>
      <w:marRight w:val="0"/>
      <w:marTop w:val="0"/>
      <w:marBottom w:val="0"/>
      <w:divBdr>
        <w:top w:val="none" w:sz="0" w:space="0" w:color="auto"/>
        <w:left w:val="none" w:sz="0" w:space="0" w:color="auto"/>
        <w:bottom w:val="none" w:sz="0" w:space="0" w:color="auto"/>
        <w:right w:val="none" w:sz="0" w:space="0" w:color="auto"/>
      </w:divBdr>
    </w:div>
    <w:div w:id="1190417342">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524200385">
      <w:bodyDiv w:val="1"/>
      <w:marLeft w:val="0"/>
      <w:marRight w:val="0"/>
      <w:marTop w:val="0"/>
      <w:marBottom w:val="0"/>
      <w:divBdr>
        <w:top w:val="none" w:sz="0" w:space="0" w:color="auto"/>
        <w:left w:val="none" w:sz="0" w:space="0" w:color="auto"/>
        <w:bottom w:val="none" w:sz="0" w:space="0" w:color="auto"/>
        <w:right w:val="none" w:sz="0" w:space="0" w:color="auto"/>
      </w:divBdr>
    </w:div>
    <w:div w:id="1651398271">
      <w:bodyDiv w:val="1"/>
      <w:marLeft w:val="0"/>
      <w:marRight w:val="0"/>
      <w:marTop w:val="0"/>
      <w:marBottom w:val="0"/>
      <w:divBdr>
        <w:top w:val="none" w:sz="0" w:space="0" w:color="auto"/>
        <w:left w:val="none" w:sz="0" w:space="0" w:color="auto"/>
        <w:bottom w:val="none" w:sz="0" w:space="0" w:color="auto"/>
        <w:right w:val="none" w:sz="0" w:space="0" w:color="auto"/>
      </w:divBdr>
    </w:div>
    <w:div w:id="1665477752">
      <w:bodyDiv w:val="1"/>
      <w:marLeft w:val="0"/>
      <w:marRight w:val="0"/>
      <w:marTop w:val="0"/>
      <w:marBottom w:val="0"/>
      <w:divBdr>
        <w:top w:val="none" w:sz="0" w:space="0" w:color="auto"/>
        <w:left w:val="none" w:sz="0" w:space="0" w:color="auto"/>
        <w:bottom w:val="none" w:sz="0" w:space="0" w:color="auto"/>
        <w:right w:val="none" w:sz="0" w:space="0" w:color="auto"/>
      </w:divBdr>
    </w:div>
    <w:div w:id="1705012372">
      <w:bodyDiv w:val="1"/>
      <w:marLeft w:val="0"/>
      <w:marRight w:val="0"/>
      <w:marTop w:val="0"/>
      <w:marBottom w:val="0"/>
      <w:divBdr>
        <w:top w:val="none" w:sz="0" w:space="0" w:color="auto"/>
        <w:left w:val="none" w:sz="0" w:space="0" w:color="auto"/>
        <w:bottom w:val="none" w:sz="0" w:space="0" w:color="auto"/>
        <w:right w:val="none" w:sz="0" w:space="0" w:color="auto"/>
      </w:divBdr>
    </w:div>
    <w:div w:id="1713916405">
      <w:bodyDiv w:val="1"/>
      <w:marLeft w:val="0"/>
      <w:marRight w:val="0"/>
      <w:marTop w:val="0"/>
      <w:marBottom w:val="0"/>
      <w:divBdr>
        <w:top w:val="none" w:sz="0" w:space="0" w:color="auto"/>
        <w:left w:val="none" w:sz="0" w:space="0" w:color="auto"/>
        <w:bottom w:val="none" w:sz="0" w:space="0" w:color="auto"/>
        <w:right w:val="none" w:sz="0" w:space="0" w:color="auto"/>
      </w:divBdr>
    </w:div>
    <w:div w:id="1855877537">
      <w:bodyDiv w:val="1"/>
      <w:marLeft w:val="0"/>
      <w:marRight w:val="0"/>
      <w:marTop w:val="0"/>
      <w:marBottom w:val="0"/>
      <w:divBdr>
        <w:top w:val="none" w:sz="0" w:space="0" w:color="auto"/>
        <w:left w:val="none" w:sz="0" w:space="0" w:color="auto"/>
        <w:bottom w:val="none" w:sz="0" w:space="0" w:color="auto"/>
        <w:right w:val="none" w:sz="0" w:space="0" w:color="auto"/>
      </w:divBdr>
    </w:div>
    <w:div w:id="1856069382">
      <w:bodyDiv w:val="1"/>
      <w:marLeft w:val="0"/>
      <w:marRight w:val="0"/>
      <w:marTop w:val="0"/>
      <w:marBottom w:val="0"/>
      <w:divBdr>
        <w:top w:val="none" w:sz="0" w:space="0" w:color="auto"/>
        <w:left w:val="none" w:sz="0" w:space="0" w:color="auto"/>
        <w:bottom w:val="none" w:sz="0" w:space="0" w:color="auto"/>
        <w:right w:val="none" w:sz="0" w:space="0" w:color="auto"/>
      </w:divBdr>
    </w:div>
    <w:div w:id="1911039205">
      <w:bodyDiv w:val="1"/>
      <w:marLeft w:val="0"/>
      <w:marRight w:val="0"/>
      <w:marTop w:val="0"/>
      <w:marBottom w:val="0"/>
      <w:divBdr>
        <w:top w:val="none" w:sz="0" w:space="0" w:color="auto"/>
        <w:left w:val="none" w:sz="0" w:space="0" w:color="auto"/>
        <w:bottom w:val="none" w:sz="0" w:space="0" w:color="auto"/>
        <w:right w:val="none" w:sz="0" w:space="0" w:color="auto"/>
      </w:divBdr>
    </w:div>
    <w:div w:id="1972663660">
      <w:bodyDiv w:val="1"/>
      <w:marLeft w:val="0"/>
      <w:marRight w:val="0"/>
      <w:marTop w:val="0"/>
      <w:marBottom w:val="0"/>
      <w:divBdr>
        <w:top w:val="none" w:sz="0" w:space="0" w:color="auto"/>
        <w:left w:val="none" w:sz="0" w:space="0" w:color="auto"/>
        <w:bottom w:val="none" w:sz="0" w:space="0" w:color="auto"/>
        <w:right w:val="none" w:sz="0" w:space="0" w:color="auto"/>
      </w:divBdr>
    </w:div>
    <w:div w:id="1973752417">
      <w:bodyDiv w:val="1"/>
      <w:marLeft w:val="0"/>
      <w:marRight w:val="0"/>
      <w:marTop w:val="0"/>
      <w:marBottom w:val="0"/>
      <w:divBdr>
        <w:top w:val="none" w:sz="0" w:space="0" w:color="auto"/>
        <w:left w:val="none" w:sz="0" w:space="0" w:color="auto"/>
        <w:bottom w:val="none" w:sz="0" w:space="0" w:color="auto"/>
        <w:right w:val="none" w:sz="0" w:space="0" w:color="auto"/>
      </w:divBdr>
    </w:div>
    <w:div w:id="2010061247">
      <w:bodyDiv w:val="1"/>
      <w:marLeft w:val="0"/>
      <w:marRight w:val="0"/>
      <w:marTop w:val="0"/>
      <w:marBottom w:val="0"/>
      <w:divBdr>
        <w:top w:val="none" w:sz="0" w:space="0" w:color="auto"/>
        <w:left w:val="none" w:sz="0" w:space="0" w:color="auto"/>
        <w:bottom w:val="none" w:sz="0" w:space="0" w:color="auto"/>
        <w:right w:val="none" w:sz="0" w:space="0" w:color="auto"/>
      </w:divBdr>
    </w:div>
    <w:div w:id="2030065249">
      <w:bodyDiv w:val="1"/>
      <w:marLeft w:val="0"/>
      <w:marRight w:val="0"/>
      <w:marTop w:val="0"/>
      <w:marBottom w:val="0"/>
      <w:divBdr>
        <w:top w:val="none" w:sz="0" w:space="0" w:color="auto"/>
        <w:left w:val="none" w:sz="0" w:space="0" w:color="auto"/>
        <w:bottom w:val="none" w:sz="0" w:space="0" w:color="auto"/>
        <w:right w:val="none" w:sz="0" w:space="0" w:color="auto"/>
      </w:divBdr>
    </w:div>
    <w:div w:id="21162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gov.au/alice-springs-mparntwe-education-declaration/resources/alice-springs-mparntwe-education-declaration" TargetMode="External"/><Relationship Id="rId18" Type="http://schemas.openxmlformats.org/officeDocument/2006/relationships/hyperlink" Target="https://www.nie.edu.sg/te-undergraduate/our-approach/" TargetMode="External"/><Relationship Id="rId26" Type="http://schemas.openxmlformats.org/officeDocument/2006/relationships/hyperlink" Target="https://www.latrobe.edu.au/school-education/preparing-educators/alternative-pathways/nexus-program" TargetMode="External"/><Relationship Id="rId3" Type="http://schemas.openxmlformats.org/officeDocument/2006/relationships/customXml" Target="../customXml/item3.xml"/><Relationship Id="rId21" Type="http://schemas.openxmlformats.org/officeDocument/2006/relationships/hyperlink" Target="https://ed.stanford.edu/step/elementary"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itsl.edu.au/deliver-ite-programs/standards-and-procedures" TargetMode="External"/><Relationship Id="rId17" Type="http://schemas.openxmlformats.org/officeDocument/2006/relationships/hyperlink" Target="https://nie.edu.sg/te-undergraduate/our-approach/" TargetMode="External"/><Relationship Id="rId25" Type="http://schemas.openxmlformats.org/officeDocument/2006/relationships/hyperlink" Target="https://www.latrobe.edu.au/news/articles/2020/release/la-trobe-launches-solar-lab"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ie.edu.sg/" TargetMode="External"/><Relationship Id="rId20" Type="http://schemas.openxmlformats.org/officeDocument/2006/relationships/hyperlink" Target="https://ed.stanford.edu/about/partnership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standards.nsw.edu.au/wps/portal/nesa/teacher-accreditation/teaching-qualifications/initial-teacher-education-providers/get-a-program-accredited" TargetMode="External"/><Relationship Id="rId24" Type="http://schemas.openxmlformats.org/officeDocument/2006/relationships/hyperlink" Target="https://www.latrobe.edu.au/news/articles/2022/opinion/we-know-how-to-get-new-teachers-ready"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2.education.vic.gov.au/pal/pre-service-teacher-placements/resources" TargetMode="External"/><Relationship Id="rId23" Type="http://schemas.openxmlformats.org/officeDocument/2006/relationships/hyperlink" Target="https://www.latrobe.edu.au/news/articles/2022/opinion/we-know-how-to-get-new-teachers-ready"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d.stanford.edu/step"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itsl.edu.au/deliver-ite-programs/teaching-performance-assessment" TargetMode="External"/><Relationship Id="rId22" Type="http://schemas.openxmlformats.org/officeDocument/2006/relationships/hyperlink" Target="https://www.latrobe.edu.au/school-education" TargetMode="External"/><Relationship Id="rId27" Type="http://schemas.openxmlformats.org/officeDocument/2006/relationships/hyperlink" Target="https://www.aitsl.edu.au/deliver-ite-programs/standards-and-procedures" TargetMode="External"/><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s://www.edresearch.edu.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edresearch.edu.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A11F226F15423CAB9FA73E12ED3C18"/>
        <w:category>
          <w:name w:val="General"/>
          <w:gallery w:val="placeholder"/>
        </w:category>
        <w:types>
          <w:type w:val="bbPlcHdr"/>
        </w:types>
        <w:behaviors>
          <w:behavior w:val="content"/>
        </w:behaviors>
        <w:guid w:val="{016AEF52-E1F0-489A-BA2C-D3185B38716E}"/>
      </w:docPartPr>
      <w:docPartBody>
        <w:p w:rsidR="00557584" w:rsidRDefault="00557584">
          <w:pPr>
            <w:pStyle w:val="ABA11F226F15423CAB9FA73E12ED3C18"/>
          </w:pPr>
          <w:r w:rsidRPr="00B50E9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DengXian Light">
    <w:charset w:val="86"/>
    <w:family w:val="auto"/>
    <w:pitch w:val="variable"/>
    <w:sig w:usb0="A00002BF" w:usb1="38CF7CFA" w:usb2="00000016" w:usb3="00000000" w:csb0="0004000F" w:csb1="00000000"/>
  </w:font>
  <w:font w:name="Montserrat Medium">
    <w:charset w:val="00"/>
    <w:family w:val="auto"/>
    <w:pitch w:val="variable"/>
    <w:sig w:usb0="2000020F" w:usb1="00000003" w:usb2="00000000" w:usb3="00000000" w:csb0="00000197" w:csb1="00000000"/>
  </w:font>
  <w:font w:name="Bell MT">
    <w:panose1 w:val="02020503060305020303"/>
    <w:charset w:val="00"/>
    <w:family w:val="roman"/>
    <w:pitch w:val="variable"/>
    <w:sig w:usb0="00000003" w:usb1="00000000" w:usb2="00000000" w:usb3="00000000" w:csb0="00000001" w:csb1="00000000"/>
  </w:font>
  <w:font w:name="Futura PT Demi">
    <w:altName w:val="Century Gothic"/>
    <w:panose1 w:val="00000000000000000000"/>
    <w:charset w:val="00"/>
    <w:family w:val="swiss"/>
    <w:notTrueType/>
    <w:pitch w:val="variable"/>
    <w:sig w:usb0="A00002F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Swis721 Lt BT">
    <w:altName w:val="Calibri"/>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84"/>
    <w:rsid w:val="000D7602"/>
    <w:rsid w:val="00174ADF"/>
    <w:rsid w:val="001877F2"/>
    <w:rsid w:val="001D3003"/>
    <w:rsid w:val="001F2209"/>
    <w:rsid w:val="001F49BB"/>
    <w:rsid w:val="002858FF"/>
    <w:rsid w:val="00392700"/>
    <w:rsid w:val="003A5A80"/>
    <w:rsid w:val="003D4976"/>
    <w:rsid w:val="00405009"/>
    <w:rsid w:val="00513560"/>
    <w:rsid w:val="00557584"/>
    <w:rsid w:val="00580E1C"/>
    <w:rsid w:val="006D2D11"/>
    <w:rsid w:val="007A0200"/>
    <w:rsid w:val="007A2FF6"/>
    <w:rsid w:val="007B0A0D"/>
    <w:rsid w:val="007E15B0"/>
    <w:rsid w:val="007E3081"/>
    <w:rsid w:val="00806AEF"/>
    <w:rsid w:val="00880027"/>
    <w:rsid w:val="008E26DF"/>
    <w:rsid w:val="00955BD0"/>
    <w:rsid w:val="009763AE"/>
    <w:rsid w:val="00980F8B"/>
    <w:rsid w:val="00982C70"/>
    <w:rsid w:val="00A21FB4"/>
    <w:rsid w:val="00B6450A"/>
    <w:rsid w:val="00B83264"/>
    <w:rsid w:val="00BC0D1F"/>
    <w:rsid w:val="00BE6FA9"/>
    <w:rsid w:val="00CB71DB"/>
    <w:rsid w:val="00CE4074"/>
    <w:rsid w:val="00DA1D17"/>
    <w:rsid w:val="00E4143E"/>
    <w:rsid w:val="00EE465B"/>
    <w:rsid w:val="00F039F0"/>
    <w:rsid w:val="00F37A5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BA11F226F15423CAB9FA73E12ED3C18">
    <w:name w:val="ABA11F226F15423CAB9FA73E12ED3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ERO-Brand colours">
      <a:dk1>
        <a:sysClr val="windowText" lastClr="000000"/>
      </a:dk1>
      <a:lt1>
        <a:srgbClr val="BFBFBF"/>
      </a:lt1>
      <a:dk2>
        <a:srgbClr val="00305E"/>
      </a:dk2>
      <a:lt2>
        <a:srgbClr val="FFFFFF"/>
      </a:lt2>
      <a:accent1>
        <a:srgbClr val="01838F"/>
      </a:accent1>
      <a:accent2>
        <a:srgbClr val="379AC6"/>
      </a:accent2>
      <a:accent3>
        <a:srgbClr val="E26F2F"/>
      </a:accent3>
      <a:accent4>
        <a:srgbClr val="FDB73E"/>
      </a:accent4>
      <a:accent5>
        <a:srgbClr val="A31F60"/>
      </a:accent5>
      <a:accent6>
        <a:srgbClr val="ACBE37"/>
      </a:accent6>
      <a:hlink>
        <a:srgbClr val="01838F"/>
      </a:hlink>
      <a:folHlink>
        <a:srgbClr val="01838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1F55105FCD81C4F8907AE049F33FB07" ma:contentTypeVersion="" ma:contentTypeDescription="PDMS Document Site Content Type" ma:contentTypeScope="" ma:versionID="f2ed100a2f6c03d4c95973f31f28df4e">
  <xsd:schema xmlns:xsd="http://www.w3.org/2001/XMLSchema" xmlns:xs="http://www.w3.org/2001/XMLSchema" xmlns:p="http://schemas.microsoft.com/office/2006/metadata/properties" xmlns:ns2="7854C0B0-7D5D-4CAA-BD79-86FB2D0E615A" targetNamespace="http://schemas.microsoft.com/office/2006/metadata/properties" ma:root="true" ma:fieldsID="e0af5a01b95c2425faf03eea26f8174a" ns2:_="">
    <xsd:import namespace="7854C0B0-7D5D-4CAA-BD79-86FB2D0E615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4C0B0-7D5D-4CAA-BD79-86FB2D0E615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7854C0B0-7D5D-4CAA-BD79-86FB2D0E615A" xsi:nil="true"/>
  </documentManagement>
</p:properties>
</file>

<file path=customXml/itemProps1.xml><?xml version="1.0" encoding="utf-8"?>
<ds:datastoreItem xmlns:ds="http://schemas.openxmlformats.org/officeDocument/2006/customXml" ds:itemID="{7A0318BB-4BF7-4C4E-9A1A-178C78CB318D}">
  <ds:schemaRefs>
    <ds:schemaRef ds:uri="http://schemas.openxmlformats.org/officeDocument/2006/bibliography"/>
  </ds:schemaRefs>
</ds:datastoreItem>
</file>

<file path=customXml/itemProps2.xml><?xml version="1.0" encoding="utf-8"?>
<ds:datastoreItem xmlns:ds="http://schemas.openxmlformats.org/officeDocument/2006/customXml" ds:itemID="{9E256972-39F5-4912-8C97-00475208C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4C0B0-7D5D-4CAA-BD79-86FB2D0E6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2213F-0EC6-4621-94E9-3DC64B37285D}">
  <ds:schemaRefs>
    <ds:schemaRef ds:uri="http://schemas.microsoft.com/sharepoint/v3/contenttype/forms"/>
  </ds:schemaRefs>
</ds:datastoreItem>
</file>

<file path=customXml/itemProps4.xml><?xml version="1.0" encoding="utf-8"?>
<ds:datastoreItem xmlns:ds="http://schemas.openxmlformats.org/officeDocument/2006/customXml" ds:itemID="{877435AB-3BE2-49E8-9EDE-8AE2B67D10C2}">
  <ds:schemaRefs>
    <ds:schemaRef ds:uri="http://schemas.microsoft.com/office/2006/documentManagement/types"/>
    <ds:schemaRef ds:uri="http://schemas.openxmlformats.org/package/2006/metadata/core-properties"/>
    <ds:schemaRef ds:uri="http://schemas.microsoft.com/office/2006/metadata/properties"/>
    <ds:schemaRef ds:uri="7854C0B0-7D5D-4CAA-BD79-86FB2D0E615A"/>
    <ds:schemaRef ds:uri="http://purl.org/dc/term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24</Pages>
  <Words>7809</Words>
  <Characters>49550</Characters>
  <Application>Microsoft Office Word</Application>
  <DocSecurity>0</DocSecurity>
  <Lines>850</Lines>
  <Paragraphs>293</Paragraphs>
  <ScaleCrop>false</ScaleCrop>
  <Company/>
  <LinksUpToDate>false</LinksUpToDate>
  <CharactersWithSpaces>57126</CharactersWithSpaces>
  <SharedDoc>false</SharedDoc>
  <HLinks>
    <vt:vector size="108" baseType="variant">
      <vt:variant>
        <vt:i4>6881387</vt:i4>
      </vt:variant>
      <vt:variant>
        <vt:i4>186</vt:i4>
      </vt:variant>
      <vt:variant>
        <vt:i4>0</vt:i4>
      </vt:variant>
      <vt:variant>
        <vt:i4>5</vt:i4>
      </vt:variant>
      <vt:variant>
        <vt:lpwstr>https://www.latrobe.edu.au/school-education/preparing-educators/alternative-pathways/nexus-program</vt:lpwstr>
      </vt:variant>
      <vt:variant>
        <vt:lpwstr/>
      </vt:variant>
      <vt:variant>
        <vt:i4>393301</vt:i4>
      </vt:variant>
      <vt:variant>
        <vt:i4>183</vt:i4>
      </vt:variant>
      <vt:variant>
        <vt:i4>0</vt:i4>
      </vt:variant>
      <vt:variant>
        <vt:i4>5</vt:i4>
      </vt:variant>
      <vt:variant>
        <vt:lpwstr>https://www.latrobe.edu.au/news/articles/2020/release/la-trobe-launches-solar-lab</vt:lpwstr>
      </vt:variant>
      <vt:variant>
        <vt:lpwstr/>
      </vt:variant>
      <vt:variant>
        <vt:i4>2293795</vt:i4>
      </vt:variant>
      <vt:variant>
        <vt:i4>180</vt:i4>
      </vt:variant>
      <vt:variant>
        <vt:i4>0</vt:i4>
      </vt:variant>
      <vt:variant>
        <vt:i4>5</vt:i4>
      </vt:variant>
      <vt:variant>
        <vt:lpwstr>https://www.latrobe.edu.au/news/articles/2022/opinion/we-know-how-to-get-new-teachers-ready</vt:lpwstr>
      </vt:variant>
      <vt:variant>
        <vt:lpwstr/>
      </vt:variant>
      <vt:variant>
        <vt:i4>2293795</vt:i4>
      </vt:variant>
      <vt:variant>
        <vt:i4>174</vt:i4>
      </vt:variant>
      <vt:variant>
        <vt:i4>0</vt:i4>
      </vt:variant>
      <vt:variant>
        <vt:i4>5</vt:i4>
      </vt:variant>
      <vt:variant>
        <vt:lpwstr>https://www.latrobe.edu.au/news/articles/2022/opinion/we-know-how-to-get-new-teachers-ready</vt:lpwstr>
      </vt:variant>
      <vt:variant>
        <vt:lpwstr/>
      </vt:variant>
      <vt:variant>
        <vt:i4>7143540</vt:i4>
      </vt:variant>
      <vt:variant>
        <vt:i4>171</vt:i4>
      </vt:variant>
      <vt:variant>
        <vt:i4>0</vt:i4>
      </vt:variant>
      <vt:variant>
        <vt:i4>5</vt:i4>
      </vt:variant>
      <vt:variant>
        <vt:lpwstr>https://www.latrobe.edu.au/school-education</vt:lpwstr>
      </vt:variant>
      <vt:variant>
        <vt:lpwstr/>
      </vt:variant>
      <vt:variant>
        <vt:i4>7405629</vt:i4>
      </vt:variant>
      <vt:variant>
        <vt:i4>168</vt:i4>
      </vt:variant>
      <vt:variant>
        <vt:i4>0</vt:i4>
      </vt:variant>
      <vt:variant>
        <vt:i4>5</vt:i4>
      </vt:variant>
      <vt:variant>
        <vt:lpwstr>https://ed.stanford.edu/step/elementary</vt:lpwstr>
      </vt:variant>
      <vt:variant>
        <vt:lpwstr/>
      </vt:variant>
      <vt:variant>
        <vt:i4>3604598</vt:i4>
      </vt:variant>
      <vt:variant>
        <vt:i4>165</vt:i4>
      </vt:variant>
      <vt:variant>
        <vt:i4>0</vt:i4>
      </vt:variant>
      <vt:variant>
        <vt:i4>5</vt:i4>
      </vt:variant>
      <vt:variant>
        <vt:lpwstr>https://ed.stanford.edu/about/partnerships</vt:lpwstr>
      </vt:variant>
      <vt:variant>
        <vt:lpwstr/>
      </vt:variant>
      <vt:variant>
        <vt:i4>1179676</vt:i4>
      </vt:variant>
      <vt:variant>
        <vt:i4>153</vt:i4>
      </vt:variant>
      <vt:variant>
        <vt:i4>0</vt:i4>
      </vt:variant>
      <vt:variant>
        <vt:i4>5</vt:i4>
      </vt:variant>
      <vt:variant>
        <vt:lpwstr>https://ed.stanford.edu/step</vt:lpwstr>
      </vt:variant>
      <vt:variant>
        <vt:lpwstr/>
      </vt:variant>
      <vt:variant>
        <vt:i4>720915</vt:i4>
      </vt:variant>
      <vt:variant>
        <vt:i4>150</vt:i4>
      </vt:variant>
      <vt:variant>
        <vt:i4>0</vt:i4>
      </vt:variant>
      <vt:variant>
        <vt:i4>5</vt:i4>
      </vt:variant>
      <vt:variant>
        <vt:lpwstr>https://www.nie.edu.sg/te-undergraduate/our-approach/</vt:lpwstr>
      </vt:variant>
      <vt:variant>
        <vt:lpwstr/>
      </vt:variant>
      <vt:variant>
        <vt:i4>5373971</vt:i4>
      </vt:variant>
      <vt:variant>
        <vt:i4>147</vt:i4>
      </vt:variant>
      <vt:variant>
        <vt:i4>0</vt:i4>
      </vt:variant>
      <vt:variant>
        <vt:i4>5</vt:i4>
      </vt:variant>
      <vt:variant>
        <vt:lpwstr>https://nie.edu.sg/te-undergraduate/our-approach/</vt:lpwstr>
      </vt:variant>
      <vt:variant>
        <vt:lpwstr/>
      </vt:variant>
      <vt:variant>
        <vt:i4>2228264</vt:i4>
      </vt:variant>
      <vt:variant>
        <vt:i4>141</vt:i4>
      </vt:variant>
      <vt:variant>
        <vt:i4>0</vt:i4>
      </vt:variant>
      <vt:variant>
        <vt:i4>5</vt:i4>
      </vt:variant>
      <vt:variant>
        <vt:lpwstr>https://www.nie.edu.sg/</vt:lpwstr>
      </vt:variant>
      <vt:variant>
        <vt:lpwstr/>
      </vt:variant>
      <vt:variant>
        <vt:i4>7405683</vt:i4>
      </vt:variant>
      <vt:variant>
        <vt:i4>138</vt:i4>
      </vt:variant>
      <vt:variant>
        <vt:i4>0</vt:i4>
      </vt:variant>
      <vt:variant>
        <vt:i4>5</vt:i4>
      </vt:variant>
      <vt:variant>
        <vt:lpwstr>https://www2.education.vic.gov.au/pal/pre-service-teacher-placements/resources</vt:lpwstr>
      </vt:variant>
      <vt:variant>
        <vt:lpwstr/>
      </vt:variant>
      <vt:variant>
        <vt:i4>851997</vt:i4>
      </vt:variant>
      <vt:variant>
        <vt:i4>117</vt:i4>
      </vt:variant>
      <vt:variant>
        <vt:i4>0</vt:i4>
      </vt:variant>
      <vt:variant>
        <vt:i4>5</vt:i4>
      </vt:variant>
      <vt:variant>
        <vt:lpwstr>https://www.aitsl.edu.au/deliver-ite-programs/teaching-performance-assessment</vt:lpwstr>
      </vt:variant>
      <vt:variant>
        <vt:lpwstr/>
      </vt:variant>
      <vt:variant>
        <vt:i4>6225921</vt:i4>
      </vt:variant>
      <vt:variant>
        <vt:i4>114</vt:i4>
      </vt:variant>
      <vt:variant>
        <vt:i4>0</vt:i4>
      </vt:variant>
      <vt:variant>
        <vt:i4>5</vt:i4>
      </vt:variant>
      <vt:variant>
        <vt:lpwstr>https://www.education.gov.au/alice-springs-mparntwe-education-declaration/resources/alice-springs-mparntwe-education-declaration</vt:lpwstr>
      </vt:variant>
      <vt:variant>
        <vt:lpwstr/>
      </vt:variant>
      <vt:variant>
        <vt:i4>6881381</vt:i4>
      </vt:variant>
      <vt:variant>
        <vt:i4>63</vt:i4>
      </vt:variant>
      <vt:variant>
        <vt:i4>0</vt:i4>
      </vt:variant>
      <vt:variant>
        <vt:i4>5</vt:i4>
      </vt:variant>
      <vt:variant>
        <vt:lpwstr>https://www.aitsl.edu.au/deliver-ite-programs/standards-and-procedures</vt:lpwstr>
      </vt:variant>
      <vt:variant>
        <vt:lpwstr/>
      </vt:variant>
      <vt:variant>
        <vt:i4>4194305</vt:i4>
      </vt:variant>
      <vt:variant>
        <vt:i4>39</vt:i4>
      </vt:variant>
      <vt:variant>
        <vt:i4>0</vt:i4>
      </vt:variant>
      <vt:variant>
        <vt:i4>5</vt:i4>
      </vt:variant>
      <vt:variant>
        <vt:lpwstr>https://educationstandards.nsw.edu.au/wps/portal/nesa/teacher-accreditation/teaching-qualifications/initial-teacher-education-providers/get-a-program-accredited</vt:lpwstr>
      </vt:variant>
      <vt:variant>
        <vt:lpwstr/>
      </vt:variant>
      <vt:variant>
        <vt:i4>6815799</vt:i4>
      </vt:variant>
      <vt:variant>
        <vt:i4>6</vt:i4>
      </vt:variant>
      <vt:variant>
        <vt:i4>0</vt:i4>
      </vt:variant>
      <vt:variant>
        <vt:i4>5</vt:i4>
      </vt:variant>
      <vt:variant>
        <vt:lpwstr>https://www.edresearch.edu.au/</vt:lpwstr>
      </vt:variant>
      <vt:variant>
        <vt:lpwstr/>
      </vt:variant>
      <vt:variant>
        <vt:i4>6815799</vt:i4>
      </vt:variant>
      <vt:variant>
        <vt:i4>0</vt:i4>
      </vt:variant>
      <vt:variant>
        <vt:i4>0</vt:i4>
      </vt:variant>
      <vt:variant>
        <vt:i4>5</vt:i4>
      </vt:variant>
      <vt:variant>
        <vt:lpwstr>https://www.edresearch.edu.au/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Incorporating evidence-based teaching practices into ITE</dc:title>
  <dc:subject/>
  <dc:creator>Cynthia How</dc:creator>
  <cp:keywords/>
  <dc:description/>
  <cp:lastModifiedBy>HORAN,Peta</cp:lastModifiedBy>
  <cp:revision>27</cp:revision>
  <cp:lastPrinted>2023-12-04T00:03:00Z</cp:lastPrinted>
  <dcterms:created xsi:type="dcterms:W3CDTF">2023-02-09T04:40:00Z</dcterms:created>
  <dcterms:modified xsi:type="dcterms:W3CDTF">2023-12-04T00:04:00Z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0x010100266966F133664895A6EE3632470D45F500F1F55105FCD81C4F8907AE049F33FB07</vt:lpwstr>
  </property>
  <property fmtid="{D5CDD505-2E9C-101B-9397-08002B2CF9AE}" pid="3" name="ZOTERO_PREF_1">
    <vt:lpwstr>&lt;data data-version="3" zotero-version="6.0.4"&gt;&lt;session id="cW8KkLKw"/&gt;&lt;style id="http://www.zotero.org/styles/style-manual-australian-government" hasBibliography="1" bibliographyStyleHasBeenSet="1"/&gt;&lt;prefs&gt;&lt;pref name="fieldType" value="Field"/&gt;&lt;/prefs&gt;&lt;/d</vt:lpwstr>
  </property>
  <property fmtid="{D5CDD505-2E9C-101B-9397-08002B2CF9AE}" pid="4" name="ZOTERO_PREF_2">
    <vt:lpwstr>ata&gt;</vt:lpwstr>
  </property>
  <property fmtid="{D5CDD505-2E9C-101B-9397-08002B2CF9AE}" pid="5" name="MSIP_Label_79d889eb-932f-4752-8739-64d25806ef64_Enabled">
    <vt:lpwstr>true</vt:lpwstr>
  </property>
  <property fmtid="{D5CDD505-2E9C-101B-9397-08002B2CF9AE}" pid="6" name="MSIP_Label_79d889eb-932f-4752-8739-64d25806ef64_SetDate">
    <vt:lpwstr>2023-02-10T09:01:40Z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16f9f3f6-c550-401d-b7a5-420884439b00</vt:lpwstr>
  </property>
  <property fmtid="{D5CDD505-2E9C-101B-9397-08002B2CF9AE}" pid="11" name="MSIP_Label_79d889eb-932f-4752-8739-64d25806ef64_ContentBits">
    <vt:lpwstr>0</vt:lpwstr>
  </property>
  <property fmtid="{D5CDD505-2E9C-101B-9397-08002B2CF9AE}" pid="12" name="MediaServiceImageTags">
    <vt:lpwstr/>
  </property>
</Properties>
</file>