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1503" w14:textId="77777777" w:rsidR="008874F1" w:rsidRDefault="008874F1" w:rsidP="009211CD">
      <w:pPr>
        <w:spacing w:before="600"/>
      </w:pPr>
      <w:r>
        <w:rPr>
          <w:noProof/>
        </w:rPr>
        <mc:AlternateContent>
          <mc:Choice Requires="wps">
            <w:drawing>
              <wp:anchor distT="0" distB="0" distL="114300" distR="114300" simplePos="0" relativeHeight="251658240" behindDoc="1" locked="0" layoutInCell="1" allowOverlap="1" wp14:anchorId="4C82E7B7" wp14:editId="5500397C">
                <wp:simplePos x="0" y="0"/>
                <wp:positionH relativeFrom="page">
                  <wp:align>left</wp:align>
                </wp:positionH>
                <wp:positionV relativeFrom="page">
                  <wp:align>top</wp:align>
                </wp:positionV>
                <wp:extent cx="7559640" cy="2024280"/>
                <wp:effectExtent l="0" t="0" r="381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202428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38173" id="Rectangle 7" o:spid="_x0000_s1026" alt="&quot;&quot;" style="position:absolute;margin-left:0;margin-top:0;width:595.25pt;height:159.4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SwAAAAB&#10;AAIBLAAA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poAAAAAUmdodGxvbmcA&#10;AAmw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FIwAAAAEAAACgAAAAKwAAAeAAAFCgAAAFBwAYAAH/2P/tAAxBZG9iZV9DTQAB/+4ADkFk&#10;b2JlAGSAAAAAAf/bAIQADAgICAkIDAkJDBELCgsRFQ8MDA8VGBMTFRMTGBEMDAwMDAwRDAwMDAwM&#10;DAwMDAwMDAwMDAwMDAwMDAwMDAwMDAENCwsNDg0QDg4QFA4ODhQUDg4ODhQRDAwMDAwREQwMDAwM&#10;DBEMDAwMDAwMDAwMDAwMDAwMDAwMDAwMDAwMDAwM/8AAEQgAKw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A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S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M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V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Y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Q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E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i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Q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c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R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I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&#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X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Q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R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S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T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U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V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W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X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Q&#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R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U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V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W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X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Q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R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S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T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U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V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W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X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Q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R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S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T&#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U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V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X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Q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R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S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T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U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V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" stroked="f" strokeweight="1pt">
                <v:fill r:id="rId12" o:title="" recolor="t" rotate="t" type="frame"/>
                <w10:wrap anchorx="page" anchory="page"/>
              </v:rect>
            </w:pict>
          </mc:Fallback>
        </mc:AlternateContent>
      </w:r>
      <w:r w:rsidR="00107DD5">
        <w:rPr>
          <w:noProof/>
        </w:rPr>
        <w:drawing>
          <wp:inline distT="0" distB="0" distL="0" distR="0" wp14:anchorId="04AA3A5E" wp14:editId="3C929097">
            <wp:extent cx="2276640" cy="57924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640" cy="579240"/>
                    </a:xfrm>
                    <a:prstGeom prst="rect">
                      <a:avLst/>
                    </a:prstGeom>
                  </pic:spPr>
                </pic:pic>
              </a:graphicData>
            </a:graphic>
          </wp:inline>
        </w:drawing>
      </w:r>
    </w:p>
    <w:p w14:paraId="0FA9EA56" w14:textId="77777777" w:rsidR="00624D20" w:rsidRDefault="00E8718C" w:rsidP="009211CD">
      <w:pPr>
        <w:spacing w:before="480" w:after="0"/>
      </w:pPr>
      <w:r>
        <w:rPr>
          <w:noProof/>
        </w:rPr>
        <w:drawing>
          <wp:inline distT="0" distB="0" distL="0" distR="0" wp14:anchorId="0BCA684F" wp14:editId="51C2E330">
            <wp:extent cx="4520193" cy="265177"/>
            <wp:effectExtent l="0" t="0" r="0" b="1905"/>
            <wp:docPr id="1585695064" name="Picture 1" descr="Commonwealth Teaching Schola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95064" name="Picture 1" descr="Commonwealth Teaching Scholarship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20193" cy="265177"/>
                    </a:xfrm>
                    <a:prstGeom prst="rect">
                      <a:avLst/>
                    </a:prstGeom>
                  </pic:spPr>
                </pic:pic>
              </a:graphicData>
            </a:graphic>
          </wp:inline>
        </w:drawing>
      </w:r>
    </w:p>
    <w:p w14:paraId="048F9B58" w14:textId="77777777" w:rsidR="00E8718C" w:rsidRDefault="00E8718C" w:rsidP="00EB5BF2">
      <w:pPr>
        <w:spacing w:after="0"/>
      </w:pPr>
    </w:p>
    <w:p w14:paraId="144737FE" w14:textId="77777777" w:rsidR="00624D20" w:rsidRDefault="00624D20" w:rsidP="00EB5BF2">
      <w:pPr>
        <w:spacing w:after="0"/>
        <w:sectPr w:rsidR="00624D20" w:rsidSect="00EF43D4">
          <w:footerReference w:type="default" r:id="rId15"/>
          <w:footerReference w:type="first" r:id="rId16"/>
          <w:pgSz w:w="11906" w:h="16838"/>
          <w:pgMar w:top="113" w:right="1418" w:bottom="1440" w:left="1418" w:header="0" w:footer="709" w:gutter="0"/>
          <w:cols w:space="720"/>
          <w:titlePg/>
          <w:docGrid w:linePitch="360"/>
        </w:sectPr>
      </w:pPr>
    </w:p>
    <w:p w14:paraId="0B3BC785" w14:textId="3D1A8CA2" w:rsidR="00CB0044" w:rsidRPr="00E8718C" w:rsidRDefault="00EA2F62" w:rsidP="00E8718C">
      <w:pPr>
        <w:pStyle w:val="Heading1"/>
      </w:pPr>
      <w:bookmarkStart w:id="0" w:name="_Toc126923147"/>
      <w:bookmarkStart w:id="1" w:name="_Toc126923158"/>
      <w:bookmarkStart w:id="2" w:name="_Toc126923317"/>
      <w:bookmarkStart w:id="3" w:name="_Toc126923146"/>
      <w:bookmarkStart w:id="4" w:name="_Toc126923157"/>
      <w:r>
        <w:t>Commitment to Teach Policy</w:t>
      </w:r>
      <w:bookmarkEnd w:id="3"/>
      <w:bookmarkEnd w:id="4"/>
    </w:p>
    <w:p w14:paraId="12E8B558" w14:textId="77777777" w:rsidR="00EF43D4" w:rsidRPr="003B1B41" w:rsidRDefault="00EF43D4" w:rsidP="00EF43D4">
      <w:pPr>
        <w:pStyle w:val="Heading2"/>
        <w:numPr>
          <w:ilvl w:val="0"/>
          <w:numId w:val="20"/>
        </w:numPr>
      </w:pPr>
      <w:r>
        <w:t>Purpose</w:t>
      </w:r>
    </w:p>
    <w:p w14:paraId="0481AFB0" w14:textId="77777777" w:rsidR="00EF43D4" w:rsidRDefault="00EF43D4" w:rsidP="00EF43D4">
      <w:r>
        <w:t>The Commonwealth Teaching Scholarships (CTS) Program Commitment to Teach Policy articulates the eligible employment options, eligible education settings, and process for the commitment to teach (CTT) obligation of individuals who are in receipt of a Commonwealth Teaching Scholarship.</w:t>
      </w:r>
    </w:p>
    <w:p w14:paraId="7E3DB32F" w14:textId="35A2C072" w:rsidR="00EF43D4" w:rsidRDefault="00EF43D4" w:rsidP="00EF43D4">
      <w:r>
        <w:t xml:space="preserve">This policy should be considered in conjunction with the CTS Grant Opportunity Guidelines (Scholarship Guidelines) </w:t>
      </w:r>
      <w:r w:rsidR="00004D68">
        <w:t xml:space="preserve">for the relevant round </w:t>
      </w:r>
      <w:r>
        <w:t xml:space="preserve">and the terms of the Scholarship Agreement available on the </w:t>
      </w:r>
      <w:hyperlink r:id="rId17">
        <w:r w:rsidRPr="3B851A59">
          <w:rPr>
            <w:rStyle w:val="Hyperlink"/>
          </w:rPr>
          <w:t>Scholarships website</w:t>
        </w:r>
      </w:hyperlink>
      <w:r>
        <w:t>.</w:t>
      </w:r>
    </w:p>
    <w:p w14:paraId="20101C22" w14:textId="77777777" w:rsidR="00EF43D4" w:rsidRDefault="00EF43D4" w:rsidP="00EF43D4">
      <w:pPr>
        <w:pStyle w:val="Heading2"/>
        <w:numPr>
          <w:ilvl w:val="0"/>
          <w:numId w:val="20"/>
        </w:numPr>
      </w:pPr>
      <w:r>
        <w:t>Background</w:t>
      </w:r>
    </w:p>
    <w:p w14:paraId="0B1A060D" w14:textId="6D403974" w:rsidR="00EF43D4" w:rsidRPr="00454B81" w:rsidRDefault="0095676A" w:rsidP="00EF43D4">
      <w:r w:rsidRPr="0095676A">
        <w:t xml:space="preserve">The Scholarship Guidelines relevant to each scholarship round and the Scholarship Agreement outline </w:t>
      </w:r>
      <w:r>
        <w:t xml:space="preserve">the CTT </w:t>
      </w:r>
      <w:r w:rsidR="009B7B30">
        <w:t>obligation</w:t>
      </w:r>
      <w:r w:rsidRPr="0095676A">
        <w:t>. </w:t>
      </w:r>
      <w:r w:rsidR="00EF43D4">
        <w:t>CTS recipients will be required to undertake teaching employment in eligible educational</w:t>
      </w:r>
      <w:r w:rsidR="00EF43D4" w:rsidRPr="6AB0A5DE">
        <w:rPr>
          <w:rStyle w:val="ui-provider"/>
        </w:rPr>
        <w:t xml:space="preserve"> settings </w:t>
      </w:r>
      <w:r w:rsidR="00EF43D4">
        <w:t>upon completion of their initial teacher education (ITE) program. This obligation must be fulfilled within up to 10 years of ITE completion.</w:t>
      </w:r>
    </w:p>
    <w:p w14:paraId="0066E07E" w14:textId="77777777" w:rsidR="00EF43D4" w:rsidRDefault="00EF43D4" w:rsidP="00EF43D4">
      <w:pPr>
        <w:pStyle w:val="Heading2"/>
        <w:numPr>
          <w:ilvl w:val="0"/>
          <w:numId w:val="20"/>
        </w:numPr>
      </w:pPr>
      <w:r>
        <w:t>Eligible work and eligible educational settings</w:t>
      </w:r>
    </w:p>
    <w:p w14:paraId="05BEE4FE" w14:textId="078DD362" w:rsidR="00EF43D4" w:rsidRDefault="00EF43D4" w:rsidP="00EF43D4">
      <w:pPr>
        <w:rPr>
          <w:rStyle w:val="ui-provider"/>
        </w:rPr>
      </w:pPr>
      <w:r>
        <w:t>The Scholarship Guidelines</w:t>
      </w:r>
      <w:r w:rsidR="0090158F">
        <w:t xml:space="preserve"> for the relevant round</w:t>
      </w:r>
      <w:r>
        <w:t xml:space="preserve"> define eligible employment for the completion of the CTT obligation as a teaching role that requires an ITE qualification, within an eligible educational setting</w:t>
      </w:r>
      <w:r w:rsidRPr="3B851A59">
        <w:rPr>
          <w:rStyle w:val="ui-provider"/>
        </w:rPr>
        <w:t xml:space="preserve">. </w:t>
      </w:r>
    </w:p>
    <w:p w14:paraId="0763A5FE" w14:textId="03057BC4" w:rsidR="00EF43D4" w:rsidRPr="009815F9" w:rsidRDefault="00EF43D4" w:rsidP="00EF43D4">
      <w:r w:rsidRPr="007E710C">
        <w:t xml:space="preserve">The CTT obligation must be undertaken in government schools </w:t>
      </w:r>
      <w:r>
        <w:t xml:space="preserve">or government-run early learning settings. </w:t>
      </w:r>
      <w:r w:rsidRPr="009815F9">
        <w:t>CTS recipients should refer to the relevant state or territory education department website to locate government schools and/or government</w:t>
      </w:r>
      <w:r w:rsidR="00841176">
        <w:t>-</w:t>
      </w:r>
      <w:r w:rsidRPr="009815F9">
        <w:t xml:space="preserve">run early learning settings. </w:t>
      </w:r>
    </w:p>
    <w:p w14:paraId="14E3A83A" w14:textId="77777777" w:rsidR="00EF43D4" w:rsidRDefault="00EF43D4" w:rsidP="00EF43D4">
      <w:r w:rsidRPr="009815F9">
        <w:t>The Australian Government Department of Education is not a teacher employer and cannot employ CTS recipients, confirm a recipient’s employment, identify employment opportunities or provide employment related advice.</w:t>
      </w:r>
    </w:p>
    <w:p w14:paraId="7CB96709" w14:textId="77777777" w:rsidR="00EF43D4" w:rsidRDefault="00EF43D4" w:rsidP="00EF43D4">
      <w:pPr>
        <w:pStyle w:val="Heading2"/>
        <w:numPr>
          <w:ilvl w:val="0"/>
          <w:numId w:val="20"/>
        </w:numPr>
      </w:pPr>
      <w:r>
        <w:lastRenderedPageBreak/>
        <w:t>Calculation of the CTT</w:t>
      </w:r>
    </w:p>
    <w:p w14:paraId="6FB2C209" w14:textId="77777777" w:rsidR="00EF43D4" w:rsidRPr="0090770A" w:rsidRDefault="00EF43D4" w:rsidP="00EF43D4">
      <w:pPr>
        <w:rPr>
          <w:rStyle w:val="ui-provider"/>
        </w:rPr>
      </w:pPr>
      <w:r w:rsidRPr="7C8ED409">
        <w:rPr>
          <w:rStyle w:val="ui-provider"/>
        </w:rPr>
        <w:t xml:space="preserve">The CTT timeframe is full-time equivalent teaching of up to four (4) years for an undergraduate qualified teacher and full-time equivalent teaching of up to two (2) years for a postgraduate qualified teacher. </w:t>
      </w:r>
      <w:bookmarkStart w:id="5" w:name="_Hlk212541611"/>
      <w:r w:rsidRPr="7C8ED409">
        <w:rPr>
          <w:rStyle w:val="ui-provider"/>
        </w:rPr>
        <w:t>This obligation must be fulfilled within 10 years of the recipient’s scholarship funding period completion date.</w:t>
      </w:r>
      <w:bookmarkEnd w:id="5"/>
    </w:p>
    <w:p w14:paraId="37CABBF2" w14:textId="77777777" w:rsidR="00EF43D4" w:rsidRPr="00FE3E99" w:rsidRDefault="00EF43D4" w:rsidP="00EF43D4">
      <w:pPr>
        <w:rPr>
          <w:rStyle w:val="ui-provider"/>
        </w:rPr>
      </w:pPr>
      <w:r w:rsidRPr="00AF4090">
        <w:rPr>
          <w:rStyle w:val="ui-provider"/>
        </w:rPr>
        <w:t>A CTT obligation can be fulfilled using a combination of full</w:t>
      </w:r>
      <w:r>
        <w:rPr>
          <w:rStyle w:val="ui-provider"/>
        </w:rPr>
        <w:t>-</w:t>
      </w:r>
      <w:r w:rsidRPr="00AF4090">
        <w:rPr>
          <w:rStyle w:val="ui-provider"/>
        </w:rPr>
        <w:t>time, part</w:t>
      </w:r>
      <w:r>
        <w:rPr>
          <w:rStyle w:val="ui-provider"/>
        </w:rPr>
        <w:t>-</w:t>
      </w:r>
      <w:r w:rsidRPr="00AF4090">
        <w:rPr>
          <w:rStyle w:val="ui-provider"/>
        </w:rPr>
        <w:t xml:space="preserve">time and/or casual relief teaching </w:t>
      </w:r>
      <w:r w:rsidRPr="00FE3E99">
        <w:rPr>
          <w:rStyle w:val="ui-provider"/>
        </w:rPr>
        <w:t xml:space="preserve">employment. </w:t>
      </w:r>
    </w:p>
    <w:p w14:paraId="7799034F" w14:textId="77777777" w:rsidR="00EF43D4" w:rsidRDefault="00EF43D4" w:rsidP="00EF43D4">
      <w:pPr>
        <w:rPr>
          <w:rStyle w:val="ui-provider"/>
        </w:rPr>
      </w:pPr>
      <w:r w:rsidRPr="6AB0A5DE">
        <w:rPr>
          <w:rStyle w:val="ui-provider"/>
        </w:rPr>
        <w:t>If a CTS recipient is completing an employment-based pathway program or is employed in a teaching role prior to graduation under an alternative authorisation to teach arrangement, the CTT timeframe does not commence until the recipient’s scholarship funding period completion date, as set out in the Scholarship Agreement.</w:t>
      </w:r>
    </w:p>
    <w:p w14:paraId="4420EA15" w14:textId="77777777" w:rsidR="00EF43D4" w:rsidRDefault="00EF43D4" w:rsidP="00EF43D4">
      <w:pPr>
        <w:rPr>
          <w:rFonts w:ascii="Calibri" w:eastAsia="Calibri" w:hAnsi="Calibri" w:cs="Calibri"/>
        </w:rPr>
      </w:pPr>
      <w:r>
        <w:rPr>
          <w:rStyle w:val="ui-provider"/>
        </w:rPr>
        <w:t>Where a recipient undertakes an ITE program which extends beyond the scholarship funding period of up to 4 years for undergraduate and up to 2 years for postgraduate, the additional study time will deplete the 10-year period to complete the CTT. For example, if the ITE program is completed within 4.5 years, extending past the 4 years for an undergraduate by 6 months, the recipient will have 9 years and 6 months to complete the CTT obligation. Any teaching employment undertaken during the ITE program will not count towards the CTT obligation.</w:t>
      </w:r>
    </w:p>
    <w:p w14:paraId="3DC0EF30" w14:textId="77777777" w:rsidR="00EF43D4" w:rsidRDefault="00EF43D4" w:rsidP="00EF43D4">
      <w:pPr>
        <w:rPr>
          <w:rFonts w:ascii="Calibri" w:eastAsia="Calibri" w:hAnsi="Calibri" w:cs="Calibri"/>
        </w:rPr>
      </w:pPr>
      <w:r w:rsidRPr="6AB0A5DE">
        <w:rPr>
          <w:rFonts w:ascii="Calibri" w:eastAsia="Calibri" w:hAnsi="Calibri" w:cs="Calibri"/>
          <w:color w:val="000000" w:themeColor="text1"/>
        </w:rPr>
        <w:t>If a CTS recipient gains part-time or casual teaching employment, the full-time equivalent requirement must still be fulfilled. For example, approximately 6.5 years teaching at a part-time rate (approx. 3 days a week for each year) may be equivalent to the four years full-time teaching required to complete the CTT obligation for recipient undertaking an undergraduate ITE program.</w:t>
      </w:r>
    </w:p>
    <w:p w14:paraId="2DA4C9D3" w14:textId="77777777" w:rsidR="00EF43D4" w:rsidRDefault="00EF43D4" w:rsidP="00EF43D4">
      <w:r>
        <w:t xml:space="preserve">A general calculation for the CTT obligation for a full-time equivalent </w:t>
      </w:r>
      <w:r w:rsidRPr="66F71AB3">
        <w:rPr>
          <w:rStyle w:val="FootnoteReference"/>
        </w:rPr>
        <w:footnoteReference w:id="1"/>
      </w:r>
      <w:r>
        <w:t xml:space="preserve"> may be:</w:t>
      </w:r>
    </w:p>
    <w:p w14:paraId="25DF5EC6" w14:textId="77777777" w:rsidR="00EF43D4" w:rsidRPr="0014252E" w:rsidRDefault="00EF43D4" w:rsidP="00EF43D4">
      <w:pPr>
        <w:pStyle w:val="ListParagraph"/>
        <w:numPr>
          <w:ilvl w:val="0"/>
          <w:numId w:val="21"/>
        </w:numPr>
      </w:pPr>
      <w:r>
        <w:t>Undergraduate ITE recipient- approximately 776-800 days to complete their four year full-time equivalent CTT obligation</w:t>
      </w:r>
      <w:r w:rsidRPr="0014252E">
        <w:t>; and</w:t>
      </w:r>
    </w:p>
    <w:p w14:paraId="05439179" w14:textId="77777777" w:rsidR="00EF43D4" w:rsidRDefault="00EF43D4" w:rsidP="00EF43D4">
      <w:pPr>
        <w:pStyle w:val="ListParagraph"/>
        <w:numPr>
          <w:ilvl w:val="0"/>
          <w:numId w:val="21"/>
        </w:numPr>
      </w:pPr>
      <w:r>
        <w:t>Postgraduate ITE recipient- approximately 388-400 days to complete their two year full-time equivalent CTT obligation.</w:t>
      </w:r>
    </w:p>
    <w:tbl>
      <w:tblPr>
        <w:tblStyle w:val="TableGrid"/>
        <w:tblW w:w="0" w:type="auto"/>
        <w:tblLayout w:type="fixed"/>
        <w:tblLook w:val="0620" w:firstRow="1" w:lastRow="0" w:firstColumn="0" w:lastColumn="0" w:noHBand="1" w:noVBand="1"/>
      </w:tblPr>
      <w:tblGrid>
        <w:gridCol w:w="3005"/>
        <w:gridCol w:w="6030"/>
      </w:tblGrid>
      <w:tr w:rsidR="00EF43D4" w14:paraId="186E8748" w14:textId="77777777" w:rsidTr="002B011A">
        <w:trPr>
          <w:trHeight w:val="300"/>
        </w:trPr>
        <w:tc>
          <w:tcPr>
            <w:tcW w:w="3005" w:type="dxa"/>
            <w:shd w:val="clear" w:color="auto" w:fill="004C6C" w:themeFill="background2"/>
          </w:tcPr>
          <w:p w14:paraId="0C3083A3" w14:textId="77777777" w:rsidR="00EF43D4" w:rsidRPr="00A55B2C" w:rsidRDefault="00EF43D4" w:rsidP="002B011A">
            <w:pPr>
              <w:rPr>
                <w:rStyle w:val="ui-provider"/>
                <w:color w:val="FFFFFF" w:themeColor="background1"/>
              </w:rPr>
            </w:pPr>
            <w:r w:rsidRPr="00A55B2C">
              <w:rPr>
                <w:rStyle w:val="ui-provider"/>
                <w:color w:val="FFFFFF" w:themeColor="background1"/>
              </w:rPr>
              <w:t>Employment Type</w:t>
            </w:r>
          </w:p>
        </w:tc>
        <w:tc>
          <w:tcPr>
            <w:tcW w:w="6030" w:type="dxa"/>
            <w:shd w:val="clear" w:color="auto" w:fill="004C6C" w:themeFill="background2"/>
          </w:tcPr>
          <w:p w14:paraId="3C36ABED" w14:textId="77777777" w:rsidR="00EF43D4" w:rsidRPr="00A55B2C" w:rsidRDefault="00EF43D4" w:rsidP="002B011A">
            <w:pPr>
              <w:rPr>
                <w:rStyle w:val="ui-provider"/>
                <w:color w:val="FFFFFF" w:themeColor="background1"/>
              </w:rPr>
            </w:pPr>
            <w:r w:rsidRPr="00A55B2C">
              <w:rPr>
                <w:rStyle w:val="ui-provider"/>
                <w:color w:val="FFFFFF" w:themeColor="background1"/>
              </w:rPr>
              <w:t>General Requirements</w:t>
            </w:r>
          </w:p>
        </w:tc>
      </w:tr>
      <w:tr w:rsidR="00EF43D4" w14:paraId="2F80F7B5" w14:textId="77777777" w:rsidTr="002B011A">
        <w:trPr>
          <w:trHeight w:val="300"/>
        </w:trPr>
        <w:tc>
          <w:tcPr>
            <w:tcW w:w="3005" w:type="dxa"/>
          </w:tcPr>
          <w:p w14:paraId="63488303" w14:textId="77777777" w:rsidR="00EF43D4" w:rsidRPr="00E55BAC" w:rsidRDefault="00EF43D4" w:rsidP="002B011A">
            <w:pPr>
              <w:rPr>
                <w:rStyle w:val="ui-provider"/>
              </w:rPr>
            </w:pPr>
            <w:r w:rsidRPr="00E55BAC">
              <w:rPr>
                <w:rStyle w:val="ui-provider"/>
              </w:rPr>
              <w:t>Full</w:t>
            </w:r>
            <w:r>
              <w:rPr>
                <w:rStyle w:val="ui-provider"/>
              </w:rPr>
              <w:t>-</w:t>
            </w:r>
            <w:r w:rsidRPr="00E55BAC">
              <w:rPr>
                <w:rStyle w:val="ui-provider"/>
              </w:rPr>
              <w:t>time</w:t>
            </w:r>
          </w:p>
        </w:tc>
        <w:tc>
          <w:tcPr>
            <w:tcW w:w="6030" w:type="dxa"/>
          </w:tcPr>
          <w:p w14:paraId="6FD6EA38" w14:textId="3E1803A1" w:rsidR="00EF43D4" w:rsidRPr="00E55BAC" w:rsidRDefault="00EF43D4" w:rsidP="002B011A">
            <w:pPr>
              <w:pStyle w:val="ListParagraph"/>
              <w:numPr>
                <w:ilvl w:val="0"/>
                <w:numId w:val="23"/>
              </w:numPr>
              <w:ind w:left="288" w:hanging="283"/>
              <w:rPr>
                <w:rStyle w:val="ui-provider"/>
              </w:rPr>
            </w:pPr>
            <w:r w:rsidRPr="3EDF9013">
              <w:rPr>
                <w:rStyle w:val="ui-provider"/>
              </w:rPr>
              <w:t>Working every school day in a capacity requiring teacher registration</w:t>
            </w:r>
            <w:r w:rsidR="00F30933">
              <w:rPr>
                <w:rStyle w:val="ui-provider"/>
              </w:rPr>
              <w:t>.</w:t>
            </w:r>
          </w:p>
          <w:p w14:paraId="22E46846" w14:textId="0724BBF9" w:rsidR="00EF43D4" w:rsidRPr="00E55BAC" w:rsidRDefault="00EF43D4" w:rsidP="002B011A">
            <w:pPr>
              <w:pStyle w:val="ListParagraph"/>
              <w:numPr>
                <w:ilvl w:val="0"/>
                <w:numId w:val="23"/>
              </w:numPr>
              <w:ind w:left="288" w:hanging="283"/>
              <w:rPr>
                <w:rStyle w:val="ui-provider"/>
              </w:rPr>
            </w:pPr>
            <w:r w:rsidRPr="00E55BAC">
              <w:rPr>
                <w:rStyle w:val="ui-provider"/>
              </w:rPr>
              <w:t>Approximately 200 (including sick leave, public holidays and professional development) days per year</w:t>
            </w:r>
            <w:r w:rsidR="00F30933">
              <w:rPr>
                <w:rStyle w:val="ui-provider"/>
              </w:rPr>
              <w:t>.</w:t>
            </w:r>
          </w:p>
        </w:tc>
      </w:tr>
      <w:tr w:rsidR="00EF43D4" w14:paraId="214B0D95" w14:textId="77777777" w:rsidTr="002B011A">
        <w:trPr>
          <w:trHeight w:val="300"/>
        </w:trPr>
        <w:tc>
          <w:tcPr>
            <w:tcW w:w="3005" w:type="dxa"/>
          </w:tcPr>
          <w:p w14:paraId="01ABB007" w14:textId="77777777" w:rsidR="00EF43D4" w:rsidRPr="00E55BAC" w:rsidRDefault="00EF43D4" w:rsidP="002B011A">
            <w:pPr>
              <w:rPr>
                <w:rStyle w:val="ui-provider"/>
              </w:rPr>
            </w:pPr>
            <w:r w:rsidRPr="00E55BAC">
              <w:rPr>
                <w:rStyle w:val="ui-provider"/>
              </w:rPr>
              <w:t>Part</w:t>
            </w:r>
            <w:r>
              <w:rPr>
                <w:rStyle w:val="ui-provider"/>
              </w:rPr>
              <w:t>-</w:t>
            </w:r>
            <w:r w:rsidRPr="00E55BAC">
              <w:rPr>
                <w:rStyle w:val="ui-provider"/>
              </w:rPr>
              <w:t>time</w:t>
            </w:r>
          </w:p>
        </w:tc>
        <w:tc>
          <w:tcPr>
            <w:tcW w:w="6030" w:type="dxa"/>
          </w:tcPr>
          <w:p w14:paraId="328CA4C8" w14:textId="142C21EF" w:rsidR="00EF43D4" w:rsidRPr="00E55BAC" w:rsidRDefault="00EF43D4" w:rsidP="002B011A">
            <w:pPr>
              <w:pStyle w:val="ListParagraph"/>
              <w:numPr>
                <w:ilvl w:val="0"/>
                <w:numId w:val="22"/>
              </w:numPr>
              <w:ind w:left="288" w:hanging="283"/>
              <w:rPr>
                <w:rStyle w:val="ui-provider"/>
              </w:rPr>
            </w:pPr>
            <w:r w:rsidRPr="00E55BAC">
              <w:rPr>
                <w:rStyle w:val="ui-provider"/>
              </w:rPr>
              <w:t>Calculated based on full</w:t>
            </w:r>
            <w:r>
              <w:rPr>
                <w:rStyle w:val="ui-provider"/>
              </w:rPr>
              <w:t>-</w:t>
            </w:r>
            <w:r w:rsidRPr="00E55BAC">
              <w:rPr>
                <w:rStyle w:val="ui-provider"/>
              </w:rPr>
              <w:t>time equivalent (approximately 200 days per year)</w:t>
            </w:r>
            <w:r w:rsidR="00F30933">
              <w:rPr>
                <w:rStyle w:val="ui-provider"/>
              </w:rPr>
              <w:t>.</w:t>
            </w:r>
          </w:p>
          <w:p w14:paraId="589A54E3" w14:textId="7A7342A1" w:rsidR="00EF43D4" w:rsidRPr="00E55BAC" w:rsidRDefault="00EF43D4" w:rsidP="002B011A">
            <w:pPr>
              <w:pStyle w:val="ListParagraph"/>
              <w:numPr>
                <w:ilvl w:val="0"/>
                <w:numId w:val="22"/>
              </w:numPr>
              <w:ind w:left="288" w:hanging="283"/>
              <w:rPr>
                <w:rStyle w:val="ui-provider"/>
              </w:rPr>
            </w:pPr>
            <w:r w:rsidRPr="00E55BAC">
              <w:rPr>
                <w:rStyle w:val="ui-provider"/>
              </w:rPr>
              <w:t>Working in a capacity requiring teacher registration</w:t>
            </w:r>
            <w:r w:rsidR="00F30933">
              <w:rPr>
                <w:rStyle w:val="ui-provider"/>
              </w:rPr>
              <w:t>.</w:t>
            </w:r>
          </w:p>
          <w:p w14:paraId="33B77D34" w14:textId="4890426B" w:rsidR="00EF43D4" w:rsidRPr="00E55BAC" w:rsidRDefault="00EF43D4" w:rsidP="002B011A">
            <w:pPr>
              <w:pStyle w:val="ListParagraph"/>
              <w:numPr>
                <w:ilvl w:val="0"/>
                <w:numId w:val="22"/>
              </w:numPr>
              <w:ind w:left="288" w:hanging="283"/>
              <w:rPr>
                <w:rStyle w:val="ui-provider"/>
              </w:rPr>
            </w:pPr>
            <w:r w:rsidRPr="00E55BAC">
              <w:rPr>
                <w:rStyle w:val="ui-provider"/>
              </w:rPr>
              <w:lastRenderedPageBreak/>
              <w:t xml:space="preserve">For example, a recipient employed 3 days a week as a teacher </w:t>
            </w:r>
            <w:r>
              <w:rPr>
                <w:rStyle w:val="ui-provider"/>
              </w:rPr>
              <w:t xml:space="preserve">for one year </w:t>
            </w:r>
            <w:r w:rsidRPr="00E55BAC">
              <w:rPr>
                <w:rStyle w:val="ui-provider"/>
              </w:rPr>
              <w:t>will complete approximately 114 days towards their CTT obligation</w:t>
            </w:r>
            <w:r w:rsidR="00F30933">
              <w:rPr>
                <w:rStyle w:val="ui-provider"/>
              </w:rPr>
              <w:t>.</w:t>
            </w:r>
          </w:p>
        </w:tc>
      </w:tr>
      <w:tr w:rsidR="00EF43D4" w14:paraId="0D40390F" w14:textId="77777777" w:rsidTr="002B011A">
        <w:trPr>
          <w:trHeight w:val="300"/>
        </w:trPr>
        <w:tc>
          <w:tcPr>
            <w:tcW w:w="3005" w:type="dxa"/>
          </w:tcPr>
          <w:p w14:paraId="5754D0DD" w14:textId="77777777" w:rsidR="00EF43D4" w:rsidRPr="00E55BAC" w:rsidRDefault="00EF43D4" w:rsidP="002B011A">
            <w:pPr>
              <w:rPr>
                <w:rStyle w:val="ui-provider"/>
              </w:rPr>
            </w:pPr>
            <w:r w:rsidRPr="00E55BAC">
              <w:rPr>
                <w:rStyle w:val="ui-provider"/>
              </w:rPr>
              <w:lastRenderedPageBreak/>
              <w:t>Casual/relief teaching</w:t>
            </w:r>
          </w:p>
        </w:tc>
        <w:tc>
          <w:tcPr>
            <w:tcW w:w="6030" w:type="dxa"/>
          </w:tcPr>
          <w:p w14:paraId="6BDD8FEA" w14:textId="2DBCCF4E" w:rsidR="00EF43D4" w:rsidRPr="00E55BAC" w:rsidRDefault="00EF43D4" w:rsidP="002B011A">
            <w:pPr>
              <w:pStyle w:val="ListParagraph"/>
              <w:numPr>
                <w:ilvl w:val="0"/>
                <w:numId w:val="22"/>
              </w:numPr>
              <w:ind w:left="288" w:hanging="283"/>
              <w:rPr>
                <w:rStyle w:val="ui-provider"/>
              </w:rPr>
            </w:pPr>
            <w:r w:rsidRPr="00E55BAC">
              <w:rPr>
                <w:rStyle w:val="ui-provider"/>
              </w:rPr>
              <w:t>Calculated based on full</w:t>
            </w:r>
            <w:r>
              <w:rPr>
                <w:rStyle w:val="ui-provider"/>
              </w:rPr>
              <w:t>-</w:t>
            </w:r>
            <w:r w:rsidRPr="00E55BAC">
              <w:rPr>
                <w:rStyle w:val="ui-provider"/>
              </w:rPr>
              <w:t>time equivalent (approximately 200 days per year)</w:t>
            </w:r>
            <w:r w:rsidR="00F30933">
              <w:rPr>
                <w:rStyle w:val="ui-provider"/>
              </w:rPr>
              <w:t>.</w:t>
            </w:r>
          </w:p>
          <w:p w14:paraId="2DE6F7D9" w14:textId="024E4E48" w:rsidR="00EF43D4" w:rsidRPr="00E55BAC" w:rsidRDefault="00EF43D4" w:rsidP="002B011A">
            <w:pPr>
              <w:pStyle w:val="ListParagraph"/>
              <w:numPr>
                <w:ilvl w:val="0"/>
                <w:numId w:val="22"/>
              </w:numPr>
              <w:ind w:left="288" w:hanging="283"/>
              <w:rPr>
                <w:rStyle w:val="ui-provider"/>
              </w:rPr>
            </w:pPr>
            <w:r w:rsidRPr="00E55BAC">
              <w:rPr>
                <w:rStyle w:val="ui-provider"/>
              </w:rPr>
              <w:t>Working in a capacity requiring teacher registration</w:t>
            </w:r>
            <w:r w:rsidR="00F30933">
              <w:rPr>
                <w:rStyle w:val="ui-provider"/>
              </w:rPr>
              <w:t>.</w:t>
            </w:r>
          </w:p>
          <w:p w14:paraId="10BF12C8" w14:textId="300753E4" w:rsidR="00EF43D4" w:rsidRPr="00E55BAC" w:rsidRDefault="00EF43D4" w:rsidP="002B011A">
            <w:pPr>
              <w:pStyle w:val="ListParagraph"/>
              <w:numPr>
                <w:ilvl w:val="0"/>
                <w:numId w:val="22"/>
              </w:numPr>
              <w:ind w:left="288" w:hanging="283"/>
              <w:rPr>
                <w:rStyle w:val="ui-provider"/>
              </w:rPr>
            </w:pPr>
            <w:r w:rsidRPr="00E55BAC">
              <w:rPr>
                <w:rStyle w:val="ui-provider"/>
              </w:rPr>
              <w:t>For example, a recipient employed consistently for 5 individual days a week as a relief teacher over a year will complete approximately 194 days (due to public holidays) towards their CTT obligation</w:t>
            </w:r>
            <w:r w:rsidR="00F30933">
              <w:rPr>
                <w:rStyle w:val="ui-provider"/>
              </w:rPr>
              <w:t>.</w:t>
            </w:r>
          </w:p>
        </w:tc>
      </w:tr>
      <w:tr w:rsidR="00EF43D4" w14:paraId="0930815B" w14:textId="77777777" w:rsidTr="002B011A">
        <w:trPr>
          <w:trHeight w:val="300"/>
        </w:trPr>
        <w:tc>
          <w:tcPr>
            <w:tcW w:w="3005" w:type="dxa"/>
          </w:tcPr>
          <w:p w14:paraId="73D9A2FA" w14:textId="77777777" w:rsidR="00EF43D4" w:rsidRPr="00E55BAC" w:rsidRDefault="00EF43D4" w:rsidP="002B011A">
            <w:pPr>
              <w:rPr>
                <w:rStyle w:val="ui-provider"/>
              </w:rPr>
            </w:pPr>
            <w:r w:rsidRPr="00E55BAC">
              <w:rPr>
                <w:rStyle w:val="ui-provider"/>
              </w:rPr>
              <w:t>Combination</w:t>
            </w:r>
          </w:p>
        </w:tc>
        <w:tc>
          <w:tcPr>
            <w:tcW w:w="6030" w:type="dxa"/>
          </w:tcPr>
          <w:p w14:paraId="7F4E494D" w14:textId="72E16236" w:rsidR="00EF43D4" w:rsidRPr="00E55BAC" w:rsidRDefault="00EF43D4" w:rsidP="002B011A">
            <w:pPr>
              <w:pStyle w:val="ListParagraph"/>
              <w:numPr>
                <w:ilvl w:val="0"/>
                <w:numId w:val="22"/>
              </w:numPr>
              <w:ind w:left="288" w:hanging="283"/>
              <w:rPr>
                <w:rStyle w:val="ui-provider"/>
              </w:rPr>
            </w:pPr>
            <w:r w:rsidRPr="00E55BAC">
              <w:rPr>
                <w:rStyle w:val="ui-provider"/>
              </w:rPr>
              <w:t>Calculated based on full</w:t>
            </w:r>
            <w:r>
              <w:rPr>
                <w:rStyle w:val="ui-provider"/>
              </w:rPr>
              <w:t>-</w:t>
            </w:r>
            <w:r w:rsidRPr="00E55BAC">
              <w:rPr>
                <w:rStyle w:val="ui-provider"/>
              </w:rPr>
              <w:t>time equivalent (approximately 190 days per year)</w:t>
            </w:r>
            <w:r w:rsidR="00F30933">
              <w:rPr>
                <w:rStyle w:val="ui-provider"/>
              </w:rPr>
              <w:t>.</w:t>
            </w:r>
          </w:p>
          <w:p w14:paraId="795F122B" w14:textId="3262E58E" w:rsidR="00EF43D4" w:rsidRPr="00E55BAC" w:rsidRDefault="00EF43D4" w:rsidP="002B011A">
            <w:pPr>
              <w:pStyle w:val="ListParagraph"/>
              <w:numPr>
                <w:ilvl w:val="0"/>
                <w:numId w:val="22"/>
              </w:numPr>
              <w:ind w:left="288" w:hanging="283"/>
              <w:rPr>
                <w:rStyle w:val="ui-provider"/>
              </w:rPr>
            </w:pPr>
            <w:r w:rsidRPr="00E55BAC">
              <w:rPr>
                <w:rStyle w:val="ui-provider"/>
              </w:rPr>
              <w:t>Working in a capacity requiring teacher registration</w:t>
            </w:r>
            <w:r w:rsidR="00F30933">
              <w:rPr>
                <w:rStyle w:val="ui-provider"/>
              </w:rPr>
              <w:t>.</w:t>
            </w:r>
          </w:p>
          <w:p w14:paraId="4F48FDEC" w14:textId="002B710C" w:rsidR="00EF43D4" w:rsidRPr="00E55BAC" w:rsidRDefault="00EF43D4" w:rsidP="002B011A">
            <w:pPr>
              <w:pStyle w:val="ListParagraph"/>
              <w:numPr>
                <w:ilvl w:val="0"/>
                <w:numId w:val="22"/>
              </w:numPr>
              <w:ind w:left="288" w:hanging="283"/>
              <w:rPr>
                <w:rStyle w:val="ui-provider"/>
              </w:rPr>
            </w:pPr>
            <w:r w:rsidRPr="6AB0A5DE">
              <w:rPr>
                <w:rStyle w:val="ui-provider"/>
              </w:rPr>
              <w:t xml:space="preserve">A </w:t>
            </w:r>
            <w:r w:rsidR="00C319B9" w:rsidRPr="6AB0A5DE">
              <w:rPr>
                <w:rStyle w:val="ui-provider"/>
              </w:rPr>
              <w:t>CTS recipient</w:t>
            </w:r>
            <w:r w:rsidRPr="6AB0A5DE">
              <w:rPr>
                <w:rStyle w:val="ui-provider"/>
              </w:rPr>
              <w:t xml:space="preserve"> may combine any employment types within the 10-year CTT time frame. This approach for beginning teachers is not uncommon.</w:t>
            </w:r>
          </w:p>
          <w:p w14:paraId="3E421BC7" w14:textId="77777777" w:rsidR="00EF43D4" w:rsidRPr="00E55BAC" w:rsidRDefault="00EF43D4" w:rsidP="002B011A">
            <w:pPr>
              <w:pStyle w:val="ListParagraph"/>
              <w:numPr>
                <w:ilvl w:val="0"/>
                <w:numId w:val="22"/>
              </w:numPr>
              <w:ind w:left="288" w:hanging="283"/>
              <w:rPr>
                <w:rStyle w:val="ui-provider"/>
              </w:rPr>
            </w:pPr>
            <w:r w:rsidRPr="00E55BAC">
              <w:rPr>
                <w:rStyle w:val="ui-provider"/>
              </w:rPr>
              <w:t>Recipient</w:t>
            </w:r>
            <w:r w:rsidRPr="0014252E">
              <w:rPr>
                <w:rStyle w:val="ui-provider"/>
              </w:rPr>
              <w:t>s</w:t>
            </w:r>
            <w:r w:rsidRPr="00E55BAC">
              <w:rPr>
                <w:rStyle w:val="ui-provider"/>
              </w:rPr>
              <w:t xml:space="preserve"> must keep track of the total days worked in a full</w:t>
            </w:r>
            <w:r>
              <w:rPr>
                <w:rStyle w:val="ui-provider"/>
              </w:rPr>
              <w:noBreakHyphen/>
            </w:r>
            <w:r w:rsidRPr="00E55BAC">
              <w:rPr>
                <w:rStyle w:val="ui-provider"/>
              </w:rPr>
              <w:t>time, part</w:t>
            </w:r>
            <w:r>
              <w:rPr>
                <w:rStyle w:val="ui-provider"/>
              </w:rPr>
              <w:t>-</w:t>
            </w:r>
            <w:r w:rsidRPr="00E55BAC">
              <w:rPr>
                <w:rStyle w:val="ui-provider"/>
              </w:rPr>
              <w:t>time or casual/relief capacity to ensure they complete their obligation.</w:t>
            </w:r>
          </w:p>
        </w:tc>
      </w:tr>
    </w:tbl>
    <w:p w14:paraId="24DF2E4B" w14:textId="77777777" w:rsidR="00EF43D4" w:rsidRDefault="00EF43D4" w:rsidP="00EF43D4">
      <w:pPr>
        <w:rPr>
          <w:strike/>
        </w:rPr>
      </w:pPr>
    </w:p>
    <w:p w14:paraId="20FFA97F" w14:textId="77777777" w:rsidR="00EF43D4" w:rsidRDefault="00EF43D4" w:rsidP="00EF43D4">
      <w:r>
        <w:t>Following submission of evidence each year, the Department will provide an update to recipients to confirm progress towards completing the CTT.</w:t>
      </w:r>
    </w:p>
    <w:p w14:paraId="0B163419" w14:textId="77777777" w:rsidR="00EF43D4" w:rsidRDefault="00EF43D4" w:rsidP="00EF43D4">
      <w:pPr>
        <w:pStyle w:val="Heading2"/>
        <w:numPr>
          <w:ilvl w:val="0"/>
          <w:numId w:val="20"/>
        </w:numPr>
      </w:pPr>
      <w:r>
        <w:t>Evidence collected</w:t>
      </w:r>
    </w:p>
    <w:p w14:paraId="6DD95714" w14:textId="7A20D155" w:rsidR="00EF43D4" w:rsidRDefault="00EF43D4" w:rsidP="00EF43D4">
      <w:pPr>
        <w:spacing w:line="257" w:lineRule="auto"/>
      </w:pPr>
      <w:r w:rsidRPr="0051689D">
        <w:rPr>
          <w:rFonts w:ascii="Calibri" w:eastAsia="Calibri" w:hAnsi="Calibri" w:cs="Calibri"/>
        </w:rPr>
        <w:t xml:space="preserve">For a recipient to demonstrate their progress towards completing the CTT the Department will collect the </w:t>
      </w:r>
      <w:r w:rsidR="00C25398">
        <w:rPr>
          <w:rFonts w:ascii="Calibri" w:eastAsia="Calibri" w:hAnsi="Calibri" w:cs="Calibri"/>
        </w:rPr>
        <w:t xml:space="preserve">teacher registration and </w:t>
      </w:r>
      <w:r w:rsidRPr="0051689D">
        <w:rPr>
          <w:rFonts w:ascii="Calibri" w:eastAsia="Calibri" w:hAnsi="Calibri" w:cs="Calibri"/>
        </w:rPr>
        <w:t>employment information</w:t>
      </w:r>
      <w:r w:rsidR="00DA39F1">
        <w:rPr>
          <w:rFonts w:ascii="Calibri" w:eastAsia="Calibri" w:hAnsi="Calibri" w:cs="Calibri"/>
        </w:rPr>
        <w:t xml:space="preserve"> </w:t>
      </w:r>
      <w:r w:rsidRPr="0051689D">
        <w:rPr>
          <w:rFonts w:ascii="Calibri" w:eastAsia="Calibri" w:hAnsi="Calibri" w:cs="Calibri"/>
        </w:rPr>
        <w:t>on an annual basis</w:t>
      </w:r>
      <w:r w:rsidR="005E695A">
        <w:rPr>
          <w:rFonts w:ascii="Calibri" w:eastAsia="Calibri" w:hAnsi="Calibri" w:cs="Calibri"/>
        </w:rPr>
        <w:t>,</w:t>
      </w:r>
      <w:r w:rsidRPr="0051689D">
        <w:rPr>
          <w:rFonts w:ascii="Calibri" w:eastAsia="Calibri" w:hAnsi="Calibri" w:cs="Calibri"/>
        </w:rPr>
        <w:t xml:space="preserve"> using a form provided by the Department.</w:t>
      </w:r>
    </w:p>
    <w:p w14:paraId="45EE9CB7" w14:textId="0B1344A5" w:rsidR="00EF43D4" w:rsidRDefault="00EF43D4" w:rsidP="00EF43D4">
      <w:pPr>
        <w:rPr>
          <w:rFonts w:ascii="Calibri" w:eastAsia="Calibri" w:hAnsi="Calibri" w:cs="Calibri"/>
        </w:rPr>
      </w:pPr>
      <w:r w:rsidRPr="0051689D">
        <w:rPr>
          <w:rFonts w:ascii="Calibri" w:eastAsia="Calibri" w:hAnsi="Calibri" w:cs="Calibri"/>
        </w:rPr>
        <w:t xml:space="preserve">The Department will require evidence to support a recipients’ progress in completing the CTT and this may include payslips (days worked), </w:t>
      </w:r>
      <w:r w:rsidR="00603A12">
        <w:rPr>
          <w:rFonts w:ascii="Calibri" w:eastAsia="Calibri" w:hAnsi="Calibri" w:cs="Calibri"/>
        </w:rPr>
        <w:t xml:space="preserve">statement of service (to confirm </w:t>
      </w:r>
      <w:r w:rsidR="00C319B9">
        <w:rPr>
          <w:rFonts w:ascii="Calibri" w:eastAsia="Calibri" w:hAnsi="Calibri" w:cs="Calibri"/>
        </w:rPr>
        <w:t>employer, employment details and type of employment)</w:t>
      </w:r>
      <w:r w:rsidR="00B276E0">
        <w:rPr>
          <w:rFonts w:ascii="Calibri" w:eastAsia="Calibri" w:hAnsi="Calibri" w:cs="Calibri"/>
        </w:rPr>
        <w:t>,</w:t>
      </w:r>
      <w:r w:rsidR="00C319B9">
        <w:rPr>
          <w:rFonts w:ascii="Calibri" w:eastAsia="Calibri" w:hAnsi="Calibri" w:cs="Calibri"/>
        </w:rPr>
        <w:t xml:space="preserve"> </w:t>
      </w:r>
      <w:r w:rsidRPr="0051689D">
        <w:rPr>
          <w:rFonts w:ascii="Calibri" w:eastAsia="Calibri" w:hAnsi="Calibri" w:cs="Calibri"/>
        </w:rPr>
        <w:t>income tax assessment (to confirm employer and employment) or an employment contract (to confirm employment type).</w:t>
      </w:r>
    </w:p>
    <w:p w14:paraId="5535C97A" w14:textId="70076C48" w:rsidR="00CD13AC" w:rsidRPr="00352E52" w:rsidRDefault="00C948A3" w:rsidP="00352E52">
      <w:pPr>
        <w:pStyle w:val="Heading5"/>
        <w:rPr>
          <w:b w:val="0"/>
          <w:sz w:val="32"/>
          <w:szCs w:val="24"/>
        </w:rPr>
      </w:pPr>
      <w:r w:rsidRPr="00352E52">
        <w:rPr>
          <w:sz w:val="32"/>
          <w:szCs w:val="24"/>
        </w:rPr>
        <w:t xml:space="preserve">5.1 </w:t>
      </w:r>
      <w:r w:rsidR="00CD13AC" w:rsidRPr="00352E52">
        <w:rPr>
          <w:sz w:val="32"/>
          <w:szCs w:val="24"/>
        </w:rPr>
        <w:t>Employment evidence</w:t>
      </w:r>
    </w:p>
    <w:p w14:paraId="5EF9505C" w14:textId="77777777" w:rsidR="00504195" w:rsidRDefault="00504195" w:rsidP="00CD13AC">
      <w:pPr>
        <w:spacing w:after="0"/>
      </w:pPr>
    </w:p>
    <w:p w14:paraId="4E0A5493" w14:textId="00774974" w:rsidR="00CD13AC" w:rsidRDefault="00EC749E" w:rsidP="00CD13AC">
      <w:pPr>
        <w:spacing w:after="0"/>
      </w:pPr>
      <w:r>
        <w:t>Acceptable e</w:t>
      </w:r>
      <w:r w:rsidR="00CD13AC">
        <w:t>vidence should include:</w:t>
      </w:r>
    </w:p>
    <w:p w14:paraId="7D5B7C64" w14:textId="56BD42EB" w:rsidR="00CD13AC" w:rsidRPr="007D1BAE" w:rsidRDefault="00CD13AC" w:rsidP="00CD13AC">
      <w:pPr>
        <w:numPr>
          <w:ilvl w:val="0"/>
          <w:numId w:val="26"/>
        </w:numPr>
        <w:spacing w:after="0"/>
      </w:pPr>
      <w:r>
        <w:t>full name</w:t>
      </w:r>
      <w:r w:rsidR="00177BAE">
        <w:t xml:space="preserve"> of employee</w:t>
      </w:r>
    </w:p>
    <w:p w14:paraId="39C0053C" w14:textId="77777777" w:rsidR="00CD13AC" w:rsidRPr="007D1BAE" w:rsidRDefault="00CD13AC" w:rsidP="00CD13AC">
      <w:pPr>
        <w:numPr>
          <w:ilvl w:val="0"/>
          <w:numId w:val="26"/>
        </w:numPr>
        <w:spacing w:after="0"/>
      </w:pPr>
      <w:r w:rsidRPr="007D1BAE">
        <w:t>name of school</w:t>
      </w:r>
    </w:p>
    <w:p w14:paraId="1695A0D9" w14:textId="433CC9A9" w:rsidR="00CD13AC" w:rsidRPr="007D1BAE" w:rsidRDefault="00CD13AC" w:rsidP="00CD13AC">
      <w:pPr>
        <w:numPr>
          <w:ilvl w:val="0"/>
          <w:numId w:val="26"/>
        </w:numPr>
        <w:spacing w:after="0"/>
      </w:pPr>
      <w:r w:rsidRPr="007D1BAE">
        <w:t>position classification</w:t>
      </w:r>
      <w:r w:rsidR="00177BAE">
        <w:t xml:space="preserve"> of employee</w:t>
      </w:r>
    </w:p>
    <w:p w14:paraId="05485457" w14:textId="77777777" w:rsidR="00CD13AC" w:rsidRDefault="00CD13AC" w:rsidP="00CD13AC">
      <w:pPr>
        <w:numPr>
          <w:ilvl w:val="0"/>
          <w:numId w:val="26"/>
        </w:numPr>
        <w:spacing w:after="0"/>
      </w:pPr>
      <w:r>
        <w:t xml:space="preserve">employment status (full-time, part-time or casual/relief) </w:t>
      </w:r>
    </w:p>
    <w:p w14:paraId="42D8473A" w14:textId="1A73EB75" w:rsidR="00CD13AC" w:rsidRDefault="00CD13AC" w:rsidP="00CD13AC">
      <w:pPr>
        <w:numPr>
          <w:ilvl w:val="0"/>
          <w:numId w:val="26"/>
        </w:numPr>
        <w:spacing w:after="0"/>
      </w:pPr>
      <w:r>
        <w:t>employment hours (</w:t>
      </w:r>
      <w:r w:rsidR="00851770">
        <w:t xml:space="preserve">per </w:t>
      </w:r>
      <w:r>
        <w:t>week</w:t>
      </w:r>
      <w:r w:rsidR="002F4410">
        <w:t>,</w:t>
      </w:r>
      <w:r>
        <w:t xml:space="preserve"> </w:t>
      </w:r>
      <w:r w:rsidR="00851770">
        <w:t xml:space="preserve">fortnight </w:t>
      </w:r>
      <w:r>
        <w:t xml:space="preserve">or month) </w:t>
      </w:r>
    </w:p>
    <w:p w14:paraId="7E3149B1" w14:textId="7102D461" w:rsidR="00CD13AC" w:rsidRDefault="00CD13AC" w:rsidP="00CD13AC">
      <w:pPr>
        <w:numPr>
          <w:ilvl w:val="0"/>
          <w:numId w:val="26"/>
        </w:numPr>
        <w:spacing w:after="0"/>
      </w:pPr>
      <w:r>
        <w:t>commencement date</w:t>
      </w:r>
      <w:r w:rsidR="00B34F12">
        <w:t xml:space="preserve"> of employment</w:t>
      </w:r>
      <w:r w:rsidR="0085503E">
        <w:t>.</w:t>
      </w:r>
    </w:p>
    <w:p w14:paraId="45FF99B6" w14:textId="4F798F76" w:rsidR="00CD13AC" w:rsidRDefault="00CD13AC" w:rsidP="00352E52">
      <w:pPr>
        <w:spacing w:after="0"/>
        <w:ind w:left="720"/>
      </w:pPr>
    </w:p>
    <w:p w14:paraId="4F4A8A42" w14:textId="77777777" w:rsidR="00EF1B51" w:rsidRDefault="00EF1B51" w:rsidP="00352E52">
      <w:pPr>
        <w:spacing w:after="0"/>
        <w:ind w:left="720"/>
      </w:pPr>
    </w:p>
    <w:p w14:paraId="79B8BFF8" w14:textId="47FAD3E3" w:rsidR="00CD13AC" w:rsidRPr="00E952F9" w:rsidRDefault="00C948A3" w:rsidP="00352E52">
      <w:pPr>
        <w:pStyle w:val="Heading5"/>
      </w:pPr>
      <w:r w:rsidRPr="00352E52">
        <w:rPr>
          <w:sz w:val="32"/>
          <w:szCs w:val="24"/>
        </w:rPr>
        <w:lastRenderedPageBreak/>
        <w:t xml:space="preserve">5.2 </w:t>
      </w:r>
      <w:r w:rsidR="00CD13AC" w:rsidRPr="00352E52">
        <w:rPr>
          <w:sz w:val="32"/>
          <w:szCs w:val="24"/>
        </w:rPr>
        <w:t xml:space="preserve">Teacher </w:t>
      </w:r>
      <w:r w:rsidR="00732768" w:rsidRPr="00352E52">
        <w:rPr>
          <w:sz w:val="32"/>
          <w:szCs w:val="24"/>
        </w:rPr>
        <w:t>r</w:t>
      </w:r>
      <w:r w:rsidR="00CD13AC" w:rsidRPr="00352E52">
        <w:rPr>
          <w:sz w:val="32"/>
          <w:szCs w:val="24"/>
        </w:rPr>
        <w:t xml:space="preserve">egistration </w:t>
      </w:r>
      <w:r w:rsidR="00732768" w:rsidRPr="00352E52">
        <w:rPr>
          <w:sz w:val="32"/>
          <w:szCs w:val="24"/>
        </w:rPr>
        <w:t>e</w:t>
      </w:r>
      <w:r w:rsidR="00CD13AC" w:rsidRPr="00352E52">
        <w:rPr>
          <w:sz w:val="32"/>
          <w:szCs w:val="24"/>
        </w:rPr>
        <w:t>vidence</w:t>
      </w:r>
    </w:p>
    <w:p w14:paraId="3FA979AA" w14:textId="77777777" w:rsidR="00CD13AC" w:rsidRDefault="00CD13AC" w:rsidP="00CD13AC">
      <w:pPr>
        <w:spacing w:after="0"/>
      </w:pPr>
    </w:p>
    <w:p w14:paraId="63AD503D" w14:textId="77777777" w:rsidR="00CD13AC" w:rsidRDefault="00CD13AC" w:rsidP="00CD13AC">
      <w:pPr>
        <w:spacing w:after="0"/>
      </w:pPr>
      <w:r>
        <w:t>Acceptable evidence should include:</w:t>
      </w:r>
    </w:p>
    <w:p w14:paraId="0AEC1A11" w14:textId="74F0F279" w:rsidR="00CD13AC" w:rsidRDefault="00152773" w:rsidP="00CD13AC">
      <w:pPr>
        <w:pStyle w:val="ListParagraph"/>
        <w:numPr>
          <w:ilvl w:val="0"/>
          <w:numId w:val="26"/>
        </w:numPr>
        <w:spacing w:after="0"/>
      </w:pPr>
      <w:r>
        <w:t>t</w:t>
      </w:r>
      <w:r w:rsidR="00B6509A">
        <w:t>eacher’s full name</w:t>
      </w:r>
    </w:p>
    <w:p w14:paraId="1EB0B2DA" w14:textId="6300734F" w:rsidR="00CD13AC" w:rsidRDefault="00152773" w:rsidP="00CD13AC">
      <w:pPr>
        <w:pStyle w:val="ListParagraph"/>
        <w:numPr>
          <w:ilvl w:val="0"/>
          <w:numId w:val="26"/>
        </w:numPr>
        <w:spacing w:after="0"/>
      </w:pPr>
      <w:r>
        <w:t>n</w:t>
      </w:r>
      <w:r w:rsidR="00B6509A">
        <w:t xml:space="preserve">ame of </w:t>
      </w:r>
      <w:r w:rsidR="00CD13AC">
        <w:t>Teacher Regulatory Authority</w:t>
      </w:r>
    </w:p>
    <w:p w14:paraId="7BCA2344" w14:textId="134C702E" w:rsidR="00CD13AC" w:rsidRDefault="001F521D" w:rsidP="00CD13AC">
      <w:pPr>
        <w:pStyle w:val="ListParagraph"/>
        <w:numPr>
          <w:ilvl w:val="0"/>
          <w:numId w:val="26"/>
        </w:numPr>
        <w:spacing w:after="0"/>
      </w:pPr>
      <w:r>
        <w:t xml:space="preserve">Teacher </w:t>
      </w:r>
      <w:r w:rsidR="00CD13AC">
        <w:t xml:space="preserve">Registration </w:t>
      </w:r>
      <w:r>
        <w:t>n</w:t>
      </w:r>
      <w:r w:rsidR="00CD13AC">
        <w:t>umber</w:t>
      </w:r>
    </w:p>
    <w:p w14:paraId="14B7F240" w14:textId="521EAF3C" w:rsidR="00CD13AC" w:rsidRDefault="00DD3C2F" w:rsidP="00CD13AC">
      <w:pPr>
        <w:pStyle w:val="ListParagraph"/>
        <w:numPr>
          <w:ilvl w:val="0"/>
          <w:numId w:val="26"/>
        </w:numPr>
        <w:spacing w:after="0"/>
      </w:pPr>
      <w:r>
        <w:t>d</w:t>
      </w:r>
      <w:r w:rsidR="00CD13AC">
        <w:t xml:space="preserve">ate of </w:t>
      </w:r>
      <w:r w:rsidR="001F521D">
        <w:t>r</w:t>
      </w:r>
      <w:r w:rsidR="00CD13AC">
        <w:t>egistration</w:t>
      </w:r>
    </w:p>
    <w:p w14:paraId="6FD52F2E" w14:textId="1A0DC513" w:rsidR="00CD13AC" w:rsidRDefault="00152773" w:rsidP="00CD13AC">
      <w:pPr>
        <w:pStyle w:val="ListParagraph"/>
        <w:numPr>
          <w:ilvl w:val="0"/>
          <w:numId w:val="26"/>
        </w:numPr>
        <w:spacing w:after="0"/>
      </w:pPr>
      <w:r>
        <w:t xml:space="preserve">registration </w:t>
      </w:r>
      <w:r w:rsidR="00DD3C2F">
        <w:t>e</w:t>
      </w:r>
      <w:r w:rsidR="00CD13AC">
        <w:t xml:space="preserve">xpiry or </w:t>
      </w:r>
      <w:r w:rsidR="001F521D">
        <w:t>r</w:t>
      </w:r>
      <w:r w:rsidR="00CD13AC">
        <w:t xml:space="preserve">egistration </w:t>
      </w:r>
      <w:r w:rsidR="001F521D">
        <w:t>p</w:t>
      </w:r>
      <w:r w:rsidR="00CD13AC">
        <w:t>eriod</w:t>
      </w:r>
    </w:p>
    <w:p w14:paraId="607FDED0" w14:textId="3978FF55" w:rsidR="00CD13AC" w:rsidRDefault="00DD3C2F" w:rsidP="00CD13AC">
      <w:pPr>
        <w:pStyle w:val="ListParagraph"/>
        <w:numPr>
          <w:ilvl w:val="0"/>
          <w:numId w:val="26"/>
        </w:numPr>
        <w:spacing w:after="0"/>
      </w:pPr>
      <w:r>
        <w:t>r</w:t>
      </w:r>
      <w:r w:rsidR="00CD13AC">
        <w:t xml:space="preserve">egistration </w:t>
      </w:r>
      <w:r w:rsidR="001F521D">
        <w:t>c</w:t>
      </w:r>
      <w:r w:rsidR="00CD13AC">
        <w:t>ategory</w:t>
      </w:r>
    </w:p>
    <w:p w14:paraId="2493A901" w14:textId="2FE38B98" w:rsidR="00CD13AC" w:rsidRDefault="00DD3C2F" w:rsidP="00CD13AC">
      <w:pPr>
        <w:pStyle w:val="ListParagraph"/>
        <w:numPr>
          <w:ilvl w:val="0"/>
          <w:numId w:val="26"/>
        </w:numPr>
        <w:spacing w:after="0"/>
      </w:pPr>
      <w:r>
        <w:t>r</w:t>
      </w:r>
      <w:r w:rsidR="00CD13AC">
        <w:t xml:space="preserve">egistration </w:t>
      </w:r>
      <w:r w:rsidR="001F521D">
        <w:t>s</w:t>
      </w:r>
      <w:r w:rsidR="00CD13AC">
        <w:t>tatus/</w:t>
      </w:r>
      <w:r w:rsidR="001F521D">
        <w:t>c</w:t>
      </w:r>
      <w:r w:rsidR="00CD13AC">
        <w:t>onditions.</w:t>
      </w:r>
    </w:p>
    <w:p w14:paraId="6DFEFB75" w14:textId="77777777" w:rsidR="00EF43D4" w:rsidRPr="0051689D" w:rsidRDefault="00EF43D4" w:rsidP="00EF43D4">
      <w:pPr>
        <w:pStyle w:val="Heading2"/>
        <w:numPr>
          <w:ilvl w:val="0"/>
          <w:numId w:val="20"/>
        </w:numPr>
      </w:pPr>
      <w:r w:rsidRPr="0051689D">
        <w:t>Extensions to the 10-year completion requirement</w:t>
      </w:r>
    </w:p>
    <w:p w14:paraId="6A01B5AE" w14:textId="77777777" w:rsidR="00EF43D4" w:rsidRDefault="00EF43D4" w:rsidP="00EF43D4">
      <w:pPr>
        <w:pStyle w:val="Heading3"/>
        <w:numPr>
          <w:ilvl w:val="1"/>
          <w:numId w:val="20"/>
        </w:numPr>
      </w:pPr>
      <w:r>
        <w:t>Extensions criteria</w:t>
      </w:r>
    </w:p>
    <w:p w14:paraId="5EA3CFEA" w14:textId="125329B3" w:rsidR="00EF43D4" w:rsidRDefault="00EF43D4" w:rsidP="00EF43D4">
      <w:r>
        <w:t xml:space="preserve">A CTS recipient may seek approval from the Department of an extension to </w:t>
      </w:r>
      <w:r w:rsidR="00112B25">
        <w:t>the CTT</w:t>
      </w:r>
      <w:r>
        <w:t xml:space="preserve"> 10-year completion requirement.</w:t>
      </w:r>
    </w:p>
    <w:p w14:paraId="4D6C3FF0" w14:textId="77777777" w:rsidR="00EF43D4" w:rsidRDefault="00EF43D4" w:rsidP="00EF43D4">
      <w:r>
        <w:t>If applying to the Department for approval of an extension to the CTT timeframe, recipients must demonstrate adequate attempts to complete the CTT obligation, including evidence of any completed portions of the CTT. A recipient should apply for an extension as soon as practicable.</w:t>
      </w:r>
    </w:p>
    <w:p w14:paraId="4CDDC4A9" w14:textId="74990BD6" w:rsidR="00EF43D4" w:rsidRDefault="00EF43D4" w:rsidP="00EF43D4">
      <w:r>
        <w:t>The Department will provide approval where the request is based on the following extenuating circumstances if they significantly impact a recipient's ability to fulfill their obligations under the scholarship agreement (noting this list is not exhaustive):</w:t>
      </w:r>
    </w:p>
    <w:p w14:paraId="72CE6580" w14:textId="77777777" w:rsidR="00EF43D4" w:rsidRDefault="00EF43D4" w:rsidP="00EF43D4">
      <w:pPr>
        <w:pStyle w:val="ListParagraph"/>
        <w:numPr>
          <w:ilvl w:val="0"/>
          <w:numId w:val="24"/>
        </w:numPr>
        <w:spacing w:after="0"/>
        <w:rPr>
          <w:rFonts w:ascii="Calibri" w:eastAsia="Calibri" w:hAnsi="Calibri" w:cs="Calibri"/>
        </w:rPr>
      </w:pPr>
      <w:r w:rsidRPr="27BBE7A3">
        <w:rPr>
          <w:rFonts w:ascii="Calibri" w:eastAsia="Calibri" w:hAnsi="Calibri" w:cs="Calibri"/>
        </w:rPr>
        <w:t xml:space="preserve">Medical: e.g. significant physical or mental illness/injury; significant exacerbation of existing condition </w:t>
      </w:r>
    </w:p>
    <w:p w14:paraId="7318E518" w14:textId="62DFFC64" w:rsidR="00EF43D4" w:rsidRDefault="00EF43D4" w:rsidP="00EF43D4">
      <w:pPr>
        <w:pStyle w:val="ListParagraph"/>
        <w:numPr>
          <w:ilvl w:val="0"/>
          <w:numId w:val="24"/>
        </w:numPr>
        <w:spacing w:after="0"/>
        <w:rPr>
          <w:rFonts w:ascii="Calibri" w:eastAsia="Calibri" w:hAnsi="Calibri" w:cs="Calibri"/>
        </w:rPr>
      </w:pPr>
      <w:r w:rsidRPr="06688531">
        <w:rPr>
          <w:rFonts w:ascii="Calibri" w:eastAsia="Calibri" w:hAnsi="Calibri" w:cs="Calibri"/>
        </w:rPr>
        <w:t>Hardship: e.g. victim of significant crime</w:t>
      </w:r>
      <w:r w:rsidR="0062462D">
        <w:rPr>
          <w:rFonts w:ascii="Calibri" w:eastAsia="Calibri" w:hAnsi="Calibri" w:cs="Calibri"/>
        </w:rPr>
        <w:t>,</w:t>
      </w:r>
      <w:r w:rsidRPr="06688531">
        <w:rPr>
          <w:rFonts w:ascii="Calibri" w:eastAsia="Calibri" w:hAnsi="Calibri" w:cs="Calibri"/>
        </w:rPr>
        <w:t xml:space="preserve"> including family and domestic violence; financial hardship; sudden, </w:t>
      </w:r>
      <w:r>
        <w:rPr>
          <w:rFonts w:ascii="Calibri" w:eastAsia="Calibri" w:hAnsi="Calibri" w:cs="Calibri"/>
        </w:rPr>
        <w:t>unexpected</w:t>
      </w:r>
      <w:r w:rsidRPr="06688531">
        <w:rPr>
          <w:rFonts w:ascii="Calibri" w:eastAsia="Calibri" w:hAnsi="Calibri" w:cs="Calibri"/>
        </w:rPr>
        <w:t xml:space="preserve"> primary caring responsibilities</w:t>
      </w:r>
    </w:p>
    <w:p w14:paraId="1D19C4D4" w14:textId="77777777" w:rsidR="00EF43D4" w:rsidRDefault="00EF43D4" w:rsidP="00EF43D4">
      <w:pPr>
        <w:pStyle w:val="ListParagraph"/>
        <w:numPr>
          <w:ilvl w:val="0"/>
          <w:numId w:val="24"/>
        </w:numPr>
        <w:spacing w:after="0"/>
        <w:rPr>
          <w:rFonts w:ascii="Calibri" w:eastAsia="Calibri" w:hAnsi="Calibri" w:cs="Calibri"/>
        </w:rPr>
      </w:pPr>
      <w:r w:rsidRPr="06688531">
        <w:rPr>
          <w:rFonts w:ascii="Calibri" w:eastAsia="Calibri" w:hAnsi="Calibri" w:cs="Calibri"/>
        </w:rPr>
        <w:t>Compassionate: e.g. death/sudden serious illness of immediate family member</w:t>
      </w:r>
    </w:p>
    <w:p w14:paraId="00A0BD48" w14:textId="77777777" w:rsidR="00EF43D4" w:rsidRDefault="00EF43D4" w:rsidP="00EF43D4">
      <w:pPr>
        <w:pStyle w:val="ListParagraph"/>
        <w:numPr>
          <w:ilvl w:val="0"/>
          <w:numId w:val="24"/>
        </w:numPr>
        <w:spacing w:after="0"/>
        <w:rPr>
          <w:rFonts w:ascii="Calibri" w:eastAsia="Calibri" w:hAnsi="Calibri" w:cs="Calibri"/>
        </w:rPr>
      </w:pPr>
      <w:r w:rsidRPr="06688531">
        <w:rPr>
          <w:rFonts w:ascii="Calibri" w:eastAsia="Calibri" w:hAnsi="Calibri" w:cs="Calibri"/>
        </w:rPr>
        <w:t>Duties: e.g. military, emergency/volunteer emergency services</w:t>
      </w:r>
    </w:p>
    <w:p w14:paraId="318A127A" w14:textId="77777777" w:rsidR="00EF43D4" w:rsidRDefault="00EF43D4" w:rsidP="00EF43D4">
      <w:pPr>
        <w:pStyle w:val="ListParagraph"/>
        <w:numPr>
          <w:ilvl w:val="0"/>
          <w:numId w:val="24"/>
        </w:numPr>
        <w:spacing w:after="0"/>
        <w:rPr>
          <w:rFonts w:ascii="Calibri" w:eastAsia="Calibri" w:hAnsi="Calibri" w:cs="Calibri"/>
        </w:rPr>
      </w:pPr>
      <w:r w:rsidRPr="06688531">
        <w:rPr>
          <w:rFonts w:ascii="Calibri" w:eastAsia="Calibri" w:hAnsi="Calibri" w:cs="Calibri"/>
        </w:rPr>
        <w:t>Disaster: e.g. significant natural disaster/geo-political event</w:t>
      </w:r>
    </w:p>
    <w:p w14:paraId="18F3A951" w14:textId="77777777" w:rsidR="00EF43D4" w:rsidRDefault="00EF43D4" w:rsidP="00EF43D4">
      <w:pPr>
        <w:pStyle w:val="ListParagraph"/>
        <w:numPr>
          <w:ilvl w:val="0"/>
          <w:numId w:val="24"/>
        </w:numPr>
        <w:spacing w:after="0"/>
        <w:rPr>
          <w:rFonts w:ascii="Calibri" w:eastAsia="Calibri" w:hAnsi="Calibri" w:cs="Calibri"/>
        </w:rPr>
      </w:pPr>
      <w:r w:rsidRPr="06688531">
        <w:rPr>
          <w:rFonts w:ascii="Calibri" w:eastAsia="Calibri" w:hAnsi="Calibri" w:cs="Calibri"/>
        </w:rPr>
        <w:t>Official cultural or religious observance</w:t>
      </w:r>
      <w:r>
        <w:rPr>
          <w:rFonts w:ascii="Calibri" w:eastAsia="Calibri" w:hAnsi="Calibri" w:cs="Calibri"/>
        </w:rPr>
        <w:t>.</w:t>
      </w:r>
    </w:p>
    <w:p w14:paraId="56B342FB" w14:textId="77777777" w:rsidR="00EF43D4" w:rsidRDefault="00EF43D4" w:rsidP="00EF43D4">
      <w:r>
        <w:br/>
        <w:t xml:space="preserve">Where an extension is not the appropriate course of action, the CTS recipient may be eligible to apply for a CTS Exemption (see CTS Exemptions Policy, available on the </w:t>
      </w:r>
      <w:hyperlink r:id="rId18">
        <w:r w:rsidRPr="19557979">
          <w:rPr>
            <w:rStyle w:val="Hyperlink"/>
          </w:rPr>
          <w:t>Scholarships website</w:t>
        </w:r>
      </w:hyperlink>
      <w:r>
        <w:t>).</w:t>
      </w:r>
    </w:p>
    <w:p w14:paraId="361D825F" w14:textId="77777777" w:rsidR="00EF43D4" w:rsidRDefault="00EF43D4" w:rsidP="00EF43D4">
      <w:pPr>
        <w:pStyle w:val="Heading3"/>
        <w:numPr>
          <w:ilvl w:val="1"/>
          <w:numId w:val="20"/>
        </w:numPr>
      </w:pPr>
      <w:r>
        <w:t>Seeking an extension</w:t>
      </w:r>
    </w:p>
    <w:p w14:paraId="251F36F4" w14:textId="77777777" w:rsidR="00EF43D4" w:rsidRDefault="00EF43D4" w:rsidP="00EF43D4">
      <w:r>
        <w:t xml:space="preserve">Individuals must submit any request for extension via the form provided by the Department, which is available upon request. Submitted forms must include all required official supporting evidence to substantiate the claim. </w:t>
      </w:r>
    </w:p>
    <w:p w14:paraId="398BEA36" w14:textId="77777777" w:rsidR="00EF43D4" w:rsidRDefault="00EF43D4" w:rsidP="00EF43D4">
      <w:r w:rsidRPr="007018CB">
        <w:t>Extension (CTT timeframe) requests</w:t>
      </w:r>
      <w:r>
        <w:t xml:space="preserve"> must include:</w:t>
      </w:r>
    </w:p>
    <w:p w14:paraId="47A4DC9A" w14:textId="77777777" w:rsidR="00EF43D4" w:rsidRDefault="00EF43D4" w:rsidP="00EF43D4">
      <w:pPr>
        <w:pStyle w:val="ListParagraph"/>
        <w:numPr>
          <w:ilvl w:val="0"/>
          <w:numId w:val="25"/>
        </w:numPr>
      </w:pPr>
      <w:r>
        <w:t>Reason for request</w:t>
      </w:r>
    </w:p>
    <w:p w14:paraId="1AAFE89F" w14:textId="77777777" w:rsidR="00EF43D4" w:rsidRDefault="00EF43D4" w:rsidP="00EF43D4">
      <w:pPr>
        <w:pStyle w:val="ListParagraph"/>
        <w:numPr>
          <w:ilvl w:val="0"/>
          <w:numId w:val="25"/>
        </w:numPr>
      </w:pPr>
      <w:r w:rsidRPr="007A4AFE">
        <w:t>Relevant evidence to fully support the extenuating circumstances for the extension request</w:t>
      </w:r>
      <w:r>
        <w:t>.</w:t>
      </w:r>
    </w:p>
    <w:p w14:paraId="697BEC15" w14:textId="77777777" w:rsidR="00EF43D4" w:rsidRDefault="00EF43D4" w:rsidP="00EF43D4">
      <w:pPr>
        <w:pStyle w:val="Heading3"/>
        <w:numPr>
          <w:ilvl w:val="1"/>
          <w:numId w:val="20"/>
        </w:numPr>
      </w:pPr>
      <w:r>
        <w:lastRenderedPageBreak/>
        <w:t>Consideration of extension application and decision</w:t>
      </w:r>
    </w:p>
    <w:p w14:paraId="521CD70A" w14:textId="77777777" w:rsidR="00EF43D4" w:rsidRDefault="00EF43D4" w:rsidP="00EF43D4">
      <w:r>
        <w:t>The Department will consider the request and all relevant evidence provided to determine if the extension can be granted. If additional evidence is requested, the CTS recipient will have 14 days to respond with supplementary evidence. Should additional time be required to obtain evidence, the recipient must request additional time in writing before the 14 days has been reached.</w:t>
      </w:r>
    </w:p>
    <w:p w14:paraId="37728CAD" w14:textId="77777777" w:rsidR="00EF43D4" w:rsidRDefault="00EF43D4" w:rsidP="00EF43D4">
      <w:r>
        <w:t>Recipients will be advised of the decision outcome in writing within 30 days of the initial request or where additional evidence is required, within 30 days of the receipt of supplementary evidence.</w:t>
      </w:r>
    </w:p>
    <w:p w14:paraId="408B8DDB" w14:textId="77777777" w:rsidR="00EF43D4" w:rsidRDefault="00EF43D4" w:rsidP="00EF43D4">
      <w:r>
        <w:t>Where an exemption is deemed more appropriate, the Department may advise the recipient to submit an exemption request in writing and utilise the extension evidence to support the request.</w:t>
      </w:r>
    </w:p>
    <w:p w14:paraId="22F3077A" w14:textId="6A55EBAA" w:rsidR="00175A48" w:rsidRDefault="00175A48" w:rsidP="00EF43D4">
      <w:r w:rsidRPr="00175A48">
        <w:t xml:space="preserve">The Department’s decisions to approve or reject </w:t>
      </w:r>
      <w:r>
        <w:t>extensions</w:t>
      </w:r>
      <w:r w:rsidRPr="00175A48">
        <w:t xml:space="preserve"> are final and there is no mechanism to appeal these decisions. </w:t>
      </w:r>
    </w:p>
    <w:p w14:paraId="44CDEF90" w14:textId="77777777" w:rsidR="00EF43D4" w:rsidRDefault="00EF43D4" w:rsidP="00EF43D4">
      <w:pPr>
        <w:pStyle w:val="Heading2"/>
        <w:numPr>
          <w:ilvl w:val="0"/>
          <w:numId w:val="20"/>
        </w:numPr>
      </w:pPr>
      <w:r>
        <w:t>Complaints</w:t>
      </w:r>
    </w:p>
    <w:p w14:paraId="2B6C3B75" w14:textId="256F4633" w:rsidR="00EF43D4" w:rsidRDefault="00EF43D4" w:rsidP="00EF43D4">
      <w:r w:rsidRPr="785F10EE">
        <w:rPr>
          <w:rFonts w:ascii="Calibri" w:eastAsia="Calibri" w:hAnsi="Calibri" w:cs="Calibri"/>
        </w:rPr>
        <w:t xml:space="preserve">Any complaint about a decision made by the Department will be handled in accordance with the Department’s Complaints Procedures outlined in the </w:t>
      </w:r>
      <w:hyperlink r:id="rId19" w:history="1">
        <w:r w:rsidRPr="00B03B84">
          <w:rPr>
            <w:rStyle w:val="Hyperlink"/>
            <w:rFonts w:ascii="Calibri" w:eastAsia="Calibri" w:hAnsi="Calibri" w:cs="Calibri"/>
          </w:rPr>
          <w:t>Complaints Handling Policy</w:t>
        </w:r>
      </w:hyperlink>
      <w:r w:rsidRPr="785F10EE">
        <w:rPr>
          <w:rFonts w:ascii="Calibri" w:eastAsia="Calibri" w:hAnsi="Calibri" w:cs="Calibri"/>
        </w:rPr>
        <w:t>.</w:t>
      </w:r>
    </w:p>
    <w:bookmarkEnd w:id="0"/>
    <w:bookmarkEnd w:id="1"/>
    <w:bookmarkEnd w:id="2"/>
    <w:p w14:paraId="0F61EE4B" w14:textId="1F865E1D" w:rsidR="00CB0044" w:rsidRPr="009766C3" w:rsidRDefault="00CB0044" w:rsidP="00CB0044">
      <w:pPr>
        <w:pStyle w:val="Subtitle"/>
      </w:pPr>
    </w:p>
    <w:sectPr w:rsidR="00CB0044" w:rsidRPr="009766C3" w:rsidSect="002E29E7">
      <w:type w:val="continuous"/>
      <w:pgSz w:w="11906" w:h="16838"/>
      <w:pgMar w:top="1021" w:right="1418" w:bottom="144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735F" w14:textId="77777777" w:rsidR="004F34AE" w:rsidRDefault="004F34AE" w:rsidP="000A6228">
      <w:pPr>
        <w:spacing w:after="0" w:line="240" w:lineRule="auto"/>
      </w:pPr>
      <w:r>
        <w:separator/>
      </w:r>
    </w:p>
  </w:endnote>
  <w:endnote w:type="continuationSeparator" w:id="0">
    <w:p w14:paraId="1CD96378" w14:textId="77777777" w:rsidR="004F34AE" w:rsidRDefault="004F34AE"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354929"/>
      <w:docPartObj>
        <w:docPartGallery w:val="Page Numbers (Bottom of Page)"/>
        <w:docPartUnique/>
      </w:docPartObj>
    </w:sdtPr>
    <w:sdtEndPr>
      <w:rPr>
        <w:noProof/>
      </w:rPr>
    </w:sdtEndPr>
    <w:sdtContent>
      <w:p w14:paraId="0D317ECC" w14:textId="7A3559C1" w:rsidR="00EF43D4" w:rsidRDefault="00EF43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D490C1" w14:textId="1A88CD1D"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168386"/>
      <w:docPartObj>
        <w:docPartGallery w:val="Page Numbers (Bottom of Page)"/>
        <w:docPartUnique/>
      </w:docPartObj>
    </w:sdtPr>
    <w:sdtEndPr>
      <w:rPr>
        <w:noProof/>
      </w:rPr>
    </w:sdtEndPr>
    <w:sdtContent>
      <w:p w14:paraId="165B8184" w14:textId="4351E33B" w:rsidR="00EF43D4" w:rsidRDefault="00EF43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9F779E" w14:textId="75944883" w:rsidR="00BC0717" w:rsidRDefault="00BC0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52C6A" w14:textId="77777777" w:rsidR="004F34AE" w:rsidRDefault="004F34AE" w:rsidP="000A6228">
      <w:pPr>
        <w:spacing w:after="0" w:line="240" w:lineRule="auto"/>
      </w:pPr>
      <w:r>
        <w:separator/>
      </w:r>
    </w:p>
  </w:footnote>
  <w:footnote w:type="continuationSeparator" w:id="0">
    <w:p w14:paraId="71015C40" w14:textId="77777777" w:rsidR="004F34AE" w:rsidRDefault="004F34AE" w:rsidP="000A6228">
      <w:pPr>
        <w:spacing w:after="0" w:line="240" w:lineRule="auto"/>
      </w:pPr>
      <w:r>
        <w:continuationSeparator/>
      </w:r>
    </w:p>
  </w:footnote>
  <w:footnote w:id="1">
    <w:p w14:paraId="7231D0AA" w14:textId="2E680901" w:rsidR="00EF43D4" w:rsidRDefault="00EF43D4" w:rsidP="00EF43D4">
      <w:pPr>
        <w:rPr>
          <w:sz w:val="20"/>
          <w:szCs w:val="20"/>
        </w:rPr>
      </w:pPr>
      <w:r w:rsidRPr="66F71AB3">
        <w:rPr>
          <w:rStyle w:val="FootnoteReference"/>
          <w:sz w:val="20"/>
          <w:szCs w:val="20"/>
        </w:rPr>
        <w:footnoteRef/>
      </w:r>
      <w:r w:rsidRPr="66F71AB3">
        <w:rPr>
          <w:sz w:val="20"/>
          <w:szCs w:val="20"/>
        </w:rPr>
        <w:t xml:space="preserve"> Full time equivalent: approximately 200 days per year (minus </w:t>
      </w:r>
      <w:r w:rsidR="00BF1BB5" w:rsidRPr="66F71AB3">
        <w:rPr>
          <w:sz w:val="20"/>
          <w:szCs w:val="20"/>
        </w:rPr>
        <w:t>approx.</w:t>
      </w:r>
      <w:r w:rsidRPr="66F71AB3">
        <w:rPr>
          <w:sz w:val="20"/>
          <w:szCs w:val="20"/>
        </w:rPr>
        <w:t xml:space="preserve"> 6 for public holidays) = approx. 194 days per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9600FBFC"/>
    <w:name w:val="EDU - Bullet List2"/>
    <w:lvl w:ilvl="0" w:tplc="FA5AD92C">
      <w:start w:val="1"/>
      <w:numFmt w:val="bullet"/>
      <w:pStyle w:val="ListBullet4"/>
      <w:lvlText w:val=""/>
      <w:lvlJc w:val="left"/>
      <w:pPr>
        <w:ind w:left="1211" w:hanging="360"/>
      </w:pPr>
      <w:rPr>
        <w:rFonts w:ascii="Wingdings" w:hAnsi="Wingdings" w:hint="default"/>
        <w:color w:val="4B2C64"/>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DE1043F"/>
    <w:multiLevelType w:val="hybridMultilevel"/>
    <w:tmpl w:val="180CDE8C"/>
    <w:lvl w:ilvl="0" w:tplc="346A2D92">
      <w:start w:val="1"/>
      <w:numFmt w:val="bullet"/>
      <w:lvlText w:val=""/>
      <w:lvlJc w:val="left"/>
      <w:pPr>
        <w:ind w:left="720" w:hanging="360"/>
      </w:pPr>
      <w:rPr>
        <w:rFonts w:ascii="Symbol" w:hAnsi="Symbol" w:hint="default"/>
      </w:rPr>
    </w:lvl>
    <w:lvl w:ilvl="1" w:tplc="85B298AA">
      <w:start w:val="1"/>
      <w:numFmt w:val="bullet"/>
      <w:lvlText w:val="o"/>
      <w:lvlJc w:val="left"/>
      <w:pPr>
        <w:ind w:left="1440" w:hanging="360"/>
      </w:pPr>
      <w:rPr>
        <w:rFonts w:ascii="Courier New" w:hAnsi="Courier New" w:hint="default"/>
      </w:rPr>
    </w:lvl>
    <w:lvl w:ilvl="2" w:tplc="3082479C">
      <w:start w:val="1"/>
      <w:numFmt w:val="bullet"/>
      <w:lvlText w:val=""/>
      <w:lvlJc w:val="left"/>
      <w:pPr>
        <w:ind w:left="2160" w:hanging="360"/>
      </w:pPr>
      <w:rPr>
        <w:rFonts w:ascii="Wingdings" w:hAnsi="Wingdings" w:hint="default"/>
      </w:rPr>
    </w:lvl>
    <w:lvl w:ilvl="3" w:tplc="B5DE7C80">
      <w:start w:val="1"/>
      <w:numFmt w:val="bullet"/>
      <w:lvlText w:val=""/>
      <w:lvlJc w:val="left"/>
      <w:pPr>
        <w:ind w:left="2880" w:hanging="360"/>
      </w:pPr>
      <w:rPr>
        <w:rFonts w:ascii="Symbol" w:hAnsi="Symbol" w:hint="default"/>
      </w:rPr>
    </w:lvl>
    <w:lvl w:ilvl="4" w:tplc="A3D21822">
      <w:start w:val="1"/>
      <w:numFmt w:val="bullet"/>
      <w:lvlText w:val="o"/>
      <w:lvlJc w:val="left"/>
      <w:pPr>
        <w:ind w:left="3600" w:hanging="360"/>
      </w:pPr>
      <w:rPr>
        <w:rFonts w:ascii="Courier New" w:hAnsi="Courier New" w:hint="default"/>
      </w:rPr>
    </w:lvl>
    <w:lvl w:ilvl="5" w:tplc="3DC40D3E">
      <w:start w:val="1"/>
      <w:numFmt w:val="bullet"/>
      <w:lvlText w:val=""/>
      <w:lvlJc w:val="left"/>
      <w:pPr>
        <w:ind w:left="4320" w:hanging="360"/>
      </w:pPr>
      <w:rPr>
        <w:rFonts w:ascii="Wingdings" w:hAnsi="Wingdings" w:hint="default"/>
      </w:rPr>
    </w:lvl>
    <w:lvl w:ilvl="6" w:tplc="597A2EAE">
      <w:start w:val="1"/>
      <w:numFmt w:val="bullet"/>
      <w:lvlText w:val=""/>
      <w:lvlJc w:val="left"/>
      <w:pPr>
        <w:ind w:left="5040" w:hanging="360"/>
      </w:pPr>
      <w:rPr>
        <w:rFonts w:ascii="Symbol" w:hAnsi="Symbol" w:hint="default"/>
      </w:rPr>
    </w:lvl>
    <w:lvl w:ilvl="7" w:tplc="50042822">
      <w:start w:val="1"/>
      <w:numFmt w:val="bullet"/>
      <w:lvlText w:val="o"/>
      <w:lvlJc w:val="left"/>
      <w:pPr>
        <w:ind w:left="5760" w:hanging="360"/>
      </w:pPr>
      <w:rPr>
        <w:rFonts w:ascii="Courier New" w:hAnsi="Courier New" w:hint="default"/>
      </w:rPr>
    </w:lvl>
    <w:lvl w:ilvl="8" w:tplc="02746F20">
      <w:start w:val="1"/>
      <w:numFmt w:val="bullet"/>
      <w:lvlText w:val=""/>
      <w:lvlJc w:val="left"/>
      <w:pPr>
        <w:ind w:left="6480"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C1D0F9CA"/>
    <w:name w:val="EDU - Bullet List"/>
    <w:lvl w:ilvl="0">
      <w:start w:val="1"/>
      <w:numFmt w:val="bullet"/>
      <w:pStyle w:val="ListBullet"/>
      <w:lvlText w:val=""/>
      <w:lvlJc w:val="left"/>
      <w:pPr>
        <w:ind w:left="360" w:hanging="360"/>
      </w:pPr>
      <w:rPr>
        <w:rFonts w:ascii="Symbol" w:hAnsi="Symbol" w:hint="default"/>
        <w:color w:val="CB4325"/>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9865FD5"/>
    <w:multiLevelType w:val="multilevel"/>
    <w:tmpl w:val="DA28F106"/>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11C198F"/>
    <w:multiLevelType w:val="hybridMultilevel"/>
    <w:tmpl w:val="FFFFFFFF"/>
    <w:lvl w:ilvl="0" w:tplc="03902976">
      <w:start w:val="1"/>
      <w:numFmt w:val="bullet"/>
      <w:lvlText w:val=""/>
      <w:lvlJc w:val="left"/>
      <w:pPr>
        <w:ind w:left="720" w:hanging="360"/>
      </w:pPr>
      <w:rPr>
        <w:rFonts w:ascii="Symbol" w:hAnsi="Symbol" w:hint="default"/>
      </w:rPr>
    </w:lvl>
    <w:lvl w:ilvl="1" w:tplc="060A310A">
      <w:start w:val="1"/>
      <w:numFmt w:val="bullet"/>
      <w:lvlText w:val="o"/>
      <w:lvlJc w:val="left"/>
      <w:pPr>
        <w:ind w:left="1440" w:hanging="360"/>
      </w:pPr>
      <w:rPr>
        <w:rFonts w:ascii="Courier New" w:hAnsi="Courier New" w:hint="default"/>
      </w:rPr>
    </w:lvl>
    <w:lvl w:ilvl="2" w:tplc="BF0221EC">
      <w:start w:val="1"/>
      <w:numFmt w:val="bullet"/>
      <w:lvlText w:val=""/>
      <w:lvlJc w:val="left"/>
      <w:pPr>
        <w:ind w:left="2160" w:hanging="360"/>
      </w:pPr>
      <w:rPr>
        <w:rFonts w:ascii="Wingdings" w:hAnsi="Wingdings" w:hint="default"/>
      </w:rPr>
    </w:lvl>
    <w:lvl w:ilvl="3" w:tplc="9E06FBE2">
      <w:start w:val="1"/>
      <w:numFmt w:val="bullet"/>
      <w:lvlText w:val=""/>
      <w:lvlJc w:val="left"/>
      <w:pPr>
        <w:ind w:left="2880" w:hanging="360"/>
      </w:pPr>
      <w:rPr>
        <w:rFonts w:ascii="Symbol" w:hAnsi="Symbol" w:hint="default"/>
      </w:rPr>
    </w:lvl>
    <w:lvl w:ilvl="4" w:tplc="9B36E110">
      <w:start w:val="1"/>
      <w:numFmt w:val="bullet"/>
      <w:lvlText w:val="o"/>
      <w:lvlJc w:val="left"/>
      <w:pPr>
        <w:ind w:left="3600" w:hanging="360"/>
      </w:pPr>
      <w:rPr>
        <w:rFonts w:ascii="Courier New" w:hAnsi="Courier New" w:hint="default"/>
      </w:rPr>
    </w:lvl>
    <w:lvl w:ilvl="5" w:tplc="B7EA32C8">
      <w:start w:val="1"/>
      <w:numFmt w:val="bullet"/>
      <w:lvlText w:val=""/>
      <w:lvlJc w:val="left"/>
      <w:pPr>
        <w:ind w:left="4320" w:hanging="360"/>
      </w:pPr>
      <w:rPr>
        <w:rFonts w:ascii="Wingdings" w:hAnsi="Wingdings" w:hint="default"/>
      </w:rPr>
    </w:lvl>
    <w:lvl w:ilvl="6" w:tplc="86D87DC4">
      <w:start w:val="1"/>
      <w:numFmt w:val="bullet"/>
      <w:lvlText w:val=""/>
      <w:lvlJc w:val="left"/>
      <w:pPr>
        <w:ind w:left="5040" w:hanging="360"/>
      </w:pPr>
      <w:rPr>
        <w:rFonts w:ascii="Symbol" w:hAnsi="Symbol" w:hint="default"/>
      </w:rPr>
    </w:lvl>
    <w:lvl w:ilvl="7" w:tplc="389889E0">
      <w:start w:val="1"/>
      <w:numFmt w:val="bullet"/>
      <w:lvlText w:val="o"/>
      <w:lvlJc w:val="left"/>
      <w:pPr>
        <w:ind w:left="5760" w:hanging="360"/>
      </w:pPr>
      <w:rPr>
        <w:rFonts w:ascii="Courier New" w:hAnsi="Courier New" w:hint="default"/>
      </w:rPr>
    </w:lvl>
    <w:lvl w:ilvl="8" w:tplc="BEAED2B8">
      <w:start w:val="1"/>
      <w:numFmt w:val="bullet"/>
      <w:lvlText w:val=""/>
      <w:lvlJc w:val="left"/>
      <w:pPr>
        <w:ind w:left="648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E371CA"/>
    <w:multiLevelType w:val="hybridMultilevel"/>
    <w:tmpl w:val="20B66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3C127E7"/>
    <w:multiLevelType w:val="hybridMultilevel"/>
    <w:tmpl w:val="FFFFFFFF"/>
    <w:lvl w:ilvl="0" w:tplc="30FC833C">
      <w:start w:val="1"/>
      <w:numFmt w:val="bullet"/>
      <w:lvlText w:val=""/>
      <w:lvlJc w:val="left"/>
      <w:pPr>
        <w:ind w:left="720" w:hanging="360"/>
      </w:pPr>
      <w:rPr>
        <w:rFonts w:ascii="Symbol" w:hAnsi="Symbol" w:hint="default"/>
      </w:rPr>
    </w:lvl>
    <w:lvl w:ilvl="1" w:tplc="0734B216">
      <w:start w:val="1"/>
      <w:numFmt w:val="bullet"/>
      <w:lvlText w:val="o"/>
      <w:lvlJc w:val="left"/>
      <w:pPr>
        <w:ind w:left="1440" w:hanging="360"/>
      </w:pPr>
      <w:rPr>
        <w:rFonts w:ascii="Courier New" w:hAnsi="Courier New" w:hint="default"/>
      </w:rPr>
    </w:lvl>
    <w:lvl w:ilvl="2" w:tplc="69509DC8">
      <w:start w:val="1"/>
      <w:numFmt w:val="bullet"/>
      <w:lvlText w:val=""/>
      <w:lvlJc w:val="left"/>
      <w:pPr>
        <w:ind w:left="2160" w:hanging="360"/>
      </w:pPr>
      <w:rPr>
        <w:rFonts w:ascii="Wingdings" w:hAnsi="Wingdings" w:hint="default"/>
      </w:rPr>
    </w:lvl>
    <w:lvl w:ilvl="3" w:tplc="7C9AAA0A">
      <w:start w:val="1"/>
      <w:numFmt w:val="bullet"/>
      <w:lvlText w:val=""/>
      <w:lvlJc w:val="left"/>
      <w:pPr>
        <w:ind w:left="2880" w:hanging="360"/>
      </w:pPr>
      <w:rPr>
        <w:rFonts w:ascii="Symbol" w:hAnsi="Symbol" w:hint="default"/>
      </w:rPr>
    </w:lvl>
    <w:lvl w:ilvl="4" w:tplc="B178DF9C">
      <w:start w:val="1"/>
      <w:numFmt w:val="bullet"/>
      <w:lvlText w:val="o"/>
      <w:lvlJc w:val="left"/>
      <w:pPr>
        <w:ind w:left="3600" w:hanging="360"/>
      </w:pPr>
      <w:rPr>
        <w:rFonts w:ascii="Courier New" w:hAnsi="Courier New" w:hint="default"/>
      </w:rPr>
    </w:lvl>
    <w:lvl w:ilvl="5" w:tplc="12C6A8F0">
      <w:start w:val="1"/>
      <w:numFmt w:val="bullet"/>
      <w:lvlText w:val=""/>
      <w:lvlJc w:val="left"/>
      <w:pPr>
        <w:ind w:left="4320" w:hanging="360"/>
      </w:pPr>
      <w:rPr>
        <w:rFonts w:ascii="Wingdings" w:hAnsi="Wingdings" w:hint="default"/>
      </w:rPr>
    </w:lvl>
    <w:lvl w:ilvl="6" w:tplc="841CCDD2">
      <w:start w:val="1"/>
      <w:numFmt w:val="bullet"/>
      <w:lvlText w:val=""/>
      <w:lvlJc w:val="left"/>
      <w:pPr>
        <w:ind w:left="5040" w:hanging="360"/>
      </w:pPr>
      <w:rPr>
        <w:rFonts w:ascii="Symbol" w:hAnsi="Symbol" w:hint="default"/>
      </w:rPr>
    </w:lvl>
    <w:lvl w:ilvl="7" w:tplc="A36ABF60">
      <w:start w:val="1"/>
      <w:numFmt w:val="bullet"/>
      <w:lvlText w:val="o"/>
      <w:lvlJc w:val="left"/>
      <w:pPr>
        <w:ind w:left="5760" w:hanging="360"/>
      </w:pPr>
      <w:rPr>
        <w:rFonts w:ascii="Courier New" w:hAnsi="Courier New" w:hint="default"/>
      </w:rPr>
    </w:lvl>
    <w:lvl w:ilvl="8" w:tplc="39307484">
      <w:start w:val="1"/>
      <w:numFmt w:val="bullet"/>
      <w:lvlText w:val=""/>
      <w:lvlJc w:val="left"/>
      <w:pPr>
        <w:ind w:left="6480" w:hanging="360"/>
      </w:pPr>
      <w:rPr>
        <w:rFonts w:ascii="Wingdings" w:hAnsi="Wingdings" w:hint="default"/>
      </w:rPr>
    </w:lvl>
  </w:abstractNum>
  <w:abstractNum w:abstractNumId="20" w15:restartNumberingAfterBreak="0">
    <w:nsid w:val="55402C1C"/>
    <w:multiLevelType w:val="hybridMultilevel"/>
    <w:tmpl w:val="FFFFFFFF"/>
    <w:lvl w:ilvl="0" w:tplc="30383578">
      <w:start w:val="1"/>
      <w:numFmt w:val="bullet"/>
      <w:lvlText w:val=""/>
      <w:lvlJc w:val="left"/>
      <w:pPr>
        <w:ind w:left="720" w:hanging="360"/>
      </w:pPr>
      <w:rPr>
        <w:rFonts w:ascii="Symbol" w:hAnsi="Symbol" w:hint="default"/>
      </w:rPr>
    </w:lvl>
    <w:lvl w:ilvl="1" w:tplc="A6EEABB8">
      <w:start w:val="1"/>
      <w:numFmt w:val="bullet"/>
      <w:lvlText w:val="o"/>
      <w:lvlJc w:val="left"/>
      <w:pPr>
        <w:ind w:left="1440" w:hanging="360"/>
      </w:pPr>
      <w:rPr>
        <w:rFonts w:ascii="Courier New" w:hAnsi="Courier New" w:hint="default"/>
      </w:rPr>
    </w:lvl>
    <w:lvl w:ilvl="2" w:tplc="67E09570">
      <w:start w:val="1"/>
      <w:numFmt w:val="bullet"/>
      <w:lvlText w:val=""/>
      <w:lvlJc w:val="left"/>
      <w:pPr>
        <w:ind w:left="2160" w:hanging="360"/>
      </w:pPr>
      <w:rPr>
        <w:rFonts w:ascii="Wingdings" w:hAnsi="Wingdings" w:hint="default"/>
      </w:rPr>
    </w:lvl>
    <w:lvl w:ilvl="3" w:tplc="601A33D0">
      <w:start w:val="1"/>
      <w:numFmt w:val="bullet"/>
      <w:lvlText w:val=""/>
      <w:lvlJc w:val="left"/>
      <w:pPr>
        <w:ind w:left="2880" w:hanging="360"/>
      </w:pPr>
      <w:rPr>
        <w:rFonts w:ascii="Symbol" w:hAnsi="Symbol" w:hint="default"/>
      </w:rPr>
    </w:lvl>
    <w:lvl w:ilvl="4" w:tplc="01E06B9E">
      <w:start w:val="1"/>
      <w:numFmt w:val="bullet"/>
      <w:lvlText w:val="o"/>
      <w:lvlJc w:val="left"/>
      <w:pPr>
        <w:ind w:left="3600" w:hanging="360"/>
      </w:pPr>
      <w:rPr>
        <w:rFonts w:ascii="Courier New" w:hAnsi="Courier New" w:hint="default"/>
      </w:rPr>
    </w:lvl>
    <w:lvl w:ilvl="5" w:tplc="2A1CD9BC">
      <w:start w:val="1"/>
      <w:numFmt w:val="bullet"/>
      <w:lvlText w:val=""/>
      <w:lvlJc w:val="left"/>
      <w:pPr>
        <w:ind w:left="4320" w:hanging="360"/>
      </w:pPr>
      <w:rPr>
        <w:rFonts w:ascii="Wingdings" w:hAnsi="Wingdings" w:hint="default"/>
      </w:rPr>
    </w:lvl>
    <w:lvl w:ilvl="6" w:tplc="9C48E962">
      <w:start w:val="1"/>
      <w:numFmt w:val="bullet"/>
      <w:lvlText w:val=""/>
      <w:lvlJc w:val="left"/>
      <w:pPr>
        <w:ind w:left="5040" w:hanging="360"/>
      </w:pPr>
      <w:rPr>
        <w:rFonts w:ascii="Symbol" w:hAnsi="Symbol" w:hint="default"/>
      </w:rPr>
    </w:lvl>
    <w:lvl w:ilvl="7" w:tplc="FABEECE8">
      <w:start w:val="1"/>
      <w:numFmt w:val="bullet"/>
      <w:lvlText w:val="o"/>
      <w:lvlJc w:val="left"/>
      <w:pPr>
        <w:ind w:left="5760" w:hanging="360"/>
      </w:pPr>
      <w:rPr>
        <w:rFonts w:ascii="Courier New" w:hAnsi="Courier New" w:hint="default"/>
      </w:rPr>
    </w:lvl>
    <w:lvl w:ilvl="8" w:tplc="419EB254">
      <w:start w:val="1"/>
      <w:numFmt w:val="bullet"/>
      <w:lvlText w:val=""/>
      <w:lvlJc w:val="left"/>
      <w:pPr>
        <w:ind w:left="6480" w:hanging="360"/>
      </w:pPr>
      <w:rPr>
        <w:rFonts w:ascii="Wingdings" w:hAnsi="Wingdings" w:hint="default"/>
      </w:rPr>
    </w:lvl>
  </w:abstractNum>
  <w:abstractNum w:abstractNumId="2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3F73B80"/>
    <w:multiLevelType w:val="multilevel"/>
    <w:tmpl w:val="D88C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BD0F17E"/>
    <w:multiLevelType w:val="hybridMultilevel"/>
    <w:tmpl w:val="AC3CEC94"/>
    <w:lvl w:ilvl="0" w:tplc="4C26BA18">
      <w:start w:val="1"/>
      <w:numFmt w:val="bullet"/>
      <w:lvlText w:val=""/>
      <w:lvlJc w:val="left"/>
      <w:pPr>
        <w:ind w:left="720" w:hanging="360"/>
      </w:pPr>
      <w:rPr>
        <w:rFonts w:ascii="Symbol" w:hAnsi="Symbol" w:hint="default"/>
      </w:rPr>
    </w:lvl>
    <w:lvl w:ilvl="1" w:tplc="CD0012E4">
      <w:start w:val="1"/>
      <w:numFmt w:val="bullet"/>
      <w:lvlText w:val="o"/>
      <w:lvlJc w:val="left"/>
      <w:pPr>
        <w:ind w:left="1440" w:hanging="360"/>
      </w:pPr>
      <w:rPr>
        <w:rFonts w:ascii="Courier New" w:hAnsi="Courier New" w:hint="default"/>
      </w:rPr>
    </w:lvl>
    <w:lvl w:ilvl="2" w:tplc="FEF0DEA6">
      <w:start w:val="1"/>
      <w:numFmt w:val="bullet"/>
      <w:lvlText w:val=""/>
      <w:lvlJc w:val="left"/>
      <w:pPr>
        <w:ind w:left="2160" w:hanging="360"/>
      </w:pPr>
      <w:rPr>
        <w:rFonts w:ascii="Wingdings" w:hAnsi="Wingdings" w:hint="default"/>
      </w:rPr>
    </w:lvl>
    <w:lvl w:ilvl="3" w:tplc="29A04762">
      <w:start w:val="1"/>
      <w:numFmt w:val="bullet"/>
      <w:lvlText w:val=""/>
      <w:lvlJc w:val="left"/>
      <w:pPr>
        <w:ind w:left="2880" w:hanging="360"/>
      </w:pPr>
      <w:rPr>
        <w:rFonts w:ascii="Symbol" w:hAnsi="Symbol" w:hint="default"/>
      </w:rPr>
    </w:lvl>
    <w:lvl w:ilvl="4" w:tplc="02D0387E">
      <w:start w:val="1"/>
      <w:numFmt w:val="bullet"/>
      <w:lvlText w:val="o"/>
      <w:lvlJc w:val="left"/>
      <w:pPr>
        <w:ind w:left="3600" w:hanging="360"/>
      </w:pPr>
      <w:rPr>
        <w:rFonts w:ascii="Courier New" w:hAnsi="Courier New" w:hint="default"/>
      </w:rPr>
    </w:lvl>
    <w:lvl w:ilvl="5" w:tplc="B344DB0C">
      <w:start w:val="1"/>
      <w:numFmt w:val="bullet"/>
      <w:lvlText w:val=""/>
      <w:lvlJc w:val="left"/>
      <w:pPr>
        <w:ind w:left="4320" w:hanging="360"/>
      </w:pPr>
      <w:rPr>
        <w:rFonts w:ascii="Wingdings" w:hAnsi="Wingdings" w:hint="default"/>
      </w:rPr>
    </w:lvl>
    <w:lvl w:ilvl="6" w:tplc="0F4066F6">
      <w:start w:val="1"/>
      <w:numFmt w:val="bullet"/>
      <w:lvlText w:val=""/>
      <w:lvlJc w:val="left"/>
      <w:pPr>
        <w:ind w:left="5040" w:hanging="360"/>
      </w:pPr>
      <w:rPr>
        <w:rFonts w:ascii="Symbol" w:hAnsi="Symbol" w:hint="default"/>
      </w:rPr>
    </w:lvl>
    <w:lvl w:ilvl="7" w:tplc="50FAF0B8">
      <w:start w:val="1"/>
      <w:numFmt w:val="bullet"/>
      <w:lvlText w:val="o"/>
      <w:lvlJc w:val="left"/>
      <w:pPr>
        <w:ind w:left="5760" w:hanging="360"/>
      </w:pPr>
      <w:rPr>
        <w:rFonts w:ascii="Courier New" w:hAnsi="Courier New" w:hint="default"/>
      </w:rPr>
    </w:lvl>
    <w:lvl w:ilvl="8" w:tplc="5C4C4176">
      <w:start w:val="1"/>
      <w:numFmt w:val="bullet"/>
      <w:lvlText w:val=""/>
      <w:lvlJc w:val="left"/>
      <w:pPr>
        <w:ind w:left="6480" w:hanging="360"/>
      </w:pPr>
      <w:rPr>
        <w:rFonts w:ascii="Wingdings" w:hAnsi="Wingdings" w:hint="default"/>
      </w:rPr>
    </w:lvl>
  </w:abstractNum>
  <w:num w:numId="1" w16cid:durableId="2109277600">
    <w:abstractNumId w:val="12"/>
  </w:num>
  <w:num w:numId="2" w16cid:durableId="1264924937">
    <w:abstractNumId w:val="5"/>
  </w:num>
  <w:num w:numId="3" w16cid:durableId="831876198">
    <w:abstractNumId w:val="4"/>
  </w:num>
  <w:num w:numId="4" w16cid:durableId="158079633">
    <w:abstractNumId w:val="3"/>
  </w:num>
  <w:num w:numId="5" w16cid:durableId="825709368">
    <w:abstractNumId w:val="16"/>
  </w:num>
  <w:num w:numId="6" w16cid:durableId="1067847996">
    <w:abstractNumId w:val="2"/>
  </w:num>
  <w:num w:numId="7" w16cid:durableId="509637400">
    <w:abstractNumId w:val="1"/>
  </w:num>
  <w:num w:numId="8" w16cid:durableId="1465275981">
    <w:abstractNumId w:val="0"/>
  </w:num>
  <w:num w:numId="9" w16cid:durableId="656960976">
    <w:abstractNumId w:val="15"/>
  </w:num>
  <w:num w:numId="10" w16cid:durableId="881284367">
    <w:abstractNumId w:val="7"/>
  </w:num>
  <w:num w:numId="11" w16cid:durableId="676425720">
    <w:abstractNumId w:val="23"/>
  </w:num>
  <w:num w:numId="12" w16cid:durableId="1040780636">
    <w:abstractNumId w:val="11"/>
  </w:num>
  <w:num w:numId="13" w16cid:durableId="1608079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9"/>
  </w:num>
  <w:num w:numId="15" w16cid:durableId="1763649226">
    <w:abstractNumId w:val="6"/>
  </w:num>
  <w:num w:numId="16" w16cid:durableId="1081222622">
    <w:abstractNumId w:val="24"/>
  </w:num>
  <w:num w:numId="17" w16cid:durableId="318189421">
    <w:abstractNumId w:val="18"/>
  </w:num>
  <w:num w:numId="18" w16cid:durableId="84499716">
    <w:abstractNumId w:val="8"/>
  </w:num>
  <w:num w:numId="19" w16cid:durableId="75058178">
    <w:abstractNumId w:val="21"/>
  </w:num>
  <w:num w:numId="20" w16cid:durableId="584921326">
    <w:abstractNumId w:val="13"/>
  </w:num>
  <w:num w:numId="21" w16cid:durableId="552237373">
    <w:abstractNumId w:val="19"/>
  </w:num>
  <w:num w:numId="22" w16cid:durableId="1836870796">
    <w:abstractNumId w:val="14"/>
  </w:num>
  <w:num w:numId="23" w16cid:durableId="1920941243">
    <w:abstractNumId w:val="20"/>
  </w:num>
  <w:num w:numId="24" w16cid:durableId="256645626">
    <w:abstractNumId w:val="10"/>
  </w:num>
  <w:num w:numId="25" w16cid:durableId="747654821">
    <w:abstractNumId w:val="25"/>
  </w:num>
  <w:num w:numId="26" w16cid:durableId="326247243">
    <w:abstractNumId w:val="22"/>
  </w:num>
  <w:num w:numId="27" w16cid:durableId="1046615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D4"/>
    <w:rsid w:val="00004D68"/>
    <w:rsid w:val="00011803"/>
    <w:rsid w:val="00012366"/>
    <w:rsid w:val="00021FBE"/>
    <w:rsid w:val="00023ECA"/>
    <w:rsid w:val="00027354"/>
    <w:rsid w:val="00031C68"/>
    <w:rsid w:val="00041F93"/>
    <w:rsid w:val="000521D7"/>
    <w:rsid w:val="00085F02"/>
    <w:rsid w:val="000A0B58"/>
    <w:rsid w:val="000A505D"/>
    <w:rsid w:val="000A5BFD"/>
    <w:rsid w:val="000A6025"/>
    <w:rsid w:val="000A6228"/>
    <w:rsid w:val="000B5D40"/>
    <w:rsid w:val="000B7EC6"/>
    <w:rsid w:val="000C71C6"/>
    <w:rsid w:val="00107D87"/>
    <w:rsid w:val="00107DD5"/>
    <w:rsid w:val="00112B25"/>
    <w:rsid w:val="0012343A"/>
    <w:rsid w:val="00133B8D"/>
    <w:rsid w:val="0013611E"/>
    <w:rsid w:val="00145B2D"/>
    <w:rsid w:val="001515BF"/>
    <w:rsid w:val="00152773"/>
    <w:rsid w:val="001576CE"/>
    <w:rsid w:val="0017134D"/>
    <w:rsid w:val="00175A48"/>
    <w:rsid w:val="00177BAE"/>
    <w:rsid w:val="00182191"/>
    <w:rsid w:val="001852F1"/>
    <w:rsid w:val="001C1523"/>
    <w:rsid w:val="001D27A7"/>
    <w:rsid w:val="001F521D"/>
    <w:rsid w:val="00210E67"/>
    <w:rsid w:val="00221D8F"/>
    <w:rsid w:val="002272DB"/>
    <w:rsid w:val="00276047"/>
    <w:rsid w:val="0028759C"/>
    <w:rsid w:val="002A4458"/>
    <w:rsid w:val="002D589A"/>
    <w:rsid w:val="002E29E7"/>
    <w:rsid w:val="002E491A"/>
    <w:rsid w:val="002F4410"/>
    <w:rsid w:val="00307B2B"/>
    <w:rsid w:val="003149A9"/>
    <w:rsid w:val="0034390B"/>
    <w:rsid w:val="00352E52"/>
    <w:rsid w:val="00370AA8"/>
    <w:rsid w:val="00397072"/>
    <w:rsid w:val="003A7FD1"/>
    <w:rsid w:val="003E2B05"/>
    <w:rsid w:val="003E6BB5"/>
    <w:rsid w:val="0040155D"/>
    <w:rsid w:val="0041713E"/>
    <w:rsid w:val="00421D3F"/>
    <w:rsid w:val="00423785"/>
    <w:rsid w:val="00445F7E"/>
    <w:rsid w:val="00452D26"/>
    <w:rsid w:val="004A06CD"/>
    <w:rsid w:val="004A4B6F"/>
    <w:rsid w:val="004A4CF9"/>
    <w:rsid w:val="004D2965"/>
    <w:rsid w:val="004D2D9D"/>
    <w:rsid w:val="004F17F6"/>
    <w:rsid w:val="004F34AE"/>
    <w:rsid w:val="00504195"/>
    <w:rsid w:val="005A75C9"/>
    <w:rsid w:val="005B187D"/>
    <w:rsid w:val="005B46B9"/>
    <w:rsid w:val="005E695A"/>
    <w:rsid w:val="005F0D55"/>
    <w:rsid w:val="00600BB0"/>
    <w:rsid w:val="00600DE0"/>
    <w:rsid w:val="00603A12"/>
    <w:rsid w:val="006232DC"/>
    <w:rsid w:val="0062462D"/>
    <w:rsid w:val="00624D20"/>
    <w:rsid w:val="0063094F"/>
    <w:rsid w:val="0063180F"/>
    <w:rsid w:val="006434EF"/>
    <w:rsid w:val="00667EC3"/>
    <w:rsid w:val="006D3B50"/>
    <w:rsid w:val="006D67F3"/>
    <w:rsid w:val="006F1FFF"/>
    <w:rsid w:val="006F6D10"/>
    <w:rsid w:val="00712B94"/>
    <w:rsid w:val="00732768"/>
    <w:rsid w:val="007706E9"/>
    <w:rsid w:val="007732EF"/>
    <w:rsid w:val="007A2AEE"/>
    <w:rsid w:val="007B2CA1"/>
    <w:rsid w:val="007C62D4"/>
    <w:rsid w:val="007D0ABC"/>
    <w:rsid w:val="007E5191"/>
    <w:rsid w:val="007E7644"/>
    <w:rsid w:val="008042F5"/>
    <w:rsid w:val="00830BA7"/>
    <w:rsid w:val="00835EC4"/>
    <w:rsid w:val="00841176"/>
    <w:rsid w:val="00851770"/>
    <w:rsid w:val="0085503E"/>
    <w:rsid w:val="008832C4"/>
    <w:rsid w:val="00886959"/>
    <w:rsid w:val="008874F1"/>
    <w:rsid w:val="00893A34"/>
    <w:rsid w:val="008A36E1"/>
    <w:rsid w:val="008A37A7"/>
    <w:rsid w:val="008B0736"/>
    <w:rsid w:val="008E0A16"/>
    <w:rsid w:val="008E70F5"/>
    <w:rsid w:val="008F29F2"/>
    <w:rsid w:val="0090158F"/>
    <w:rsid w:val="009211CD"/>
    <w:rsid w:val="00924AA7"/>
    <w:rsid w:val="009348A6"/>
    <w:rsid w:val="00936429"/>
    <w:rsid w:val="00936C70"/>
    <w:rsid w:val="00950B06"/>
    <w:rsid w:val="0095676A"/>
    <w:rsid w:val="0095780C"/>
    <w:rsid w:val="00970069"/>
    <w:rsid w:val="009721EB"/>
    <w:rsid w:val="009766C3"/>
    <w:rsid w:val="00997522"/>
    <w:rsid w:val="009A7CB4"/>
    <w:rsid w:val="009B706E"/>
    <w:rsid w:val="009B7B30"/>
    <w:rsid w:val="009C423A"/>
    <w:rsid w:val="009C46EC"/>
    <w:rsid w:val="009C61F7"/>
    <w:rsid w:val="009E79ED"/>
    <w:rsid w:val="009E7ECA"/>
    <w:rsid w:val="009F6554"/>
    <w:rsid w:val="00A07596"/>
    <w:rsid w:val="00A17A08"/>
    <w:rsid w:val="00A32A7E"/>
    <w:rsid w:val="00A43258"/>
    <w:rsid w:val="00A437C5"/>
    <w:rsid w:val="00A50D22"/>
    <w:rsid w:val="00A60673"/>
    <w:rsid w:val="00A60C7C"/>
    <w:rsid w:val="00A7303E"/>
    <w:rsid w:val="00AB19BC"/>
    <w:rsid w:val="00AB65B8"/>
    <w:rsid w:val="00AC1872"/>
    <w:rsid w:val="00AC5744"/>
    <w:rsid w:val="00AD631F"/>
    <w:rsid w:val="00AE21FF"/>
    <w:rsid w:val="00AE2D98"/>
    <w:rsid w:val="00AF0233"/>
    <w:rsid w:val="00AF1F18"/>
    <w:rsid w:val="00B03B84"/>
    <w:rsid w:val="00B05D47"/>
    <w:rsid w:val="00B0726E"/>
    <w:rsid w:val="00B124F4"/>
    <w:rsid w:val="00B219D1"/>
    <w:rsid w:val="00B2433E"/>
    <w:rsid w:val="00B276E0"/>
    <w:rsid w:val="00B34776"/>
    <w:rsid w:val="00B34F12"/>
    <w:rsid w:val="00B41B63"/>
    <w:rsid w:val="00B41C21"/>
    <w:rsid w:val="00B57930"/>
    <w:rsid w:val="00B6509A"/>
    <w:rsid w:val="00B77603"/>
    <w:rsid w:val="00B81379"/>
    <w:rsid w:val="00B81FA4"/>
    <w:rsid w:val="00B81FA8"/>
    <w:rsid w:val="00B8794C"/>
    <w:rsid w:val="00B93215"/>
    <w:rsid w:val="00B95EF4"/>
    <w:rsid w:val="00BA56A5"/>
    <w:rsid w:val="00BB6509"/>
    <w:rsid w:val="00BC0717"/>
    <w:rsid w:val="00BC248C"/>
    <w:rsid w:val="00BF1BB5"/>
    <w:rsid w:val="00C01EC0"/>
    <w:rsid w:val="00C05BB7"/>
    <w:rsid w:val="00C244EE"/>
    <w:rsid w:val="00C25398"/>
    <w:rsid w:val="00C319B9"/>
    <w:rsid w:val="00C55006"/>
    <w:rsid w:val="00C64315"/>
    <w:rsid w:val="00C72224"/>
    <w:rsid w:val="00C75706"/>
    <w:rsid w:val="00C948A3"/>
    <w:rsid w:val="00C962CB"/>
    <w:rsid w:val="00CA4815"/>
    <w:rsid w:val="00CB0044"/>
    <w:rsid w:val="00CC6B5A"/>
    <w:rsid w:val="00CD13AC"/>
    <w:rsid w:val="00CE2391"/>
    <w:rsid w:val="00CF6562"/>
    <w:rsid w:val="00CF66DE"/>
    <w:rsid w:val="00CF75BA"/>
    <w:rsid w:val="00D01E6F"/>
    <w:rsid w:val="00D31C31"/>
    <w:rsid w:val="00D32899"/>
    <w:rsid w:val="00D5688A"/>
    <w:rsid w:val="00D67F70"/>
    <w:rsid w:val="00D86284"/>
    <w:rsid w:val="00DA39F1"/>
    <w:rsid w:val="00DB354C"/>
    <w:rsid w:val="00DC5980"/>
    <w:rsid w:val="00DD2B46"/>
    <w:rsid w:val="00DD3C2F"/>
    <w:rsid w:val="00E06ED6"/>
    <w:rsid w:val="00E31BA2"/>
    <w:rsid w:val="00E32686"/>
    <w:rsid w:val="00E529E5"/>
    <w:rsid w:val="00E66596"/>
    <w:rsid w:val="00E8718C"/>
    <w:rsid w:val="00E91D02"/>
    <w:rsid w:val="00E94D66"/>
    <w:rsid w:val="00EA2F62"/>
    <w:rsid w:val="00EB3A8E"/>
    <w:rsid w:val="00EB4C2F"/>
    <w:rsid w:val="00EB5BF2"/>
    <w:rsid w:val="00EC0B89"/>
    <w:rsid w:val="00EC749E"/>
    <w:rsid w:val="00ED0DDF"/>
    <w:rsid w:val="00EF1B51"/>
    <w:rsid w:val="00EF43D4"/>
    <w:rsid w:val="00F1000D"/>
    <w:rsid w:val="00F30933"/>
    <w:rsid w:val="00F311A4"/>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AB7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E8718C"/>
    <w:pPr>
      <w:keepNext/>
      <w:keepLines/>
      <w:spacing w:before="1400" w:after="0" w:line="640" w:lineRule="exact"/>
      <w:outlineLvl w:val="0"/>
    </w:pPr>
    <w:rPr>
      <w:rFonts w:asciiTheme="majorHAnsi" w:eastAsiaTheme="majorEastAsia" w:hAnsiTheme="majorHAnsi" w:cstheme="majorBidi"/>
      <w:b/>
      <w:color w:val="CB4325"/>
      <w:sz w:val="52"/>
      <w:szCs w:val="32"/>
    </w:rPr>
  </w:style>
  <w:style w:type="paragraph" w:styleId="Heading2">
    <w:name w:val="heading 2"/>
    <w:basedOn w:val="Normal"/>
    <w:next w:val="Normal"/>
    <w:link w:val="Heading2Char"/>
    <w:uiPriority w:val="9"/>
    <w:unhideWhenUsed/>
    <w:qFormat/>
    <w:rsid w:val="00E8718C"/>
    <w:pPr>
      <w:keepNext/>
      <w:keepLines/>
      <w:spacing w:before="720" w:after="160"/>
      <w:outlineLvl w:val="1"/>
    </w:pPr>
    <w:rPr>
      <w:rFonts w:asciiTheme="majorHAnsi" w:eastAsiaTheme="majorEastAsia" w:hAnsiTheme="majorHAnsi" w:cstheme="majorBidi"/>
      <w:b/>
      <w:color w:val="CB4325"/>
      <w:sz w:val="38"/>
      <w:szCs w:val="26"/>
    </w:rPr>
  </w:style>
  <w:style w:type="paragraph" w:styleId="Heading3">
    <w:name w:val="heading 3"/>
    <w:basedOn w:val="Normal"/>
    <w:next w:val="Normal"/>
    <w:link w:val="Heading3Char"/>
    <w:uiPriority w:val="9"/>
    <w:unhideWhenUsed/>
    <w:qFormat/>
    <w:rsid w:val="00E8718C"/>
    <w:pPr>
      <w:keepNext/>
      <w:keepLines/>
      <w:spacing w:before="320" w:after="60"/>
      <w:outlineLvl w:val="2"/>
    </w:pPr>
    <w:rPr>
      <w:rFonts w:asciiTheme="majorHAnsi" w:eastAsiaTheme="majorEastAsia" w:hAnsiTheme="majorHAnsi" w:cstheme="majorBidi"/>
      <w:b/>
      <w:color w:val="4B2C64"/>
      <w:sz w:val="32"/>
      <w:szCs w:val="24"/>
    </w:rPr>
  </w:style>
  <w:style w:type="paragraph" w:styleId="Heading4">
    <w:name w:val="heading 4"/>
    <w:basedOn w:val="Normal"/>
    <w:next w:val="Normal"/>
    <w:link w:val="Heading4Char"/>
    <w:uiPriority w:val="9"/>
    <w:unhideWhenUsed/>
    <w:qFormat/>
    <w:rsid w:val="00E8718C"/>
    <w:pPr>
      <w:keepNext/>
      <w:keepLines/>
      <w:spacing w:before="360" w:after="0"/>
      <w:outlineLvl w:val="3"/>
    </w:pPr>
    <w:rPr>
      <w:rFonts w:asciiTheme="majorHAnsi" w:eastAsiaTheme="majorEastAsia" w:hAnsiTheme="majorHAnsi" w:cstheme="majorBidi"/>
      <w:b/>
      <w:iCs/>
      <w:color w:val="CB4325"/>
      <w:sz w:val="28"/>
    </w:rPr>
  </w:style>
  <w:style w:type="paragraph" w:styleId="Heading5">
    <w:name w:val="heading 5"/>
    <w:basedOn w:val="Normal"/>
    <w:next w:val="Normal"/>
    <w:link w:val="Heading5Char"/>
    <w:uiPriority w:val="9"/>
    <w:unhideWhenUsed/>
    <w:qFormat/>
    <w:rsid w:val="00E8718C"/>
    <w:pPr>
      <w:keepNext/>
      <w:keepLines/>
      <w:spacing w:before="40" w:after="0"/>
      <w:outlineLvl w:val="4"/>
    </w:pPr>
    <w:rPr>
      <w:rFonts w:asciiTheme="majorHAnsi" w:eastAsiaTheme="majorEastAsia" w:hAnsiTheme="majorHAnsi" w:cstheme="majorBidi"/>
      <w:b/>
      <w:color w:val="4B2C64"/>
      <w:sz w:val="26"/>
    </w:rPr>
  </w:style>
  <w:style w:type="paragraph" w:styleId="Heading6">
    <w:name w:val="heading 6"/>
    <w:basedOn w:val="Normal"/>
    <w:next w:val="Normal"/>
    <w:link w:val="Heading6Char"/>
    <w:uiPriority w:val="9"/>
    <w:unhideWhenUsed/>
    <w:qFormat/>
    <w:rsid w:val="00E8718C"/>
    <w:pPr>
      <w:keepNext/>
      <w:keepLines/>
      <w:spacing w:before="40" w:after="0"/>
      <w:outlineLvl w:val="5"/>
    </w:pPr>
    <w:rPr>
      <w:rFonts w:asciiTheme="majorHAnsi" w:eastAsiaTheme="majorEastAsia" w:hAnsiTheme="majorHAnsi" w:cstheme="majorBidi"/>
      <w:b/>
      <w:color w:val="CB4325"/>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3E6BB5"/>
    <w:rPr>
      <w:color w:val="4B2C64"/>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18C"/>
    <w:rPr>
      <w:rFonts w:asciiTheme="majorHAnsi" w:eastAsiaTheme="majorEastAsia" w:hAnsiTheme="majorHAnsi" w:cstheme="majorBidi"/>
      <w:b/>
      <w:color w:val="CB4325"/>
      <w:sz w:val="52"/>
      <w:szCs w:val="32"/>
    </w:rPr>
  </w:style>
  <w:style w:type="character" w:customStyle="1" w:styleId="Heading2Char">
    <w:name w:val="Heading 2 Char"/>
    <w:basedOn w:val="DefaultParagraphFont"/>
    <w:link w:val="Heading2"/>
    <w:uiPriority w:val="9"/>
    <w:rsid w:val="00E8718C"/>
    <w:rPr>
      <w:rFonts w:asciiTheme="majorHAnsi" w:eastAsiaTheme="majorEastAsia" w:hAnsiTheme="majorHAnsi" w:cstheme="majorBidi"/>
      <w:b/>
      <w:color w:val="CB4325"/>
      <w:sz w:val="38"/>
      <w:szCs w:val="26"/>
    </w:rPr>
  </w:style>
  <w:style w:type="character" w:customStyle="1" w:styleId="Heading3Char">
    <w:name w:val="Heading 3 Char"/>
    <w:basedOn w:val="DefaultParagraphFont"/>
    <w:link w:val="Heading3"/>
    <w:uiPriority w:val="9"/>
    <w:rsid w:val="00E8718C"/>
    <w:rPr>
      <w:rFonts w:asciiTheme="majorHAnsi" w:eastAsiaTheme="majorEastAsia" w:hAnsiTheme="majorHAnsi" w:cstheme="majorBidi"/>
      <w:b/>
      <w:color w:val="4B2C64"/>
      <w:sz w:val="32"/>
      <w:szCs w:val="24"/>
    </w:rPr>
  </w:style>
  <w:style w:type="character" w:customStyle="1" w:styleId="Heading4Char">
    <w:name w:val="Heading 4 Char"/>
    <w:basedOn w:val="DefaultParagraphFont"/>
    <w:link w:val="Heading4"/>
    <w:uiPriority w:val="9"/>
    <w:rsid w:val="00E8718C"/>
    <w:rPr>
      <w:rFonts w:asciiTheme="majorHAnsi" w:eastAsiaTheme="majorEastAsia" w:hAnsiTheme="majorHAnsi" w:cstheme="majorBidi"/>
      <w:b/>
      <w:iCs/>
      <w:color w:val="CB4325"/>
      <w:sz w:val="28"/>
    </w:rPr>
  </w:style>
  <w:style w:type="character" w:customStyle="1" w:styleId="Heading5Char">
    <w:name w:val="Heading 5 Char"/>
    <w:basedOn w:val="DefaultParagraphFont"/>
    <w:link w:val="Heading5"/>
    <w:uiPriority w:val="9"/>
    <w:rsid w:val="00E8718C"/>
    <w:rPr>
      <w:rFonts w:asciiTheme="majorHAnsi" w:eastAsiaTheme="majorEastAsia" w:hAnsiTheme="majorHAnsi" w:cstheme="majorBidi"/>
      <w:b/>
      <w:color w:val="4B2C64"/>
      <w:sz w:val="26"/>
    </w:rPr>
  </w:style>
  <w:style w:type="character" w:customStyle="1" w:styleId="Heading6Char">
    <w:name w:val="Heading 6 Char"/>
    <w:basedOn w:val="DefaultParagraphFont"/>
    <w:link w:val="Heading6"/>
    <w:uiPriority w:val="9"/>
    <w:rsid w:val="00E8718C"/>
    <w:rPr>
      <w:rFonts w:asciiTheme="majorHAnsi" w:eastAsiaTheme="majorEastAsia" w:hAnsiTheme="majorHAnsi" w:cstheme="majorBidi"/>
      <w:b/>
      <w:color w:val="CB4325"/>
    </w:rPr>
  </w:style>
  <w:style w:type="paragraph" w:styleId="Caption">
    <w:name w:val="caption"/>
    <w:basedOn w:val="Normal"/>
    <w:next w:val="Normal"/>
    <w:uiPriority w:val="35"/>
    <w:qFormat/>
    <w:rsid w:val="003E6BB5"/>
    <w:pPr>
      <w:spacing w:after="120" w:line="240" w:lineRule="auto"/>
    </w:pPr>
    <w:rPr>
      <w:b/>
      <w:iCs/>
      <w:color w:val="4B2C64"/>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E8718C"/>
    <w:pPr>
      <w:numPr>
        <w:ilvl w:val="1"/>
      </w:numPr>
      <w:spacing w:before="120" w:after="140"/>
    </w:pPr>
    <w:rPr>
      <w:rFonts w:asciiTheme="majorHAnsi" w:eastAsiaTheme="minorEastAsia" w:hAnsiTheme="majorHAnsi"/>
      <w:b/>
      <w:color w:val="4B2C64"/>
      <w:spacing w:val="15"/>
      <w:sz w:val="40"/>
    </w:rPr>
  </w:style>
  <w:style w:type="character" w:customStyle="1" w:styleId="SubtitleChar">
    <w:name w:val="Subtitle Char"/>
    <w:basedOn w:val="DefaultParagraphFont"/>
    <w:link w:val="Subtitle"/>
    <w:uiPriority w:val="11"/>
    <w:rsid w:val="00E8718C"/>
    <w:rPr>
      <w:rFonts w:asciiTheme="majorHAnsi" w:eastAsiaTheme="minorEastAsia" w:hAnsiTheme="majorHAnsi"/>
      <w:b/>
      <w:color w:val="4B2C6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3E6BB5"/>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3E6BB5"/>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E6BB5"/>
    <w:pPr>
      <w:spacing w:before="100" w:beforeAutospacing="1" w:after="100" w:afterAutospacing="1" w:line="240" w:lineRule="auto"/>
    </w:pPr>
    <w:tblPr>
      <w:tblBorders>
        <w:bottom w:val="single" w:sz="4" w:space="0" w:color="BFBFBF" w:themeColor="background1" w:themeShade="BF"/>
        <w:insideH w:val="single" w:sz="4" w:space="0" w:color="BFBFBF" w:themeColor="background1" w:themeShade="BF"/>
      </w:tblBorders>
    </w:tblPr>
    <w:tcPr>
      <w:vAlign w:val="center"/>
    </w:tcPr>
    <w:tblStylePr w:type="firstRow">
      <w:pPr>
        <w:jc w:val="left"/>
      </w:pPr>
      <w:rPr>
        <w:b/>
        <w:color w:val="FFFFFF" w:themeColor="background1"/>
      </w:rPr>
      <w:tblPr/>
      <w:tcPr>
        <w:shd w:val="clear" w:color="auto" w:fill="CB4325"/>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color w:val="FFFFFF" w:themeColor="background1"/>
      <w:sz w:val="42"/>
    </w:rPr>
  </w:style>
  <w:style w:type="paragraph" w:styleId="ListParagraph">
    <w:name w:val="List Paragraph"/>
    <w:basedOn w:val="Normal"/>
    <w:uiPriority w:val="34"/>
    <w:qFormat/>
    <w:rsid w:val="00EF43D4"/>
    <w:pPr>
      <w:ind w:left="720"/>
      <w:contextualSpacing/>
    </w:pPr>
  </w:style>
  <w:style w:type="character" w:customStyle="1" w:styleId="ui-provider">
    <w:name w:val="ui-provider"/>
    <w:basedOn w:val="DefaultParagraphFont"/>
    <w:rsid w:val="00EF43D4"/>
  </w:style>
  <w:style w:type="character" w:styleId="FootnoteReference">
    <w:name w:val="footnote reference"/>
    <w:basedOn w:val="DefaultParagraphFont"/>
    <w:uiPriority w:val="99"/>
    <w:semiHidden/>
    <w:unhideWhenUsed/>
    <w:rsid w:val="00EF43D4"/>
    <w:rPr>
      <w:vertAlign w:val="superscript"/>
    </w:rPr>
  </w:style>
  <w:style w:type="paragraph" w:styleId="Revision">
    <w:name w:val="Revision"/>
    <w:hidden/>
    <w:uiPriority w:val="99"/>
    <w:semiHidden/>
    <w:rsid w:val="001852F1"/>
    <w:pPr>
      <w:spacing w:after="0" w:line="240" w:lineRule="auto"/>
    </w:pPr>
  </w:style>
  <w:style w:type="character" w:styleId="CommentReference">
    <w:name w:val="annotation reference"/>
    <w:basedOn w:val="DefaultParagraphFont"/>
    <w:uiPriority w:val="99"/>
    <w:semiHidden/>
    <w:unhideWhenUsed/>
    <w:rsid w:val="00031C68"/>
    <w:rPr>
      <w:sz w:val="16"/>
      <w:szCs w:val="16"/>
    </w:rPr>
  </w:style>
  <w:style w:type="paragraph" w:styleId="CommentText">
    <w:name w:val="annotation text"/>
    <w:basedOn w:val="Normal"/>
    <w:link w:val="CommentTextChar"/>
    <w:uiPriority w:val="99"/>
    <w:unhideWhenUsed/>
    <w:rsid w:val="00031C68"/>
    <w:pPr>
      <w:spacing w:line="240" w:lineRule="auto"/>
    </w:pPr>
    <w:rPr>
      <w:sz w:val="20"/>
      <w:szCs w:val="20"/>
    </w:rPr>
  </w:style>
  <w:style w:type="character" w:customStyle="1" w:styleId="CommentTextChar">
    <w:name w:val="Comment Text Char"/>
    <w:basedOn w:val="DefaultParagraphFont"/>
    <w:link w:val="CommentText"/>
    <w:uiPriority w:val="99"/>
    <w:rsid w:val="00031C68"/>
    <w:rPr>
      <w:sz w:val="20"/>
      <w:szCs w:val="20"/>
    </w:rPr>
  </w:style>
  <w:style w:type="paragraph" w:styleId="CommentSubject">
    <w:name w:val="annotation subject"/>
    <w:basedOn w:val="CommentText"/>
    <w:next w:val="CommentText"/>
    <w:link w:val="CommentSubjectChar"/>
    <w:uiPriority w:val="99"/>
    <w:semiHidden/>
    <w:unhideWhenUsed/>
    <w:rsid w:val="00031C68"/>
    <w:rPr>
      <w:b/>
      <w:bCs/>
    </w:rPr>
  </w:style>
  <w:style w:type="character" w:customStyle="1" w:styleId="CommentSubjectChar">
    <w:name w:val="Comment Subject Char"/>
    <w:basedOn w:val="CommentTextChar"/>
    <w:link w:val="CommentSubject"/>
    <w:uiPriority w:val="99"/>
    <w:semiHidden/>
    <w:rsid w:val="00031C68"/>
    <w:rPr>
      <w:b/>
      <w:bCs/>
      <w:sz w:val="20"/>
      <w:szCs w:val="20"/>
    </w:rPr>
  </w:style>
  <w:style w:type="character" w:styleId="Mention">
    <w:name w:val="Mention"/>
    <w:basedOn w:val="DefaultParagraphFont"/>
    <w:uiPriority w:val="99"/>
    <w:unhideWhenUsed/>
    <w:rsid w:val="00145B2D"/>
    <w:rPr>
      <w:color w:val="2B579A"/>
      <w:shd w:val="clear" w:color="auto" w:fill="E1DFDD"/>
    </w:rPr>
  </w:style>
  <w:style w:type="character" w:styleId="FollowedHyperlink">
    <w:name w:val="FollowedHyperlink"/>
    <w:basedOn w:val="DefaultParagraphFont"/>
    <w:uiPriority w:val="99"/>
    <w:semiHidden/>
    <w:unhideWhenUsed/>
    <w:rsid w:val="00307B2B"/>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hyperlink" Target="http://www.education.gov.au/teaching-scholarship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education.gov.au/teaching-scholarship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9" Type="http://schemas.openxmlformats.org/officeDocument/2006/relationships/hyperlink" Target="https://www.education.gov.au/teaching-scholarships/resources/commonwealth-teaching-scholarships-complaints-handling-policy" TargetMode="Externa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3BCEE542BD6349AE2058242D0585D9" ma:contentTypeVersion="6" ma:contentTypeDescription="Create a new document." ma:contentTypeScope="" ma:versionID="b8901deabc7030ff64809ad017e20be5">
  <xsd:schema xmlns:xsd="http://www.w3.org/2001/XMLSchema" xmlns:xs="http://www.w3.org/2001/XMLSchema" xmlns:p="http://schemas.microsoft.com/office/2006/metadata/properties" xmlns:ns2="507d4998-162d-4fdf-af3f-1f659152d2cb" targetNamespace="http://schemas.microsoft.com/office/2006/metadata/properties" ma:root="true" ma:fieldsID="d21ace091f7ba28963cedcaf73cc64bc" ns2:_="">
    <xsd:import namespace="507d4998-162d-4fdf-af3f-1f659152d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d4998-162d-4fdf-af3f-1f659152d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6A77AC6A-D00A-43E7-A0ED-60E818113044}"/>
</file>

<file path=customXml/itemProps3.xml><?xml version="1.0" encoding="utf-8"?>
<ds:datastoreItem xmlns:ds="http://schemas.openxmlformats.org/officeDocument/2006/customXml" ds:itemID="{3828E771-6D4B-49B3-AB30-B1CE278BB24B}"/>
</file>

<file path=customXml/itemProps4.xml><?xml version="1.0" encoding="utf-8"?>
<ds:datastoreItem xmlns:ds="http://schemas.openxmlformats.org/officeDocument/2006/customXml" ds:itemID="{20C6A301-FA77-4180-9A5D-9773874209E7}"/>
</file>

<file path=docProps/app.xml><?xml version="1.0" encoding="utf-8"?>
<Properties xmlns="http://schemas.openxmlformats.org/officeDocument/2006/extended-properties" xmlns:vt="http://schemas.openxmlformats.org/officeDocument/2006/docPropsVTypes">
  <Template>Normal.dotm</Template>
  <TotalTime>0</TotalTime>
  <Pages>5</Pages>
  <Words>1356</Words>
  <Characters>8138</Characters>
  <Application>Microsoft Office Word</Application>
  <DocSecurity>0</DocSecurity>
  <Lines>166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Links>
    <vt:vector size="48" baseType="variant">
      <vt:variant>
        <vt:i4>1507359</vt:i4>
      </vt:variant>
      <vt:variant>
        <vt:i4>3</vt:i4>
      </vt:variant>
      <vt:variant>
        <vt:i4>0</vt:i4>
      </vt:variant>
      <vt:variant>
        <vt:i4>5</vt:i4>
      </vt:variant>
      <vt:variant>
        <vt:lpwstr>http://www.education.gov.au/teaching-scholarships</vt:lpwstr>
      </vt:variant>
      <vt:variant>
        <vt:lpwstr/>
      </vt:variant>
      <vt:variant>
        <vt:i4>1507359</vt:i4>
      </vt:variant>
      <vt:variant>
        <vt:i4>0</vt:i4>
      </vt:variant>
      <vt:variant>
        <vt:i4>0</vt:i4>
      </vt:variant>
      <vt:variant>
        <vt:i4>5</vt:i4>
      </vt:variant>
      <vt:variant>
        <vt:lpwstr>http://www.education.gov.au/teaching-scholarships</vt:lpwstr>
      </vt:variant>
      <vt:variant>
        <vt:lpwstr/>
      </vt:variant>
      <vt:variant>
        <vt:i4>5832802</vt:i4>
      </vt:variant>
      <vt:variant>
        <vt:i4>15</vt:i4>
      </vt:variant>
      <vt:variant>
        <vt:i4>0</vt:i4>
      </vt:variant>
      <vt:variant>
        <vt:i4>5</vt:i4>
      </vt:variant>
      <vt:variant>
        <vt:lpwstr>mailto:Sarah.RICHARDS@education.gov.au</vt:lpwstr>
      </vt:variant>
      <vt:variant>
        <vt:lpwstr/>
      </vt:variant>
      <vt:variant>
        <vt:i4>5832802</vt:i4>
      </vt:variant>
      <vt:variant>
        <vt:i4>12</vt:i4>
      </vt:variant>
      <vt:variant>
        <vt:i4>0</vt:i4>
      </vt:variant>
      <vt:variant>
        <vt:i4>5</vt:i4>
      </vt:variant>
      <vt:variant>
        <vt:lpwstr>mailto:Sarah.RICHARDS@education.gov.au</vt:lpwstr>
      </vt:variant>
      <vt:variant>
        <vt:lpwstr/>
      </vt:variant>
      <vt:variant>
        <vt:i4>5832802</vt:i4>
      </vt:variant>
      <vt:variant>
        <vt:i4>9</vt:i4>
      </vt:variant>
      <vt:variant>
        <vt:i4>0</vt:i4>
      </vt:variant>
      <vt:variant>
        <vt:i4>5</vt:i4>
      </vt:variant>
      <vt:variant>
        <vt:lpwstr>mailto:Sarah.RICHARDS@education.gov.au</vt:lpwstr>
      </vt:variant>
      <vt:variant>
        <vt:lpwstr/>
      </vt:variant>
      <vt:variant>
        <vt:i4>5832802</vt:i4>
      </vt:variant>
      <vt:variant>
        <vt:i4>6</vt:i4>
      </vt:variant>
      <vt:variant>
        <vt:i4>0</vt:i4>
      </vt:variant>
      <vt:variant>
        <vt:i4>5</vt:i4>
      </vt:variant>
      <vt:variant>
        <vt:lpwstr>mailto:Sarah.RICHARDS@education.gov.au</vt:lpwstr>
      </vt:variant>
      <vt:variant>
        <vt:lpwstr/>
      </vt:variant>
      <vt:variant>
        <vt:i4>5832802</vt:i4>
      </vt:variant>
      <vt:variant>
        <vt:i4>3</vt:i4>
      </vt:variant>
      <vt:variant>
        <vt:i4>0</vt:i4>
      </vt:variant>
      <vt:variant>
        <vt:i4>5</vt:i4>
      </vt:variant>
      <vt:variant>
        <vt:lpwstr>mailto:Sarah.RICHARDS@education.gov.au</vt:lpwstr>
      </vt:variant>
      <vt:variant>
        <vt:lpwstr/>
      </vt:variant>
      <vt:variant>
        <vt:i4>6422611</vt:i4>
      </vt:variant>
      <vt:variant>
        <vt:i4>0</vt:i4>
      </vt:variant>
      <vt:variant>
        <vt:i4>0</vt:i4>
      </vt:variant>
      <vt:variant>
        <vt:i4>5</vt:i4>
      </vt:variant>
      <vt:variant>
        <vt:lpwstr>mailto:Michelle.Clewett@education.gov.au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2025-10-30T02:01:00Z</dcterms:created>
  <dcterms:modified xsi:type="dcterms:W3CDTF">2025-10-30T02:09:00Z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2025-10-30T02:04:07Z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58ffde2e-03cc-484c-812c-2a5d2930ff90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0x0101001E3BCEE542BD6349AE2058242D0585D9</vt:lpwstr>
  </property>
</Properties>
</file>