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AA886" w14:textId="18DE93F1" w:rsidR="0036642F" w:rsidRPr="0060411C" w:rsidRDefault="0036642F" w:rsidP="0060411C">
      <w:pPr>
        <w:pStyle w:val="Title"/>
        <w:spacing w:after="1000"/>
        <w:ind w:right="142"/>
        <w:rPr>
          <w:sz w:val="80"/>
          <w:szCs w:val="80"/>
        </w:rPr>
      </w:pPr>
      <w:r w:rsidRPr="0060411C">
        <w:rPr>
          <w:sz w:val="80"/>
          <w:szCs w:val="80"/>
        </w:rPr>
        <w:t>Department of Education</w:t>
      </w:r>
    </w:p>
    <w:p w14:paraId="0290165E" w14:textId="0D519CBC" w:rsidR="0036642F" w:rsidRPr="0060411C" w:rsidRDefault="0036642F" w:rsidP="00191A66">
      <w:pPr>
        <w:pStyle w:val="Subtitle"/>
        <w:spacing w:before="0" w:after="240" w:line="240" w:lineRule="atLeast"/>
        <w:rPr>
          <w:color w:val="FFFFFF" w:themeColor="background1"/>
          <w:sz w:val="28"/>
          <w:szCs w:val="18"/>
        </w:rPr>
      </w:pPr>
      <w:r w:rsidRPr="0060411C">
        <w:rPr>
          <w:color w:val="FFFFFF" w:themeColor="background1"/>
          <w:sz w:val="28"/>
          <w:szCs w:val="18"/>
        </w:rPr>
        <w:t>Review of the In Home Care</w:t>
      </w:r>
      <w:r w:rsidR="0060411C" w:rsidRPr="0060411C">
        <w:rPr>
          <w:color w:val="FFFFFF" w:themeColor="background1"/>
          <w:sz w:val="28"/>
          <w:szCs w:val="18"/>
        </w:rPr>
        <w:t xml:space="preserve"> </w:t>
      </w:r>
      <w:r w:rsidRPr="0060411C">
        <w:rPr>
          <w:color w:val="FFFFFF" w:themeColor="background1"/>
          <w:sz w:val="28"/>
          <w:szCs w:val="18"/>
        </w:rPr>
        <w:t xml:space="preserve">(IHC) </w:t>
      </w:r>
      <w:r w:rsidR="0060411C">
        <w:rPr>
          <w:color w:val="FFFFFF" w:themeColor="background1"/>
          <w:sz w:val="28"/>
          <w:szCs w:val="18"/>
        </w:rPr>
        <w:t>p</w:t>
      </w:r>
      <w:r w:rsidRPr="0060411C">
        <w:rPr>
          <w:color w:val="FFFFFF" w:themeColor="background1"/>
          <w:sz w:val="28"/>
          <w:szCs w:val="18"/>
        </w:rPr>
        <w:t>rogram</w:t>
      </w:r>
    </w:p>
    <w:p w14:paraId="6CB6C706" w14:textId="3F13960D" w:rsidR="0036642F" w:rsidRPr="007D7BF5" w:rsidRDefault="0036642F" w:rsidP="00191A66">
      <w:pPr>
        <w:pStyle w:val="BodyText"/>
        <w:rPr>
          <w:color w:val="FFFFFF" w:themeColor="background1"/>
          <w:sz w:val="24"/>
          <w:szCs w:val="24"/>
        </w:rPr>
      </w:pPr>
      <w:r w:rsidRPr="007D7BF5">
        <w:rPr>
          <w:color w:val="FFFFFF" w:themeColor="background1"/>
          <w:sz w:val="24"/>
          <w:szCs w:val="24"/>
        </w:rPr>
        <w:t xml:space="preserve">Final Report </w:t>
      </w:r>
      <w:r w:rsidR="00CC3C9C">
        <w:rPr>
          <w:color w:val="FFFFFF" w:themeColor="background1"/>
          <w:sz w:val="24"/>
          <w:szCs w:val="24"/>
        </w:rPr>
        <w:t>9</w:t>
      </w:r>
      <w:r w:rsidRPr="007D7BF5">
        <w:rPr>
          <w:color w:val="FFFFFF" w:themeColor="background1"/>
          <w:sz w:val="24"/>
          <w:szCs w:val="24"/>
        </w:rPr>
        <w:t xml:space="preserve"> </w:t>
      </w:r>
      <w:r w:rsidR="00CC3C9C">
        <w:rPr>
          <w:color w:val="FFFFFF" w:themeColor="background1"/>
          <w:sz w:val="24"/>
          <w:szCs w:val="24"/>
        </w:rPr>
        <w:t xml:space="preserve">August </w:t>
      </w:r>
      <w:r w:rsidRPr="007D7BF5">
        <w:rPr>
          <w:color w:val="FFFFFF" w:themeColor="background1"/>
          <w:sz w:val="24"/>
          <w:szCs w:val="24"/>
        </w:rPr>
        <w:t>2023</w:t>
      </w:r>
    </w:p>
    <w:p w14:paraId="4A79B39F" w14:textId="77777777" w:rsidR="0036642F" w:rsidRDefault="0036642F" w:rsidP="0036642F">
      <w:pPr>
        <w:pStyle w:val="BodyText"/>
        <w:ind w:left="56"/>
        <w:rPr>
          <w:color w:val="FFFFFF" w:themeColor="background1"/>
        </w:rPr>
      </w:pPr>
    </w:p>
    <w:p w14:paraId="3AFE17D6" w14:textId="0C2C45BF" w:rsidR="00191A66" w:rsidRDefault="00191A66" w:rsidP="00191A66">
      <w:pPr>
        <w:pStyle w:val="DOCNumber"/>
        <w:numPr>
          <w:ilvl w:val="0"/>
          <w:numId w:val="0"/>
        </w:numPr>
        <w:rPr>
          <w:color w:val="FFFFFF" w:themeColor="background1"/>
        </w:rPr>
        <w:sectPr w:rsidR="00191A66" w:rsidSect="0060411C">
          <w:headerReference w:type="even" r:id="rId11"/>
          <w:headerReference w:type="default" r:id="rId12"/>
          <w:footerReference w:type="even" r:id="rId13"/>
          <w:footerReference w:type="default" r:id="rId14"/>
          <w:headerReference w:type="first" r:id="rId15"/>
          <w:footerReference w:type="first" r:id="rId16"/>
          <w:pgSz w:w="11907" w:h="16839" w:code="9"/>
          <w:pgMar w:top="2552" w:right="567" w:bottom="1418" w:left="4536" w:header="567" w:footer="567" w:gutter="0"/>
          <w:cols w:space="708"/>
          <w:titlePg/>
          <w:docGrid w:linePitch="360"/>
        </w:sectPr>
      </w:pPr>
    </w:p>
    <w:p w14:paraId="6CA274A0" w14:textId="677A3B76" w:rsidR="00335BB7" w:rsidRPr="006A060B" w:rsidRDefault="00335BB7" w:rsidP="006A060B">
      <w:pPr>
        <w:pStyle w:val="DocHeading01"/>
      </w:pPr>
      <w:bookmarkStart w:id="0" w:name="_Toc140148397"/>
      <w:bookmarkStart w:id="1" w:name="_Toc140149895"/>
      <w:r w:rsidRPr="006A060B">
        <w:lastRenderedPageBreak/>
        <w:t>Disclaimer</w:t>
      </w:r>
      <w:bookmarkEnd w:id="0"/>
      <w:bookmarkEnd w:id="1"/>
    </w:p>
    <w:p w14:paraId="3EC8113C" w14:textId="77777777" w:rsidR="00335BB7" w:rsidRPr="006A060B" w:rsidRDefault="00335BB7" w:rsidP="006A060B">
      <w:pPr>
        <w:pStyle w:val="DocBodyText"/>
      </w:pPr>
      <w:r w:rsidRPr="006A060B">
        <w:t>This report is not intended to be used by anyone other than Department of Education.</w:t>
      </w:r>
    </w:p>
    <w:p w14:paraId="51A7DFE5" w14:textId="77777777" w:rsidR="007D7BF5" w:rsidRDefault="00335BB7" w:rsidP="006A060B">
      <w:pPr>
        <w:pStyle w:val="DocBodyText"/>
      </w:pPr>
      <w:r w:rsidRPr="006A060B">
        <w:t>We prepared this report solely for the Department of Education’s use and benefit in accordance with and for the purpose set out in our engagement letter with the Department of Education dated 9 March 2023. In doing so, we acted exclusively for the Department of Education and considered no-one else’s interests.</w:t>
      </w:r>
    </w:p>
    <w:p w14:paraId="5C0B90A1" w14:textId="50CFDEEC" w:rsidR="00335BB7" w:rsidRPr="006A060B" w:rsidRDefault="00335BB7" w:rsidP="006A060B">
      <w:pPr>
        <w:pStyle w:val="DocBodyText"/>
      </w:pPr>
      <w:r w:rsidRPr="006A060B">
        <w:t>We accept no responsibility, duty or liability:</w:t>
      </w:r>
    </w:p>
    <w:p w14:paraId="42B86500" w14:textId="7AB97DED" w:rsidR="00335BB7" w:rsidRPr="006A060B" w:rsidRDefault="0096550B" w:rsidP="00903448">
      <w:pPr>
        <w:pStyle w:val="DocBullet1"/>
      </w:pPr>
      <w:r>
        <w:t>T</w:t>
      </w:r>
      <w:r w:rsidR="00335BB7" w:rsidRPr="006A060B">
        <w:t>o anyone other than the Department of Education in connection with this report</w:t>
      </w:r>
    </w:p>
    <w:p w14:paraId="37079C26" w14:textId="3EFD3791" w:rsidR="00335BB7" w:rsidRPr="006A060B" w:rsidRDefault="0096550B" w:rsidP="00903448">
      <w:pPr>
        <w:pStyle w:val="DocBullet1"/>
      </w:pPr>
      <w:r>
        <w:t>T</w:t>
      </w:r>
      <w:r w:rsidR="00335BB7" w:rsidRPr="006A060B">
        <w:t>o the Department of Education for the consequences of using or relying on it for a purpose other than that referred to above.</w:t>
      </w:r>
    </w:p>
    <w:p w14:paraId="39FE2DE7" w14:textId="77777777" w:rsidR="00335BB7" w:rsidRPr="006A060B" w:rsidRDefault="00335BB7" w:rsidP="006A060B">
      <w:pPr>
        <w:pStyle w:val="DocBodyText"/>
      </w:pPr>
      <w:r w:rsidRPr="006A060B">
        <w:t>We make no representation concerning the appropriateness of this report for anyone other than the Department of Education. If anyone other than the Department of Education chooses to use or rely on it they do so at their own risk.</w:t>
      </w:r>
    </w:p>
    <w:p w14:paraId="6733D76C" w14:textId="77777777" w:rsidR="00335BB7" w:rsidRPr="006A060B" w:rsidRDefault="00335BB7" w:rsidP="006A060B">
      <w:pPr>
        <w:pStyle w:val="DocBodyText"/>
      </w:pPr>
      <w:r w:rsidRPr="006A060B">
        <w:t>This disclaimer applies:</w:t>
      </w:r>
    </w:p>
    <w:p w14:paraId="4ADC48A3" w14:textId="05648B8A" w:rsidR="00335BB7" w:rsidRPr="00065F1E" w:rsidRDefault="0096550B" w:rsidP="00903448">
      <w:pPr>
        <w:pStyle w:val="DocBullet1"/>
      </w:pPr>
      <w:r>
        <w:t>T</w:t>
      </w:r>
      <w:r w:rsidR="00335BB7" w:rsidRPr="00065F1E">
        <w:t>o the maximum extent permitted by law and, without limitation, to liability arising in negligence or under statute; and</w:t>
      </w:r>
    </w:p>
    <w:p w14:paraId="7FDB7F76" w14:textId="144948B8" w:rsidR="00335BB7" w:rsidRPr="00065F1E" w:rsidRDefault="0096550B" w:rsidP="00903448">
      <w:pPr>
        <w:pStyle w:val="DocBullet1"/>
      </w:pPr>
      <w:r>
        <w:t>E</w:t>
      </w:r>
      <w:r w:rsidR="00335BB7" w:rsidRPr="00065F1E">
        <w:t>ven if we consent to anyone other than the Department of Education receiving or using this report.</w:t>
      </w:r>
    </w:p>
    <w:p w14:paraId="22B5C170" w14:textId="77777777" w:rsidR="00335BB7" w:rsidRPr="006A060B" w:rsidRDefault="00335BB7" w:rsidP="006A060B">
      <w:pPr>
        <w:pStyle w:val="DocBodyText"/>
      </w:pPr>
      <w:r w:rsidRPr="006A060B">
        <w:t>Liability limited by a scheme approved under Professional Standards legislation.</w:t>
      </w:r>
    </w:p>
    <w:p w14:paraId="318EEA75" w14:textId="19F49F97" w:rsidR="00764404" w:rsidRDefault="00764404" w:rsidP="00335BB7">
      <w:pPr>
        <w:pStyle w:val="ListNumber2"/>
        <w:spacing w:before="240"/>
        <w:ind w:left="0" w:firstLine="0"/>
      </w:pPr>
      <w:r>
        <w:br w:type="page"/>
      </w:r>
    </w:p>
    <w:p w14:paraId="56DA86E8" w14:textId="72B555E5" w:rsidR="00335BB7" w:rsidRPr="00335BB7" w:rsidRDefault="00335BB7" w:rsidP="006A060B">
      <w:pPr>
        <w:pStyle w:val="DocHeading01"/>
      </w:pPr>
      <w:bookmarkStart w:id="2" w:name="_Toc139022119"/>
      <w:bookmarkStart w:id="3" w:name="_Toc140148398"/>
      <w:bookmarkStart w:id="4" w:name="_Toc140149896"/>
      <w:r w:rsidRPr="00335BB7">
        <w:lastRenderedPageBreak/>
        <w:t>Acknowledgement</w:t>
      </w:r>
      <w:bookmarkEnd w:id="2"/>
      <w:bookmarkEnd w:id="3"/>
      <w:bookmarkEnd w:id="4"/>
    </w:p>
    <w:p w14:paraId="22723917" w14:textId="77777777" w:rsidR="00335BB7" w:rsidRPr="00CF29A8" w:rsidRDefault="00335BB7" w:rsidP="006A060B">
      <w:pPr>
        <w:pStyle w:val="DocBodyText"/>
      </w:pPr>
      <w:r w:rsidRPr="00CF29A8">
        <w:t>PricewaterhouseCoopers Consulting Australia (PwC) acknowledges the Aboriginal people of the many nations across the places known as Australia, the rightful owners of Country, for their continuing traditional connection to land, waters and community. We acknowledge first peoples' cultural ties and knowledge their ancestors, people of today and future generations to come.</w:t>
      </w:r>
    </w:p>
    <w:p w14:paraId="5B032EFE" w14:textId="77777777" w:rsidR="007D7BF5" w:rsidRDefault="00335BB7" w:rsidP="006A060B">
      <w:pPr>
        <w:pStyle w:val="DocBodyText"/>
      </w:pPr>
      <w:r w:rsidRPr="00CF29A8">
        <w:t xml:space="preserve">We would also like to acknowledge the Secretariat of National Aboriginal and Islander Child Care (SNAICC) and the First Peoples Disability Network Australia (FPDN) as </w:t>
      </w:r>
      <w:r w:rsidRPr="00BD7A91">
        <w:t>peak bodies that brought First Nations perspectives and the voices of the communities they work with to this review.</w:t>
      </w:r>
    </w:p>
    <w:p w14:paraId="41B290D8" w14:textId="31AD28CE" w:rsidR="00335BB7" w:rsidRPr="00BD7A91" w:rsidRDefault="00335BB7" w:rsidP="006A060B">
      <w:pPr>
        <w:pStyle w:val="DocBodyText"/>
      </w:pPr>
      <w:r w:rsidRPr="00BD7A91">
        <w:t>We would also like to thank the many individuals that provided input to this review. This included:</w:t>
      </w:r>
    </w:p>
    <w:p w14:paraId="7A6B9485" w14:textId="77777777" w:rsidR="00335BB7" w:rsidRPr="006A060B" w:rsidRDefault="00335BB7" w:rsidP="0096550B">
      <w:pPr>
        <w:pStyle w:val="DocBullet1"/>
      </w:pPr>
      <w:r w:rsidRPr="006A060B">
        <w:t>Peak bodies</w:t>
      </w:r>
    </w:p>
    <w:p w14:paraId="0C2D9B4B" w14:textId="77777777" w:rsidR="00335BB7" w:rsidRPr="006A060B" w:rsidRDefault="00335BB7" w:rsidP="0096550B">
      <w:pPr>
        <w:pStyle w:val="DocBullet1"/>
      </w:pPr>
      <w:r w:rsidRPr="006A060B">
        <w:t>In Home Care Support Agencies (IHCSAs)</w:t>
      </w:r>
    </w:p>
    <w:p w14:paraId="4CAB5227" w14:textId="77777777" w:rsidR="00335BB7" w:rsidRPr="006A060B" w:rsidRDefault="00335BB7" w:rsidP="0096550B">
      <w:pPr>
        <w:pStyle w:val="DocBullet1"/>
      </w:pPr>
      <w:r w:rsidRPr="006A060B">
        <w:t>In Home Care (IHC) providers</w:t>
      </w:r>
    </w:p>
    <w:p w14:paraId="637B8E10" w14:textId="77777777" w:rsidR="00335BB7" w:rsidRPr="006A060B" w:rsidRDefault="00335BB7" w:rsidP="0096550B">
      <w:pPr>
        <w:pStyle w:val="DocBullet1"/>
      </w:pPr>
      <w:r w:rsidRPr="006A060B">
        <w:t>Families who have previously accessed, currently access, or are on waitlists to access IHC</w:t>
      </w:r>
    </w:p>
    <w:p w14:paraId="1605EB3C" w14:textId="77777777" w:rsidR="00335BB7" w:rsidRPr="006A060B" w:rsidRDefault="00335BB7" w:rsidP="0096550B">
      <w:pPr>
        <w:pStyle w:val="DocBullet1"/>
      </w:pPr>
      <w:r w:rsidRPr="006A060B">
        <w:t>Key subject matter experts from the Australian Government Department of Education.</w:t>
      </w:r>
    </w:p>
    <w:p w14:paraId="2B4B6F83" w14:textId="77777777" w:rsidR="007D7BF5" w:rsidRDefault="00335BB7" w:rsidP="0096550B">
      <w:pPr>
        <w:pStyle w:val="DocBodyText"/>
        <w:spacing w:before="240"/>
      </w:pPr>
      <w:r w:rsidRPr="00BD7A91">
        <w:t>Each of these stakeholders contributed time, effort and insight into this review.</w:t>
      </w:r>
    </w:p>
    <w:p w14:paraId="0F8D849D" w14:textId="242E9D0B" w:rsidR="00335BB7" w:rsidRDefault="00335BB7">
      <w:r>
        <w:br w:type="page"/>
      </w:r>
    </w:p>
    <w:p w14:paraId="7890A004" w14:textId="77777777" w:rsidR="00335BB7" w:rsidRPr="00335BB7" w:rsidRDefault="00335BB7" w:rsidP="006A060B">
      <w:pPr>
        <w:pStyle w:val="DocHeading01"/>
      </w:pPr>
      <w:bookmarkStart w:id="5" w:name="_Toc138249578"/>
      <w:bookmarkStart w:id="6" w:name="_Toc139022120"/>
      <w:bookmarkStart w:id="7" w:name="_Toc140148399"/>
      <w:bookmarkStart w:id="8" w:name="_Toc140149897"/>
      <w:r w:rsidRPr="00335BB7">
        <w:lastRenderedPageBreak/>
        <w:t>Executive summary</w:t>
      </w:r>
      <w:bookmarkEnd w:id="5"/>
      <w:bookmarkEnd w:id="6"/>
      <w:bookmarkEnd w:id="7"/>
      <w:bookmarkEnd w:id="8"/>
    </w:p>
    <w:p w14:paraId="062736BB" w14:textId="4C7DD696" w:rsidR="00992658" w:rsidRPr="006A060B" w:rsidRDefault="00992658" w:rsidP="00992658">
      <w:pPr>
        <w:pStyle w:val="DocParagraphHeading"/>
      </w:pPr>
      <w:r>
        <w:t>Introduction</w:t>
      </w:r>
    </w:p>
    <w:p w14:paraId="44DB2BDA" w14:textId="77777777" w:rsidR="007D7BF5" w:rsidRDefault="00681DFB" w:rsidP="00681DFB">
      <w:pPr>
        <w:pStyle w:val="DocBodyText"/>
      </w:pPr>
      <w:r w:rsidRPr="00BB2FC2">
        <w:t>The In Home Care (IHC) program is an approved child care service, capped at 3,200 places</w:t>
      </w:r>
      <w:r w:rsidR="007078F6" w:rsidRPr="00BB2FC2">
        <w:t xml:space="preserve"> nationally</w:t>
      </w:r>
      <w:r w:rsidRPr="00BB2FC2">
        <w:t xml:space="preserve">, providing up to 100 hours of subsidised care </w:t>
      </w:r>
      <w:r w:rsidR="003E004C" w:rsidRPr="00BB2FC2">
        <w:t xml:space="preserve">for families </w:t>
      </w:r>
      <w:r w:rsidRPr="00BB2FC2">
        <w:t>per fortnight. IHC is targeted at families who are eligible for the Child Care Subsidy (CCS)</w:t>
      </w:r>
      <w:r w:rsidR="0036642F">
        <w:t>/</w:t>
      </w:r>
      <w:r w:rsidRPr="00BB2FC2">
        <w:t>Additional Child Care Subsidy (ACCS) but are unable to access other forms of ECEC because they are either geographically isolated, work non-standard or variable hours, or are families with complex and challenging needs. </w:t>
      </w:r>
      <w:r w:rsidR="00DC19DE" w:rsidRPr="00DC19DE">
        <w:t xml:space="preserve">While the IHC program is not included in the </w:t>
      </w:r>
      <w:r w:rsidR="00EF5AB7">
        <w:t>National Quality Framework (</w:t>
      </w:r>
      <w:r w:rsidR="00DC19DE" w:rsidRPr="00DC19DE">
        <w:t>NQF</w:t>
      </w:r>
      <w:r w:rsidR="00EF5AB7">
        <w:t>)</w:t>
      </w:r>
      <w:r w:rsidR="00DC19DE" w:rsidRPr="00DC19DE">
        <w:t>, there are still requirements placed on IHC providers through the IHC guidelines.</w:t>
      </w:r>
    </w:p>
    <w:p w14:paraId="3270C4B0" w14:textId="77777777" w:rsidR="007D7BF5" w:rsidRDefault="000C4630" w:rsidP="000C4630">
      <w:pPr>
        <w:pStyle w:val="DocBodyText"/>
      </w:pPr>
      <w:r w:rsidRPr="00BB2FC2">
        <w:t xml:space="preserve">The IHC program is currently subject to both the Australian Competition and Consumer Commission (ACCC) Childcare Inquiry and the Productivity Commission </w:t>
      </w:r>
      <w:r w:rsidR="00F471DD" w:rsidRPr="00BB2FC2">
        <w:t xml:space="preserve">(PC) </w:t>
      </w:r>
      <w:r w:rsidRPr="00BB2FC2">
        <w:t>Inquiry into Early Childhood Education and Care</w:t>
      </w:r>
      <w:r w:rsidR="00F471DD" w:rsidRPr="00BB2FC2">
        <w:t xml:space="preserve"> (ECEC)</w:t>
      </w:r>
      <w:r w:rsidRPr="00BB2FC2">
        <w:t xml:space="preserve">. These inquires, and the outcomes from these, present an opportunity for significant reform within the ECEC sector </w:t>
      </w:r>
      <w:r w:rsidR="001F470C">
        <w:t xml:space="preserve">including </w:t>
      </w:r>
      <w:r w:rsidRPr="00BB2FC2">
        <w:t xml:space="preserve">reform to the IHC program. </w:t>
      </w:r>
      <w:r w:rsidR="00CB7B95">
        <w:t xml:space="preserve">The Department of Education has commissioned PricewaterhouseCoopers Consulting Australia (PwC) to undertake a review of the IHC program and advise on potential improvements for the program. </w:t>
      </w:r>
      <w:r w:rsidRPr="00BB2FC2">
        <w:t>The focus of this review is timely to consider the future design of IHC to improve access, affordability, quality and equity of the program given the broader ECEC reforms.</w:t>
      </w:r>
    </w:p>
    <w:p w14:paraId="624B50DC" w14:textId="272E333F" w:rsidR="00992658" w:rsidRPr="006A060B" w:rsidRDefault="00992658" w:rsidP="00992658">
      <w:pPr>
        <w:pStyle w:val="DocParagraphHeading"/>
      </w:pPr>
      <w:r w:rsidRPr="00BB2FC2">
        <w:t>Approach to the review</w:t>
      </w:r>
    </w:p>
    <w:p w14:paraId="632990F0" w14:textId="2571EB0C" w:rsidR="007D7BF5" w:rsidRDefault="000C4630" w:rsidP="000C4630">
      <w:pPr>
        <w:pStyle w:val="DocBodyText"/>
      </w:pPr>
      <w:r w:rsidRPr="00F7094A">
        <w:t xml:space="preserve">A mixed methods approach was taken to synthesising insights from previous reviews, analysis of demand data, primary data collection </w:t>
      </w:r>
      <w:r w:rsidRPr="005E0DCE">
        <w:t>(28</w:t>
      </w:r>
      <w:r w:rsidRPr="00F7094A">
        <w:t xml:space="preserve"> interviews</w:t>
      </w:r>
      <w:r w:rsidR="00CB7B95">
        <w:t xml:space="preserve"> and</w:t>
      </w:r>
      <w:r w:rsidRPr="00F7094A">
        <w:t xml:space="preserve">12 survey responses from IHC providers and 357 </w:t>
      </w:r>
      <w:r w:rsidR="00CB7B95">
        <w:t xml:space="preserve">survey </w:t>
      </w:r>
      <w:r w:rsidRPr="00F7094A">
        <w:t xml:space="preserve">responses from families), a review of policy levers and funding mechanisms in aligned human services (including aged care, disability care, out of home care and general practice), a series of workshops to co-design the future of the program and the development and use of a multi-criteria analysis (MCA) framework to assess the viability of </w:t>
      </w:r>
      <w:r w:rsidR="00CB7B95">
        <w:t xml:space="preserve">different </w:t>
      </w:r>
      <w:r w:rsidRPr="00F7094A">
        <w:t>future design options.</w:t>
      </w:r>
    </w:p>
    <w:p w14:paraId="63995FF9" w14:textId="4808ADC9" w:rsidR="00E92B20" w:rsidRPr="00436C13" w:rsidRDefault="00E92B20" w:rsidP="00E92B20">
      <w:pPr>
        <w:pStyle w:val="DocParagraphHeading"/>
      </w:pPr>
      <w:r w:rsidRPr="00436C13">
        <w:t>Summary of findings</w:t>
      </w:r>
    </w:p>
    <w:p w14:paraId="0E03C101" w14:textId="77777777" w:rsidR="00E92B20" w:rsidRPr="00436C13" w:rsidRDefault="00E92B20" w:rsidP="00E92B20">
      <w:pPr>
        <w:pStyle w:val="DocBodyText"/>
      </w:pPr>
      <w:r w:rsidRPr="00436C13">
        <w:t xml:space="preserve">The purpose of the review is to assess whether the IHC program is meeting the objective of providing access to affordable ECEC for families that are unable to access other forms of ECEC due to being geographically isolated, working non-standard hours, or families with complex and challenging needs. The review has found that the IHC program is partially meeting this objective. </w:t>
      </w:r>
    </w:p>
    <w:p w14:paraId="41100C45" w14:textId="77777777" w:rsidR="00E92B20" w:rsidRPr="00436C13" w:rsidRDefault="00E92B20" w:rsidP="00E92B20">
      <w:pPr>
        <w:pStyle w:val="DocBodyText"/>
      </w:pPr>
      <w:r w:rsidRPr="00436C13">
        <w:t>The program supports access to subsidised ECEC which enables families that work non-standard and variable hours to participate in the workforce, provides quality ECEC to children and families in rural and remote areas, and supports equitable access for children and families with complex and challenging needs. The introduction of the family rate cap, and changes and enforcement of eligibility criteria, has better targeted the program to families for whom other forms of ECEC are inaccessible or inappropriate to meet their needs, while the introduction of minimum qualifications for educators has improved quality.</w:t>
      </w:r>
    </w:p>
    <w:p w14:paraId="1FB382CB" w14:textId="77777777" w:rsidR="00E92B20" w:rsidRPr="00D10D22" w:rsidRDefault="00E92B20" w:rsidP="00E92B20">
      <w:pPr>
        <w:pStyle w:val="DocBodyText"/>
        <w:sectPr w:rsidR="00E92B20" w:rsidRPr="00D10D22" w:rsidSect="0096550B">
          <w:headerReference w:type="default" r:id="rId17"/>
          <w:footerReference w:type="default" r:id="rId18"/>
          <w:pgSz w:w="11906" w:h="16838" w:code="9"/>
          <w:pgMar w:top="1247" w:right="737" w:bottom="1247" w:left="1418" w:header="720" w:footer="720" w:gutter="0"/>
          <w:cols w:space="284"/>
          <w:docGrid w:linePitch="360"/>
        </w:sectPr>
      </w:pPr>
      <w:r w:rsidRPr="00436C13">
        <w:t>However, the current program continues to experience challenges relating to workforce shortages, affordability, and therefore access, for all three cohorts of families. To date, the IHC program has adopted a single, consistent approach to meeting the needs of families irrespective of circumstances. To better meet the objectives of the program, and therefore improve equity, the IHC program should be tailored to meet the specific needs of each of the three very different cohorts of families. This could be achieved through providing funding aligned to family need, funding professional development so that educators can develop the skills they need to meet the specific needs of families, and through enabling FDC to provide ECEC out-of-hours for families. Families could also benefit by making eligibility processes and requirements simpler, streamline and improved data and IT systems for monitoring, reporting and oversight, and continuing to work with ACECQA to develop an enhanced IHC national framework and supporting IHC Standards.</w:t>
      </w:r>
    </w:p>
    <w:p w14:paraId="20507A00" w14:textId="4F6A989D" w:rsidR="00335BB7" w:rsidRPr="006A060B" w:rsidRDefault="00A61B3C" w:rsidP="006A060B">
      <w:pPr>
        <w:pStyle w:val="DocParagraphHeading"/>
      </w:pPr>
      <w:r>
        <w:lastRenderedPageBreak/>
        <w:t>Specific f</w:t>
      </w:r>
      <w:r w:rsidR="00335BB7" w:rsidRPr="006A060B">
        <w:t>indings of the review</w:t>
      </w:r>
    </w:p>
    <w:p w14:paraId="7A1EC875" w14:textId="78E399E1" w:rsidR="0019705D" w:rsidRDefault="00871641" w:rsidP="00225AA3">
      <w:pPr>
        <w:pStyle w:val="DocBodyText"/>
      </w:pPr>
      <w:r>
        <w:rPr>
          <w:noProof/>
        </w:rPr>
        <mc:AlternateContent>
          <mc:Choice Requires="wps">
            <w:drawing>
              <wp:inline distT="0" distB="0" distL="0" distR="0" wp14:anchorId="282E5766" wp14:editId="51D3F02D">
                <wp:extent cx="6243456" cy="504967"/>
                <wp:effectExtent l="0" t="0" r="5080" b="952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456" cy="504967"/>
                        </a:xfrm>
                        <a:prstGeom prst="rect">
                          <a:avLst/>
                        </a:prstGeom>
                        <a:solidFill>
                          <a:schemeClr val="accent1"/>
                        </a:solidFill>
                        <a:ln w="19050">
                          <a:noFill/>
                          <a:prstDash val="dash"/>
                          <a:miter lim="800000"/>
                          <a:headEnd/>
                          <a:tailEnd/>
                        </a:ln>
                      </wps:spPr>
                      <wps:txbx>
                        <w:txbxContent>
                          <w:p w14:paraId="72227E89" w14:textId="7FCC3A07" w:rsidR="00871641" w:rsidRPr="00F76F51" w:rsidRDefault="00871641" w:rsidP="00B14A1C">
                            <w:pPr>
                              <w:shd w:val="clear" w:color="auto" w:fill="D04A02" w:themeFill="accent1"/>
                              <w:rPr>
                                <w:color w:val="FFFFFF" w:themeColor="background1"/>
                                <w:szCs w:val="16"/>
                                <w:shd w:val="clear" w:color="auto" w:fill="FED8C3" w:themeFill="accent1" w:themeFillTint="33"/>
                              </w:rPr>
                            </w:pPr>
                            <w:r w:rsidRPr="00F76F51">
                              <w:rPr>
                                <w:color w:val="FFFFFF" w:themeColor="background1"/>
                                <w:szCs w:val="16"/>
                              </w:rPr>
                              <w:t>Finding 1: The IHC program aligns with the Australian Government’s vision and objective for ECEC and is a necessary program of last resort for families unable to access other forms of ECEC.</w:t>
                            </w:r>
                          </w:p>
                        </w:txbxContent>
                      </wps:txbx>
                      <wps:bodyPr rot="0" vert="horz" wrap="square" lIns="91440" tIns="45720" rIns="91440" bIns="45720" anchor="t" anchorCtr="0">
                        <a:noAutofit/>
                      </wps:bodyPr>
                    </wps:wsp>
                  </a:graphicData>
                </a:graphic>
              </wp:inline>
            </w:drawing>
          </mc:Choice>
          <mc:Fallback>
            <w:pict>
              <v:shapetype w14:anchorId="282E5766" id="_x0000_t202" coordsize="21600,21600" o:spt="202" path="m,l,21600r21600,l21600,xe">
                <v:stroke joinstyle="miter"/>
                <v:path gradientshapeok="t" o:connecttype="rect"/>
              </v:shapetype>
              <v:shape id="Text Box 217" o:spid="_x0000_s1026" type="#_x0000_t202" style="width:491.6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B5GgIAABIEAAAOAAAAZHJzL2Uyb0RvYy54bWysU9tu2zAMfR+wfxD0vtjJnLQx4hRdsg4D&#10;ugvQ7QMYWY6FyaImKbG7ry8lp2nQvQ3Tg0CK0hF5eLi6GTrNjtJ5habi00nOmTQCa2X2Ff/54+7d&#10;NWc+gKlBo5EVf5Se36zfvln1tpQzbFHX0jECMb7sbcXbEGyZZV60sgM/QSsNBRt0HQRy3T6rHfSE&#10;3ulslueLrEdXW4dCek+n2zHI1wm/aaQI35rGy8B0xSm3kHaX9l3cs/UKyr0D2ypxSgP+IYsOlKFP&#10;z1BbCMAOTv0F1Snh0GMTJgK7DJtGCZlqoGqm+atqHlqwMtVC5Hh7psn/P1jx9fhgvzsWhg84UANT&#10;Ed7eo/jlmcFNC2Yvb53DvpVQ08fTSFnWW1+enkaqfekjyK7/gjU1GQ4BE9DQuC6yQnUyQqcGPJ5J&#10;l0Nggg4Xs+J9MV9wJig2z4vl4ip9AeXza+t8+CSxY9GouKOmJnQ43vsQs4Hy+Ur8zKNW9Z3SOjlR&#10;SHKjHTsCSQCEkCaMNby6qQ3rqbxlPs8TusGIkfQR0bfg2xGjJmvUTacCiVerruLXeVzjcWTqo6nT&#10;0wBKjzZlqc2JusjWyFsYdgNdjBTusH4kEh2OIqWhIqNF94ezngRacf/7AE5ypj8basRyWhRR0ckp&#10;5lczctxlZHcZASMIquKBs9HchDQFkSODt9SwRiUuXzI55UrCSxSfhiQq+9JPt15Gef0EAAD//wMA&#10;UEsDBBQABgAIAAAAIQDpPBb/3gAAAAQBAAAPAAAAZHJzL2Rvd25yZXYueG1sTI9RS8MwFIXfhf2H&#10;cAe+uXQT7VabjqlMQURcNvE1ba5NWXNTmmzr/r3RF325cDiHc76bLwfbsiP2vnEkYDpJgCFVTjdU&#10;C9ht11dzYD4o0qp1hALO6GFZjC5ylWl3og0eZahZLCGfKQEmhC7j3FcGrfIT1yFF78v1VoUo+5rr&#10;Xp1iuW35LEluuVUNxQWjOnwwWO3lwQp4/yhfXpPd6km+ycf0/tOcn9epFOJyPKzugAUcwl8YfvAj&#10;OhSRqXQH0p61AuIj4fdGbzG/ngErBaSLG+BFzv/DF98AAAD//wMAUEsBAi0AFAAGAAgAAAAhALaD&#10;OJL+AAAA4QEAABMAAAAAAAAAAAAAAAAAAAAAAFtDb250ZW50X1R5cGVzXS54bWxQSwECLQAUAAYA&#10;CAAAACEAOP0h/9YAAACUAQAACwAAAAAAAAAAAAAAAAAvAQAAX3JlbHMvLnJlbHNQSwECLQAUAAYA&#10;CAAAACEA0TIgeRoCAAASBAAADgAAAAAAAAAAAAAAAAAuAgAAZHJzL2Uyb0RvYy54bWxQSwECLQAU&#10;AAYACAAAACEA6TwW/94AAAAEAQAADwAAAAAAAAAAAAAAAAB0BAAAZHJzL2Rvd25yZXYueG1sUEsF&#10;BgAAAAAEAAQA8wAAAH8FAAAAAA==&#10;" fillcolor="#d04a02 [3204]" stroked="f" strokeweight="1.5pt">
                <v:stroke dashstyle="dash"/>
                <v:textbox>
                  <w:txbxContent>
                    <w:p w14:paraId="72227E89" w14:textId="7FCC3A07" w:rsidR="00871641" w:rsidRPr="00F76F51" w:rsidRDefault="00871641" w:rsidP="00B14A1C">
                      <w:pPr>
                        <w:shd w:val="clear" w:color="auto" w:fill="D04A02" w:themeFill="accent1"/>
                        <w:rPr>
                          <w:color w:val="FFFFFF" w:themeColor="background1"/>
                          <w:szCs w:val="16"/>
                          <w:shd w:val="clear" w:color="auto" w:fill="FED8C3" w:themeFill="accent1" w:themeFillTint="33"/>
                        </w:rPr>
                      </w:pPr>
                      <w:r w:rsidRPr="00F76F51">
                        <w:rPr>
                          <w:color w:val="FFFFFF" w:themeColor="background1"/>
                          <w:szCs w:val="16"/>
                        </w:rPr>
                        <w:t>Finding 1: The IHC program aligns with the Australian Government’s vision and objective for ECEC and is a necessary program of last resort for families unable to access other forms of ECEC.</w:t>
                      </w:r>
                    </w:p>
                  </w:txbxContent>
                </v:textbox>
                <w10:anchorlock/>
              </v:shape>
            </w:pict>
          </mc:Fallback>
        </mc:AlternateContent>
      </w:r>
    </w:p>
    <w:p w14:paraId="446FFA1A" w14:textId="4D84C0C1" w:rsidR="00225AA3" w:rsidRPr="00BB2FC2" w:rsidRDefault="00225AA3" w:rsidP="00225AA3">
      <w:pPr>
        <w:pStyle w:val="DocBodyText"/>
      </w:pPr>
      <w:r w:rsidRPr="00BB2FC2">
        <w:t>Changes to the IHC program since 2018 include:</w:t>
      </w:r>
    </w:p>
    <w:p w14:paraId="16DA9675" w14:textId="4B26F898" w:rsidR="00225AA3" w:rsidRPr="00B14A1C" w:rsidRDefault="00225AA3" w:rsidP="0096550B">
      <w:pPr>
        <w:pStyle w:val="DocBullet1"/>
      </w:pPr>
      <w:r w:rsidRPr="00B14A1C">
        <w:t>Introduction of the family rate cap, the maximum amount the Australian Government will subsidise per session of care through the CCS, followed by an increase in January 2019.</w:t>
      </w:r>
    </w:p>
    <w:p w14:paraId="5ACAC644" w14:textId="77777777" w:rsidR="00225AA3" w:rsidRPr="00B14A1C" w:rsidRDefault="00225AA3" w:rsidP="0096550B">
      <w:pPr>
        <w:pStyle w:val="DocBullet1"/>
      </w:pPr>
      <w:r w:rsidRPr="00B14A1C">
        <w:t>Removal of block operational funding for IHC providers</w:t>
      </w:r>
    </w:p>
    <w:p w14:paraId="30250EA6" w14:textId="77777777" w:rsidR="00225AA3" w:rsidRPr="00B14A1C" w:rsidRDefault="00225AA3" w:rsidP="0096550B">
      <w:pPr>
        <w:pStyle w:val="DocBullet1"/>
      </w:pPr>
      <w:r w:rsidRPr="00B14A1C">
        <w:t>Introduction of minimum, relevant qualifications (Certificate III) for IHC educators</w:t>
      </w:r>
    </w:p>
    <w:p w14:paraId="18AFB805" w14:textId="77777777" w:rsidR="00225AA3" w:rsidRPr="00B14A1C" w:rsidRDefault="00225AA3" w:rsidP="0096550B">
      <w:pPr>
        <w:pStyle w:val="DocBullet1"/>
      </w:pPr>
      <w:r w:rsidRPr="00B14A1C">
        <w:t>Establishment of IHC Support Agencies (IHCSAs) to assess eligibility of families to access IHC and to match families to appropriate IHC providers</w:t>
      </w:r>
    </w:p>
    <w:p w14:paraId="283356C2" w14:textId="77777777" w:rsidR="00225AA3" w:rsidRPr="00BB2FC2" w:rsidRDefault="00225AA3" w:rsidP="00225AA3">
      <w:pPr>
        <w:pStyle w:val="DocBodyText"/>
      </w:pPr>
      <w:r w:rsidRPr="00BB2FC2">
        <w:t>These changes have increased affordability for families, improved the quality of educators, and brought greater consistency, and therefore equity, to the assessment of family eligibility to access IHC. This aligns with the Australian Government objectives of</w:t>
      </w:r>
      <w:r w:rsidRPr="00BB2FC2">
        <w:rPr>
          <w:i/>
          <w:iCs/>
        </w:rPr>
        <w:t xml:space="preserve"> </w:t>
      </w:r>
      <w:r w:rsidRPr="00BB2FC2">
        <w:t>improving equity, affordability, quality and accessibility of ECEC for families.</w:t>
      </w:r>
    </w:p>
    <w:p w14:paraId="54941A21" w14:textId="225E3067" w:rsidR="00225AA3" w:rsidRPr="00BB2FC2" w:rsidRDefault="00225AA3" w:rsidP="00225AA3">
      <w:pPr>
        <w:pStyle w:val="DocBodyText"/>
      </w:pPr>
      <w:r w:rsidRPr="00BB2FC2">
        <w:t xml:space="preserve">Despite </w:t>
      </w:r>
      <w:r w:rsidR="00CB7B95">
        <w:t>recent</w:t>
      </w:r>
      <w:r w:rsidR="00CB7B95" w:rsidRPr="00BB2FC2">
        <w:t xml:space="preserve"> </w:t>
      </w:r>
      <w:r w:rsidRPr="00BB2FC2">
        <w:t xml:space="preserve">improvements to the IHC program there remain challenges associated with delivering services to all families. Families report that </w:t>
      </w:r>
      <w:r w:rsidR="007E390A">
        <w:t>out-of-pocket</w:t>
      </w:r>
      <w:r w:rsidRPr="00BB2FC2">
        <w:t xml:space="preserve"> costs are still high for the program, impacting access and affordability, while both families and IHC providers report a shortage of educators.</w:t>
      </w:r>
    </w:p>
    <w:p w14:paraId="50BB5308" w14:textId="79599E0F" w:rsidR="00225AA3" w:rsidRPr="00BB2FC2" w:rsidRDefault="00225AA3" w:rsidP="00225AA3">
      <w:pPr>
        <w:pStyle w:val="DocBodyText"/>
      </w:pPr>
      <w:r w:rsidRPr="00BB2FC2">
        <w:t>The current monitoring and reporting system, and the lack of real-time data and systems, makes it difficult to monitor quality and project demand for IHC services.</w:t>
      </w:r>
      <w:r w:rsidR="005A5575">
        <w:t xml:space="preserve"> This impacts on the ability to </w:t>
      </w:r>
      <w:r w:rsidR="00A67E53">
        <w:t xml:space="preserve">meet the objective </w:t>
      </w:r>
      <w:r w:rsidR="0059179F">
        <w:t xml:space="preserve">to </w:t>
      </w:r>
      <w:r w:rsidR="00A67E53">
        <w:t xml:space="preserve">improve access </w:t>
      </w:r>
      <w:r w:rsidR="0098771A">
        <w:t xml:space="preserve">to </w:t>
      </w:r>
      <w:r w:rsidR="00A67E53">
        <w:t>and quality of IHC</w:t>
      </w:r>
      <w:r w:rsidR="0098771A">
        <w:t>.</w:t>
      </w:r>
      <w:r w:rsidR="0080468F">
        <w:t xml:space="preserve"> </w:t>
      </w:r>
      <w:r w:rsidR="0080468F" w:rsidRPr="0080468F">
        <w:t xml:space="preserve">The Department of Education is </w:t>
      </w:r>
      <w:r w:rsidR="0080468F">
        <w:t xml:space="preserve">currently </w:t>
      </w:r>
      <w:r w:rsidR="0080468F" w:rsidRPr="0080468F">
        <w:t xml:space="preserve">working with </w:t>
      </w:r>
      <w:r w:rsidR="00506FFA">
        <w:t>t</w:t>
      </w:r>
      <w:r w:rsidR="00506FFA" w:rsidRPr="00506FFA">
        <w:t xml:space="preserve">he Australian Children's Education </w:t>
      </w:r>
      <w:r w:rsidR="00506FFA">
        <w:t>and</w:t>
      </w:r>
      <w:r w:rsidR="00506FFA" w:rsidRPr="00506FFA">
        <w:t xml:space="preserve"> Care Quality Authority</w:t>
      </w:r>
      <w:r w:rsidR="00506FFA">
        <w:t xml:space="preserve"> (</w:t>
      </w:r>
      <w:r w:rsidR="0080468F" w:rsidRPr="0080468F">
        <w:t>ACECQA</w:t>
      </w:r>
      <w:r w:rsidR="00506FFA">
        <w:t>)</w:t>
      </w:r>
      <w:r w:rsidR="0080468F" w:rsidRPr="0080468F">
        <w:t xml:space="preserve"> </w:t>
      </w:r>
      <w:r w:rsidR="00A94FC0">
        <w:t xml:space="preserve">to develop </w:t>
      </w:r>
      <w:r w:rsidR="00A94FC0" w:rsidRPr="00A94FC0">
        <w:t>an enhanced IHC national framework and new supporting IHC Standards</w:t>
      </w:r>
      <w:r w:rsidR="0080468F" w:rsidRPr="0080468F">
        <w:t>.</w:t>
      </w:r>
    </w:p>
    <w:p w14:paraId="20324D97" w14:textId="77777777" w:rsidR="00F76F51" w:rsidRDefault="005B0E50" w:rsidP="00225AA3">
      <w:pPr>
        <w:pStyle w:val="DocBodyText"/>
      </w:pPr>
      <w:r>
        <w:rPr>
          <w:noProof/>
        </w:rPr>
        <mc:AlternateContent>
          <mc:Choice Requires="wps">
            <w:drawing>
              <wp:inline distT="0" distB="0" distL="0" distR="0" wp14:anchorId="6B74033F" wp14:editId="4CCB51A5">
                <wp:extent cx="6188710" cy="665018"/>
                <wp:effectExtent l="0" t="0" r="2540" b="190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710" cy="665018"/>
                        </a:xfrm>
                        <a:prstGeom prst="rect">
                          <a:avLst/>
                        </a:prstGeom>
                        <a:solidFill>
                          <a:schemeClr val="accent1"/>
                        </a:solidFill>
                        <a:ln w="19050">
                          <a:noFill/>
                          <a:prstDash val="dash"/>
                          <a:miter lim="800000"/>
                          <a:headEnd/>
                          <a:tailEnd/>
                        </a:ln>
                      </wps:spPr>
                      <wps:txbx>
                        <w:txbxContent>
                          <w:p w14:paraId="71D52BAB" w14:textId="585309CF" w:rsidR="005B0E50" w:rsidRPr="00F76F51" w:rsidRDefault="005B0E50" w:rsidP="005B0E50">
                            <w:pPr>
                              <w:rPr>
                                <w:color w:val="FFFFFF" w:themeColor="background1"/>
                                <w:szCs w:val="16"/>
                                <w:shd w:val="clear" w:color="auto" w:fill="D04A02" w:themeFill="accent1"/>
                              </w:rPr>
                            </w:pPr>
                            <w:r w:rsidRPr="00F76F51">
                              <w:rPr>
                                <w:color w:val="FFFFFF" w:themeColor="background1"/>
                                <w:szCs w:val="16"/>
                                <w:shd w:val="clear" w:color="auto" w:fill="D04A02" w:themeFill="accent1"/>
                              </w:rPr>
                              <w:t>Finding 2: IHC is more costly to deliver than other forms of ECEC due to additional fees associated with travel, board, non-standard hours rates, and educator locator fees. This impacts the financial viability of IHC providers and the affordability of care for families.</w:t>
                            </w:r>
                          </w:p>
                        </w:txbxContent>
                      </wps:txbx>
                      <wps:bodyPr rot="0" vert="horz" wrap="square" lIns="91440" tIns="45720" rIns="91440" bIns="45720" anchor="t" anchorCtr="0">
                        <a:noAutofit/>
                      </wps:bodyPr>
                    </wps:wsp>
                  </a:graphicData>
                </a:graphic>
              </wp:inline>
            </w:drawing>
          </mc:Choice>
          <mc:Fallback>
            <w:pict>
              <v:shape w14:anchorId="6B74033F" id="Text Box 4" o:spid="_x0000_s1027" type="#_x0000_t202" style="width:487.3pt;height:5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zOGwIAABkEAAAOAAAAZHJzL2Uyb0RvYy54bWysU9tu2zAMfR+wfxD0vtgOkjQ14hRdsg4D&#10;ugvQ7QMYWY6FyaImKbGzrx8lp2nQvQ3Tg0CK0hF5eLi6GzrNjtJ5habixSTnTBqBtTL7iv/4/vBu&#10;yZkPYGrQaGTFT9Lzu/XbN6velnKKLepaOkYgxpe9rXgbgi2zzItWduAnaKWhYIOug0Cu22e1g57Q&#10;O51N83yR9ehq61BI7+l0Owb5OuE3jRTha9N4GZiuOOUW0u7Svot7tl5BuXdgWyXOacA/ZNGBMvTp&#10;BWoLAdjBqb+gOiUcemzCRGCXYdMoIVMNVE2Rv6rmqQUrUy1EjrcXmvz/gxVfjk/2m2NheI8DNTAV&#10;4e0jip+eGdy0YPby3jnsWwk1fVxEyrLe+vL8NFLtSx9Bdv1nrKnJcAiYgIbGdZEVqpMROjXgdCFd&#10;DoEJOlwUy+VNQSFBscVinhfL9AWUz6+t8+GjxI5Fo+KOmprQ4fjoQ8wGyucr8TOPWtUPSuvkRCHJ&#10;jXbsCCQBEEKaMNbw6qY2rKfybvN5ntANRoykj4i+Bd+OGDVZo246FUi8WnUVX+ZxjceRqQ+mTk8D&#10;KD3alKU2Z+oiWyNvYdgNTNVnXiOTO6xPxKXDUas0W2S06H5z1pNOK+5/HcBJzvQnQ/24LWazKOzk&#10;zOY3U3LcdWR3HQEjCKrigbPR3IQ0DJEqg/fUt0YlSl8yOadM+ktMn2clCvzaT7deJnr9BwAA//8D&#10;AFBLAwQUAAYACAAAACEA95QTX90AAAAFAQAADwAAAGRycy9kb3ducmV2LnhtbEyPQUvEMBCF74L/&#10;IYzgzU2UZau16bIqqyAiGle8ps3YFptJabK73X/v6EUvD4b3eO+bYjn5XuxwjF0gDeczBQKpDq6j&#10;RsPmbX12CSImS872gVDDASMsy+OjwuYu7OkVdyY1gkso5lZDm9KQSxnrFr2NszAgsfcZRm8Tn2Mj&#10;3Wj3XO57eaHUQnrbES+0dsDbFusvs/UaXt6rxye1Wd2bZ3OX3Xy0h4d1ZrQ+PZlW1yASTukvDD/4&#10;jA4lM1VhSy6KXgM/kn6VvatsvgBRcUjNM5BlIf/Tl98AAAD//wMAUEsBAi0AFAAGAAgAAAAhALaD&#10;OJL+AAAA4QEAABMAAAAAAAAAAAAAAAAAAAAAAFtDb250ZW50X1R5cGVzXS54bWxQSwECLQAUAAYA&#10;CAAAACEAOP0h/9YAAACUAQAACwAAAAAAAAAAAAAAAAAvAQAAX3JlbHMvLnJlbHNQSwECLQAUAAYA&#10;CAAAACEALJQMzhsCAAAZBAAADgAAAAAAAAAAAAAAAAAuAgAAZHJzL2Uyb0RvYy54bWxQSwECLQAU&#10;AAYACAAAACEA95QTX90AAAAFAQAADwAAAAAAAAAAAAAAAAB1BAAAZHJzL2Rvd25yZXYueG1sUEsF&#10;BgAAAAAEAAQA8wAAAH8FAAAAAA==&#10;" fillcolor="#d04a02 [3204]" stroked="f" strokeweight="1.5pt">
                <v:stroke dashstyle="dash"/>
                <v:textbox>
                  <w:txbxContent>
                    <w:p w14:paraId="71D52BAB" w14:textId="585309CF" w:rsidR="005B0E50" w:rsidRPr="00F76F51" w:rsidRDefault="005B0E50" w:rsidP="005B0E50">
                      <w:pPr>
                        <w:rPr>
                          <w:color w:val="FFFFFF" w:themeColor="background1"/>
                          <w:szCs w:val="16"/>
                          <w:shd w:val="clear" w:color="auto" w:fill="D04A02" w:themeFill="accent1"/>
                        </w:rPr>
                      </w:pPr>
                      <w:r w:rsidRPr="00F76F51">
                        <w:rPr>
                          <w:color w:val="FFFFFF" w:themeColor="background1"/>
                          <w:szCs w:val="16"/>
                          <w:shd w:val="clear" w:color="auto" w:fill="D04A02" w:themeFill="accent1"/>
                        </w:rPr>
                        <w:t>Finding 2: IHC is more costly to deliver than other forms of ECEC due to additional fees associated with travel, board, non-standard hours rates, and educator locator fees. This impacts the financial viability of IHC providers and the affordability of care for families.</w:t>
                      </w:r>
                    </w:p>
                  </w:txbxContent>
                </v:textbox>
                <w10:anchorlock/>
              </v:shape>
            </w:pict>
          </mc:Fallback>
        </mc:AlternateContent>
      </w:r>
    </w:p>
    <w:p w14:paraId="35BEFB58" w14:textId="17F634F3" w:rsidR="007D7BF5" w:rsidRDefault="00562AA9" w:rsidP="00225AA3">
      <w:pPr>
        <w:pStyle w:val="DocBodyText"/>
      </w:pPr>
      <w:r>
        <w:t xml:space="preserve">Costs for IHC have risen significantly in recent years compared to other forms of ECEC. </w:t>
      </w:r>
      <w:r w:rsidR="00225AA3" w:rsidRPr="00BB2FC2">
        <w:t xml:space="preserve">From 2018-19 to 2021-22 CCS/ACCS payments </w:t>
      </w:r>
      <w:r w:rsidR="00041005" w:rsidRPr="00BB2FC2">
        <w:t xml:space="preserve">for the IHC program </w:t>
      </w:r>
      <w:r w:rsidR="00225AA3" w:rsidRPr="00BB2FC2">
        <w:t xml:space="preserve">increased 35.7 per cent. </w:t>
      </w:r>
      <w:r w:rsidR="00932D6A" w:rsidRPr="00BB2FC2">
        <w:t xml:space="preserve">In comparison, </w:t>
      </w:r>
      <w:r w:rsidR="00225AA3" w:rsidRPr="00BB2FC2">
        <w:t xml:space="preserve">CCS/ACCS payments for </w:t>
      </w:r>
      <w:r w:rsidR="00932D6A" w:rsidRPr="00BB2FC2">
        <w:t>Family Day Care (</w:t>
      </w:r>
      <w:r w:rsidR="00225AA3" w:rsidRPr="00BB2FC2">
        <w:t>FDC</w:t>
      </w:r>
      <w:r w:rsidR="00932D6A" w:rsidRPr="00BB2FC2">
        <w:t>)</w:t>
      </w:r>
      <w:r w:rsidR="00225AA3" w:rsidRPr="00BB2FC2">
        <w:t xml:space="preserve"> decreased 28.1 per cent</w:t>
      </w:r>
      <w:r w:rsidR="00932D6A" w:rsidRPr="00BB2FC2">
        <w:t xml:space="preserve"> over this period</w:t>
      </w:r>
      <w:r w:rsidR="00225AA3" w:rsidRPr="00BB2FC2">
        <w:t>. Th</w:t>
      </w:r>
      <w:r w:rsidR="00C14211" w:rsidRPr="00BB2FC2">
        <w:t>is</w:t>
      </w:r>
      <w:r w:rsidR="00225AA3" w:rsidRPr="00BB2FC2">
        <w:t xml:space="preserve"> increase for IHC is </w:t>
      </w:r>
      <w:r w:rsidR="00DC1391" w:rsidRPr="00BB2FC2">
        <w:t>attributed</w:t>
      </w:r>
      <w:r w:rsidR="00225AA3" w:rsidRPr="00BB2FC2">
        <w:t xml:space="preserve"> </w:t>
      </w:r>
      <w:r w:rsidR="00DC1391" w:rsidRPr="00BB2FC2">
        <w:t xml:space="preserve">to </w:t>
      </w:r>
      <w:r w:rsidR="00225AA3" w:rsidRPr="00BB2FC2">
        <w:t>a</w:t>
      </w:r>
      <w:r w:rsidR="00724CAB" w:rsidRPr="00BB2FC2">
        <w:t xml:space="preserve"> growing </w:t>
      </w:r>
      <w:r w:rsidR="00225AA3" w:rsidRPr="00BB2FC2">
        <w:t xml:space="preserve">number of families eligible for ACCS and large increases in hourly fees. Whereas the average hourly fee </w:t>
      </w:r>
      <w:r w:rsidR="004B00F1">
        <w:t xml:space="preserve">per child (based on an average of 1.8 children per session) </w:t>
      </w:r>
      <w:r w:rsidR="00225AA3" w:rsidRPr="00BB2FC2">
        <w:t xml:space="preserve">for IHC was $14.51 in 2018-19 this </w:t>
      </w:r>
      <w:r w:rsidR="000B25DE" w:rsidRPr="00BB2FC2">
        <w:t xml:space="preserve">rose </w:t>
      </w:r>
      <w:r w:rsidR="00225AA3" w:rsidRPr="00BB2FC2">
        <w:t xml:space="preserve">to $21.55 in 2022-23 representing a 49.5 per cent increase. </w:t>
      </w:r>
      <w:r>
        <w:t>In comparison, t</w:t>
      </w:r>
      <w:r w:rsidR="00225AA3" w:rsidRPr="00BB2FC2">
        <w:t xml:space="preserve">he average hourly fee for FDC rose 15.9 per cent over this period (from $10.17 to $11.79). IHC providers report that the high costs of service delivery, and the removal of block operational funding, has impacted financial </w:t>
      </w:r>
      <w:r w:rsidR="00225AA3" w:rsidRPr="00BB2FC2" w:rsidDel="00DD6F72">
        <w:t>viability</w:t>
      </w:r>
      <w:r w:rsidR="00DD6F72">
        <w:t xml:space="preserve">, </w:t>
      </w:r>
      <w:r w:rsidR="00DD6F72" w:rsidRPr="009B5510">
        <w:t>with a 40 per cent decrease of registered providers in the market between 2018 and 2022</w:t>
      </w:r>
      <w:r w:rsidR="00DD6F72" w:rsidRPr="009B5510">
        <w:rPr>
          <w:rStyle w:val="FootnoteReference"/>
        </w:rPr>
        <w:footnoteReference w:id="2"/>
      </w:r>
      <w:r w:rsidR="00225AA3" w:rsidRPr="009B5510">
        <w:t>.</w:t>
      </w:r>
    </w:p>
    <w:p w14:paraId="48C60889" w14:textId="77777777" w:rsidR="007D7BF5" w:rsidRDefault="00225AA3" w:rsidP="00225AA3">
      <w:pPr>
        <w:pStyle w:val="DocBodyText"/>
        <w:rPr>
          <w:rFonts w:cstheme="minorHAnsi"/>
        </w:rPr>
      </w:pPr>
      <w:r w:rsidRPr="00BB2FC2">
        <w:rPr>
          <w:rFonts w:cstheme="minorHAnsi"/>
        </w:rPr>
        <w:t xml:space="preserve">There are large gap fees for families to use the </w:t>
      </w:r>
      <w:r w:rsidR="00562AA9">
        <w:rPr>
          <w:rFonts w:cstheme="minorHAnsi"/>
        </w:rPr>
        <w:t>IHC</w:t>
      </w:r>
      <w:r w:rsidRPr="00BB2FC2">
        <w:rPr>
          <w:rFonts w:cstheme="minorHAnsi"/>
        </w:rPr>
        <w:t xml:space="preserve"> program. The average family who does not meet ACCS criteria using the program for 4.2 hours per session has an average gap fee </w:t>
      </w:r>
      <w:r w:rsidR="00892B76" w:rsidRPr="00BB2FC2">
        <w:rPr>
          <w:rFonts w:cstheme="minorHAnsi"/>
        </w:rPr>
        <w:t>of</w:t>
      </w:r>
      <w:r w:rsidRPr="00BB2FC2">
        <w:rPr>
          <w:rFonts w:cstheme="minorHAnsi"/>
        </w:rPr>
        <w:t xml:space="preserve"> $40.32</w:t>
      </w:r>
      <w:r w:rsidRPr="00BB2FC2">
        <w:rPr>
          <w:rStyle w:val="FootnoteReference"/>
        </w:rPr>
        <w:footnoteReference w:id="3"/>
      </w:r>
      <w:r w:rsidRPr="00BB2FC2">
        <w:rPr>
          <w:rFonts w:cstheme="minorHAnsi"/>
        </w:rPr>
        <w:t xml:space="preserve">. </w:t>
      </w:r>
      <w:r w:rsidR="00A32721" w:rsidRPr="00BB2FC2">
        <w:rPr>
          <w:rFonts w:cstheme="minorHAnsi"/>
        </w:rPr>
        <w:t xml:space="preserve">For families eligible for ACCS the average </w:t>
      </w:r>
      <w:r w:rsidRPr="00BB2FC2">
        <w:rPr>
          <w:rFonts w:cstheme="minorHAnsi"/>
        </w:rPr>
        <w:t xml:space="preserve">gap fee </w:t>
      </w:r>
      <w:r w:rsidR="00A32721" w:rsidRPr="00BB2FC2">
        <w:rPr>
          <w:rFonts w:cstheme="minorHAnsi"/>
        </w:rPr>
        <w:t xml:space="preserve">is </w:t>
      </w:r>
      <w:r w:rsidRPr="00BB2FC2">
        <w:rPr>
          <w:rFonts w:cstheme="minorHAnsi"/>
        </w:rPr>
        <w:t>$9.03.</w:t>
      </w:r>
    </w:p>
    <w:p w14:paraId="7F3FD8CA" w14:textId="7ABD3C7A" w:rsidR="00225AA3" w:rsidRPr="00BB2FC2" w:rsidRDefault="00225AA3" w:rsidP="00225AA3">
      <w:pPr>
        <w:pStyle w:val="DocBodyText"/>
      </w:pPr>
      <w:bookmarkStart w:id="9" w:name="OLE_LINK3"/>
      <w:r w:rsidRPr="00BB2FC2">
        <w:lastRenderedPageBreak/>
        <w:t xml:space="preserve">Out-of-pocket gap fees for families are the greatest barrier to accessing the IHC program, as well as being </w:t>
      </w:r>
      <w:r w:rsidR="002572F7">
        <w:t>a primary</w:t>
      </w:r>
      <w:r w:rsidRPr="00BB2FC2">
        <w:t xml:space="preserve"> reason for families exiting the program. This is reflected in feedback from families </w:t>
      </w:r>
      <w:r w:rsidR="00133A12">
        <w:t xml:space="preserve">who </w:t>
      </w:r>
      <w:r w:rsidRPr="00BB2FC2">
        <w:t>report that the cost of IHC was a factor when considering access to services</w:t>
      </w:r>
      <w:r w:rsidR="00F564E7">
        <w:rPr>
          <w:rStyle w:val="FootnoteReference"/>
        </w:rPr>
        <w:footnoteReference w:id="4"/>
      </w:r>
      <w:r w:rsidRPr="00BB2FC2">
        <w:t>.</w:t>
      </w:r>
    </w:p>
    <w:bookmarkEnd w:id="9"/>
    <w:p w14:paraId="1422F784" w14:textId="77777777" w:rsidR="00F76F51" w:rsidRDefault="005B0E50" w:rsidP="00225AA3">
      <w:pPr>
        <w:pStyle w:val="DocBodyText"/>
      </w:pPr>
      <w:r>
        <w:rPr>
          <w:noProof/>
        </w:rPr>
        <mc:AlternateContent>
          <mc:Choice Requires="wps">
            <w:drawing>
              <wp:inline distT="0" distB="0" distL="0" distR="0" wp14:anchorId="1F97A762" wp14:editId="57E766FD">
                <wp:extent cx="6188710" cy="690880"/>
                <wp:effectExtent l="0" t="0" r="2540" b="0"/>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710" cy="690880"/>
                        </a:xfrm>
                        <a:prstGeom prst="rect">
                          <a:avLst/>
                        </a:prstGeom>
                        <a:solidFill>
                          <a:schemeClr val="accent1"/>
                        </a:solidFill>
                        <a:ln w="19050">
                          <a:noFill/>
                          <a:prstDash val="dash"/>
                          <a:miter lim="800000"/>
                          <a:headEnd/>
                          <a:tailEnd/>
                        </a:ln>
                      </wps:spPr>
                      <wps:txbx>
                        <w:txbxContent>
                          <w:p w14:paraId="090F15AD" w14:textId="0FBE64AF" w:rsidR="005B0E50" w:rsidRPr="00F76F51" w:rsidRDefault="005B0E50" w:rsidP="005B0E50">
                            <w:pPr>
                              <w:rPr>
                                <w:color w:val="FFFFFF" w:themeColor="background1"/>
                                <w:szCs w:val="16"/>
                                <w:shd w:val="clear" w:color="auto" w:fill="D04A02" w:themeFill="accent1"/>
                              </w:rPr>
                            </w:pPr>
                            <w:r w:rsidRPr="00F76F51">
                              <w:rPr>
                                <w:color w:val="FFFFFF" w:themeColor="background1"/>
                                <w:szCs w:val="16"/>
                                <w:shd w:val="clear" w:color="auto" w:fill="D04A02" w:themeFill="accent1"/>
                              </w:rPr>
                              <w:t>Finding 3: Utilisation of IHC places has reduced since 2018, however, waitlists have increased. This is most likely due to a shortage of educators and other factors that make IHC less attractive to educators.</w:t>
                            </w:r>
                          </w:p>
                        </w:txbxContent>
                      </wps:txbx>
                      <wps:bodyPr rot="0" vert="horz" wrap="square" lIns="91440" tIns="45720" rIns="91440" bIns="45720" anchor="t" anchorCtr="0">
                        <a:spAutoFit/>
                      </wps:bodyPr>
                    </wps:wsp>
                  </a:graphicData>
                </a:graphic>
              </wp:inline>
            </w:drawing>
          </mc:Choice>
          <mc:Fallback>
            <w:pict>
              <v:shape w14:anchorId="1F97A762" id="Text Box 20" o:spid="_x0000_s1028" type="#_x0000_t202" style="width:487.3pt;height:5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DpmHQIAABkEAAAOAAAAZHJzL2Uyb0RvYy54bWysU9tu2zAMfR+wfxD0vtgO0jQx4hRdsgwD&#10;ugvQ7QMYWY6FyaImKbG7rx8lp2nQvQ3Tg0CK0hF5eLi6GzrNTtJ5habixSTnTBqBtTKHiv/4vnu3&#10;4MwHMDVoNLLiT9Lzu/XbN6velnKKLepaOkYgxpe9rXgbgi2zzItWduAnaKWhYIOug0CuO2S1g57Q&#10;O51N83ye9ehq61BI7+l0Owb5OuE3jRTha9N4GZiuOOUW0u7Svo97tl5BeXBgWyXOacA/ZNGBMvTp&#10;BWoLAdjRqb+gOiUcemzCRGCXYdMoIVMNVE2Rv6rmsQUrUy1EjrcXmvz/gxVfTo/2m2NheI8DNTAV&#10;4e0Dip+eGdy0YA7y3jnsWwk1fVxEyrLe+vL8NFLtSx9B9v1nrKnJcAyYgIbGdZEVqpMROjXg6UK6&#10;HAITdDgvFovbgkKCYvNlvlikrmRQPr+2zoePEjsWjYo7ampCh9ODDzEbKJ+vxM88alXvlNbJiUKS&#10;G+3YCUgCIIQ0Yazh1U1tWE/lLfObPKEbjBhJHxF9C74dMWqyRt10KpB4teoqvsjjGo8jUx9MnZ4G&#10;UHq0KUttztRFtkbewrAfmKorPo1vI5N7rJ+IS4ejVmm2yGjR/easJ51W3P86gpOc6U+G+rEsZrMo&#10;7OTMbm6n5LjryP46AkYQVMUDZ6O5CWkYElX2nvq2U4nSl0zOKZP+EtPnWYkCv/bTrZeJXv8BAAD/&#10;/wMAUEsDBBQABgAIAAAAIQBBMcrY3gAAAAUBAAAPAAAAZHJzL2Rvd25yZXYueG1sTI/NTsMwEITv&#10;SLyDtUjcqM2PQhriVIACCIkiteTCzUmWJCVeR7HbhLdn4QKXkVYzmvk2Xc22FwccfedIw/lCgUCq&#10;XN1Ro6F4eziLQfhgqDa9I9TwhR5W2fFRapLaTbTBwzY0gkvIJ0ZDG8KQSOmrFq3xCzcgsffhRmsC&#10;n2Mj69FMXG57eaFUJK3piBdaM+B9i9Xndm81rJ+LYk1RmT+p3ev748tlvrubcq1PT+bbGxAB5/AX&#10;hh98RoeMmUq3p9qLXgM/En6VveX1VQSi5JCKY5BZKv/TZ98AAAD//wMAUEsBAi0AFAAGAAgAAAAh&#10;ALaDOJL+AAAA4QEAABMAAAAAAAAAAAAAAAAAAAAAAFtDb250ZW50X1R5cGVzXS54bWxQSwECLQAU&#10;AAYACAAAACEAOP0h/9YAAACUAQAACwAAAAAAAAAAAAAAAAAvAQAAX3JlbHMvLnJlbHNQSwECLQAU&#10;AAYACAAAACEA5rQ6Zh0CAAAZBAAADgAAAAAAAAAAAAAAAAAuAgAAZHJzL2Uyb0RvYy54bWxQSwEC&#10;LQAUAAYACAAAACEAQTHK2N4AAAAFAQAADwAAAAAAAAAAAAAAAAB3BAAAZHJzL2Rvd25yZXYueG1s&#10;UEsFBgAAAAAEAAQA8wAAAIIFAAAAAA==&#10;" fillcolor="#d04a02 [3204]" stroked="f" strokeweight="1.5pt">
                <v:stroke dashstyle="dash"/>
                <v:textbox style="mso-fit-shape-to-text:t">
                  <w:txbxContent>
                    <w:p w14:paraId="090F15AD" w14:textId="0FBE64AF" w:rsidR="005B0E50" w:rsidRPr="00F76F51" w:rsidRDefault="005B0E50" w:rsidP="005B0E50">
                      <w:pPr>
                        <w:rPr>
                          <w:color w:val="FFFFFF" w:themeColor="background1"/>
                          <w:szCs w:val="16"/>
                          <w:shd w:val="clear" w:color="auto" w:fill="D04A02" w:themeFill="accent1"/>
                        </w:rPr>
                      </w:pPr>
                      <w:r w:rsidRPr="00F76F51">
                        <w:rPr>
                          <w:color w:val="FFFFFF" w:themeColor="background1"/>
                          <w:szCs w:val="16"/>
                          <w:shd w:val="clear" w:color="auto" w:fill="D04A02" w:themeFill="accent1"/>
                        </w:rPr>
                        <w:t>Finding 3: Utilisation of IHC places has reduced since 2018, however, waitlists have increased. This is most likely due to a shortage of educators and other factors that make IHC less attractive to educators.</w:t>
                      </w:r>
                    </w:p>
                  </w:txbxContent>
                </v:textbox>
                <w10:anchorlock/>
              </v:shape>
            </w:pict>
          </mc:Fallback>
        </mc:AlternateContent>
      </w:r>
    </w:p>
    <w:p w14:paraId="19B4D50A" w14:textId="44D7569F" w:rsidR="00225AA3" w:rsidRPr="00BB2FC2" w:rsidRDefault="00225AA3" w:rsidP="00225AA3">
      <w:pPr>
        <w:pStyle w:val="DocBodyText"/>
      </w:pPr>
      <w:r w:rsidRPr="00BB2FC2">
        <w:t xml:space="preserve">Since the redesign of the program in 2018 the number of IHC places utilised has reduced from 59 per cent </w:t>
      </w:r>
      <w:r w:rsidR="00961DEC">
        <w:t>before</w:t>
      </w:r>
      <w:r w:rsidRPr="00BB2FC2">
        <w:t xml:space="preserve"> 2018 (</w:t>
      </w:r>
      <w:r w:rsidR="00FC191F" w:rsidRPr="00BB2FC2">
        <w:t xml:space="preserve">of </w:t>
      </w:r>
      <w:r w:rsidRPr="00BB2FC2">
        <w:t>3,000 places nationally) to 37 per cent in 2022 (</w:t>
      </w:r>
      <w:r w:rsidR="00FC191F" w:rsidRPr="00BB2FC2">
        <w:t xml:space="preserve">of </w:t>
      </w:r>
      <w:r w:rsidRPr="00BB2FC2">
        <w:t>3,200 places nationally). The number of IHC hours accessed across Australia has also decreased (</w:t>
      </w:r>
      <w:r w:rsidR="00961DEC">
        <w:t>eight</w:t>
      </w:r>
      <w:r w:rsidRPr="00BB2FC2">
        <w:t xml:space="preserve"> per cent from 2019 to 2022). This suggests the introduction of IHCSAs has been effective in appropriately assessing and enforcing eligibility requirements.</w:t>
      </w:r>
    </w:p>
    <w:p w14:paraId="495D8F8A" w14:textId="03820E49" w:rsidR="00225AA3" w:rsidRPr="00BB2FC2" w:rsidRDefault="00225AA3" w:rsidP="00225AA3">
      <w:pPr>
        <w:pStyle w:val="DocBodyText"/>
      </w:pPr>
      <w:r w:rsidRPr="00BB2FC2">
        <w:t>Of the IHC places currently utilised 43.8 per cent are families with complex and challenging needs, followed by 35.6 per cent by families that work non-standard or variable hours and 20.6 per cent by geographically isolated families.</w:t>
      </w:r>
    </w:p>
    <w:p w14:paraId="7A9BE3C6" w14:textId="13CD2AD7" w:rsidR="00225AA3" w:rsidRDefault="00225AA3" w:rsidP="00225AA3">
      <w:pPr>
        <w:pStyle w:val="DocBodyText"/>
        <w:rPr>
          <w:rFonts w:cstheme="minorHAnsi"/>
        </w:rPr>
      </w:pPr>
      <w:r w:rsidRPr="00BB2FC2">
        <w:t>While utilisation of places and hours of IHC has decreased between 2018 and 2022 t</w:t>
      </w:r>
      <w:r w:rsidRPr="00BB2FC2">
        <w:rPr>
          <w:rFonts w:cstheme="minorHAnsi"/>
        </w:rPr>
        <w:t xml:space="preserve">here has been a 43 per cent increase in waitlists during this period. It is </w:t>
      </w:r>
      <w:r w:rsidR="00536C87">
        <w:rPr>
          <w:rFonts w:cstheme="minorHAnsi"/>
        </w:rPr>
        <w:t>likely</w:t>
      </w:r>
      <w:r w:rsidRPr="00BB2FC2">
        <w:rPr>
          <w:rFonts w:cstheme="minorHAnsi"/>
        </w:rPr>
        <w:t xml:space="preserve"> that the increase </w:t>
      </w:r>
      <w:r w:rsidR="00536C87">
        <w:rPr>
          <w:rFonts w:cstheme="minorHAnsi"/>
        </w:rPr>
        <w:t>in families on the waitlist</w:t>
      </w:r>
      <w:r w:rsidRPr="00BB2FC2">
        <w:rPr>
          <w:rFonts w:cstheme="minorHAnsi"/>
        </w:rPr>
        <w:t xml:space="preserve"> is due to a shortage of IHC educators</w:t>
      </w:r>
      <w:r w:rsidRPr="00BB2FC2">
        <w:rPr>
          <w:rStyle w:val="FootnoteReference"/>
        </w:rPr>
        <w:footnoteReference w:id="5"/>
      </w:r>
      <w:r w:rsidRPr="00BB2FC2">
        <w:rPr>
          <w:rFonts w:cstheme="minorHAnsi"/>
        </w:rPr>
        <w:t>.</w:t>
      </w:r>
    </w:p>
    <w:p w14:paraId="62DE0583" w14:textId="1C53B719" w:rsidR="004B6E2A" w:rsidRDefault="009C2BA3" w:rsidP="00653686">
      <w:pPr>
        <w:pStyle w:val="DocBodyText"/>
      </w:pPr>
      <w:r>
        <w:rPr>
          <w:noProof/>
        </w:rPr>
        <mc:AlternateContent>
          <mc:Choice Requires="wps">
            <w:drawing>
              <wp:inline distT="0" distB="0" distL="0" distR="0" wp14:anchorId="19D0C817" wp14:editId="6254EAAF">
                <wp:extent cx="6188710" cy="544830"/>
                <wp:effectExtent l="0" t="0" r="2540" b="0"/>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710" cy="544830"/>
                        </a:xfrm>
                        <a:prstGeom prst="rect">
                          <a:avLst/>
                        </a:prstGeom>
                        <a:solidFill>
                          <a:schemeClr val="accent1"/>
                        </a:solidFill>
                        <a:ln w="19050">
                          <a:noFill/>
                          <a:prstDash val="dash"/>
                          <a:miter lim="800000"/>
                          <a:headEnd/>
                          <a:tailEnd/>
                        </a:ln>
                      </wps:spPr>
                      <wps:txbx>
                        <w:txbxContent>
                          <w:p w14:paraId="26D2974C" w14:textId="7464C15A" w:rsidR="009C2BA3" w:rsidRPr="00F76F51" w:rsidRDefault="009C2BA3" w:rsidP="009C2BA3">
                            <w:pPr>
                              <w:rPr>
                                <w:color w:val="FFFFFF" w:themeColor="background1"/>
                                <w:szCs w:val="16"/>
                                <w:shd w:val="clear" w:color="auto" w:fill="D04A02" w:themeFill="accent1"/>
                              </w:rPr>
                            </w:pPr>
                            <w:r w:rsidRPr="00F76F51">
                              <w:rPr>
                                <w:color w:val="FFFFFF" w:themeColor="background1"/>
                                <w:szCs w:val="16"/>
                                <w:shd w:val="clear" w:color="auto" w:fill="D04A02" w:themeFill="accent1"/>
                              </w:rPr>
                              <w:t>Finding 4: There is a shortage of educators available to provide IHC to geographically isolated families. To access educators these families incur significant, additional costs that are not covered under the CCS.</w:t>
                            </w:r>
                          </w:p>
                        </w:txbxContent>
                      </wps:txbx>
                      <wps:bodyPr rot="0" vert="horz" wrap="square" lIns="91440" tIns="45720" rIns="91440" bIns="45720" anchor="t" anchorCtr="0">
                        <a:spAutoFit/>
                      </wps:bodyPr>
                    </wps:wsp>
                  </a:graphicData>
                </a:graphic>
              </wp:inline>
            </w:drawing>
          </mc:Choice>
          <mc:Fallback>
            <w:pict>
              <v:shape w14:anchorId="19D0C817" id="Text Box 56" o:spid="_x0000_s1029" type="#_x0000_t202" style="width:487.3pt;height:4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g9HgIAABkEAAAOAAAAZHJzL2Uyb0RvYy54bWysU9tu2zAMfR+wfxD0vthOkzY14hRdsgwD&#10;ugvQ7QMYWY6FyaImKbG7rx8lp2nQvQ3Tg0CK0hF5eLi8GzrNjtJ5habixSTnTBqBtTL7iv/4vn23&#10;4MwHMDVoNLLiT9Lzu9XbN8velnKKLepaOkYgxpe9rXgbgi2zzItWduAnaKWhYIOug0Cu22e1g57Q&#10;O51N8/w669HV1qGQ3tPpZgzyVcJvGinC16bxMjBdccotpN2lfRf3bLWEcu/Atkqc0oB/yKIDZejT&#10;M9QGArCDU39BdUo49NiEicAuw6ZRQqYaqJoif1XNYwtWplqIHG/PNPn/Byu+HB/tN8fC8B4HamAq&#10;wtsHFD89M7huwezlvXPYtxJq+riIlGW99eXpaaTalz6C7PrPWFOT4RAwAQ2N6yIrVCcjdGrA05l0&#10;OQQm6PC6WCxuCgoJis1ns8VV6koG5fNr63z4KLFj0ai4o6YmdDg++BCzgfL5SvzMo1b1VmmdnCgk&#10;udaOHYEkAEJIE8YaXt3UhvVU3m0+zxO6wYiR9BHRN+DbEaMma9RNpwKJV6uu4os8rvE4MvXB1Olp&#10;AKVHm7LU5kRdZGvkLQy7gam64lfxbWRyh/UTcelw1CrNFhktut+c9aTTivtfB3CSM/3JUD9ui9ks&#10;Cjs5s/nNlBx3GdldRsAIgqp44Gw01yENQ6LK3lPftipR+pLJKWXSX2L6NCtR4Jd+uvUy0as/AAAA&#10;//8DAFBLAwQUAAYACAAAACEAhJpcqd0AAAAEAQAADwAAAGRycy9kb3ducmV2LnhtbEyPzU6EQBCE&#10;7ya+w6RNvLmDf4jIsFGDbkxcE1cu3gamBVamhzCzC769rRe9dFKpStXX2XK2vdjj6DtHCk4XEQik&#10;2pmOGgXl28NJAsIHTUb3jlDBF3pY5ocHmU6Nm+gV95vQCC4hn2oFbQhDKqWvW7TaL9yAxN6HG60O&#10;LMdGmlFPXG57eRZFsbS6I15o9YD3Ldafm51VsH4qyzXFVbGKti/vj8/nxfZuKpQ6Pppvb0AEnMNf&#10;GH7wGR1yZqrcjowXvQJ+JPxe9q6vLmIQlYLkMgGZZ/I/fP4NAAD//wMAUEsBAi0AFAAGAAgAAAAh&#10;ALaDOJL+AAAA4QEAABMAAAAAAAAAAAAAAAAAAAAAAFtDb250ZW50X1R5cGVzXS54bWxQSwECLQAU&#10;AAYACAAAACEAOP0h/9YAAACUAQAACwAAAAAAAAAAAAAAAAAvAQAAX3JlbHMvLnJlbHNQSwECLQAU&#10;AAYACAAAACEAAFDYPR4CAAAZBAAADgAAAAAAAAAAAAAAAAAuAgAAZHJzL2Uyb0RvYy54bWxQSwEC&#10;LQAUAAYACAAAACEAhJpcqd0AAAAEAQAADwAAAAAAAAAAAAAAAAB4BAAAZHJzL2Rvd25yZXYueG1s&#10;UEsFBgAAAAAEAAQA8wAAAIIFAAAAAA==&#10;" fillcolor="#d04a02 [3204]" stroked="f" strokeweight="1.5pt">
                <v:stroke dashstyle="dash"/>
                <v:textbox style="mso-fit-shape-to-text:t">
                  <w:txbxContent>
                    <w:p w14:paraId="26D2974C" w14:textId="7464C15A" w:rsidR="009C2BA3" w:rsidRPr="00F76F51" w:rsidRDefault="009C2BA3" w:rsidP="009C2BA3">
                      <w:pPr>
                        <w:rPr>
                          <w:color w:val="FFFFFF" w:themeColor="background1"/>
                          <w:szCs w:val="16"/>
                          <w:shd w:val="clear" w:color="auto" w:fill="D04A02" w:themeFill="accent1"/>
                        </w:rPr>
                      </w:pPr>
                      <w:r w:rsidRPr="00F76F51">
                        <w:rPr>
                          <w:color w:val="FFFFFF" w:themeColor="background1"/>
                          <w:szCs w:val="16"/>
                          <w:shd w:val="clear" w:color="auto" w:fill="D04A02" w:themeFill="accent1"/>
                        </w:rPr>
                        <w:t xml:space="preserve">Finding 4: There is a shortage of educators available to provide IHC to geographically isolated families. To access educators these </w:t>
                      </w:r>
                      <w:proofErr w:type="gramStart"/>
                      <w:r w:rsidRPr="00F76F51">
                        <w:rPr>
                          <w:color w:val="FFFFFF" w:themeColor="background1"/>
                          <w:szCs w:val="16"/>
                          <w:shd w:val="clear" w:color="auto" w:fill="D04A02" w:themeFill="accent1"/>
                        </w:rPr>
                        <w:t>families</w:t>
                      </w:r>
                      <w:proofErr w:type="gramEnd"/>
                      <w:r w:rsidRPr="00F76F51">
                        <w:rPr>
                          <w:color w:val="FFFFFF" w:themeColor="background1"/>
                          <w:szCs w:val="16"/>
                          <w:shd w:val="clear" w:color="auto" w:fill="D04A02" w:themeFill="accent1"/>
                        </w:rPr>
                        <w:t xml:space="preserve"> incur significant, additional costs that are not covered under the CCS.</w:t>
                      </w:r>
                    </w:p>
                  </w:txbxContent>
                </v:textbox>
                <w10:anchorlock/>
              </v:shape>
            </w:pict>
          </mc:Fallback>
        </mc:AlternateContent>
      </w:r>
    </w:p>
    <w:p w14:paraId="6798CD84" w14:textId="360B1980" w:rsidR="007D7BF5" w:rsidRPr="004B6E2A" w:rsidRDefault="00B100FD" w:rsidP="004B6E2A">
      <w:pPr>
        <w:pStyle w:val="DocBodyText"/>
        <w:rPr>
          <w:rFonts w:cstheme="minorHAnsi"/>
        </w:rPr>
      </w:pPr>
      <w:r w:rsidRPr="00BB2FC2">
        <w:t>Demand for IHC for geographically isolated families is trending up with</w:t>
      </w:r>
      <w:r>
        <w:t xml:space="preserve"> a 162 per cent increase in the number of </w:t>
      </w:r>
      <w:r w:rsidR="004501CA" w:rsidRPr="004501CA">
        <w:t xml:space="preserve">geographically isolated families </w:t>
      </w:r>
      <w:r>
        <w:t>accessing the program from July 2018 to December 2022</w:t>
      </w:r>
      <w:r>
        <w:rPr>
          <w:rStyle w:val="FootnoteReference"/>
        </w:rPr>
        <w:footnoteReference w:id="6"/>
      </w:r>
      <w:r w:rsidRPr="00D760BF">
        <w:t>.</w:t>
      </w:r>
      <w:r w:rsidR="00E64B86">
        <w:t xml:space="preserve"> </w:t>
      </w:r>
      <w:r w:rsidR="00536C87">
        <w:t>These f</w:t>
      </w:r>
      <w:r w:rsidR="00A31915" w:rsidRPr="00D760BF">
        <w:t>amilies tend to have limited changes to their circumstances and engage with the program for extended periods of time</w:t>
      </w:r>
      <w:r w:rsidR="00A31915">
        <w:t>, in the absence of there being other forms of ECEC available to them</w:t>
      </w:r>
      <w:r w:rsidR="00A31915">
        <w:rPr>
          <w:rStyle w:val="FootnoteReference"/>
        </w:rPr>
        <w:footnoteReference w:id="7"/>
      </w:r>
      <w:r w:rsidR="00A31915">
        <w:t>.</w:t>
      </w:r>
    </w:p>
    <w:p w14:paraId="67F5A724" w14:textId="77777777" w:rsidR="007D7BF5" w:rsidRDefault="0001579C" w:rsidP="00A31915">
      <w:pPr>
        <w:pStyle w:val="DocBodyText"/>
      </w:pPr>
      <w:r w:rsidRPr="00BB2FC2">
        <w:t xml:space="preserve">Families accessing IHC in regional and remote areas often face higher out-of-pocket fees with the average gap payment for a 4.2-hour session in Very Remote Australia being $49.00 per session and $42.04 per session for Remote Australia in 2022. </w:t>
      </w:r>
      <w:r w:rsidR="00536C87">
        <w:t>It is important to note that these out-of-pocket costs to a family</w:t>
      </w:r>
      <w:r w:rsidRPr="00BB2FC2">
        <w:t xml:space="preserve"> exclude</w:t>
      </w:r>
      <w:r w:rsidR="00536C87">
        <w:t xml:space="preserve"> the</w:t>
      </w:r>
      <w:r w:rsidRPr="00BB2FC2">
        <w:t xml:space="preserve"> additional costs </w:t>
      </w:r>
      <w:r w:rsidR="00536C87">
        <w:t xml:space="preserve">incurred by </w:t>
      </w:r>
      <w:r w:rsidRPr="00BB2FC2">
        <w:t xml:space="preserve">families in remote areas relating to transport, board, food and other ancillary costs to access an educator that are not reimbursed as part of the IHC program. </w:t>
      </w:r>
      <w:r w:rsidR="0004714F" w:rsidRPr="00BB2FC2">
        <w:t>This creates affordability challenges for families to utilise the program.</w:t>
      </w:r>
    </w:p>
    <w:p w14:paraId="3BDC2649" w14:textId="77777777" w:rsidR="007D7BF5" w:rsidRDefault="0004714F" w:rsidP="00714FC6">
      <w:pPr>
        <w:pStyle w:val="DocBodyText"/>
      </w:pPr>
      <w:r w:rsidRPr="00BB2FC2">
        <w:t>Despite already experiencing a shortage of educators in these regions, the current guidelines prohibit IHC educators from providing care for more than one family</w:t>
      </w:r>
      <w:r w:rsidR="00536C87">
        <w:t>. This requirement means that multiple families</w:t>
      </w:r>
      <w:r w:rsidRPr="00BB2FC2">
        <w:t xml:space="preserve"> </w:t>
      </w:r>
      <w:r w:rsidR="00536C87">
        <w:t>who live on a remote station are unable to ‘share’ an educator for their children.</w:t>
      </w:r>
    </w:p>
    <w:p w14:paraId="4450B25F" w14:textId="5619EE69" w:rsidR="009C2BA3" w:rsidRPr="00BB2FC2" w:rsidRDefault="009C2BA3" w:rsidP="00A31915">
      <w:pPr>
        <w:pStyle w:val="DocBodyText"/>
        <w:rPr>
          <w:color w:val="FF0000"/>
        </w:rPr>
      </w:pPr>
      <w:r>
        <w:rPr>
          <w:noProof/>
        </w:rPr>
        <mc:AlternateContent>
          <mc:Choice Requires="wps">
            <w:drawing>
              <wp:inline distT="0" distB="0" distL="0" distR="0" wp14:anchorId="4BDF4FEC" wp14:editId="4769FC3C">
                <wp:extent cx="6188710" cy="544830"/>
                <wp:effectExtent l="0" t="0" r="2540" b="6350"/>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710" cy="544830"/>
                        </a:xfrm>
                        <a:prstGeom prst="rect">
                          <a:avLst/>
                        </a:prstGeom>
                        <a:solidFill>
                          <a:schemeClr val="accent1"/>
                        </a:solidFill>
                        <a:ln w="19050">
                          <a:noFill/>
                          <a:prstDash val="dash"/>
                          <a:miter lim="800000"/>
                          <a:headEnd/>
                          <a:tailEnd/>
                        </a:ln>
                      </wps:spPr>
                      <wps:txbx>
                        <w:txbxContent>
                          <w:p w14:paraId="66D7BB54" w14:textId="0C1023E3" w:rsidR="009C2BA3" w:rsidRPr="00F76F51" w:rsidRDefault="009C2BA3" w:rsidP="009C2BA3">
                            <w:pPr>
                              <w:rPr>
                                <w:color w:val="FFFFFF" w:themeColor="background1"/>
                                <w:szCs w:val="16"/>
                                <w:shd w:val="clear" w:color="auto" w:fill="D04A02" w:themeFill="accent1"/>
                              </w:rPr>
                            </w:pPr>
                            <w:r w:rsidRPr="00F76F51">
                              <w:rPr>
                                <w:color w:val="FFFFFF" w:themeColor="background1"/>
                                <w:szCs w:val="16"/>
                                <w:shd w:val="clear" w:color="auto" w:fill="D04A02" w:themeFill="accent1"/>
                              </w:rPr>
                              <w:t>Finding 5: It is difficult to attract educators to provide IHC for families that work non-standard and variable hours due to the lack of set shifts, short notice and irregular hours.</w:t>
                            </w:r>
                          </w:p>
                        </w:txbxContent>
                      </wps:txbx>
                      <wps:bodyPr rot="0" vert="horz" wrap="square" lIns="91440" tIns="45720" rIns="91440" bIns="45720" anchor="t" anchorCtr="0">
                        <a:spAutoFit/>
                      </wps:bodyPr>
                    </wps:wsp>
                  </a:graphicData>
                </a:graphic>
              </wp:inline>
            </w:drawing>
          </mc:Choice>
          <mc:Fallback>
            <w:pict>
              <v:shape w14:anchorId="4BDF4FEC" id="Text Box 29" o:spid="_x0000_s1030" type="#_x0000_t202" style="width:487.3pt;height:4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UKTHgIAABkEAAAOAAAAZHJzL2Uyb0RvYy54bWysU9tu2zAMfR+wfxD0vtjJnDY14hRdsgwD&#10;ugvQ7QMYWY6FyaImKbG7ry8lp2nQvQ3Tg0CK0hF5eLi8HTrNjtJ5habi00nOmTQCa2X2Ff/5Y/tu&#10;wZkPYGrQaGTFH6Xnt6u3b5a9LeUMW9S1dIxAjC97W/E2BFtmmRet7MBP0EpDwQZdB4Fct89qBz2h&#10;dzqb5flV1qOrrUMhvafTzRjkq4TfNFKEb03jZWC64pRbSLtL+y7u2WoJ5d6BbZU4pQH/kEUHytCn&#10;Z6gNBGAHp/6C6pRw6LEJE4Fdhk2jhEw1UDXT/FU1Dy1YmWohcrw90+T/H6z4enyw3x0LwwccqIGp&#10;CG/vUfzyzOC6BbOXd85h30qo6eNppCzrrS9PTyPVvvQRZNd/wZqaDIeACWhoXBdZoToZoVMDHs+k&#10;yyEwQYdX08XiekohQbF5USzep65kUD6/ts6HTxI7Fo2KO2pqQofjvQ8xGyifr8TPPGpVb5XWyYlC&#10;kmvt2BFIAiCENGGs4dVNbVhP5d3k8zyhG4wYSR8RfQO+HTFqskbddCqQeLXqKr7I4xqPI1MfTZ2e&#10;BlB6tClLbU7URbZG3sKwG5iqK17Et5HJHdaPxKXDUas0W2S06P5w1pNOK+5/H8BJzvRnQ/24mRZF&#10;FHZyivn1jBx3GdldRsAIgqp44Gw01yENQ6LK3lHftipR+pLJKWXSX2L6NCtR4Jd+uvUy0asnAAAA&#10;//8DAFBLAwQUAAYACAAAACEAhJpcqd0AAAAEAQAADwAAAGRycy9kb3ducmV2LnhtbEyPzU6EQBCE&#10;7ya+w6RNvLmDf4jIsFGDbkxcE1cu3gamBVamhzCzC769rRe9dFKpStXX2XK2vdjj6DtHCk4XEQik&#10;2pmOGgXl28NJAsIHTUb3jlDBF3pY5ocHmU6Nm+gV95vQCC4hn2oFbQhDKqWvW7TaL9yAxN6HG60O&#10;LMdGmlFPXG57eRZFsbS6I15o9YD3Ldafm51VsH4qyzXFVbGKti/vj8/nxfZuKpQ6Pppvb0AEnMNf&#10;GH7wGR1yZqrcjowXvQJ+JPxe9q6vLmIQlYLkMgGZZ/I/fP4NAAD//wMAUEsBAi0AFAAGAAgAAAAh&#10;ALaDOJL+AAAA4QEAABMAAAAAAAAAAAAAAAAAAAAAAFtDb250ZW50X1R5cGVzXS54bWxQSwECLQAU&#10;AAYACAAAACEAOP0h/9YAAACUAQAACwAAAAAAAAAAAAAAAAAvAQAAX3JlbHMvLnJlbHNQSwECLQAU&#10;AAYACAAAACEA/V1Ckx4CAAAZBAAADgAAAAAAAAAAAAAAAAAuAgAAZHJzL2Uyb0RvYy54bWxQSwEC&#10;LQAUAAYACAAAACEAhJpcqd0AAAAEAQAADwAAAAAAAAAAAAAAAAB4BAAAZHJzL2Rvd25yZXYueG1s&#10;UEsFBgAAAAAEAAQA8wAAAIIFAAAAAA==&#10;" fillcolor="#d04a02 [3204]" stroked="f" strokeweight="1.5pt">
                <v:stroke dashstyle="dash"/>
                <v:textbox style="mso-fit-shape-to-text:t">
                  <w:txbxContent>
                    <w:p w14:paraId="66D7BB54" w14:textId="0C1023E3" w:rsidR="009C2BA3" w:rsidRPr="00F76F51" w:rsidRDefault="009C2BA3" w:rsidP="009C2BA3">
                      <w:pPr>
                        <w:rPr>
                          <w:color w:val="FFFFFF" w:themeColor="background1"/>
                          <w:szCs w:val="16"/>
                          <w:shd w:val="clear" w:color="auto" w:fill="D04A02" w:themeFill="accent1"/>
                        </w:rPr>
                      </w:pPr>
                      <w:r w:rsidRPr="00F76F51">
                        <w:rPr>
                          <w:color w:val="FFFFFF" w:themeColor="background1"/>
                          <w:szCs w:val="16"/>
                          <w:shd w:val="clear" w:color="auto" w:fill="D04A02" w:themeFill="accent1"/>
                        </w:rPr>
                        <w:t>Finding 5: It is difficult to attract educators to provide IHC for families that work non-standard and variable hours due to the lack of set shifts, short notice and irregular hours.</w:t>
                      </w:r>
                    </w:p>
                  </w:txbxContent>
                </v:textbox>
                <w10:anchorlock/>
              </v:shape>
            </w:pict>
          </mc:Fallback>
        </mc:AlternateContent>
      </w:r>
    </w:p>
    <w:p w14:paraId="44DB895E" w14:textId="163A2766" w:rsidR="004F54C9" w:rsidRDefault="00A31915" w:rsidP="00786063">
      <w:pPr>
        <w:pStyle w:val="DocBodyText"/>
      </w:pPr>
      <w:r w:rsidRPr="00BB2FC2">
        <w:t xml:space="preserve">Demand for IHC fluctuates based on the hours which a parent/carer may work. For example, front line staff such as nurses who do not have set shifts may have high demand, or no demand for the </w:t>
      </w:r>
      <w:r w:rsidR="00360C3C">
        <w:t xml:space="preserve">IHC </w:t>
      </w:r>
      <w:r w:rsidRPr="00BB2FC2">
        <w:t xml:space="preserve">program in any given week. This </w:t>
      </w:r>
      <w:r w:rsidR="003B73AA">
        <w:t>makes it unattractive for an educator</w:t>
      </w:r>
      <w:r w:rsidRPr="00BB2FC2">
        <w:t xml:space="preserve"> </w:t>
      </w:r>
      <w:r w:rsidR="00864F22">
        <w:t xml:space="preserve">as they do not have </w:t>
      </w:r>
      <w:r w:rsidR="00823E7D">
        <w:t>predictable or secure work</w:t>
      </w:r>
      <w:r w:rsidRPr="00BB2FC2">
        <w:t xml:space="preserve"> hours.</w:t>
      </w:r>
      <w:r w:rsidR="00823E7D" w:rsidDel="004F54C9">
        <w:t xml:space="preserve"> </w:t>
      </w:r>
      <w:r w:rsidR="00AD06DC">
        <w:t>Having s</w:t>
      </w:r>
      <w:r w:rsidR="009E0041" w:rsidRPr="009E0041">
        <w:t xml:space="preserve">ecure, predictable </w:t>
      </w:r>
      <w:r w:rsidR="0015490B">
        <w:t xml:space="preserve">work </w:t>
      </w:r>
      <w:r w:rsidR="009E0041" w:rsidRPr="009E0041">
        <w:t xml:space="preserve">is important for </w:t>
      </w:r>
      <w:r w:rsidR="00EB0CD3">
        <w:t xml:space="preserve">educators to </w:t>
      </w:r>
      <w:r w:rsidR="0050241A">
        <w:t xml:space="preserve">have </w:t>
      </w:r>
      <w:r w:rsidR="0088080D">
        <w:t xml:space="preserve">regular income, and for their own </w:t>
      </w:r>
      <w:r w:rsidR="009E0041" w:rsidRPr="009E0041">
        <w:t>wellbeing</w:t>
      </w:r>
      <w:r w:rsidR="0088080D">
        <w:t>.</w:t>
      </w:r>
    </w:p>
    <w:p w14:paraId="232FACDB" w14:textId="7E60371E" w:rsidR="00CF669C" w:rsidRDefault="00CF669C" w:rsidP="00786063">
      <w:pPr>
        <w:pStyle w:val="DocBodyText"/>
      </w:pPr>
      <w:r w:rsidRPr="00BB2FC2">
        <w:lastRenderedPageBreak/>
        <w:t>Families that engage IHC during non-standard hours incur additional penalty rates for their IHC educators.</w:t>
      </w:r>
      <w:r w:rsidR="00A03790" w:rsidRPr="00BB2FC2">
        <w:rPr>
          <w:rStyle w:val="FootnoteReference"/>
          <w:szCs w:val="18"/>
        </w:rPr>
        <w:footnoteReference w:id="8"/>
      </w:r>
      <w:r w:rsidRPr="00BB2FC2">
        <w:t xml:space="preserve"> Any income from working extra hours by these families may be offset by the increased out</w:t>
      </w:r>
      <w:r w:rsidR="008235AE" w:rsidRPr="00BB2FC2">
        <w:t>-</w:t>
      </w:r>
      <w:r w:rsidRPr="00BB2FC2">
        <w:t>of</w:t>
      </w:r>
      <w:r w:rsidR="008235AE" w:rsidRPr="00BB2FC2">
        <w:t>-</w:t>
      </w:r>
      <w:r w:rsidRPr="00BB2FC2">
        <w:t>pocket costs of engaging educators from IHC providers</w:t>
      </w:r>
      <w:r w:rsidR="00360C3C">
        <w:t xml:space="preserve"> at times that require penalty rates to be paid</w:t>
      </w:r>
      <w:r w:rsidRPr="00BB2FC2">
        <w:t>. While educators are eligible for these rates, there is still a considerable under-supply of these educators willing to work these non-standard hours.</w:t>
      </w:r>
    </w:p>
    <w:p w14:paraId="0D5DC95D" w14:textId="5C39B0CA" w:rsidR="009C2BA3" w:rsidRPr="00BB2FC2" w:rsidRDefault="009C2BA3" w:rsidP="00A31915">
      <w:pPr>
        <w:rPr>
          <w:sz w:val="22"/>
          <w:szCs w:val="18"/>
        </w:rPr>
      </w:pPr>
      <w:r>
        <w:rPr>
          <w:noProof/>
        </w:rPr>
        <mc:AlternateContent>
          <mc:Choice Requires="wps">
            <w:drawing>
              <wp:inline distT="0" distB="0" distL="0" distR="0" wp14:anchorId="2C400D80" wp14:editId="2CC287F5">
                <wp:extent cx="6188710" cy="544830"/>
                <wp:effectExtent l="0" t="0" r="2540" b="6350"/>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710" cy="544830"/>
                        </a:xfrm>
                        <a:prstGeom prst="rect">
                          <a:avLst/>
                        </a:prstGeom>
                        <a:solidFill>
                          <a:schemeClr val="accent1"/>
                        </a:solidFill>
                        <a:ln w="19050">
                          <a:noFill/>
                          <a:prstDash val="dash"/>
                          <a:miter lim="800000"/>
                          <a:headEnd/>
                          <a:tailEnd/>
                        </a:ln>
                      </wps:spPr>
                      <wps:txbx>
                        <w:txbxContent>
                          <w:p w14:paraId="6202A291" w14:textId="7D032CF9" w:rsidR="009C2BA3" w:rsidRPr="00F76F51" w:rsidRDefault="009C2BA3" w:rsidP="009C2BA3">
                            <w:pPr>
                              <w:rPr>
                                <w:color w:val="FFFFFF" w:themeColor="background1"/>
                                <w:szCs w:val="16"/>
                                <w:shd w:val="clear" w:color="auto" w:fill="D04A02" w:themeFill="accent1"/>
                              </w:rPr>
                            </w:pPr>
                            <w:r w:rsidRPr="00F76F51">
                              <w:rPr>
                                <w:color w:val="FFFFFF" w:themeColor="background1"/>
                                <w:szCs w:val="16"/>
                                <w:shd w:val="clear" w:color="auto" w:fill="D04A02" w:themeFill="accent1"/>
                              </w:rPr>
                              <w:t>Finding 6: There is a shortage of educators with the skills required to make the reasonable adjustments to meet the needs of families with complex and challenging needs.</w:t>
                            </w:r>
                          </w:p>
                        </w:txbxContent>
                      </wps:txbx>
                      <wps:bodyPr rot="0" vert="horz" wrap="square" lIns="91440" tIns="45720" rIns="91440" bIns="45720" anchor="t" anchorCtr="0">
                        <a:spAutoFit/>
                      </wps:bodyPr>
                    </wps:wsp>
                  </a:graphicData>
                </a:graphic>
              </wp:inline>
            </w:drawing>
          </mc:Choice>
          <mc:Fallback>
            <w:pict>
              <v:shape w14:anchorId="2C400D80" id="Text Box 33" o:spid="_x0000_s1031" type="#_x0000_t202" style="width:487.3pt;height:4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ixlHQIAABkEAAAOAAAAZHJzL2Uyb0RvYy54bWysU8tu2zAQvBfoPxC815JcO3EEy0Fq10WB&#10;9AGk/YA1RVlEKS5L0pbSr8+SchwjvRXVgdjlisOd2eHydug0O0rnFZqKF5OcM2kE1srsK/7zx/bd&#10;gjMfwNSg0ciKP0rPb1dv3yx7W8optqhr6RiBGF/2tuJtCLbMMi9a2YGfoJWGig26DgKlbp/VDnpC&#10;73Q2zfOrrEdXW4dCek+7m7HIVwm/aaQI35rGy8B0xam3kFaX1l1cs9USyr0D2ypxagP+oYsOlKFL&#10;z1AbCMAOTv0F1Snh0GMTJgK7DJtGCZk4EJsif8XmoQUrExcSx9uzTP7/wYqvxwf73bEwfMCBBphI&#10;eHuP4pdnBtctmL28cw77VkJNFxdRsqy3vjwdjVL70keQXf8FaxoyHAImoKFxXVSFeDJCpwE8nkWX&#10;Q2CCNq+KxeK6oJKg2nw2W7xPU8mgfD5tnQ+fJHYsBhV3NNSEDsd7H2I3UD7/Ei/zqFW9VVqnJBpJ&#10;rrVjRyALgBDShJHDqz+1YT3Ru8nneUI3GDGSPyL6Bnw7YtQUjb7pVCDzatVVfJHHb9yOSn00dToa&#10;QOkxpi61OUkX1Rp1C8NuYKom5vFsVHKH9SNp6XD0Kr0tClp0fzjryacV978P4CRn+rOhedwUs1k0&#10;dkpm8+spJe6ysrusgBEEVfHA2RiuQ3oMSSp7R3PbqiTpSyenlsl/SenTW4kGv8zTXy8vevUEAAD/&#10;/wMAUEsDBBQABgAIAAAAIQCEmlyp3QAAAAQBAAAPAAAAZHJzL2Rvd25yZXYueG1sTI/NToRAEITv&#10;Jr7DpE28uYN/iMiwUYNuTFwTVy7eBqYFVqaHMLMLvr2tF710UqlK1dfZcra92OPoO0cKThcRCKTa&#10;mY4aBeXbw0kCwgdNRveOUMEXeljmhweZTo2b6BX3m9AILiGfagVtCEMqpa9btNov3IDE3ocbrQ4s&#10;x0aaUU9cbnt5FkWxtLojXmj1gPct1p+bnVWwfirLNcVVsYq2L++Pz+fF9m4qlDo+mm9vQAScw18Y&#10;fvAZHXJmqtyOjBe9An4k/F72rq8uYhCVguQyAZln8j98/g0AAP//AwBQSwECLQAUAAYACAAAACEA&#10;toM4kv4AAADhAQAAEwAAAAAAAAAAAAAAAAAAAAAAW0NvbnRlbnRfVHlwZXNdLnhtbFBLAQItABQA&#10;BgAIAAAAIQA4/SH/1gAAAJQBAAALAAAAAAAAAAAAAAAAAC8BAABfcmVscy8ucmVsc1BLAQItABQA&#10;BgAIAAAAIQAv6ixlHQIAABkEAAAOAAAAAAAAAAAAAAAAAC4CAABkcnMvZTJvRG9jLnhtbFBLAQIt&#10;ABQABgAIAAAAIQCEmlyp3QAAAAQBAAAPAAAAAAAAAAAAAAAAAHcEAABkcnMvZG93bnJldi54bWxQ&#10;SwUGAAAAAAQABADzAAAAgQUAAAAA&#10;" fillcolor="#d04a02 [3204]" stroked="f" strokeweight="1.5pt">
                <v:stroke dashstyle="dash"/>
                <v:textbox style="mso-fit-shape-to-text:t">
                  <w:txbxContent>
                    <w:p w14:paraId="6202A291" w14:textId="7D032CF9" w:rsidR="009C2BA3" w:rsidRPr="00F76F51" w:rsidRDefault="009C2BA3" w:rsidP="009C2BA3">
                      <w:pPr>
                        <w:rPr>
                          <w:color w:val="FFFFFF" w:themeColor="background1"/>
                          <w:szCs w:val="16"/>
                          <w:shd w:val="clear" w:color="auto" w:fill="D04A02" w:themeFill="accent1"/>
                        </w:rPr>
                      </w:pPr>
                      <w:r w:rsidRPr="00F76F51">
                        <w:rPr>
                          <w:color w:val="FFFFFF" w:themeColor="background1"/>
                          <w:szCs w:val="16"/>
                          <w:shd w:val="clear" w:color="auto" w:fill="D04A02" w:themeFill="accent1"/>
                        </w:rPr>
                        <w:t>Finding 6: There is a shortage of educators with the skills required to make the reasonable adjustments to meet the needs of families with complex and challenging needs.</w:t>
                      </w:r>
                    </w:p>
                  </w:txbxContent>
                </v:textbox>
                <w10:anchorlock/>
              </v:shape>
            </w:pict>
          </mc:Fallback>
        </mc:AlternateContent>
      </w:r>
    </w:p>
    <w:p w14:paraId="395B856A" w14:textId="000CE3E1" w:rsidR="00FC1538" w:rsidRPr="00BB2FC2" w:rsidRDefault="00F71748" w:rsidP="00995C20">
      <w:pPr>
        <w:pStyle w:val="DocBodyText"/>
      </w:pPr>
      <w:r w:rsidRPr="00BB2FC2">
        <w:t xml:space="preserve">Families with complex and challenging needs are the highest </w:t>
      </w:r>
      <w:r w:rsidR="00F73B7E" w:rsidRPr="00BB2FC2">
        <w:t xml:space="preserve">users </w:t>
      </w:r>
      <w:r w:rsidRPr="00BB2FC2">
        <w:t>of the IHC program repres</w:t>
      </w:r>
      <w:r w:rsidR="00F73B7E" w:rsidRPr="00BB2FC2">
        <w:t xml:space="preserve">enting </w:t>
      </w:r>
      <w:r w:rsidR="00260C66" w:rsidRPr="00BB2FC2">
        <w:t>43.8</w:t>
      </w:r>
      <w:r w:rsidR="00F73B7E" w:rsidRPr="00BB2FC2">
        <w:t xml:space="preserve"> per cent of </w:t>
      </w:r>
      <w:r w:rsidR="00FD25DF" w:rsidRPr="00BB2FC2">
        <w:t xml:space="preserve">places </w:t>
      </w:r>
      <w:r w:rsidR="00F73B7E" w:rsidRPr="00BB2FC2">
        <w:t>utilis</w:t>
      </w:r>
      <w:r w:rsidR="00FD25DF" w:rsidRPr="00BB2FC2">
        <w:t>ed</w:t>
      </w:r>
      <w:r w:rsidR="00F73B7E" w:rsidRPr="00BB2FC2">
        <w:t xml:space="preserve">. </w:t>
      </w:r>
      <w:r w:rsidR="008C5AA4" w:rsidRPr="00FD3EB7">
        <w:t>This cohort includes families who have family members (including the children) with additional needs or a disability whose ECEC requirements cannot be catered for in another approved ECEC setting, or through other government funded or community-based services. This may also include other complex family situations which may prevent families accessing mainstream ECEC, such as serious illness or other family breakdowns.</w:t>
      </w:r>
      <w:r w:rsidR="008C5AA4">
        <w:t xml:space="preserve"> </w:t>
      </w:r>
      <w:r w:rsidR="00260C66" w:rsidRPr="00BB2FC2">
        <w:t>Between 2018 a</w:t>
      </w:r>
      <w:r w:rsidR="00AB28CD" w:rsidRPr="00BB2FC2">
        <w:t>n</w:t>
      </w:r>
      <w:r w:rsidR="00260C66" w:rsidRPr="00BB2FC2">
        <w:t xml:space="preserve">d 2022 there has </w:t>
      </w:r>
      <w:r w:rsidR="00AD06DA" w:rsidRPr="00BB2FC2">
        <w:t xml:space="preserve">also </w:t>
      </w:r>
      <w:r w:rsidR="00594D19" w:rsidRPr="00BB2FC2">
        <w:t xml:space="preserve">been a 25 per cent growth in waitlists for </w:t>
      </w:r>
      <w:r w:rsidR="00B455E7" w:rsidRPr="00BB2FC2">
        <w:t xml:space="preserve">these </w:t>
      </w:r>
      <w:r w:rsidR="00594D19" w:rsidRPr="00BB2FC2">
        <w:t xml:space="preserve">families </w:t>
      </w:r>
      <w:r w:rsidR="00B455E7" w:rsidRPr="00BB2FC2">
        <w:t>to access IHC.</w:t>
      </w:r>
    </w:p>
    <w:p w14:paraId="31AEC442" w14:textId="24175374" w:rsidR="00573CA6" w:rsidRPr="00BB2FC2" w:rsidRDefault="00B455E7" w:rsidP="00995C20">
      <w:pPr>
        <w:pStyle w:val="DocBodyText"/>
      </w:pPr>
      <w:r w:rsidRPr="00BB2FC2">
        <w:t xml:space="preserve">Where families are unable to access IHC the main impediment to this is </w:t>
      </w:r>
      <w:r w:rsidR="00360C3C">
        <w:t xml:space="preserve">reported to be </w:t>
      </w:r>
      <w:r w:rsidRPr="00BB2FC2">
        <w:t xml:space="preserve">the lack of educators with skills to </w:t>
      </w:r>
      <w:r w:rsidR="002401CA" w:rsidRPr="00BB2FC2">
        <w:t xml:space="preserve">make reasonable adjustments </w:t>
      </w:r>
      <w:r w:rsidR="006E1FD5" w:rsidRPr="00BB2FC2">
        <w:t xml:space="preserve">required </w:t>
      </w:r>
      <w:r w:rsidRPr="00BB2FC2">
        <w:t>meets the specific needs of these children</w:t>
      </w:r>
      <w:r w:rsidR="00360C3C">
        <w:t xml:space="preserve"> and families</w:t>
      </w:r>
      <w:r w:rsidRPr="00BB2FC2">
        <w:t xml:space="preserve">. </w:t>
      </w:r>
      <w:r w:rsidR="000F79BE" w:rsidRPr="00BB2FC2">
        <w:t>This include</w:t>
      </w:r>
      <w:r w:rsidR="006E1FD5" w:rsidRPr="00BB2FC2">
        <w:t>s</w:t>
      </w:r>
      <w:r w:rsidR="000F79BE" w:rsidRPr="00BB2FC2">
        <w:t xml:space="preserve"> knowing how to recognise and manage behaviours associated with disability and developmental delay, or to provide physical care supports (e.g. administration of medication</w:t>
      </w:r>
      <w:r w:rsidR="00091B43" w:rsidRPr="00BB2FC2">
        <w:t xml:space="preserve"> or </w:t>
      </w:r>
      <w:r w:rsidR="000F79BE" w:rsidRPr="00BB2FC2">
        <w:t>PEG feeding) during the time they are providing ECEC to the children.</w:t>
      </w:r>
    </w:p>
    <w:p w14:paraId="5A02315B" w14:textId="77777777" w:rsidR="007D7BF5" w:rsidRDefault="00B455E7" w:rsidP="00995C20">
      <w:pPr>
        <w:pStyle w:val="DocBodyText"/>
      </w:pPr>
      <w:r w:rsidRPr="00BB2FC2">
        <w:t xml:space="preserve">While some IHC providers have indicated they can recruit educators with specialist skills this is not the norm. </w:t>
      </w:r>
      <w:r w:rsidR="00573CA6" w:rsidRPr="00BB2FC2">
        <w:t>Families that can access educators with experience in areas such as behavioural issues or other disability specific adjustments can pay a premium</w:t>
      </w:r>
      <w:r w:rsidR="00360C3C">
        <w:t xml:space="preserve"> for these educators</w:t>
      </w:r>
      <w:r w:rsidR="00573CA6" w:rsidRPr="00BB2FC2">
        <w:t xml:space="preserve">, further increasing </w:t>
      </w:r>
      <w:r w:rsidR="00360C3C">
        <w:t xml:space="preserve">the out-of-pocket </w:t>
      </w:r>
      <w:r w:rsidR="00573CA6" w:rsidRPr="00BB2FC2">
        <w:t>cost</w:t>
      </w:r>
      <w:r w:rsidR="00EC5EDE" w:rsidRPr="00BB2FC2">
        <w:t>s</w:t>
      </w:r>
      <w:r w:rsidR="00573CA6" w:rsidRPr="00BB2FC2">
        <w:t xml:space="preserve"> to famil</w:t>
      </w:r>
      <w:r w:rsidR="00EC5EDE" w:rsidRPr="00BB2FC2">
        <w:t>ies</w:t>
      </w:r>
      <w:r w:rsidR="00573CA6" w:rsidRPr="00BB2FC2">
        <w:t>.</w:t>
      </w:r>
    </w:p>
    <w:p w14:paraId="0C880ED6" w14:textId="07B586D4" w:rsidR="009C2BA3" w:rsidRPr="00BB2FC2" w:rsidRDefault="009C2BA3">
      <w:pPr>
        <w:pStyle w:val="PwCNormal"/>
        <w:numPr>
          <w:ilvl w:val="0"/>
          <w:numId w:val="2"/>
        </w:numPr>
        <w:spacing w:line="281" w:lineRule="auto"/>
        <w:rPr>
          <w:sz w:val="22"/>
          <w:szCs w:val="22"/>
        </w:rPr>
      </w:pPr>
      <w:r>
        <w:rPr>
          <w:noProof/>
        </w:rPr>
        <mc:AlternateContent>
          <mc:Choice Requires="wps">
            <w:drawing>
              <wp:inline distT="0" distB="0" distL="0" distR="0" wp14:anchorId="37FCD3BA" wp14:editId="15D62F16">
                <wp:extent cx="6188710" cy="544830"/>
                <wp:effectExtent l="0" t="0" r="2540" b="6350"/>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710" cy="544830"/>
                        </a:xfrm>
                        <a:prstGeom prst="rect">
                          <a:avLst/>
                        </a:prstGeom>
                        <a:solidFill>
                          <a:schemeClr val="accent1"/>
                        </a:solidFill>
                        <a:ln w="19050">
                          <a:noFill/>
                          <a:prstDash val="dash"/>
                          <a:miter lim="800000"/>
                          <a:headEnd/>
                          <a:tailEnd/>
                        </a:ln>
                      </wps:spPr>
                      <wps:txbx>
                        <w:txbxContent>
                          <w:p w14:paraId="46DB1E01" w14:textId="2BB735B7" w:rsidR="009C2BA3" w:rsidRPr="00F76F51" w:rsidRDefault="009C2BA3" w:rsidP="009C2BA3">
                            <w:pPr>
                              <w:rPr>
                                <w:color w:val="FFFFFF" w:themeColor="background1"/>
                                <w:szCs w:val="16"/>
                                <w:shd w:val="clear" w:color="auto" w:fill="D04A02" w:themeFill="accent1"/>
                              </w:rPr>
                            </w:pPr>
                            <w:r w:rsidRPr="00F76F51">
                              <w:rPr>
                                <w:color w:val="FFFFFF" w:themeColor="background1"/>
                                <w:szCs w:val="16"/>
                                <w:shd w:val="clear" w:color="auto" w:fill="D04A02" w:themeFill="accent1"/>
                              </w:rPr>
                              <w:t>Finding 7: The IHC program could be better tailored to meet the needs of the three very different cohorts of families it is designed for.</w:t>
                            </w:r>
                          </w:p>
                        </w:txbxContent>
                      </wps:txbx>
                      <wps:bodyPr rot="0" vert="horz" wrap="square" lIns="91440" tIns="45720" rIns="91440" bIns="45720" anchor="t" anchorCtr="0">
                        <a:spAutoFit/>
                      </wps:bodyPr>
                    </wps:wsp>
                  </a:graphicData>
                </a:graphic>
              </wp:inline>
            </w:drawing>
          </mc:Choice>
          <mc:Fallback>
            <w:pict>
              <v:shape w14:anchorId="37FCD3BA" id="Text Box 55" o:spid="_x0000_s1032" type="#_x0000_t202" style="width:487.3pt;height:4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6kHQIAABkEAAAOAAAAZHJzL2Uyb0RvYy54bWysU9tu2zAMfR+wfxD0vtjOkjY14hRdsgwD&#10;ugvQ7QMYWY6FyaImKbG7ry8lp2nQvQ3Tg0CK0hF5eLi8HTrNjtJ5habixSTnTBqBtTL7iv/8sX23&#10;4MwHMDVoNLLij9Lz29XbN8velnKKLepaOkYgxpe9rXgbgi2zzItWduAnaKWhYIOug0Cu22e1g57Q&#10;O51N8/wq69HV1qGQ3tPpZgzyVcJvGinCt6bxMjBdccotpN2lfRf3bLWEcu/Atkqc0oB/yKIDZejT&#10;M9QGArCDU39BdUo49NiEicAuw6ZRQqYaqJoif1XNQwtWplqIHG/PNPn/Byu+Hh/sd8fC8AEHamAq&#10;wtt7FL88M7huwezlnXPYtxJq+riIlGW99eXpaaTalz6C7PovWFOT4RAwAQ2N6yIrVCcjdGrA45l0&#10;OQQm6PCqWCyuCwoJis1ns8X71JUMyufX1vnwSWLHolFxR01N6HC89yFmA+XzlfiZR63qrdI6OVFI&#10;cq0dOwJJAISQJow1vLqpDeupvJt8nid0gxEj6SOib8C3I0ZN1qibTgUSr1ZdxRd5XONxZOqjqdPT&#10;AEqPNmWpzYm6yNbIWxh2A1M10RDfRiZ3WD8Slw5HrdJskdGi+8NZTzqtuP99ACc5058N9eOmmM2i&#10;sJMzm19PyXGXkd1lBIwgqIoHzkZzHdIwJKrsHfVtqxKlL5mcUib9JaZPsxIFfumnWy8TvXoCAAD/&#10;/wMAUEsDBBQABgAIAAAAIQCEmlyp3QAAAAQBAAAPAAAAZHJzL2Rvd25yZXYueG1sTI/NToRAEITv&#10;Jr7DpE28uYN/iMiwUYNuTFwTVy7eBqYFVqaHMLMLvr2tF710UqlK1dfZcra92OPoO0cKThcRCKTa&#10;mY4aBeXbw0kCwgdNRveOUMEXeljmhweZTo2b6BX3m9AILiGfagVtCEMqpa9btNov3IDE3ocbrQ4s&#10;x0aaUU9cbnt5FkWxtLojXmj1gPct1p+bnVWwfirLNcVVsYq2L++Pz+fF9m4qlDo+mm9vQAScw18Y&#10;fvAZHXJmqtyOjBe9An4k/F72rq8uYhCVguQyAZln8j98/g0AAP//AwBQSwECLQAUAAYACAAAACEA&#10;toM4kv4AAADhAQAAEwAAAAAAAAAAAAAAAAAAAAAAW0NvbnRlbnRfVHlwZXNdLnhtbFBLAQItABQA&#10;BgAIAAAAIQA4/SH/1gAAAJQBAAALAAAAAAAAAAAAAAAAAC8BAABfcmVscy8ucmVsc1BLAQItABQA&#10;BgAIAAAAIQAYNO6kHQIAABkEAAAOAAAAAAAAAAAAAAAAAC4CAABkcnMvZTJvRG9jLnhtbFBLAQIt&#10;ABQABgAIAAAAIQCEmlyp3QAAAAQBAAAPAAAAAAAAAAAAAAAAAHcEAABkcnMvZG93bnJldi54bWxQ&#10;SwUGAAAAAAQABADzAAAAgQUAAAAA&#10;" fillcolor="#d04a02 [3204]" stroked="f" strokeweight="1.5pt">
                <v:stroke dashstyle="dash"/>
                <v:textbox style="mso-fit-shape-to-text:t">
                  <w:txbxContent>
                    <w:p w14:paraId="46DB1E01" w14:textId="2BB735B7" w:rsidR="009C2BA3" w:rsidRPr="00F76F51" w:rsidRDefault="009C2BA3" w:rsidP="009C2BA3">
                      <w:pPr>
                        <w:rPr>
                          <w:color w:val="FFFFFF" w:themeColor="background1"/>
                          <w:szCs w:val="16"/>
                          <w:shd w:val="clear" w:color="auto" w:fill="D04A02" w:themeFill="accent1"/>
                        </w:rPr>
                      </w:pPr>
                      <w:r w:rsidRPr="00F76F51">
                        <w:rPr>
                          <w:color w:val="FFFFFF" w:themeColor="background1"/>
                          <w:szCs w:val="16"/>
                          <w:shd w:val="clear" w:color="auto" w:fill="D04A02" w:themeFill="accent1"/>
                        </w:rPr>
                        <w:t>Finding 7: The IHC program could be better tailored to meet the needs of the three very different cohorts of families it is designed for.</w:t>
                      </w:r>
                    </w:p>
                  </w:txbxContent>
                </v:textbox>
                <w10:anchorlock/>
              </v:shape>
            </w:pict>
          </mc:Fallback>
        </mc:AlternateContent>
      </w:r>
    </w:p>
    <w:p w14:paraId="3BD3C5F3" w14:textId="77777777" w:rsidR="007D7BF5" w:rsidRDefault="00D95B1E" w:rsidP="0028729B">
      <w:pPr>
        <w:pStyle w:val="DocBodyText"/>
      </w:pPr>
      <w:r w:rsidRPr="00BB2FC2">
        <w:t>T</w:t>
      </w:r>
      <w:r w:rsidR="00BE033B" w:rsidRPr="00BB2FC2">
        <w:t xml:space="preserve">he </w:t>
      </w:r>
      <w:r w:rsidR="0006368B" w:rsidRPr="00BB2FC2">
        <w:t xml:space="preserve">current </w:t>
      </w:r>
      <w:r w:rsidR="00A31915" w:rsidRPr="00BB2FC2">
        <w:t xml:space="preserve">IHC </w:t>
      </w:r>
      <w:r w:rsidR="00BE033B" w:rsidRPr="00BB2FC2">
        <w:t xml:space="preserve">program </w:t>
      </w:r>
      <w:r w:rsidR="00DE66D5" w:rsidRPr="00BB2FC2">
        <w:t xml:space="preserve">applies a single, consistent approach to </w:t>
      </w:r>
      <w:r w:rsidR="00F77667">
        <w:t>eligibility, funding and service delivery</w:t>
      </w:r>
      <w:r w:rsidR="00DE66D5" w:rsidRPr="00BB2FC2">
        <w:t xml:space="preserve"> to families whether they are </w:t>
      </w:r>
      <w:r w:rsidR="00761A07" w:rsidRPr="00BB2FC2">
        <w:t>geographically isolated, work non-standard or variable hours, or are families with complex and challenging needs</w:t>
      </w:r>
      <w:r w:rsidR="00663F65" w:rsidRPr="00BB2FC2">
        <w:t xml:space="preserve">. </w:t>
      </w:r>
      <w:r w:rsidR="00C65ADD" w:rsidRPr="00BB2FC2">
        <w:t xml:space="preserve">While this may </w:t>
      </w:r>
      <w:r w:rsidR="00E02FFE" w:rsidRPr="00BB2FC2">
        <w:t xml:space="preserve">support </w:t>
      </w:r>
      <w:r w:rsidR="00551C48" w:rsidRPr="00BB2FC2">
        <w:t>equality</w:t>
      </w:r>
      <w:r w:rsidR="00F77667">
        <w:t xml:space="preserve"> across families in how the program treats them</w:t>
      </w:r>
      <w:r w:rsidR="00551C48" w:rsidRPr="00BB2FC2">
        <w:t xml:space="preserve">, </w:t>
      </w:r>
      <w:r w:rsidR="00830043" w:rsidRPr="00BB2FC2">
        <w:t xml:space="preserve">to </w:t>
      </w:r>
      <w:r w:rsidR="00853238" w:rsidRPr="00BB2FC2">
        <w:t>further improve</w:t>
      </w:r>
      <w:r w:rsidR="00830043" w:rsidRPr="00BB2FC2">
        <w:t xml:space="preserve"> equity, t</w:t>
      </w:r>
      <w:r w:rsidR="00445E95" w:rsidRPr="00BB2FC2">
        <w:t>h</w:t>
      </w:r>
      <w:r w:rsidR="00C65ADD" w:rsidRPr="00BB2FC2">
        <w:t xml:space="preserve">e program </w:t>
      </w:r>
      <w:r w:rsidR="00830043" w:rsidRPr="00BB2FC2">
        <w:t xml:space="preserve">could be better </w:t>
      </w:r>
      <w:r w:rsidR="00B833E3" w:rsidRPr="00BB2FC2">
        <w:t xml:space="preserve">tailored to meet the </w:t>
      </w:r>
      <w:r w:rsidR="00E853B5" w:rsidRPr="00BB2FC2">
        <w:t xml:space="preserve">very different and specific </w:t>
      </w:r>
      <w:r w:rsidR="00B833E3" w:rsidRPr="00BB2FC2">
        <w:t xml:space="preserve">needs </w:t>
      </w:r>
      <w:r w:rsidRPr="00BB2FC2">
        <w:t xml:space="preserve">unique to each of these </w:t>
      </w:r>
      <w:r w:rsidR="00B833E3" w:rsidRPr="00BB2FC2">
        <w:t xml:space="preserve">three </w:t>
      </w:r>
      <w:r w:rsidR="006750B6" w:rsidRPr="00BB2FC2">
        <w:t>cohorts of families.</w:t>
      </w:r>
    </w:p>
    <w:p w14:paraId="4BF42280" w14:textId="212C4EB2" w:rsidR="00520408" w:rsidRPr="00BB2FC2" w:rsidRDefault="00D0191D" w:rsidP="0028729B">
      <w:pPr>
        <w:pStyle w:val="DocBodyText"/>
      </w:pPr>
      <w:r w:rsidRPr="00BB2FC2">
        <w:t xml:space="preserve">For all three </w:t>
      </w:r>
      <w:r w:rsidR="00FC5C47" w:rsidRPr="00DE6D64">
        <w:t>cohorts</w:t>
      </w:r>
      <w:r w:rsidR="00520408" w:rsidRPr="00BB2FC2">
        <w:t xml:space="preserve"> of families </w:t>
      </w:r>
      <w:r w:rsidRPr="00BB2FC2">
        <w:t xml:space="preserve">the </w:t>
      </w:r>
      <w:r w:rsidR="00E10F2E" w:rsidRPr="00BB2FC2">
        <w:t xml:space="preserve">key </w:t>
      </w:r>
      <w:r w:rsidRPr="00BB2FC2">
        <w:t xml:space="preserve">barriers to access </w:t>
      </w:r>
      <w:r w:rsidR="00F77667">
        <w:t>the program</w:t>
      </w:r>
      <w:r w:rsidRPr="00BB2FC2">
        <w:t xml:space="preserve"> are</w:t>
      </w:r>
      <w:r w:rsidR="009A46A8" w:rsidRPr="00BB2FC2">
        <w:t xml:space="preserve"> workforce shortages and affordability, though the </w:t>
      </w:r>
      <w:r w:rsidR="00E10F2E" w:rsidRPr="00BB2FC2">
        <w:t xml:space="preserve">main </w:t>
      </w:r>
      <w:r w:rsidR="009A46A8" w:rsidRPr="00BB2FC2">
        <w:t>drivers of th</w:t>
      </w:r>
      <w:r w:rsidR="00F77667">
        <w:t>ese</w:t>
      </w:r>
      <w:r w:rsidR="009A46A8" w:rsidRPr="00BB2FC2">
        <w:t xml:space="preserve"> </w:t>
      </w:r>
      <w:r w:rsidR="00520408" w:rsidRPr="00BB2FC2">
        <w:t>differ</w:t>
      </w:r>
      <w:r w:rsidR="00E10F2E" w:rsidRPr="00BB2FC2">
        <w:t xml:space="preserve"> for each cohort</w:t>
      </w:r>
      <w:r w:rsidR="00520408" w:rsidRPr="00BB2FC2">
        <w:t>.</w:t>
      </w:r>
      <w:r w:rsidR="00892FB0" w:rsidRPr="00BB2FC2">
        <w:t xml:space="preserve"> </w:t>
      </w:r>
      <w:r w:rsidR="00847E86" w:rsidRPr="00BB2FC2">
        <w:t>While f</w:t>
      </w:r>
      <w:r w:rsidR="00892FB0" w:rsidRPr="00BB2FC2">
        <w:t xml:space="preserve">amilies that are geographically isolated experience a shortage of educators </w:t>
      </w:r>
      <w:r w:rsidR="00B7654A" w:rsidRPr="00BB2FC2">
        <w:t>caused by the tyranny of distance</w:t>
      </w:r>
      <w:r w:rsidR="00847E86" w:rsidRPr="00BB2FC2">
        <w:t>, f</w:t>
      </w:r>
      <w:r w:rsidR="00C60DBE" w:rsidRPr="00BB2FC2">
        <w:t xml:space="preserve">amilies that work non-standard or variable hours </w:t>
      </w:r>
      <w:r w:rsidR="00394A9E" w:rsidRPr="00BB2FC2">
        <w:t xml:space="preserve">have difficulty attracting educators </w:t>
      </w:r>
      <w:r w:rsidR="00F22B69" w:rsidRPr="00BB2FC2">
        <w:t xml:space="preserve">willing </w:t>
      </w:r>
      <w:r w:rsidR="00394A9E" w:rsidRPr="00BB2FC2">
        <w:t>to work irregular hours</w:t>
      </w:r>
      <w:r w:rsidR="000D6D44" w:rsidRPr="00BB2FC2">
        <w:t xml:space="preserve">, </w:t>
      </w:r>
      <w:r w:rsidR="00F22B69" w:rsidRPr="00BB2FC2">
        <w:t xml:space="preserve">and </w:t>
      </w:r>
      <w:r w:rsidR="000D6D44" w:rsidRPr="00BB2FC2">
        <w:t xml:space="preserve">at short notice. Families with complex and challenging needs </w:t>
      </w:r>
      <w:r w:rsidR="006D1993" w:rsidRPr="00BB2FC2">
        <w:t xml:space="preserve">are unable to access </w:t>
      </w:r>
      <w:r w:rsidR="00E6593E" w:rsidRPr="00BB2FC2">
        <w:rPr>
          <w:snapToGrid w:val="0"/>
        </w:rPr>
        <w:t xml:space="preserve">educators </w:t>
      </w:r>
      <w:r w:rsidR="008655E6" w:rsidRPr="00BB2FC2">
        <w:rPr>
          <w:snapToGrid w:val="0"/>
        </w:rPr>
        <w:t xml:space="preserve">with the experience and skills to </w:t>
      </w:r>
      <w:r w:rsidR="00E6593E" w:rsidRPr="00BB2FC2">
        <w:rPr>
          <w:snapToGrid w:val="0"/>
        </w:rPr>
        <w:t xml:space="preserve">meet the needs of </w:t>
      </w:r>
      <w:r w:rsidR="0037458A" w:rsidRPr="00BB2FC2">
        <w:rPr>
          <w:snapToGrid w:val="0"/>
        </w:rPr>
        <w:t xml:space="preserve">their </w:t>
      </w:r>
      <w:r w:rsidR="00E6593E" w:rsidRPr="00BB2FC2">
        <w:rPr>
          <w:snapToGrid w:val="0"/>
        </w:rPr>
        <w:t>children</w:t>
      </w:r>
      <w:r w:rsidR="00F77667">
        <w:rPr>
          <w:snapToGrid w:val="0"/>
        </w:rPr>
        <w:t xml:space="preserve"> and their family</w:t>
      </w:r>
      <w:r w:rsidR="0037458A" w:rsidRPr="00BB2FC2">
        <w:rPr>
          <w:snapToGrid w:val="0"/>
        </w:rPr>
        <w:t>.</w:t>
      </w:r>
      <w:r w:rsidR="0039442C" w:rsidRPr="00BB2FC2">
        <w:rPr>
          <w:snapToGrid w:val="0"/>
        </w:rPr>
        <w:t xml:space="preserve"> Where educators can be accessed</w:t>
      </w:r>
      <w:r w:rsidR="00F77667">
        <w:rPr>
          <w:snapToGrid w:val="0"/>
        </w:rPr>
        <w:t>,</w:t>
      </w:r>
      <w:r w:rsidR="0039442C" w:rsidRPr="00BB2FC2">
        <w:rPr>
          <w:snapToGrid w:val="0"/>
        </w:rPr>
        <w:t xml:space="preserve"> families from all three cohorts </w:t>
      </w:r>
      <w:r w:rsidR="00D115EE" w:rsidRPr="00BB2FC2">
        <w:rPr>
          <w:snapToGrid w:val="0"/>
        </w:rPr>
        <w:t xml:space="preserve">often </w:t>
      </w:r>
      <w:r w:rsidR="0039442C" w:rsidRPr="00BB2FC2">
        <w:rPr>
          <w:snapToGrid w:val="0"/>
        </w:rPr>
        <w:t>pay high</w:t>
      </w:r>
      <w:r w:rsidR="00534A38" w:rsidRPr="00BB2FC2">
        <w:rPr>
          <w:snapToGrid w:val="0"/>
        </w:rPr>
        <w:t xml:space="preserve"> out-of-pocket gap fees</w:t>
      </w:r>
      <w:r w:rsidR="00D115EE" w:rsidRPr="00BB2FC2">
        <w:rPr>
          <w:snapToGrid w:val="0"/>
        </w:rPr>
        <w:t xml:space="preserve"> </w:t>
      </w:r>
      <w:r w:rsidR="00920710" w:rsidRPr="00BB2FC2">
        <w:rPr>
          <w:snapToGrid w:val="0"/>
        </w:rPr>
        <w:t>in the form of premiums, penalty rates and other, additional costs.</w:t>
      </w:r>
    </w:p>
    <w:p w14:paraId="196C6A12" w14:textId="77777777" w:rsidR="007D7BF5" w:rsidRPr="00995C20" w:rsidRDefault="00EE2270" w:rsidP="0028729B">
      <w:pPr>
        <w:pStyle w:val="DocBodyText"/>
        <w:rPr>
          <w:color w:val="000000" w:themeColor="text1"/>
        </w:rPr>
      </w:pPr>
      <w:r w:rsidRPr="00BB2FC2">
        <w:t xml:space="preserve">To </w:t>
      </w:r>
      <w:r w:rsidR="00993EED" w:rsidRPr="00BB2FC2">
        <w:t xml:space="preserve">improve access, equity and affordability </w:t>
      </w:r>
      <w:r w:rsidRPr="00BB2FC2">
        <w:t xml:space="preserve">to IHC </w:t>
      </w:r>
      <w:r w:rsidR="00C678E9" w:rsidRPr="00BB2FC2">
        <w:t xml:space="preserve">future approaches will need to be designed </w:t>
      </w:r>
      <w:r w:rsidR="007E1468" w:rsidRPr="00BB2FC2">
        <w:t xml:space="preserve">that </w:t>
      </w:r>
      <w:r w:rsidR="00C678E9" w:rsidRPr="00BB2FC2">
        <w:t xml:space="preserve">address </w:t>
      </w:r>
      <w:r w:rsidR="007E1468" w:rsidRPr="00BB2FC2">
        <w:t xml:space="preserve">the </w:t>
      </w:r>
      <w:r w:rsidR="00C678E9" w:rsidRPr="00BB2FC2">
        <w:t xml:space="preserve">barriers specific </w:t>
      </w:r>
      <w:r w:rsidRPr="00BB2FC2">
        <w:t xml:space="preserve">to </w:t>
      </w:r>
      <w:r w:rsidR="00C678E9" w:rsidRPr="00BB2FC2">
        <w:t xml:space="preserve">each </w:t>
      </w:r>
      <w:r w:rsidR="007E1468" w:rsidRPr="00BB2FC2">
        <w:t xml:space="preserve">of </w:t>
      </w:r>
      <w:r w:rsidR="00CB094F" w:rsidRPr="00BB2FC2">
        <w:t>the</w:t>
      </w:r>
      <w:r w:rsidR="00993EED" w:rsidRPr="00BB2FC2">
        <w:t xml:space="preserve"> three </w:t>
      </w:r>
      <w:r w:rsidR="00D31644" w:rsidRPr="00DE6D64">
        <w:t>cohorts</w:t>
      </w:r>
      <w:r w:rsidR="009A6E2F" w:rsidRPr="00BB2FC2">
        <w:t xml:space="preserve"> of families</w:t>
      </w:r>
      <w:r w:rsidR="00CB094F" w:rsidRPr="00BB2FC2">
        <w:t>.</w:t>
      </w:r>
    </w:p>
    <w:p w14:paraId="448883C8" w14:textId="465DD976" w:rsidR="002404F4" w:rsidRDefault="002404F4">
      <w:pPr>
        <w:spacing w:before="0" w:line="281" w:lineRule="auto"/>
        <w:rPr>
          <w:b/>
          <w:bCs/>
          <w:sz w:val="24"/>
          <w:szCs w:val="22"/>
        </w:rPr>
      </w:pPr>
      <w:r>
        <w:br w:type="page"/>
      </w:r>
    </w:p>
    <w:p w14:paraId="134AAF53" w14:textId="09311F02" w:rsidR="00937D5A" w:rsidRPr="00BB2FC2" w:rsidRDefault="00295E9D" w:rsidP="00872FB9">
      <w:pPr>
        <w:pStyle w:val="DocParagraphHeading"/>
      </w:pPr>
      <w:r w:rsidRPr="00BB2FC2">
        <w:lastRenderedPageBreak/>
        <w:t>Opportunities for t</w:t>
      </w:r>
      <w:r w:rsidR="00937D5A" w:rsidRPr="00BB2FC2">
        <w:t>he future of the IHC program</w:t>
      </w:r>
    </w:p>
    <w:p w14:paraId="65CF10D3" w14:textId="2DC17F10" w:rsidR="005054F8" w:rsidRPr="007C552C" w:rsidRDefault="00F77667" w:rsidP="00714FC6">
      <w:pPr>
        <w:pStyle w:val="DocBodyText"/>
        <w:rPr>
          <w:bCs/>
        </w:rPr>
      </w:pPr>
      <w:r>
        <w:t>Following</w:t>
      </w:r>
      <w:r w:rsidR="00937D5A" w:rsidRPr="00BB2FC2">
        <w:t xml:space="preserve"> a co-design process with the Department, a</w:t>
      </w:r>
      <w:r w:rsidR="00937D5A" w:rsidRPr="00BB2FC2">
        <w:rPr>
          <w:bCs/>
        </w:rPr>
        <w:t xml:space="preserve"> range of options </w:t>
      </w:r>
      <w:r w:rsidR="00BF4D7C" w:rsidRPr="00BB2FC2">
        <w:rPr>
          <w:bCs/>
        </w:rPr>
        <w:t xml:space="preserve">to improve the IHC </w:t>
      </w:r>
      <w:r w:rsidR="00937D5A" w:rsidRPr="00BB2FC2">
        <w:rPr>
          <w:bCs/>
        </w:rPr>
        <w:t xml:space="preserve">were developed, which are listed in </w:t>
      </w:r>
      <w:r w:rsidR="00937D5A" w:rsidRPr="00BB2FC2">
        <w:rPr>
          <w:bCs/>
        </w:rPr>
        <w:fldChar w:fldCharType="begin"/>
      </w:r>
      <w:r w:rsidR="00937D5A" w:rsidRPr="00BB2FC2">
        <w:rPr>
          <w:bCs/>
        </w:rPr>
        <w:instrText xml:space="preserve"> REF _Ref138325889 \h  \* MERGEFORMAT </w:instrText>
      </w:r>
      <w:r w:rsidR="00937D5A" w:rsidRPr="00BB2FC2">
        <w:rPr>
          <w:bCs/>
        </w:rPr>
      </w:r>
      <w:r w:rsidR="00937D5A" w:rsidRPr="00BB2FC2">
        <w:rPr>
          <w:bCs/>
        </w:rPr>
        <w:fldChar w:fldCharType="separate"/>
      </w:r>
      <w:r w:rsidR="00943DE9" w:rsidRPr="005054F8">
        <w:t xml:space="preserve">Figure </w:t>
      </w:r>
      <w:r w:rsidR="00943DE9">
        <w:rPr>
          <w:noProof/>
        </w:rPr>
        <w:t>1</w:t>
      </w:r>
      <w:r w:rsidR="00937D5A" w:rsidRPr="00BB2FC2">
        <w:rPr>
          <w:bCs/>
        </w:rPr>
        <w:fldChar w:fldCharType="end"/>
      </w:r>
      <w:r w:rsidR="00937D5A" w:rsidRPr="00BB2FC2">
        <w:rPr>
          <w:bCs/>
        </w:rPr>
        <w:t>.</w:t>
      </w:r>
    </w:p>
    <w:p w14:paraId="0A3D79EB" w14:textId="7AF5F746" w:rsidR="00937D5A" w:rsidRPr="005054F8" w:rsidRDefault="00937D5A" w:rsidP="005677D1">
      <w:pPr>
        <w:pStyle w:val="DocTableHeader"/>
      </w:pPr>
      <w:bookmarkStart w:id="10" w:name="_Ref138325889"/>
      <w:r w:rsidRPr="005054F8">
        <w:t xml:space="preserve">Figure </w:t>
      </w:r>
      <w:r w:rsidRPr="005054F8">
        <w:fldChar w:fldCharType="begin"/>
      </w:r>
      <w:r w:rsidRPr="005054F8">
        <w:instrText>SEQ Figure \* ARABIC</w:instrText>
      </w:r>
      <w:r w:rsidRPr="005054F8">
        <w:fldChar w:fldCharType="separate"/>
      </w:r>
      <w:r w:rsidR="00943DE9">
        <w:rPr>
          <w:noProof/>
        </w:rPr>
        <w:t>1</w:t>
      </w:r>
      <w:r w:rsidRPr="005054F8">
        <w:fldChar w:fldCharType="end"/>
      </w:r>
      <w:bookmarkEnd w:id="10"/>
      <w:r w:rsidR="005677D1">
        <w:t>:</w:t>
      </w:r>
      <w:r w:rsidRPr="005054F8">
        <w:t xml:space="preserve"> Summary </w:t>
      </w:r>
      <w:r w:rsidR="00432C21">
        <w:t xml:space="preserve">of </w:t>
      </w:r>
      <w:r w:rsidRPr="005054F8">
        <w:t>options</w:t>
      </w:r>
    </w:p>
    <w:tbl>
      <w:tblPr>
        <w:tblStyle w:val="PwCColour"/>
        <w:tblW w:w="9814" w:type="dxa"/>
        <w:tblCellMar>
          <w:top w:w="17" w:type="dxa"/>
          <w:left w:w="57" w:type="dxa"/>
          <w:bottom w:w="17" w:type="dxa"/>
          <w:right w:w="57" w:type="dxa"/>
        </w:tblCellMar>
        <w:tblLook w:val="04A0" w:firstRow="1" w:lastRow="0" w:firstColumn="1" w:lastColumn="0" w:noHBand="0" w:noVBand="1"/>
      </w:tblPr>
      <w:tblGrid>
        <w:gridCol w:w="1706"/>
        <w:gridCol w:w="4706"/>
        <w:gridCol w:w="1134"/>
        <w:gridCol w:w="1134"/>
        <w:gridCol w:w="1134"/>
      </w:tblGrid>
      <w:tr w:rsidR="000256E7" w:rsidRPr="00755CA1" w14:paraId="32FF6E98" w14:textId="77777777" w:rsidTr="00755CA1">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1706" w:type="dxa"/>
            <w:tcBorders>
              <w:top w:val="nil"/>
              <w:left w:val="nil"/>
              <w:bottom w:val="nil"/>
              <w:right w:val="nil"/>
            </w:tcBorders>
            <w:shd w:val="clear" w:color="auto" w:fill="D04A02" w:themeFill="accent1"/>
            <w:tcMar>
              <w:top w:w="28" w:type="dxa"/>
              <w:left w:w="85" w:type="dxa"/>
              <w:bottom w:w="28" w:type="dxa"/>
              <w:right w:w="85" w:type="dxa"/>
            </w:tcMar>
          </w:tcPr>
          <w:p w14:paraId="0C045E0B" w14:textId="77777777" w:rsidR="000256E7" w:rsidRPr="00755CA1" w:rsidRDefault="000256E7" w:rsidP="00995C20">
            <w:pPr>
              <w:spacing w:after="120"/>
              <w:rPr>
                <w:rFonts w:asciiTheme="minorHAnsi" w:hAnsiTheme="minorHAnsi" w:cstheme="minorHAnsi"/>
                <w:b/>
                <w:bCs/>
                <w:color w:val="FFFFFF" w:themeColor="background1"/>
              </w:rPr>
            </w:pPr>
            <w:r w:rsidRPr="00755CA1">
              <w:rPr>
                <w:rFonts w:asciiTheme="minorHAnsi" w:hAnsiTheme="minorHAnsi" w:cstheme="minorHAnsi"/>
                <w:b/>
                <w:bCs/>
                <w:color w:val="FFFFFF" w:themeColor="background1"/>
              </w:rPr>
              <w:t>Focus area</w:t>
            </w:r>
          </w:p>
        </w:tc>
        <w:tc>
          <w:tcPr>
            <w:tcW w:w="4706" w:type="dxa"/>
            <w:tcBorders>
              <w:top w:val="nil"/>
              <w:left w:val="nil"/>
              <w:bottom w:val="nil"/>
              <w:right w:val="nil"/>
            </w:tcBorders>
            <w:shd w:val="clear" w:color="auto" w:fill="D04A02" w:themeFill="accent1"/>
            <w:tcMar>
              <w:top w:w="28" w:type="dxa"/>
              <w:left w:w="85" w:type="dxa"/>
              <w:bottom w:w="28" w:type="dxa"/>
              <w:right w:w="85" w:type="dxa"/>
            </w:tcMar>
          </w:tcPr>
          <w:p w14:paraId="1E987822" w14:textId="77777777" w:rsidR="000256E7" w:rsidRPr="00755CA1" w:rsidRDefault="000256E7" w:rsidP="00995C20">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rPr>
            </w:pPr>
            <w:r w:rsidRPr="00755CA1">
              <w:rPr>
                <w:rFonts w:asciiTheme="minorHAnsi" w:hAnsiTheme="minorHAnsi" w:cstheme="minorHAnsi"/>
                <w:b/>
                <w:bCs/>
                <w:color w:val="FFFFFF" w:themeColor="background1"/>
              </w:rPr>
              <w:t>Option</w:t>
            </w:r>
          </w:p>
        </w:tc>
        <w:tc>
          <w:tcPr>
            <w:tcW w:w="3402" w:type="dxa"/>
            <w:gridSpan w:val="3"/>
            <w:tcBorders>
              <w:top w:val="nil"/>
              <w:left w:val="nil"/>
              <w:bottom w:val="nil"/>
              <w:right w:val="nil"/>
            </w:tcBorders>
            <w:shd w:val="clear" w:color="auto" w:fill="D04A02" w:themeFill="accent1"/>
            <w:tcMar>
              <w:top w:w="28" w:type="dxa"/>
              <w:left w:w="85" w:type="dxa"/>
              <w:bottom w:w="28" w:type="dxa"/>
              <w:right w:w="85" w:type="dxa"/>
            </w:tcMar>
          </w:tcPr>
          <w:p w14:paraId="5A45634D" w14:textId="1DEE2EA3" w:rsidR="000256E7" w:rsidRPr="00755CA1" w:rsidRDefault="000256E7" w:rsidP="00995C20">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rPr>
            </w:pPr>
            <w:r w:rsidRPr="00755CA1">
              <w:rPr>
                <w:rFonts w:asciiTheme="minorHAnsi" w:hAnsiTheme="minorHAnsi" w:cstheme="minorHAnsi"/>
                <w:b/>
                <w:bCs/>
                <w:color w:val="FFFFFF" w:themeColor="background1"/>
              </w:rPr>
              <w:t xml:space="preserve">Families </w:t>
            </w:r>
            <w:r w:rsidR="00F77667" w:rsidRPr="00755CA1">
              <w:rPr>
                <w:rFonts w:asciiTheme="minorHAnsi" w:hAnsiTheme="minorHAnsi" w:cstheme="minorHAnsi"/>
                <w:b/>
                <w:bCs/>
                <w:color w:val="FFFFFF" w:themeColor="background1"/>
              </w:rPr>
              <w:t>that would be</w:t>
            </w:r>
            <w:r w:rsidRPr="00755CA1">
              <w:rPr>
                <w:rFonts w:asciiTheme="minorHAnsi" w:hAnsiTheme="minorHAnsi" w:cstheme="minorHAnsi"/>
                <w:b/>
                <w:bCs/>
                <w:color w:val="FFFFFF" w:themeColor="background1"/>
              </w:rPr>
              <w:t xml:space="preserve"> impacted</w:t>
            </w:r>
          </w:p>
        </w:tc>
      </w:tr>
      <w:tr w:rsidR="000256E7" w:rsidRPr="00755CA1" w14:paraId="7C020F55" w14:textId="77777777" w:rsidTr="00755CA1">
        <w:tc>
          <w:tcPr>
            <w:tcW w:w="1706" w:type="dxa"/>
            <w:vMerge w:val="restart"/>
            <w:tcBorders>
              <w:top w:val="nil"/>
              <w:bottom w:val="dotted" w:sz="8" w:space="0" w:color="7D7D7D" w:themeColor="text2"/>
            </w:tcBorders>
            <w:shd w:val="clear" w:color="auto" w:fill="F2F2F2" w:themeFill="background1" w:themeFillShade="F2"/>
            <w:tcMar>
              <w:top w:w="28" w:type="dxa"/>
              <w:left w:w="85" w:type="dxa"/>
              <w:bottom w:w="28" w:type="dxa"/>
              <w:right w:w="85" w:type="dxa"/>
            </w:tcMar>
          </w:tcPr>
          <w:p w14:paraId="0C428D19" w14:textId="77777777" w:rsidR="000256E7" w:rsidRPr="00755CA1" w:rsidRDefault="000256E7" w:rsidP="00755CA1">
            <w:pPr>
              <w:spacing w:before="0" w:line="269" w:lineRule="auto"/>
              <w:rPr>
                <w:rFonts w:asciiTheme="minorHAnsi" w:hAnsiTheme="minorHAnsi" w:cstheme="minorHAnsi"/>
                <w:b/>
                <w:bCs/>
              </w:rPr>
            </w:pPr>
            <w:r w:rsidRPr="00755CA1">
              <w:rPr>
                <w:rFonts w:asciiTheme="minorHAnsi" w:hAnsiTheme="minorHAnsi" w:cstheme="minorHAnsi"/>
                <w:b/>
                <w:bCs/>
              </w:rPr>
              <w:t>Options to improve demand management</w:t>
            </w:r>
          </w:p>
        </w:tc>
        <w:tc>
          <w:tcPr>
            <w:tcW w:w="4706" w:type="dxa"/>
            <w:tcBorders>
              <w:top w:val="nil"/>
              <w:bottom w:val="dashSmallGap" w:sz="4" w:space="0" w:color="D04A02" w:themeColor="accent1"/>
            </w:tcBorders>
            <w:tcMar>
              <w:top w:w="28" w:type="dxa"/>
              <w:left w:w="85" w:type="dxa"/>
              <w:bottom w:w="28" w:type="dxa"/>
              <w:right w:w="85" w:type="dxa"/>
            </w:tcMar>
          </w:tcPr>
          <w:p w14:paraId="702B9D52" w14:textId="77777777" w:rsidR="000256E7" w:rsidRPr="00755CA1" w:rsidRDefault="000256E7" w:rsidP="00755CA1">
            <w:pPr>
              <w:spacing w:before="0" w:line="269" w:lineRule="auto"/>
              <w:rPr>
                <w:rFonts w:asciiTheme="minorHAnsi" w:hAnsiTheme="minorHAnsi" w:cstheme="minorHAnsi"/>
              </w:rPr>
            </w:pPr>
            <w:r w:rsidRPr="00755CA1">
              <w:rPr>
                <w:rFonts w:asciiTheme="minorHAnsi" w:hAnsiTheme="minorHAnsi" w:cstheme="minorHAnsi"/>
              </w:rPr>
              <w:t>Better support transition of some families from IHC to mainstream ECEC or alternative service systems.</w:t>
            </w:r>
          </w:p>
        </w:tc>
        <w:tc>
          <w:tcPr>
            <w:tcW w:w="1134" w:type="dxa"/>
            <w:tcBorders>
              <w:top w:val="nil"/>
              <w:bottom w:val="dashSmallGap" w:sz="4" w:space="0" w:color="D04A02" w:themeColor="accent1"/>
            </w:tcBorders>
            <w:tcMar>
              <w:top w:w="28" w:type="dxa"/>
              <w:left w:w="85" w:type="dxa"/>
              <w:bottom w:w="28" w:type="dxa"/>
              <w:right w:w="85" w:type="dxa"/>
            </w:tcMar>
          </w:tcPr>
          <w:p w14:paraId="543F3731"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3C10AA11" wp14:editId="637AB514">
                  <wp:extent cx="295200" cy="295200"/>
                  <wp:effectExtent l="0" t="0" r="0" b="0"/>
                  <wp:docPr id="1948901186" name="Picture 1948901186"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95200" cy="295200"/>
                          </a:xfrm>
                          <a:prstGeom prst="rect">
                            <a:avLst/>
                          </a:prstGeom>
                        </pic:spPr>
                      </pic:pic>
                    </a:graphicData>
                  </a:graphic>
                </wp:inline>
              </w:drawing>
            </w:r>
          </w:p>
        </w:tc>
        <w:tc>
          <w:tcPr>
            <w:tcW w:w="1134" w:type="dxa"/>
            <w:tcBorders>
              <w:top w:val="nil"/>
              <w:bottom w:val="dashSmallGap" w:sz="4" w:space="0" w:color="D04A02" w:themeColor="accent1"/>
            </w:tcBorders>
            <w:tcMar>
              <w:top w:w="28" w:type="dxa"/>
              <w:left w:w="85" w:type="dxa"/>
              <w:bottom w:w="28" w:type="dxa"/>
              <w:right w:w="85" w:type="dxa"/>
            </w:tcMar>
          </w:tcPr>
          <w:p w14:paraId="18353BEE"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03E86412" wp14:editId="3ACCC709">
                  <wp:extent cx="305933" cy="305933"/>
                  <wp:effectExtent l="0" t="0" r="0" b="0"/>
                  <wp:docPr id="1948901187" name="Picture 1948901187"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05933" cy="305933"/>
                          </a:xfrm>
                          <a:prstGeom prst="rect">
                            <a:avLst/>
                          </a:prstGeom>
                        </pic:spPr>
                      </pic:pic>
                    </a:graphicData>
                  </a:graphic>
                </wp:inline>
              </w:drawing>
            </w:r>
          </w:p>
        </w:tc>
        <w:tc>
          <w:tcPr>
            <w:tcW w:w="1134" w:type="dxa"/>
            <w:tcBorders>
              <w:top w:val="nil"/>
              <w:bottom w:val="dashSmallGap" w:sz="4" w:space="0" w:color="D04A02" w:themeColor="accent1"/>
            </w:tcBorders>
            <w:tcMar>
              <w:top w:w="28" w:type="dxa"/>
              <w:left w:w="85" w:type="dxa"/>
              <w:bottom w:w="28" w:type="dxa"/>
              <w:right w:w="85" w:type="dxa"/>
            </w:tcMar>
          </w:tcPr>
          <w:p w14:paraId="4D48C6DE"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786D191D" wp14:editId="19ED1D47">
                  <wp:extent cx="302534" cy="302534"/>
                  <wp:effectExtent l="0" t="0" r="2540" b="2540"/>
                  <wp:docPr id="1948901188" name="Picture 1948901188"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08605" cy="308605"/>
                          </a:xfrm>
                          <a:prstGeom prst="rect">
                            <a:avLst/>
                          </a:prstGeom>
                        </pic:spPr>
                      </pic:pic>
                    </a:graphicData>
                  </a:graphic>
                </wp:inline>
              </w:drawing>
            </w:r>
          </w:p>
        </w:tc>
      </w:tr>
      <w:tr w:rsidR="000256E7" w:rsidRPr="00755CA1" w14:paraId="537DB4E9" w14:textId="77777777" w:rsidTr="00755CA1">
        <w:tc>
          <w:tcPr>
            <w:tcW w:w="1706" w:type="dxa"/>
            <w:vMerge/>
            <w:tcBorders>
              <w:top w:val="dotted" w:sz="8" w:space="0" w:color="7D7D7D" w:themeColor="text2"/>
              <w:bottom w:val="single" w:sz="4" w:space="0" w:color="D04A02" w:themeColor="accent1"/>
            </w:tcBorders>
            <w:shd w:val="clear" w:color="auto" w:fill="F2F2F2" w:themeFill="background1" w:themeFillShade="F2"/>
            <w:tcMar>
              <w:top w:w="28" w:type="dxa"/>
              <w:left w:w="85" w:type="dxa"/>
              <w:bottom w:w="28" w:type="dxa"/>
              <w:right w:w="85" w:type="dxa"/>
            </w:tcMar>
          </w:tcPr>
          <w:p w14:paraId="7613242A" w14:textId="77777777" w:rsidR="000256E7" w:rsidRPr="00755CA1" w:rsidRDefault="000256E7" w:rsidP="00755CA1">
            <w:pPr>
              <w:spacing w:before="0" w:line="269" w:lineRule="auto"/>
              <w:rPr>
                <w:rFonts w:asciiTheme="minorHAnsi" w:hAnsiTheme="minorHAnsi" w:cstheme="minorHAnsi"/>
              </w:rPr>
            </w:pPr>
          </w:p>
        </w:tc>
        <w:tc>
          <w:tcPr>
            <w:tcW w:w="4706" w:type="dxa"/>
            <w:tcBorders>
              <w:top w:val="dashSmallGap" w:sz="4" w:space="0" w:color="D04A02" w:themeColor="accent1"/>
              <w:bottom w:val="single" w:sz="4" w:space="0" w:color="D04A02" w:themeColor="accent1"/>
            </w:tcBorders>
            <w:tcMar>
              <w:top w:w="28" w:type="dxa"/>
              <w:left w:w="85" w:type="dxa"/>
              <w:bottom w:w="28" w:type="dxa"/>
              <w:right w:w="85" w:type="dxa"/>
            </w:tcMar>
          </w:tcPr>
          <w:p w14:paraId="575F5BDD"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anchor distT="0" distB="0" distL="114300" distR="114300" simplePos="0" relativeHeight="251658242" behindDoc="1" locked="0" layoutInCell="1" allowOverlap="1" wp14:anchorId="41ACB3F7" wp14:editId="01D02AE0">
                  <wp:simplePos x="0" y="0"/>
                  <wp:positionH relativeFrom="column">
                    <wp:posOffset>1270</wp:posOffset>
                  </wp:positionH>
                  <wp:positionV relativeFrom="paragraph">
                    <wp:posOffset>40005</wp:posOffset>
                  </wp:positionV>
                  <wp:extent cx="287655" cy="287655"/>
                  <wp:effectExtent l="0" t="0" r="0" b="0"/>
                  <wp:wrapTight wrapText="bothSides">
                    <wp:wrapPolygon edited="0">
                      <wp:start x="5722" y="0"/>
                      <wp:lineTo x="0" y="7152"/>
                      <wp:lineTo x="0" y="12874"/>
                      <wp:lineTo x="5722" y="20026"/>
                      <wp:lineTo x="14305" y="20026"/>
                      <wp:lineTo x="20026" y="12874"/>
                      <wp:lineTo x="20026" y="7152"/>
                      <wp:lineTo x="14305" y="0"/>
                      <wp:lineTo x="5722" y="0"/>
                    </wp:wrapPolygon>
                  </wp:wrapTight>
                  <wp:docPr id="1" name="Picture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adge Tick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r w:rsidRPr="00755CA1">
              <w:rPr>
                <w:rFonts w:asciiTheme="minorHAnsi" w:hAnsiTheme="minorHAnsi" w:cstheme="minorHAnsi"/>
              </w:rPr>
              <w:t>Streamline and simplify administrative processes and responsibilities</w:t>
            </w:r>
          </w:p>
        </w:tc>
        <w:tc>
          <w:tcPr>
            <w:tcW w:w="1134" w:type="dxa"/>
            <w:tcBorders>
              <w:top w:val="dashSmallGap" w:sz="4" w:space="0" w:color="D04A02" w:themeColor="accent1"/>
              <w:bottom w:val="single" w:sz="4" w:space="0" w:color="D04A02" w:themeColor="accent1"/>
            </w:tcBorders>
            <w:tcMar>
              <w:top w:w="28" w:type="dxa"/>
              <w:left w:w="85" w:type="dxa"/>
              <w:bottom w:w="28" w:type="dxa"/>
              <w:right w:w="85" w:type="dxa"/>
            </w:tcMar>
          </w:tcPr>
          <w:p w14:paraId="005409D3"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7F9434CE" wp14:editId="46D0294A">
                  <wp:extent cx="295735" cy="295735"/>
                  <wp:effectExtent l="0" t="0" r="0" b="9525"/>
                  <wp:docPr id="1948901189" name="Picture 1948901189"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98683" cy="298683"/>
                          </a:xfrm>
                          <a:prstGeom prst="rect">
                            <a:avLst/>
                          </a:prstGeom>
                        </pic:spPr>
                      </pic:pic>
                    </a:graphicData>
                  </a:graphic>
                </wp:inline>
              </w:drawing>
            </w:r>
          </w:p>
        </w:tc>
        <w:tc>
          <w:tcPr>
            <w:tcW w:w="1134" w:type="dxa"/>
            <w:tcBorders>
              <w:top w:val="dashSmallGap" w:sz="4" w:space="0" w:color="D04A02" w:themeColor="accent1"/>
              <w:bottom w:val="single" w:sz="4" w:space="0" w:color="D04A02" w:themeColor="accent1"/>
            </w:tcBorders>
            <w:tcMar>
              <w:top w:w="28" w:type="dxa"/>
              <w:left w:w="85" w:type="dxa"/>
              <w:bottom w:w="28" w:type="dxa"/>
              <w:right w:w="85" w:type="dxa"/>
            </w:tcMar>
          </w:tcPr>
          <w:p w14:paraId="3309A3A4"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5D1B9C59" wp14:editId="64075568">
                  <wp:extent cx="299134" cy="299134"/>
                  <wp:effectExtent l="0" t="0" r="5715" b="5715"/>
                  <wp:docPr id="1948901190" name="Picture 1948901190"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03519" cy="303519"/>
                          </a:xfrm>
                          <a:prstGeom prst="rect">
                            <a:avLst/>
                          </a:prstGeom>
                        </pic:spPr>
                      </pic:pic>
                    </a:graphicData>
                  </a:graphic>
                </wp:inline>
              </w:drawing>
            </w:r>
          </w:p>
        </w:tc>
        <w:tc>
          <w:tcPr>
            <w:tcW w:w="1134" w:type="dxa"/>
            <w:tcBorders>
              <w:top w:val="dashSmallGap" w:sz="4" w:space="0" w:color="D04A02" w:themeColor="accent1"/>
              <w:bottom w:val="single" w:sz="4" w:space="0" w:color="D04A02" w:themeColor="accent1"/>
            </w:tcBorders>
            <w:tcMar>
              <w:top w:w="28" w:type="dxa"/>
              <w:left w:w="85" w:type="dxa"/>
              <w:bottom w:w="28" w:type="dxa"/>
              <w:right w:w="85" w:type="dxa"/>
            </w:tcMar>
          </w:tcPr>
          <w:p w14:paraId="13D7A911"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3B3F2B3D" wp14:editId="7581AEDB">
                  <wp:extent cx="278739" cy="278739"/>
                  <wp:effectExtent l="0" t="0" r="7620" b="7620"/>
                  <wp:docPr id="1948901191" name="Picture 1948901191"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79969" cy="279969"/>
                          </a:xfrm>
                          <a:prstGeom prst="rect">
                            <a:avLst/>
                          </a:prstGeom>
                        </pic:spPr>
                      </pic:pic>
                    </a:graphicData>
                  </a:graphic>
                </wp:inline>
              </w:drawing>
            </w:r>
          </w:p>
        </w:tc>
      </w:tr>
      <w:tr w:rsidR="000256E7" w:rsidRPr="00755CA1" w14:paraId="5C39AE12" w14:textId="77777777" w:rsidTr="00755CA1">
        <w:tc>
          <w:tcPr>
            <w:tcW w:w="1706" w:type="dxa"/>
            <w:vMerge w:val="restart"/>
            <w:tcBorders>
              <w:top w:val="single" w:sz="4" w:space="0" w:color="D04A02" w:themeColor="accent1"/>
              <w:bottom w:val="dotted" w:sz="8" w:space="0" w:color="7D7D7D" w:themeColor="text2"/>
            </w:tcBorders>
            <w:shd w:val="clear" w:color="auto" w:fill="F2F2F2" w:themeFill="background1" w:themeFillShade="F2"/>
            <w:tcMar>
              <w:top w:w="28" w:type="dxa"/>
              <w:left w:w="85" w:type="dxa"/>
              <w:bottom w:w="28" w:type="dxa"/>
              <w:right w:w="85" w:type="dxa"/>
            </w:tcMar>
          </w:tcPr>
          <w:p w14:paraId="18923047" w14:textId="77777777" w:rsidR="000256E7" w:rsidRPr="00755CA1" w:rsidRDefault="000256E7" w:rsidP="00755CA1">
            <w:pPr>
              <w:spacing w:before="0" w:line="269" w:lineRule="auto"/>
              <w:rPr>
                <w:rFonts w:asciiTheme="minorHAnsi" w:hAnsiTheme="minorHAnsi" w:cstheme="minorHAnsi"/>
                <w:b/>
                <w:bCs/>
              </w:rPr>
            </w:pPr>
            <w:r w:rsidRPr="00755CA1">
              <w:rPr>
                <w:rFonts w:asciiTheme="minorHAnsi" w:hAnsiTheme="minorHAnsi" w:cstheme="minorHAnsi"/>
                <w:b/>
                <w:bCs/>
              </w:rPr>
              <w:t>Expanding and supporting the provider market</w:t>
            </w:r>
          </w:p>
        </w:tc>
        <w:tc>
          <w:tcPr>
            <w:tcW w:w="4706" w:type="dxa"/>
            <w:tcBorders>
              <w:top w:val="single" w:sz="4" w:space="0" w:color="D04A02" w:themeColor="accent1"/>
              <w:bottom w:val="dashSmallGap" w:sz="4" w:space="0" w:color="D04A02" w:themeColor="accent1"/>
            </w:tcBorders>
            <w:tcMar>
              <w:top w:w="28" w:type="dxa"/>
              <w:left w:w="85" w:type="dxa"/>
              <w:bottom w:w="28" w:type="dxa"/>
              <w:right w:w="85" w:type="dxa"/>
            </w:tcMar>
          </w:tcPr>
          <w:p w14:paraId="3B52E145"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anchor distT="0" distB="0" distL="114300" distR="114300" simplePos="0" relativeHeight="251658243" behindDoc="1" locked="0" layoutInCell="1" allowOverlap="1" wp14:anchorId="70ABAAF7" wp14:editId="5A9AA6CF">
                  <wp:simplePos x="0" y="0"/>
                  <wp:positionH relativeFrom="column">
                    <wp:posOffset>1546</wp:posOffset>
                  </wp:positionH>
                  <wp:positionV relativeFrom="paragraph">
                    <wp:posOffset>36471</wp:posOffset>
                  </wp:positionV>
                  <wp:extent cx="287655" cy="287655"/>
                  <wp:effectExtent l="0" t="0" r="0" b="0"/>
                  <wp:wrapTight wrapText="bothSides">
                    <wp:wrapPolygon edited="0">
                      <wp:start x="5722" y="0"/>
                      <wp:lineTo x="0" y="7152"/>
                      <wp:lineTo x="0" y="12874"/>
                      <wp:lineTo x="5722" y="20026"/>
                      <wp:lineTo x="14305" y="20026"/>
                      <wp:lineTo x="20026" y="12874"/>
                      <wp:lineTo x="20026" y="7152"/>
                      <wp:lineTo x="14305" y="0"/>
                      <wp:lineTo x="5722" y="0"/>
                    </wp:wrapPolygon>
                  </wp:wrapTight>
                  <wp:docPr id="5" name="Picture 5"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adge Tick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55CA1">
              <w:rPr>
                <w:rFonts w:asciiTheme="minorHAnsi" w:hAnsiTheme="minorHAnsi" w:cstheme="minorHAnsi"/>
              </w:rPr>
              <w:t>Expand FDC to provide additional support to IHC eligible families</w:t>
            </w:r>
          </w:p>
        </w:tc>
        <w:tc>
          <w:tcPr>
            <w:tcW w:w="1134" w:type="dxa"/>
            <w:tcBorders>
              <w:top w:val="single" w:sz="4" w:space="0" w:color="D04A02" w:themeColor="accent1"/>
              <w:bottom w:val="dashSmallGap" w:sz="4" w:space="0" w:color="D04A02" w:themeColor="accent1"/>
            </w:tcBorders>
            <w:tcMar>
              <w:top w:w="28" w:type="dxa"/>
              <w:left w:w="85" w:type="dxa"/>
              <w:bottom w:w="28" w:type="dxa"/>
              <w:right w:w="85" w:type="dxa"/>
            </w:tcMar>
          </w:tcPr>
          <w:p w14:paraId="7598E6DC"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6F5ADEAA" wp14:editId="5E189F8A">
                  <wp:extent cx="336526" cy="336526"/>
                  <wp:effectExtent l="0" t="0" r="0" b="6985"/>
                  <wp:docPr id="1948901192" name="Picture 1948901192"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40992" cy="340992"/>
                          </a:xfrm>
                          <a:prstGeom prst="rect">
                            <a:avLst/>
                          </a:prstGeom>
                        </pic:spPr>
                      </pic:pic>
                    </a:graphicData>
                  </a:graphic>
                </wp:inline>
              </w:drawing>
            </w:r>
          </w:p>
        </w:tc>
        <w:tc>
          <w:tcPr>
            <w:tcW w:w="1134" w:type="dxa"/>
            <w:tcBorders>
              <w:top w:val="single" w:sz="4" w:space="0" w:color="D04A02" w:themeColor="accent1"/>
              <w:bottom w:val="dashSmallGap" w:sz="4" w:space="0" w:color="D04A02" w:themeColor="accent1"/>
            </w:tcBorders>
            <w:tcMar>
              <w:top w:w="28" w:type="dxa"/>
              <w:left w:w="85" w:type="dxa"/>
              <w:bottom w:w="28" w:type="dxa"/>
              <w:right w:w="85" w:type="dxa"/>
            </w:tcMar>
          </w:tcPr>
          <w:p w14:paraId="05DD7B1D"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50A87CD8" wp14:editId="5CFC853A">
                  <wp:extent cx="319530" cy="319530"/>
                  <wp:effectExtent l="0" t="0" r="4445" b="4445"/>
                  <wp:docPr id="1948901193" name="Picture 1948901193"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23984" cy="323984"/>
                          </a:xfrm>
                          <a:prstGeom prst="rect">
                            <a:avLst/>
                          </a:prstGeom>
                        </pic:spPr>
                      </pic:pic>
                    </a:graphicData>
                  </a:graphic>
                </wp:inline>
              </w:drawing>
            </w:r>
          </w:p>
        </w:tc>
        <w:tc>
          <w:tcPr>
            <w:tcW w:w="1134" w:type="dxa"/>
            <w:tcBorders>
              <w:top w:val="single" w:sz="4" w:space="0" w:color="D04A02" w:themeColor="accent1"/>
              <w:bottom w:val="dashSmallGap" w:sz="4" w:space="0" w:color="D04A02" w:themeColor="accent1"/>
            </w:tcBorders>
            <w:tcMar>
              <w:top w:w="28" w:type="dxa"/>
              <w:left w:w="85" w:type="dxa"/>
              <w:bottom w:w="28" w:type="dxa"/>
              <w:right w:w="85" w:type="dxa"/>
            </w:tcMar>
          </w:tcPr>
          <w:p w14:paraId="1CC8BE4F"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6FCD5849" wp14:editId="63045A21">
                  <wp:extent cx="288937" cy="288937"/>
                  <wp:effectExtent l="0" t="0" r="0" b="0"/>
                  <wp:docPr id="1948901194" name="Picture 1948901194"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92088" cy="292088"/>
                          </a:xfrm>
                          <a:prstGeom prst="rect">
                            <a:avLst/>
                          </a:prstGeom>
                        </pic:spPr>
                      </pic:pic>
                    </a:graphicData>
                  </a:graphic>
                </wp:inline>
              </w:drawing>
            </w:r>
          </w:p>
        </w:tc>
      </w:tr>
      <w:tr w:rsidR="000256E7" w:rsidRPr="00755CA1" w14:paraId="0B4F2A46" w14:textId="77777777" w:rsidTr="00755CA1">
        <w:tc>
          <w:tcPr>
            <w:tcW w:w="1706" w:type="dxa"/>
            <w:vMerge/>
            <w:tcBorders>
              <w:top w:val="dotted" w:sz="8" w:space="0" w:color="7D7D7D" w:themeColor="text2"/>
              <w:bottom w:val="dotted" w:sz="8" w:space="0" w:color="7D7D7D" w:themeColor="text2"/>
            </w:tcBorders>
            <w:shd w:val="clear" w:color="auto" w:fill="F2F2F2" w:themeFill="background1" w:themeFillShade="F2"/>
            <w:tcMar>
              <w:top w:w="28" w:type="dxa"/>
              <w:left w:w="85" w:type="dxa"/>
              <w:bottom w:w="28" w:type="dxa"/>
              <w:right w:w="85" w:type="dxa"/>
            </w:tcMar>
          </w:tcPr>
          <w:p w14:paraId="2BD7CC6C" w14:textId="77777777" w:rsidR="000256E7" w:rsidRPr="00755CA1" w:rsidRDefault="000256E7" w:rsidP="00755CA1">
            <w:pPr>
              <w:spacing w:before="0" w:line="269" w:lineRule="auto"/>
              <w:rPr>
                <w:rFonts w:asciiTheme="minorHAnsi" w:hAnsiTheme="minorHAnsi" w:cstheme="minorHAnsi"/>
                <w:b/>
                <w:bCs/>
              </w:rPr>
            </w:pPr>
          </w:p>
        </w:tc>
        <w:tc>
          <w:tcPr>
            <w:tcW w:w="4706"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10CA0395" w14:textId="77777777" w:rsidR="000256E7" w:rsidRPr="00755CA1" w:rsidRDefault="000256E7" w:rsidP="00755CA1">
            <w:pPr>
              <w:spacing w:before="0" w:line="269" w:lineRule="auto"/>
              <w:rPr>
                <w:rFonts w:asciiTheme="minorHAnsi" w:hAnsiTheme="minorHAnsi" w:cstheme="minorHAnsi"/>
              </w:rPr>
            </w:pPr>
            <w:r w:rsidRPr="00755CA1">
              <w:rPr>
                <w:rFonts w:asciiTheme="minorHAnsi" w:hAnsiTheme="minorHAnsi" w:cstheme="minorHAnsi"/>
              </w:rPr>
              <w:t>Alternative delivery models of IHC</w:t>
            </w:r>
          </w:p>
        </w:tc>
        <w:tc>
          <w:tcPr>
            <w:tcW w:w="1134"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30F83562"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0AC991AA" wp14:editId="043F5601">
                  <wp:extent cx="316131" cy="316131"/>
                  <wp:effectExtent l="0" t="0" r="0" b="8255"/>
                  <wp:docPr id="1948901195" name="Picture 1948901195"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9076" cy="319076"/>
                          </a:xfrm>
                          <a:prstGeom prst="rect">
                            <a:avLst/>
                          </a:prstGeom>
                        </pic:spPr>
                      </pic:pic>
                    </a:graphicData>
                  </a:graphic>
                </wp:inline>
              </w:drawing>
            </w:r>
          </w:p>
        </w:tc>
        <w:tc>
          <w:tcPr>
            <w:tcW w:w="1134"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3D24CAAA"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1A7EDB22" wp14:editId="0864739E">
                  <wp:extent cx="322929" cy="322929"/>
                  <wp:effectExtent l="0" t="0" r="1270" b="1270"/>
                  <wp:docPr id="1948901196" name="Picture 1948901196"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27879" cy="327879"/>
                          </a:xfrm>
                          <a:prstGeom prst="rect">
                            <a:avLst/>
                          </a:prstGeom>
                        </pic:spPr>
                      </pic:pic>
                    </a:graphicData>
                  </a:graphic>
                </wp:inline>
              </w:drawing>
            </w:r>
          </w:p>
        </w:tc>
        <w:tc>
          <w:tcPr>
            <w:tcW w:w="1134"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477FC256"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733B9893" wp14:editId="0B1E0BA9">
                  <wp:extent cx="309332" cy="309332"/>
                  <wp:effectExtent l="0" t="0" r="0" b="0"/>
                  <wp:docPr id="1948901197" name="Picture 1948901197"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11187" cy="311187"/>
                          </a:xfrm>
                          <a:prstGeom prst="rect">
                            <a:avLst/>
                          </a:prstGeom>
                        </pic:spPr>
                      </pic:pic>
                    </a:graphicData>
                  </a:graphic>
                </wp:inline>
              </w:drawing>
            </w:r>
          </w:p>
        </w:tc>
      </w:tr>
      <w:tr w:rsidR="000256E7" w:rsidRPr="00755CA1" w14:paraId="4CF5BF4A" w14:textId="77777777" w:rsidTr="00755CA1">
        <w:tc>
          <w:tcPr>
            <w:tcW w:w="1706" w:type="dxa"/>
            <w:vMerge/>
            <w:tcBorders>
              <w:top w:val="dotted" w:sz="8" w:space="0" w:color="7D7D7D" w:themeColor="text2"/>
              <w:bottom w:val="single" w:sz="4" w:space="0" w:color="D04A02" w:themeColor="accent1"/>
            </w:tcBorders>
            <w:shd w:val="clear" w:color="auto" w:fill="F2F2F2" w:themeFill="background1" w:themeFillShade="F2"/>
            <w:tcMar>
              <w:top w:w="28" w:type="dxa"/>
              <w:left w:w="85" w:type="dxa"/>
              <w:bottom w:w="28" w:type="dxa"/>
              <w:right w:w="85" w:type="dxa"/>
            </w:tcMar>
          </w:tcPr>
          <w:p w14:paraId="7715686A" w14:textId="77777777" w:rsidR="000256E7" w:rsidRPr="00755CA1" w:rsidRDefault="000256E7" w:rsidP="00755CA1">
            <w:pPr>
              <w:spacing w:before="0" w:line="269" w:lineRule="auto"/>
              <w:rPr>
                <w:rFonts w:asciiTheme="minorHAnsi" w:hAnsiTheme="minorHAnsi" w:cstheme="minorHAnsi"/>
                <w:b/>
                <w:bCs/>
              </w:rPr>
            </w:pPr>
          </w:p>
        </w:tc>
        <w:tc>
          <w:tcPr>
            <w:tcW w:w="4706" w:type="dxa"/>
            <w:tcBorders>
              <w:top w:val="dashSmallGap" w:sz="4" w:space="0" w:color="D04A02" w:themeColor="accent1"/>
              <w:bottom w:val="single" w:sz="4" w:space="0" w:color="D04A02" w:themeColor="accent1"/>
            </w:tcBorders>
            <w:tcMar>
              <w:top w:w="28" w:type="dxa"/>
              <w:left w:w="85" w:type="dxa"/>
              <w:bottom w:w="28" w:type="dxa"/>
              <w:right w:w="85" w:type="dxa"/>
            </w:tcMar>
          </w:tcPr>
          <w:p w14:paraId="0B539210" w14:textId="3B999F47" w:rsidR="000256E7" w:rsidRPr="00755CA1" w:rsidRDefault="000256E7" w:rsidP="00755CA1">
            <w:pPr>
              <w:spacing w:before="0" w:line="269" w:lineRule="auto"/>
              <w:rPr>
                <w:rFonts w:asciiTheme="minorHAnsi" w:hAnsiTheme="minorHAnsi" w:cstheme="minorHAnsi"/>
              </w:rPr>
            </w:pPr>
            <w:r w:rsidRPr="00755CA1">
              <w:rPr>
                <w:rFonts w:asciiTheme="minorHAnsi" w:hAnsiTheme="minorHAnsi" w:cstheme="minorHAnsi"/>
              </w:rPr>
              <w:t>Broaden</w:t>
            </w:r>
            <w:r w:rsidR="0036642F" w:rsidRPr="00755CA1">
              <w:rPr>
                <w:rFonts w:asciiTheme="minorHAnsi" w:hAnsiTheme="minorHAnsi" w:cstheme="minorHAnsi"/>
              </w:rPr>
              <w:t>/</w:t>
            </w:r>
            <w:r w:rsidRPr="00755CA1">
              <w:rPr>
                <w:rFonts w:asciiTheme="minorHAnsi" w:hAnsiTheme="minorHAnsi" w:cstheme="minorHAnsi"/>
              </w:rPr>
              <w:t>integrate IHC with other services</w:t>
            </w:r>
            <w:r w:rsidR="0036642F" w:rsidRPr="00755CA1">
              <w:rPr>
                <w:rFonts w:asciiTheme="minorHAnsi" w:hAnsiTheme="minorHAnsi" w:cstheme="minorHAnsi"/>
              </w:rPr>
              <w:t>/</w:t>
            </w:r>
            <w:r w:rsidRPr="00755CA1">
              <w:rPr>
                <w:rFonts w:asciiTheme="minorHAnsi" w:hAnsiTheme="minorHAnsi" w:cstheme="minorHAnsi"/>
              </w:rPr>
              <w:t>programs</w:t>
            </w:r>
          </w:p>
        </w:tc>
        <w:tc>
          <w:tcPr>
            <w:tcW w:w="1134" w:type="dxa"/>
            <w:tcBorders>
              <w:top w:val="dashSmallGap" w:sz="4" w:space="0" w:color="D04A02" w:themeColor="accent1"/>
              <w:bottom w:val="single" w:sz="4" w:space="0" w:color="D04A02" w:themeColor="accent1"/>
            </w:tcBorders>
            <w:tcMar>
              <w:top w:w="28" w:type="dxa"/>
              <w:left w:w="85" w:type="dxa"/>
              <w:bottom w:w="28" w:type="dxa"/>
              <w:right w:w="85" w:type="dxa"/>
            </w:tcMar>
          </w:tcPr>
          <w:p w14:paraId="2017247D"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0B122D40" wp14:editId="27536ED8">
                  <wp:extent cx="316131" cy="316131"/>
                  <wp:effectExtent l="0" t="0" r="0" b="8255"/>
                  <wp:docPr id="1948901198" name="Picture 1948901198"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18877" cy="318877"/>
                          </a:xfrm>
                          <a:prstGeom prst="rect">
                            <a:avLst/>
                          </a:prstGeom>
                        </pic:spPr>
                      </pic:pic>
                    </a:graphicData>
                  </a:graphic>
                </wp:inline>
              </w:drawing>
            </w:r>
          </w:p>
        </w:tc>
        <w:tc>
          <w:tcPr>
            <w:tcW w:w="1134" w:type="dxa"/>
            <w:tcBorders>
              <w:top w:val="dashSmallGap" w:sz="4" w:space="0" w:color="D04A02" w:themeColor="accent1"/>
              <w:bottom w:val="single" w:sz="4" w:space="0" w:color="D04A02" w:themeColor="accent1"/>
            </w:tcBorders>
            <w:tcMar>
              <w:top w:w="28" w:type="dxa"/>
              <w:left w:w="85" w:type="dxa"/>
              <w:bottom w:w="28" w:type="dxa"/>
              <w:right w:w="85" w:type="dxa"/>
            </w:tcMar>
          </w:tcPr>
          <w:p w14:paraId="32DF9D7D" w14:textId="5396E8BF" w:rsidR="000256E7" w:rsidRPr="00755CA1" w:rsidRDefault="00240238" w:rsidP="00755CA1">
            <w:pPr>
              <w:spacing w:before="0" w:line="269" w:lineRule="auto"/>
              <w:rPr>
                <w:rFonts w:asciiTheme="minorHAnsi" w:hAnsiTheme="minorHAnsi" w:cstheme="minorHAnsi"/>
              </w:rPr>
            </w:pPr>
            <w:r w:rsidRPr="00755CA1">
              <w:rPr>
                <w:rFonts w:cstheme="minorHAnsi"/>
                <w:noProof/>
              </w:rPr>
              <w:drawing>
                <wp:inline distT="0" distB="0" distL="0" distR="0" wp14:anchorId="5F6BBE87" wp14:editId="43792466">
                  <wp:extent cx="312732" cy="312732"/>
                  <wp:effectExtent l="0" t="0" r="0" b="0"/>
                  <wp:docPr id="203" name="Picture 203"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16188" cy="316188"/>
                          </a:xfrm>
                          <a:prstGeom prst="rect">
                            <a:avLst/>
                          </a:prstGeom>
                        </pic:spPr>
                      </pic:pic>
                    </a:graphicData>
                  </a:graphic>
                </wp:inline>
              </w:drawing>
            </w:r>
          </w:p>
        </w:tc>
        <w:tc>
          <w:tcPr>
            <w:tcW w:w="1134" w:type="dxa"/>
            <w:tcBorders>
              <w:top w:val="dashSmallGap" w:sz="4" w:space="0" w:color="D04A02" w:themeColor="accent1"/>
              <w:bottom w:val="single" w:sz="4" w:space="0" w:color="D04A02" w:themeColor="accent1"/>
            </w:tcBorders>
            <w:tcMar>
              <w:top w:w="28" w:type="dxa"/>
              <w:left w:w="85" w:type="dxa"/>
              <w:bottom w:w="28" w:type="dxa"/>
              <w:right w:w="85" w:type="dxa"/>
            </w:tcMar>
          </w:tcPr>
          <w:p w14:paraId="47A9823A"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5D442BB5" wp14:editId="7ABA9573">
                  <wp:extent cx="288937" cy="288937"/>
                  <wp:effectExtent l="0" t="0" r="0" b="0"/>
                  <wp:docPr id="1948901200" name="Picture 1948901200"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90425" cy="290425"/>
                          </a:xfrm>
                          <a:prstGeom prst="rect">
                            <a:avLst/>
                          </a:prstGeom>
                        </pic:spPr>
                      </pic:pic>
                    </a:graphicData>
                  </a:graphic>
                </wp:inline>
              </w:drawing>
            </w:r>
          </w:p>
        </w:tc>
      </w:tr>
      <w:tr w:rsidR="000256E7" w:rsidRPr="00755CA1" w14:paraId="49C9476A" w14:textId="77777777" w:rsidTr="00755CA1">
        <w:tc>
          <w:tcPr>
            <w:tcW w:w="1706" w:type="dxa"/>
            <w:vMerge w:val="restart"/>
            <w:tcBorders>
              <w:top w:val="single" w:sz="4" w:space="0" w:color="D04A02" w:themeColor="accent1"/>
            </w:tcBorders>
            <w:shd w:val="clear" w:color="auto" w:fill="F2F2F2" w:themeFill="background1" w:themeFillShade="F2"/>
            <w:tcMar>
              <w:top w:w="28" w:type="dxa"/>
              <w:left w:w="85" w:type="dxa"/>
              <w:bottom w:w="28" w:type="dxa"/>
              <w:right w:w="85" w:type="dxa"/>
            </w:tcMar>
          </w:tcPr>
          <w:p w14:paraId="0AB85A05" w14:textId="77777777" w:rsidR="000256E7" w:rsidRPr="00755CA1" w:rsidRDefault="000256E7" w:rsidP="00755CA1">
            <w:pPr>
              <w:spacing w:before="0" w:line="269" w:lineRule="auto"/>
              <w:rPr>
                <w:rFonts w:asciiTheme="minorHAnsi" w:hAnsiTheme="minorHAnsi" w:cstheme="minorHAnsi"/>
                <w:b/>
                <w:bCs/>
              </w:rPr>
            </w:pPr>
            <w:r w:rsidRPr="00755CA1">
              <w:rPr>
                <w:rFonts w:asciiTheme="minorHAnsi" w:hAnsiTheme="minorHAnsi" w:cstheme="minorHAnsi"/>
                <w:b/>
                <w:bCs/>
              </w:rPr>
              <w:t>Workforce</w:t>
            </w:r>
          </w:p>
        </w:tc>
        <w:tc>
          <w:tcPr>
            <w:tcW w:w="4706" w:type="dxa"/>
            <w:tcBorders>
              <w:top w:val="single" w:sz="4" w:space="0" w:color="D04A02" w:themeColor="accent1"/>
              <w:bottom w:val="dashSmallGap" w:sz="4" w:space="0" w:color="D04A02" w:themeColor="accent1"/>
            </w:tcBorders>
            <w:tcMar>
              <w:top w:w="28" w:type="dxa"/>
              <w:left w:w="85" w:type="dxa"/>
              <w:bottom w:w="28" w:type="dxa"/>
              <w:right w:w="85" w:type="dxa"/>
            </w:tcMar>
          </w:tcPr>
          <w:p w14:paraId="5D622704" w14:textId="77777777" w:rsidR="000256E7" w:rsidRPr="00755CA1" w:rsidRDefault="000256E7" w:rsidP="00755CA1">
            <w:pPr>
              <w:spacing w:before="0" w:line="269" w:lineRule="auto"/>
              <w:rPr>
                <w:rFonts w:asciiTheme="minorHAnsi" w:hAnsiTheme="minorHAnsi" w:cstheme="minorHAnsi"/>
              </w:rPr>
            </w:pPr>
            <w:r w:rsidRPr="00755CA1">
              <w:rPr>
                <w:rFonts w:asciiTheme="minorHAnsi" w:hAnsiTheme="minorHAnsi" w:cstheme="minorHAnsi"/>
              </w:rPr>
              <w:t>Expand eligible qualifications</w:t>
            </w:r>
          </w:p>
        </w:tc>
        <w:tc>
          <w:tcPr>
            <w:tcW w:w="1134" w:type="dxa"/>
            <w:tcBorders>
              <w:top w:val="single" w:sz="4" w:space="0" w:color="D04A02" w:themeColor="accent1"/>
              <w:bottom w:val="dashSmallGap" w:sz="4" w:space="0" w:color="D04A02" w:themeColor="accent1"/>
            </w:tcBorders>
            <w:tcMar>
              <w:top w:w="28" w:type="dxa"/>
              <w:left w:w="85" w:type="dxa"/>
              <w:bottom w:w="28" w:type="dxa"/>
              <w:right w:w="85" w:type="dxa"/>
            </w:tcMar>
          </w:tcPr>
          <w:p w14:paraId="197F9CF2"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0EE042FC" wp14:editId="39029FD8">
                  <wp:extent cx="336526" cy="336526"/>
                  <wp:effectExtent l="0" t="0" r="0" b="6985"/>
                  <wp:docPr id="1948901201" name="Picture 1948901201"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39289" cy="339289"/>
                          </a:xfrm>
                          <a:prstGeom prst="rect">
                            <a:avLst/>
                          </a:prstGeom>
                        </pic:spPr>
                      </pic:pic>
                    </a:graphicData>
                  </a:graphic>
                </wp:inline>
              </w:drawing>
            </w:r>
          </w:p>
        </w:tc>
        <w:tc>
          <w:tcPr>
            <w:tcW w:w="1134" w:type="dxa"/>
            <w:tcBorders>
              <w:top w:val="single" w:sz="4" w:space="0" w:color="D04A02" w:themeColor="accent1"/>
              <w:bottom w:val="dashSmallGap" w:sz="4" w:space="0" w:color="D04A02" w:themeColor="accent1"/>
            </w:tcBorders>
            <w:tcMar>
              <w:top w:w="28" w:type="dxa"/>
              <w:left w:w="85" w:type="dxa"/>
              <w:bottom w:w="28" w:type="dxa"/>
              <w:right w:w="85" w:type="dxa"/>
            </w:tcMar>
          </w:tcPr>
          <w:p w14:paraId="4FB4B73F"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76032E8C" wp14:editId="5E498902">
                  <wp:extent cx="319405" cy="319405"/>
                  <wp:effectExtent l="0" t="0" r="4445" b="4445"/>
                  <wp:docPr id="1948901202" name="Picture 1948901202"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21462" cy="321462"/>
                          </a:xfrm>
                          <a:prstGeom prst="rect">
                            <a:avLst/>
                          </a:prstGeom>
                        </pic:spPr>
                      </pic:pic>
                    </a:graphicData>
                  </a:graphic>
                </wp:inline>
              </w:drawing>
            </w:r>
          </w:p>
        </w:tc>
        <w:tc>
          <w:tcPr>
            <w:tcW w:w="1134" w:type="dxa"/>
            <w:tcBorders>
              <w:top w:val="single" w:sz="4" w:space="0" w:color="D04A02" w:themeColor="accent1"/>
              <w:bottom w:val="dashSmallGap" w:sz="4" w:space="0" w:color="D04A02" w:themeColor="accent1"/>
            </w:tcBorders>
            <w:tcMar>
              <w:top w:w="28" w:type="dxa"/>
              <w:left w:w="85" w:type="dxa"/>
              <w:bottom w:w="28" w:type="dxa"/>
              <w:right w:w="85" w:type="dxa"/>
            </w:tcMar>
          </w:tcPr>
          <w:p w14:paraId="62E6C2BA"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5560A1A9" wp14:editId="1AB20EDD">
                  <wp:extent cx="312731" cy="312731"/>
                  <wp:effectExtent l="0" t="0" r="0" b="0"/>
                  <wp:docPr id="1948901203" name="Picture 1948901203"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17164" cy="317164"/>
                          </a:xfrm>
                          <a:prstGeom prst="rect">
                            <a:avLst/>
                          </a:prstGeom>
                        </pic:spPr>
                      </pic:pic>
                    </a:graphicData>
                  </a:graphic>
                </wp:inline>
              </w:drawing>
            </w:r>
          </w:p>
        </w:tc>
      </w:tr>
      <w:tr w:rsidR="000256E7" w:rsidRPr="00755CA1" w14:paraId="1A6FC6BE" w14:textId="77777777" w:rsidTr="00755CA1">
        <w:tc>
          <w:tcPr>
            <w:tcW w:w="1706" w:type="dxa"/>
            <w:vMerge/>
            <w:shd w:val="clear" w:color="auto" w:fill="F2F2F2" w:themeFill="background1" w:themeFillShade="F2"/>
            <w:tcMar>
              <w:top w:w="28" w:type="dxa"/>
              <w:left w:w="85" w:type="dxa"/>
              <w:bottom w:w="28" w:type="dxa"/>
              <w:right w:w="85" w:type="dxa"/>
            </w:tcMar>
          </w:tcPr>
          <w:p w14:paraId="49C59249" w14:textId="77777777" w:rsidR="000256E7" w:rsidRPr="00755CA1" w:rsidRDefault="000256E7" w:rsidP="00755CA1">
            <w:pPr>
              <w:spacing w:before="0" w:line="269" w:lineRule="auto"/>
              <w:rPr>
                <w:rFonts w:asciiTheme="minorHAnsi" w:hAnsiTheme="minorHAnsi" w:cstheme="minorHAnsi"/>
                <w:b/>
                <w:bCs/>
              </w:rPr>
            </w:pPr>
          </w:p>
        </w:tc>
        <w:tc>
          <w:tcPr>
            <w:tcW w:w="4706"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3B89E01F" w14:textId="77777777" w:rsidR="000256E7" w:rsidRPr="00755CA1" w:rsidRDefault="000256E7" w:rsidP="00755CA1">
            <w:pPr>
              <w:spacing w:before="0" w:line="269" w:lineRule="auto"/>
              <w:rPr>
                <w:rFonts w:asciiTheme="minorHAnsi" w:hAnsiTheme="minorHAnsi" w:cstheme="minorHAnsi"/>
              </w:rPr>
            </w:pPr>
            <w:r w:rsidRPr="00755CA1">
              <w:rPr>
                <w:rFonts w:asciiTheme="minorHAnsi" w:hAnsiTheme="minorHAnsi" w:cstheme="minorHAnsi"/>
              </w:rPr>
              <w:t>Support workforce pipeline for after hours and remote educators</w:t>
            </w:r>
          </w:p>
        </w:tc>
        <w:tc>
          <w:tcPr>
            <w:tcW w:w="1134"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3367EACA" w14:textId="2AF8B7E0" w:rsidR="000256E7" w:rsidRPr="00755CA1" w:rsidRDefault="00240238" w:rsidP="00755CA1">
            <w:pPr>
              <w:spacing w:before="0" w:line="269" w:lineRule="auto"/>
              <w:rPr>
                <w:rFonts w:asciiTheme="minorHAnsi" w:hAnsiTheme="minorHAnsi" w:cstheme="minorHAnsi"/>
              </w:rPr>
            </w:pPr>
            <w:r w:rsidRPr="00755CA1">
              <w:rPr>
                <w:rFonts w:cstheme="minorHAnsi"/>
                <w:noProof/>
              </w:rPr>
              <w:drawing>
                <wp:inline distT="0" distB="0" distL="0" distR="0" wp14:anchorId="22B2DD99" wp14:editId="42EC0C86">
                  <wp:extent cx="316131" cy="316131"/>
                  <wp:effectExtent l="0" t="0" r="0" b="8255"/>
                  <wp:docPr id="204" name="Picture 204"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9076" cy="319076"/>
                          </a:xfrm>
                          <a:prstGeom prst="rect">
                            <a:avLst/>
                          </a:prstGeom>
                        </pic:spPr>
                      </pic:pic>
                    </a:graphicData>
                  </a:graphic>
                </wp:inline>
              </w:drawing>
            </w:r>
          </w:p>
        </w:tc>
        <w:tc>
          <w:tcPr>
            <w:tcW w:w="1134"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34A725F1"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38846259" wp14:editId="18D9E889">
                  <wp:extent cx="343325" cy="343325"/>
                  <wp:effectExtent l="0" t="0" r="0" b="0"/>
                  <wp:docPr id="1948901205" name="Picture 1948901205"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47821" cy="347821"/>
                          </a:xfrm>
                          <a:prstGeom prst="rect">
                            <a:avLst/>
                          </a:prstGeom>
                        </pic:spPr>
                      </pic:pic>
                    </a:graphicData>
                  </a:graphic>
                </wp:inline>
              </w:drawing>
            </w:r>
          </w:p>
        </w:tc>
        <w:tc>
          <w:tcPr>
            <w:tcW w:w="1134"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0B67713C"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10949093" wp14:editId="5E8FDD8E">
                  <wp:extent cx="285226" cy="285226"/>
                  <wp:effectExtent l="0" t="0" r="635" b="635"/>
                  <wp:docPr id="1948901206" name="Picture 1948901206"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88344" cy="288344"/>
                          </a:xfrm>
                          <a:prstGeom prst="rect">
                            <a:avLst/>
                          </a:prstGeom>
                        </pic:spPr>
                      </pic:pic>
                    </a:graphicData>
                  </a:graphic>
                </wp:inline>
              </w:drawing>
            </w:r>
          </w:p>
        </w:tc>
      </w:tr>
      <w:tr w:rsidR="000256E7" w:rsidRPr="00755CA1" w14:paraId="01DC4E8A" w14:textId="77777777" w:rsidTr="00755CA1">
        <w:tc>
          <w:tcPr>
            <w:tcW w:w="1706" w:type="dxa"/>
            <w:vMerge/>
            <w:shd w:val="clear" w:color="auto" w:fill="F2F2F2" w:themeFill="background1" w:themeFillShade="F2"/>
            <w:tcMar>
              <w:top w:w="28" w:type="dxa"/>
              <w:left w:w="85" w:type="dxa"/>
              <w:bottom w:w="28" w:type="dxa"/>
              <w:right w:w="85" w:type="dxa"/>
            </w:tcMar>
          </w:tcPr>
          <w:p w14:paraId="4D28267D" w14:textId="77777777" w:rsidR="000256E7" w:rsidRPr="00755CA1" w:rsidRDefault="000256E7" w:rsidP="00755CA1">
            <w:pPr>
              <w:spacing w:before="0" w:line="269" w:lineRule="auto"/>
              <w:rPr>
                <w:rFonts w:asciiTheme="minorHAnsi" w:hAnsiTheme="minorHAnsi" w:cstheme="minorHAnsi"/>
                <w:b/>
                <w:bCs/>
              </w:rPr>
            </w:pPr>
          </w:p>
        </w:tc>
        <w:tc>
          <w:tcPr>
            <w:tcW w:w="4706"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18595D7C" w14:textId="77777777" w:rsidR="000256E7" w:rsidRPr="00755CA1" w:rsidRDefault="000256E7" w:rsidP="00755CA1">
            <w:pPr>
              <w:spacing w:before="0" w:line="269" w:lineRule="auto"/>
              <w:rPr>
                <w:rFonts w:asciiTheme="minorHAnsi" w:hAnsiTheme="minorHAnsi" w:cstheme="minorHAnsi"/>
              </w:rPr>
            </w:pPr>
            <w:r w:rsidRPr="00755CA1">
              <w:rPr>
                <w:rFonts w:asciiTheme="minorHAnsi" w:hAnsiTheme="minorHAnsi" w:cstheme="minorHAnsi"/>
              </w:rPr>
              <w:t>Broaden pool of available educators</w:t>
            </w:r>
          </w:p>
        </w:tc>
        <w:tc>
          <w:tcPr>
            <w:tcW w:w="1134"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376409E1"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41C4A6C1" wp14:editId="3C392CFE">
                  <wp:extent cx="333127" cy="333127"/>
                  <wp:effectExtent l="0" t="0" r="0" b="0"/>
                  <wp:docPr id="1948901207" name="Picture 1948901207"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38476" cy="338476"/>
                          </a:xfrm>
                          <a:prstGeom prst="rect">
                            <a:avLst/>
                          </a:prstGeom>
                        </pic:spPr>
                      </pic:pic>
                    </a:graphicData>
                  </a:graphic>
                </wp:inline>
              </w:drawing>
            </w:r>
          </w:p>
        </w:tc>
        <w:tc>
          <w:tcPr>
            <w:tcW w:w="1134"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13DBE08C"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5942814B" wp14:editId="112A24FE">
                  <wp:extent cx="329728" cy="329728"/>
                  <wp:effectExtent l="0" t="0" r="0" b="0"/>
                  <wp:docPr id="1948901208" name="Picture 1948901208"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33935" cy="333935"/>
                          </a:xfrm>
                          <a:prstGeom prst="rect">
                            <a:avLst/>
                          </a:prstGeom>
                        </pic:spPr>
                      </pic:pic>
                    </a:graphicData>
                  </a:graphic>
                </wp:inline>
              </w:drawing>
            </w:r>
          </w:p>
        </w:tc>
        <w:tc>
          <w:tcPr>
            <w:tcW w:w="1134"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75420C3C"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7591ABEF" wp14:editId="3BF0FE2A">
                  <wp:extent cx="288925" cy="288925"/>
                  <wp:effectExtent l="0" t="0" r="0" b="0"/>
                  <wp:docPr id="1948901209" name="Picture 1948901209"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91446" cy="291446"/>
                          </a:xfrm>
                          <a:prstGeom prst="rect">
                            <a:avLst/>
                          </a:prstGeom>
                        </pic:spPr>
                      </pic:pic>
                    </a:graphicData>
                  </a:graphic>
                </wp:inline>
              </w:drawing>
            </w:r>
          </w:p>
        </w:tc>
      </w:tr>
      <w:tr w:rsidR="000256E7" w:rsidRPr="00755CA1" w14:paraId="1EADFEE2" w14:textId="77777777" w:rsidTr="00755CA1">
        <w:tc>
          <w:tcPr>
            <w:tcW w:w="1706" w:type="dxa"/>
            <w:vMerge/>
            <w:tcBorders>
              <w:bottom w:val="single" w:sz="4" w:space="0" w:color="D04A02" w:themeColor="accent1"/>
            </w:tcBorders>
            <w:shd w:val="clear" w:color="auto" w:fill="F2F2F2" w:themeFill="background1" w:themeFillShade="F2"/>
            <w:tcMar>
              <w:top w:w="28" w:type="dxa"/>
              <w:left w:w="85" w:type="dxa"/>
              <w:bottom w:w="28" w:type="dxa"/>
              <w:right w:w="85" w:type="dxa"/>
            </w:tcMar>
          </w:tcPr>
          <w:p w14:paraId="7BBDB79B" w14:textId="77777777" w:rsidR="000256E7" w:rsidRPr="00755CA1" w:rsidRDefault="000256E7" w:rsidP="00755CA1">
            <w:pPr>
              <w:spacing w:before="0" w:line="269" w:lineRule="auto"/>
              <w:rPr>
                <w:rFonts w:asciiTheme="minorHAnsi" w:hAnsiTheme="minorHAnsi" w:cstheme="minorHAnsi"/>
                <w:b/>
                <w:bCs/>
              </w:rPr>
            </w:pPr>
          </w:p>
        </w:tc>
        <w:tc>
          <w:tcPr>
            <w:tcW w:w="4706" w:type="dxa"/>
            <w:tcBorders>
              <w:top w:val="dashSmallGap" w:sz="4" w:space="0" w:color="D04A02" w:themeColor="accent1"/>
              <w:bottom w:val="single" w:sz="4" w:space="0" w:color="D04A02" w:themeColor="accent1"/>
            </w:tcBorders>
            <w:tcMar>
              <w:top w:w="28" w:type="dxa"/>
              <w:left w:w="85" w:type="dxa"/>
              <w:bottom w:w="28" w:type="dxa"/>
              <w:right w:w="85" w:type="dxa"/>
            </w:tcMar>
          </w:tcPr>
          <w:p w14:paraId="3839AD59" w14:textId="77777777" w:rsidR="000256E7" w:rsidRPr="00755CA1" w:rsidRDefault="000256E7" w:rsidP="00755CA1">
            <w:pPr>
              <w:spacing w:before="0" w:line="269" w:lineRule="auto"/>
              <w:rPr>
                <w:rFonts w:asciiTheme="minorHAnsi" w:hAnsiTheme="minorHAnsi" w:cstheme="minorHAnsi"/>
              </w:rPr>
            </w:pPr>
            <w:r w:rsidRPr="00755CA1">
              <w:rPr>
                <w:rFonts w:asciiTheme="minorHAnsi" w:hAnsiTheme="minorHAnsi" w:cstheme="minorHAnsi"/>
              </w:rPr>
              <w:t>Upskill workforce to provide care to children with complex care needs</w:t>
            </w:r>
          </w:p>
        </w:tc>
        <w:tc>
          <w:tcPr>
            <w:tcW w:w="1134" w:type="dxa"/>
            <w:tcBorders>
              <w:top w:val="dashSmallGap" w:sz="4" w:space="0" w:color="D04A02" w:themeColor="accent1"/>
              <w:bottom w:val="single" w:sz="4" w:space="0" w:color="D04A02" w:themeColor="accent1"/>
            </w:tcBorders>
            <w:tcMar>
              <w:top w:w="28" w:type="dxa"/>
              <w:left w:w="85" w:type="dxa"/>
              <w:bottom w:w="28" w:type="dxa"/>
              <w:right w:w="85" w:type="dxa"/>
            </w:tcMar>
          </w:tcPr>
          <w:p w14:paraId="17BBF970"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2A17D22C" wp14:editId="50338878">
                  <wp:extent cx="326329" cy="326329"/>
                  <wp:effectExtent l="0" t="0" r="0" b="0"/>
                  <wp:docPr id="1948901210" name="Picture 1948901210"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34931" cy="334931"/>
                          </a:xfrm>
                          <a:prstGeom prst="rect">
                            <a:avLst/>
                          </a:prstGeom>
                        </pic:spPr>
                      </pic:pic>
                    </a:graphicData>
                  </a:graphic>
                </wp:inline>
              </w:drawing>
            </w:r>
          </w:p>
        </w:tc>
        <w:tc>
          <w:tcPr>
            <w:tcW w:w="1134" w:type="dxa"/>
            <w:tcBorders>
              <w:top w:val="dashSmallGap" w:sz="4" w:space="0" w:color="D04A02" w:themeColor="accent1"/>
              <w:bottom w:val="single" w:sz="4" w:space="0" w:color="D04A02" w:themeColor="accent1"/>
            </w:tcBorders>
            <w:tcMar>
              <w:top w:w="28" w:type="dxa"/>
              <w:left w:w="85" w:type="dxa"/>
              <w:bottom w:w="28" w:type="dxa"/>
              <w:right w:w="85" w:type="dxa"/>
            </w:tcMar>
          </w:tcPr>
          <w:p w14:paraId="215D09D1"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2145476B" wp14:editId="6FF61598">
                  <wp:extent cx="312732" cy="312732"/>
                  <wp:effectExtent l="0" t="0" r="0" b="0"/>
                  <wp:docPr id="1948901211" name="Picture 1948901211"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16188" cy="316188"/>
                          </a:xfrm>
                          <a:prstGeom prst="rect">
                            <a:avLst/>
                          </a:prstGeom>
                        </pic:spPr>
                      </pic:pic>
                    </a:graphicData>
                  </a:graphic>
                </wp:inline>
              </w:drawing>
            </w:r>
          </w:p>
        </w:tc>
        <w:tc>
          <w:tcPr>
            <w:tcW w:w="1134" w:type="dxa"/>
            <w:tcBorders>
              <w:top w:val="dashSmallGap" w:sz="4" w:space="0" w:color="D04A02" w:themeColor="accent1"/>
              <w:bottom w:val="single" w:sz="4" w:space="0" w:color="D04A02" w:themeColor="accent1"/>
            </w:tcBorders>
            <w:tcMar>
              <w:top w:w="28" w:type="dxa"/>
              <w:left w:w="85" w:type="dxa"/>
              <w:bottom w:w="28" w:type="dxa"/>
              <w:right w:w="85" w:type="dxa"/>
            </w:tcMar>
          </w:tcPr>
          <w:p w14:paraId="094E5F63"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77EB9FDC" wp14:editId="2E1D7C60">
                  <wp:extent cx="305511" cy="305511"/>
                  <wp:effectExtent l="0" t="0" r="0" b="0"/>
                  <wp:docPr id="1948901212" name="Picture 1948901212"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09500" cy="309500"/>
                          </a:xfrm>
                          <a:prstGeom prst="rect">
                            <a:avLst/>
                          </a:prstGeom>
                        </pic:spPr>
                      </pic:pic>
                    </a:graphicData>
                  </a:graphic>
                </wp:inline>
              </w:drawing>
            </w:r>
          </w:p>
        </w:tc>
      </w:tr>
      <w:tr w:rsidR="000256E7" w:rsidRPr="00755CA1" w14:paraId="003D9D38" w14:textId="77777777" w:rsidTr="00755CA1">
        <w:tc>
          <w:tcPr>
            <w:tcW w:w="1706" w:type="dxa"/>
            <w:vMerge w:val="restart"/>
            <w:tcBorders>
              <w:top w:val="single" w:sz="4" w:space="0" w:color="D04A02" w:themeColor="accent1"/>
            </w:tcBorders>
            <w:shd w:val="clear" w:color="auto" w:fill="F2F2F2" w:themeFill="background1" w:themeFillShade="F2"/>
            <w:tcMar>
              <w:top w:w="28" w:type="dxa"/>
              <w:left w:w="85" w:type="dxa"/>
              <w:bottom w:w="28" w:type="dxa"/>
              <w:right w:w="85" w:type="dxa"/>
            </w:tcMar>
          </w:tcPr>
          <w:p w14:paraId="1417D422" w14:textId="77777777" w:rsidR="000256E7" w:rsidRPr="00755CA1" w:rsidRDefault="000256E7" w:rsidP="00755CA1">
            <w:pPr>
              <w:spacing w:before="0" w:line="269" w:lineRule="auto"/>
              <w:rPr>
                <w:rFonts w:asciiTheme="minorHAnsi" w:hAnsiTheme="minorHAnsi" w:cstheme="minorHAnsi"/>
                <w:b/>
                <w:bCs/>
              </w:rPr>
            </w:pPr>
            <w:r w:rsidRPr="00755CA1">
              <w:rPr>
                <w:rFonts w:asciiTheme="minorHAnsi" w:hAnsiTheme="minorHAnsi" w:cstheme="minorHAnsi"/>
                <w:b/>
                <w:bCs/>
              </w:rPr>
              <w:t>Funding and fees</w:t>
            </w:r>
          </w:p>
        </w:tc>
        <w:tc>
          <w:tcPr>
            <w:tcW w:w="4706" w:type="dxa"/>
            <w:tcBorders>
              <w:top w:val="single" w:sz="4" w:space="0" w:color="D04A02" w:themeColor="accent1"/>
              <w:bottom w:val="dashSmallGap" w:sz="4" w:space="0" w:color="D04A02" w:themeColor="accent1"/>
            </w:tcBorders>
            <w:tcMar>
              <w:top w:w="28" w:type="dxa"/>
              <w:left w:w="85" w:type="dxa"/>
              <w:bottom w:w="28" w:type="dxa"/>
              <w:right w:w="85" w:type="dxa"/>
            </w:tcMar>
          </w:tcPr>
          <w:p w14:paraId="7131E062" w14:textId="4C64556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anchor distT="0" distB="0" distL="114300" distR="114300" simplePos="0" relativeHeight="251658244" behindDoc="1" locked="0" layoutInCell="1" allowOverlap="1" wp14:anchorId="0B81862B" wp14:editId="79FE4A42">
                  <wp:simplePos x="1804670" y="6035040"/>
                  <wp:positionH relativeFrom="margin">
                    <wp:align>left</wp:align>
                  </wp:positionH>
                  <wp:positionV relativeFrom="margin">
                    <wp:align>center</wp:align>
                  </wp:positionV>
                  <wp:extent cx="287655" cy="287655"/>
                  <wp:effectExtent l="0" t="0" r="0" b="0"/>
                  <wp:wrapTight wrapText="bothSides">
                    <wp:wrapPolygon edited="0">
                      <wp:start x="5722" y="0"/>
                      <wp:lineTo x="0" y="7152"/>
                      <wp:lineTo x="0" y="12874"/>
                      <wp:lineTo x="5722" y="20026"/>
                      <wp:lineTo x="14305" y="20026"/>
                      <wp:lineTo x="20026" y="12874"/>
                      <wp:lineTo x="20026" y="7152"/>
                      <wp:lineTo x="14305" y="0"/>
                      <wp:lineTo x="5722" y="0"/>
                    </wp:wrapPolygon>
                  </wp:wrapTight>
                  <wp:docPr id="6" name="Picture 6"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adge Tick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2404F4" w:rsidRPr="00755CA1">
              <w:rPr>
                <w:rFonts w:cstheme="minorHAnsi"/>
                <w:noProof/>
              </w:rPr>
              <w:t>Providing funding aligned to family needs</w:t>
            </w:r>
          </w:p>
        </w:tc>
        <w:tc>
          <w:tcPr>
            <w:tcW w:w="1134" w:type="dxa"/>
            <w:tcBorders>
              <w:top w:val="single" w:sz="4" w:space="0" w:color="D04A02" w:themeColor="accent1"/>
              <w:bottom w:val="dashSmallGap" w:sz="4" w:space="0" w:color="D04A02" w:themeColor="accent1"/>
            </w:tcBorders>
            <w:tcMar>
              <w:top w:w="28" w:type="dxa"/>
              <w:left w:w="85" w:type="dxa"/>
              <w:bottom w:w="28" w:type="dxa"/>
              <w:right w:w="85" w:type="dxa"/>
            </w:tcMar>
          </w:tcPr>
          <w:p w14:paraId="217A0D1C"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6B3756D9" wp14:editId="1062A6EC">
                  <wp:extent cx="346724" cy="346724"/>
                  <wp:effectExtent l="0" t="0" r="0" b="0"/>
                  <wp:docPr id="1948901213" name="Picture 1948901213"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49054" cy="349054"/>
                          </a:xfrm>
                          <a:prstGeom prst="rect">
                            <a:avLst/>
                          </a:prstGeom>
                        </pic:spPr>
                      </pic:pic>
                    </a:graphicData>
                  </a:graphic>
                </wp:inline>
              </w:drawing>
            </w:r>
          </w:p>
        </w:tc>
        <w:tc>
          <w:tcPr>
            <w:tcW w:w="1134" w:type="dxa"/>
            <w:tcBorders>
              <w:top w:val="single" w:sz="4" w:space="0" w:color="D04A02" w:themeColor="accent1"/>
              <w:bottom w:val="dashSmallGap" w:sz="4" w:space="0" w:color="D04A02" w:themeColor="accent1"/>
            </w:tcBorders>
            <w:tcMar>
              <w:top w:w="28" w:type="dxa"/>
              <w:left w:w="85" w:type="dxa"/>
              <w:bottom w:w="28" w:type="dxa"/>
              <w:right w:w="85" w:type="dxa"/>
            </w:tcMar>
          </w:tcPr>
          <w:p w14:paraId="6255A83D"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6AE22B95" wp14:editId="16031C55">
                  <wp:extent cx="333127" cy="333127"/>
                  <wp:effectExtent l="0" t="0" r="0" b="0"/>
                  <wp:docPr id="1948901214" name="Picture 1948901214"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37849" cy="337849"/>
                          </a:xfrm>
                          <a:prstGeom prst="rect">
                            <a:avLst/>
                          </a:prstGeom>
                        </pic:spPr>
                      </pic:pic>
                    </a:graphicData>
                  </a:graphic>
                </wp:inline>
              </w:drawing>
            </w:r>
          </w:p>
        </w:tc>
        <w:tc>
          <w:tcPr>
            <w:tcW w:w="1134" w:type="dxa"/>
            <w:tcBorders>
              <w:top w:val="single" w:sz="4" w:space="0" w:color="D04A02" w:themeColor="accent1"/>
              <w:bottom w:val="dashSmallGap" w:sz="4" w:space="0" w:color="D04A02" w:themeColor="accent1"/>
            </w:tcBorders>
            <w:tcMar>
              <w:top w:w="28" w:type="dxa"/>
              <w:left w:w="85" w:type="dxa"/>
              <w:bottom w:w="28" w:type="dxa"/>
              <w:right w:w="85" w:type="dxa"/>
            </w:tcMar>
          </w:tcPr>
          <w:p w14:paraId="0B24076D"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2F5AF9F8" wp14:editId="10B4190B">
                  <wp:extent cx="288937" cy="288937"/>
                  <wp:effectExtent l="0" t="0" r="0" b="0"/>
                  <wp:docPr id="1948901215" name="Picture 1948901215"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91722" cy="291722"/>
                          </a:xfrm>
                          <a:prstGeom prst="rect">
                            <a:avLst/>
                          </a:prstGeom>
                        </pic:spPr>
                      </pic:pic>
                    </a:graphicData>
                  </a:graphic>
                </wp:inline>
              </w:drawing>
            </w:r>
          </w:p>
        </w:tc>
      </w:tr>
      <w:tr w:rsidR="000256E7" w:rsidRPr="00755CA1" w14:paraId="6D2787BF" w14:textId="77777777" w:rsidTr="00755CA1">
        <w:tc>
          <w:tcPr>
            <w:tcW w:w="1706" w:type="dxa"/>
            <w:vMerge/>
            <w:shd w:val="clear" w:color="auto" w:fill="F2F2F2" w:themeFill="background1" w:themeFillShade="F2"/>
            <w:tcMar>
              <w:top w:w="28" w:type="dxa"/>
              <w:left w:w="85" w:type="dxa"/>
              <w:bottom w:w="28" w:type="dxa"/>
              <w:right w:w="85" w:type="dxa"/>
            </w:tcMar>
          </w:tcPr>
          <w:p w14:paraId="56C51ECC" w14:textId="77777777" w:rsidR="000256E7" w:rsidRPr="00755CA1" w:rsidRDefault="000256E7" w:rsidP="00755CA1">
            <w:pPr>
              <w:spacing w:before="0" w:line="269" w:lineRule="auto"/>
              <w:rPr>
                <w:rFonts w:asciiTheme="minorHAnsi" w:hAnsiTheme="minorHAnsi" w:cstheme="minorHAnsi"/>
                <w:b/>
                <w:bCs/>
              </w:rPr>
            </w:pPr>
          </w:p>
        </w:tc>
        <w:tc>
          <w:tcPr>
            <w:tcW w:w="4706"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633B4D74"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anchor distT="0" distB="0" distL="114300" distR="114300" simplePos="0" relativeHeight="251658245" behindDoc="1" locked="0" layoutInCell="1" allowOverlap="1" wp14:anchorId="0777F85B" wp14:editId="11619D16">
                  <wp:simplePos x="0" y="0"/>
                  <wp:positionH relativeFrom="margin">
                    <wp:posOffset>0</wp:posOffset>
                  </wp:positionH>
                  <wp:positionV relativeFrom="margin">
                    <wp:posOffset>45416</wp:posOffset>
                  </wp:positionV>
                  <wp:extent cx="287655" cy="287655"/>
                  <wp:effectExtent l="0" t="0" r="0" b="0"/>
                  <wp:wrapTight wrapText="bothSides">
                    <wp:wrapPolygon edited="0">
                      <wp:start x="5722" y="0"/>
                      <wp:lineTo x="0" y="7152"/>
                      <wp:lineTo x="0" y="12874"/>
                      <wp:lineTo x="5722" y="20026"/>
                      <wp:lineTo x="14305" y="20026"/>
                      <wp:lineTo x="20026" y="12874"/>
                      <wp:lineTo x="20026" y="7152"/>
                      <wp:lineTo x="14305" y="0"/>
                      <wp:lineTo x="5722" y="0"/>
                    </wp:wrapPolygon>
                  </wp:wrapTight>
                  <wp:docPr id="7" name="Picture 7"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adge Tick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55CA1">
              <w:rPr>
                <w:rFonts w:asciiTheme="minorHAnsi" w:hAnsiTheme="minorHAnsi" w:cstheme="minorHAnsi"/>
              </w:rPr>
              <w:t>Fund professional development opportunities for the workforce</w:t>
            </w:r>
          </w:p>
        </w:tc>
        <w:tc>
          <w:tcPr>
            <w:tcW w:w="1134"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75173F18"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564FB1F4" wp14:editId="34BB04F9">
                  <wp:extent cx="319530" cy="319530"/>
                  <wp:effectExtent l="0" t="0" r="0" b="4445"/>
                  <wp:docPr id="1948901216" name="Picture 1948901216"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21950" cy="321950"/>
                          </a:xfrm>
                          <a:prstGeom prst="rect">
                            <a:avLst/>
                          </a:prstGeom>
                        </pic:spPr>
                      </pic:pic>
                    </a:graphicData>
                  </a:graphic>
                </wp:inline>
              </w:drawing>
            </w:r>
          </w:p>
        </w:tc>
        <w:tc>
          <w:tcPr>
            <w:tcW w:w="1134"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17DC6166"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7DE7DA81" wp14:editId="05BAA6B1">
                  <wp:extent cx="312732" cy="312732"/>
                  <wp:effectExtent l="0" t="0" r="0" b="0"/>
                  <wp:docPr id="1948901217" name="Picture 1948901217"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16616" cy="316616"/>
                          </a:xfrm>
                          <a:prstGeom prst="rect">
                            <a:avLst/>
                          </a:prstGeom>
                        </pic:spPr>
                      </pic:pic>
                    </a:graphicData>
                  </a:graphic>
                </wp:inline>
              </w:drawing>
            </w:r>
          </w:p>
        </w:tc>
        <w:tc>
          <w:tcPr>
            <w:tcW w:w="1134"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7C914C42"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6DB37C94" wp14:editId="64998CCB">
                  <wp:extent cx="312732" cy="312732"/>
                  <wp:effectExtent l="0" t="0" r="0" b="0"/>
                  <wp:docPr id="1948901218" name="Picture 1948901218"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316508" cy="316508"/>
                          </a:xfrm>
                          <a:prstGeom prst="rect">
                            <a:avLst/>
                          </a:prstGeom>
                        </pic:spPr>
                      </pic:pic>
                    </a:graphicData>
                  </a:graphic>
                </wp:inline>
              </w:drawing>
            </w:r>
          </w:p>
        </w:tc>
      </w:tr>
      <w:tr w:rsidR="000256E7" w:rsidRPr="00755CA1" w14:paraId="428D7394" w14:textId="77777777" w:rsidTr="00755CA1">
        <w:tc>
          <w:tcPr>
            <w:tcW w:w="1706" w:type="dxa"/>
            <w:vMerge/>
            <w:tcBorders>
              <w:bottom w:val="single" w:sz="4" w:space="0" w:color="D04A02" w:themeColor="accent1"/>
            </w:tcBorders>
            <w:shd w:val="clear" w:color="auto" w:fill="F2F2F2" w:themeFill="background1" w:themeFillShade="F2"/>
            <w:tcMar>
              <w:top w:w="28" w:type="dxa"/>
              <w:left w:w="85" w:type="dxa"/>
              <w:bottom w:w="28" w:type="dxa"/>
              <w:right w:w="85" w:type="dxa"/>
            </w:tcMar>
          </w:tcPr>
          <w:p w14:paraId="208F8953" w14:textId="77777777" w:rsidR="000256E7" w:rsidRPr="00755CA1" w:rsidRDefault="000256E7" w:rsidP="00755CA1">
            <w:pPr>
              <w:spacing w:before="0" w:line="269" w:lineRule="auto"/>
              <w:rPr>
                <w:rFonts w:asciiTheme="minorHAnsi" w:hAnsiTheme="minorHAnsi" w:cstheme="minorHAnsi"/>
                <w:b/>
                <w:bCs/>
              </w:rPr>
            </w:pPr>
          </w:p>
        </w:tc>
        <w:tc>
          <w:tcPr>
            <w:tcW w:w="4706" w:type="dxa"/>
            <w:tcBorders>
              <w:top w:val="dashSmallGap" w:sz="4" w:space="0" w:color="D04A02" w:themeColor="accent1"/>
              <w:bottom w:val="single" w:sz="4" w:space="0" w:color="D04A02" w:themeColor="accent1"/>
            </w:tcBorders>
            <w:tcMar>
              <w:top w:w="28" w:type="dxa"/>
              <w:left w:w="85" w:type="dxa"/>
              <w:bottom w:w="28" w:type="dxa"/>
              <w:right w:w="85" w:type="dxa"/>
            </w:tcMar>
          </w:tcPr>
          <w:p w14:paraId="3D93EE06" w14:textId="77777777" w:rsidR="000256E7" w:rsidRPr="00755CA1" w:rsidRDefault="000256E7" w:rsidP="00755CA1">
            <w:pPr>
              <w:spacing w:before="0" w:line="269" w:lineRule="auto"/>
              <w:rPr>
                <w:rFonts w:asciiTheme="minorHAnsi" w:hAnsiTheme="minorHAnsi" w:cstheme="minorHAnsi"/>
              </w:rPr>
            </w:pPr>
            <w:r w:rsidRPr="00755CA1">
              <w:rPr>
                <w:rFonts w:asciiTheme="minorHAnsi" w:hAnsiTheme="minorHAnsi" w:cstheme="minorHAnsi"/>
              </w:rPr>
              <w:t>Block funding to support provider financial viability</w:t>
            </w:r>
          </w:p>
        </w:tc>
        <w:tc>
          <w:tcPr>
            <w:tcW w:w="1134" w:type="dxa"/>
            <w:tcBorders>
              <w:top w:val="dashSmallGap" w:sz="4" w:space="0" w:color="D04A02" w:themeColor="accent1"/>
              <w:bottom w:val="single" w:sz="4" w:space="0" w:color="D04A02" w:themeColor="accent1"/>
            </w:tcBorders>
            <w:tcMar>
              <w:top w:w="28" w:type="dxa"/>
              <w:left w:w="85" w:type="dxa"/>
              <w:bottom w:w="28" w:type="dxa"/>
              <w:right w:w="85" w:type="dxa"/>
            </w:tcMar>
          </w:tcPr>
          <w:p w14:paraId="6F1F30D9"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553CF227" wp14:editId="0B0D6984">
                  <wp:extent cx="346710" cy="346710"/>
                  <wp:effectExtent l="0" t="0" r="0" b="0"/>
                  <wp:docPr id="1948901219" name="Picture 1948901219"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48557" cy="348557"/>
                          </a:xfrm>
                          <a:prstGeom prst="rect">
                            <a:avLst/>
                          </a:prstGeom>
                        </pic:spPr>
                      </pic:pic>
                    </a:graphicData>
                  </a:graphic>
                </wp:inline>
              </w:drawing>
            </w:r>
          </w:p>
        </w:tc>
        <w:tc>
          <w:tcPr>
            <w:tcW w:w="1134" w:type="dxa"/>
            <w:tcBorders>
              <w:top w:val="dashSmallGap" w:sz="4" w:space="0" w:color="D04A02" w:themeColor="accent1"/>
              <w:bottom w:val="single" w:sz="4" w:space="0" w:color="D04A02" w:themeColor="accent1"/>
            </w:tcBorders>
            <w:tcMar>
              <w:top w:w="28" w:type="dxa"/>
              <w:left w:w="85" w:type="dxa"/>
              <w:bottom w:w="28" w:type="dxa"/>
              <w:right w:w="85" w:type="dxa"/>
            </w:tcMar>
          </w:tcPr>
          <w:p w14:paraId="1AA1D86A"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308B6D1E" wp14:editId="33244E8A">
                  <wp:extent cx="312732" cy="312732"/>
                  <wp:effectExtent l="0" t="0" r="0" b="0"/>
                  <wp:docPr id="1948901220" name="Picture 1948901220"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316379" cy="316379"/>
                          </a:xfrm>
                          <a:prstGeom prst="rect">
                            <a:avLst/>
                          </a:prstGeom>
                        </pic:spPr>
                      </pic:pic>
                    </a:graphicData>
                  </a:graphic>
                </wp:inline>
              </w:drawing>
            </w:r>
          </w:p>
        </w:tc>
        <w:tc>
          <w:tcPr>
            <w:tcW w:w="1134" w:type="dxa"/>
            <w:tcBorders>
              <w:top w:val="dashSmallGap" w:sz="4" w:space="0" w:color="D04A02" w:themeColor="accent1"/>
              <w:bottom w:val="single" w:sz="4" w:space="0" w:color="D04A02" w:themeColor="accent1"/>
            </w:tcBorders>
            <w:tcMar>
              <w:top w:w="28" w:type="dxa"/>
              <w:left w:w="85" w:type="dxa"/>
              <w:bottom w:w="28" w:type="dxa"/>
              <w:right w:w="85" w:type="dxa"/>
            </w:tcMar>
          </w:tcPr>
          <w:p w14:paraId="4DF81D6B"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5F1F4361" wp14:editId="683167A7">
                  <wp:extent cx="312732" cy="312732"/>
                  <wp:effectExtent l="0" t="0" r="0" b="0"/>
                  <wp:docPr id="1948901221" name="Picture 1948901221"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15788" cy="315788"/>
                          </a:xfrm>
                          <a:prstGeom prst="rect">
                            <a:avLst/>
                          </a:prstGeom>
                        </pic:spPr>
                      </pic:pic>
                    </a:graphicData>
                  </a:graphic>
                </wp:inline>
              </w:drawing>
            </w:r>
          </w:p>
        </w:tc>
      </w:tr>
      <w:tr w:rsidR="000256E7" w:rsidRPr="00755CA1" w14:paraId="0C373D51" w14:textId="77777777" w:rsidTr="00755CA1">
        <w:tc>
          <w:tcPr>
            <w:tcW w:w="1706" w:type="dxa"/>
            <w:vMerge w:val="restart"/>
            <w:tcBorders>
              <w:top w:val="single" w:sz="4" w:space="0" w:color="D04A02" w:themeColor="accent1"/>
            </w:tcBorders>
            <w:shd w:val="clear" w:color="auto" w:fill="F2F2F2" w:themeFill="background1" w:themeFillShade="F2"/>
            <w:tcMar>
              <w:top w:w="28" w:type="dxa"/>
              <w:left w:w="85" w:type="dxa"/>
              <w:bottom w:w="28" w:type="dxa"/>
              <w:right w:w="85" w:type="dxa"/>
            </w:tcMar>
          </w:tcPr>
          <w:p w14:paraId="4797C936" w14:textId="77777777" w:rsidR="000256E7" w:rsidRPr="00755CA1" w:rsidRDefault="000256E7" w:rsidP="00755CA1">
            <w:pPr>
              <w:spacing w:before="0" w:line="269" w:lineRule="auto"/>
              <w:rPr>
                <w:rFonts w:asciiTheme="minorHAnsi" w:hAnsiTheme="minorHAnsi" w:cstheme="minorHAnsi"/>
                <w:b/>
                <w:bCs/>
              </w:rPr>
            </w:pPr>
            <w:r w:rsidRPr="00755CA1">
              <w:rPr>
                <w:rFonts w:asciiTheme="minorHAnsi" w:hAnsiTheme="minorHAnsi" w:cstheme="minorHAnsi"/>
                <w:b/>
                <w:bCs/>
              </w:rPr>
              <w:t>Quality and Safety</w:t>
            </w:r>
          </w:p>
        </w:tc>
        <w:tc>
          <w:tcPr>
            <w:tcW w:w="4706" w:type="dxa"/>
            <w:tcBorders>
              <w:top w:val="single" w:sz="4" w:space="0" w:color="D04A02" w:themeColor="accent1"/>
              <w:bottom w:val="dashSmallGap" w:sz="4" w:space="0" w:color="D04A02" w:themeColor="accent1"/>
            </w:tcBorders>
            <w:tcMar>
              <w:top w:w="28" w:type="dxa"/>
              <w:left w:w="85" w:type="dxa"/>
              <w:bottom w:w="28" w:type="dxa"/>
              <w:right w:w="85" w:type="dxa"/>
            </w:tcMar>
          </w:tcPr>
          <w:p w14:paraId="250EEB4B"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anchor distT="0" distB="0" distL="114300" distR="114300" simplePos="0" relativeHeight="251658246" behindDoc="1" locked="0" layoutInCell="1" allowOverlap="1" wp14:anchorId="48F33DB1" wp14:editId="2B73B7DF">
                  <wp:simplePos x="0" y="0"/>
                  <wp:positionH relativeFrom="margin">
                    <wp:posOffset>3810</wp:posOffset>
                  </wp:positionH>
                  <wp:positionV relativeFrom="margin">
                    <wp:posOffset>0</wp:posOffset>
                  </wp:positionV>
                  <wp:extent cx="287655" cy="287655"/>
                  <wp:effectExtent l="0" t="0" r="0" b="0"/>
                  <wp:wrapTight wrapText="bothSides">
                    <wp:wrapPolygon edited="0">
                      <wp:start x="5722" y="0"/>
                      <wp:lineTo x="0" y="7152"/>
                      <wp:lineTo x="0" y="12874"/>
                      <wp:lineTo x="5722" y="20026"/>
                      <wp:lineTo x="14305" y="20026"/>
                      <wp:lineTo x="20026" y="12874"/>
                      <wp:lineTo x="20026" y="7152"/>
                      <wp:lineTo x="14305" y="0"/>
                      <wp:lineTo x="5722" y="0"/>
                    </wp:wrapPolygon>
                  </wp:wrapTight>
                  <wp:docPr id="8" name="Picture 8"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adge Tick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55CA1">
              <w:rPr>
                <w:rFonts w:asciiTheme="minorHAnsi" w:hAnsiTheme="minorHAnsi" w:cstheme="minorHAnsi"/>
              </w:rPr>
              <w:t>Improve data and IT systems for monitoring, reporting and oversight</w:t>
            </w:r>
          </w:p>
        </w:tc>
        <w:tc>
          <w:tcPr>
            <w:tcW w:w="1134" w:type="dxa"/>
            <w:tcBorders>
              <w:top w:val="single" w:sz="4" w:space="0" w:color="D04A02" w:themeColor="accent1"/>
              <w:bottom w:val="dashSmallGap" w:sz="4" w:space="0" w:color="D04A02" w:themeColor="accent1"/>
            </w:tcBorders>
            <w:tcMar>
              <w:top w:w="28" w:type="dxa"/>
              <w:left w:w="85" w:type="dxa"/>
              <w:bottom w:w="28" w:type="dxa"/>
              <w:right w:w="85" w:type="dxa"/>
            </w:tcMar>
          </w:tcPr>
          <w:p w14:paraId="48656B72"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2EEEB864" wp14:editId="3972FAD4">
                  <wp:extent cx="346724" cy="346724"/>
                  <wp:effectExtent l="0" t="0" r="0" b="0"/>
                  <wp:docPr id="1948901222" name="Picture 1948901222"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48847" cy="348847"/>
                          </a:xfrm>
                          <a:prstGeom prst="rect">
                            <a:avLst/>
                          </a:prstGeom>
                        </pic:spPr>
                      </pic:pic>
                    </a:graphicData>
                  </a:graphic>
                </wp:inline>
              </w:drawing>
            </w:r>
          </w:p>
        </w:tc>
        <w:tc>
          <w:tcPr>
            <w:tcW w:w="1134" w:type="dxa"/>
            <w:tcBorders>
              <w:top w:val="single" w:sz="4" w:space="0" w:color="D04A02" w:themeColor="accent1"/>
              <w:bottom w:val="dashSmallGap" w:sz="4" w:space="0" w:color="D04A02" w:themeColor="accent1"/>
            </w:tcBorders>
            <w:tcMar>
              <w:top w:w="28" w:type="dxa"/>
              <w:left w:w="85" w:type="dxa"/>
              <w:bottom w:w="28" w:type="dxa"/>
              <w:right w:w="85" w:type="dxa"/>
            </w:tcMar>
          </w:tcPr>
          <w:p w14:paraId="75D7CE06"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709A2E93" wp14:editId="12E5D402">
                  <wp:extent cx="312731" cy="312731"/>
                  <wp:effectExtent l="0" t="0" r="0" b="0"/>
                  <wp:docPr id="1948901223" name="Picture 1948901223"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16545" cy="316545"/>
                          </a:xfrm>
                          <a:prstGeom prst="rect">
                            <a:avLst/>
                          </a:prstGeom>
                        </pic:spPr>
                      </pic:pic>
                    </a:graphicData>
                  </a:graphic>
                </wp:inline>
              </w:drawing>
            </w:r>
          </w:p>
        </w:tc>
        <w:tc>
          <w:tcPr>
            <w:tcW w:w="1134" w:type="dxa"/>
            <w:tcBorders>
              <w:top w:val="single" w:sz="4" w:space="0" w:color="D04A02" w:themeColor="accent1"/>
              <w:bottom w:val="dashSmallGap" w:sz="4" w:space="0" w:color="D04A02" w:themeColor="accent1"/>
            </w:tcBorders>
            <w:tcMar>
              <w:top w:w="28" w:type="dxa"/>
              <w:left w:w="85" w:type="dxa"/>
              <w:bottom w:w="28" w:type="dxa"/>
              <w:right w:w="85" w:type="dxa"/>
            </w:tcMar>
          </w:tcPr>
          <w:p w14:paraId="7307C5AC"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349626FA" wp14:editId="4A625566">
                  <wp:extent cx="309320" cy="309320"/>
                  <wp:effectExtent l="0" t="0" r="0" b="0"/>
                  <wp:docPr id="1948901224" name="Picture 1948901224"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12891" cy="312891"/>
                          </a:xfrm>
                          <a:prstGeom prst="rect">
                            <a:avLst/>
                          </a:prstGeom>
                        </pic:spPr>
                      </pic:pic>
                    </a:graphicData>
                  </a:graphic>
                </wp:inline>
              </w:drawing>
            </w:r>
          </w:p>
        </w:tc>
      </w:tr>
      <w:tr w:rsidR="000256E7" w:rsidRPr="00755CA1" w14:paraId="2EC7A4F9" w14:textId="77777777" w:rsidTr="00755CA1">
        <w:tc>
          <w:tcPr>
            <w:tcW w:w="1706" w:type="dxa"/>
            <w:vMerge/>
            <w:tcBorders>
              <w:bottom w:val="single" w:sz="4" w:space="0" w:color="D04A02" w:themeColor="accent1"/>
            </w:tcBorders>
            <w:shd w:val="clear" w:color="auto" w:fill="F2F2F2" w:themeFill="background1" w:themeFillShade="F2"/>
            <w:tcMar>
              <w:top w:w="28" w:type="dxa"/>
              <w:left w:w="85" w:type="dxa"/>
              <w:bottom w:w="28" w:type="dxa"/>
              <w:right w:w="85" w:type="dxa"/>
            </w:tcMar>
          </w:tcPr>
          <w:p w14:paraId="3E37FA35" w14:textId="77777777" w:rsidR="000256E7" w:rsidRPr="00755CA1" w:rsidRDefault="000256E7" w:rsidP="00755CA1">
            <w:pPr>
              <w:spacing w:before="0" w:line="269" w:lineRule="auto"/>
              <w:rPr>
                <w:rFonts w:asciiTheme="minorHAnsi" w:hAnsiTheme="minorHAnsi" w:cstheme="minorHAnsi"/>
              </w:rPr>
            </w:pPr>
          </w:p>
        </w:tc>
        <w:tc>
          <w:tcPr>
            <w:tcW w:w="4706" w:type="dxa"/>
            <w:tcBorders>
              <w:top w:val="dashSmallGap" w:sz="4" w:space="0" w:color="D04A02" w:themeColor="accent1"/>
              <w:bottom w:val="single" w:sz="4" w:space="0" w:color="D04A02" w:themeColor="accent1"/>
            </w:tcBorders>
            <w:tcMar>
              <w:top w:w="28" w:type="dxa"/>
              <w:left w:w="85" w:type="dxa"/>
              <w:bottom w:w="28" w:type="dxa"/>
              <w:right w:w="85" w:type="dxa"/>
            </w:tcMar>
          </w:tcPr>
          <w:p w14:paraId="04869C6C"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anchor distT="0" distB="0" distL="114300" distR="114300" simplePos="0" relativeHeight="251658247" behindDoc="1" locked="0" layoutInCell="1" allowOverlap="1" wp14:anchorId="7025833F" wp14:editId="2C3E33C6">
                  <wp:simplePos x="0" y="0"/>
                  <wp:positionH relativeFrom="margin">
                    <wp:posOffset>3810</wp:posOffset>
                  </wp:positionH>
                  <wp:positionV relativeFrom="margin">
                    <wp:posOffset>0</wp:posOffset>
                  </wp:positionV>
                  <wp:extent cx="287655" cy="287655"/>
                  <wp:effectExtent l="0" t="0" r="0" b="0"/>
                  <wp:wrapTight wrapText="bothSides">
                    <wp:wrapPolygon edited="0">
                      <wp:start x="5722" y="0"/>
                      <wp:lineTo x="0" y="7152"/>
                      <wp:lineTo x="0" y="12874"/>
                      <wp:lineTo x="5722" y="20026"/>
                      <wp:lineTo x="14305" y="20026"/>
                      <wp:lineTo x="20026" y="12874"/>
                      <wp:lineTo x="20026" y="7152"/>
                      <wp:lineTo x="14305" y="0"/>
                      <wp:lineTo x="5722" y="0"/>
                    </wp:wrapPolygon>
                  </wp:wrapTight>
                  <wp:docPr id="9" name="Picture 9"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adge Tick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55CA1">
              <w:rPr>
                <w:rFonts w:asciiTheme="minorHAnsi" w:hAnsiTheme="minorHAnsi" w:cstheme="minorHAnsi"/>
              </w:rPr>
              <w:t>Enhance national consistency and quality of the program</w:t>
            </w:r>
          </w:p>
        </w:tc>
        <w:tc>
          <w:tcPr>
            <w:tcW w:w="1134" w:type="dxa"/>
            <w:tcBorders>
              <w:top w:val="dashSmallGap" w:sz="4" w:space="0" w:color="D04A02" w:themeColor="accent1"/>
              <w:bottom w:val="single" w:sz="4" w:space="0" w:color="D04A02" w:themeColor="accent1"/>
            </w:tcBorders>
            <w:tcMar>
              <w:top w:w="28" w:type="dxa"/>
              <w:left w:w="85" w:type="dxa"/>
              <w:bottom w:w="28" w:type="dxa"/>
              <w:right w:w="85" w:type="dxa"/>
            </w:tcMar>
          </w:tcPr>
          <w:p w14:paraId="3B2B948E"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439B26EE" wp14:editId="33AA6E7F">
                  <wp:extent cx="346724" cy="346724"/>
                  <wp:effectExtent l="0" t="0" r="0" b="0"/>
                  <wp:docPr id="83" name="Picture 83"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48847" cy="348847"/>
                          </a:xfrm>
                          <a:prstGeom prst="rect">
                            <a:avLst/>
                          </a:prstGeom>
                        </pic:spPr>
                      </pic:pic>
                    </a:graphicData>
                  </a:graphic>
                </wp:inline>
              </w:drawing>
            </w:r>
          </w:p>
        </w:tc>
        <w:tc>
          <w:tcPr>
            <w:tcW w:w="1134" w:type="dxa"/>
            <w:tcBorders>
              <w:top w:val="dashSmallGap" w:sz="4" w:space="0" w:color="D04A02" w:themeColor="accent1"/>
              <w:bottom w:val="single" w:sz="4" w:space="0" w:color="D04A02" w:themeColor="accent1"/>
            </w:tcBorders>
            <w:tcMar>
              <w:top w:w="28" w:type="dxa"/>
              <w:left w:w="85" w:type="dxa"/>
              <w:bottom w:w="28" w:type="dxa"/>
              <w:right w:w="85" w:type="dxa"/>
            </w:tcMar>
          </w:tcPr>
          <w:p w14:paraId="11EEE3B4"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28744E0D" wp14:editId="15353106">
                  <wp:extent cx="312731" cy="312731"/>
                  <wp:effectExtent l="0" t="0" r="0" b="0"/>
                  <wp:docPr id="84" name="Picture 84"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16545" cy="316545"/>
                          </a:xfrm>
                          <a:prstGeom prst="rect">
                            <a:avLst/>
                          </a:prstGeom>
                        </pic:spPr>
                      </pic:pic>
                    </a:graphicData>
                  </a:graphic>
                </wp:inline>
              </w:drawing>
            </w:r>
          </w:p>
        </w:tc>
        <w:tc>
          <w:tcPr>
            <w:tcW w:w="1134" w:type="dxa"/>
            <w:tcBorders>
              <w:top w:val="dashSmallGap" w:sz="4" w:space="0" w:color="D04A02" w:themeColor="accent1"/>
              <w:bottom w:val="single" w:sz="4" w:space="0" w:color="D04A02" w:themeColor="accent1"/>
            </w:tcBorders>
            <w:tcMar>
              <w:top w:w="28" w:type="dxa"/>
              <w:left w:w="85" w:type="dxa"/>
              <w:bottom w:w="28" w:type="dxa"/>
              <w:right w:w="85" w:type="dxa"/>
            </w:tcMar>
          </w:tcPr>
          <w:p w14:paraId="14A23B3F" w14:textId="77777777" w:rsidR="000256E7" w:rsidRPr="00755CA1" w:rsidRDefault="000256E7" w:rsidP="00755CA1">
            <w:pPr>
              <w:spacing w:before="0" w:line="269" w:lineRule="auto"/>
              <w:rPr>
                <w:rFonts w:asciiTheme="minorHAnsi" w:hAnsiTheme="minorHAnsi" w:cstheme="minorHAnsi"/>
              </w:rPr>
            </w:pPr>
            <w:r w:rsidRPr="00755CA1">
              <w:rPr>
                <w:rFonts w:cstheme="minorHAnsi"/>
                <w:noProof/>
              </w:rPr>
              <w:drawing>
                <wp:inline distT="0" distB="0" distL="0" distR="0" wp14:anchorId="7486A1EC" wp14:editId="264A8DF8">
                  <wp:extent cx="309320" cy="309320"/>
                  <wp:effectExtent l="0" t="0" r="0" b="0"/>
                  <wp:docPr id="87" name="Picture 87"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12891" cy="312891"/>
                          </a:xfrm>
                          <a:prstGeom prst="rect">
                            <a:avLst/>
                          </a:prstGeom>
                        </pic:spPr>
                      </pic:pic>
                    </a:graphicData>
                  </a:graphic>
                </wp:inline>
              </w:drawing>
            </w:r>
          </w:p>
        </w:tc>
      </w:tr>
    </w:tbl>
    <w:p w14:paraId="119D1ABA" w14:textId="7F0B92B5" w:rsidR="000256E7" w:rsidRPr="005054F8" w:rsidRDefault="000256E7" w:rsidP="005054F8">
      <w:pPr>
        <w:pStyle w:val="DocSpecalText"/>
      </w:pPr>
      <w:r w:rsidRPr="005054F8">
        <w:t xml:space="preserve">Key: </w:t>
      </w:r>
      <w:r w:rsidRPr="005054F8">
        <w:rPr>
          <w:rFonts w:cstheme="minorHAnsi"/>
          <w:noProof/>
        </w:rPr>
        <w:drawing>
          <wp:inline distT="0" distB="0" distL="0" distR="0" wp14:anchorId="71197A87" wp14:editId="3BDC77E8">
            <wp:extent cx="180000" cy="180000"/>
            <wp:effectExtent l="0" t="0" r="0" b="0"/>
            <wp:docPr id="10" name="Picture 10"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adge Tick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180000" cy="180000"/>
                    </a:xfrm>
                    <a:prstGeom prst="rect">
                      <a:avLst/>
                    </a:prstGeom>
                  </pic:spPr>
                </pic:pic>
              </a:graphicData>
            </a:graphic>
          </wp:inline>
        </w:drawing>
      </w:r>
      <w:r w:rsidRPr="005054F8">
        <w:t xml:space="preserve"> = Prioritised option. </w:t>
      </w:r>
      <w:r w:rsidRPr="00240238">
        <w:rPr>
          <w:b/>
          <w:color w:val="464646" w:themeColor="accent6"/>
        </w:rPr>
        <w:t>Grey</w:t>
      </w:r>
      <w:r w:rsidRPr="005054F8">
        <w:rPr>
          <w:b/>
          <w:color w:val="808080" w:themeColor="background1" w:themeShade="80"/>
        </w:rPr>
        <w:t xml:space="preserve"> </w:t>
      </w:r>
      <w:r w:rsidRPr="005054F8">
        <w:t xml:space="preserve">= no impact to families, </w:t>
      </w:r>
      <w:r w:rsidRPr="00240238">
        <w:rPr>
          <w:b/>
          <w:color w:val="D04A02" w:themeColor="accent1"/>
        </w:rPr>
        <w:t>Amber</w:t>
      </w:r>
      <w:r w:rsidRPr="005054F8">
        <w:rPr>
          <w:color w:val="EB8C00" w:themeColor="accent4"/>
        </w:rPr>
        <w:t xml:space="preserve"> </w:t>
      </w:r>
      <w:r w:rsidRPr="005054F8">
        <w:t xml:space="preserve">= moderate impact to families, </w:t>
      </w:r>
      <w:r w:rsidRPr="00240238">
        <w:rPr>
          <w:b/>
          <w:color w:val="175C2C"/>
        </w:rPr>
        <w:t>Green</w:t>
      </w:r>
      <w:r w:rsidRPr="005054F8">
        <w:rPr>
          <w:color w:val="00B050"/>
        </w:rPr>
        <w:t xml:space="preserve"> </w:t>
      </w:r>
      <w:r w:rsidRPr="005054F8">
        <w:t>= significant impact to families</w:t>
      </w:r>
      <w:r w:rsidR="005F5257">
        <w:t>.</w:t>
      </w:r>
      <w:r w:rsidR="006F396A">
        <w:t xml:space="preserve"> </w:t>
      </w:r>
      <w:r w:rsidR="008D78B6" w:rsidRPr="005F5257">
        <w:rPr>
          <w:rFonts w:cstheme="minorHAnsi"/>
          <w:noProof/>
        </w:rPr>
        <w:drawing>
          <wp:inline distT="0" distB="0" distL="0" distR="0" wp14:anchorId="7AF95530" wp14:editId="6A64E0D4">
            <wp:extent cx="200025" cy="200025"/>
            <wp:effectExtent l="0" t="0" r="0" b="9525"/>
            <wp:docPr id="2" name="Picture 2"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01257" cy="201257"/>
                    </a:xfrm>
                    <a:prstGeom prst="rect">
                      <a:avLst/>
                    </a:prstGeom>
                  </pic:spPr>
                </pic:pic>
              </a:graphicData>
            </a:graphic>
          </wp:inline>
        </w:drawing>
      </w:r>
      <w:r w:rsidR="008D78B6" w:rsidRPr="005F5257">
        <w:t xml:space="preserve"> </w:t>
      </w:r>
      <w:r w:rsidR="006F396A" w:rsidRPr="005F5257">
        <w:t xml:space="preserve">= </w:t>
      </w:r>
      <w:r w:rsidR="0081708D" w:rsidRPr="005F5257">
        <w:t>Families with c</w:t>
      </w:r>
      <w:r w:rsidR="008D78B6" w:rsidRPr="005F5257">
        <w:t>omplex and challenging needs</w:t>
      </w:r>
      <w:r w:rsidR="0081708D" w:rsidRPr="005F5257">
        <w:t>,</w:t>
      </w:r>
      <w:r w:rsidR="008D78B6" w:rsidRPr="005F5257">
        <w:t xml:space="preserve"> </w:t>
      </w:r>
      <w:r w:rsidR="008D78B6" w:rsidRPr="005F5257">
        <w:rPr>
          <w:rFonts w:cstheme="minorHAnsi"/>
          <w:noProof/>
        </w:rPr>
        <w:drawing>
          <wp:inline distT="0" distB="0" distL="0" distR="0" wp14:anchorId="73A43B61" wp14:editId="265FD601">
            <wp:extent cx="152400" cy="152400"/>
            <wp:effectExtent l="0" t="0" r="0" b="0"/>
            <wp:docPr id="3" name="Picture 3"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154236" cy="154236"/>
                    </a:xfrm>
                    <a:prstGeom prst="rect">
                      <a:avLst/>
                    </a:prstGeom>
                  </pic:spPr>
                </pic:pic>
              </a:graphicData>
            </a:graphic>
          </wp:inline>
        </w:drawing>
      </w:r>
      <w:r w:rsidR="008D78B6" w:rsidRPr="005F5257">
        <w:t xml:space="preserve"> </w:t>
      </w:r>
      <w:r w:rsidR="004E0C23" w:rsidRPr="005F5257">
        <w:t>= Families that work n</w:t>
      </w:r>
      <w:r w:rsidR="008D78B6" w:rsidRPr="005F5257">
        <w:t>on-standard hours</w:t>
      </w:r>
      <w:r w:rsidR="004E0C23" w:rsidRPr="005F5257">
        <w:t xml:space="preserve">, </w:t>
      </w:r>
      <w:r w:rsidR="008D78B6" w:rsidRPr="005F5257">
        <w:rPr>
          <w:rFonts w:cstheme="minorHAnsi"/>
          <w:noProof/>
        </w:rPr>
        <w:drawing>
          <wp:inline distT="0" distB="0" distL="0" distR="0" wp14:anchorId="0B2EA02C" wp14:editId="0220E900">
            <wp:extent cx="153035" cy="153035"/>
            <wp:effectExtent l="0" t="0" r="0" b="0"/>
            <wp:docPr id="13" name="Picture 13"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flipH="1">
                      <a:off x="0" y="0"/>
                      <a:ext cx="155071" cy="155071"/>
                    </a:xfrm>
                    <a:prstGeom prst="rect">
                      <a:avLst/>
                    </a:prstGeom>
                  </pic:spPr>
                </pic:pic>
              </a:graphicData>
            </a:graphic>
          </wp:inline>
        </w:drawing>
      </w:r>
      <w:r w:rsidR="008D78B6" w:rsidRPr="005F5257">
        <w:t xml:space="preserve"> </w:t>
      </w:r>
      <w:r w:rsidR="004E0C23" w:rsidRPr="005F5257">
        <w:t xml:space="preserve">= </w:t>
      </w:r>
      <w:r w:rsidR="008D78B6" w:rsidRPr="005F5257">
        <w:t>Geographically isolated</w:t>
      </w:r>
      <w:r w:rsidR="004E0C23" w:rsidRPr="005F5257">
        <w:t xml:space="preserve"> families.</w:t>
      </w:r>
    </w:p>
    <w:p w14:paraId="2E0AC07D" w14:textId="6A3B8296" w:rsidR="004E1317" w:rsidRDefault="004E1317" w:rsidP="00995C20">
      <w:pPr>
        <w:pStyle w:val="DocBodyText"/>
      </w:pPr>
      <w:r w:rsidRPr="00BB2FC2">
        <w:t>Following an assessment and prioritisation process</w:t>
      </w:r>
      <w:r w:rsidR="00F77667">
        <w:t>,</w:t>
      </w:r>
      <w:r w:rsidR="003E4A00" w:rsidRPr="00BB2FC2">
        <w:t xml:space="preserve"> </w:t>
      </w:r>
      <w:r w:rsidRPr="00BB2FC2">
        <w:t xml:space="preserve">six key opportunities </w:t>
      </w:r>
      <w:r w:rsidR="00F77667">
        <w:t>were</w:t>
      </w:r>
      <w:r w:rsidRPr="00BB2FC2">
        <w:t xml:space="preserve"> </w:t>
      </w:r>
      <w:r w:rsidR="006E32AF" w:rsidRPr="00BB2FC2">
        <w:t xml:space="preserve">identified </w:t>
      </w:r>
      <w:r w:rsidR="00175AB2" w:rsidRPr="00BB2FC2">
        <w:t>for the Department of Education to explore further</w:t>
      </w:r>
      <w:r w:rsidRPr="00BB2FC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9242"/>
      </w:tblGrid>
      <w:tr w:rsidR="00755CA1" w14:paraId="3E608145" w14:textId="77777777" w:rsidTr="00817865">
        <w:tc>
          <w:tcPr>
            <w:tcW w:w="490" w:type="dxa"/>
            <w:tcMar>
              <w:top w:w="57" w:type="dxa"/>
              <w:left w:w="28" w:type="dxa"/>
              <w:bottom w:w="57" w:type="dxa"/>
              <w:right w:w="28" w:type="dxa"/>
            </w:tcMar>
          </w:tcPr>
          <w:p w14:paraId="7E5F3D3C" w14:textId="2F1BCED7" w:rsidR="00755CA1" w:rsidRDefault="00755CA1" w:rsidP="00995C20">
            <w:pPr>
              <w:pStyle w:val="DocBodyText"/>
            </w:pPr>
            <w:r w:rsidRPr="00755CA1">
              <w:rPr>
                <w:rFonts w:cstheme="minorHAnsi"/>
                <w:noProof/>
                <w:szCs w:val="20"/>
              </w:rPr>
              <w:drawing>
                <wp:inline distT="0" distB="0" distL="0" distR="0" wp14:anchorId="58DAE64B" wp14:editId="60C1C36E">
                  <wp:extent cx="287655" cy="287655"/>
                  <wp:effectExtent l="0" t="0" r="0" b="0"/>
                  <wp:docPr id="17" name="Picture 17"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adge Tick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inline>
              </w:drawing>
            </w:r>
          </w:p>
        </w:tc>
        <w:tc>
          <w:tcPr>
            <w:tcW w:w="9251" w:type="dxa"/>
            <w:tcMar>
              <w:top w:w="57" w:type="dxa"/>
              <w:left w:w="28" w:type="dxa"/>
              <w:bottom w:w="57" w:type="dxa"/>
              <w:right w:w="28" w:type="dxa"/>
            </w:tcMar>
          </w:tcPr>
          <w:p w14:paraId="26BD11CC" w14:textId="6FACB73A" w:rsidR="00755CA1" w:rsidRDefault="00755CA1" w:rsidP="00755CA1">
            <w:pPr>
              <w:kinsoku w:val="0"/>
              <w:overflowPunct w:val="0"/>
              <w:autoSpaceDE w:val="0"/>
              <w:autoSpaceDN w:val="0"/>
              <w:adjustRightInd w:val="0"/>
              <w:snapToGrid w:val="0"/>
              <w:spacing w:before="0" w:line="281" w:lineRule="auto"/>
            </w:pPr>
            <w:r w:rsidRPr="00755CA1">
              <w:rPr>
                <w:b/>
                <w:bCs/>
                <w:szCs w:val="20"/>
              </w:rPr>
              <w:t>Make</w:t>
            </w:r>
            <w:r w:rsidRPr="00755CA1">
              <w:rPr>
                <w:b/>
                <w:szCs w:val="20"/>
              </w:rPr>
              <w:t xml:space="preserve"> access to IHC simpler for eligible families</w:t>
            </w:r>
            <w:r w:rsidRPr="00755CA1">
              <w:rPr>
                <w:szCs w:val="20"/>
              </w:rPr>
              <w:t xml:space="preserve"> by consolidating the assessment of family eligibility into a single, national support agency (or equivalent), publishing all IHC provider details online, and reducing the administrative requirements and frequency for families to confirm ongoing eligibility for IHC.</w:t>
            </w:r>
          </w:p>
        </w:tc>
      </w:tr>
      <w:tr w:rsidR="00755CA1" w14:paraId="0C4DDF18" w14:textId="77777777" w:rsidTr="00817865">
        <w:tc>
          <w:tcPr>
            <w:tcW w:w="490" w:type="dxa"/>
            <w:tcMar>
              <w:top w:w="57" w:type="dxa"/>
              <w:left w:w="28" w:type="dxa"/>
              <w:bottom w:w="57" w:type="dxa"/>
              <w:right w:w="28" w:type="dxa"/>
            </w:tcMar>
          </w:tcPr>
          <w:p w14:paraId="4BF0C326" w14:textId="53D264AA" w:rsidR="00755CA1" w:rsidRPr="00755CA1" w:rsidRDefault="00755CA1" w:rsidP="00995C20">
            <w:pPr>
              <w:pStyle w:val="DocBodyText"/>
              <w:rPr>
                <w:rFonts w:cstheme="minorHAnsi"/>
                <w:noProof/>
                <w:szCs w:val="20"/>
              </w:rPr>
            </w:pPr>
            <w:r w:rsidRPr="00755CA1">
              <w:rPr>
                <w:rFonts w:cstheme="minorHAnsi"/>
                <w:noProof/>
                <w:szCs w:val="20"/>
              </w:rPr>
              <w:lastRenderedPageBreak/>
              <w:drawing>
                <wp:inline distT="0" distB="0" distL="0" distR="0" wp14:anchorId="496CA3B3" wp14:editId="67D0F0FA">
                  <wp:extent cx="287655" cy="287655"/>
                  <wp:effectExtent l="0" t="0" r="0" b="0"/>
                  <wp:docPr id="18" name="Picture 18"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adge Tick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inline>
              </w:drawing>
            </w:r>
          </w:p>
        </w:tc>
        <w:tc>
          <w:tcPr>
            <w:tcW w:w="9251" w:type="dxa"/>
            <w:tcMar>
              <w:top w:w="57" w:type="dxa"/>
              <w:left w:w="28" w:type="dxa"/>
              <w:bottom w:w="57" w:type="dxa"/>
              <w:right w:w="28" w:type="dxa"/>
            </w:tcMar>
          </w:tcPr>
          <w:p w14:paraId="6E7B53E1" w14:textId="476FD5CD" w:rsidR="00755CA1" w:rsidRDefault="00817865" w:rsidP="00995C20">
            <w:pPr>
              <w:pStyle w:val="DocBodyText"/>
            </w:pPr>
            <w:r w:rsidRPr="00755CA1">
              <w:rPr>
                <w:b/>
                <w:szCs w:val="20"/>
              </w:rPr>
              <w:t>Empower and expand FDC offerings</w:t>
            </w:r>
            <w:r w:rsidRPr="00755CA1">
              <w:rPr>
                <w:szCs w:val="20"/>
              </w:rPr>
              <w:t xml:space="preserve"> by offering financial incentives for FDC services to provide ECEC for out-of-standard-hours care families and supporting alternative models of FDC to alleviate demand for IHC. These could be tested through an initial pilot program.</w:t>
            </w:r>
          </w:p>
        </w:tc>
      </w:tr>
      <w:tr w:rsidR="00755CA1" w14:paraId="4167B373" w14:textId="77777777" w:rsidTr="00817865">
        <w:tc>
          <w:tcPr>
            <w:tcW w:w="490" w:type="dxa"/>
            <w:tcMar>
              <w:top w:w="57" w:type="dxa"/>
              <w:left w:w="28" w:type="dxa"/>
              <w:bottom w:w="57" w:type="dxa"/>
              <w:right w:w="28" w:type="dxa"/>
            </w:tcMar>
          </w:tcPr>
          <w:p w14:paraId="6B60E89A" w14:textId="19429022" w:rsidR="00755CA1" w:rsidRPr="00755CA1" w:rsidRDefault="00755CA1" w:rsidP="00995C20">
            <w:pPr>
              <w:pStyle w:val="DocBodyText"/>
              <w:rPr>
                <w:rFonts w:cstheme="minorHAnsi"/>
                <w:b/>
                <w:bCs/>
                <w:noProof/>
                <w:szCs w:val="20"/>
              </w:rPr>
            </w:pPr>
            <w:r w:rsidRPr="00755CA1">
              <w:rPr>
                <w:rFonts w:cstheme="minorHAnsi"/>
                <w:noProof/>
                <w:szCs w:val="20"/>
              </w:rPr>
              <w:drawing>
                <wp:inline distT="0" distB="0" distL="0" distR="0" wp14:anchorId="29A037A1" wp14:editId="0282D5B6">
                  <wp:extent cx="287655" cy="287655"/>
                  <wp:effectExtent l="0" t="0" r="0" b="0"/>
                  <wp:docPr id="19" name="Picture 19"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adge Tick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inline>
              </w:drawing>
            </w:r>
          </w:p>
        </w:tc>
        <w:tc>
          <w:tcPr>
            <w:tcW w:w="9251" w:type="dxa"/>
            <w:tcMar>
              <w:top w:w="57" w:type="dxa"/>
              <w:left w:w="28" w:type="dxa"/>
              <w:bottom w:w="57" w:type="dxa"/>
              <w:right w:w="28" w:type="dxa"/>
            </w:tcMar>
          </w:tcPr>
          <w:p w14:paraId="7FC84764" w14:textId="5CC5C6B4" w:rsidR="00755CA1" w:rsidRDefault="00817865" w:rsidP="00995C20">
            <w:pPr>
              <w:pStyle w:val="DocBodyText"/>
            </w:pPr>
            <w:r w:rsidRPr="00755CA1">
              <w:rPr>
                <w:b/>
                <w:szCs w:val="20"/>
              </w:rPr>
              <w:t>Provide funding aligned to family needs</w:t>
            </w:r>
            <w:r w:rsidRPr="00755CA1">
              <w:rPr>
                <w:szCs w:val="20"/>
              </w:rPr>
              <w:t xml:space="preserve"> that factor in complex and challenge needs, and additional costs associated with delivery of IHC that are not currently covered. While this could be achieved through either amending the existing CCS/ACCS scheme, block funding to IHC providers, or a dedicated, per family driven IHC subsidy scheme, the optimal funding mechanism requires further investigation.</w:t>
            </w:r>
          </w:p>
        </w:tc>
      </w:tr>
      <w:tr w:rsidR="00755CA1" w14:paraId="02FA5A5C" w14:textId="77777777" w:rsidTr="00817865">
        <w:tc>
          <w:tcPr>
            <w:tcW w:w="490" w:type="dxa"/>
            <w:tcMar>
              <w:top w:w="57" w:type="dxa"/>
              <w:left w:w="28" w:type="dxa"/>
              <w:bottom w:w="57" w:type="dxa"/>
              <w:right w:w="28" w:type="dxa"/>
            </w:tcMar>
          </w:tcPr>
          <w:p w14:paraId="0090D4CF" w14:textId="55DE34FC" w:rsidR="00755CA1" w:rsidRPr="00755CA1" w:rsidRDefault="00755CA1" w:rsidP="00995C20">
            <w:pPr>
              <w:pStyle w:val="DocBodyText"/>
              <w:rPr>
                <w:rFonts w:cstheme="minorHAnsi"/>
                <w:b/>
                <w:bCs/>
                <w:noProof/>
                <w:szCs w:val="20"/>
              </w:rPr>
            </w:pPr>
            <w:r w:rsidRPr="00755CA1">
              <w:rPr>
                <w:rFonts w:cstheme="minorHAnsi"/>
                <w:noProof/>
                <w:szCs w:val="20"/>
              </w:rPr>
              <w:drawing>
                <wp:inline distT="0" distB="0" distL="0" distR="0" wp14:anchorId="48A37F10" wp14:editId="434E68A5">
                  <wp:extent cx="287655" cy="287655"/>
                  <wp:effectExtent l="0" t="0" r="0" b="0"/>
                  <wp:docPr id="21" name="Picture 2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adge Tick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inline>
              </w:drawing>
            </w:r>
          </w:p>
        </w:tc>
        <w:tc>
          <w:tcPr>
            <w:tcW w:w="9251" w:type="dxa"/>
            <w:tcMar>
              <w:top w:w="57" w:type="dxa"/>
              <w:left w:w="28" w:type="dxa"/>
              <w:bottom w:w="57" w:type="dxa"/>
              <w:right w:w="28" w:type="dxa"/>
            </w:tcMar>
          </w:tcPr>
          <w:p w14:paraId="4F40C60A" w14:textId="731EC7A0" w:rsidR="00755CA1" w:rsidRDefault="00817865" w:rsidP="00995C20">
            <w:pPr>
              <w:pStyle w:val="DocBodyText"/>
            </w:pPr>
            <w:r w:rsidRPr="00755CA1">
              <w:rPr>
                <w:b/>
                <w:szCs w:val="20"/>
              </w:rPr>
              <w:t xml:space="preserve">Fund professional development </w:t>
            </w:r>
            <w:r w:rsidRPr="00755CA1">
              <w:rPr>
                <w:szCs w:val="20"/>
              </w:rPr>
              <w:t>opportunities for the workforce to support quality of IHC for families, and to enhance the value proposition for educators.</w:t>
            </w:r>
            <w:r w:rsidRPr="00755CA1">
              <w:rPr>
                <w:rStyle w:val="FootnoteReference"/>
                <w:sz w:val="20"/>
                <w:szCs w:val="20"/>
              </w:rPr>
              <w:footnoteReference w:id="9"/>
            </w:r>
          </w:p>
        </w:tc>
      </w:tr>
      <w:tr w:rsidR="00755CA1" w14:paraId="32068C57" w14:textId="77777777" w:rsidTr="00817865">
        <w:tc>
          <w:tcPr>
            <w:tcW w:w="490" w:type="dxa"/>
            <w:tcMar>
              <w:top w:w="57" w:type="dxa"/>
              <w:left w:w="28" w:type="dxa"/>
              <w:bottom w:w="57" w:type="dxa"/>
              <w:right w:w="28" w:type="dxa"/>
            </w:tcMar>
          </w:tcPr>
          <w:p w14:paraId="28D67C56" w14:textId="0334B6F6" w:rsidR="00755CA1" w:rsidRPr="00755CA1" w:rsidRDefault="00755CA1" w:rsidP="00995C20">
            <w:pPr>
              <w:pStyle w:val="DocBodyText"/>
              <w:rPr>
                <w:rFonts w:cstheme="minorHAnsi"/>
                <w:noProof/>
                <w:szCs w:val="20"/>
              </w:rPr>
            </w:pPr>
            <w:r w:rsidRPr="00755CA1">
              <w:rPr>
                <w:rFonts w:cstheme="minorHAnsi"/>
                <w:noProof/>
                <w:szCs w:val="20"/>
              </w:rPr>
              <w:drawing>
                <wp:inline distT="0" distB="0" distL="0" distR="0" wp14:anchorId="185BAA33" wp14:editId="0F9D2E2A">
                  <wp:extent cx="287655" cy="287655"/>
                  <wp:effectExtent l="0" t="0" r="0" b="0"/>
                  <wp:docPr id="22" name="Picture 22"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adge Tick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inline>
              </w:drawing>
            </w:r>
          </w:p>
        </w:tc>
        <w:tc>
          <w:tcPr>
            <w:tcW w:w="9251" w:type="dxa"/>
            <w:tcMar>
              <w:top w:w="57" w:type="dxa"/>
              <w:left w:w="28" w:type="dxa"/>
              <w:bottom w:w="57" w:type="dxa"/>
              <w:right w:w="28" w:type="dxa"/>
            </w:tcMar>
          </w:tcPr>
          <w:p w14:paraId="476CBFCA" w14:textId="2AEAB36B" w:rsidR="00755CA1" w:rsidRDefault="00817865" w:rsidP="00995C20">
            <w:pPr>
              <w:pStyle w:val="DocBodyText"/>
            </w:pPr>
            <w:r w:rsidRPr="00755CA1">
              <w:rPr>
                <w:b/>
                <w:szCs w:val="20"/>
              </w:rPr>
              <w:t>Develop and implement streamlined and improved data and IT systems</w:t>
            </w:r>
            <w:r w:rsidRPr="00755CA1">
              <w:rPr>
                <w:szCs w:val="20"/>
              </w:rPr>
              <w:t xml:space="preserve"> for monitoring, reporting and oversight of the IHC program to strengthen quality and better support national planning and decision making.</w:t>
            </w:r>
          </w:p>
        </w:tc>
      </w:tr>
      <w:tr w:rsidR="00755CA1" w14:paraId="1EAFA825" w14:textId="77777777" w:rsidTr="00817865">
        <w:tc>
          <w:tcPr>
            <w:tcW w:w="490" w:type="dxa"/>
            <w:tcMar>
              <w:top w:w="57" w:type="dxa"/>
              <w:left w:w="28" w:type="dxa"/>
              <w:bottom w:w="57" w:type="dxa"/>
              <w:right w:w="28" w:type="dxa"/>
            </w:tcMar>
          </w:tcPr>
          <w:p w14:paraId="24439A17" w14:textId="6903EE25" w:rsidR="00755CA1" w:rsidRPr="00755CA1" w:rsidRDefault="00755CA1" w:rsidP="00995C20">
            <w:pPr>
              <w:pStyle w:val="DocBodyText"/>
              <w:rPr>
                <w:rFonts w:cstheme="minorHAnsi"/>
                <w:noProof/>
                <w:szCs w:val="20"/>
              </w:rPr>
            </w:pPr>
            <w:r w:rsidRPr="00755CA1">
              <w:rPr>
                <w:rFonts w:cstheme="minorHAnsi"/>
                <w:noProof/>
                <w:szCs w:val="20"/>
              </w:rPr>
              <w:drawing>
                <wp:inline distT="0" distB="0" distL="0" distR="0" wp14:anchorId="56D3E10D" wp14:editId="196D80DF">
                  <wp:extent cx="287655" cy="287655"/>
                  <wp:effectExtent l="0" t="0" r="0" b="0"/>
                  <wp:docPr id="23" name="Picture 23"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adge Tick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inline>
              </w:drawing>
            </w:r>
          </w:p>
        </w:tc>
        <w:tc>
          <w:tcPr>
            <w:tcW w:w="9251" w:type="dxa"/>
            <w:tcMar>
              <w:top w:w="57" w:type="dxa"/>
              <w:left w:w="28" w:type="dxa"/>
              <w:bottom w:w="57" w:type="dxa"/>
              <w:right w:w="28" w:type="dxa"/>
            </w:tcMar>
          </w:tcPr>
          <w:p w14:paraId="507B210C" w14:textId="7BEEF37A" w:rsidR="00755CA1" w:rsidRDefault="00817865" w:rsidP="00995C20">
            <w:pPr>
              <w:pStyle w:val="DocBodyText"/>
            </w:pPr>
            <w:r w:rsidRPr="00755CA1">
              <w:rPr>
                <w:b/>
                <w:szCs w:val="20"/>
              </w:rPr>
              <w:t xml:space="preserve">Enhance national consistency and quality of the program </w:t>
            </w:r>
            <w:r w:rsidRPr="00755CA1">
              <w:rPr>
                <w:szCs w:val="20"/>
              </w:rPr>
              <w:t>by continuing to work with the Australian Children's Education and Care Quality Authority (ACECQA) to develop an enhanced IHC national framework and supporting IHC Standards</w:t>
            </w:r>
            <w:r w:rsidRPr="00755CA1">
              <w:rPr>
                <w:rStyle w:val="FootnoteReference"/>
                <w:sz w:val="20"/>
                <w:szCs w:val="20"/>
              </w:rPr>
              <w:footnoteReference w:id="10"/>
            </w:r>
            <w:r w:rsidRPr="00755CA1">
              <w:rPr>
                <w:szCs w:val="20"/>
              </w:rPr>
              <w:t>.</w:t>
            </w:r>
          </w:p>
        </w:tc>
      </w:tr>
    </w:tbl>
    <w:p w14:paraId="538600F2" w14:textId="1B12850E" w:rsidR="007D7BF5" w:rsidRPr="00817865" w:rsidRDefault="007D7BF5" w:rsidP="00817865">
      <w:pPr>
        <w:kinsoku w:val="0"/>
        <w:overflowPunct w:val="0"/>
        <w:autoSpaceDE w:val="0"/>
        <w:autoSpaceDN w:val="0"/>
        <w:adjustRightInd w:val="0"/>
        <w:snapToGrid w:val="0"/>
        <w:spacing w:before="0" w:after="0" w:line="281" w:lineRule="auto"/>
        <w:rPr>
          <w:szCs w:val="20"/>
        </w:rPr>
      </w:pPr>
    </w:p>
    <w:p w14:paraId="6BF415D2" w14:textId="0B779FD5" w:rsidR="0037436F" w:rsidRDefault="0037436F" w:rsidP="00995C20">
      <w:pPr>
        <w:pStyle w:val="DocBodyText"/>
      </w:pPr>
      <w:r w:rsidRPr="00BB2FC2">
        <w:t xml:space="preserve">Each of these opportunities present different risks and implementation timelines. </w:t>
      </w:r>
      <w:r w:rsidR="007F6DAF">
        <w:t>I</w:t>
      </w:r>
      <w:r w:rsidR="00F77667">
        <w:t>mplemented</w:t>
      </w:r>
      <w:r w:rsidRPr="00BB2FC2">
        <w:t xml:space="preserve"> together, the</w:t>
      </w:r>
      <w:r w:rsidR="007F6DAF">
        <w:t>se</w:t>
      </w:r>
      <w:r w:rsidRPr="00BB2FC2">
        <w:t xml:space="preserve"> could lead to significant improvements to equity, accessibility, affordability and quality of IHC </w:t>
      </w:r>
      <w:r w:rsidR="00F77667">
        <w:t xml:space="preserve">for the three </w:t>
      </w:r>
      <w:r w:rsidR="00D31644" w:rsidRPr="009D0705">
        <w:t>cohor</w:t>
      </w:r>
      <w:r w:rsidR="002E581F" w:rsidRPr="009D0705">
        <w:t>t</w:t>
      </w:r>
      <w:r w:rsidR="00D31644" w:rsidRPr="009D0705">
        <w:t>s</w:t>
      </w:r>
      <w:r w:rsidR="00F77667">
        <w:t xml:space="preserve"> of families who </w:t>
      </w:r>
      <w:r w:rsidR="002E581F">
        <w:t>access</w:t>
      </w:r>
      <w:r w:rsidR="00F77667">
        <w:t xml:space="preserve"> IHC as the only</w:t>
      </w:r>
      <w:r w:rsidR="002E581F">
        <w:t xml:space="preserve"> form</w:t>
      </w:r>
      <w:r w:rsidR="00FC5C47">
        <w:t xml:space="preserve"> of</w:t>
      </w:r>
      <w:r w:rsidR="00F77667">
        <w:t xml:space="preserve"> ECEC they are able to access.</w:t>
      </w:r>
    </w:p>
    <w:p w14:paraId="6463E3A2" w14:textId="77777777" w:rsidR="000256E7" w:rsidRPr="000256E7" w:rsidRDefault="000256E7" w:rsidP="0047703B">
      <w:pPr>
        <w:pStyle w:val="DocHeading01"/>
      </w:pPr>
      <w:bookmarkStart w:id="11" w:name="_Toc139022121"/>
      <w:bookmarkStart w:id="12" w:name="_Toc140148400"/>
      <w:bookmarkStart w:id="13" w:name="_Toc140149898"/>
      <w:r w:rsidRPr="000256E7">
        <w:lastRenderedPageBreak/>
        <w:t>Review of the IHC program – infographic summary</w:t>
      </w:r>
      <w:bookmarkEnd w:id="11"/>
      <w:bookmarkEnd w:id="12"/>
      <w:bookmarkEnd w:id="13"/>
    </w:p>
    <w:p w14:paraId="2BC8A739" w14:textId="3B92EBD8" w:rsidR="00937D5A" w:rsidRPr="003A26DA" w:rsidRDefault="00AE2FE1" w:rsidP="00C859A3">
      <w:pPr>
        <w:spacing w:before="240"/>
        <w:rPr>
          <w:i/>
          <w:iCs/>
          <w:color w:val="0070C0"/>
        </w:rPr>
      </w:pPr>
      <w:r>
        <w:rPr>
          <w:i/>
          <w:iCs/>
          <w:noProof/>
          <w:color w:val="0070C0"/>
        </w:rPr>
        <w:drawing>
          <wp:inline distT="0" distB="0" distL="0" distR="0" wp14:anchorId="2AA3DEFD" wp14:editId="016B4328">
            <wp:extent cx="5856051" cy="8286706"/>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80090" cy="8320722"/>
                    </a:xfrm>
                    <a:prstGeom prst="rect">
                      <a:avLst/>
                    </a:prstGeom>
                    <a:noFill/>
                    <a:ln>
                      <a:noFill/>
                    </a:ln>
                  </pic:spPr>
                </pic:pic>
              </a:graphicData>
            </a:graphic>
          </wp:inline>
        </w:drawing>
      </w:r>
    </w:p>
    <w:p w14:paraId="0037B752" w14:textId="77777777" w:rsidR="00D51DAC" w:rsidRDefault="00D51DAC">
      <w:pPr>
        <w:spacing w:before="0" w:line="281" w:lineRule="auto"/>
      </w:pPr>
    </w:p>
    <w:p w14:paraId="08604226" w14:textId="07724D28" w:rsidR="00AE2FE1" w:rsidRDefault="00AE2FE1">
      <w:pPr>
        <w:spacing w:before="0" w:line="281" w:lineRule="auto"/>
        <w:sectPr w:rsidR="00AE2FE1" w:rsidSect="0096550B">
          <w:headerReference w:type="default" r:id="rId43"/>
          <w:footerReference w:type="default" r:id="rId44"/>
          <w:pgSz w:w="11906" w:h="16838" w:code="9"/>
          <w:pgMar w:top="1247" w:right="737" w:bottom="1247" w:left="1418" w:header="720" w:footer="720" w:gutter="0"/>
          <w:cols w:space="284"/>
          <w:docGrid w:linePitch="360"/>
        </w:sectPr>
      </w:pPr>
      <w:r>
        <w:rPr>
          <w:noProof/>
        </w:rPr>
        <w:drawing>
          <wp:inline distT="0" distB="0" distL="0" distR="0" wp14:anchorId="5DB6F780" wp14:editId="05CC3DFA">
            <wp:extent cx="6186805" cy="8754745"/>
            <wp:effectExtent l="0" t="0" r="4445"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86805" cy="8754745"/>
                    </a:xfrm>
                    <a:prstGeom prst="rect">
                      <a:avLst/>
                    </a:prstGeom>
                    <a:noFill/>
                    <a:ln>
                      <a:noFill/>
                    </a:ln>
                  </pic:spPr>
                </pic:pic>
              </a:graphicData>
            </a:graphic>
          </wp:inline>
        </w:drawing>
      </w:r>
    </w:p>
    <w:p w14:paraId="4D9AF93C" w14:textId="5F0CDE51" w:rsidR="009B581C" w:rsidRPr="005B0E9B" w:rsidRDefault="00F234FB" w:rsidP="005B0E9B">
      <w:pPr>
        <w:rPr>
          <w:rFonts w:asciiTheme="majorHAnsi" w:hAnsiTheme="majorHAnsi"/>
          <w:color w:val="D04A02" w:themeColor="accent1"/>
          <w:sz w:val="48"/>
          <w:szCs w:val="48"/>
        </w:rPr>
      </w:pPr>
      <w:r w:rsidRPr="005B0E9B">
        <w:rPr>
          <w:rFonts w:asciiTheme="majorHAnsi" w:hAnsiTheme="majorHAnsi"/>
          <w:color w:val="D04A02" w:themeColor="accent1"/>
          <w:sz w:val="48"/>
          <w:szCs w:val="48"/>
        </w:rPr>
        <w:lastRenderedPageBreak/>
        <w:t>Table of contents</w:t>
      </w:r>
    </w:p>
    <w:p w14:paraId="0BB9B746" w14:textId="4AFDD2FA" w:rsidR="005B0E9B" w:rsidRDefault="005B0E9B" w:rsidP="005B0E9B"/>
    <w:p w14:paraId="48C1A7F1" w14:textId="71127F9E" w:rsidR="009614A9" w:rsidRDefault="009614A9">
      <w:pPr>
        <w:pStyle w:val="TOC1"/>
        <w:rPr>
          <w:rFonts w:eastAsiaTheme="minorEastAsia"/>
          <w:b w:val="0"/>
          <w:bCs w:val="0"/>
          <w:sz w:val="22"/>
          <w:szCs w:val="22"/>
          <w:lang w:val="en-US"/>
        </w:rPr>
      </w:pPr>
      <w:r>
        <w:rPr>
          <w:rFonts w:ascii="Arial" w:eastAsia="Arial" w:hAnsi="Arial" w:cs="Times New Roman"/>
          <w:bCs w:val="0"/>
          <w:i/>
          <w:iCs/>
          <w:color w:val="F8981D"/>
          <w:sz w:val="32"/>
          <w:szCs w:val="28"/>
        </w:rPr>
        <w:fldChar w:fldCharType="begin"/>
      </w:r>
      <w:r>
        <w:rPr>
          <w:rFonts w:ascii="Arial" w:eastAsia="Arial" w:hAnsi="Arial" w:cs="Times New Roman"/>
          <w:bCs w:val="0"/>
          <w:i/>
          <w:iCs/>
          <w:color w:val="F8981D"/>
          <w:sz w:val="32"/>
          <w:szCs w:val="28"/>
        </w:rPr>
        <w:instrText xml:space="preserve"> TOC \h \z \t "Doc_Heading01,1,Doc_Heading02,2" </w:instrText>
      </w:r>
      <w:r>
        <w:rPr>
          <w:rFonts w:ascii="Arial" w:eastAsia="Arial" w:hAnsi="Arial" w:cs="Times New Roman"/>
          <w:bCs w:val="0"/>
          <w:i/>
          <w:iCs/>
          <w:color w:val="F8981D"/>
          <w:sz w:val="32"/>
          <w:szCs w:val="28"/>
        </w:rPr>
        <w:fldChar w:fldCharType="separate"/>
      </w:r>
      <w:hyperlink w:anchor="_Toc140149895" w:history="1">
        <w:r w:rsidRPr="00F75171">
          <w:rPr>
            <w:rStyle w:val="Hyperlink"/>
          </w:rPr>
          <w:t>Disclaimer</w:t>
        </w:r>
        <w:r>
          <w:rPr>
            <w:webHidden/>
          </w:rPr>
          <w:tab/>
        </w:r>
        <w:r>
          <w:rPr>
            <w:webHidden/>
          </w:rPr>
          <w:fldChar w:fldCharType="begin"/>
        </w:r>
        <w:r>
          <w:rPr>
            <w:webHidden/>
          </w:rPr>
          <w:instrText xml:space="preserve"> PAGEREF _Toc140149895 \h </w:instrText>
        </w:r>
        <w:r>
          <w:rPr>
            <w:webHidden/>
          </w:rPr>
        </w:r>
        <w:r>
          <w:rPr>
            <w:webHidden/>
          </w:rPr>
          <w:fldChar w:fldCharType="separate"/>
        </w:r>
        <w:r w:rsidR="00943DE9">
          <w:rPr>
            <w:webHidden/>
          </w:rPr>
          <w:t>2</w:t>
        </w:r>
        <w:r>
          <w:rPr>
            <w:webHidden/>
          </w:rPr>
          <w:fldChar w:fldCharType="end"/>
        </w:r>
      </w:hyperlink>
    </w:p>
    <w:p w14:paraId="4854B0DA" w14:textId="172E8F8F" w:rsidR="009614A9" w:rsidRDefault="00000000">
      <w:pPr>
        <w:pStyle w:val="TOC1"/>
        <w:rPr>
          <w:rFonts w:eastAsiaTheme="minorEastAsia"/>
          <w:b w:val="0"/>
          <w:bCs w:val="0"/>
          <w:sz w:val="22"/>
          <w:szCs w:val="22"/>
          <w:lang w:val="en-US"/>
        </w:rPr>
      </w:pPr>
      <w:hyperlink w:anchor="_Toc140149896" w:history="1">
        <w:r w:rsidR="009614A9" w:rsidRPr="00F75171">
          <w:rPr>
            <w:rStyle w:val="Hyperlink"/>
          </w:rPr>
          <w:t>Acknowledgement</w:t>
        </w:r>
        <w:r w:rsidR="009614A9">
          <w:rPr>
            <w:webHidden/>
          </w:rPr>
          <w:tab/>
        </w:r>
        <w:r w:rsidR="009614A9">
          <w:rPr>
            <w:webHidden/>
          </w:rPr>
          <w:fldChar w:fldCharType="begin"/>
        </w:r>
        <w:r w:rsidR="009614A9">
          <w:rPr>
            <w:webHidden/>
          </w:rPr>
          <w:instrText xml:space="preserve"> PAGEREF _Toc140149896 \h </w:instrText>
        </w:r>
        <w:r w:rsidR="009614A9">
          <w:rPr>
            <w:webHidden/>
          </w:rPr>
        </w:r>
        <w:r w:rsidR="009614A9">
          <w:rPr>
            <w:webHidden/>
          </w:rPr>
          <w:fldChar w:fldCharType="separate"/>
        </w:r>
        <w:r w:rsidR="00943DE9">
          <w:rPr>
            <w:webHidden/>
          </w:rPr>
          <w:t>3</w:t>
        </w:r>
        <w:r w:rsidR="009614A9">
          <w:rPr>
            <w:webHidden/>
          </w:rPr>
          <w:fldChar w:fldCharType="end"/>
        </w:r>
      </w:hyperlink>
    </w:p>
    <w:p w14:paraId="74116F0A" w14:textId="4F503FD1" w:rsidR="009614A9" w:rsidRDefault="00000000">
      <w:pPr>
        <w:pStyle w:val="TOC1"/>
        <w:rPr>
          <w:rFonts w:eastAsiaTheme="minorEastAsia"/>
          <w:b w:val="0"/>
          <w:bCs w:val="0"/>
          <w:sz w:val="22"/>
          <w:szCs w:val="22"/>
          <w:lang w:val="en-US"/>
        </w:rPr>
      </w:pPr>
      <w:hyperlink w:anchor="_Toc140149897" w:history="1">
        <w:r w:rsidR="009614A9" w:rsidRPr="00F75171">
          <w:rPr>
            <w:rStyle w:val="Hyperlink"/>
          </w:rPr>
          <w:t>Executive summary</w:t>
        </w:r>
        <w:r w:rsidR="009614A9">
          <w:rPr>
            <w:webHidden/>
          </w:rPr>
          <w:tab/>
        </w:r>
        <w:r w:rsidR="009614A9">
          <w:rPr>
            <w:webHidden/>
          </w:rPr>
          <w:fldChar w:fldCharType="begin"/>
        </w:r>
        <w:r w:rsidR="009614A9">
          <w:rPr>
            <w:webHidden/>
          </w:rPr>
          <w:instrText xml:space="preserve"> PAGEREF _Toc140149897 \h </w:instrText>
        </w:r>
        <w:r w:rsidR="009614A9">
          <w:rPr>
            <w:webHidden/>
          </w:rPr>
        </w:r>
        <w:r w:rsidR="009614A9">
          <w:rPr>
            <w:webHidden/>
          </w:rPr>
          <w:fldChar w:fldCharType="separate"/>
        </w:r>
        <w:r w:rsidR="00943DE9">
          <w:rPr>
            <w:webHidden/>
          </w:rPr>
          <w:t>4</w:t>
        </w:r>
        <w:r w:rsidR="009614A9">
          <w:rPr>
            <w:webHidden/>
          </w:rPr>
          <w:fldChar w:fldCharType="end"/>
        </w:r>
      </w:hyperlink>
    </w:p>
    <w:p w14:paraId="5BDDB649" w14:textId="0D86CD9A" w:rsidR="009614A9" w:rsidRDefault="00000000">
      <w:pPr>
        <w:pStyle w:val="TOC1"/>
        <w:rPr>
          <w:rFonts w:eastAsiaTheme="minorEastAsia"/>
          <w:b w:val="0"/>
          <w:bCs w:val="0"/>
          <w:sz w:val="22"/>
          <w:szCs w:val="22"/>
          <w:lang w:val="en-US"/>
        </w:rPr>
      </w:pPr>
      <w:hyperlink w:anchor="_Toc140149898" w:history="1">
        <w:r w:rsidR="009614A9" w:rsidRPr="00F75171">
          <w:rPr>
            <w:rStyle w:val="Hyperlink"/>
          </w:rPr>
          <w:t>Review of the IHC program – infographic summary</w:t>
        </w:r>
        <w:r w:rsidR="009614A9">
          <w:rPr>
            <w:webHidden/>
          </w:rPr>
          <w:tab/>
        </w:r>
        <w:r w:rsidR="009614A9">
          <w:rPr>
            <w:webHidden/>
          </w:rPr>
          <w:fldChar w:fldCharType="begin"/>
        </w:r>
        <w:r w:rsidR="009614A9">
          <w:rPr>
            <w:webHidden/>
          </w:rPr>
          <w:instrText xml:space="preserve"> PAGEREF _Toc140149898 \h </w:instrText>
        </w:r>
        <w:r w:rsidR="009614A9">
          <w:rPr>
            <w:webHidden/>
          </w:rPr>
        </w:r>
        <w:r w:rsidR="009614A9">
          <w:rPr>
            <w:webHidden/>
          </w:rPr>
          <w:fldChar w:fldCharType="separate"/>
        </w:r>
        <w:r w:rsidR="00943DE9">
          <w:rPr>
            <w:webHidden/>
          </w:rPr>
          <w:t>10</w:t>
        </w:r>
        <w:r w:rsidR="009614A9">
          <w:rPr>
            <w:webHidden/>
          </w:rPr>
          <w:fldChar w:fldCharType="end"/>
        </w:r>
      </w:hyperlink>
    </w:p>
    <w:p w14:paraId="63A6FED6" w14:textId="61235AE2" w:rsidR="009614A9" w:rsidRDefault="00000000">
      <w:pPr>
        <w:pStyle w:val="TOC1"/>
        <w:rPr>
          <w:rFonts w:eastAsiaTheme="minorEastAsia"/>
          <w:b w:val="0"/>
          <w:bCs w:val="0"/>
          <w:sz w:val="22"/>
          <w:szCs w:val="22"/>
          <w:lang w:val="en-US"/>
        </w:rPr>
      </w:pPr>
      <w:hyperlink w:anchor="_Toc140149899" w:history="1">
        <w:r w:rsidR="009614A9" w:rsidRPr="00F75171">
          <w:rPr>
            <w:rStyle w:val="Hyperlink"/>
          </w:rPr>
          <w:t>Background</w:t>
        </w:r>
        <w:r w:rsidR="009614A9">
          <w:rPr>
            <w:webHidden/>
          </w:rPr>
          <w:tab/>
        </w:r>
        <w:r w:rsidR="009614A9">
          <w:rPr>
            <w:webHidden/>
          </w:rPr>
          <w:fldChar w:fldCharType="begin"/>
        </w:r>
        <w:r w:rsidR="009614A9">
          <w:rPr>
            <w:webHidden/>
          </w:rPr>
          <w:instrText xml:space="preserve"> PAGEREF _Toc140149899 \h </w:instrText>
        </w:r>
        <w:r w:rsidR="009614A9">
          <w:rPr>
            <w:webHidden/>
          </w:rPr>
        </w:r>
        <w:r w:rsidR="009614A9">
          <w:rPr>
            <w:webHidden/>
          </w:rPr>
          <w:fldChar w:fldCharType="separate"/>
        </w:r>
        <w:r w:rsidR="00943DE9">
          <w:rPr>
            <w:webHidden/>
          </w:rPr>
          <w:t>13</w:t>
        </w:r>
        <w:r w:rsidR="009614A9">
          <w:rPr>
            <w:webHidden/>
          </w:rPr>
          <w:fldChar w:fldCharType="end"/>
        </w:r>
      </w:hyperlink>
    </w:p>
    <w:p w14:paraId="188B3C4C" w14:textId="70DCF952" w:rsidR="009614A9" w:rsidRDefault="00000000">
      <w:pPr>
        <w:pStyle w:val="TOC2"/>
        <w:rPr>
          <w:rFonts w:eastAsiaTheme="minorEastAsia"/>
          <w:sz w:val="22"/>
          <w:lang w:val="en-US"/>
        </w:rPr>
      </w:pPr>
      <w:hyperlink w:anchor="_Toc140149900" w:history="1">
        <w:r w:rsidR="009614A9" w:rsidRPr="00F75171">
          <w:rPr>
            <w:rStyle w:val="Hyperlink"/>
          </w:rPr>
          <w:t>Early Childhood Education and Care reforms</w:t>
        </w:r>
        <w:r w:rsidR="009614A9">
          <w:rPr>
            <w:webHidden/>
          </w:rPr>
          <w:tab/>
        </w:r>
        <w:r w:rsidR="009614A9">
          <w:rPr>
            <w:webHidden/>
          </w:rPr>
          <w:fldChar w:fldCharType="begin"/>
        </w:r>
        <w:r w:rsidR="009614A9">
          <w:rPr>
            <w:webHidden/>
          </w:rPr>
          <w:instrText xml:space="preserve"> PAGEREF _Toc140149900 \h </w:instrText>
        </w:r>
        <w:r w:rsidR="009614A9">
          <w:rPr>
            <w:webHidden/>
          </w:rPr>
        </w:r>
        <w:r w:rsidR="009614A9">
          <w:rPr>
            <w:webHidden/>
          </w:rPr>
          <w:fldChar w:fldCharType="separate"/>
        </w:r>
        <w:r w:rsidR="00943DE9">
          <w:rPr>
            <w:webHidden/>
          </w:rPr>
          <w:t>13</w:t>
        </w:r>
        <w:r w:rsidR="009614A9">
          <w:rPr>
            <w:webHidden/>
          </w:rPr>
          <w:fldChar w:fldCharType="end"/>
        </w:r>
      </w:hyperlink>
    </w:p>
    <w:p w14:paraId="3095004F" w14:textId="3A81BF8F" w:rsidR="009614A9" w:rsidRDefault="00000000">
      <w:pPr>
        <w:pStyle w:val="TOC2"/>
        <w:rPr>
          <w:rFonts w:eastAsiaTheme="minorEastAsia"/>
          <w:sz w:val="22"/>
          <w:lang w:val="en-US"/>
        </w:rPr>
      </w:pPr>
      <w:hyperlink w:anchor="_Toc140149901" w:history="1">
        <w:r w:rsidR="009614A9" w:rsidRPr="00F75171">
          <w:rPr>
            <w:rStyle w:val="Hyperlink"/>
          </w:rPr>
          <w:t>The In Home Care (IHC) program</w:t>
        </w:r>
        <w:r w:rsidR="009614A9">
          <w:rPr>
            <w:webHidden/>
          </w:rPr>
          <w:tab/>
        </w:r>
        <w:r w:rsidR="009614A9">
          <w:rPr>
            <w:webHidden/>
          </w:rPr>
          <w:fldChar w:fldCharType="begin"/>
        </w:r>
        <w:r w:rsidR="009614A9">
          <w:rPr>
            <w:webHidden/>
          </w:rPr>
          <w:instrText xml:space="preserve"> PAGEREF _Toc140149901 \h </w:instrText>
        </w:r>
        <w:r w:rsidR="009614A9">
          <w:rPr>
            <w:webHidden/>
          </w:rPr>
        </w:r>
        <w:r w:rsidR="009614A9">
          <w:rPr>
            <w:webHidden/>
          </w:rPr>
          <w:fldChar w:fldCharType="separate"/>
        </w:r>
        <w:r w:rsidR="00943DE9">
          <w:rPr>
            <w:webHidden/>
          </w:rPr>
          <w:t>14</w:t>
        </w:r>
        <w:r w:rsidR="009614A9">
          <w:rPr>
            <w:webHidden/>
          </w:rPr>
          <w:fldChar w:fldCharType="end"/>
        </w:r>
      </w:hyperlink>
    </w:p>
    <w:p w14:paraId="5F39A23A" w14:textId="466FCB8C" w:rsidR="009614A9" w:rsidRDefault="00000000">
      <w:pPr>
        <w:pStyle w:val="TOC1"/>
        <w:rPr>
          <w:rFonts w:eastAsiaTheme="minorEastAsia"/>
          <w:b w:val="0"/>
          <w:bCs w:val="0"/>
          <w:sz w:val="22"/>
          <w:szCs w:val="22"/>
          <w:lang w:val="en-US"/>
        </w:rPr>
      </w:pPr>
      <w:hyperlink w:anchor="_Toc140149902" w:history="1">
        <w:r w:rsidR="009614A9" w:rsidRPr="00F75171">
          <w:rPr>
            <w:rStyle w:val="Hyperlink"/>
          </w:rPr>
          <w:t>Approach to the review</w:t>
        </w:r>
        <w:r w:rsidR="009614A9">
          <w:rPr>
            <w:webHidden/>
          </w:rPr>
          <w:tab/>
        </w:r>
        <w:r w:rsidR="009614A9">
          <w:rPr>
            <w:webHidden/>
          </w:rPr>
          <w:fldChar w:fldCharType="begin"/>
        </w:r>
        <w:r w:rsidR="009614A9">
          <w:rPr>
            <w:webHidden/>
          </w:rPr>
          <w:instrText xml:space="preserve"> PAGEREF _Toc140149902 \h </w:instrText>
        </w:r>
        <w:r w:rsidR="009614A9">
          <w:rPr>
            <w:webHidden/>
          </w:rPr>
        </w:r>
        <w:r w:rsidR="009614A9">
          <w:rPr>
            <w:webHidden/>
          </w:rPr>
          <w:fldChar w:fldCharType="separate"/>
        </w:r>
        <w:r w:rsidR="00943DE9">
          <w:rPr>
            <w:webHidden/>
          </w:rPr>
          <w:t>16</w:t>
        </w:r>
        <w:r w:rsidR="009614A9">
          <w:rPr>
            <w:webHidden/>
          </w:rPr>
          <w:fldChar w:fldCharType="end"/>
        </w:r>
      </w:hyperlink>
    </w:p>
    <w:p w14:paraId="41116882" w14:textId="4991948D" w:rsidR="009614A9" w:rsidRDefault="00000000">
      <w:pPr>
        <w:pStyle w:val="TOC2"/>
        <w:rPr>
          <w:rFonts w:eastAsiaTheme="minorEastAsia"/>
          <w:sz w:val="22"/>
          <w:lang w:val="en-US"/>
        </w:rPr>
      </w:pPr>
      <w:hyperlink w:anchor="_Toc140149903" w:history="1">
        <w:r w:rsidR="009614A9" w:rsidRPr="00F75171">
          <w:rPr>
            <w:rStyle w:val="Hyperlink"/>
          </w:rPr>
          <w:t>Scope of the review</w:t>
        </w:r>
        <w:r w:rsidR="009614A9">
          <w:rPr>
            <w:webHidden/>
          </w:rPr>
          <w:tab/>
        </w:r>
        <w:r w:rsidR="009614A9">
          <w:rPr>
            <w:webHidden/>
          </w:rPr>
          <w:fldChar w:fldCharType="begin"/>
        </w:r>
        <w:r w:rsidR="009614A9">
          <w:rPr>
            <w:webHidden/>
          </w:rPr>
          <w:instrText xml:space="preserve"> PAGEREF _Toc140149903 \h </w:instrText>
        </w:r>
        <w:r w:rsidR="009614A9">
          <w:rPr>
            <w:webHidden/>
          </w:rPr>
        </w:r>
        <w:r w:rsidR="009614A9">
          <w:rPr>
            <w:webHidden/>
          </w:rPr>
          <w:fldChar w:fldCharType="separate"/>
        </w:r>
        <w:r w:rsidR="00943DE9">
          <w:rPr>
            <w:webHidden/>
          </w:rPr>
          <w:t>16</w:t>
        </w:r>
        <w:r w:rsidR="009614A9">
          <w:rPr>
            <w:webHidden/>
          </w:rPr>
          <w:fldChar w:fldCharType="end"/>
        </w:r>
      </w:hyperlink>
    </w:p>
    <w:p w14:paraId="53E30A1C" w14:textId="29D90A65" w:rsidR="009614A9" w:rsidRDefault="00000000">
      <w:pPr>
        <w:pStyle w:val="TOC2"/>
        <w:rPr>
          <w:rFonts w:eastAsiaTheme="minorEastAsia"/>
          <w:sz w:val="22"/>
          <w:lang w:val="en-US"/>
        </w:rPr>
      </w:pPr>
      <w:hyperlink w:anchor="_Toc140149904" w:history="1">
        <w:r w:rsidR="009614A9" w:rsidRPr="00F75171">
          <w:rPr>
            <w:rStyle w:val="Hyperlink"/>
          </w:rPr>
          <w:t>Key components of the review methodology</w:t>
        </w:r>
        <w:r w:rsidR="009614A9">
          <w:rPr>
            <w:webHidden/>
          </w:rPr>
          <w:tab/>
        </w:r>
        <w:r w:rsidR="009614A9">
          <w:rPr>
            <w:webHidden/>
          </w:rPr>
          <w:fldChar w:fldCharType="begin"/>
        </w:r>
        <w:r w:rsidR="009614A9">
          <w:rPr>
            <w:webHidden/>
          </w:rPr>
          <w:instrText xml:space="preserve"> PAGEREF _Toc140149904 \h </w:instrText>
        </w:r>
        <w:r w:rsidR="009614A9">
          <w:rPr>
            <w:webHidden/>
          </w:rPr>
        </w:r>
        <w:r w:rsidR="009614A9">
          <w:rPr>
            <w:webHidden/>
          </w:rPr>
          <w:fldChar w:fldCharType="separate"/>
        </w:r>
        <w:r w:rsidR="00943DE9">
          <w:rPr>
            <w:webHidden/>
          </w:rPr>
          <w:t>16</w:t>
        </w:r>
        <w:r w:rsidR="009614A9">
          <w:rPr>
            <w:webHidden/>
          </w:rPr>
          <w:fldChar w:fldCharType="end"/>
        </w:r>
      </w:hyperlink>
    </w:p>
    <w:p w14:paraId="4807A791" w14:textId="24E9CDD8" w:rsidR="009614A9" w:rsidRDefault="00000000">
      <w:pPr>
        <w:pStyle w:val="TOC2"/>
        <w:rPr>
          <w:rFonts w:eastAsiaTheme="minorEastAsia"/>
          <w:sz w:val="22"/>
          <w:lang w:val="en-US"/>
        </w:rPr>
      </w:pPr>
      <w:hyperlink w:anchor="_Toc140149905" w:history="1">
        <w:r w:rsidR="009614A9" w:rsidRPr="00F75171">
          <w:rPr>
            <w:rStyle w:val="Hyperlink"/>
          </w:rPr>
          <w:t>Parameters of the review</w:t>
        </w:r>
        <w:r w:rsidR="009614A9">
          <w:rPr>
            <w:webHidden/>
          </w:rPr>
          <w:tab/>
        </w:r>
        <w:r w:rsidR="009614A9">
          <w:rPr>
            <w:webHidden/>
          </w:rPr>
          <w:fldChar w:fldCharType="begin"/>
        </w:r>
        <w:r w:rsidR="009614A9">
          <w:rPr>
            <w:webHidden/>
          </w:rPr>
          <w:instrText xml:space="preserve"> PAGEREF _Toc140149905 \h </w:instrText>
        </w:r>
        <w:r w:rsidR="009614A9">
          <w:rPr>
            <w:webHidden/>
          </w:rPr>
        </w:r>
        <w:r w:rsidR="009614A9">
          <w:rPr>
            <w:webHidden/>
          </w:rPr>
          <w:fldChar w:fldCharType="separate"/>
        </w:r>
        <w:r w:rsidR="00943DE9">
          <w:rPr>
            <w:webHidden/>
          </w:rPr>
          <w:t>17</w:t>
        </w:r>
        <w:r w:rsidR="009614A9">
          <w:rPr>
            <w:webHidden/>
          </w:rPr>
          <w:fldChar w:fldCharType="end"/>
        </w:r>
      </w:hyperlink>
    </w:p>
    <w:p w14:paraId="68B445E2" w14:textId="3AB2C187" w:rsidR="009614A9" w:rsidRDefault="00000000">
      <w:pPr>
        <w:pStyle w:val="TOC1"/>
        <w:rPr>
          <w:rFonts w:eastAsiaTheme="minorEastAsia"/>
          <w:b w:val="0"/>
          <w:bCs w:val="0"/>
          <w:sz w:val="22"/>
          <w:szCs w:val="22"/>
          <w:lang w:val="en-US"/>
        </w:rPr>
      </w:pPr>
      <w:hyperlink w:anchor="_Toc140149906" w:history="1">
        <w:r w:rsidR="009614A9" w:rsidRPr="00F75171">
          <w:rPr>
            <w:rStyle w:val="Hyperlink"/>
          </w:rPr>
          <w:t>Findings</w:t>
        </w:r>
        <w:r w:rsidR="009614A9">
          <w:rPr>
            <w:webHidden/>
          </w:rPr>
          <w:tab/>
        </w:r>
        <w:r w:rsidR="009614A9">
          <w:rPr>
            <w:webHidden/>
          </w:rPr>
          <w:fldChar w:fldCharType="begin"/>
        </w:r>
        <w:r w:rsidR="009614A9">
          <w:rPr>
            <w:webHidden/>
          </w:rPr>
          <w:instrText xml:space="preserve"> PAGEREF _Toc140149906 \h </w:instrText>
        </w:r>
        <w:r w:rsidR="009614A9">
          <w:rPr>
            <w:webHidden/>
          </w:rPr>
        </w:r>
        <w:r w:rsidR="009614A9">
          <w:rPr>
            <w:webHidden/>
          </w:rPr>
          <w:fldChar w:fldCharType="separate"/>
        </w:r>
        <w:r w:rsidR="00943DE9">
          <w:rPr>
            <w:webHidden/>
          </w:rPr>
          <w:t>18</w:t>
        </w:r>
        <w:r w:rsidR="009614A9">
          <w:rPr>
            <w:webHidden/>
          </w:rPr>
          <w:fldChar w:fldCharType="end"/>
        </w:r>
      </w:hyperlink>
    </w:p>
    <w:p w14:paraId="66E9D1A1" w14:textId="6D7FF715" w:rsidR="009614A9" w:rsidRDefault="00000000">
      <w:pPr>
        <w:pStyle w:val="TOC2"/>
        <w:rPr>
          <w:rFonts w:eastAsiaTheme="minorEastAsia"/>
          <w:sz w:val="22"/>
          <w:lang w:val="en-US"/>
        </w:rPr>
      </w:pPr>
      <w:hyperlink w:anchor="_Toc140149907" w:history="1">
        <w:r w:rsidR="009614A9" w:rsidRPr="00F75171">
          <w:rPr>
            <w:rStyle w:val="Hyperlink"/>
          </w:rPr>
          <w:t>Alignment of the IHC program with ECEC strategic policy and reform</w:t>
        </w:r>
        <w:r w:rsidR="009614A9">
          <w:rPr>
            <w:webHidden/>
          </w:rPr>
          <w:tab/>
        </w:r>
        <w:r w:rsidR="009614A9">
          <w:rPr>
            <w:webHidden/>
          </w:rPr>
          <w:fldChar w:fldCharType="begin"/>
        </w:r>
        <w:r w:rsidR="009614A9">
          <w:rPr>
            <w:webHidden/>
          </w:rPr>
          <w:instrText xml:space="preserve"> PAGEREF _Toc140149907 \h </w:instrText>
        </w:r>
        <w:r w:rsidR="009614A9">
          <w:rPr>
            <w:webHidden/>
          </w:rPr>
        </w:r>
        <w:r w:rsidR="009614A9">
          <w:rPr>
            <w:webHidden/>
          </w:rPr>
          <w:fldChar w:fldCharType="separate"/>
        </w:r>
        <w:r w:rsidR="00943DE9">
          <w:rPr>
            <w:webHidden/>
          </w:rPr>
          <w:t>18</w:t>
        </w:r>
        <w:r w:rsidR="009614A9">
          <w:rPr>
            <w:webHidden/>
          </w:rPr>
          <w:fldChar w:fldCharType="end"/>
        </w:r>
      </w:hyperlink>
    </w:p>
    <w:p w14:paraId="331C0839" w14:textId="0D234DC1" w:rsidR="009614A9" w:rsidRDefault="00000000">
      <w:pPr>
        <w:pStyle w:val="TOC2"/>
        <w:rPr>
          <w:rFonts w:eastAsiaTheme="minorEastAsia"/>
          <w:sz w:val="22"/>
          <w:lang w:val="en-US"/>
        </w:rPr>
      </w:pPr>
      <w:hyperlink w:anchor="_Toc140149908" w:history="1">
        <w:r w:rsidR="009614A9" w:rsidRPr="00F75171">
          <w:rPr>
            <w:rStyle w:val="Hyperlink"/>
          </w:rPr>
          <w:t>Demand for the IHC program</w:t>
        </w:r>
        <w:r w:rsidR="009614A9">
          <w:rPr>
            <w:webHidden/>
          </w:rPr>
          <w:tab/>
        </w:r>
        <w:r w:rsidR="009614A9">
          <w:rPr>
            <w:webHidden/>
          </w:rPr>
          <w:fldChar w:fldCharType="begin"/>
        </w:r>
        <w:r w:rsidR="009614A9">
          <w:rPr>
            <w:webHidden/>
          </w:rPr>
          <w:instrText xml:space="preserve"> PAGEREF _Toc140149908 \h </w:instrText>
        </w:r>
        <w:r w:rsidR="009614A9">
          <w:rPr>
            <w:webHidden/>
          </w:rPr>
        </w:r>
        <w:r w:rsidR="009614A9">
          <w:rPr>
            <w:webHidden/>
          </w:rPr>
          <w:fldChar w:fldCharType="separate"/>
        </w:r>
        <w:r w:rsidR="00943DE9">
          <w:rPr>
            <w:webHidden/>
          </w:rPr>
          <w:t>21</w:t>
        </w:r>
        <w:r w:rsidR="009614A9">
          <w:rPr>
            <w:webHidden/>
          </w:rPr>
          <w:fldChar w:fldCharType="end"/>
        </w:r>
      </w:hyperlink>
    </w:p>
    <w:p w14:paraId="55743A6A" w14:textId="7DA5A568" w:rsidR="009614A9" w:rsidRDefault="00000000">
      <w:pPr>
        <w:pStyle w:val="TOC2"/>
        <w:rPr>
          <w:rFonts w:eastAsiaTheme="minorEastAsia"/>
          <w:sz w:val="22"/>
          <w:lang w:val="en-US"/>
        </w:rPr>
      </w:pPr>
      <w:hyperlink w:anchor="_Toc140149909" w:history="1">
        <w:r w:rsidR="009614A9" w:rsidRPr="00F75171">
          <w:rPr>
            <w:rStyle w:val="Hyperlink"/>
          </w:rPr>
          <w:t>Appropriateness of the IHC program to meeting the needs of families</w:t>
        </w:r>
        <w:r w:rsidR="009614A9">
          <w:rPr>
            <w:webHidden/>
          </w:rPr>
          <w:tab/>
        </w:r>
        <w:r w:rsidR="009614A9">
          <w:rPr>
            <w:webHidden/>
          </w:rPr>
          <w:fldChar w:fldCharType="begin"/>
        </w:r>
        <w:r w:rsidR="009614A9">
          <w:rPr>
            <w:webHidden/>
          </w:rPr>
          <w:instrText xml:space="preserve"> PAGEREF _Toc140149909 \h </w:instrText>
        </w:r>
        <w:r w:rsidR="009614A9">
          <w:rPr>
            <w:webHidden/>
          </w:rPr>
        </w:r>
        <w:r w:rsidR="009614A9">
          <w:rPr>
            <w:webHidden/>
          </w:rPr>
          <w:fldChar w:fldCharType="separate"/>
        </w:r>
        <w:r w:rsidR="00943DE9">
          <w:rPr>
            <w:webHidden/>
          </w:rPr>
          <w:t>24</w:t>
        </w:r>
        <w:r w:rsidR="009614A9">
          <w:rPr>
            <w:webHidden/>
          </w:rPr>
          <w:fldChar w:fldCharType="end"/>
        </w:r>
      </w:hyperlink>
    </w:p>
    <w:p w14:paraId="66F1C7D3" w14:textId="407B18BE" w:rsidR="009614A9" w:rsidRDefault="00000000">
      <w:pPr>
        <w:pStyle w:val="TOC2"/>
        <w:rPr>
          <w:rFonts w:eastAsiaTheme="minorEastAsia"/>
          <w:sz w:val="22"/>
          <w:lang w:val="en-US"/>
        </w:rPr>
      </w:pPr>
      <w:hyperlink w:anchor="_Toc140149910" w:history="1">
        <w:r w:rsidR="009614A9" w:rsidRPr="00F75171">
          <w:rPr>
            <w:rStyle w:val="Hyperlink"/>
          </w:rPr>
          <w:t>Cost-effectiveness of the IHC program</w:t>
        </w:r>
        <w:r w:rsidR="009614A9">
          <w:rPr>
            <w:webHidden/>
          </w:rPr>
          <w:tab/>
        </w:r>
        <w:r w:rsidR="009614A9">
          <w:rPr>
            <w:webHidden/>
          </w:rPr>
          <w:fldChar w:fldCharType="begin"/>
        </w:r>
        <w:r w:rsidR="009614A9">
          <w:rPr>
            <w:webHidden/>
          </w:rPr>
          <w:instrText xml:space="preserve"> PAGEREF _Toc140149910 \h </w:instrText>
        </w:r>
        <w:r w:rsidR="009614A9">
          <w:rPr>
            <w:webHidden/>
          </w:rPr>
        </w:r>
        <w:r w:rsidR="009614A9">
          <w:rPr>
            <w:webHidden/>
          </w:rPr>
          <w:fldChar w:fldCharType="separate"/>
        </w:r>
        <w:r w:rsidR="00943DE9">
          <w:rPr>
            <w:webHidden/>
          </w:rPr>
          <w:t>27</w:t>
        </w:r>
        <w:r w:rsidR="009614A9">
          <w:rPr>
            <w:webHidden/>
          </w:rPr>
          <w:fldChar w:fldCharType="end"/>
        </w:r>
      </w:hyperlink>
    </w:p>
    <w:p w14:paraId="648BE941" w14:textId="06611EF3" w:rsidR="009614A9" w:rsidRDefault="00000000">
      <w:pPr>
        <w:pStyle w:val="TOC1"/>
        <w:rPr>
          <w:rFonts w:eastAsiaTheme="minorEastAsia"/>
          <w:b w:val="0"/>
          <w:bCs w:val="0"/>
          <w:sz w:val="22"/>
          <w:szCs w:val="22"/>
          <w:lang w:val="en-US"/>
        </w:rPr>
      </w:pPr>
      <w:hyperlink w:anchor="_Toc140149911" w:history="1">
        <w:r w:rsidR="009614A9" w:rsidRPr="00F75171">
          <w:rPr>
            <w:rStyle w:val="Hyperlink"/>
          </w:rPr>
          <w:t>Future IHC program options</w:t>
        </w:r>
        <w:r w:rsidR="009614A9">
          <w:rPr>
            <w:webHidden/>
          </w:rPr>
          <w:tab/>
        </w:r>
        <w:r w:rsidR="009614A9">
          <w:rPr>
            <w:webHidden/>
          </w:rPr>
          <w:fldChar w:fldCharType="begin"/>
        </w:r>
        <w:r w:rsidR="009614A9">
          <w:rPr>
            <w:webHidden/>
          </w:rPr>
          <w:instrText xml:space="preserve"> PAGEREF _Toc140149911 \h </w:instrText>
        </w:r>
        <w:r w:rsidR="009614A9">
          <w:rPr>
            <w:webHidden/>
          </w:rPr>
        </w:r>
        <w:r w:rsidR="009614A9">
          <w:rPr>
            <w:webHidden/>
          </w:rPr>
          <w:fldChar w:fldCharType="separate"/>
        </w:r>
        <w:r w:rsidR="00943DE9">
          <w:rPr>
            <w:webHidden/>
          </w:rPr>
          <w:t>32</w:t>
        </w:r>
        <w:r w:rsidR="009614A9">
          <w:rPr>
            <w:webHidden/>
          </w:rPr>
          <w:fldChar w:fldCharType="end"/>
        </w:r>
      </w:hyperlink>
    </w:p>
    <w:p w14:paraId="66804943" w14:textId="5ED827B9" w:rsidR="009614A9" w:rsidRDefault="00000000">
      <w:pPr>
        <w:pStyle w:val="TOC2"/>
        <w:rPr>
          <w:rFonts w:eastAsiaTheme="minorEastAsia"/>
          <w:sz w:val="22"/>
          <w:lang w:val="en-US"/>
        </w:rPr>
      </w:pPr>
      <w:hyperlink w:anchor="_Toc140149912" w:history="1">
        <w:r w:rsidR="009614A9" w:rsidRPr="00F75171">
          <w:rPr>
            <w:rStyle w:val="Hyperlink"/>
          </w:rPr>
          <w:t>Options to improve demand management</w:t>
        </w:r>
        <w:r w:rsidR="009614A9">
          <w:rPr>
            <w:webHidden/>
          </w:rPr>
          <w:tab/>
        </w:r>
        <w:r w:rsidR="009614A9">
          <w:rPr>
            <w:webHidden/>
          </w:rPr>
          <w:fldChar w:fldCharType="begin"/>
        </w:r>
        <w:r w:rsidR="009614A9">
          <w:rPr>
            <w:webHidden/>
          </w:rPr>
          <w:instrText xml:space="preserve"> PAGEREF _Toc140149912 \h </w:instrText>
        </w:r>
        <w:r w:rsidR="009614A9">
          <w:rPr>
            <w:webHidden/>
          </w:rPr>
        </w:r>
        <w:r w:rsidR="009614A9">
          <w:rPr>
            <w:webHidden/>
          </w:rPr>
          <w:fldChar w:fldCharType="separate"/>
        </w:r>
        <w:r w:rsidR="00943DE9">
          <w:rPr>
            <w:webHidden/>
          </w:rPr>
          <w:t>33</w:t>
        </w:r>
        <w:r w:rsidR="009614A9">
          <w:rPr>
            <w:webHidden/>
          </w:rPr>
          <w:fldChar w:fldCharType="end"/>
        </w:r>
      </w:hyperlink>
    </w:p>
    <w:p w14:paraId="628789B2" w14:textId="24EBBADA" w:rsidR="009614A9" w:rsidRDefault="00000000">
      <w:pPr>
        <w:pStyle w:val="TOC2"/>
        <w:rPr>
          <w:rFonts w:eastAsiaTheme="minorEastAsia"/>
          <w:sz w:val="22"/>
          <w:lang w:val="en-US"/>
        </w:rPr>
      </w:pPr>
      <w:hyperlink w:anchor="_Toc140149913" w:history="1">
        <w:r w:rsidR="009614A9" w:rsidRPr="00F75171">
          <w:rPr>
            <w:rStyle w:val="Hyperlink"/>
          </w:rPr>
          <w:t>Expanding and supporting the provider market</w:t>
        </w:r>
        <w:r w:rsidR="009614A9">
          <w:rPr>
            <w:webHidden/>
          </w:rPr>
          <w:tab/>
        </w:r>
        <w:r w:rsidR="009614A9">
          <w:rPr>
            <w:webHidden/>
          </w:rPr>
          <w:fldChar w:fldCharType="begin"/>
        </w:r>
        <w:r w:rsidR="009614A9">
          <w:rPr>
            <w:webHidden/>
          </w:rPr>
          <w:instrText xml:space="preserve"> PAGEREF _Toc140149913 \h </w:instrText>
        </w:r>
        <w:r w:rsidR="009614A9">
          <w:rPr>
            <w:webHidden/>
          </w:rPr>
        </w:r>
        <w:r w:rsidR="009614A9">
          <w:rPr>
            <w:webHidden/>
          </w:rPr>
          <w:fldChar w:fldCharType="separate"/>
        </w:r>
        <w:r w:rsidR="00943DE9">
          <w:rPr>
            <w:webHidden/>
          </w:rPr>
          <w:t>34</w:t>
        </w:r>
        <w:r w:rsidR="009614A9">
          <w:rPr>
            <w:webHidden/>
          </w:rPr>
          <w:fldChar w:fldCharType="end"/>
        </w:r>
      </w:hyperlink>
    </w:p>
    <w:p w14:paraId="04BA6342" w14:textId="0410903C" w:rsidR="009614A9" w:rsidRDefault="00000000">
      <w:pPr>
        <w:pStyle w:val="TOC2"/>
        <w:rPr>
          <w:rFonts w:eastAsiaTheme="minorEastAsia"/>
          <w:sz w:val="22"/>
          <w:lang w:val="en-US"/>
        </w:rPr>
      </w:pPr>
      <w:hyperlink w:anchor="_Toc140149914" w:history="1">
        <w:r w:rsidR="009614A9" w:rsidRPr="00F75171">
          <w:rPr>
            <w:rStyle w:val="Hyperlink"/>
          </w:rPr>
          <w:t>Workforce</w:t>
        </w:r>
        <w:r w:rsidR="009614A9">
          <w:rPr>
            <w:webHidden/>
          </w:rPr>
          <w:tab/>
        </w:r>
        <w:r w:rsidR="009614A9">
          <w:rPr>
            <w:webHidden/>
          </w:rPr>
          <w:fldChar w:fldCharType="begin"/>
        </w:r>
        <w:r w:rsidR="009614A9">
          <w:rPr>
            <w:webHidden/>
          </w:rPr>
          <w:instrText xml:space="preserve"> PAGEREF _Toc140149914 \h </w:instrText>
        </w:r>
        <w:r w:rsidR="009614A9">
          <w:rPr>
            <w:webHidden/>
          </w:rPr>
        </w:r>
        <w:r w:rsidR="009614A9">
          <w:rPr>
            <w:webHidden/>
          </w:rPr>
          <w:fldChar w:fldCharType="separate"/>
        </w:r>
        <w:r w:rsidR="00943DE9">
          <w:rPr>
            <w:webHidden/>
          </w:rPr>
          <w:t>36</w:t>
        </w:r>
        <w:r w:rsidR="009614A9">
          <w:rPr>
            <w:webHidden/>
          </w:rPr>
          <w:fldChar w:fldCharType="end"/>
        </w:r>
      </w:hyperlink>
    </w:p>
    <w:p w14:paraId="7D7E9C89" w14:textId="06395B78" w:rsidR="009614A9" w:rsidRDefault="00000000">
      <w:pPr>
        <w:pStyle w:val="TOC2"/>
        <w:rPr>
          <w:rFonts w:eastAsiaTheme="minorEastAsia"/>
          <w:sz w:val="22"/>
          <w:lang w:val="en-US"/>
        </w:rPr>
      </w:pPr>
      <w:hyperlink w:anchor="_Toc140149915" w:history="1">
        <w:r w:rsidR="009614A9" w:rsidRPr="00F75171">
          <w:rPr>
            <w:rStyle w:val="Hyperlink"/>
          </w:rPr>
          <w:t>Funding and fees</w:t>
        </w:r>
        <w:r w:rsidR="009614A9">
          <w:rPr>
            <w:webHidden/>
          </w:rPr>
          <w:tab/>
        </w:r>
        <w:r w:rsidR="009614A9">
          <w:rPr>
            <w:webHidden/>
          </w:rPr>
          <w:fldChar w:fldCharType="begin"/>
        </w:r>
        <w:r w:rsidR="009614A9">
          <w:rPr>
            <w:webHidden/>
          </w:rPr>
          <w:instrText xml:space="preserve"> PAGEREF _Toc140149915 \h </w:instrText>
        </w:r>
        <w:r w:rsidR="009614A9">
          <w:rPr>
            <w:webHidden/>
          </w:rPr>
        </w:r>
        <w:r w:rsidR="009614A9">
          <w:rPr>
            <w:webHidden/>
          </w:rPr>
          <w:fldChar w:fldCharType="separate"/>
        </w:r>
        <w:r w:rsidR="00943DE9">
          <w:rPr>
            <w:webHidden/>
          </w:rPr>
          <w:t>38</w:t>
        </w:r>
        <w:r w:rsidR="009614A9">
          <w:rPr>
            <w:webHidden/>
          </w:rPr>
          <w:fldChar w:fldCharType="end"/>
        </w:r>
      </w:hyperlink>
    </w:p>
    <w:p w14:paraId="7D48317F" w14:textId="237E9D21" w:rsidR="009614A9" w:rsidRDefault="00000000">
      <w:pPr>
        <w:pStyle w:val="TOC2"/>
        <w:rPr>
          <w:rFonts w:eastAsiaTheme="minorEastAsia"/>
          <w:sz w:val="22"/>
          <w:lang w:val="en-US"/>
        </w:rPr>
      </w:pPr>
      <w:hyperlink w:anchor="_Toc140149916" w:history="1">
        <w:r w:rsidR="009614A9" w:rsidRPr="00F75171">
          <w:rPr>
            <w:rStyle w:val="Hyperlink"/>
          </w:rPr>
          <w:t>Quality and Safety</w:t>
        </w:r>
        <w:r w:rsidR="009614A9">
          <w:rPr>
            <w:webHidden/>
          </w:rPr>
          <w:tab/>
        </w:r>
        <w:r w:rsidR="009614A9">
          <w:rPr>
            <w:webHidden/>
          </w:rPr>
          <w:fldChar w:fldCharType="begin"/>
        </w:r>
        <w:r w:rsidR="009614A9">
          <w:rPr>
            <w:webHidden/>
          </w:rPr>
          <w:instrText xml:space="preserve"> PAGEREF _Toc140149916 \h </w:instrText>
        </w:r>
        <w:r w:rsidR="009614A9">
          <w:rPr>
            <w:webHidden/>
          </w:rPr>
        </w:r>
        <w:r w:rsidR="009614A9">
          <w:rPr>
            <w:webHidden/>
          </w:rPr>
          <w:fldChar w:fldCharType="separate"/>
        </w:r>
        <w:r w:rsidR="00943DE9">
          <w:rPr>
            <w:webHidden/>
          </w:rPr>
          <w:t>40</w:t>
        </w:r>
        <w:r w:rsidR="009614A9">
          <w:rPr>
            <w:webHidden/>
          </w:rPr>
          <w:fldChar w:fldCharType="end"/>
        </w:r>
      </w:hyperlink>
    </w:p>
    <w:p w14:paraId="559FCD8C" w14:textId="0E710DB4" w:rsidR="009614A9" w:rsidRDefault="00000000">
      <w:pPr>
        <w:pStyle w:val="TOC1"/>
        <w:rPr>
          <w:rFonts w:eastAsiaTheme="minorEastAsia"/>
          <w:b w:val="0"/>
          <w:bCs w:val="0"/>
          <w:sz w:val="22"/>
          <w:szCs w:val="22"/>
          <w:lang w:val="en-US"/>
        </w:rPr>
      </w:pPr>
      <w:hyperlink w:anchor="_Toc140149917" w:history="1">
        <w:r w:rsidR="009614A9" w:rsidRPr="00F75171">
          <w:rPr>
            <w:rStyle w:val="Hyperlink"/>
          </w:rPr>
          <w:t>Proposed opportunities for the future IHC program</w:t>
        </w:r>
        <w:r w:rsidR="009614A9">
          <w:rPr>
            <w:webHidden/>
          </w:rPr>
          <w:tab/>
        </w:r>
        <w:r w:rsidR="009614A9">
          <w:rPr>
            <w:webHidden/>
          </w:rPr>
          <w:fldChar w:fldCharType="begin"/>
        </w:r>
        <w:r w:rsidR="009614A9">
          <w:rPr>
            <w:webHidden/>
          </w:rPr>
          <w:instrText xml:space="preserve"> PAGEREF _Toc140149917 \h </w:instrText>
        </w:r>
        <w:r w:rsidR="009614A9">
          <w:rPr>
            <w:webHidden/>
          </w:rPr>
        </w:r>
        <w:r w:rsidR="009614A9">
          <w:rPr>
            <w:webHidden/>
          </w:rPr>
          <w:fldChar w:fldCharType="separate"/>
        </w:r>
        <w:r w:rsidR="00943DE9">
          <w:rPr>
            <w:webHidden/>
          </w:rPr>
          <w:t>42</w:t>
        </w:r>
        <w:r w:rsidR="009614A9">
          <w:rPr>
            <w:webHidden/>
          </w:rPr>
          <w:fldChar w:fldCharType="end"/>
        </w:r>
      </w:hyperlink>
    </w:p>
    <w:p w14:paraId="6E9D49CD" w14:textId="5B36F5EF" w:rsidR="009614A9" w:rsidRDefault="00000000">
      <w:pPr>
        <w:pStyle w:val="TOC1"/>
        <w:rPr>
          <w:rFonts w:eastAsiaTheme="minorEastAsia"/>
          <w:b w:val="0"/>
          <w:bCs w:val="0"/>
          <w:sz w:val="22"/>
          <w:szCs w:val="22"/>
          <w:lang w:val="en-US"/>
        </w:rPr>
      </w:pPr>
      <w:hyperlink w:anchor="_Toc140149918" w:history="1">
        <w:r w:rsidR="009614A9" w:rsidRPr="00F75171">
          <w:rPr>
            <w:rStyle w:val="Hyperlink"/>
          </w:rPr>
          <w:t>Summary and next steps</w:t>
        </w:r>
        <w:r w:rsidR="009614A9">
          <w:rPr>
            <w:webHidden/>
          </w:rPr>
          <w:tab/>
        </w:r>
        <w:r w:rsidR="009614A9">
          <w:rPr>
            <w:webHidden/>
          </w:rPr>
          <w:fldChar w:fldCharType="begin"/>
        </w:r>
        <w:r w:rsidR="009614A9">
          <w:rPr>
            <w:webHidden/>
          </w:rPr>
          <w:instrText xml:space="preserve"> PAGEREF _Toc140149918 \h </w:instrText>
        </w:r>
        <w:r w:rsidR="009614A9">
          <w:rPr>
            <w:webHidden/>
          </w:rPr>
        </w:r>
        <w:r w:rsidR="009614A9">
          <w:rPr>
            <w:webHidden/>
          </w:rPr>
          <w:fldChar w:fldCharType="separate"/>
        </w:r>
        <w:r w:rsidR="00943DE9">
          <w:rPr>
            <w:webHidden/>
          </w:rPr>
          <w:t>51</w:t>
        </w:r>
        <w:r w:rsidR="009614A9">
          <w:rPr>
            <w:webHidden/>
          </w:rPr>
          <w:fldChar w:fldCharType="end"/>
        </w:r>
      </w:hyperlink>
    </w:p>
    <w:p w14:paraId="2325246D" w14:textId="31D24206" w:rsidR="009614A9" w:rsidRDefault="00000000">
      <w:pPr>
        <w:pStyle w:val="TOC1"/>
        <w:rPr>
          <w:rFonts w:eastAsiaTheme="minorEastAsia"/>
          <w:b w:val="0"/>
          <w:bCs w:val="0"/>
          <w:sz w:val="22"/>
          <w:szCs w:val="22"/>
          <w:lang w:val="en-US"/>
        </w:rPr>
      </w:pPr>
      <w:hyperlink w:anchor="_Toc140149919" w:history="1">
        <w:r w:rsidR="009614A9" w:rsidRPr="00F75171">
          <w:rPr>
            <w:rStyle w:val="Hyperlink"/>
          </w:rPr>
          <w:t>Appendix A: IHC Program Logic</w:t>
        </w:r>
        <w:r w:rsidR="009614A9">
          <w:rPr>
            <w:webHidden/>
          </w:rPr>
          <w:tab/>
        </w:r>
        <w:r w:rsidR="009614A9">
          <w:rPr>
            <w:webHidden/>
          </w:rPr>
          <w:fldChar w:fldCharType="begin"/>
        </w:r>
        <w:r w:rsidR="009614A9">
          <w:rPr>
            <w:webHidden/>
          </w:rPr>
          <w:instrText xml:space="preserve"> PAGEREF _Toc140149919 \h </w:instrText>
        </w:r>
        <w:r w:rsidR="009614A9">
          <w:rPr>
            <w:webHidden/>
          </w:rPr>
        </w:r>
        <w:r w:rsidR="009614A9">
          <w:rPr>
            <w:webHidden/>
          </w:rPr>
          <w:fldChar w:fldCharType="separate"/>
        </w:r>
        <w:r w:rsidR="00943DE9">
          <w:rPr>
            <w:webHidden/>
          </w:rPr>
          <w:t>52</w:t>
        </w:r>
        <w:r w:rsidR="009614A9">
          <w:rPr>
            <w:webHidden/>
          </w:rPr>
          <w:fldChar w:fldCharType="end"/>
        </w:r>
      </w:hyperlink>
    </w:p>
    <w:p w14:paraId="62F33340" w14:textId="1064C31A" w:rsidR="009614A9" w:rsidRDefault="00000000">
      <w:pPr>
        <w:pStyle w:val="TOC1"/>
        <w:rPr>
          <w:rFonts w:eastAsiaTheme="minorEastAsia"/>
          <w:b w:val="0"/>
          <w:bCs w:val="0"/>
          <w:sz w:val="22"/>
          <w:szCs w:val="22"/>
          <w:lang w:val="en-US"/>
        </w:rPr>
      </w:pPr>
      <w:hyperlink w:anchor="_Toc140149920" w:history="1">
        <w:r w:rsidR="009614A9" w:rsidRPr="00F75171">
          <w:rPr>
            <w:rStyle w:val="Hyperlink"/>
          </w:rPr>
          <w:t>Appendix B: IHC Review framework</w:t>
        </w:r>
        <w:r w:rsidR="009614A9">
          <w:rPr>
            <w:webHidden/>
          </w:rPr>
          <w:tab/>
        </w:r>
        <w:r w:rsidR="009614A9">
          <w:rPr>
            <w:webHidden/>
          </w:rPr>
          <w:fldChar w:fldCharType="begin"/>
        </w:r>
        <w:r w:rsidR="009614A9">
          <w:rPr>
            <w:webHidden/>
          </w:rPr>
          <w:instrText xml:space="preserve"> PAGEREF _Toc140149920 \h </w:instrText>
        </w:r>
        <w:r w:rsidR="009614A9">
          <w:rPr>
            <w:webHidden/>
          </w:rPr>
        </w:r>
        <w:r w:rsidR="009614A9">
          <w:rPr>
            <w:webHidden/>
          </w:rPr>
          <w:fldChar w:fldCharType="separate"/>
        </w:r>
        <w:r w:rsidR="00943DE9">
          <w:rPr>
            <w:webHidden/>
          </w:rPr>
          <w:t>53</w:t>
        </w:r>
        <w:r w:rsidR="009614A9">
          <w:rPr>
            <w:webHidden/>
          </w:rPr>
          <w:fldChar w:fldCharType="end"/>
        </w:r>
      </w:hyperlink>
    </w:p>
    <w:p w14:paraId="27020D4C" w14:textId="2AAFB64F" w:rsidR="009614A9" w:rsidRDefault="00000000">
      <w:pPr>
        <w:pStyle w:val="TOC1"/>
        <w:rPr>
          <w:rFonts w:eastAsiaTheme="minorEastAsia"/>
          <w:b w:val="0"/>
          <w:bCs w:val="0"/>
          <w:sz w:val="22"/>
          <w:szCs w:val="22"/>
          <w:lang w:val="en-US"/>
        </w:rPr>
      </w:pPr>
      <w:hyperlink w:anchor="_Toc140149921" w:history="1">
        <w:r w:rsidR="009614A9" w:rsidRPr="00F75171">
          <w:rPr>
            <w:rStyle w:val="Hyperlink"/>
          </w:rPr>
          <w:t>Appendix C: MCA framework</w:t>
        </w:r>
        <w:r w:rsidR="009614A9">
          <w:rPr>
            <w:webHidden/>
          </w:rPr>
          <w:tab/>
        </w:r>
        <w:r w:rsidR="009614A9">
          <w:rPr>
            <w:webHidden/>
          </w:rPr>
          <w:fldChar w:fldCharType="begin"/>
        </w:r>
        <w:r w:rsidR="009614A9">
          <w:rPr>
            <w:webHidden/>
          </w:rPr>
          <w:instrText xml:space="preserve"> PAGEREF _Toc140149921 \h </w:instrText>
        </w:r>
        <w:r w:rsidR="009614A9">
          <w:rPr>
            <w:webHidden/>
          </w:rPr>
        </w:r>
        <w:r w:rsidR="009614A9">
          <w:rPr>
            <w:webHidden/>
          </w:rPr>
          <w:fldChar w:fldCharType="separate"/>
        </w:r>
        <w:r w:rsidR="00943DE9">
          <w:rPr>
            <w:webHidden/>
          </w:rPr>
          <w:t>58</w:t>
        </w:r>
        <w:r w:rsidR="009614A9">
          <w:rPr>
            <w:webHidden/>
          </w:rPr>
          <w:fldChar w:fldCharType="end"/>
        </w:r>
      </w:hyperlink>
    </w:p>
    <w:p w14:paraId="14C4D76E" w14:textId="20DBA05B" w:rsidR="009614A9" w:rsidRDefault="00000000">
      <w:pPr>
        <w:pStyle w:val="TOC1"/>
        <w:rPr>
          <w:rFonts w:eastAsiaTheme="minorEastAsia"/>
          <w:b w:val="0"/>
          <w:bCs w:val="0"/>
          <w:sz w:val="22"/>
          <w:szCs w:val="22"/>
          <w:lang w:val="en-US"/>
        </w:rPr>
      </w:pPr>
      <w:hyperlink w:anchor="_Toc140149922" w:history="1">
        <w:r w:rsidR="009614A9" w:rsidRPr="00F75171">
          <w:rPr>
            <w:rStyle w:val="Hyperlink"/>
          </w:rPr>
          <w:t>Appendix D: Summary of additional sector research</w:t>
        </w:r>
        <w:r w:rsidR="009614A9">
          <w:rPr>
            <w:webHidden/>
          </w:rPr>
          <w:tab/>
        </w:r>
        <w:r w:rsidR="009614A9">
          <w:rPr>
            <w:webHidden/>
          </w:rPr>
          <w:fldChar w:fldCharType="begin"/>
        </w:r>
        <w:r w:rsidR="009614A9">
          <w:rPr>
            <w:webHidden/>
          </w:rPr>
          <w:instrText xml:space="preserve"> PAGEREF _Toc140149922 \h </w:instrText>
        </w:r>
        <w:r w:rsidR="009614A9">
          <w:rPr>
            <w:webHidden/>
          </w:rPr>
        </w:r>
        <w:r w:rsidR="009614A9">
          <w:rPr>
            <w:webHidden/>
          </w:rPr>
          <w:fldChar w:fldCharType="separate"/>
        </w:r>
        <w:r w:rsidR="00943DE9">
          <w:rPr>
            <w:webHidden/>
          </w:rPr>
          <w:t>59</w:t>
        </w:r>
        <w:r w:rsidR="009614A9">
          <w:rPr>
            <w:webHidden/>
          </w:rPr>
          <w:fldChar w:fldCharType="end"/>
        </w:r>
      </w:hyperlink>
    </w:p>
    <w:p w14:paraId="664DDB0C" w14:textId="5E8960FD" w:rsidR="009614A9" w:rsidRPr="009614A9" w:rsidRDefault="009614A9" w:rsidP="009614A9">
      <w:pPr>
        <w:spacing w:before="0" w:after="240" w:line="240" w:lineRule="atLeast"/>
        <w:rPr>
          <w:rFonts w:ascii="Arial" w:eastAsia="Arial" w:hAnsi="Arial" w:cs="Arial"/>
          <w:sz w:val="19"/>
          <w:szCs w:val="20"/>
        </w:rPr>
      </w:pPr>
      <w:r>
        <w:rPr>
          <w:rFonts w:ascii="Arial" w:eastAsia="Arial" w:hAnsi="Arial" w:cs="Times New Roman"/>
          <w:bCs/>
          <w:i/>
          <w:iCs/>
          <w:noProof/>
          <w:color w:val="F8981D"/>
          <w:sz w:val="32"/>
          <w:szCs w:val="28"/>
        </w:rPr>
        <w:fldChar w:fldCharType="end"/>
      </w:r>
    </w:p>
    <w:p w14:paraId="02108C50" w14:textId="7F5E4243" w:rsidR="00817865" w:rsidRDefault="00817865" w:rsidP="00817865">
      <w:pPr>
        <w:pStyle w:val="DocBodyText"/>
      </w:pPr>
    </w:p>
    <w:p w14:paraId="5E210032" w14:textId="77777777" w:rsidR="00817865" w:rsidRDefault="00817865" w:rsidP="00817865">
      <w:pPr>
        <w:pStyle w:val="DocBodyText"/>
      </w:pPr>
    </w:p>
    <w:p w14:paraId="06C5D607" w14:textId="77777777" w:rsidR="00817865" w:rsidRDefault="00817865" w:rsidP="00D51DAC">
      <w:pPr>
        <w:pStyle w:val="DocBodyText"/>
        <w:ind w:left="426"/>
        <w:sectPr w:rsidR="00817865" w:rsidSect="00D51DAC">
          <w:headerReference w:type="default" r:id="rId46"/>
          <w:pgSz w:w="11906" w:h="16838" w:code="9"/>
          <w:pgMar w:top="1247" w:right="737" w:bottom="1247" w:left="2127" w:header="720" w:footer="720" w:gutter="0"/>
          <w:cols w:space="284"/>
          <w:docGrid w:linePitch="360"/>
        </w:sectPr>
      </w:pPr>
    </w:p>
    <w:p w14:paraId="223D2265" w14:textId="00F27C85" w:rsidR="009B581C" w:rsidRPr="009B581C" w:rsidRDefault="009B581C" w:rsidP="00A218E9">
      <w:pPr>
        <w:pStyle w:val="DocHeading01"/>
      </w:pPr>
      <w:bookmarkStart w:id="14" w:name="_Toc138249580"/>
      <w:bookmarkStart w:id="15" w:name="_Toc139022123"/>
      <w:bookmarkStart w:id="16" w:name="_Toc140148401"/>
      <w:bookmarkStart w:id="17" w:name="_Toc140149899"/>
      <w:r w:rsidRPr="009B581C">
        <w:lastRenderedPageBreak/>
        <w:t>Background</w:t>
      </w:r>
      <w:bookmarkEnd w:id="14"/>
      <w:bookmarkEnd w:id="15"/>
      <w:bookmarkEnd w:id="16"/>
      <w:bookmarkEnd w:id="17"/>
    </w:p>
    <w:p w14:paraId="7B010B0E" w14:textId="35795404" w:rsidR="009B581C" w:rsidRPr="00A218E9" w:rsidRDefault="009B581C" w:rsidP="000753C2">
      <w:pPr>
        <w:pStyle w:val="DocHeading02"/>
      </w:pPr>
      <w:bookmarkStart w:id="18" w:name="_Toc139022124"/>
      <w:bookmarkStart w:id="19" w:name="_Toc140148402"/>
      <w:bookmarkStart w:id="20" w:name="_Toc140149900"/>
      <w:r w:rsidRPr="00A218E9">
        <w:t>Early Childhood Education and Care reforms</w:t>
      </w:r>
      <w:bookmarkEnd w:id="18"/>
      <w:bookmarkEnd w:id="19"/>
      <w:bookmarkEnd w:id="20"/>
    </w:p>
    <w:p w14:paraId="72120FAB" w14:textId="77777777" w:rsidR="009B581C" w:rsidRPr="00A218E9" w:rsidRDefault="009B581C" w:rsidP="00A218E9">
      <w:pPr>
        <w:pStyle w:val="DocBodyText"/>
      </w:pPr>
      <w:r w:rsidRPr="00A218E9">
        <w:t>In Australia, the Early Childhood Education and Care (ECEC) system includes both informal or non-regulated care, often provided by relatives, friends and non-regulated childminding services (such as creches), and formal or regulated care. Formal ECEC includes:</w:t>
      </w:r>
    </w:p>
    <w:p w14:paraId="39F00F6E" w14:textId="77777777" w:rsidR="009B581C" w:rsidRPr="00A218E9" w:rsidRDefault="009B581C" w:rsidP="005A2C4F">
      <w:pPr>
        <w:pStyle w:val="DocBullet1"/>
      </w:pPr>
      <w:r w:rsidRPr="00A218E9">
        <w:t>Outside school hours care (OSHC) for primary school aged children</w:t>
      </w:r>
    </w:p>
    <w:p w14:paraId="498CAFA0" w14:textId="77777777" w:rsidR="009B581C" w:rsidRPr="005A2C4F" w:rsidRDefault="009B581C" w:rsidP="005A2C4F">
      <w:pPr>
        <w:pStyle w:val="DocBullet1"/>
      </w:pPr>
      <w:r w:rsidRPr="005A2C4F">
        <w:t>Centred-based Day Care (CBDC), which can be provided on a regular or occasional basis</w:t>
      </w:r>
    </w:p>
    <w:p w14:paraId="798CB8CF" w14:textId="77777777" w:rsidR="007D7BF5" w:rsidRPr="005A2C4F" w:rsidRDefault="009B581C" w:rsidP="005A2C4F">
      <w:pPr>
        <w:pStyle w:val="DocBullet1"/>
      </w:pPr>
      <w:r w:rsidRPr="005A2C4F">
        <w:t>Family Day Care (FDC), which is provided in the family home of approved educators; and</w:t>
      </w:r>
    </w:p>
    <w:p w14:paraId="1B259392" w14:textId="27FB94EB" w:rsidR="009B581C" w:rsidRPr="009B581C" w:rsidRDefault="009B581C" w:rsidP="005A2C4F">
      <w:pPr>
        <w:pStyle w:val="DocBullet1"/>
      </w:pPr>
      <w:r w:rsidRPr="005A2C4F">
        <w:t>In Home Care</w:t>
      </w:r>
      <w:r w:rsidRPr="00A218E9">
        <w:t xml:space="preserve"> (IHC), which is education and care provided in the family home for families unable to access CBDC, FDC and OSHC because of their unique circumstances</w:t>
      </w:r>
      <w:r w:rsidRPr="009B581C">
        <w:t>.</w:t>
      </w:r>
    </w:p>
    <w:p w14:paraId="0B9B0B7A" w14:textId="68C8D44D" w:rsidR="009B581C" w:rsidRPr="00A218E9" w:rsidRDefault="009B581C" w:rsidP="00A218E9">
      <w:pPr>
        <w:pStyle w:val="DocBodyText"/>
      </w:pPr>
      <w:r w:rsidRPr="00A218E9">
        <w:t xml:space="preserve">Over the past decade there has been significant reform to the ECEC system in Australia in recognition of the benefits of quality ECEC to </w:t>
      </w:r>
      <w:r w:rsidR="00DF7752">
        <w:t xml:space="preserve">the </w:t>
      </w:r>
      <w:r w:rsidRPr="00A218E9">
        <w:t>health, wellbeing, learning and development trajectories of children. Access to high quality ECEC leads to improved cognitive and emotional development, greater academic achievement, and a range of benefits later in life for children such as greater employability and productivity, better health outcomes, reduced interaction with the criminal justice system and reduced reliance on social services. Access to ECEC is also a key enabler of workforce participation for parents and carers.</w:t>
      </w:r>
    </w:p>
    <w:p w14:paraId="56140D14" w14:textId="77777777" w:rsidR="009B581C" w:rsidRPr="00BB2FC2" w:rsidRDefault="009B581C" w:rsidP="00A218E9">
      <w:pPr>
        <w:pStyle w:val="DocBodyText"/>
      </w:pPr>
      <w:r w:rsidRPr="00A218E9">
        <w:t xml:space="preserve">To drive quality across the ECEC sector, the National Quality Framework (NQF) was introduced in 2012 including the National Law, National Regulations, and the National Quality Standards. The Australian Children’s Education and Care Quality Authority (ACECQA) was established as the independent national authority to assist government in </w:t>
      </w:r>
      <w:r w:rsidRPr="00BB2FC2">
        <w:t>administering the NQF.</w:t>
      </w:r>
    </w:p>
    <w:p w14:paraId="1DDC0DCA" w14:textId="77777777" w:rsidR="007D7BF5" w:rsidRDefault="009B581C" w:rsidP="00A218E9">
      <w:pPr>
        <w:pStyle w:val="DocBodyText"/>
      </w:pPr>
      <w:r w:rsidRPr="00BB2FC2">
        <w:t>In 2018 the Child Care Subsidy (CCS) and the Additional Child Care Subsidy (ACCS) were introduced replacing the previous Child Care Benefit (CCB), Child Care Rebate (CCR), and Special Child Care Benefit (SCCB) payments system. These payments support families to access ECEC. The new CCS/ACCS system has made ECEC more affordable for families</w:t>
      </w:r>
      <w:r w:rsidRPr="00BB2FC2">
        <w:rPr>
          <w:vertAlign w:val="superscript"/>
        </w:rPr>
        <w:footnoteReference w:id="11"/>
      </w:r>
      <w:r w:rsidRPr="00BB2FC2">
        <w:t>, and offers subsidies based on a more graduated ‘activity test’</w:t>
      </w:r>
      <w:r w:rsidRPr="00BB2FC2">
        <w:rPr>
          <w:vertAlign w:val="superscript"/>
        </w:rPr>
        <w:footnoteReference w:id="12"/>
      </w:r>
      <w:r w:rsidRPr="00BB2FC2">
        <w:t xml:space="preserve"> for parents and caregivers.</w:t>
      </w:r>
    </w:p>
    <w:p w14:paraId="75FEAAD2" w14:textId="77777777" w:rsidR="007D7BF5" w:rsidRDefault="003B2A46" w:rsidP="001D7AB0">
      <w:pPr>
        <w:pStyle w:val="DocBodyText"/>
      </w:pPr>
      <w:r w:rsidRPr="00BB2FC2">
        <w:t xml:space="preserve">The draft </w:t>
      </w:r>
      <w:r w:rsidRPr="00BB2FC2">
        <w:rPr>
          <w:i/>
          <w:iCs/>
        </w:rPr>
        <w:t>National Vision for ECEC</w:t>
      </w:r>
      <w:r w:rsidRPr="00BB2FC2">
        <w:t xml:space="preserve"> will provide the direction for longer term reform at national, state and territory level. It will guide government and sector discussion and decision-making about the ECEC system. It will also help all parts of the system to work together to achieve the shared vision.</w:t>
      </w:r>
    </w:p>
    <w:p w14:paraId="0B60F310" w14:textId="1D895998" w:rsidR="009B581C" w:rsidRDefault="009B581C" w:rsidP="005A2C4F">
      <w:pPr>
        <w:pStyle w:val="DocBodyText"/>
      </w:pPr>
      <w:r w:rsidRPr="00BB2FC2">
        <w:t xml:space="preserve">An Early Years Strategy is also in development which is intended to help create a more integrated, holistic approach to the early years and better support the </w:t>
      </w:r>
      <w:r w:rsidRPr="005A2C4F">
        <w:t>education</w:t>
      </w:r>
      <w:r w:rsidRPr="00BB2FC2">
        <w:t>, wellbeing and development of Australia’s children</w:t>
      </w:r>
      <w:r w:rsidRPr="00BB2FC2">
        <w:rPr>
          <w:rStyle w:val="FootnoteReference"/>
        </w:rPr>
        <w:footnoteReference w:id="13"/>
      </w:r>
      <w:r w:rsidRPr="00BB2FC2">
        <w:t>. It will seek to support improved coordination between Commonwealth programs, funding and frameworks impacting early childhood development.</w:t>
      </w:r>
    </w:p>
    <w:p w14:paraId="3E009C66" w14:textId="23C219AC" w:rsidR="00764AC1" w:rsidRPr="00A218E9" w:rsidRDefault="00764AC1" w:rsidP="00764AC1">
      <w:pPr>
        <w:pStyle w:val="DocBodyText"/>
        <w:widowControl w:val="0"/>
      </w:pPr>
      <w:r w:rsidRPr="00BB2FC2">
        <w:t>Concurrent to this review the Productivity Commission and the Australian</w:t>
      </w:r>
      <w:r w:rsidRPr="00A218E9">
        <w:t xml:space="preserve"> Competition and Consumer Commission (ACCC) are conducting inquiries into ECEC. The scope of the Productivity</w:t>
      </w:r>
      <w:r w:rsidRPr="00D96E68">
        <w:t xml:space="preserve"> </w:t>
      </w:r>
      <w:r w:rsidRPr="00A218E9">
        <w:t>Commission inquiry is to consider cost and availability barriers that affect access to ECEC services and options to improve affordability and access to ECEC services, developmental outcomes for Australian children, outcomes for disadvantaged children and economic growth through</w:t>
      </w:r>
      <w:r>
        <w:t xml:space="preserve"> </w:t>
      </w:r>
      <w:r w:rsidRPr="00A218E9">
        <w:t>workforce participation</w:t>
      </w:r>
      <w:r w:rsidRPr="00DF0A9B">
        <w:rPr>
          <w:rStyle w:val="FootnoteReference"/>
          <w:rFonts w:cstheme="minorBidi"/>
          <w:sz w:val="22"/>
        </w:rPr>
        <w:footnoteReference w:id="14"/>
      </w:r>
      <w:r w:rsidRPr="00A218E9">
        <w:t>. The ACCC is examining the workforce costs and availability, administrative costs, regulatory compliance costs within the ECEC system</w:t>
      </w:r>
      <w:r w:rsidRPr="00DF0A9B">
        <w:rPr>
          <w:rStyle w:val="FootnoteReference"/>
          <w:rFonts w:cstheme="minorBidi"/>
          <w:sz w:val="22"/>
        </w:rPr>
        <w:footnoteReference w:id="15"/>
      </w:r>
      <w:r>
        <w:t>.</w:t>
      </w:r>
    </w:p>
    <w:p w14:paraId="72F85681" w14:textId="66EEDB35" w:rsidR="009B581C" w:rsidRPr="00B75869" w:rsidRDefault="009B581C" w:rsidP="000753C2">
      <w:pPr>
        <w:pStyle w:val="DocHeading02"/>
      </w:pPr>
      <w:bookmarkStart w:id="21" w:name="_Toc139022125"/>
      <w:bookmarkStart w:id="22" w:name="_Toc140148403"/>
      <w:bookmarkStart w:id="23" w:name="_Toc140149901"/>
      <w:r w:rsidRPr="00B75869" w:rsidDel="00FF39C5">
        <w:lastRenderedPageBreak/>
        <w:t>The</w:t>
      </w:r>
      <w:r w:rsidRPr="00B75869">
        <w:t xml:space="preserve"> In</w:t>
      </w:r>
      <w:r>
        <w:t xml:space="preserve"> </w:t>
      </w:r>
      <w:r w:rsidRPr="00B75869">
        <w:t>Home Care (IHC) program</w:t>
      </w:r>
      <w:bookmarkEnd w:id="21"/>
      <w:bookmarkEnd w:id="22"/>
      <w:bookmarkEnd w:id="23"/>
    </w:p>
    <w:p w14:paraId="3C1B8834" w14:textId="77777777" w:rsidR="009B581C" w:rsidRPr="00D96E68" w:rsidRDefault="009B581C" w:rsidP="00A218E9">
      <w:pPr>
        <w:pStyle w:val="DocBodyText"/>
      </w:pPr>
      <w:r w:rsidRPr="71A6EEF2">
        <w:t xml:space="preserve">The IHC program, which commenced in July 2018, is intended to make ECEC more affordable and accessible for parents and carers. IHC places are capped at 3,200 places nationally </w:t>
      </w:r>
      <w:r w:rsidRPr="00D96E68">
        <w:t>and are available to families who are eligible for the CCS but who are unable to access other forms of ECEC because of their unique circumstances including:</w:t>
      </w:r>
    </w:p>
    <w:p w14:paraId="074505FD" w14:textId="77777777" w:rsidR="009B581C" w:rsidRPr="00764AC1" w:rsidRDefault="009B581C" w:rsidP="00764AC1">
      <w:pPr>
        <w:pStyle w:val="DocBullet1"/>
      </w:pPr>
      <w:r w:rsidRPr="00764AC1">
        <w:t>Families that are geographically isolated from other ECEC services</w:t>
      </w:r>
    </w:p>
    <w:p w14:paraId="13C6175A" w14:textId="77777777" w:rsidR="007D7BF5" w:rsidRPr="00764AC1" w:rsidRDefault="009B581C" w:rsidP="00764AC1">
      <w:pPr>
        <w:pStyle w:val="DocBullet1"/>
      </w:pPr>
      <w:r w:rsidRPr="00764AC1">
        <w:t>Families who work non-standard or variable hours, and</w:t>
      </w:r>
    </w:p>
    <w:p w14:paraId="46D4F62A" w14:textId="77777777" w:rsidR="007D7BF5" w:rsidRDefault="009B581C" w:rsidP="00764AC1">
      <w:pPr>
        <w:pStyle w:val="DocBullet1"/>
        <w:spacing w:after="200"/>
      </w:pPr>
      <w:r w:rsidRPr="00764AC1">
        <w:t>Famili</w:t>
      </w:r>
      <w:r w:rsidRPr="00F21B1F">
        <w:t>es who have complex and challenging needs.</w:t>
      </w:r>
    </w:p>
    <w:p w14:paraId="05C56115" w14:textId="12472D83" w:rsidR="009B581C" w:rsidRPr="00D96E68" w:rsidRDefault="009B581C" w:rsidP="00764AC1">
      <w:pPr>
        <w:pStyle w:val="DocBodyText"/>
      </w:pPr>
      <w:r w:rsidRPr="00D96E68">
        <w:t xml:space="preserve">Since 2014 </w:t>
      </w:r>
      <w:r w:rsidRPr="00764AC1">
        <w:t>the</w:t>
      </w:r>
      <w:r w:rsidRPr="00D96E68">
        <w:t xml:space="preserve"> IHC program and its predecessors have been the focus, or in scope, of several reviews (</w:t>
      </w:r>
      <w:r w:rsidRPr="00D96E68">
        <w:fldChar w:fldCharType="begin"/>
      </w:r>
      <w:r w:rsidRPr="00D96E68">
        <w:instrText xml:space="preserve"> REF _Ref137720859 \h  \* MERGEFORMAT </w:instrText>
      </w:r>
      <w:r w:rsidRPr="00D96E68">
        <w:fldChar w:fldCharType="separate"/>
      </w:r>
      <w:r w:rsidR="00943DE9" w:rsidRPr="000753C2">
        <w:t xml:space="preserve">Figure </w:t>
      </w:r>
      <w:r w:rsidR="00943DE9">
        <w:t>2</w:t>
      </w:r>
      <w:r w:rsidRPr="00D96E68">
        <w:fldChar w:fldCharType="end"/>
      </w:r>
      <w:r w:rsidRPr="00D96E68">
        <w:t>).</w:t>
      </w:r>
    </w:p>
    <w:bookmarkStart w:id="24" w:name="_Ref137720859"/>
    <w:p w14:paraId="27312075" w14:textId="0E45868C" w:rsidR="007D7BF5" w:rsidRDefault="00764AC1" w:rsidP="005677D1">
      <w:pPr>
        <w:pStyle w:val="DocTableHeader"/>
      </w:pPr>
      <w:r>
        <w:rPr>
          <w:noProof/>
        </w:rPr>
        <mc:AlternateContent>
          <mc:Choice Requires="wps">
            <w:drawing>
              <wp:anchor distT="0" distB="0" distL="114300" distR="114300" simplePos="0" relativeHeight="251658241" behindDoc="1" locked="0" layoutInCell="1" allowOverlap="1" wp14:anchorId="497AE429" wp14:editId="30019585">
                <wp:simplePos x="0" y="0"/>
                <wp:positionH relativeFrom="page">
                  <wp:posOffset>0</wp:posOffset>
                </wp:positionH>
                <wp:positionV relativeFrom="paragraph">
                  <wp:posOffset>50327</wp:posOffset>
                </wp:positionV>
                <wp:extent cx="7570470" cy="1849120"/>
                <wp:effectExtent l="0" t="0" r="0" b="0"/>
                <wp:wrapNone/>
                <wp:docPr id="69" name="Rectangle 69"/>
                <wp:cNvGraphicFramePr/>
                <a:graphic xmlns:a="http://schemas.openxmlformats.org/drawingml/2006/main">
                  <a:graphicData uri="http://schemas.microsoft.com/office/word/2010/wordprocessingShape">
                    <wps:wsp>
                      <wps:cNvSpPr/>
                      <wps:spPr>
                        <a:xfrm>
                          <a:off x="0" y="0"/>
                          <a:ext cx="7570470" cy="18491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6EB99F" id="Rectangle 69" o:spid="_x0000_s1026" style="position:absolute;margin-left:0;margin-top:3.95pt;width:596.1pt;height:145.6pt;z-index:-251658239;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xrlhwIAAIMFAAAOAAAAZHJzL2Uyb0RvYy54bWysVEtv2zAMvg/YfxB0X20H6dIGcYogRYcB&#10;XVusHXpWZCkWIIuapMTJfv0o+ZG2K3YYdpElPj6Sn0kurg6NJnvhvAJT0uIsp0QYDpUy25L+eLr5&#10;dEGJD8xUTIMRJT0KT6+WHz8sWjsXE6hBV8IRBDF+3tqS1iHYeZZ5XouG+TOwwqBSgmtYwKfbZpVj&#10;LaI3Opvk+eesBVdZB1x4j9LrTkmXCV9KwcO9lF4EokuKuYV0unRu4pktF2y+dczWivdpsH/IomHK&#10;YNAR6poFRnZO/QHVKO7AgwxnHJoMpFRcpBqwmiJ/U81jzaxItSA53o40+f8Hy+/2j/bBIQ2t9XOP&#10;11jFQbomfjE/ckhkHUeyxCEQjsLZ+SyfzpBTjrriYnpZTBKd2cndOh++CGhIvJTU4d9IJLH9rQ8Y&#10;Ek0HkxjNg1bVjdI6PWIHiLV2ZM/w3222RXLVu+YbVJ3s8jzPh5CpYaJ5Qn2FpE3EMxCRu6BRkp3q&#10;Tbdw1CLaafNdSKIqrHCSIo7IXVDGuTChS8bXrBKdOKbyfi4JMCJLjD9i9wCvixywuyx7++gqUieP&#10;zvnfEuucR48UGUwYnRtlwL0HoLGqPnJnP5DUURNZ2kB1fHDEQTdH3vIbhb/2lvnwwBwODrYDLoNw&#10;j4fU0JYU+hslNbhf78mjPfYzailpcRBL6n/umBOU6K8GO/2ymE7j5KbH9HyGXUbcS83mpcbsmjVg&#10;vxS4dixP12gf9HCVDppn3BmrGBVVzHCMXVIe3PBYh25B4NbhYrVKZjitloVb82h5BI+sxtZ9Ojwz&#10;Z/v+DjgadzAMLZu/afPONnoaWO0CSJVm4MRrzzdOemrifivFVfLynaxOu3P5GwAA//8DAFBLAwQU&#10;AAYACAAAACEAW3U3lNwAAAAHAQAADwAAAGRycy9kb3ducmV2LnhtbEyPQU+EMBCF7yb+h2Y28eYW&#10;mogWKRuzycaTB1eyibdCRyBLp0jLgv/e7kmPk/fyvW+K3WoHdsHJ944UpNsEGFLjTE+tgurjcP8E&#10;zAdNRg+OUMEPetiVtzeFzo1b6B0vx9CyCCGfawVdCGPOuW86tNpv3YgUsy83WR3iObXcTHqJcDtw&#10;kSQZt7qnuNDpEfcdNufjbBWIan0Qy9tBnj6r+jXJ5u+9wEypu8368gws4Br+ynDVj+pQRqfazWQ8&#10;GxTER4KCRwnsGqZSCGB1REuZAi8L/t+//AUAAP//AwBQSwECLQAUAAYACAAAACEAtoM4kv4AAADh&#10;AQAAEwAAAAAAAAAAAAAAAAAAAAAAW0NvbnRlbnRfVHlwZXNdLnhtbFBLAQItABQABgAIAAAAIQA4&#10;/SH/1gAAAJQBAAALAAAAAAAAAAAAAAAAAC8BAABfcmVscy8ucmVsc1BLAQItABQABgAIAAAAIQDz&#10;OxrlhwIAAIMFAAAOAAAAAAAAAAAAAAAAAC4CAABkcnMvZTJvRG9jLnhtbFBLAQItABQABgAIAAAA&#10;IQBbdTeU3AAAAAcBAAAPAAAAAAAAAAAAAAAAAOEEAABkcnMvZG93bnJldi54bWxQSwUGAAAAAAQA&#10;BADzAAAA6gUAAAAA&#10;" fillcolor="#f2f2f2 [3052]" stroked="f" strokeweight="1pt">
                <w10:wrap anchorx="page"/>
              </v:rect>
            </w:pict>
          </mc:Fallback>
        </mc:AlternateContent>
      </w:r>
      <w:r w:rsidR="009B581C" w:rsidRPr="000753C2">
        <w:t xml:space="preserve">Figure </w:t>
      </w:r>
      <w:r w:rsidR="009B581C" w:rsidRPr="000753C2">
        <w:fldChar w:fldCharType="begin"/>
      </w:r>
      <w:r w:rsidR="009B581C" w:rsidRPr="000753C2">
        <w:instrText>SEQ Figure \* ARABIC</w:instrText>
      </w:r>
      <w:r w:rsidR="009B581C" w:rsidRPr="000753C2">
        <w:fldChar w:fldCharType="separate"/>
      </w:r>
      <w:r w:rsidR="00943DE9">
        <w:rPr>
          <w:noProof/>
        </w:rPr>
        <w:t>2</w:t>
      </w:r>
      <w:r w:rsidR="009B581C" w:rsidRPr="000753C2">
        <w:fldChar w:fldCharType="end"/>
      </w:r>
      <w:bookmarkEnd w:id="24"/>
      <w:r w:rsidR="005677D1">
        <w:t>:</w:t>
      </w:r>
      <w:r w:rsidR="009B581C" w:rsidRPr="000753C2">
        <w:t xml:space="preserve"> </w:t>
      </w:r>
      <w:r w:rsidR="005677D1">
        <w:t>P</w:t>
      </w:r>
      <w:r w:rsidR="009B581C" w:rsidRPr="000753C2">
        <w:t>revious reviews of the IHC program and its predecessors</w:t>
      </w:r>
    </w:p>
    <w:p w14:paraId="739363DA" w14:textId="059D17FA" w:rsidR="009B581C" w:rsidRDefault="00B05FA8">
      <w:pPr>
        <w:spacing w:before="0" w:line="281" w:lineRule="auto"/>
      </w:pPr>
      <w:r>
        <w:object w:dxaOrig="9609" w:dyaOrig="5405" w14:anchorId="157468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5.75pt;height:123.05pt" o:ole="">
            <v:imagedata r:id="rId47" o:title="" croptop="26023f" cropbottom="24193f" cropleft="16034f" cropright="15573f"/>
          </v:shape>
          <o:OLEObject Type="Embed" ProgID="PowerPoint.Slide.12" ShapeID="_x0000_i1026" DrawAspect="Content" ObjectID="_1761144014" r:id="rId48"/>
        </w:object>
      </w:r>
    </w:p>
    <w:p w14:paraId="57659FC9" w14:textId="2784AADB" w:rsidR="00F3268F" w:rsidRDefault="00F3268F" w:rsidP="00B05FA8">
      <w:pPr>
        <w:pStyle w:val="DocBodyText"/>
        <w:spacing w:before="240"/>
      </w:pPr>
      <w:r w:rsidRPr="00D96E68">
        <w:t>Consistent findings of these reviews are that there remain four key challenges for the program:</w:t>
      </w:r>
    </w:p>
    <w:p w14:paraId="5F0D5C3B" w14:textId="77777777" w:rsidR="007D7BF5" w:rsidRDefault="00F3268F" w:rsidP="001F33AA">
      <w:pPr>
        <w:pStyle w:val="DOCNumber"/>
      </w:pPr>
      <w:r w:rsidRPr="000753C2">
        <w:t>Data: the need for continuous improvement and access to timely and accurate data.</w:t>
      </w:r>
    </w:p>
    <w:p w14:paraId="4CFE1439" w14:textId="77777777" w:rsidR="007D7BF5" w:rsidRDefault="00F3268F" w:rsidP="001F33AA">
      <w:pPr>
        <w:pStyle w:val="DOCNumber"/>
      </w:pPr>
      <w:r w:rsidRPr="000753C2">
        <w:t>Workforce: the need to address challenges in recruiting and retaining IHC educators.</w:t>
      </w:r>
    </w:p>
    <w:p w14:paraId="11A7E40E" w14:textId="77777777" w:rsidR="007D7BF5" w:rsidRDefault="00F3268F" w:rsidP="001F33AA">
      <w:pPr>
        <w:pStyle w:val="DOCNumber"/>
      </w:pPr>
      <w:r w:rsidRPr="000753C2">
        <w:t>Affordability: the need to understand the impact on demand and service viability.</w:t>
      </w:r>
    </w:p>
    <w:p w14:paraId="0D3E4E02" w14:textId="77777777" w:rsidR="007D7BF5" w:rsidRDefault="00F3268F" w:rsidP="001F33AA">
      <w:pPr>
        <w:pStyle w:val="DOCNumber"/>
      </w:pPr>
      <w:r w:rsidRPr="000753C2">
        <w:t>Administration: need for improved consistency and to understand the administrative impact the current structure has on families, services, and support agencies.</w:t>
      </w:r>
    </w:p>
    <w:p w14:paraId="724971D7" w14:textId="77777777" w:rsidR="007D7BF5" w:rsidRDefault="00F3268F" w:rsidP="000753C2">
      <w:pPr>
        <w:pStyle w:val="DocBodyText"/>
      </w:pPr>
      <w:r w:rsidRPr="00D96E68">
        <w:t>In 2023, the Australian Department of Education commissioned PricewaterhouseCoopers Consulting Australia (PwC) to review the IHC program and design a ‘future state’ of the program.</w:t>
      </w:r>
    </w:p>
    <w:p w14:paraId="2AD07C21" w14:textId="2A4348B8" w:rsidR="00F3268F" w:rsidRPr="001B1872" w:rsidRDefault="00F3268F" w:rsidP="000753C2">
      <w:pPr>
        <w:pStyle w:val="DocBodyText"/>
        <w:rPr>
          <w:b/>
        </w:rPr>
      </w:pPr>
      <w:r w:rsidRPr="001B1872">
        <w:rPr>
          <w:b/>
        </w:rPr>
        <w:t>Context of the review</w:t>
      </w:r>
    </w:p>
    <w:p w14:paraId="1B36DAD4" w14:textId="191F9166" w:rsidR="00F3268F" w:rsidRPr="00D96E68" w:rsidRDefault="00F3268F" w:rsidP="000753C2">
      <w:pPr>
        <w:pStyle w:val="DocBodyText"/>
      </w:pPr>
      <w:r w:rsidRPr="00D96E68">
        <w:t>Despite positive changes to the ECEC system, including to the IHC program, access and affordability continue to be key challenges. This is driven by workforce shortages, variable service quality, and issues with financial viability of IHC providers. The ECEC system continues to be the subject of current reviews and reforms. This includes:</w:t>
      </w:r>
    </w:p>
    <w:p w14:paraId="2275AC84" w14:textId="77777777" w:rsidR="00F3268F" w:rsidRPr="00D96E68" w:rsidRDefault="00F3268F" w:rsidP="00764AC1">
      <w:pPr>
        <w:pStyle w:val="DocBullet1"/>
      </w:pPr>
      <w:r w:rsidRPr="00D96E68">
        <w:t>Development of Shaping Our Future: The National Children’s Education and Care Workforce Strategy</w:t>
      </w:r>
      <w:r w:rsidRPr="00D96E68">
        <w:rPr>
          <w:iCs/>
        </w:rPr>
        <w:t>,</w:t>
      </w:r>
      <w:r w:rsidRPr="00D96E68">
        <w:t xml:space="preserve"> 2022–2031</w:t>
      </w:r>
    </w:p>
    <w:p w14:paraId="176811F5" w14:textId="77777777" w:rsidR="00F3268F" w:rsidRPr="00D96E68" w:rsidRDefault="00F3268F" w:rsidP="00764AC1">
      <w:pPr>
        <w:pStyle w:val="DocBullet1"/>
      </w:pPr>
      <w:r w:rsidRPr="00D96E68">
        <w:t xml:space="preserve">Enactment of the Family Assistance Legislation Amendment (Cheaper Child Care) Bill 2022 due to be </w:t>
      </w:r>
      <w:r w:rsidRPr="00764AC1">
        <w:t>implemented</w:t>
      </w:r>
      <w:r w:rsidRPr="00D96E68">
        <w:t xml:space="preserve"> on 1 July 2023</w:t>
      </w:r>
    </w:p>
    <w:p w14:paraId="0E859ADB" w14:textId="77777777" w:rsidR="00F3268F" w:rsidRPr="00D96E68" w:rsidRDefault="00F3268F" w:rsidP="00764AC1">
      <w:pPr>
        <w:pStyle w:val="DocBullet1"/>
      </w:pPr>
      <w:r w:rsidRPr="00D96E68">
        <w:t>Development of an Early Years Strategy (currently underway)</w:t>
      </w:r>
    </w:p>
    <w:p w14:paraId="65BA0025" w14:textId="5414BB97" w:rsidR="00F3268F" w:rsidRPr="00BB2FC2" w:rsidRDefault="00F3268F" w:rsidP="00764AC1">
      <w:pPr>
        <w:pStyle w:val="DocBullet1"/>
      </w:pPr>
      <w:r w:rsidRPr="00764AC1">
        <w:t>Development</w:t>
      </w:r>
      <w:r w:rsidRPr="00BB2FC2">
        <w:t xml:space="preserve"> of a draft </w:t>
      </w:r>
      <w:r w:rsidRPr="00BB2FC2">
        <w:rPr>
          <w:i/>
        </w:rPr>
        <w:t>National Vision for ECEC</w:t>
      </w:r>
      <w:r w:rsidRPr="00BB2FC2">
        <w:t xml:space="preserve"> (due to be finalised </w:t>
      </w:r>
      <w:r w:rsidR="00C83988" w:rsidRPr="00BB2FC2">
        <w:t>by</w:t>
      </w:r>
      <w:r w:rsidRPr="00BB2FC2">
        <w:t xml:space="preserve"> </w:t>
      </w:r>
      <w:r w:rsidR="00F3794E" w:rsidRPr="00BB2FC2">
        <w:t xml:space="preserve">the </w:t>
      </w:r>
      <w:r w:rsidR="00C83988" w:rsidRPr="00BB2FC2">
        <w:t>end</w:t>
      </w:r>
      <w:r w:rsidR="00F3794E" w:rsidRPr="00BB2FC2">
        <w:t xml:space="preserve"> of </w:t>
      </w:r>
      <w:r w:rsidRPr="00BB2FC2">
        <w:t>2023)</w:t>
      </w:r>
    </w:p>
    <w:p w14:paraId="2BA4782A" w14:textId="354C330F" w:rsidR="00F3268F" w:rsidRPr="00BB2FC2" w:rsidRDefault="00F3268F" w:rsidP="00764AC1">
      <w:pPr>
        <w:pStyle w:val="DocBullet1"/>
      </w:pPr>
      <w:r w:rsidRPr="00BB2FC2">
        <w:rPr>
          <w:i/>
        </w:rPr>
        <w:t>Inclusion Support Program (ISP) review</w:t>
      </w:r>
      <w:r w:rsidRPr="00BB2FC2">
        <w:t xml:space="preserve"> (due to be completed by mid-2023) into the performance of the program in building the capability of mainstream ECEC services to develop and adopt inclusive practices that support the needs of children with additional needs e.g</w:t>
      </w:r>
      <w:r w:rsidR="0036642F">
        <w:t>.</w:t>
      </w:r>
      <w:r w:rsidRPr="00BB2FC2">
        <w:t xml:space="preserve"> with disability, challenging behaviours, or serious medical conditions</w:t>
      </w:r>
    </w:p>
    <w:p w14:paraId="5FA2AC3D" w14:textId="77777777" w:rsidR="00F3268F" w:rsidRPr="00D96E68" w:rsidRDefault="00F3268F" w:rsidP="00764AC1">
      <w:pPr>
        <w:pStyle w:val="DocBullet1"/>
      </w:pPr>
      <w:r w:rsidRPr="00D96E68">
        <w:t>Australian Competition and Consumer Commission (ACCC) Childcare Inquiry 2023 focused on the market for the supply of childcare services, including IHC</w:t>
      </w:r>
    </w:p>
    <w:p w14:paraId="7EB676D9" w14:textId="77777777" w:rsidR="00F3268F" w:rsidRPr="00D96E68" w:rsidRDefault="00F3268F" w:rsidP="00764AC1">
      <w:pPr>
        <w:pStyle w:val="DocBullet1"/>
      </w:pPr>
      <w:r w:rsidRPr="00D96E68">
        <w:rPr>
          <w:i/>
        </w:rPr>
        <w:lastRenderedPageBreak/>
        <w:t>Productivity Commission inquiry into Australia’s early childhood education and care system, 2023-24,</w:t>
      </w:r>
      <w:r w:rsidRPr="00D96E68">
        <w:t xml:space="preserve"> tasked with making recommendations to support affordable, accessible, equitable and high-quality ECEC that reduces barriers to workforce participation and supports children’s learning and development.</w:t>
      </w:r>
    </w:p>
    <w:p w14:paraId="38FA691B" w14:textId="0E426C6E" w:rsidR="00F3268F" w:rsidRPr="00D96E68" w:rsidRDefault="00F3268F" w:rsidP="000753C2">
      <w:pPr>
        <w:pStyle w:val="DocBodyText"/>
      </w:pPr>
      <w:r w:rsidRPr="00D96E68">
        <w:t>The focus of this review is to build from the 2020 In Home Care evaluation, identify the current state of the program, and to consider the future design of the program to improve access, affordability, quality and equity of the program.</w:t>
      </w:r>
    </w:p>
    <w:p w14:paraId="650B2FE8" w14:textId="61661068" w:rsidR="00F3268F" w:rsidRDefault="00F3268F">
      <w:pPr>
        <w:spacing w:before="0" w:line="281" w:lineRule="auto"/>
      </w:pPr>
      <w:r>
        <w:br w:type="page"/>
      </w:r>
    </w:p>
    <w:p w14:paraId="6048132E" w14:textId="38529143" w:rsidR="00F3268F" w:rsidRPr="00F3268F" w:rsidRDefault="00F3268F" w:rsidP="000753C2">
      <w:pPr>
        <w:pStyle w:val="DocHeading01"/>
      </w:pPr>
      <w:bookmarkStart w:id="25" w:name="_Toc138249581"/>
      <w:bookmarkStart w:id="26" w:name="_Toc139022126"/>
      <w:bookmarkStart w:id="27" w:name="_Toc140148404"/>
      <w:bookmarkStart w:id="28" w:name="_Toc140149902"/>
      <w:r w:rsidRPr="00F3268F">
        <w:lastRenderedPageBreak/>
        <w:t>Approach to the review</w:t>
      </w:r>
      <w:bookmarkEnd w:id="25"/>
      <w:bookmarkEnd w:id="26"/>
      <w:bookmarkEnd w:id="27"/>
      <w:bookmarkEnd w:id="28"/>
    </w:p>
    <w:p w14:paraId="4F68ACCB" w14:textId="479F94E1" w:rsidR="00F3268F" w:rsidRPr="00F3268F" w:rsidRDefault="00F3268F" w:rsidP="000753C2">
      <w:pPr>
        <w:pStyle w:val="DocHeading02"/>
      </w:pPr>
      <w:bookmarkStart w:id="29" w:name="_Toc139022127"/>
      <w:bookmarkStart w:id="30" w:name="_Toc140148405"/>
      <w:bookmarkStart w:id="31" w:name="_Toc140149903"/>
      <w:r w:rsidRPr="00F3268F">
        <w:t>Scope of the review</w:t>
      </w:r>
      <w:bookmarkEnd w:id="29"/>
      <w:bookmarkEnd w:id="30"/>
      <w:bookmarkEnd w:id="31"/>
    </w:p>
    <w:p w14:paraId="700A2631" w14:textId="77777777" w:rsidR="007D7BF5" w:rsidRDefault="00F3268F" w:rsidP="000753C2">
      <w:pPr>
        <w:pStyle w:val="DocBodyText"/>
      </w:pPr>
      <w:r w:rsidRPr="00D96E68">
        <w:t>The purpose of the review was to determine the extent to which the IHC program is meeting its policy intent and objectives of achieving the best possible outcomes for children and families accessing ECEC.</w:t>
      </w:r>
    </w:p>
    <w:p w14:paraId="42B851E0" w14:textId="77777777" w:rsidR="007D7BF5" w:rsidRDefault="00F3268F" w:rsidP="000753C2">
      <w:pPr>
        <w:pStyle w:val="DocBodyText"/>
      </w:pPr>
      <w:r w:rsidRPr="00D96E68">
        <w:t>The review was focused on:</w:t>
      </w:r>
    </w:p>
    <w:p w14:paraId="2E740058" w14:textId="50680C9A" w:rsidR="00F3268F" w:rsidRPr="00764AC1" w:rsidRDefault="00F3268F" w:rsidP="00764AC1">
      <w:pPr>
        <w:pStyle w:val="DocBullet1"/>
      </w:pPr>
      <w:r w:rsidRPr="00764AC1">
        <w:t>How the current IHC Program align with the Australian Government</w:t>
      </w:r>
      <w:r w:rsidR="005677D1" w:rsidRPr="00764AC1">
        <w:t>’</w:t>
      </w:r>
      <w:r w:rsidRPr="00764AC1">
        <w:t>s strategic policy to reform the ECEC</w:t>
      </w:r>
    </w:p>
    <w:p w14:paraId="333DFD98" w14:textId="77777777" w:rsidR="00F3268F" w:rsidRPr="00764AC1" w:rsidRDefault="00F3268F" w:rsidP="00764AC1">
      <w:pPr>
        <w:pStyle w:val="DocBullet1"/>
      </w:pPr>
      <w:r w:rsidRPr="00764AC1">
        <w:t>The demand for the IHC program</w:t>
      </w:r>
    </w:p>
    <w:p w14:paraId="6C3690F3" w14:textId="77777777" w:rsidR="00F3268F" w:rsidRPr="00764AC1" w:rsidRDefault="00F3268F" w:rsidP="00764AC1">
      <w:pPr>
        <w:pStyle w:val="DocBullet1"/>
      </w:pPr>
      <w:r w:rsidRPr="00764AC1">
        <w:t>The current IHC model as an appropriate mechanism to meet the needs of families</w:t>
      </w:r>
    </w:p>
    <w:p w14:paraId="0463A73A" w14:textId="77777777" w:rsidR="00F3268F" w:rsidRPr="00764AC1" w:rsidRDefault="00F3268F" w:rsidP="00764AC1">
      <w:pPr>
        <w:pStyle w:val="DocBullet1"/>
      </w:pPr>
      <w:r w:rsidRPr="00764AC1">
        <w:t>The cost-effectiveness of the program</w:t>
      </w:r>
    </w:p>
    <w:p w14:paraId="7E1313BD" w14:textId="77777777" w:rsidR="00F3268F" w:rsidRPr="00F21B1F" w:rsidRDefault="00F3268F" w:rsidP="00764AC1">
      <w:pPr>
        <w:pStyle w:val="DocBullet1"/>
      </w:pPr>
      <w:r w:rsidRPr="00764AC1">
        <w:t>What the future</w:t>
      </w:r>
      <w:r w:rsidRPr="00F21B1F">
        <w:t xml:space="preserve"> program could look like to achieve the intended outcomes</w:t>
      </w:r>
    </w:p>
    <w:p w14:paraId="3CE9384A" w14:textId="0FBF5D6D" w:rsidR="00F3268F" w:rsidRPr="000753C2" w:rsidRDefault="00F3268F" w:rsidP="000753C2">
      <w:pPr>
        <w:pStyle w:val="DocHeading02"/>
      </w:pPr>
      <w:bookmarkStart w:id="32" w:name="_Toc139022128"/>
      <w:bookmarkStart w:id="33" w:name="_Toc140148406"/>
      <w:bookmarkStart w:id="34" w:name="_Toc140149904"/>
      <w:r w:rsidRPr="000753C2">
        <w:t>Key components of the review methodology</w:t>
      </w:r>
      <w:bookmarkEnd w:id="32"/>
      <w:bookmarkEnd w:id="33"/>
      <w:bookmarkEnd w:id="34"/>
    </w:p>
    <w:p w14:paraId="5A2147D2" w14:textId="77777777" w:rsidR="00F3268F" w:rsidRPr="00D96E68" w:rsidRDefault="00F3268F" w:rsidP="000753C2">
      <w:pPr>
        <w:pStyle w:val="DocBodyText"/>
      </w:pPr>
      <w:r w:rsidRPr="00D96E68">
        <w:t>The methodology for the review comprised four key stages:</w:t>
      </w:r>
    </w:p>
    <w:p w14:paraId="49CD346E" w14:textId="77777777" w:rsidR="00F3268F" w:rsidRPr="005504A8" w:rsidRDefault="00F3268F" w:rsidP="001F33AA">
      <w:pPr>
        <w:pStyle w:val="Style2"/>
        <w:numPr>
          <w:ilvl w:val="0"/>
          <w:numId w:val="102"/>
        </w:numPr>
        <w:ind w:left="284" w:hanging="284"/>
      </w:pPr>
      <w:r w:rsidRPr="005504A8">
        <w:t>Design and planning of the review</w:t>
      </w:r>
    </w:p>
    <w:p w14:paraId="60614470" w14:textId="77777777" w:rsidR="00F3268F" w:rsidRPr="005504A8" w:rsidRDefault="00F3268F" w:rsidP="001F33AA">
      <w:pPr>
        <w:pStyle w:val="DOCa"/>
      </w:pPr>
      <w:r w:rsidRPr="005504A8">
        <w:t>Co-design with the Department of Education a Program Logic for the IHC program (see Appendix A).</w:t>
      </w:r>
    </w:p>
    <w:p w14:paraId="0E8B6CC9" w14:textId="77777777" w:rsidR="00F3268F" w:rsidRPr="005504A8" w:rsidRDefault="00F3268F" w:rsidP="0096550B">
      <w:pPr>
        <w:pStyle w:val="DOCa"/>
      </w:pPr>
      <w:r w:rsidRPr="005504A8">
        <w:t>Develop a review framework (see Appendix B) and methodology to guide the review.</w:t>
      </w:r>
    </w:p>
    <w:p w14:paraId="15D9044F" w14:textId="77777777" w:rsidR="00F3268F" w:rsidRPr="005504A8" w:rsidRDefault="00F3268F" w:rsidP="001F33AA">
      <w:pPr>
        <w:pStyle w:val="DOCNumber"/>
      </w:pPr>
      <w:r w:rsidRPr="005504A8">
        <w:t xml:space="preserve">Analysis of </w:t>
      </w:r>
      <w:r w:rsidRPr="001F33AA">
        <w:t>existing</w:t>
      </w:r>
      <w:r w:rsidRPr="005504A8">
        <w:t xml:space="preserve"> documentation, data and literature</w:t>
      </w:r>
    </w:p>
    <w:p w14:paraId="41870166" w14:textId="77777777" w:rsidR="00F3268F" w:rsidRPr="00D96E68" w:rsidRDefault="00F3268F" w:rsidP="001F33AA">
      <w:pPr>
        <w:pStyle w:val="DOCa"/>
        <w:numPr>
          <w:ilvl w:val="0"/>
          <w:numId w:val="20"/>
        </w:numPr>
        <w:ind w:left="568" w:hanging="284"/>
      </w:pPr>
      <w:r w:rsidRPr="00D96E68">
        <w:t xml:space="preserve">Desktop review of IHC program documentation and synthesis of key insights, findings, and </w:t>
      </w:r>
      <w:r w:rsidRPr="001F33AA">
        <w:t>recommendations</w:t>
      </w:r>
      <w:r w:rsidRPr="00D96E68">
        <w:t xml:space="preserve"> from previous reviews.</w:t>
      </w:r>
    </w:p>
    <w:p w14:paraId="734D7075" w14:textId="77777777" w:rsidR="00F3268F" w:rsidRPr="00D96E68" w:rsidRDefault="00F3268F" w:rsidP="0096550B">
      <w:pPr>
        <w:pStyle w:val="DOCa"/>
      </w:pPr>
      <w:r w:rsidRPr="00D96E68">
        <w:t>Review of relevant government policies and strategies.</w:t>
      </w:r>
    </w:p>
    <w:p w14:paraId="46AB8CE2" w14:textId="77777777" w:rsidR="007D7BF5" w:rsidRDefault="00F3268F" w:rsidP="0096550B">
      <w:pPr>
        <w:pStyle w:val="DOCa"/>
      </w:pPr>
      <w:r w:rsidRPr="00D96E68">
        <w:t>Analysis of IHC utilisation data from July 2018 through to December 2022 obtained from IHCSAs</w:t>
      </w:r>
    </w:p>
    <w:p w14:paraId="3D4BD333" w14:textId="3429E7BA" w:rsidR="00F3268F" w:rsidRPr="00D96E68" w:rsidRDefault="00F3268F" w:rsidP="0096550B">
      <w:pPr>
        <w:pStyle w:val="DOCa"/>
      </w:pPr>
      <w:r w:rsidRPr="00D96E68">
        <w:t>Analysis of IHC cost data from July 2018 through to May 2023 provided from ORIMA.</w:t>
      </w:r>
    </w:p>
    <w:p w14:paraId="20F21961" w14:textId="77777777" w:rsidR="00F3268F" w:rsidRPr="00D96E68" w:rsidRDefault="00F3268F" w:rsidP="0096550B">
      <w:pPr>
        <w:pStyle w:val="DOCa"/>
      </w:pPr>
      <w:r w:rsidRPr="00D96E68">
        <w:t>Rapid, targeted scan of other government programs tailored to meet the unique needs of individuals and families that are geographically isolated, work non-standard or variable hours, or have complex and challenging needs (Appendix D).</w:t>
      </w:r>
    </w:p>
    <w:p w14:paraId="02C46D84" w14:textId="77777777" w:rsidR="00F3268F" w:rsidRPr="005504A8" w:rsidRDefault="00F3268F" w:rsidP="001F33AA">
      <w:pPr>
        <w:pStyle w:val="DOCNumber"/>
      </w:pPr>
      <w:r w:rsidRPr="005504A8">
        <w:t>Collection of data about the views and perspectives from organisations and families</w:t>
      </w:r>
    </w:p>
    <w:p w14:paraId="44AA1B2C" w14:textId="77777777" w:rsidR="00F3268F" w:rsidRPr="001F33AA" w:rsidRDefault="00F3268F" w:rsidP="001F33AA">
      <w:pPr>
        <w:pStyle w:val="DOCa"/>
        <w:numPr>
          <w:ilvl w:val="0"/>
          <w:numId w:val="21"/>
        </w:numPr>
        <w:ind w:left="568" w:hanging="284"/>
      </w:pPr>
      <w:r w:rsidRPr="001F33AA">
        <w:t>Consultation with peak bodies (nine interviews).</w:t>
      </w:r>
    </w:p>
    <w:p w14:paraId="4CE145FF" w14:textId="77777777" w:rsidR="00F3268F" w:rsidRPr="001F33AA" w:rsidRDefault="00F3268F" w:rsidP="001F33AA">
      <w:pPr>
        <w:pStyle w:val="DOCa"/>
      </w:pPr>
      <w:r w:rsidRPr="001F33AA">
        <w:t>Consultation with IHC providers (five group consultations, nine individual interviews) and IHC support agencies (five consultations).</w:t>
      </w:r>
    </w:p>
    <w:p w14:paraId="79471E67" w14:textId="72F3C337" w:rsidR="00F3268F" w:rsidRPr="001F33AA" w:rsidRDefault="00F3268F" w:rsidP="001F33AA">
      <w:pPr>
        <w:pStyle w:val="DOCa"/>
      </w:pPr>
      <w:r w:rsidRPr="001F33AA">
        <w:t>Online survey of IHC providers (34 surveys distributed, 12 responses received</w:t>
      </w:r>
      <w:r w:rsidR="005C3D5A" w:rsidRPr="001F33AA">
        <w:t>) with a</w:t>
      </w:r>
      <w:r w:rsidRPr="001F33AA">
        <w:t xml:space="preserve"> 36 per cent response rate.</w:t>
      </w:r>
    </w:p>
    <w:p w14:paraId="38663C4C" w14:textId="755BE077" w:rsidR="00F3268F" w:rsidRPr="00D96E68" w:rsidRDefault="00F3268F" w:rsidP="001F33AA">
      <w:pPr>
        <w:pStyle w:val="DOCa"/>
      </w:pPr>
      <w:r w:rsidRPr="001F33AA">
        <w:t>Online survey</w:t>
      </w:r>
      <w:r w:rsidRPr="00D96E68">
        <w:t xml:space="preserve"> of families waitlisted, accessing or who previously accessed IHC services (4,123 surveys distributed, 357 responses</w:t>
      </w:r>
      <w:r w:rsidR="005C3D5A">
        <w:t>)</w:t>
      </w:r>
      <w:r w:rsidR="00FB29BA">
        <w:t xml:space="preserve"> with a</w:t>
      </w:r>
      <w:r w:rsidRPr="00D96E68">
        <w:t xml:space="preserve"> response rate</w:t>
      </w:r>
      <w:r w:rsidR="005C3D5A">
        <w:t xml:space="preserve"> of</w:t>
      </w:r>
      <w:r w:rsidRPr="00D96E68">
        <w:t xml:space="preserve"> 9 per cent).</w:t>
      </w:r>
    </w:p>
    <w:p w14:paraId="4523F238" w14:textId="77777777" w:rsidR="00F3268F" w:rsidRPr="005504A8" w:rsidRDefault="00F3268F" w:rsidP="001F33AA">
      <w:pPr>
        <w:pStyle w:val="DOCNumber"/>
      </w:pPr>
      <w:r w:rsidRPr="005504A8">
        <w:t>Co-designed future-state options for the IHC program</w:t>
      </w:r>
    </w:p>
    <w:p w14:paraId="7FF346A5" w14:textId="77777777" w:rsidR="007D7BF5" w:rsidRPr="001F33AA" w:rsidRDefault="00F3268F" w:rsidP="001F33AA">
      <w:pPr>
        <w:pStyle w:val="DOCa"/>
        <w:numPr>
          <w:ilvl w:val="0"/>
          <w:numId w:val="22"/>
        </w:numPr>
        <w:ind w:left="568" w:hanging="284"/>
      </w:pPr>
      <w:r w:rsidRPr="001F33AA">
        <w:t>Co-design with the Department of Education a Multi-Criteria Analysis (MCA) framework to assess potential options. Criteria included: equity, affordability, accessibility, quality, sustainability, legislative and regulatory changes required, operational changes required, fiscal changes, timelines for implementation and any interdependencies. See Appendix C for the MCA framework.</w:t>
      </w:r>
    </w:p>
    <w:p w14:paraId="7CA2A50F" w14:textId="3E488A6D" w:rsidR="00F3268F" w:rsidRPr="001F33AA" w:rsidRDefault="00F3268F" w:rsidP="001F33AA">
      <w:pPr>
        <w:pStyle w:val="DOCa"/>
      </w:pPr>
      <w:r w:rsidRPr="001F33AA">
        <w:t>Co-design workshop to develop potential options for change.</w:t>
      </w:r>
    </w:p>
    <w:p w14:paraId="59F39DB4" w14:textId="77777777" w:rsidR="007D7BF5" w:rsidRPr="001F33AA" w:rsidRDefault="00F3268F" w:rsidP="001F33AA">
      <w:pPr>
        <w:pStyle w:val="DOCa"/>
      </w:pPr>
      <w:r w:rsidRPr="001F33AA">
        <w:t>Assessment of the impact and alignment of each option against the principles of the National Vision for ECEC. Implementation risks criteria assess the challenges and barriers to implementing each option.</w:t>
      </w:r>
    </w:p>
    <w:p w14:paraId="03D189C9" w14:textId="77777777" w:rsidR="007D7BF5" w:rsidRDefault="005B26F4" w:rsidP="001F33AA">
      <w:pPr>
        <w:pStyle w:val="DOCa"/>
      </w:pPr>
      <w:r w:rsidRPr="00A108B2">
        <w:t>Co-design workshop to prioritise options for the future program.</w:t>
      </w:r>
    </w:p>
    <w:p w14:paraId="7D9B58EB" w14:textId="71F5F554" w:rsidR="00A108B2" w:rsidRPr="00A108B2" w:rsidRDefault="00A108B2" w:rsidP="005504A8">
      <w:pPr>
        <w:pStyle w:val="DocHeading02"/>
      </w:pPr>
      <w:bookmarkStart w:id="35" w:name="_Toc139022129"/>
      <w:bookmarkStart w:id="36" w:name="_Toc140148407"/>
      <w:bookmarkStart w:id="37" w:name="_Toc140149905"/>
      <w:r w:rsidRPr="00A108B2">
        <w:lastRenderedPageBreak/>
        <w:t>Parameters of the review</w:t>
      </w:r>
      <w:bookmarkEnd w:id="35"/>
      <w:bookmarkEnd w:id="36"/>
      <w:bookmarkEnd w:id="37"/>
    </w:p>
    <w:p w14:paraId="4BAF2815" w14:textId="77777777" w:rsidR="00A108B2" w:rsidRPr="00D96E68" w:rsidRDefault="00A108B2" w:rsidP="005504A8">
      <w:pPr>
        <w:pStyle w:val="DocBodyText"/>
      </w:pPr>
      <w:r w:rsidRPr="00D96E68">
        <w:t>While this review followed best-practice methodologies for program review and design, the following limitations should be considered:</w:t>
      </w:r>
    </w:p>
    <w:p w14:paraId="7B735322" w14:textId="77777777" w:rsidR="007D7BF5" w:rsidRPr="001F33AA" w:rsidRDefault="00A108B2" w:rsidP="001F33AA">
      <w:pPr>
        <w:pStyle w:val="DocBullet1"/>
      </w:pPr>
      <w:r w:rsidRPr="001F33AA">
        <w:t>Point in time analysis: This review was conducted over a short timeframe (four months) which constrained the options for the methodology and the amount of data that could be collected. The report does not reflect data on longer term impacts which would require a review over several phases.</w:t>
      </w:r>
    </w:p>
    <w:p w14:paraId="62AEF118" w14:textId="4089A45D" w:rsidR="00A108B2" w:rsidRPr="001F33AA" w:rsidRDefault="00A108B2" w:rsidP="001F33AA">
      <w:pPr>
        <w:pStyle w:val="DocBullet1"/>
      </w:pPr>
      <w:r w:rsidRPr="001F33AA">
        <w:t>Underestimates of cost data: Analysis of cost data suggests that some IHC providers may be waiving the gap fee for families who have applied for the ACCS. This means that the average gap fee for families reported in this review is likely to be an underestimate of the gap fees families are paying. Changes in effect from 1 July 2023 requiring all gaps fees be paid by families using electronic funds transfer mean there will be greater visibility in future when IHC providers waive gap fees.</w:t>
      </w:r>
    </w:p>
    <w:p w14:paraId="1B6646F5" w14:textId="77777777" w:rsidR="007D7BF5" w:rsidRPr="001F33AA" w:rsidRDefault="00A108B2" w:rsidP="001F33AA">
      <w:pPr>
        <w:pStyle w:val="DocBullet1"/>
      </w:pPr>
      <w:r w:rsidRPr="001F33AA">
        <w:t>Data limitations: Cost and utilisation data sourced from ORIMA is not disaggregated by family cohort. Therefore, estimates of utilisation and access by family cohort has relied upon In Home Care Support Agency (IHCSA) quarterly reports. It is important to note these reports are point-in-time and do not capture the hours of IHC provided per child, rather they capture the number of families/children accessing the program.</w:t>
      </w:r>
    </w:p>
    <w:p w14:paraId="56D67A03" w14:textId="124926E8" w:rsidR="00A108B2" w:rsidRPr="001F33AA" w:rsidRDefault="00A108B2" w:rsidP="001F33AA">
      <w:pPr>
        <w:pStyle w:val="DocBullet1"/>
      </w:pPr>
      <w:r w:rsidRPr="001F33AA">
        <w:t>Data cleansing: Data sourced from ORIMA underwent data cleansing based on guidance from the ORIMA team. This has led to the exclusion from our analysis of entries where data was either incomplete or there were errors. While this methodology is consistent with analysis conducted by ORIMA it is unclear what impact this may have on the accuracy of findings.</w:t>
      </w:r>
    </w:p>
    <w:p w14:paraId="14C62A73" w14:textId="77777777" w:rsidR="007D7BF5" w:rsidRPr="001F33AA" w:rsidRDefault="00A108B2" w:rsidP="001F33AA">
      <w:pPr>
        <w:pStyle w:val="DocBullet1"/>
      </w:pPr>
      <w:r w:rsidRPr="001F33AA">
        <w:t>Hidden demand: The existing data report tools only provide a point in time snapshot of waitlists. Current available data also does not capture families who are eligible for the program but who never engage</w:t>
      </w:r>
      <w:r w:rsidR="003639AB" w:rsidRPr="001F33AA">
        <w:t xml:space="preserve"> and are therefore not counted on the waitlist</w:t>
      </w:r>
      <w:r w:rsidRPr="001F33AA">
        <w:t>. This may be for a range of reasons including those that are deterred by out-of-pocket cost estimates, or by the shortage of educators and time on waitlist.</w:t>
      </w:r>
    </w:p>
    <w:p w14:paraId="7640510F" w14:textId="3DBCF314" w:rsidR="00A108B2" w:rsidRPr="001F33AA" w:rsidRDefault="00E45F39" w:rsidP="001F33AA">
      <w:pPr>
        <w:pStyle w:val="DocBullet1"/>
      </w:pPr>
      <w:r w:rsidRPr="001F33AA">
        <w:t>Additional</w:t>
      </w:r>
      <w:r w:rsidR="00A108B2" w:rsidRPr="001F33AA">
        <w:t xml:space="preserve"> fees: Data analysed from ORIMA includes administration costs associated with the program that are charged to families by IHC providers. However, </w:t>
      </w:r>
      <w:r w:rsidRPr="001F33AA">
        <w:t>additional</w:t>
      </w:r>
      <w:r w:rsidR="00A108B2" w:rsidRPr="001F33AA">
        <w:t xml:space="preserve"> fees, such as registration fees, educator finding fees and other ancillary costs are not collected within the ORIMA dataset. This means the costs to some families are greater than the data indicates.</w:t>
      </w:r>
    </w:p>
    <w:p w14:paraId="1C72A576" w14:textId="35D7BFFE" w:rsidR="00A108B2" w:rsidRDefault="00A108B2" w:rsidP="001F33AA">
      <w:pPr>
        <w:pStyle w:val="DocBullet1"/>
      </w:pPr>
      <w:r w:rsidRPr="001F33AA">
        <w:t>No in-depth consultation with families: While families provided input into the review through surveys, due to administrative issues, families were not consulted through qualitative primary data collection methods such as interviews. Consultation would have further enhanced an understanding of their experience of the program.</w:t>
      </w:r>
    </w:p>
    <w:p w14:paraId="30ED4B8A" w14:textId="77777777" w:rsidR="001F33AA" w:rsidRPr="001F33AA" w:rsidRDefault="001F33AA" w:rsidP="001F33AA">
      <w:pPr>
        <w:pStyle w:val="DocBullet1"/>
        <w:numPr>
          <w:ilvl w:val="0"/>
          <w:numId w:val="0"/>
        </w:numPr>
      </w:pPr>
    </w:p>
    <w:p w14:paraId="508FC079" w14:textId="77777777" w:rsidR="001F33AA" w:rsidRDefault="001F33AA">
      <w:pPr>
        <w:spacing w:before="0" w:line="281" w:lineRule="auto"/>
        <w:sectPr w:rsidR="001F33AA" w:rsidSect="00764AC1">
          <w:headerReference w:type="default" r:id="rId49"/>
          <w:pgSz w:w="11906" w:h="16838" w:code="9"/>
          <w:pgMar w:top="1247" w:right="737" w:bottom="1247" w:left="1418" w:header="720" w:footer="720" w:gutter="0"/>
          <w:cols w:space="284"/>
          <w:docGrid w:linePitch="360"/>
        </w:sectPr>
      </w:pPr>
    </w:p>
    <w:p w14:paraId="300206C3" w14:textId="77777777" w:rsidR="00A108B2" w:rsidRPr="00A108B2" w:rsidRDefault="00A108B2" w:rsidP="005504A8">
      <w:pPr>
        <w:pStyle w:val="DocHeading01"/>
      </w:pPr>
      <w:bookmarkStart w:id="38" w:name="_Toc138249582"/>
      <w:bookmarkStart w:id="39" w:name="_Toc139022130"/>
      <w:bookmarkStart w:id="40" w:name="_Toc140148408"/>
      <w:bookmarkStart w:id="41" w:name="_Toc140149906"/>
      <w:r w:rsidRPr="00A108B2">
        <w:lastRenderedPageBreak/>
        <w:t>Findings</w:t>
      </w:r>
      <w:bookmarkEnd w:id="38"/>
      <w:bookmarkEnd w:id="39"/>
      <w:bookmarkEnd w:id="40"/>
      <w:bookmarkEnd w:id="41"/>
    </w:p>
    <w:p w14:paraId="5831C5FC" w14:textId="77777777" w:rsidR="007D7BF5" w:rsidRDefault="00A108B2" w:rsidP="005504A8">
      <w:pPr>
        <w:pStyle w:val="DocBodyText"/>
      </w:pPr>
      <w:r w:rsidRPr="00D96E68">
        <w:t>This section synthesises the findings from the review against each of the key questions and lines of inquiry (the co-designed review framework is in Appendix B).</w:t>
      </w:r>
    </w:p>
    <w:bookmarkStart w:id="42" w:name="_Toc139022131"/>
    <w:bookmarkStart w:id="43" w:name="_Toc140148409"/>
    <w:bookmarkStart w:id="44" w:name="_Toc140149907"/>
    <w:p w14:paraId="23C52161" w14:textId="3315302C" w:rsidR="00A108B2" w:rsidRPr="00A108B2" w:rsidRDefault="001F33AA" w:rsidP="005504A8">
      <w:pPr>
        <w:pStyle w:val="DocHeading02"/>
      </w:pPr>
      <w:r>
        <w:rPr>
          <w:noProof/>
        </w:rPr>
        <mc:AlternateContent>
          <mc:Choice Requires="wps">
            <w:drawing>
              <wp:anchor distT="0" distB="0" distL="114300" distR="114300" simplePos="0" relativeHeight="251658248" behindDoc="1" locked="0" layoutInCell="1" allowOverlap="1" wp14:anchorId="6F5FCF90" wp14:editId="1CBF48B2">
                <wp:simplePos x="0" y="0"/>
                <wp:positionH relativeFrom="column">
                  <wp:posOffset>-921385</wp:posOffset>
                </wp:positionH>
                <wp:positionV relativeFrom="paragraph">
                  <wp:posOffset>395767</wp:posOffset>
                </wp:positionV>
                <wp:extent cx="7570470" cy="1795234"/>
                <wp:effectExtent l="0" t="0" r="0" b="0"/>
                <wp:wrapNone/>
                <wp:docPr id="11" name="Rectangle 11"/>
                <wp:cNvGraphicFramePr/>
                <a:graphic xmlns:a="http://schemas.openxmlformats.org/drawingml/2006/main">
                  <a:graphicData uri="http://schemas.microsoft.com/office/word/2010/wordprocessingShape">
                    <wps:wsp>
                      <wps:cNvSpPr/>
                      <wps:spPr>
                        <a:xfrm>
                          <a:off x="0" y="0"/>
                          <a:ext cx="7570470" cy="1795234"/>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7922A9" id="Rectangle 11" o:spid="_x0000_s1026" style="position:absolute;margin-left:-72.55pt;margin-top:31.15pt;width:596.1pt;height:141.35pt;z-index:-251658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kVtcwIAAGMFAAAOAAAAZHJzL2Uyb0RvYy54bWysVG1v2yAQ/j5p/wHxfbWdJcsa1amiVp0m&#10;VW20dupngiFGwhwDEif79TvwS7q22qRp/oCBe+7t4e4uLg+NJnvhvAJT0uIsp0QYDpUy25J+f7z5&#10;8JkSH5ipmAYjSnoUnl4u37+7aO1CTKAGXQlH0Ijxi9aWtA7BLrLM81o0zJ+BFQaFElzDAh7dNqsc&#10;a9F6o7NJnn/KWnCVdcCF93h73QnpMtmXUvBwL6UXgeiSYmwhrS6tm7hmywu22Dpma8X7MNg/RNEw&#10;ZdDpaOqaBUZ2Tr0y1SjuwIMMZxyaDKRUXKQcMJsif5HNQ82sSLkgOd6ONPn/Z5bf7R/s2iENrfUL&#10;j9uYxUG6Jv4xPnJIZB1HssQhEI6X89k8n86RU46yYn4+m3ycRjqzk7p1PnwR0JC4KanD10gksf2t&#10;Dx10gERvHrSqbpTW6RArQFxpR/YM345xLkwoege/IbWJeANRszMab7JTPmkXjlpEnDbfhCSqwgwm&#10;KZhUaq8dpRhqVonO/yzHb/A+hJaSTQYjWqL/0XbxJ9tdlD0+qopUqaNy/nflUSN5BhNG5UYZcG8Z&#10;0CN9ssMPJHXURJY2UB3Xjjjo+sRbfqPw6W6ZD2vmsDHwubHZwz0uUkNbUuh3lNTgfr51H/FYryil&#10;pMVGK6n/sWNOUKK/Gqzk82I6jZ2ZDtPZfIIH91yyeS4xu+YKsB4KHCuWp23EBz1spYPmCWfCKnpF&#10;ETMcfZeUBzccrkI3AHCqcLFaJRh2o2Xh1jxYHo1HVmNpPh6emLN9/QYs/TsYmpItXpRxh42aBla7&#10;AFKlGj/x2vONnZwKp586cVQ8PyfUaTYufwEAAP//AwBQSwMEFAAGAAgAAAAhAB5nmtbiAAAADAEA&#10;AA8AAABkcnMvZG93bnJldi54bWxMj8FOwzAMhu9IvENkJG5b0rXbUKk7TZN2QQiJwg7cssY0hSap&#10;mqwrPD3ZaRxtf/r9/cVmMh0bafCtswjJXAAjWzvV2gbh/W0/ewDmg7RKds4Swg952JS3N4XMlTvb&#10;Vxqr0LAYYn0uEXQIfc65rzUZ6eeuJxtvn24wMsRxaLga5DmGm44vhFhxI1sbP2jZ005T/V2dDMLT&#10;1zqt9Lgdf9MXOmh3eP7Y7zzi/d20fQQWaApXGC76UR3K6HR0J6s86xBmSbZMIouwWqTALoTI1nFz&#10;REizpQBeFvx/ifIPAAD//wMAUEsBAi0AFAAGAAgAAAAhALaDOJL+AAAA4QEAABMAAAAAAAAAAAAA&#10;AAAAAAAAAFtDb250ZW50X1R5cGVzXS54bWxQSwECLQAUAAYACAAAACEAOP0h/9YAAACUAQAACwAA&#10;AAAAAAAAAAAAAAAvAQAAX3JlbHMvLnJlbHNQSwECLQAUAAYACAAAACEARcJFbXMCAABjBQAADgAA&#10;AAAAAAAAAAAAAAAuAgAAZHJzL2Uyb0RvYy54bWxQSwECLQAUAAYACAAAACEAHmea1uIAAAAMAQAA&#10;DwAAAAAAAAAAAAAAAADNBAAAZHJzL2Rvd25yZXYueG1sUEsFBgAAAAAEAAQA8wAAANwFAAAAAA==&#10;" fillcolor="#d04a02 [3204]" stroked="f" strokeweight="1pt"/>
            </w:pict>
          </mc:Fallback>
        </mc:AlternateContent>
      </w:r>
      <w:r w:rsidR="00A108B2" w:rsidRPr="00A108B2">
        <w:t>Alignment of the IHC program with ECEC strategic policy and reform</w:t>
      </w:r>
      <w:bookmarkEnd w:id="42"/>
      <w:bookmarkEnd w:id="43"/>
      <w:bookmarkEnd w:id="44"/>
    </w:p>
    <w:p w14:paraId="0965DB1D" w14:textId="3631E46E" w:rsidR="00A108B2" w:rsidRPr="00EF5FB9" w:rsidRDefault="00A108B2" w:rsidP="005504A8">
      <w:pPr>
        <w:pStyle w:val="DocParagraphHeading"/>
        <w:rPr>
          <w:color w:val="FFFFFF" w:themeColor="background1"/>
        </w:rPr>
      </w:pPr>
      <w:r w:rsidRPr="00EF5FB9">
        <w:rPr>
          <w:color w:val="FFFFFF" w:themeColor="background1"/>
        </w:rPr>
        <w:t>Key findings</w:t>
      </w:r>
    </w:p>
    <w:p w14:paraId="23939804" w14:textId="2B1DB79A" w:rsidR="00A108B2" w:rsidRPr="00EF5FB9" w:rsidRDefault="00A108B2" w:rsidP="001F33AA">
      <w:pPr>
        <w:pStyle w:val="DocBullet1"/>
        <w:rPr>
          <w:color w:val="FFFFFF" w:themeColor="background1"/>
        </w:rPr>
      </w:pPr>
      <w:r w:rsidRPr="00EF5FB9">
        <w:rPr>
          <w:color w:val="FFFFFF" w:themeColor="background1"/>
        </w:rPr>
        <w:t>The IHC program aligns with the Australian Government objectives of improving equity, affordability, quality and accessibility of ECEC for families.</w:t>
      </w:r>
    </w:p>
    <w:p w14:paraId="08826B2D" w14:textId="77777777" w:rsidR="007D7BF5" w:rsidRPr="004B00F1" w:rsidRDefault="00A108B2" w:rsidP="001F33AA">
      <w:pPr>
        <w:pStyle w:val="DocBullet1"/>
        <w:rPr>
          <w:color w:val="FFFFFF" w:themeColor="background1"/>
        </w:rPr>
      </w:pPr>
      <w:r w:rsidRPr="004B00F1">
        <w:rPr>
          <w:color w:val="FFFFFF" w:themeColor="background1"/>
        </w:rPr>
        <w:t>Changes to the IHC program since 2018 have increased subsidies for families, improved the quality of educators, and brought greater consistency to the assessment of family eligibility to access IHC.</w:t>
      </w:r>
    </w:p>
    <w:p w14:paraId="3966ED9A" w14:textId="4998DDD1" w:rsidR="00A108B2" w:rsidRPr="00EF5FB9" w:rsidRDefault="00A108B2" w:rsidP="001F33AA">
      <w:pPr>
        <w:pStyle w:val="DocBullet1"/>
        <w:rPr>
          <w:color w:val="FFFFFF" w:themeColor="background1"/>
        </w:rPr>
      </w:pPr>
      <w:r w:rsidRPr="00EF5FB9">
        <w:rPr>
          <w:color w:val="FFFFFF" w:themeColor="background1"/>
        </w:rPr>
        <w:t>The removal of operational block funding for IHC providers, and the introduction of minimum qualifications for educators, has impacted the financial viability of IHC providers and contributed to workforce shortages.</w:t>
      </w:r>
    </w:p>
    <w:p w14:paraId="3CB612A0" w14:textId="2AAB7A70" w:rsidR="00A108B2" w:rsidRPr="00EF5FB9" w:rsidRDefault="00A108B2" w:rsidP="001F33AA">
      <w:pPr>
        <w:pStyle w:val="DocBullet1"/>
        <w:rPr>
          <w:color w:val="FFFFFF" w:themeColor="background1"/>
        </w:rPr>
      </w:pPr>
      <w:r w:rsidRPr="00EF5FB9">
        <w:rPr>
          <w:color w:val="FFFFFF" w:themeColor="background1"/>
        </w:rPr>
        <w:t xml:space="preserve">While IHC enables </w:t>
      </w:r>
      <w:r w:rsidR="00C56AC7" w:rsidRPr="00EF5FB9">
        <w:rPr>
          <w:color w:val="FFFFFF" w:themeColor="background1"/>
        </w:rPr>
        <w:t>service to</w:t>
      </w:r>
      <w:r w:rsidRPr="00EF5FB9">
        <w:rPr>
          <w:color w:val="FFFFFF" w:themeColor="background1"/>
        </w:rPr>
        <w:t xml:space="preserve"> families unable to access other forms of ECEC the current program design is not tailored to meet the needs of the three very different cohorts of families it is targeted towards.</w:t>
      </w:r>
    </w:p>
    <w:p w14:paraId="2DF9A308" w14:textId="53BE4876" w:rsidR="00A108B2" w:rsidRPr="00BB2FC2" w:rsidRDefault="00A108B2" w:rsidP="00E27D72">
      <w:pPr>
        <w:pStyle w:val="DocParagraphHeading"/>
      </w:pPr>
      <w:r w:rsidRPr="00A108B2">
        <w:t xml:space="preserve">Alignment of the IHC program with broader </w:t>
      </w:r>
      <w:r w:rsidRPr="00BB2FC2">
        <w:t>ECEC policy</w:t>
      </w:r>
    </w:p>
    <w:p w14:paraId="237DFCC3" w14:textId="77777777" w:rsidR="007D7BF5" w:rsidRDefault="00A108B2" w:rsidP="005504A8">
      <w:pPr>
        <w:pStyle w:val="DocBodyText"/>
      </w:pPr>
      <w:r w:rsidRPr="00BB2FC2">
        <w:t xml:space="preserve">The </w:t>
      </w:r>
      <w:r w:rsidR="00740F86" w:rsidRPr="00BB2FC2">
        <w:t xml:space="preserve">draft </w:t>
      </w:r>
      <w:r w:rsidRPr="00BB2FC2">
        <w:rPr>
          <w:i/>
          <w:iCs/>
        </w:rPr>
        <w:t>National Vision for ECEC</w:t>
      </w:r>
      <w:r w:rsidRPr="00BB2FC2">
        <w:t xml:space="preserve"> is underpinned by four key principles: equity, affordability, quality, and accessibility. The IHC program aligns with these principles given it is intended to provide appropriate services for families who cannot access any</w:t>
      </w:r>
      <w:r w:rsidRPr="00D96E68">
        <w:t xml:space="preserve"> other form of ECEC. Enabling </w:t>
      </w:r>
      <w:r w:rsidRPr="005504A8">
        <w:t>families that are geographically isolated, work non-standard or variable hours, or have complex and challenging needs to receive IHC improves both accessibility and equity for these families and their children.</w:t>
      </w:r>
    </w:p>
    <w:p w14:paraId="19E4CF7C" w14:textId="77777777" w:rsidR="007D7BF5" w:rsidRDefault="00A108B2" w:rsidP="005504A8">
      <w:pPr>
        <w:pStyle w:val="DocBodyText"/>
      </w:pPr>
      <w:r w:rsidRPr="005504A8">
        <w:t>Under the CCS/ACCS system ECEC providers, including IHC providers, receive payments based on the hours of IHC provided, with the amount of subsidy families are eligible to receive based on the ‘activity test’. This aligns with the ECEC principles of affordability and equity.</w:t>
      </w:r>
    </w:p>
    <w:p w14:paraId="4EE39B9D" w14:textId="77777777" w:rsidR="007D7BF5" w:rsidRDefault="00A108B2" w:rsidP="005504A8">
      <w:pPr>
        <w:pStyle w:val="DocBodyText"/>
      </w:pPr>
      <w:r w:rsidRPr="00D96E68">
        <w:t>Requiring IHC educators to hold minimum, relevant qualifications</w:t>
      </w:r>
      <w:r>
        <w:rPr>
          <w:rStyle w:val="FootnoteReference"/>
        </w:rPr>
        <w:footnoteReference w:id="16"/>
      </w:r>
      <w:r w:rsidRPr="00D96E68">
        <w:t xml:space="preserve"> aligns with the ECEC principle of quality as it ensures that educators have a certain skill level in ECEC when providing services to families and children.</w:t>
      </w:r>
    </w:p>
    <w:p w14:paraId="12C55672" w14:textId="79F88A6E" w:rsidR="00A108B2" w:rsidRPr="005504A8" w:rsidRDefault="00A108B2" w:rsidP="00E27D72">
      <w:pPr>
        <w:pStyle w:val="DocParagraphHeading"/>
      </w:pPr>
      <w:r w:rsidRPr="00A108B2">
        <w:t>Impact of IHC program changes on families and IHC providers</w:t>
      </w:r>
    </w:p>
    <w:p w14:paraId="3791FF3F" w14:textId="204EBC16" w:rsidR="00A108B2" w:rsidRPr="00D96E68" w:rsidRDefault="00A108B2" w:rsidP="005504A8">
      <w:pPr>
        <w:pStyle w:val="DocBodyText"/>
      </w:pPr>
      <w:r w:rsidRPr="00D96E68">
        <w:t>To support the objective of providing a high quality, flexible ECEC option to families unable to access other approved ECEC options</w:t>
      </w:r>
      <w:r w:rsidR="00C56AC7">
        <w:t>,</w:t>
      </w:r>
      <w:r w:rsidRPr="00D96E68">
        <w:t xml:space="preserve"> the IHC program underwent redesign in 2018. Key changes include</w:t>
      </w:r>
      <w:r w:rsidR="00C56AC7">
        <w:t>d</w:t>
      </w:r>
      <w:r w:rsidRPr="00D96E68">
        <w:t>:</w:t>
      </w:r>
    </w:p>
    <w:p w14:paraId="76F9F7B0" w14:textId="77777777" w:rsidR="00A108B2" w:rsidRPr="001F33AA" w:rsidRDefault="00A108B2" w:rsidP="001F33AA">
      <w:pPr>
        <w:pStyle w:val="DocBullet1"/>
      </w:pPr>
      <w:r w:rsidRPr="001F33AA">
        <w:t>Introduction of the family rate cap, the maximum amount the Australian Government will subsidise per session of care through the CCS, followed by an increase in January 2019.</w:t>
      </w:r>
    </w:p>
    <w:p w14:paraId="6EA0190A" w14:textId="77777777" w:rsidR="00A108B2" w:rsidRPr="001F33AA" w:rsidRDefault="00A108B2" w:rsidP="001F33AA">
      <w:pPr>
        <w:pStyle w:val="DocBullet1"/>
      </w:pPr>
      <w:r w:rsidRPr="001F33AA">
        <w:t>Removal of block operational funding for IHC providers</w:t>
      </w:r>
    </w:p>
    <w:p w14:paraId="0EED8973" w14:textId="77777777" w:rsidR="00A108B2" w:rsidRPr="001F33AA" w:rsidRDefault="00A108B2" w:rsidP="001F33AA">
      <w:pPr>
        <w:pStyle w:val="DocBullet1"/>
      </w:pPr>
      <w:r w:rsidRPr="001F33AA">
        <w:t>Introduction of minimum, relevant qualifications (Certificate III) for IHC educators</w:t>
      </w:r>
    </w:p>
    <w:p w14:paraId="49BEBB25" w14:textId="77777777" w:rsidR="00A108B2" w:rsidRPr="00BB2FC2" w:rsidRDefault="00A108B2" w:rsidP="001F33AA">
      <w:pPr>
        <w:pStyle w:val="DocBullet1"/>
      </w:pPr>
      <w:r w:rsidRPr="001F33AA">
        <w:t>Establishment</w:t>
      </w:r>
      <w:r w:rsidRPr="00BB2FC2">
        <w:t xml:space="preserve"> of IHCSAs to assess eligibility of families to access IHC and to match families to appropriate IHC providers</w:t>
      </w:r>
    </w:p>
    <w:p w14:paraId="004F8D71" w14:textId="77777777" w:rsidR="007D7BF5" w:rsidRDefault="00A108B2" w:rsidP="005504A8">
      <w:pPr>
        <w:pStyle w:val="DocBodyText"/>
      </w:pPr>
      <w:r w:rsidRPr="00BB2FC2">
        <w:t>The increase to the family hourly rate cap in 2019 (from $2</w:t>
      </w:r>
      <w:r w:rsidR="006460F4" w:rsidRPr="00BB2FC2">
        <w:t>5.48</w:t>
      </w:r>
      <w:r w:rsidRPr="00BB2FC2">
        <w:t xml:space="preserve"> to $32</w:t>
      </w:r>
      <w:r w:rsidR="006460F4" w:rsidRPr="00BB2FC2">
        <w:t>, inde</w:t>
      </w:r>
      <w:r w:rsidR="00FC2B5E" w:rsidRPr="00BB2FC2">
        <w:t>xe</w:t>
      </w:r>
      <w:r w:rsidR="006460F4" w:rsidRPr="00BB2FC2">
        <w:t>d annually</w:t>
      </w:r>
      <w:r w:rsidRPr="00BB2FC2">
        <w:t>) has enabled IHC providers to be better remunerated for their services, while improving affordability for families</w:t>
      </w:r>
      <w:r w:rsidR="00661475" w:rsidRPr="00BB2FC2">
        <w:rPr>
          <w:rStyle w:val="FootnoteReference"/>
        </w:rPr>
        <w:footnoteReference w:id="17"/>
      </w:r>
      <w:r w:rsidRPr="00BB2FC2">
        <w:t>. However, the current rate cap is often too low to cover additional costs associated with penalty rates for non-standard hours, and additional costs to access IHC in rural/remote areas.</w:t>
      </w:r>
    </w:p>
    <w:p w14:paraId="36707CFC" w14:textId="0CD5C768" w:rsidR="00A108B2" w:rsidRPr="001A5C5C" w:rsidRDefault="00A108B2" w:rsidP="001F33AA">
      <w:pPr>
        <w:pStyle w:val="DocQuote"/>
        <w:rPr>
          <w:rFonts w:cstheme="minorHAnsi"/>
        </w:rPr>
      </w:pPr>
      <w:r w:rsidRPr="001A5C5C">
        <w:lastRenderedPageBreak/>
        <w:t>“Certain agencies charge high fees</w:t>
      </w:r>
      <w:r w:rsidR="004A1CBA" w:rsidRPr="001A5C5C">
        <w:t xml:space="preserve"> </w:t>
      </w:r>
      <w:r w:rsidRPr="001A5C5C">
        <w:t>… this whole process is too overwhelming”</w:t>
      </w:r>
      <w:r w:rsidR="002E6040" w:rsidRPr="001A5C5C">
        <w:t xml:space="preserve"> – </w:t>
      </w:r>
      <w:r w:rsidR="00896FE1" w:rsidRPr="001A5C5C">
        <w:t>IHC Family</w:t>
      </w:r>
    </w:p>
    <w:p w14:paraId="08FB0AA6" w14:textId="77777777" w:rsidR="007D7BF5" w:rsidRDefault="00A108B2" w:rsidP="005504A8">
      <w:pPr>
        <w:pStyle w:val="DocBodyText"/>
      </w:pPr>
      <w:r w:rsidRPr="00BB2FC2">
        <w:t>Changes associated with the introduction of CCS in 2018 included the removal of block operational funding for IHC providers. While this was intended to transition funding to a more equitable per child/family funding model several providers reported that this change has impacted their financial viability and meant that costs have also led to fee increases for families.</w:t>
      </w:r>
    </w:p>
    <w:p w14:paraId="38B7F6F3" w14:textId="227984EB" w:rsidR="00A3195E" w:rsidRPr="00BB2FC2" w:rsidRDefault="001F33AA" w:rsidP="005504A8">
      <w:pPr>
        <w:pStyle w:val="DocBodyText"/>
      </w:pPr>
      <w:r w:rsidRPr="001A5C5C">
        <w:rPr>
          <w:b/>
          <w:bCs/>
          <w:noProof/>
        </w:rPr>
        <mc:AlternateContent>
          <mc:Choice Requires="wps">
            <w:drawing>
              <wp:anchor distT="0" distB="0" distL="114300" distR="114300" simplePos="0" relativeHeight="251658240" behindDoc="1" locked="0" layoutInCell="1" allowOverlap="1" wp14:anchorId="13B48C25" wp14:editId="77B76DFC">
                <wp:simplePos x="0" y="0"/>
                <wp:positionH relativeFrom="page">
                  <wp:posOffset>-20955</wp:posOffset>
                </wp:positionH>
                <wp:positionV relativeFrom="paragraph">
                  <wp:posOffset>1032672</wp:posOffset>
                </wp:positionV>
                <wp:extent cx="7570470" cy="2298715"/>
                <wp:effectExtent l="0" t="0" r="0" b="6350"/>
                <wp:wrapNone/>
                <wp:docPr id="32" name="Rectangle 32"/>
                <wp:cNvGraphicFramePr/>
                <a:graphic xmlns:a="http://schemas.openxmlformats.org/drawingml/2006/main">
                  <a:graphicData uri="http://schemas.microsoft.com/office/word/2010/wordprocessingShape">
                    <wps:wsp>
                      <wps:cNvSpPr/>
                      <wps:spPr>
                        <a:xfrm>
                          <a:off x="0" y="0"/>
                          <a:ext cx="7570470" cy="229871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367205" id="Rectangle 32" o:spid="_x0000_s1026" style="position:absolute;margin-left:-1.65pt;margin-top:81.3pt;width:596.1pt;height:181pt;z-index:-2516582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NAliQIAAIMFAAAOAAAAZHJzL2Uyb0RvYy54bWysVMFu2zAMvQ/YPwi6r3aCZGmDOkXQosOA&#10;rg3WDj0rshQLkEVNUuJkXz9Kcpy2K3YYdpFFkXwkn0leXu1bTXbCeQWmoqOzkhJhONTKbCr64+n2&#10;0zklPjBTMw1GVPQgPL1afPxw2dm5GEMDuhaOIIjx885WtAnBzovC80a0zJ+BFQaVElzLAopuU9SO&#10;dYje6mJclp+LDlxtHXDhPb7eZCVdJHwpBQ8PUnoRiK4o5hbS6dK5jmexuGTzjWO2UbxPg/1DFi1T&#10;BoMOUDcsMLJ16g+oVnEHHmQ449AWIKXiItWA1YzKN9U8NsyKVAuS4+1Ak/9/sPx+92hXDmnorJ97&#10;vMYq9tK18Yv5kX0i6zCQJfaBcHycTWflZIacctSNxxfns9E00lmc3K3z4YuAlsRLRR3+jUQS2935&#10;kE2PJjGaB63qW6V1EmIHiGvtyI7hv1tvRslVb9tvUOe3i2lZpj+IIVPDRPOUwCskbSKegYicg8aX&#10;4lRvuoWDFtFOm+9CElVjheMUcUDOQRnnwoScjG9YLfJzTOX9XBJgRJYYf8DuAV4XecTOWfb20VWk&#10;Th6cy78llp0HjxQZTBicW2XAvQegsao+crY/kpSpiSytoT6sHHGQ58hbfqvw194xH1bM4eBgO+Ay&#10;CA94SA1dRaG/UdKA+/Xee7THfkYtJR0OYkX9zy1zghL91WCnX4wmkzi5SZhMZ2MU3EvN+qXGbNtr&#10;wH4Z4dqxPF2jfdDHq3TQPuPOWMaoqGKGY+yK8uCOwnXICwK3DhfLZTLDabUs3JlHyyN4ZDW27tP+&#10;mTnb93fA0biH49Cy+Zs2z7bR08ByG0CqNAMnXnu+cdJTE/dbKa6Sl3KyOu3OxW8AAAD//wMAUEsD&#10;BBQABgAIAAAAIQBkmeeF4AAAAAsBAAAPAAAAZHJzL2Rvd25yZXYueG1sTI/BTsMwDIbvSLxDZCRu&#10;W7qMRV1pOqFJEycOjAqJW9qYtqJxSpOu5e3JTnC0/en39+eHxfbsgqPvHCnYrBNgSLUzHTUKyrfT&#10;KgXmgyaje0eo4Ac9HIrbm1xnxs30ipdzaFgMIZ9pBW0IQ8a5r1u02q/dgBRvn260OsRxbLgZ9RzD&#10;bc9FkkhudUfxQ6sHPLZYf50nq0CUy07ML6f9+0dZPSdy+j4KlErd3y1Pj8ACLuEPhqt+VIciOlVu&#10;IuNZr2C13UYy7qWQwK7AJk33wCoFO/EggRc5/9+h+AUAAP//AwBQSwECLQAUAAYACAAAACEAtoM4&#10;kv4AAADhAQAAEwAAAAAAAAAAAAAAAAAAAAAAW0NvbnRlbnRfVHlwZXNdLnhtbFBLAQItABQABgAI&#10;AAAAIQA4/SH/1gAAAJQBAAALAAAAAAAAAAAAAAAAAC8BAABfcmVscy8ucmVsc1BLAQItABQABgAI&#10;AAAAIQBI3NAliQIAAIMFAAAOAAAAAAAAAAAAAAAAAC4CAABkcnMvZTJvRG9jLnhtbFBLAQItABQA&#10;BgAIAAAAIQBkmeeF4AAAAAsBAAAPAAAAAAAAAAAAAAAAAOMEAABkcnMvZG93bnJldi54bWxQSwUG&#10;AAAAAAQABADzAAAA8AUAAAAA&#10;" fillcolor="#f2f2f2 [3052]" stroked="f" strokeweight="1pt">
                <w10:wrap anchorx="page"/>
              </v:rect>
            </w:pict>
          </mc:Fallback>
        </mc:AlternateContent>
      </w:r>
      <w:r w:rsidR="00A3195E" w:rsidRPr="00BB2FC2">
        <w:t xml:space="preserve">The introduction of Certificate III as a minimum qualification has helped improve quality of IHC service delivery. However, IHC providers have reported reduced workforce capacity, particularly in geographically isolated areas, further constraining access and affordability for some families. IHC providers and IHCSAs </w:t>
      </w:r>
      <w:r w:rsidR="00A3195E">
        <w:t>report</w:t>
      </w:r>
      <w:r w:rsidR="00A3195E" w:rsidRPr="00BB2FC2">
        <w:t xml:space="preserve"> that workforce capacity has also been impacted by the transition of educators to other care industries where wages are higher (such as the NDIS), movement to other ECEC services, and reduced demand for IHC educators during COVID-19</w:t>
      </w:r>
      <w:r w:rsidR="00A3195E" w:rsidRPr="00BB2FC2">
        <w:rPr>
          <w:rStyle w:val="FootnoteReference"/>
        </w:rPr>
        <w:footnoteReference w:id="18"/>
      </w:r>
      <w:r w:rsidR="00A3195E" w:rsidRPr="00BB2FC2">
        <w:t>.</w:t>
      </w:r>
    </w:p>
    <w:p w14:paraId="58D9BDE9" w14:textId="588286C8" w:rsidR="009258E5" w:rsidRPr="00BB2FC2" w:rsidRDefault="003D3B19" w:rsidP="001A5C5C">
      <w:pPr>
        <w:pStyle w:val="DocBodyText"/>
      </w:pPr>
      <w:r w:rsidRPr="001A5C5C">
        <w:rPr>
          <w:b/>
          <w:bCs/>
        </w:rPr>
        <w:t xml:space="preserve">Sector Comparison </w:t>
      </w:r>
      <w:r w:rsidR="00285A9D" w:rsidRPr="001A5C5C">
        <w:rPr>
          <w:b/>
          <w:bCs/>
        </w:rPr>
        <w:t>Box 1</w:t>
      </w:r>
      <w:r w:rsidR="009258E5" w:rsidRPr="001A5C5C">
        <w:rPr>
          <w:b/>
          <w:bCs/>
        </w:rPr>
        <w:t>:</w:t>
      </w:r>
      <w:r w:rsidR="0095583D" w:rsidRPr="001A5C5C">
        <w:rPr>
          <w:b/>
          <w:bCs/>
        </w:rPr>
        <w:t xml:space="preserve"> </w:t>
      </w:r>
      <w:r w:rsidR="00553C7F" w:rsidRPr="001A5C5C">
        <w:rPr>
          <w:b/>
          <w:bCs/>
        </w:rPr>
        <w:t>Subsidies for disability services in regional and remote areas.</w:t>
      </w:r>
    </w:p>
    <w:p w14:paraId="662DE330" w14:textId="77777777" w:rsidR="007D7BF5" w:rsidRDefault="00A771B2" w:rsidP="001A5C5C">
      <w:pPr>
        <w:pStyle w:val="DocBodyText"/>
      </w:pPr>
      <w:r w:rsidRPr="00AF3059">
        <w:t xml:space="preserve">Much like the IHC program, other sectors face challenges of </w:t>
      </w:r>
      <w:r w:rsidR="001537AF" w:rsidRPr="00AF3059">
        <w:t>pricing and delivery to rural and remote areas of Australia.</w:t>
      </w:r>
      <w:r w:rsidR="001537AF">
        <w:t xml:space="preserve"> </w:t>
      </w:r>
      <w:r w:rsidR="003A5BA2" w:rsidRPr="00BB2FC2">
        <w:t>The costs for delivery of disability services in regional, remote and very remote areas of Australia</w:t>
      </w:r>
      <w:r w:rsidR="006A52BD" w:rsidRPr="00BB2FC2">
        <w:t xml:space="preserve"> are higher than for metropolitan areas. To ensure people are able to access and afford the disability ser</w:t>
      </w:r>
      <w:r w:rsidR="00AE446A" w:rsidRPr="00BB2FC2">
        <w:t>vices they need the National Disability Insurance Scheme (</w:t>
      </w:r>
      <w:r w:rsidR="00386B81" w:rsidRPr="00BB2FC2">
        <w:t>NDIS</w:t>
      </w:r>
      <w:r w:rsidR="00AE446A" w:rsidRPr="00BB2FC2">
        <w:t>)</w:t>
      </w:r>
      <w:r w:rsidR="00386B81" w:rsidRPr="00BB2FC2">
        <w:t xml:space="preserve"> </w:t>
      </w:r>
      <w:r w:rsidR="00AB58C2" w:rsidRPr="00BB2FC2">
        <w:t xml:space="preserve">has set </w:t>
      </w:r>
      <w:r w:rsidR="009005E2" w:rsidRPr="00BB2FC2">
        <w:t>higher subsid</w:t>
      </w:r>
      <w:r w:rsidR="00AB58C2" w:rsidRPr="00BB2FC2">
        <w:t>y</w:t>
      </w:r>
      <w:r w:rsidR="009005E2" w:rsidRPr="00BB2FC2">
        <w:t xml:space="preserve"> price limits </w:t>
      </w:r>
      <w:r w:rsidR="00386B81" w:rsidRPr="00BB2FC2">
        <w:t>for remote (40 per cent</w:t>
      </w:r>
      <w:r w:rsidR="00AB58C2" w:rsidRPr="00BB2FC2">
        <w:t xml:space="preserve"> increase</w:t>
      </w:r>
      <w:r w:rsidR="00386B81" w:rsidRPr="00BB2FC2">
        <w:t>) and very remote (50 per cent</w:t>
      </w:r>
      <w:r w:rsidR="00AB58C2" w:rsidRPr="00BB2FC2">
        <w:t xml:space="preserve"> increase</w:t>
      </w:r>
      <w:r w:rsidR="00386B81" w:rsidRPr="00BB2FC2">
        <w:t>) supports</w:t>
      </w:r>
      <w:r w:rsidR="00386B81" w:rsidRPr="00BB2FC2">
        <w:rPr>
          <w:rStyle w:val="FootnoteReference"/>
          <w:sz w:val="22"/>
        </w:rPr>
        <w:footnoteReference w:id="19"/>
      </w:r>
      <w:r w:rsidR="00386B81" w:rsidRPr="00BB2FC2">
        <w:t>.</w:t>
      </w:r>
    </w:p>
    <w:p w14:paraId="2C32E9DC" w14:textId="21D43CD1" w:rsidR="00386B81" w:rsidRPr="00BB2FC2" w:rsidRDefault="00C173FD" w:rsidP="001A5C5C">
      <w:pPr>
        <w:pStyle w:val="DocBodyText"/>
      </w:pPr>
      <w:r w:rsidRPr="00BB2FC2">
        <w:t>To improve access to IHC higher subsid</w:t>
      </w:r>
      <w:r w:rsidR="001E68F2" w:rsidRPr="00BB2FC2">
        <w:t xml:space="preserve">ies could be applied for geographically isolated families to help address </w:t>
      </w:r>
      <w:r w:rsidR="00386B81" w:rsidRPr="00BB2FC2">
        <w:t xml:space="preserve">the </w:t>
      </w:r>
      <w:r w:rsidR="001E68F2" w:rsidRPr="00BB2FC2">
        <w:t xml:space="preserve">higher </w:t>
      </w:r>
      <w:r w:rsidR="00386B81" w:rsidRPr="00BB2FC2">
        <w:t xml:space="preserve">costs </w:t>
      </w:r>
      <w:r w:rsidR="001E68F2" w:rsidRPr="00BB2FC2">
        <w:t>associated with service delivery in these regions.</w:t>
      </w:r>
    </w:p>
    <w:p w14:paraId="62CACD86" w14:textId="77777777" w:rsidR="007D7BF5" w:rsidRDefault="00A108B2" w:rsidP="001A5C5C">
      <w:pPr>
        <w:pStyle w:val="DocBodyText"/>
      </w:pPr>
      <w:r w:rsidRPr="00D96E68">
        <w:t xml:space="preserve">The establishment of IHCSAs has brought greater consistency and independence to the way families are assessed for eligibility to IHC, and therefore improved equity and access. However, some IHC providers report </w:t>
      </w:r>
      <w:r w:rsidR="00832D64">
        <w:t xml:space="preserve">that </w:t>
      </w:r>
      <w:r w:rsidRPr="00D96E68">
        <w:t>some inconsistencies remain across different IHCSAs</w:t>
      </w:r>
      <w:r w:rsidR="007F364D">
        <w:rPr>
          <w:rStyle w:val="FootnoteReference"/>
        </w:rPr>
        <w:footnoteReference w:id="20"/>
      </w:r>
      <w:r w:rsidRPr="00D96E68">
        <w:t>. Needing to liaise with both IHCSAs and IHC providers has also led to confusion and additional burden for some families</w:t>
      </w:r>
      <w:r w:rsidR="008E29AE">
        <w:rPr>
          <w:rStyle w:val="FootnoteReference"/>
        </w:rPr>
        <w:footnoteReference w:id="21"/>
      </w:r>
      <w:r w:rsidRPr="00D96E68">
        <w:t>.</w:t>
      </w:r>
    </w:p>
    <w:p w14:paraId="5C63489E" w14:textId="09718367" w:rsidR="00A108B2" w:rsidRPr="005504A8" w:rsidRDefault="00A108B2" w:rsidP="005504A8">
      <w:pPr>
        <w:pStyle w:val="DocQuote"/>
      </w:pPr>
      <w:r w:rsidRPr="00D96E68">
        <w:t xml:space="preserve">“Being able to create an inclusive program makes me proud to be involved” </w:t>
      </w:r>
      <w:r w:rsidR="005677D1">
        <w:t>–</w:t>
      </w:r>
      <w:r w:rsidRPr="00D96E68">
        <w:t xml:space="preserve"> IHCSA staff member</w:t>
      </w:r>
    </w:p>
    <w:p w14:paraId="67E5AABD" w14:textId="01C8D166" w:rsidR="00A108B2" w:rsidRDefault="00A108B2" w:rsidP="005504A8">
      <w:pPr>
        <w:pStyle w:val="DocBodyText"/>
      </w:pPr>
      <w:r w:rsidRPr="00D96E68">
        <w:t>It should also be noted that the Department of Education is working with ACECQA on the IHC Quality and Safety Project. This project is intended to improve consistency, quality and safety of IHC through an enhanced IHC national framework. The framework is currently being developed and a pilot will be implemented commencing in 2024</w:t>
      </w:r>
      <w:r w:rsidRPr="00EF1C91">
        <w:t>.</w:t>
      </w:r>
    </w:p>
    <w:p w14:paraId="70D41097" w14:textId="77777777" w:rsidR="00A108B2" w:rsidRPr="00A108B2" w:rsidRDefault="00A108B2" w:rsidP="00E27D72">
      <w:pPr>
        <w:pStyle w:val="DocParagraphHeading"/>
      </w:pPr>
      <w:r w:rsidRPr="00A108B2">
        <w:t>Effectiveness of the IHC program in delivering ECEC to families unable to access mainstream services</w:t>
      </w:r>
    </w:p>
    <w:p w14:paraId="1929F208" w14:textId="77777777" w:rsidR="007D7BF5" w:rsidRDefault="00A108B2" w:rsidP="005504A8">
      <w:pPr>
        <w:pStyle w:val="DocBodyText"/>
      </w:pPr>
      <w:r w:rsidRPr="001D01DC">
        <w:t>While IHC is a necessary program of last resort for families unable to access other forms of ECEC</w:t>
      </w:r>
      <w:r>
        <w:t xml:space="preserve">, </w:t>
      </w:r>
      <w:r w:rsidRPr="001D01DC">
        <w:t>the current program design is not tailored to meet the needs of the three very different cohorts of families</w:t>
      </w:r>
      <w:r>
        <w:t xml:space="preserve"> who need it.</w:t>
      </w:r>
      <w:r w:rsidRPr="001D01DC">
        <w:rPr>
          <w:color w:val="FF0000"/>
        </w:rPr>
        <w:t xml:space="preserve"> </w:t>
      </w:r>
      <w:r w:rsidRPr="001D01DC">
        <w:t>Some families also have difficulty accessing the program, contributing to low utilisation</w:t>
      </w:r>
      <w:r w:rsidR="001E071E">
        <w:rPr>
          <w:rStyle w:val="FootnoteReference"/>
        </w:rPr>
        <w:footnoteReference w:id="22"/>
      </w:r>
      <w:r w:rsidRPr="001D01DC">
        <w:t>. More broadly, families report that costs are still high for the program, impacting access and affordability</w:t>
      </w:r>
      <w:r w:rsidR="001E071E">
        <w:rPr>
          <w:rStyle w:val="FootnoteReference"/>
        </w:rPr>
        <w:footnoteReference w:id="23"/>
      </w:r>
      <w:r w:rsidRPr="001D01DC">
        <w:t>.</w:t>
      </w:r>
    </w:p>
    <w:p w14:paraId="53F583B3" w14:textId="193B75FC" w:rsidR="00A108B2" w:rsidRPr="00D90C0F" w:rsidRDefault="00A108B2" w:rsidP="005504A8">
      <w:pPr>
        <w:pStyle w:val="DocBodyText"/>
      </w:pPr>
      <w:r w:rsidRPr="00E320C5">
        <w:lastRenderedPageBreak/>
        <w:t>For families in remote and regional areas there is a workforce shortage making it difficult to access educators. This means that families may have to pay additional costs to attract educators, such as room/board costs and travel costs</w:t>
      </w:r>
      <w:r w:rsidR="001E071E">
        <w:rPr>
          <w:rStyle w:val="FootnoteReference"/>
        </w:rPr>
        <w:footnoteReference w:id="24"/>
      </w:r>
      <w:r w:rsidRPr="00E320C5">
        <w:t>.</w:t>
      </w:r>
      <w:r>
        <w:t xml:space="preserve"> </w:t>
      </w:r>
      <w:r w:rsidRPr="00D90C0F">
        <w:t xml:space="preserve">Similarly, families that work non-standard and variable hours find it difficult to access educators willing to accommodate their </w:t>
      </w:r>
      <w:r>
        <w:t xml:space="preserve">education and care </w:t>
      </w:r>
      <w:r w:rsidRPr="00D90C0F">
        <w:t>needs</w:t>
      </w:r>
      <w:r>
        <w:t>.</w:t>
      </w:r>
      <w:r w:rsidRPr="00D90C0F">
        <w:t xml:space="preserve"> </w:t>
      </w:r>
      <w:r>
        <w:t>Attracting educators to provide IHC to these families also tends to incur additional costs or loadings.</w:t>
      </w:r>
    </w:p>
    <w:p w14:paraId="63DDC791" w14:textId="01F79DB5" w:rsidR="00C840A7" w:rsidRPr="00BB2FC2" w:rsidRDefault="001F33AA" w:rsidP="005504A8">
      <w:pPr>
        <w:pStyle w:val="DocBodyText"/>
      </w:pPr>
      <w:r>
        <w:rPr>
          <w:noProof/>
        </w:rPr>
        <mc:AlternateContent>
          <mc:Choice Requires="wps">
            <w:drawing>
              <wp:anchor distT="0" distB="0" distL="114300" distR="114300" simplePos="0" relativeHeight="251658254" behindDoc="1" locked="0" layoutInCell="1" allowOverlap="1" wp14:anchorId="3D45BB7C" wp14:editId="180CDF05">
                <wp:simplePos x="0" y="0"/>
                <wp:positionH relativeFrom="page">
                  <wp:align>right</wp:align>
                </wp:positionH>
                <wp:positionV relativeFrom="paragraph">
                  <wp:posOffset>1516218</wp:posOffset>
                </wp:positionV>
                <wp:extent cx="7570470" cy="1499397"/>
                <wp:effectExtent l="0" t="0" r="0" b="5715"/>
                <wp:wrapNone/>
                <wp:docPr id="34" name="Rectangle 34"/>
                <wp:cNvGraphicFramePr/>
                <a:graphic xmlns:a="http://schemas.openxmlformats.org/drawingml/2006/main">
                  <a:graphicData uri="http://schemas.microsoft.com/office/word/2010/wordprocessingShape">
                    <wps:wsp>
                      <wps:cNvSpPr/>
                      <wps:spPr>
                        <a:xfrm>
                          <a:off x="0" y="0"/>
                          <a:ext cx="7570470" cy="149939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3C2B26" id="Rectangle 34" o:spid="_x0000_s1026" style="position:absolute;margin-left:544.9pt;margin-top:119.4pt;width:596.1pt;height:118.05pt;z-index:-251658226;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x5iQIAAIMFAAAOAAAAZHJzL2Uyb0RvYy54bWysVMFu2zAMvQ/YPwi6r3aydFmCOkXQosOA&#10;ri3WDj0rshQbkERNUuJkXz9Kcpy0K3YYdpFFkXwkn0leXO60IlvhfAumoqOzkhJhONStWVf0x9PN&#10;h8+U+MBMzRQYUdG98PRy8f7dRWfnYgwNqFo4giDGzztb0SYEOy8KzxuhmT8DKwwqJTjNAopuXdSO&#10;dYiuVTEuy09FB662DrjwHl+vs5IuEr6Ugod7Kb0IRFUUcwvpdOlcxbNYXLD52jHbtLxPg/1DFpq1&#10;BoMOUNcsMLJx7R9QuuUOPMhwxkEXIGXLRaoBqxmVr6p5bJgVqRYkx9uBJv//YPnd9tE+OKShs37u&#10;8Rqr2Emn4xfzI7tE1n4gS+wC4fg4PZ+WkylyylE3msxmH2fTSGdxdLfOhy8CNImXijr8G4kktr31&#10;IZseTGI0D6qtb1qlkhA7QFwpR7YM/91qPUquaqO/QZ3fZudlmf4ghkwNE81TAi+QlIl4BiJyDhpf&#10;imO96Rb2SkQ7Zb4LSdoaKxyniANyDso4FybkZHzDapGfYypv55IAI7LE+AN2D/CyyAN2zrK3j64i&#10;dfLgXP4tsew8eKTIYMLgrFsD7i0AhVX1kbP9gaRMTWRpBfX+wREHeY685Tct/tpb5sMDczg42A64&#10;DMI9HlJBV1Hob5Q04H699R7tsZ9RS0mHg1hR/3PDnKBEfTXY6bPRZBInNwmT8+kYBXeqWZ1qzEZf&#10;AfbLCNeO5eka7YM6XKUD/Yw7YxmjoooZjrEryoM7CFchLwjcOlwsl8kMp9WycGseLY/gkdXYuk+7&#10;Z+Zs398BR+MODkPL5q/aPNtGTwPLTQDZphk48trzjZOemrjfSnGVnMrJ6rg7F78BAAD//wMAUEsD&#10;BBQABgAIAAAAIQC4r/2m3gAAAAkBAAAPAAAAZHJzL2Rvd25yZXYueG1sTI9BT4NAEIXvJv6HzZh4&#10;s0vXigVZGtOk8eTBSky8LTACkZ1Fdin4752e7HHyJt/7XrZbbC9OOPrOkYb1KgKBVLm6o0ZD8X64&#10;24LwwVBtekeo4Rc97PLrq8yktZvpDU/H0AiGkE+NhjaEIZXSVy1a41duQOLsy43WBD7HRtajmRlu&#10;e6miKJbWdMQNrRlw32L1fZysBlUsD2p+PSQfn0X5EsXTz15hrPXtzfL8BCLgEv6f4azP6pCzU+km&#10;qr3oNfCQwKT7LQ84x+tEKRClhs3jJgGZZ/JyQf4HAAD//wMAUEsBAi0AFAAGAAgAAAAhALaDOJL+&#10;AAAA4QEAABMAAAAAAAAAAAAAAAAAAAAAAFtDb250ZW50X1R5cGVzXS54bWxQSwECLQAUAAYACAAA&#10;ACEAOP0h/9YAAACUAQAACwAAAAAAAAAAAAAAAAAvAQAAX3JlbHMvLnJlbHNQSwECLQAUAAYACAAA&#10;ACEA6JF8eYkCAACDBQAADgAAAAAAAAAAAAAAAAAuAgAAZHJzL2Uyb0RvYy54bWxQSwECLQAUAAYA&#10;CAAAACEAuK/9pt4AAAAJAQAADwAAAAAAAAAAAAAAAADjBAAAZHJzL2Rvd25yZXYueG1sUEsFBgAA&#10;AAAEAAQA8wAAAO4FAAAAAA==&#10;" fillcolor="#f2f2f2 [3052]" stroked="f" strokeweight="1pt">
                <w10:wrap anchorx="page"/>
              </v:rect>
            </w:pict>
          </mc:Fallback>
        </mc:AlternateContent>
      </w:r>
      <w:r w:rsidR="00A108B2" w:rsidRPr="6F3D8DF0">
        <w:t>For families with complex and challenging needs</w:t>
      </w:r>
      <w:r w:rsidR="00A108B2">
        <w:t>,</w:t>
      </w:r>
      <w:r w:rsidR="00A108B2" w:rsidRPr="6F3D8DF0">
        <w:t xml:space="preserve"> educators may be needed that have additional skills to make reasonable adjustments for disability </w:t>
      </w:r>
      <w:r w:rsidR="00C12654">
        <w:t>or other complex needs</w:t>
      </w:r>
      <w:r w:rsidR="00A108B2" w:rsidRPr="6F3D8DF0">
        <w:t xml:space="preserve"> whilst they are providing ECEC to these children. For example, this might include educators knowing how to recognise and manage behaviours associated with disability and developmental delay, or to provide physical care supports (e.g. administration of medication, PEG feeding, etc.) during the time they are providing ECEC to the children. While these families may be unable to access educators with the requisite skills to provide IHC to their children, they may also be ineligible for NDIS funding, meaning they are unable to access ECEC and supports appropriate for their needs. While there is anecdotal evidence of some families being transitioned from IHC to ISP in mainstream ECEC services, it is unclear how </w:t>
      </w:r>
      <w:r w:rsidR="00A108B2" w:rsidRPr="00BB2FC2">
        <w:t>frequently this occurs</w:t>
      </w:r>
      <w:r w:rsidR="008C3383" w:rsidRPr="00BB2FC2">
        <w:rPr>
          <w:rStyle w:val="FootnoteReference"/>
        </w:rPr>
        <w:footnoteReference w:id="25"/>
      </w:r>
      <w:r w:rsidR="00A108B2" w:rsidRPr="00BB2FC2">
        <w:t>.</w:t>
      </w:r>
    </w:p>
    <w:p w14:paraId="79840E6B" w14:textId="2FAC59A3" w:rsidR="009258E5" w:rsidRPr="001A5C5C" w:rsidRDefault="005A3196" w:rsidP="001A5C5C">
      <w:pPr>
        <w:pStyle w:val="DocBodyText"/>
        <w:rPr>
          <w:b/>
          <w:bCs/>
        </w:rPr>
      </w:pPr>
      <w:r w:rsidRPr="001A5C5C">
        <w:rPr>
          <w:b/>
          <w:bCs/>
        </w:rPr>
        <w:t xml:space="preserve">Sector Comparison </w:t>
      </w:r>
      <w:r w:rsidR="004D2ABA" w:rsidRPr="001A5C5C">
        <w:rPr>
          <w:b/>
          <w:bCs/>
        </w:rPr>
        <w:t xml:space="preserve">Box </w:t>
      </w:r>
      <w:r w:rsidR="001A08DA" w:rsidRPr="001A5C5C">
        <w:rPr>
          <w:b/>
          <w:bCs/>
        </w:rPr>
        <w:t>2</w:t>
      </w:r>
      <w:r w:rsidR="009258E5" w:rsidRPr="001A5C5C">
        <w:rPr>
          <w:b/>
          <w:bCs/>
        </w:rPr>
        <w:t xml:space="preserve">: </w:t>
      </w:r>
      <w:r w:rsidR="00777EAD" w:rsidRPr="001A5C5C">
        <w:rPr>
          <w:b/>
          <w:bCs/>
        </w:rPr>
        <w:t>Medicare Benefits Schedule funding for out-of-standard hours health care.</w:t>
      </w:r>
    </w:p>
    <w:p w14:paraId="485DA055" w14:textId="77777777" w:rsidR="007D7BF5" w:rsidRPr="001A5C5C" w:rsidRDefault="00777EAD" w:rsidP="001A5C5C">
      <w:pPr>
        <w:pStyle w:val="DocBodyText"/>
        <w:rPr>
          <w:rFonts w:cstheme="minorHAnsi"/>
          <w:color w:val="000000" w:themeColor="text1"/>
        </w:rPr>
      </w:pPr>
      <w:r w:rsidRPr="00BB2FC2">
        <w:t xml:space="preserve">As </w:t>
      </w:r>
      <w:r w:rsidR="00C12654">
        <w:t>part</w:t>
      </w:r>
      <w:r w:rsidRPr="00BB2FC2">
        <w:t xml:space="preserve"> of the Medicare Benefits Schedule </w:t>
      </w:r>
      <w:r w:rsidR="002C099D" w:rsidRPr="00BB2FC2">
        <w:t>(MBS) t</w:t>
      </w:r>
      <w:r w:rsidR="001C07F0" w:rsidRPr="00BB2FC2">
        <w:t>here are specific MBS subsidies to cater for out-of-standard hours costs</w:t>
      </w:r>
      <w:r w:rsidR="00C12654">
        <w:t xml:space="preserve"> associated with service delivery</w:t>
      </w:r>
      <w:r w:rsidR="001C07F0" w:rsidRPr="00BB2FC2">
        <w:t xml:space="preserve">. </w:t>
      </w:r>
      <w:r w:rsidR="00353D48" w:rsidRPr="00BB2FC2">
        <w:t xml:space="preserve">Since the </w:t>
      </w:r>
      <w:r w:rsidR="001C07F0" w:rsidRPr="00BB2FC2">
        <w:t xml:space="preserve">introduction of urgent after-hours </w:t>
      </w:r>
      <w:r w:rsidR="00C12654">
        <w:t xml:space="preserve">MBS </w:t>
      </w:r>
      <w:r w:rsidR="001C07F0" w:rsidRPr="00BB2FC2">
        <w:t>items</w:t>
      </w:r>
      <w:r w:rsidR="00C131A5" w:rsidRPr="00BB2FC2">
        <w:t xml:space="preserve"> </w:t>
      </w:r>
      <w:r w:rsidR="00353D48" w:rsidRPr="00BB2FC2">
        <w:t xml:space="preserve">there has been a substantial increase in </w:t>
      </w:r>
      <w:r w:rsidR="001C07F0" w:rsidRPr="00BB2FC2">
        <w:t xml:space="preserve">the number of </w:t>
      </w:r>
      <w:r w:rsidR="00B96687" w:rsidRPr="00BB2FC2">
        <w:t xml:space="preserve">urgent after-hours care </w:t>
      </w:r>
      <w:r w:rsidR="001C07F0" w:rsidRPr="00BB2FC2">
        <w:t xml:space="preserve">services </w:t>
      </w:r>
      <w:r w:rsidR="00B96687" w:rsidRPr="00BB2FC2">
        <w:t>delivered</w:t>
      </w:r>
      <w:r w:rsidR="001C07F0" w:rsidRPr="00BB2FC2">
        <w:t xml:space="preserve">. </w:t>
      </w:r>
      <w:r w:rsidR="00F51B79" w:rsidRPr="00BB2FC2">
        <w:t xml:space="preserve">Providing subsidies that cover the additional costs associated with non-standard hours IHC </w:t>
      </w:r>
      <w:r w:rsidR="00C12654">
        <w:t>may</w:t>
      </w:r>
      <w:r w:rsidR="00C12654" w:rsidRPr="00BB2FC2">
        <w:t xml:space="preserve"> </w:t>
      </w:r>
      <w:r w:rsidR="00F51B79" w:rsidRPr="00BB2FC2">
        <w:t>improve</w:t>
      </w:r>
      <w:r w:rsidR="00B85456" w:rsidRPr="00BB2FC2">
        <w:t xml:space="preserve"> access and affordability for families that work non-standard and variable hours. However, care must be taken to ensure only families in need of </w:t>
      </w:r>
      <w:r w:rsidR="00AD0468" w:rsidRPr="00BB2FC2">
        <w:t xml:space="preserve">non-standard hours IHC </w:t>
      </w:r>
      <w:r w:rsidR="007A191B">
        <w:t xml:space="preserve">who are unable to access other forms of ECEC </w:t>
      </w:r>
      <w:r w:rsidR="00AD0468" w:rsidRPr="00BB2FC2">
        <w:t xml:space="preserve">are </w:t>
      </w:r>
      <w:r w:rsidR="00BE4AD8" w:rsidRPr="00BB2FC2">
        <w:t xml:space="preserve">able to receive these </w:t>
      </w:r>
      <w:r w:rsidR="00B14B66" w:rsidRPr="00BB2FC2">
        <w:t>subsidies</w:t>
      </w:r>
      <w:r w:rsidR="00BE4AD8" w:rsidRPr="00BB2FC2">
        <w:t>.</w:t>
      </w:r>
    </w:p>
    <w:p w14:paraId="12DF8630" w14:textId="77777777" w:rsidR="00363657" w:rsidRDefault="00363657">
      <w:pPr>
        <w:spacing w:before="0" w:line="281" w:lineRule="auto"/>
        <w:rPr>
          <w:b/>
          <w:bCs/>
          <w:sz w:val="28"/>
          <w:szCs w:val="28"/>
        </w:rPr>
      </w:pPr>
      <w:bookmarkStart w:id="45" w:name="_Toc140148410"/>
      <w:bookmarkStart w:id="46" w:name="_Toc140149908"/>
      <w:r>
        <w:br w:type="page"/>
      </w:r>
    </w:p>
    <w:p w14:paraId="5D981159" w14:textId="4D8F7099" w:rsidR="00A108B2" w:rsidRPr="00A108B2" w:rsidRDefault="00BE4AD8" w:rsidP="005504A8">
      <w:pPr>
        <w:pStyle w:val="DocHeading02"/>
      </w:pPr>
      <w:r>
        <w:rPr>
          <w:noProof/>
        </w:rPr>
        <w:lastRenderedPageBreak/>
        <mc:AlternateContent>
          <mc:Choice Requires="wps">
            <w:drawing>
              <wp:anchor distT="0" distB="0" distL="114300" distR="114300" simplePos="0" relativeHeight="251658249" behindDoc="1" locked="0" layoutInCell="1" allowOverlap="1" wp14:anchorId="685E82A4" wp14:editId="0A34B18E">
                <wp:simplePos x="0" y="0"/>
                <wp:positionH relativeFrom="column">
                  <wp:posOffset>-921385</wp:posOffset>
                </wp:positionH>
                <wp:positionV relativeFrom="paragraph">
                  <wp:posOffset>313690</wp:posOffset>
                </wp:positionV>
                <wp:extent cx="7570470" cy="1971040"/>
                <wp:effectExtent l="0" t="0" r="0" b="0"/>
                <wp:wrapNone/>
                <wp:docPr id="12" name="Rectangle 12"/>
                <wp:cNvGraphicFramePr/>
                <a:graphic xmlns:a="http://schemas.openxmlformats.org/drawingml/2006/main">
                  <a:graphicData uri="http://schemas.microsoft.com/office/word/2010/wordprocessingShape">
                    <wps:wsp>
                      <wps:cNvSpPr/>
                      <wps:spPr>
                        <a:xfrm>
                          <a:off x="0" y="0"/>
                          <a:ext cx="7570470" cy="197104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5449CE" id="Rectangle 12" o:spid="_x0000_s1026" style="position:absolute;margin-left:-72.55pt;margin-top:24.7pt;width:596.1pt;height:155.2pt;z-index:-2516582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YLJdAIAAGMFAAAOAAAAZHJzL2Uyb0RvYy54bWysVN9P2zAQfp+0/8Hy+0hSlXVUpKgqYpqE&#10;AAETz8axm0iOzzu7Tbu/fmenSRmgTZqWB8f2/f783Z1f7FrDtgp9A7bkxUnOmbISqsauS/798erT&#10;F858ELYSBqwq+V55frH4+OG8c3M1gRpMpZCRE+vnnSt5HYKbZ5mXtWqFPwGnLAk1YCsCHXGdVSg6&#10;8t6abJLnn7MOsHIIUnlPt5e9kC+Sf62VDLdaexWYKTnlFtKKaX2Oa7Y4F/M1Clc38pCG+IcsWtFY&#10;Cjq6uhRBsA02b1y1jUTwoMOJhDYDrRupUg1UTZG/quahFk6lWggc70aY/P9zK2+2D+4OCYbO+bmn&#10;baxip7GNf8qP7RJY+xEstQtM0uXsdJZPZ4SpJFlxNivyaYIzO5o79OGrgpbFTcmRXiOBJLbXPlBI&#10;Uh1UYjQPpqmuGmPSITJArQyyraC3E1IqG4r4XmT1m6axUd9CtOzF8SY71pN2YW9U1DP2XmnWVFTB&#10;JCWTqPY2UMqhFpXq45/m9A3Rh9RSLslh1NYUf/Rd/Ml3n+VBP5qqxNTROP+78WiRIoMNo3HbWMD3&#10;HJgRPt3rDyD10ESUnqHa3yFD6PvEO3nV0NNdCx/uBFJj0HNTs4dbWrSBruRw2HFWA/587z7qE19J&#10;yllHjVZy/2MjUHFmvlli8lkxJeKwkA7T09mEDvhS8vxSYjftCogPBY0VJ9M26gczbDVC+0QzYRmj&#10;kkhYSbFLLgMOh1XoBwBNFamWy6RG3ehEuLYPTkbnEdVIzcfdk0B34G8g6t/A0JRi/orGvW60tLDc&#10;BNBN4vgR1wPe1MmJOIepE0fFy3PSOs7GxS8AAAD//wMAUEsDBBQABgAIAAAAIQB9UDfK4wAAAAwB&#10;AAAPAAAAZHJzL2Rvd25yZXYueG1sTI/BTsMwDIbvSLxDZCRuW1rasa3UnaZJuyCERGEHbllrmkLj&#10;VE3WFZ6e7ARH259+f3++mUwnRhpcaxkhnkcgiCtbt9wgvL3uZysQziuuVWeZEL7Jwaa4vspVVtsz&#10;v9BY+kaEEHaZQtDe95mUrtJklJvbnjjcPuxglA/j0Mh6UOcQbjp5F0X30qiWwwetetppqr7Kk0F4&#10;/FwmpR6340/yTAdtD0/v+51DvL2Ztg8gPE3+D4aLflCHIjgd7YlrJzqEWZwu4sAipOsUxIWI0mXY&#10;HBGSxXoFssjl/xLFLwAAAP//AwBQSwECLQAUAAYACAAAACEAtoM4kv4AAADhAQAAEwAAAAAAAAAA&#10;AAAAAAAAAAAAW0NvbnRlbnRfVHlwZXNdLnhtbFBLAQItABQABgAIAAAAIQA4/SH/1gAAAJQBAAAL&#10;AAAAAAAAAAAAAAAAAC8BAABfcmVscy8ucmVsc1BLAQItABQABgAIAAAAIQCFOYLJdAIAAGMFAAAO&#10;AAAAAAAAAAAAAAAAAC4CAABkcnMvZTJvRG9jLnhtbFBLAQItABQABgAIAAAAIQB9UDfK4wAAAAwB&#10;AAAPAAAAAAAAAAAAAAAAAM4EAABkcnMvZG93bnJldi54bWxQSwUGAAAAAAQABADzAAAA3gUAAAAA&#10;" fillcolor="#d04a02 [3204]" stroked="f" strokeweight="1pt"/>
            </w:pict>
          </mc:Fallback>
        </mc:AlternateContent>
      </w:r>
      <w:r w:rsidR="00A108B2" w:rsidRPr="00A108B2">
        <w:t>Demand for the IHC program</w:t>
      </w:r>
      <w:bookmarkEnd w:id="45"/>
      <w:bookmarkEnd w:id="46"/>
    </w:p>
    <w:p w14:paraId="57237A3E" w14:textId="149E88EF" w:rsidR="00A108B2" w:rsidRPr="00326E78" w:rsidRDefault="00A108B2" w:rsidP="005504A8">
      <w:pPr>
        <w:pStyle w:val="DocParagraphHeading"/>
        <w:rPr>
          <w:color w:val="FFFFFF" w:themeColor="background1"/>
        </w:rPr>
      </w:pPr>
      <w:r w:rsidRPr="00326E78">
        <w:rPr>
          <w:color w:val="FFFFFF" w:themeColor="background1"/>
        </w:rPr>
        <w:t>Key findings</w:t>
      </w:r>
    </w:p>
    <w:p w14:paraId="07158B32" w14:textId="621A9F81" w:rsidR="00A108B2" w:rsidRPr="00EF5FB9" w:rsidRDefault="00A108B2" w:rsidP="00EF5FB9">
      <w:pPr>
        <w:pStyle w:val="DocBullet1"/>
        <w:rPr>
          <w:color w:val="FFFFFF" w:themeColor="background1"/>
        </w:rPr>
      </w:pPr>
      <w:r w:rsidRPr="00EF5FB9">
        <w:rPr>
          <w:color w:val="FFFFFF" w:themeColor="background1"/>
        </w:rPr>
        <w:t>The number of IHC places utilised has reduced since the redesign of the program in 2018 suggesting the introduction of IHCSAs has been effective in appropriately assessing and enforcing eligibility requirements.</w:t>
      </w:r>
    </w:p>
    <w:p w14:paraId="6089BB81" w14:textId="0DB01928" w:rsidR="00A108B2" w:rsidRPr="00EF5FB9" w:rsidRDefault="00A108B2" w:rsidP="00EF5FB9">
      <w:pPr>
        <w:pStyle w:val="DocBullet1"/>
        <w:rPr>
          <w:color w:val="FFFFFF" w:themeColor="background1"/>
        </w:rPr>
      </w:pPr>
      <w:r w:rsidRPr="00EF5FB9">
        <w:rPr>
          <w:color w:val="FFFFFF" w:themeColor="background1"/>
        </w:rPr>
        <w:t>The greatest proportion of families accessing IHC are those with complex and challenging needs (43.8 per cent of total families).</w:t>
      </w:r>
    </w:p>
    <w:p w14:paraId="1EEB2280" w14:textId="5B80B7A1" w:rsidR="00A108B2" w:rsidRPr="00EF5FB9" w:rsidRDefault="00A108B2" w:rsidP="00EF5FB9">
      <w:pPr>
        <w:pStyle w:val="DocBullet1"/>
        <w:rPr>
          <w:color w:val="FFFFFF" w:themeColor="background1"/>
        </w:rPr>
      </w:pPr>
      <w:r w:rsidRPr="00EF5FB9">
        <w:rPr>
          <w:color w:val="FFFFFF" w:themeColor="background1"/>
        </w:rPr>
        <w:t>Geographically isolated families have seen the largest access growth, with a 162 per cent increase in access to the program.</w:t>
      </w:r>
    </w:p>
    <w:p w14:paraId="3D974BC9" w14:textId="0FB069E5" w:rsidR="00A108B2" w:rsidRPr="00EF5FB9" w:rsidRDefault="00A108B2" w:rsidP="00EF5FB9">
      <w:pPr>
        <w:pStyle w:val="DocBullet1"/>
        <w:rPr>
          <w:color w:val="FFFFFF" w:themeColor="background1"/>
        </w:rPr>
      </w:pPr>
      <w:r w:rsidRPr="00EF5FB9">
        <w:rPr>
          <w:color w:val="FFFFFF" w:themeColor="background1"/>
        </w:rPr>
        <w:t>The waitlist to access IHC has increased by 43 per cent since 2018, which is thought to be primarily due to a shortage of educators and factors which make IHC less attractive to educators such as short shifts, irregular hours, etc.</w:t>
      </w:r>
    </w:p>
    <w:p w14:paraId="4B1CE91F" w14:textId="074601C2" w:rsidR="00A108B2" w:rsidRPr="00A108B2" w:rsidRDefault="00A108B2" w:rsidP="00E27D72">
      <w:pPr>
        <w:pStyle w:val="DocParagraphHeading"/>
      </w:pPr>
      <w:r w:rsidRPr="00A108B2">
        <w:t>Utilisation of IHC places</w:t>
      </w:r>
    </w:p>
    <w:p w14:paraId="39B8E42A" w14:textId="77777777" w:rsidR="007D7BF5" w:rsidRDefault="00A108B2" w:rsidP="00EF5FB9">
      <w:pPr>
        <w:pStyle w:val="DocBodyText"/>
      </w:pPr>
      <w:r w:rsidRPr="00A108B2">
        <w:t>Since the redesign of the program in 2018</w:t>
      </w:r>
      <w:r w:rsidR="002167A0">
        <w:t>,</w:t>
      </w:r>
      <w:r w:rsidRPr="00A108B2">
        <w:t xml:space="preserve"> demand for IHC has decreased from 41 per cent of places utilised (3,200 places nationally) in 2019 to 37 per cent in 2022</w:t>
      </w:r>
      <w:r w:rsidRPr="00C07BC2">
        <w:rPr>
          <w:vertAlign w:val="superscript"/>
        </w:rPr>
        <w:footnoteReference w:id="26"/>
      </w:r>
      <w:r w:rsidRPr="00A108B2">
        <w:t>. This compares to 59 per cent of places utilised prior to 2018 under the former IHC program (3,000 places nationally)</w:t>
      </w:r>
      <w:r w:rsidRPr="00C07BC2">
        <w:rPr>
          <w:vertAlign w:val="superscript"/>
        </w:rPr>
        <w:footnoteReference w:id="27"/>
      </w:r>
      <w:r w:rsidRPr="00A108B2">
        <w:t>.</w:t>
      </w:r>
    </w:p>
    <w:p w14:paraId="64F173DD" w14:textId="2CC7A543" w:rsidR="00BB2FC2" w:rsidRDefault="00EF5FB9" w:rsidP="00EF5FB9">
      <w:pPr>
        <w:pStyle w:val="DocBodyText"/>
        <w:spacing w:line="240" w:lineRule="auto"/>
        <w:jc w:val="center"/>
      </w:pPr>
      <w:r>
        <w:object w:dxaOrig="5958" w:dyaOrig="8427" w14:anchorId="033276B4">
          <v:shape id="_x0000_i1027" type="#_x0000_t75" style="width:361.8pt;height:62.9pt" o:ole="">
            <v:imagedata r:id="rId50" o:title="" croptop="36359f" cropbottom="23676f" cropleft="10604f" cropright="10901f"/>
          </v:shape>
          <o:OLEObject Type="Embed" ProgID="PowerPoint.Slide.12" ShapeID="_x0000_i1027" DrawAspect="Content" ObjectID="_1761144015" r:id="rId51"/>
        </w:object>
      </w:r>
    </w:p>
    <w:p w14:paraId="383597EB" w14:textId="77777777" w:rsidR="007D7BF5" w:rsidRDefault="00C07BC2" w:rsidP="00C07BC2">
      <w:pPr>
        <w:pStyle w:val="DocBodyText"/>
      </w:pPr>
      <w:r w:rsidRPr="00C07BC2">
        <w:t>Of the IHC places currently utilised 43.8 per cent are utilised by families with complex and challenging needs, followed by 35.6 per cent by families that work non-standard or variable hours and 20.6 per cent by geographically isolated families</w:t>
      </w:r>
      <w:r w:rsidR="00AA0E98">
        <w:rPr>
          <w:rStyle w:val="FootnoteReference"/>
        </w:rPr>
        <w:footnoteReference w:id="28"/>
      </w:r>
      <w:r w:rsidRPr="00C07BC2">
        <w:t>.</w:t>
      </w:r>
    </w:p>
    <w:p w14:paraId="76B726C8" w14:textId="797AC62A" w:rsidR="007D7BF5" w:rsidRDefault="00C07BC2" w:rsidP="00C07BC2">
      <w:pPr>
        <w:pStyle w:val="DocBodyText"/>
      </w:pPr>
      <w:r w:rsidRPr="00C07BC2">
        <w:t>The proportion of IHC distributed places that are utilised is greatest in Queensland (48 per cent of distributed places) and Victoria (47 per cent of distributed places). In comparison, the proportion of IHC distributed places that are utilised is lowest in ACT (14 per cent), NT (19 per cent), and TAS (19 per cent)</w:t>
      </w:r>
      <w:r w:rsidR="00981720">
        <w:rPr>
          <w:rStyle w:val="FootnoteReference"/>
        </w:rPr>
        <w:footnoteReference w:id="29"/>
      </w:r>
      <w:r w:rsidRPr="00C07BC2">
        <w:t>.</w:t>
      </w:r>
    </w:p>
    <w:p w14:paraId="30036647" w14:textId="77777777" w:rsidR="0087509E" w:rsidRDefault="0087509E">
      <w:pPr>
        <w:spacing w:before="0" w:line="281" w:lineRule="auto"/>
        <w:rPr>
          <w:rFonts w:cstheme="minorHAnsi"/>
          <w:b/>
          <w:bCs/>
          <w:color w:val="D04A02" w:themeColor="accent1"/>
          <w:sz w:val="22"/>
          <w:szCs w:val="22"/>
        </w:rPr>
      </w:pPr>
      <w:r>
        <w:br w:type="page"/>
      </w:r>
    </w:p>
    <w:p w14:paraId="4D1A050B" w14:textId="3F859502" w:rsidR="004E676D" w:rsidRPr="00A81AEC" w:rsidRDefault="00EF5FB9" w:rsidP="00DA43A8">
      <w:pPr>
        <w:pStyle w:val="DocTableHeader"/>
      </w:pPr>
      <w:r>
        <w:rPr>
          <w:noProof/>
          <w:color w:val="2B579A"/>
          <w:shd w:val="clear" w:color="auto" w:fill="E6E6E6"/>
        </w:rPr>
        <w:lastRenderedPageBreak/>
        <mc:AlternateContent>
          <mc:Choice Requires="wps">
            <w:drawing>
              <wp:anchor distT="0" distB="0" distL="114300" distR="114300" simplePos="0" relativeHeight="251658252" behindDoc="1" locked="0" layoutInCell="1" allowOverlap="1" wp14:anchorId="22B04EB7" wp14:editId="147F5711">
                <wp:simplePos x="0" y="0"/>
                <wp:positionH relativeFrom="column">
                  <wp:posOffset>-921695</wp:posOffset>
                </wp:positionH>
                <wp:positionV relativeFrom="paragraph">
                  <wp:posOffset>35192</wp:posOffset>
                </wp:positionV>
                <wp:extent cx="7570470" cy="3732028"/>
                <wp:effectExtent l="0" t="0" r="0" b="1905"/>
                <wp:wrapNone/>
                <wp:docPr id="281" name="Rectangle 281"/>
                <wp:cNvGraphicFramePr/>
                <a:graphic xmlns:a="http://schemas.openxmlformats.org/drawingml/2006/main">
                  <a:graphicData uri="http://schemas.microsoft.com/office/word/2010/wordprocessingShape">
                    <wps:wsp>
                      <wps:cNvSpPr/>
                      <wps:spPr>
                        <a:xfrm>
                          <a:off x="0" y="0"/>
                          <a:ext cx="7570470" cy="373202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FEB4A7" id="Rectangle 281" o:spid="_x0000_s1026" style="position:absolute;margin-left:-72.55pt;margin-top:2.75pt;width:596.1pt;height:293.85pt;z-index:-2516582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5D4iQIAAIMFAAAOAAAAZHJzL2Uyb0RvYy54bWysVMFu2zAMvQ/YPwi6r3bSdGmDOkXQosOA&#10;rg3WDj0rshQLkEVNUuJkXz9Kcpy2K3YYdpFFkXwkn0leXu1aTbbCeQWmoqOTkhJhONTKrCv64+n2&#10;0zklPjBTMw1GVHQvPL2af/xw2dmZGEMDuhaOIIjxs85WtAnBzorC80a0zJ+AFQaVElzLAopuXdSO&#10;dYje6mJclp+LDlxtHXDhPb7eZCWdJ3wpBQ8PUnoRiK4o5hbS6dK5imcxv2SztWO2UbxPg/1DFi1T&#10;BoMOUDcsMLJx6g+oVnEHHmQ44dAWIKXiItWA1YzKN9U8NsyKVAuS4+1Ak/9/sPx++2iXDmnorJ95&#10;vMYqdtK18Yv5kV0iaz+QJXaBcHycnk3LyRQ55ag7nZ6Oy/F5pLM4ulvnwxcBLYmXijr8G4kktr3z&#10;IZseTGI0D1rVt0rrJMQOENfakS3Df7daj5Kr3rTfoM5vF2dlmf4ghkwNE81TAq+QtIl4BiJyDhpf&#10;imO96Rb2WkQ7bb4LSVSNFY5TxAE5B2WcCxNyMr5htcjPMZX3c0mAEVli/AG7B3hd5AE7Z9nbR1eR&#10;OnlwLv+WWHYePFJkMGFwbpUB9x6Axqr6yNn+QFKmJrK0gnq/dMRBniNv+a3CX3vHfFgyh4OD7YDL&#10;IDzgITV0FYX+RkkD7td779Ee+xm1lHQ4iBX1PzfMCUr0V4OdfjGaTOLkJmFyNh2j4F5qVi81ZtNe&#10;A/bLCNeO5eka7YM+XKWD9hl3xiJGRRUzHGNXlAd3EK5DXhC4dbhYLJIZTqtl4c48Wh7BI6uxdZ92&#10;z8zZvr8DjsY9HIaWzd60ebaNngYWmwBSpRk48trzjZOemrjfSnGVvJST1XF3zn8DAAD//wMAUEsD&#10;BBQABgAIAAAAIQBzVTPd4AAAAAsBAAAPAAAAZHJzL2Rvd25yZXYueG1sTI/BToNAEIbvJr7DZky8&#10;tQtrwRZZGtOk8eTBSkx6W9gRiOwuskvBt3d60uP88+Wfb/L9Ynp2wdF3zkqI1xEwtLXTnW0klO/H&#10;1RaYD8pq1TuLEn7Qw764vclVpt1s3/ByCg2jEuszJaENYcg493WLRvm1G9DS7tONRgUax4brUc1U&#10;bnouoijlRnWWLrRqwEOL9ddpMhJEuSRifj3uPs5l9RKl0/dBYCrl/d3y/AQs4BL+YLjqkzoU5FS5&#10;yWrPegmreJPExEpIEmBXINo8UlBRsHsQwIuc//+h+AUAAP//AwBQSwECLQAUAAYACAAAACEAtoM4&#10;kv4AAADhAQAAEwAAAAAAAAAAAAAAAAAAAAAAW0NvbnRlbnRfVHlwZXNdLnhtbFBLAQItABQABgAI&#10;AAAAIQA4/SH/1gAAAJQBAAALAAAAAAAAAAAAAAAAAC8BAABfcmVscy8ucmVsc1BLAQItABQABgAI&#10;AAAAIQB4r5D4iQIAAIMFAAAOAAAAAAAAAAAAAAAAAC4CAABkcnMvZTJvRG9jLnhtbFBLAQItABQA&#10;BgAIAAAAIQBzVTPd4AAAAAsBAAAPAAAAAAAAAAAAAAAAAOMEAABkcnMvZG93bnJldi54bWxQSwUG&#10;AAAAAAQABADzAAAA8AUAAAAA&#10;" fillcolor="#f2f2f2 [3052]" stroked="f" strokeweight="1pt"/>
            </w:pict>
          </mc:Fallback>
        </mc:AlternateContent>
      </w:r>
      <w:r w:rsidR="00DA43A8" w:rsidRPr="00DF5696">
        <w:t xml:space="preserve">Figure </w:t>
      </w:r>
      <w:r w:rsidR="00DA43A8" w:rsidRPr="00DF5696">
        <w:fldChar w:fldCharType="begin"/>
      </w:r>
      <w:r w:rsidR="00DA43A8" w:rsidRPr="00DF5696">
        <w:instrText>SEQ Figure \* ARABIC</w:instrText>
      </w:r>
      <w:r w:rsidR="00DA43A8" w:rsidRPr="00DF5696">
        <w:fldChar w:fldCharType="separate"/>
      </w:r>
      <w:r w:rsidR="00943DE9">
        <w:rPr>
          <w:noProof/>
        </w:rPr>
        <w:t>3</w:t>
      </w:r>
      <w:r w:rsidR="00DA43A8" w:rsidRPr="00DF5696">
        <w:fldChar w:fldCharType="end"/>
      </w:r>
      <w:r w:rsidR="00DA43A8" w:rsidRPr="00DF5696">
        <w:t xml:space="preserve">: </w:t>
      </w:r>
      <w:r w:rsidR="004E676D" w:rsidRPr="00A81AEC">
        <w:t>Proportion of IHC distributed places utilised, by state/territory</w:t>
      </w:r>
      <w:r w:rsidR="00A32772">
        <w:rPr>
          <w:rStyle w:val="FootnoteReference"/>
        </w:rPr>
        <w:footnoteReference w:id="30"/>
      </w:r>
    </w:p>
    <w:bookmarkStart w:id="47" w:name="_MON_1750676817"/>
    <w:bookmarkEnd w:id="47"/>
    <w:p w14:paraId="13E7EB32" w14:textId="36CD1346" w:rsidR="004E676D" w:rsidRDefault="006277AB" w:rsidP="00A104A9">
      <w:pPr>
        <w:pStyle w:val="DocBodyText"/>
        <w:jc w:val="center"/>
      </w:pPr>
      <w:r>
        <w:object w:dxaOrig="5958" w:dyaOrig="8426" w14:anchorId="64105643">
          <v:shape id="_x0000_i1028" type="#_x0000_t75" style="width:362.75pt;height:268.4pt" o:ole="">
            <v:imagedata r:id="rId52" o:title="" croptop="19553f" cropbottom="19657f" cropleft="8362f" cropright="6963f"/>
          </v:shape>
          <o:OLEObject Type="Embed" ProgID="PowerPoint.Slide.12" ShapeID="_x0000_i1028" DrawAspect="Content" ObjectID="_1761144016" r:id="rId53"/>
        </w:object>
      </w:r>
    </w:p>
    <w:p w14:paraId="205C45D2" w14:textId="094C7676" w:rsidR="00DF5696" w:rsidRPr="00DF5696" w:rsidRDefault="00DF5696" w:rsidP="00E27D72">
      <w:pPr>
        <w:pStyle w:val="DocParagraphHeading"/>
      </w:pPr>
      <w:r w:rsidRPr="00DF5696">
        <w:t>Hours of IHC accessed</w:t>
      </w:r>
    </w:p>
    <w:p w14:paraId="68EC2969" w14:textId="258A647B" w:rsidR="00DF5696" w:rsidRPr="00A104A9" w:rsidRDefault="00DF5696" w:rsidP="006277AB">
      <w:pPr>
        <w:pStyle w:val="DocBodyText"/>
        <w:spacing w:after="0"/>
        <w:rPr>
          <w:color w:val="000000" w:themeColor="text1"/>
        </w:rPr>
      </w:pPr>
      <w:r w:rsidRPr="00D96E68">
        <w:t xml:space="preserve">The number of IHC hours accessed across Australia decreased by </w:t>
      </w:r>
      <w:r w:rsidR="002167A0">
        <w:t>eight</w:t>
      </w:r>
      <w:r w:rsidRPr="00D96E68">
        <w:t xml:space="preserve"> per cent from 2019 to 2022</w:t>
      </w:r>
      <w:r w:rsidR="00EF5FB9">
        <w:br/>
      </w:r>
      <w:r w:rsidRPr="00D96E68">
        <w:t>(</w:t>
      </w:r>
      <w:r w:rsidRPr="00D96E68">
        <w:fldChar w:fldCharType="begin"/>
      </w:r>
      <w:r w:rsidRPr="00D96E68">
        <w:instrText xml:space="preserve"> REF _Ref138185330 \h  \* MERGEFORMAT </w:instrText>
      </w:r>
      <w:r w:rsidRPr="00D96E68">
        <w:fldChar w:fldCharType="separate"/>
      </w:r>
      <w:r w:rsidR="00943DE9" w:rsidRPr="00DF5696">
        <w:t xml:space="preserve">Figure </w:t>
      </w:r>
      <w:r w:rsidR="00943DE9">
        <w:rPr>
          <w:noProof/>
        </w:rPr>
        <w:t>4</w:t>
      </w:r>
      <w:r w:rsidRPr="00D96E68">
        <w:fldChar w:fldCharType="end"/>
      </w:r>
      <w:r w:rsidRPr="00D96E68">
        <w:t xml:space="preserve">). Victoria and South Australia were the only states/territories that saw an increase in IHC hours utilised. The sharpest decline in hours accessed was in Tasmania. It is worth noting that in Tasmania the IHCSA is also the Inclusion Agency, which they </w:t>
      </w:r>
      <w:r w:rsidR="002167A0">
        <w:t xml:space="preserve">report </w:t>
      </w:r>
      <w:r w:rsidRPr="00D96E68">
        <w:t>has enabled them to successfully transition families from IHC to other forms of ECEC. For example, one family applied for IHC for their child with Down’s Syndrome. The IHCSA worked with them to access supports through the ISP program which resulted in the child being placed in CBDC.</w:t>
      </w:r>
    </w:p>
    <w:p w14:paraId="52740735" w14:textId="52A4DF27" w:rsidR="00DF5696" w:rsidRPr="00DF5696" w:rsidRDefault="00DF5696" w:rsidP="00EF5FB9">
      <w:pPr>
        <w:pStyle w:val="DocTableHeader"/>
        <w:keepNext/>
        <w:keepLines/>
        <w:spacing w:before="120"/>
      </w:pPr>
      <w:bookmarkStart w:id="48" w:name="_Ref138185330"/>
      <w:bookmarkStart w:id="49" w:name="_Ref138429785"/>
      <w:r w:rsidRPr="00DF5696">
        <w:t xml:space="preserve">Figure </w:t>
      </w:r>
      <w:r w:rsidRPr="00DF5696">
        <w:fldChar w:fldCharType="begin"/>
      </w:r>
      <w:r w:rsidRPr="00DF5696">
        <w:instrText>SEQ Figure \* ARABIC</w:instrText>
      </w:r>
      <w:r w:rsidRPr="00DF5696">
        <w:fldChar w:fldCharType="separate"/>
      </w:r>
      <w:r w:rsidR="00943DE9">
        <w:rPr>
          <w:noProof/>
        </w:rPr>
        <w:t>4</w:t>
      </w:r>
      <w:r w:rsidRPr="00DF5696">
        <w:fldChar w:fldCharType="end"/>
      </w:r>
      <w:bookmarkEnd w:id="48"/>
      <w:r w:rsidRPr="00DF5696">
        <w:t>: Hours of IHC accessed by state/territory, by year</w:t>
      </w:r>
      <w:bookmarkEnd w:id="49"/>
    </w:p>
    <w:p w14:paraId="3C03DA5E" w14:textId="751E4163" w:rsidR="00DF5696" w:rsidRDefault="00DF5696" w:rsidP="00DF5696">
      <w:pPr>
        <w:pStyle w:val="DocBodyText"/>
      </w:pPr>
      <w:r w:rsidRPr="00D96E68">
        <w:rPr>
          <w:noProof/>
        </w:rPr>
        <w:drawing>
          <wp:inline distT="0" distB="0" distL="0" distR="0" wp14:anchorId="79262D21" wp14:editId="70245420">
            <wp:extent cx="6188710" cy="2009955"/>
            <wp:effectExtent l="0" t="0" r="2540" b="9525"/>
            <wp:docPr id="118" name="Chart 118">
              <a:extLst xmlns:a="http://schemas.openxmlformats.org/drawingml/2006/main">
                <a:ext uri="{FF2B5EF4-FFF2-40B4-BE49-F238E27FC236}">
                  <a16:creationId xmlns:a16="http://schemas.microsoft.com/office/drawing/2014/main" id="{1CE50BD7-353B-D0A9-6421-C7BC850AF2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5A9849C" w14:textId="49AB3E46" w:rsidR="006277AB" w:rsidRDefault="00DF5696" w:rsidP="006277AB">
      <w:pPr>
        <w:pStyle w:val="DocSpecalText"/>
      </w:pPr>
      <w:r w:rsidRPr="00D96E68">
        <w:t>Source: ORIMA Research, rounded to nearest full percentage place</w:t>
      </w:r>
      <w:r w:rsidRPr="00D96E68">
        <w:br/>
        <w:t xml:space="preserve">* 2023 up to 23 May 2023, within periods between July to October there is traditionally an uptick in services provided, </w:t>
      </w:r>
      <w:r w:rsidR="006277AB">
        <w:br/>
      </w:r>
      <w:r w:rsidRPr="00D96E68">
        <w:t>as such we have omitted 2023 from analysis, but included to show the current uptake of the program</w:t>
      </w:r>
      <w:r w:rsidR="006277AB">
        <w:t>.</w:t>
      </w:r>
    </w:p>
    <w:p w14:paraId="2C2C7924" w14:textId="77777777" w:rsidR="004B00F1" w:rsidRDefault="004B00F1" w:rsidP="00DA43A8">
      <w:pPr>
        <w:pStyle w:val="DocTableHeader"/>
      </w:pPr>
    </w:p>
    <w:p w14:paraId="103D618F" w14:textId="0FC592E2" w:rsidR="00410E67" w:rsidRPr="0046029E" w:rsidRDefault="003E0F3F" w:rsidP="00DA43A8">
      <w:pPr>
        <w:pStyle w:val="DocTableHeader"/>
      </w:pPr>
      <w:r>
        <w:rPr>
          <w:noProof/>
          <w:color w:val="2B579A"/>
          <w:shd w:val="clear" w:color="auto" w:fill="E6E6E6"/>
        </w:rPr>
        <w:lastRenderedPageBreak/>
        <mc:AlternateContent>
          <mc:Choice Requires="wps">
            <w:drawing>
              <wp:anchor distT="0" distB="0" distL="114300" distR="114300" simplePos="0" relativeHeight="251658253" behindDoc="1" locked="0" layoutInCell="1" allowOverlap="1" wp14:anchorId="2F720480" wp14:editId="6BD52389">
                <wp:simplePos x="0" y="0"/>
                <wp:positionH relativeFrom="column">
                  <wp:posOffset>-924284</wp:posOffset>
                </wp:positionH>
                <wp:positionV relativeFrom="paragraph">
                  <wp:posOffset>-20567</wp:posOffset>
                </wp:positionV>
                <wp:extent cx="7570470" cy="4782958"/>
                <wp:effectExtent l="0" t="0" r="0" b="0"/>
                <wp:wrapNone/>
                <wp:docPr id="282" name="Rectangle 282"/>
                <wp:cNvGraphicFramePr/>
                <a:graphic xmlns:a="http://schemas.openxmlformats.org/drawingml/2006/main">
                  <a:graphicData uri="http://schemas.microsoft.com/office/word/2010/wordprocessingShape">
                    <wps:wsp>
                      <wps:cNvSpPr/>
                      <wps:spPr>
                        <a:xfrm>
                          <a:off x="0" y="0"/>
                          <a:ext cx="7570470" cy="478295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957281" id="Rectangle 282" o:spid="_x0000_s1026" style="position:absolute;margin-left:-72.8pt;margin-top:-1.6pt;width:596.1pt;height:376.6pt;z-index:-2516582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B3SiQIAAIMFAAAOAAAAZHJzL2Uyb0RvYy54bWysVMFu2zAMvQ/YPwi6r3aCZGmDOkXQosOA&#10;rg3WDj0rshQLkEVNUuJkXz9Kcpy2K3YYdpFFkXwkn0leXu1bTXbCeQWmoqOzkhJhONTKbCr64+n2&#10;0zklPjBTMw1GVPQgPL1afPxw2dm5GEMDuhaOIIjx885WtAnBzovC80a0zJ+BFQaVElzLAopuU9SO&#10;dYje6mJclp+LDlxtHXDhPb7eZCVdJHwpBQ8PUnoRiK4o5hbS6dK5jmexuGTzjWO2UbxPg/1DFi1T&#10;BoMOUDcsMLJ16g+oVnEHHmQ449AWIKXiItWA1YzKN9U8NsyKVAuS4+1Ak/9/sPx+92hXDmnorJ97&#10;vMYq9tK18Yv5kX0i6zCQJfaBcHycTWflZIacctRNZufji+l5pLM4uVvnwxcBLYmXijr8G4kktrvz&#10;IZseTWI0D1rVt0rrJMQOENfakR3Df7fejJKr3rbfoM5vF9OyTH8QQ6aGieYpgVdI2kQ8AxE5B40v&#10;xanedAsHLaKdNt+FJKrGCscp4oCcgzLOhQk5Gd+wWuTnmMr7uSTAiCwx/oDdA7wu8oids+zto6tI&#10;nTw4l39LLDsPHikymDA4t8qAew9AY1V95Gx/JClTE1laQ31YOeIgz5G3/Fbhr71jPqyYw8HBdsBl&#10;EB7wkBq6ikJ/o6QB9+u992iP/YxaSjocxIr6n1vmBCX6q8FOvxhNJnFykzCZzsYouJea9UuN2bbX&#10;gP0ywrVjebpG+6CPV+mgfcadsYxRUcUMx9gV5cEdheuQFwRuHS6Wy2SG02pZuDOPlkfwyGps3af9&#10;M3O27++Ao3EPx6Fl8zdtnm2jp4HlNoBUaQZOvPZ846SnJu63UlwlL+Vkddqdi98AAAD//wMAUEsD&#10;BBQABgAIAAAAIQBZQEAx4AAAAAwBAAAPAAAAZHJzL2Rvd25yZXYueG1sTI89T8MwEIZ3JP6DdUhs&#10;rd3QGAhxKlSpYmKgREhsTnwkEbEdYqcJ/57rRLf7ePTec/lusT074Rg67xRs1gIYutqbzjUKyvfD&#10;6gFYiNoZ3XuHCn4xwK64vsp1Zvzs3vB0jA2jEBcyraCNccg4D3WLVoe1H9DR7suPVkdqx4abUc8U&#10;bnueCCG51Z2jC60ecN9i/X2crIKkXNJkfj08fnyW1YuQ088+QanU7c3y/AQs4hL/YTjrkzoU5FT5&#10;yZnAegWrzTaVxFJ1lwA7E2IraVIpuE+FAF7k/PKJ4g8AAP//AwBQSwECLQAUAAYACAAAACEAtoM4&#10;kv4AAADhAQAAEwAAAAAAAAAAAAAAAAAAAAAAW0NvbnRlbnRfVHlwZXNdLnhtbFBLAQItABQABgAI&#10;AAAAIQA4/SH/1gAAAJQBAAALAAAAAAAAAAAAAAAAAC8BAABfcmVscy8ucmVsc1BLAQItABQABgAI&#10;AAAAIQD10B3SiQIAAIMFAAAOAAAAAAAAAAAAAAAAAC4CAABkcnMvZTJvRG9jLnhtbFBLAQItABQA&#10;BgAIAAAAIQBZQEAx4AAAAAwBAAAPAAAAAAAAAAAAAAAAAOMEAABkcnMvZG93bnJldi54bWxQSwUG&#10;AAAAAAQABADzAAAA8AUAAAAA&#10;" fillcolor="#f2f2f2 [3052]" stroked="f" strokeweight="1pt"/>
            </w:pict>
          </mc:Fallback>
        </mc:AlternateContent>
      </w:r>
      <w:r w:rsidR="00DA43A8" w:rsidRPr="00DF5696">
        <w:t xml:space="preserve">Figure </w:t>
      </w:r>
      <w:r w:rsidR="00DA43A8" w:rsidRPr="00DF5696">
        <w:fldChar w:fldCharType="begin"/>
      </w:r>
      <w:r w:rsidR="00DA43A8" w:rsidRPr="00DF5696">
        <w:instrText>SEQ Figure \* ARABIC</w:instrText>
      </w:r>
      <w:r w:rsidR="00DA43A8" w:rsidRPr="00DF5696">
        <w:fldChar w:fldCharType="separate"/>
      </w:r>
      <w:r w:rsidR="00943DE9">
        <w:rPr>
          <w:noProof/>
        </w:rPr>
        <w:t>5</w:t>
      </w:r>
      <w:r w:rsidR="00DA43A8" w:rsidRPr="00DF5696">
        <w:fldChar w:fldCharType="end"/>
      </w:r>
      <w:r w:rsidR="00DA43A8" w:rsidRPr="00DF5696">
        <w:t xml:space="preserve">: </w:t>
      </w:r>
      <w:r w:rsidR="00410E67" w:rsidRPr="0046029E">
        <w:t>4-year percentage change, by state/territory</w:t>
      </w:r>
    </w:p>
    <w:bookmarkStart w:id="50" w:name="_MON_1750677906"/>
    <w:bookmarkEnd w:id="50"/>
    <w:p w14:paraId="1DD46BC4" w14:textId="3F866733" w:rsidR="00410E67" w:rsidRDefault="003E0F3F" w:rsidP="00410E67">
      <w:pPr>
        <w:spacing w:before="0" w:line="281" w:lineRule="auto"/>
      </w:pPr>
      <w:r>
        <w:object w:dxaOrig="5958" w:dyaOrig="8426" w14:anchorId="3C0F3829">
          <v:shape id="_x0000_i1029" type="#_x0000_t75" style="width:486.7pt;height:346.35pt" o:ole="">
            <v:imagedata r:id="rId55" o:title="" croptop="19133f" cropbottom="18922f" cropleft="5220f" cropright="5824f"/>
          </v:shape>
          <o:OLEObject Type="Embed" ProgID="PowerPoint.Slide.12" ShapeID="_x0000_i1029" DrawAspect="Content" ObjectID="_1761144017" r:id="rId56"/>
        </w:object>
      </w:r>
    </w:p>
    <w:p w14:paraId="00D51F85" w14:textId="0B26D1FD" w:rsidR="007D5EC2" w:rsidRDefault="007D5EC2" w:rsidP="003E0F3F">
      <w:pPr>
        <w:pStyle w:val="DocSpecalText"/>
        <w:spacing w:after="0"/>
      </w:pPr>
    </w:p>
    <w:p w14:paraId="792A6E0F" w14:textId="653BE2A8" w:rsidR="0046029E" w:rsidRDefault="00982A92" w:rsidP="00A45BD4">
      <w:pPr>
        <w:pStyle w:val="DocSpecalText"/>
      </w:pPr>
      <w:r w:rsidRPr="00D96E68">
        <w:t>Source: ORIMA Research, May 2023</w:t>
      </w:r>
    </w:p>
    <w:p w14:paraId="5BC44F10" w14:textId="77777777" w:rsidR="00EF5FB9" w:rsidRDefault="00EF5FB9">
      <w:pPr>
        <w:spacing w:before="0" w:line="281" w:lineRule="auto"/>
        <w:rPr>
          <w:b/>
          <w:bCs/>
          <w:sz w:val="24"/>
          <w:szCs w:val="22"/>
        </w:rPr>
      </w:pPr>
      <w:r>
        <w:br w:type="page"/>
      </w:r>
    </w:p>
    <w:p w14:paraId="5F4943BF" w14:textId="0181631F" w:rsidR="007C2A74" w:rsidRPr="00D96E68" w:rsidRDefault="007C2A74" w:rsidP="00E27D72">
      <w:pPr>
        <w:pStyle w:val="DocParagraphHeading"/>
      </w:pPr>
      <w:r w:rsidRPr="00D96E68">
        <w:lastRenderedPageBreak/>
        <w:t>Waitlist to access IHC</w:t>
      </w:r>
    </w:p>
    <w:p w14:paraId="2060C416" w14:textId="77777777" w:rsidR="007D7BF5" w:rsidRDefault="00731DE9" w:rsidP="00FE628C">
      <w:pPr>
        <w:pStyle w:val="DocBodyText"/>
      </w:pPr>
      <w:r w:rsidRPr="00BB2FC2">
        <w:t>There has been a 43 per cent increase in waitlists to access IHC between December 2018 and December 2022. It is thought that this increase is primarily due to a shortage of IHC educators</w:t>
      </w:r>
      <w:r w:rsidR="0071034F" w:rsidRPr="00BB2FC2">
        <w:rPr>
          <w:rStyle w:val="FootnoteReference"/>
        </w:rPr>
        <w:footnoteReference w:id="31"/>
      </w:r>
      <w:r w:rsidRPr="00BB2FC2">
        <w:t>.</w:t>
      </w:r>
    </w:p>
    <w:bookmarkStart w:id="51" w:name="_MON_1750677560"/>
    <w:bookmarkEnd w:id="51"/>
    <w:p w14:paraId="0205C195" w14:textId="11B14773" w:rsidR="00FE628C" w:rsidRDefault="003E0F3F" w:rsidP="00FE628C">
      <w:pPr>
        <w:spacing w:before="0" w:line="281" w:lineRule="auto"/>
      </w:pPr>
      <w:r>
        <w:rPr>
          <w:noProof/>
        </w:rPr>
        <w:object w:dxaOrig="5958" w:dyaOrig="8427" w14:anchorId="0758420E">
          <v:shape id="_x0000_i1030" type="#_x0000_t75" style="width:486.25pt;height:80.2pt" o:ole="">
            <v:imagedata r:id="rId57" o:title="" croptop="29590f" cropbottom="29387f" cropleft="4626f" cropright="4780f"/>
          </v:shape>
          <o:OLEObject Type="Embed" ProgID="PowerPoint.Slide.12" ShapeID="_x0000_i1030" DrawAspect="Content" ObjectID="_1761144018" r:id="rId58"/>
        </w:object>
      </w:r>
    </w:p>
    <w:bookmarkStart w:id="52" w:name="_Toc139022133"/>
    <w:bookmarkStart w:id="53" w:name="_Toc140148411"/>
    <w:bookmarkStart w:id="54" w:name="_Toc140149909"/>
    <w:p w14:paraId="3F645AAD" w14:textId="421BCD13" w:rsidR="007C2A74" w:rsidRPr="007C2A74" w:rsidRDefault="007C2A74" w:rsidP="007C2A74">
      <w:pPr>
        <w:pStyle w:val="DocHeading02"/>
      </w:pPr>
      <w:r>
        <w:rPr>
          <w:noProof/>
        </w:rPr>
        <mc:AlternateContent>
          <mc:Choice Requires="wps">
            <w:drawing>
              <wp:anchor distT="0" distB="0" distL="114300" distR="114300" simplePos="0" relativeHeight="251658250" behindDoc="1" locked="0" layoutInCell="1" allowOverlap="1" wp14:anchorId="12EAB15D" wp14:editId="250E11B4">
                <wp:simplePos x="0" y="0"/>
                <wp:positionH relativeFrom="page">
                  <wp:align>right</wp:align>
                </wp:positionH>
                <wp:positionV relativeFrom="paragraph">
                  <wp:posOffset>378696</wp:posOffset>
                </wp:positionV>
                <wp:extent cx="7570470" cy="1817858"/>
                <wp:effectExtent l="0" t="0" r="0" b="0"/>
                <wp:wrapNone/>
                <wp:docPr id="59" name="Rectangle 59"/>
                <wp:cNvGraphicFramePr/>
                <a:graphic xmlns:a="http://schemas.openxmlformats.org/drawingml/2006/main">
                  <a:graphicData uri="http://schemas.microsoft.com/office/word/2010/wordprocessingShape">
                    <wps:wsp>
                      <wps:cNvSpPr/>
                      <wps:spPr>
                        <a:xfrm>
                          <a:off x="0" y="0"/>
                          <a:ext cx="7570470" cy="1817858"/>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CA3F57" id="Rectangle 59" o:spid="_x0000_s1026" style="position:absolute;margin-left:544.9pt;margin-top:29.8pt;width:596.1pt;height:143.15pt;z-index:-251658230;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acccwIAAGMFAAAOAAAAZHJzL2Uyb0RvYy54bWysVG1v2yAQ/j5p/wHxfbUdJUsW1amiVJ0m&#10;VW3VdupniiFGwhwDEif79TvwS7q22qRp/oCBe+7t4e7OLw6NJnvhvAJT0uIsp0QYDpUy25J+f7z6&#10;tKDEB2YqpsGIkh6Fpxerjx/OW7sUE6hBV8IRNGL8srUlrUOwyyzzvBYN82dghUGhBNewgEe3zSrH&#10;WrTe6GyS55+zFlxlHXDhPd5edkK6SvalFDzcSulFILqkGFtIq0vrc1yz1Tlbbh2zteJ9GOwfomiY&#10;Muh0NHXJAiM7p96YahR34EGGMw5NBlIqLlIOmE2Rv8rmoWZWpFyQHG9Hmvz/M8tv9g/2ziENrfVL&#10;j9uYxUG6Jv4xPnJIZB1HssQhEI6X89k8n86RU46yYlHMF7NFpDM7qVvnw1cBDYmbkjp8jUQS21/7&#10;0EEHSPTmQavqSmmdDrECxEY7smf4doxzYULRO/gNqU3EG4iandF4k53ySbtw1CLitLkXkqgKM5ik&#10;YFKpvXWUYqhZJTr/sxy/wfsQWko2GYxoif5H28WfbHdR9vioKlKljsr535VHjeQZTBiVG2XAvWdA&#10;j/TJDj+Q1FETWXqG6njniIOuT7zlVwqf7pr5cMccNgY+NzZ7uMVFamhLCv2Okhrcz/fuIx7rFaWU&#10;tNhoJfU/dswJSvQ3g5X8pZhOY2emw3Q2n+DBvZQ8v5SYXbMBrIcCx4rlaRvxQQ9b6aB5wpmwjl5R&#10;xAxH3yXlwQ2HTegGAE4VLtbrBMNutCxcmwfLo/HIaizNx8MTc7av34ClfwNDU7LlqzLusFHTwHoX&#10;QKpU4ydee76xk1Ph9FMnjoqX54Q6zcbVLwAAAP//AwBQSwMEFAAGAAgAAAAhALQOV3jgAAAACAEA&#10;AA8AAABkcnMvZG93bnJldi54bWxMj0FPg0AUhO8m/ofNM/Fml4KtBXk0TZNejDER7aG3LTxZlH1L&#10;2C1Ff73bkx4nM5n5Jl9PphMjDa61jDCfRSCIK1u33CC8v+3uViCcV1yrzjIhfJODdXF9laustmd+&#10;pbH0jQgl7DKFoL3vMyldpckoN7M9cfA+7GCUD3JoZD2ocyg3nYyjaCmNajksaNXTVlP1VZ4MwtPn&#10;Q1LqcTP+JC+013b/fNhtHeLtzbR5BOFp8n9huOAHdCgC09GeuHaiQwhHPMIiXYK4uPM0jkEcEZL7&#10;RQqyyOX/A8UvAAAA//8DAFBLAQItABQABgAIAAAAIQC2gziS/gAAAOEBAAATAAAAAAAAAAAAAAAA&#10;AAAAAABbQ29udGVudF9UeXBlc10ueG1sUEsBAi0AFAAGAAgAAAAhADj9If/WAAAAlAEAAAsAAAAA&#10;AAAAAAAAAAAALwEAAF9yZWxzLy5yZWxzUEsBAi0AFAAGAAgAAAAhAJnVpxxzAgAAYwUAAA4AAAAA&#10;AAAAAAAAAAAALgIAAGRycy9lMm9Eb2MueG1sUEsBAi0AFAAGAAgAAAAhALQOV3jgAAAACAEAAA8A&#10;AAAAAAAAAAAAAAAAzQQAAGRycy9kb3ducmV2LnhtbFBLBQYAAAAABAAEAPMAAADaBQAAAAA=&#10;" fillcolor="#d04a02 [3204]" stroked="f" strokeweight="1pt">
                <w10:wrap anchorx="page"/>
              </v:rect>
            </w:pict>
          </mc:Fallback>
        </mc:AlternateContent>
      </w:r>
      <w:r w:rsidRPr="007C2A74">
        <w:t>Appropriateness of the IHC program to meeting the needs of families</w:t>
      </w:r>
      <w:bookmarkEnd w:id="52"/>
      <w:bookmarkEnd w:id="53"/>
      <w:bookmarkEnd w:id="54"/>
    </w:p>
    <w:p w14:paraId="1ED02E7D" w14:textId="72663DFD" w:rsidR="007C2A74" w:rsidRPr="003E0F3F" w:rsidRDefault="007C2A74" w:rsidP="007C2A74">
      <w:pPr>
        <w:pStyle w:val="DocParagraphHeading"/>
        <w:rPr>
          <w:color w:val="FFFFFF" w:themeColor="background1"/>
        </w:rPr>
      </w:pPr>
      <w:r w:rsidRPr="003E0F3F">
        <w:rPr>
          <w:color w:val="FFFFFF" w:themeColor="background1"/>
        </w:rPr>
        <w:t>Key findings</w:t>
      </w:r>
    </w:p>
    <w:p w14:paraId="33944542" w14:textId="6C4433C2" w:rsidR="007C2A74" w:rsidRPr="004B00F1" w:rsidRDefault="007C2A74" w:rsidP="00EF5FB9">
      <w:pPr>
        <w:pStyle w:val="DocBullet1"/>
        <w:rPr>
          <w:color w:val="FFFFFF" w:themeColor="background1"/>
        </w:rPr>
      </w:pPr>
      <w:r w:rsidRPr="004B00F1">
        <w:rPr>
          <w:color w:val="FFFFFF" w:themeColor="background1"/>
        </w:rPr>
        <w:t xml:space="preserve">The IHC program is not currently included in the </w:t>
      </w:r>
      <w:r w:rsidR="00627250" w:rsidRPr="004B00F1">
        <w:rPr>
          <w:color w:val="FFFFFF" w:themeColor="background1"/>
        </w:rPr>
        <w:t>National Quality Framework (</w:t>
      </w:r>
      <w:r w:rsidRPr="004B00F1">
        <w:rPr>
          <w:color w:val="FFFFFF" w:themeColor="background1"/>
        </w:rPr>
        <w:t>NQF</w:t>
      </w:r>
      <w:r w:rsidR="00627250" w:rsidRPr="004B00F1">
        <w:rPr>
          <w:color w:val="FFFFFF" w:themeColor="background1"/>
        </w:rPr>
        <w:t>)</w:t>
      </w:r>
      <w:r w:rsidRPr="004B00F1">
        <w:rPr>
          <w:color w:val="FFFFFF" w:themeColor="background1"/>
        </w:rPr>
        <w:t>.</w:t>
      </w:r>
    </w:p>
    <w:p w14:paraId="5A31B244" w14:textId="6F838CD3" w:rsidR="007C2A74" w:rsidRPr="004B00F1" w:rsidRDefault="007C2A74" w:rsidP="00EF5FB9">
      <w:pPr>
        <w:pStyle w:val="DocBullet1"/>
        <w:rPr>
          <w:color w:val="FFFFFF" w:themeColor="background1"/>
        </w:rPr>
      </w:pPr>
      <w:r w:rsidRPr="004B00F1">
        <w:rPr>
          <w:color w:val="FFFFFF" w:themeColor="background1"/>
        </w:rPr>
        <w:t>The current monitoring and reporting system associated with compliance and quality, in addition to the lack of real-time data and systems, makes it difficult to monitor quality</w:t>
      </w:r>
      <w:r w:rsidR="0088155C" w:rsidRPr="004B00F1">
        <w:rPr>
          <w:color w:val="FFFFFF" w:themeColor="background1"/>
        </w:rPr>
        <w:t>,</w:t>
      </w:r>
      <w:r w:rsidR="001A27C4" w:rsidRPr="004B00F1">
        <w:rPr>
          <w:color w:val="FFFFFF" w:themeColor="background1"/>
        </w:rPr>
        <w:t xml:space="preserve"> </w:t>
      </w:r>
      <w:r w:rsidRPr="004B00F1">
        <w:rPr>
          <w:color w:val="FFFFFF" w:themeColor="background1"/>
        </w:rPr>
        <w:t>safety</w:t>
      </w:r>
      <w:r w:rsidR="001A27C4" w:rsidRPr="004B00F1">
        <w:rPr>
          <w:color w:val="FFFFFF" w:themeColor="background1"/>
        </w:rPr>
        <w:t xml:space="preserve"> </w:t>
      </w:r>
      <w:r w:rsidRPr="004B00F1">
        <w:rPr>
          <w:color w:val="FFFFFF" w:themeColor="background1"/>
        </w:rPr>
        <w:t>and project demand for IHC services.</w:t>
      </w:r>
    </w:p>
    <w:p w14:paraId="3F90CADF" w14:textId="6B88E711" w:rsidR="007C2A74" w:rsidRPr="004B00F1" w:rsidRDefault="007C2A74" w:rsidP="00EF5FB9">
      <w:pPr>
        <w:pStyle w:val="DocBullet1"/>
        <w:rPr>
          <w:color w:val="FFFFFF" w:themeColor="background1"/>
        </w:rPr>
      </w:pPr>
      <w:r w:rsidRPr="004B00F1">
        <w:rPr>
          <w:color w:val="FFFFFF" w:themeColor="background1"/>
        </w:rPr>
        <w:t xml:space="preserve">While the current IHC program treats all families </w:t>
      </w:r>
      <w:r w:rsidR="0088155C" w:rsidRPr="004B00F1">
        <w:rPr>
          <w:color w:val="FFFFFF" w:themeColor="background1"/>
        </w:rPr>
        <w:t>equally</w:t>
      </w:r>
      <w:r w:rsidRPr="004B00F1">
        <w:rPr>
          <w:color w:val="FFFFFF" w:themeColor="background1"/>
        </w:rPr>
        <w:t xml:space="preserve">, a more appropriate model </w:t>
      </w:r>
      <w:r w:rsidR="0088155C" w:rsidRPr="004B00F1">
        <w:rPr>
          <w:color w:val="FFFFFF" w:themeColor="background1"/>
        </w:rPr>
        <w:t xml:space="preserve">may </w:t>
      </w:r>
      <w:r w:rsidRPr="004B00F1">
        <w:rPr>
          <w:color w:val="FFFFFF" w:themeColor="background1"/>
        </w:rPr>
        <w:t xml:space="preserve">be to recognise the very different needs of the three cohorts and tailor </w:t>
      </w:r>
      <w:r w:rsidR="0088155C" w:rsidRPr="004B00F1">
        <w:rPr>
          <w:color w:val="FFFFFF" w:themeColor="background1"/>
        </w:rPr>
        <w:t xml:space="preserve">the IHC program to the </w:t>
      </w:r>
      <w:r w:rsidRPr="004B00F1">
        <w:rPr>
          <w:color w:val="FFFFFF" w:themeColor="background1"/>
        </w:rPr>
        <w:t xml:space="preserve">specific </w:t>
      </w:r>
      <w:r w:rsidR="0088155C" w:rsidRPr="004B00F1">
        <w:rPr>
          <w:color w:val="FFFFFF" w:themeColor="background1"/>
        </w:rPr>
        <w:t>needs of</w:t>
      </w:r>
      <w:r w:rsidRPr="004B00F1">
        <w:rPr>
          <w:color w:val="FFFFFF" w:themeColor="background1"/>
        </w:rPr>
        <w:t xml:space="preserve"> each of the three cohorts.</w:t>
      </w:r>
    </w:p>
    <w:p w14:paraId="30C3A3A1" w14:textId="5C500C01" w:rsidR="007C2A74" w:rsidRPr="004B00F1" w:rsidRDefault="007C2A74" w:rsidP="00EF5FB9">
      <w:pPr>
        <w:pStyle w:val="DocBullet1"/>
        <w:rPr>
          <w:color w:val="FFFFFF" w:themeColor="background1"/>
        </w:rPr>
      </w:pPr>
      <w:r w:rsidRPr="004B00F1">
        <w:rPr>
          <w:color w:val="FFFFFF" w:themeColor="background1"/>
        </w:rPr>
        <w:t>Further improvements to the IHC program would support more families to participate in the workforce.</w:t>
      </w:r>
    </w:p>
    <w:p w14:paraId="0EC1E72D" w14:textId="1CB0F640" w:rsidR="007C2A74" w:rsidRDefault="007C2A74" w:rsidP="007C2A74">
      <w:pPr>
        <w:pStyle w:val="DocParagraphHeading"/>
      </w:pPr>
      <w:r>
        <w:t>Structure of the IHC program</w:t>
      </w:r>
    </w:p>
    <w:p w14:paraId="6B3F3431" w14:textId="0012C2A7" w:rsidR="007D7BF5" w:rsidRDefault="007C2A74" w:rsidP="007C2A74">
      <w:pPr>
        <w:pStyle w:val="DocBodyText"/>
      </w:pPr>
      <w:r w:rsidRPr="007C2A74">
        <w:t>Under the current IHC structure families accessing IHC services interact with IHCSAs to be assessed for eligibility before being referred to an IHC service (</w:t>
      </w:r>
      <w:r w:rsidRPr="007C2A74">
        <w:fldChar w:fldCharType="begin"/>
      </w:r>
      <w:r w:rsidRPr="007C2A74">
        <w:instrText xml:space="preserve"> REF _Ref138170142 \h  \* MERGEFORMAT </w:instrText>
      </w:r>
      <w:r w:rsidRPr="007C2A74">
        <w:fldChar w:fldCharType="separate"/>
      </w:r>
      <w:r w:rsidR="00943DE9" w:rsidRPr="00436137">
        <w:t xml:space="preserve">Figure </w:t>
      </w:r>
      <w:r w:rsidR="00943DE9">
        <w:t>6</w:t>
      </w:r>
      <w:r w:rsidRPr="007C2A74">
        <w:fldChar w:fldCharType="end"/>
      </w:r>
      <w:r w:rsidRPr="007C2A74">
        <w:t>). If a family is eligible to access IHC they then engage with an IHC service, before receiving services from an IHC educator.</w:t>
      </w:r>
    </w:p>
    <w:p w14:paraId="654FE81F" w14:textId="3E721540" w:rsidR="007C2A74" w:rsidRPr="00436137" w:rsidRDefault="007C2A74" w:rsidP="00DA43A8">
      <w:pPr>
        <w:pStyle w:val="DocTableHeader"/>
      </w:pPr>
      <w:bookmarkStart w:id="55" w:name="_Ref138170142"/>
      <w:r w:rsidRPr="00436137">
        <w:t xml:space="preserve">Figure </w:t>
      </w:r>
      <w:r w:rsidRPr="00436137">
        <w:fldChar w:fldCharType="begin"/>
      </w:r>
      <w:r w:rsidRPr="00436137">
        <w:instrText>SEQ Figure \* ARABIC</w:instrText>
      </w:r>
      <w:r w:rsidRPr="00436137">
        <w:fldChar w:fldCharType="separate"/>
      </w:r>
      <w:r w:rsidR="00943DE9">
        <w:rPr>
          <w:noProof/>
        </w:rPr>
        <w:t>6</w:t>
      </w:r>
      <w:r w:rsidRPr="00436137">
        <w:fldChar w:fldCharType="end"/>
      </w:r>
      <w:bookmarkEnd w:id="55"/>
      <w:r w:rsidRPr="00436137">
        <w:t>: Current structure of the IHC program</w:t>
      </w:r>
    </w:p>
    <w:p w14:paraId="72D8C70A" w14:textId="0E065FD1" w:rsidR="007C2A74" w:rsidRDefault="000347A1" w:rsidP="000347A1">
      <w:pPr>
        <w:pStyle w:val="DocBodyText"/>
        <w:jc w:val="center"/>
      </w:pPr>
      <w:r>
        <w:rPr>
          <w:rFonts w:cstheme="minorHAnsi"/>
          <w:noProof/>
        </w:rPr>
        <w:object w:dxaOrig="5958" w:dyaOrig="8427" w14:anchorId="64BE4653">
          <v:shape id="_x0000_i1031" type="#_x0000_t75" style="width:285.25pt;height:221.45pt" o:ole="">
            <v:imagedata r:id="rId59" o:title="" croptop="22605f" cropbottom="21249f" cropleft="14922f" cropright="11197f"/>
          </v:shape>
          <o:OLEObject Type="Embed" ProgID="PowerPoint.Slide.12" ShapeID="_x0000_i1031" DrawAspect="Content" ObjectID="_1761144019" r:id="rId60"/>
        </w:object>
      </w:r>
    </w:p>
    <w:p w14:paraId="755B0D7B" w14:textId="1AFC899C" w:rsidR="00436137" w:rsidRPr="00436137" w:rsidRDefault="00436137" w:rsidP="00436137">
      <w:pPr>
        <w:pStyle w:val="DocSpecalText"/>
      </w:pPr>
      <w:r w:rsidRPr="00436137">
        <w:t>Source: Modified from the AIFS Final IHC Evaluation Report (2020)</w:t>
      </w:r>
    </w:p>
    <w:p w14:paraId="4EA4D696" w14:textId="77777777" w:rsidR="007D7BF5" w:rsidRDefault="00436137" w:rsidP="00436137">
      <w:pPr>
        <w:pStyle w:val="DocBodyText"/>
      </w:pPr>
      <w:r w:rsidRPr="00436137">
        <w:lastRenderedPageBreak/>
        <w:t>While the current IHC program is not included in the NQF, there are still requirements placed on IHC providers through the IHC guidelines. IHC providers are required to report incidents relating to safety within 24 hours to the Department of Education. In Tasmania and South Australia there is also state-based regulation which must be adhered to.</w:t>
      </w:r>
    </w:p>
    <w:p w14:paraId="2FD60348" w14:textId="563F1F69" w:rsidR="00436137" w:rsidRDefault="00436137" w:rsidP="00436137">
      <w:pPr>
        <w:pStyle w:val="DocQuote"/>
      </w:pPr>
      <w:r>
        <w:t>“</w:t>
      </w:r>
      <w:r w:rsidRPr="00405A27">
        <w:t xml:space="preserve">Regulation offers a great layer of protection for children, educators and families. There needs to be </w:t>
      </w:r>
      <w:r>
        <w:t>l</w:t>
      </w:r>
      <w:r w:rsidRPr="00405A27">
        <w:t>egislative standards</w:t>
      </w:r>
      <w:r>
        <w:t xml:space="preserve"> and</w:t>
      </w:r>
      <w:r w:rsidRPr="00405A27">
        <w:t xml:space="preserve"> consistency across the board</w:t>
      </w:r>
      <w:r>
        <w:t>” – IHCSA</w:t>
      </w:r>
    </w:p>
    <w:p w14:paraId="50ABBA3B" w14:textId="77777777" w:rsidR="007D7BF5" w:rsidRDefault="00436137" w:rsidP="00436137">
      <w:pPr>
        <w:pStyle w:val="DocBodyText"/>
      </w:pPr>
      <w:r w:rsidRPr="00436137">
        <w:t>The other form of monitoring and reporting that occurs is the submission of quarterly reports on demand, utilisation and waitlists by IHCSAs to the Department of Education. This reporting system is point-in-time, only, meaning there is a lack of real-time data to accurately monitor and project demand.</w:t>
      </w:r>
    </w:p>
    <w:p w14:paraId="4096C1AE" w14:textId="24C9115C" w:rsidR="00436137" w:rsidRPr="00D96E68" w:rsidRDefault="00436137" w:rsidP="00436137">
      <w:pPr>
        <w:pStyle w:val="DocQuote"/>
      </w:pPr>
      <w:r w:rsidRPr="00D96E68">
        <w:t>“We need better data sharing options and processes. The current system only provides a point-in-time and does not capture why families are exiting the program” – IHCSA</w:t>
      </w:r>
    </w:p>
    <w:p w14:paraId="119BECA1" w14:textId="77777777" w:rsidR="007D7BF5" w:rsidRDefault="00436137" w:rsidP="00436137">
      <w:pPr>
        <w:pStyle w:val="DocBodyText"/>
      </w:pPr>
      <w:r w:rsidRPr="00436137">
        <w:t>Prior to 2018 families would engage directly with an IHC provider. However, a conflict of interest was perceived to exist with IHC providers responsible for determining eligibility for IHC as well as providing families with services</w:t>
      </w:r>
      <w:r w:rsidR="00680A2A">
        <w:rPr>
          <w:rStyle w:val="FootnoteReference"/>
        </w:rPr>
        <w:footnoteReference w:id="32"/>
      </w:r>
      <w:r w:rsidRPr="00436137">
        <w:t>. The introduction of IHCSAs to the program is intended to separate the functions of eligibility assessment and service provision. Where an organisation serves as an IHCSA and an IHC provider</w:t>
      </w:r>
      <w:r w:rsidR="0088155C">
        <w:t>,</w:t>
      </w:r>
      <w:r w:rsidRPr="00436137">
        <w:t xml:space="preserve"> the conflict of interest is now managed with these functions being delivered by different parts of a business and through effective contract management. However, families report that the introduction of IHCSAs has created additional burden for families to access IHC with “a lot of paperwork for a few weeks of care“</w:t>
      </w:r>
      <w:r w:rsidR="00F57E81">
        <w:rPr>
          <w:rStyle w:val="FootnoteReference"/>
        </w:rPr>
        <w:footnoteReference w:id="33"/>
      </w:r>
      <w:r w:rsidRPr="00436137">
        <w:t>. The administrative process has, in the words of one service provider, “added more hurdles than needed to access care”</w:t>
      </w:r>
      <w:r w:rsidR="00F57E81">
        <w:rPr>
          <w:rStyle w:val="FootnoteReference"/>
        </w:rPr>
        <w:footnoteReference w:id="34"/>
      </w:r>
      <w:r w:rsidRPr="00436137">
        <w:t>.</w:t>
      </w:r>
    </w:p>
    <w:p w14:paraId="41DF3F06" w14:textId="67145208" w:rsidR="00436137" w:rsidRPr="00436137" w:rsidRDefault="00436137" w:rsidP="00436137">
      <w:pPr>
        <w:pStyle w:val="DocParagraphHeading"/>
      </w:pPr>
      <w:r w:rsidRPr="00436137">
        <w:t xml:space="preserve">Does the IHC program support all </w:t>
      </w:r>
      <w:r w:rsidR="00FC5C47" w:rsidRPr="00DF5F78">
        <w:t>cohorts</w:t>
      </w:r>
      <w:r w:rsidRPr="00436137">
        <w:t xml:space="preserve"> of IHC families to access suitable ECEC?</w:t>
      </w:r>
    </w:p>
    <w:p w14:paraId="728CF3E9" w14:textId="77777777" w:rsidR="007D7BF5" w:rsidRDefault="00436137" w:rsidP="00436137">
      <w:pPr>
        <w:pStyle w:val="DocBodyText"/>
      </w:pPr>
      <w:r w:rsidRPr="00D96E68">
        <w:t xml:space="preserve">One of the key issues with the current IHC program and its structure is that all families are treated the same despite the three cohorts </w:t>
      </w:r>
      <w:r w:rsidR="00012E2E">
        <w:t>of families that</w:t>
      </w:r>
      <w:r w:rsidRPr="00D96E68">
        <w:t xml:space="preserve"> IHC is targeted towards</w:t>
      </w:r>
      <w:r w:rsidR="00012E2E">
        <w:t xml:space="preserve"> each </w:t>
      </w:r>
      <w:r w:rsidRPr="00D96E68">
        <w:t>having very different needs and challenges. For example, providing IHC for a child with disability requires an educator with a specific set of capabilities and skills to adapt the ECEC to the child’s disability needs. Families working non-standard hours may require an educator (and associated funding and incentives) that is available after hours, variable hours, on short notice, and/or for short shifts.</w:t>
      </w:r>
    </w:p>
    <w:p w14:paraId="62CB2160" w14:textId="77777777" w:rsidR="007D7BF5" w:rsidRDefault="00436137" w:rsidP="00436137">
      <w:pPr>
        <w:pStyle w:val="DocBodyText"/>
        <w:rPr>
          <w:color w:val="FF0000"/>
        </w:rPr>
      </w:pPr>
      <w:r w:rsidRPr="00D96E68">
        <w:t>In the current program an educator can only provide IHC to a single family. However, for families that are geographically isolated there may be several families within a community, on a workstation, a farm, etc, that require ECEC but live far from an established town or regional centre. Allowing an educator to provide IHC to multiple families in geographically isolated areas would enable batter access for these families.</w:t>
      </w:r>
    </w:p>
    <w:p w14:paraId="6BFF1C3B" w14:textId="2476208A" w:rsidR="00436137" w:rsidRPr="00D96E68" w:rsidRDefault="00436137" w:rsidP="00436137">
      <w:pPr>
        <w:pStyle w:val="DocBodyText"/>
        <w:rPr>
          <w:color w:val="FF0000"/>
        </w:rPr>
      </w:pPr>
      <w:r w:rsidRPr="00D96E68">
        <w:t>Rather than a ‘one size fits all’ approach IHC would be better structured if it were tailored to meet the specific and nuanced needs of the various family cohorts.</w:t>
      </w:r>
    </w:p>
    <w:p w14:paraId="7CF3A419" w14:textId="54278112" w:rsidR="00436137" w:rsidRPr="00436137" w:rsidRDefault="00436137" w:rsidP="00436137">
      <w:pPr>
        <w:pStyle w:val="DocQuote"/>
      </w:pPr>
      <w:r w:rsidRPr="00436137">
        <w:lastRenderedPageBreak/>
        <w:t xml:space="preserve">“Childcare is already difficult to access in our remote communities… the one size fits all approach doesn’t work for our remote families” </w:t>
      </w:r>
      <w:r w:rsidR="00B14B66" w:rsidRPr="00071610">
        <w:t>–</w:t>
      </w:r>
      <w:r w:rsidRPr="00436137">
        <w:t xml:space="preserve"> IHC provider</w:t>
      </w:r>
    </w:p>
    <w:p w14:paraId="29EB4653" w14:textId="1E634507" w:rsidR="00436137" w:rsidRPr="00D96E68" w:rsidRDefault="00436137" w:rsidP="00AB7789">
      <w:pPr>
        <w:pStyle w:val="DocParagraphHeading"/>
        <w:keepNext/>
      </w:pPr>
      <w:r w:rsidRPr="00D96E68">
        <w:t>Impact of IHC on workforce participation</w:t>
      </w:r>
    </w:p>
    <w:p w14:paraId="2B6C5E00" w14:textId="77777777" w:rsidR="007D7BF5" w:rsidRDefault="00436137" w:rsidP="00555160">
      <w:pPr>
        <w:pStyle w:val="DocBodyText"/>
      </w:pPr>
      <w:r w:rsidRPr="00436137">
        <w:t>The IHC program has enabled geographically isolated families, such as farm-working families, to focus on work while their children receive IHC. One family (a mother, father and three children) that work on remote stations responded to the survey saying they have been accessing IHC since 2020 while working on remote stations in the NT, Western Australia, and Queensland</w:t>
      </w:r>
      <w:r w:rsidR="00C47B5D">
        <w:rPr>
          <w:rStyle w:val="FootnoteReference"/>
        </w:rPr>
        <w:footnoteReference w:id="35"/>
      </w:r>
      <w:r w:rsidRPr="00436137">
        <w:t>.</w:t>
      </w:r>
    </w:p>
    <w:p w14:paraId="06FD06DA" w14:textId="25CC5883" w:rsidR="00436137" w:rsidRPr="00D96E68" w:rsidRDefault="00436137" w:rsidP="00634B6A">
      <w:pPr>
        <w:pStyle w:val="DocQuote"/>
      </w:pPr>
      <w:r w:rsidRPr="00D96E68">
        <w:t>“Without IHC for our children, we would have struggled to maintain work roles… having the flexibility of IHC being available in all states is a great thing” – Family working across various stations in Australia.</w:t>
      </w:r>
    </w:p>
    <w:p w14:paraId="33FC84BB" w14:textId="3AA87400" w:rsidR="00436137" w:rsidRPr="00D96E68" w:rsidRDefault="00436137" w:rsidP="00634B6A">
      <w:pPr>
        <w:pStyle w:val="DocBodyText"/>
      </w:pPr>
      <w:r w:rsidRPr="00D96E68">
        <w:t xml:space="preserve">However, many families in rural/remote areas </w:t>
      </w:r>
      <w:r w:rsidR="00012E2E">
        <w:t xml:space="preserve">find it challenging </w:t>
      </w:r>
      <w:r w:rsidRPr="00D96E68">
        <w:t>to access an educator, limiting their ability to increase, or return to, participation in work. This becomes</w:t>
      </w:r>
      <w:r w:rsidRPr="00D96E68" w:rsidDel="00012E2E">
        <w:t xml:space="preserve"> </w:t>
      </w:r>
      <w:r w:rsidR="00012E2E">
        <w:t>increasingly</w:t>
      </w:r>
      <w:r w:rsidRPr="00D96E68">
        <w:t xml:space="preserve"> more difficult when a family in a rural or remote area has complex or challenging needs. As an example, one respondent to the family survey reported being unable to participate in the workforce due to the lack of educators available to the family in their area. This situation meant that the family had to reduce working commitments to care for their child’s needs</w:t>
      </w:r>
      <w:r w:rsidR="00E96F41">
        <w:rPr>
          <w:rStyle w:val="FootnoteReference"/>
        </w:rPr>
        <w:footnoteReference w:id="36"/>
      </w:r>
      <w:r w:rsidRPr="00D96E68">
        <w:t>.</w:t>
      </w:r>
    </w:p>
    <w:p w14:paraId="797CC1DD" w14:textId="559EBA93" w:rsidR="00436137" w:rsidRPr="00501EEC" w:rsidRDefault="00436137" w:rsidP="00634B6A">
      <w:pPr>
        <w:pStyle w:val="DocQuote"/>
      </w:pPr>
      <w:r w:rsidRPr="00D96E68">
        <w:t>“We were unable to find a carer capable to meet my son’s needs… I found the system</w:t>
      </w:r>
      <w:r w:rsidRPr="00071610">
        <w:t xml:space="preserve"> didn’t help our situation so we had to reduce hours of work to solve the problem.” – Family eligible for IHC but unable to access an educator.</w:t>
      </w:r>
    </w:p>
    <w:p w14:paraId="42262383" w14:textId="2258336C" w:rsidR="00436137" w:rsidRPr="00D96E68" w:rsidRDefault="00436137" w:rsidP="00634B6A">
      <w:pPr>
        <w:pStyle w:val="DocBodyText"/>
      </w:pPr>
      <w:r w:rsidRPr="00D96E68">
        <w:t>While the IHC program supports families that work non-standard hours it remains difficult to find an IHC educator with the flexibility to provide ‘ad-hoc’ IHC on short notice. This means that parents that work ‘on-call’ or that do shift work often need to turn down work</w:t>
      </w:r>
      <w:r w:rsidR="00290113">
        <w:t xml:space="preserve"> requests as they </w:t>
      </w:r>
      <w:r w:rsidR="00A76730">
        <w:t>cannot</w:t>
      </w:r>
      <w:r w:rsidR="00290113">
        <w:t xml:space="preserve"> access </w:t>
      </w:r>
      <w:r w:rsidR="00A76730">
        <w:t>ECEC</w:t>
      </w:r>
      <w:r w:rsidRPr="00D96E68">
        <w:t xml:space="preserve">. For example, one nurse reported that they frequently turn down offers of shift work to care for their children. When they </w:t>
      </w:r>
      <w:r w:rsidR="008E7D71" w:rsidRPr="00D96E68">
        <w:t>can</w:t>
      </w:r>
      <w:r w:rsidRPr="00D96E68">
        <w:t xml:space="preserve"> access IHC </w:t>
      </w:r>
      <w:r w:rsidR="00290113">
        <w:t xml:space="preserve">they reported that </w:t>
      </w:r>
      <w:r w:rsidRPr="00D96E68">
        <w:t xml:space="preserve">it </w:t>
      </w:r>
      <w:r w:rsidR="00290113">
        <w:t>wa</w:t>
      </w:r>
      <w:r w:rsidRPr="00D96E68">
        <w:t>s very expensive</w:t>
      </w:r>
      <w:r w:rsidR="00E96F41">
        <w:rPr>
          <w:rStyle w:val="FootnoteReference"/>
        </w:rPr>
        <w:footnoteReference w:id="37"/>
      </w:r>
      <w:r w:rsidRPr="00D96E68">
        <w:t xml:space="preserve">. </w:t>
      </w:r>
      <w:r w:rsidR="00A76730">
        <w:t>One</w:t>
      </w:r>
      <w:r w:rsidR="008E7D71">
        <w:t xml:space="preserve"> family reported</w:t>
      </w:r>
      <w:r w:rsidRPr="00D96E68">
        <w:t xml:space="preserve"> paying more than $4,000 in a week for non-standard hours care (which is verified by </w:t>
      </w:r>
      <w:r w:rsidR="00A00F51">
        <w:t xml:space="preserve">analysis of cost </w:t>
      </w:r>
      <w:r w:rsidRPr="00D96E68">
        <w:t>data)</w:t>
      </w:r>
      <w:r w:rsidR="00E96F41">
        <w:rPr>
          <w:rStyle w:val="FootnoteReference"/>
        </w:rPr>
        <w:footnoteReference w:id="38"/>
      </w:r>
      <w:r w:rsidRPr="00D96E68">
        <w:t>.</w:t>
      </w:r>
    </w:p>
    <w:p w14:paraId="4C2D258A" w14:textId="3390C2D1" w:rsidR="00436137" w:rsidRPr="00BB2FC2" w:rsidRDefault="00436137" w:rsidP="00634B6A">
      <w:pPr>
        <w:pStyle w:val="DocBodyText"/>
      </w:pPr>
      <w:r w:rsidRPr="00D96E68">
        <w:t xml:space="preserve">For families where a child has complex or challenging needs IHC enables parents to return to work while their child receives ECEC. This is illustrated by a family in </w:t>
      </w:r>
      <w:r w:rsidRPr="00BB2FC2">
        <w:t xml:space="preserve">WA with a child diagnosed with </w:t>
      </w:r>
      <w:r w:rsidR="00954F6A">
        <w:t xml:space="preserve">a </w:t>
      </w:r>
      <w:r w:rsidRPr="00BB2FC2">
        <w:t>Kartagener Syndrome</w:t>
      </w:r>
      <w:r w:rsidR="00CE1D8B">
        <w:rPr>
          <w:rStyle w:val="FootnoteReference"/>
        </w:rPr>
        <w:footnoteReference w:id="39"/>
      </w:r>
      <w:r w:rsidRPr="00BB2FC2">
        <w:t>. Access to IHC enabled the mother to work part-time while her child was able to remain home to recover from an acute medical condition</w:t>
      </w:r>
      <w:r w:rsidRPr="00BB2FC2">
        <w:rPr>
          <w:color w:val="FF0000"/>
        </w:rPr>
        <w:t xml:space="preserve"> </w:t>
      </w:r>
      <w:r w:rsidRPr="00BB2FC2">
        <w:t>and receive IHC. The child was able to fully recuperate and is now attending school</w:t>
      </w:r>
      <w:r w:rsidR="00A44737" w:rsidRPr="00BB2FC2">
        <w:rPr>
          <w:rStyle w:val="FootnoteReference"/>
        </w:rPr>
        <w:footnoteReference w:id="40"/>
      </w:r>
      <w:r w:rsidRPr="00BB2FC2">
        <w:t>.</w:t>
      </w:r>
    </w:p>
    <w:p w14:paraId="673E3264" w14:textId="12B7C946" w:rsidR="007425CF" w:rsidRPr="00DA3280" w:rsidRDefault="00FE3DD1" w:rsidP="00FE3DD1">
      <w:pPr>
        <w:pStyle w:val="DocQuote"/>
      </w:pPr>
      <w:r w:rsidRPr="00DA3280">
        <w:lastRenderedPageBreak/>
        <w:t>“We are so grateful for IHC</w:t>
      </w:r>
      <w:r w:rsidR="00C92C6E" w:rsidRPr="00DA3280">
        <w:t>… this program meant my daughters education hasn’t been delayed”</w:t>
      </w:r>
      <w:r w:rsidRPr="00DA3280">
        <w:t xml:space="preserve">– Family </w:t>
      </w:r>
      <w:r w:rsidR="00C92C6E" w:rsidRPr="00DA3280">
        <w:t>with complex medical needs</w:t>
      </w:r>
    </w:p>
    <w:p w14:paraId="119B1784" w14:textId="77777777" w:rsidR="007D7BF5" w:rsidRDefault="00436137" w:rsidP="00424990">
      <w:pPr>
        <w:pStyle w:val="DocBodyText"/>
      </w:pPr>
      <w:r w:rsidRPr="00BB2FC2">
        <w:t>Where families with complex and challenging needs are unable to access IHC</w:t>
      </w:r>
      <w:r w:rsidR="00290113">
        <w:t>,</w:t>
      </w:r>
      <w:r w:rsidRPr="00BB2FC2">
        <w:t xml:space="preserve"> the main impediment is the lack of educators with skills required to deliver IHC that meets the specific needs of these children. While some IHC providers have indicated they can recruit educators with specialist skills this is not the norm</w:t>
      </w:r>
      <w:r w:rsidR="00FE0006" w:rsidRPr="00BB2FC2">
        <w:rPr>
          <w:rStyle w:val="FootnoteReference"/>
        </w:rPr>
        <w:footnoteReference w:id="41"/>
      </w:r>
      <w:r w:rsidRPr="00BB2FC2">
        <w:t>. Several families responding to the survey</w:t>
      </w:r>
      <w:r w:rsidR="00290113">
        <w:t xml:space="preserve"> reported that </w:t>
      </w:r>
      <w:r w:rsidRPr="00BB2FC2">
        <w:t>they “have given up” on accessing services and just “rely on friends, family” or in some instances, must exit the workforce. Th</w:t>
      </w:r>
      <w:r w:rsidR="00290113">
        <w:t>ese impacts</w:t>
      </w:r>
      <w:r w:rsidRPr="00BB2FC2">
        <w:t xml:space="preserve"> </w:t>
      </w:r>
      <w:r w:rsidR="00890A74">
        <w:t>were</w:t>
      </w:r>
      <w:r w:rsidRPr="00BB2FC2">
        <w:t xml:space="preserve"> supported by feedback from IHC providers and peak bodies.</w:t>
      </w:r>
    </w:p>
    <w:p w14:paraId="324F360C" w14:textId="775EF99E" w:rsidR="00436137" w:rsidRPr="00BB2FC2" w:rsidRDefault="00436137" w:rsidP="00634B6A">
      <w:pPr>
        <w:pStyle w:val="DocHeading02"/>
      </w:pPr>
      <w:bookmarkStart w:id="56" w:name="_Toc139022134"/>
      <w:bookmarkStart w:id="57" w:name="_Toc140148412"/>
      <w:bookmarkStart w:id="58" w:name="_Toc140149910"/>
      <w:r w:rsidRPr="00BB2FC2">
        <w:t>Cost-effectiveness of the IHC program</w:t>
      </w:r>
      <w:bookmarkEnd w:id="56"/>
      <w:bookmarkEnd w:id="57"/>
      <w:bookmarkEnd w:id="58"/>
    </w:p>
    <w:p w14:paraId="1F4E0A14" w14:textId="585937CB" w:rsidR="007D7BF5" w:rsidRDefault="00436137" w:rsidP="00634B6A">
      <w:pPr>
        <w:pStyle w:val="DocBodyText"/>
      </w:pPr>
      <w:r w:rsidRPr="00BB2FC2">
        <w:t>Our review did not complete a traditional cost-effectiveness study due to the limited data available for the program. In place of this, we assessed the spend on the IHC program, the cost to families, and the financial viability of IHC services over time.</w:t>
      </w:r>
    </w:p>
    <w:p w14:paraId="63FB0AA5" w14:textId="71BE5B42" w:rsidR="00634B6A" w:rsidRPr="00AB7789" w:rsidRDefault="00AB7789" w:rsidP="00634B6A">
      <w:pPr>
        <w:pStyle w:val="DocParagraphHeading"/>
        <w:rPr>
          <w:color w:val="FFFFFF" w:themeColor="background1"/>
        </w:rPr>
      </w:pPr>
      <w:r>
        <w:rPr>
          <w:noProof/>
        </w:rPr>
        <mc:AlternateContent>
          <mc:Choice Requires="wps">
            <w:drawing>
              <wp:anchor distT="0" distB="0" distL="114300" distR="114300" simplePos="0" relativeHeight="251658251" behindDoc="1" locked="0" layoutInCell="1" allowOverlap="1" wp14:anchorId="348F2C88" wp14:editId="2CBDC5EE">
                <wp:simplePos x="0" y="0"/>
                <wp:positionH relativeFrom="page">
                  <wp:align>left</wp:align>
                </wp:positionH>
                <wp:positionV relativeFrom="paragraph">
                  <wp:posOffset>25194</wp:posOffset>
                </wp:positionV>
                <wp:extent cx="7570470" cy="1786270"/>
                <wp:effectExtent l="0" t="0" r="0" b="4445"/>
                <wp:wrapNone/>
                <wp:docPr id="86" name="Rectangle 86"/>
                <wp:cNvGraphicFramePr/>
                <a:graphic xmlns:a="http://schemas.openxmlformats.org/drawingml/2006/main">
                  <a:graphicData uri="http://schemas.microsoft.com/office/word/2010/wordprocessingShape">
                    <wps:wsp>
                      <wps:cNvSpPr/>
                      <wps:spPr>
                        <a:xfrm>
                          <a:off x="0" y="0"/>
                          <a:ext cx="7570470" cy="178627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194C52" id="Rectangle 86" o:spid="_x0000_s1026" style="position:absolute;margin-left:0;margin-top:2pt;width:596.1pt;height:140.65pt;z-index:-251658229;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QP8cwIAAGMFAAAOAAAAZHJzL2Uyb0RvYy54bWysVN9PGzEMfp+0/yHK+7i7qlBWcUUViGkS&#10;AjSYeA65hDspF2dO2mv318/J/SgDtEnT+pDGsf3Z/s722fmuNWyr0DdgS14c5ZwpK6Fq7HPJvz9c&#10;fTrlzAdhK2HAqpLvlefnq48fzjq3VDOowVQKGYFYv+xcyesQ3DLLvKxVK/wROGVJqQFbEUjE56xC&#10;0RF6a7JZnp9kHWDlEKTynl4veyVfJXytlQy3WnsVmCk55RbSiel8ime2OhPLZxSubuSQhviHLFrR&#10;WAo6QV2KINgGmzdQbSMRPOhwJKHNQOtGqlQDVVPkr6q5r4VTqRYix7uJJv//YOXN9t7dIdHQOb/0&#10;dI1V7DS28Z/yY7tE1n4iS+0Ck/S4OF7k8wVxKklXLE5PZiQQTnZwd+jDFwUti5eSI32NRJLYXvvQ&#10;m44mMZoH01RXjTFJiB2gLgyyraBvJ6RUNhRDgN8sjY32FqJnDxpfskM96Rb2RkU7Y78pzZqKKpil&#10;ZFKrvQ2UcqhFpfr4xzn9xuhjaqnYBBitNcWfsIs/YfdZDvbRVaVOnZzzvztPHiky2DA5t40FfA/A&#10;TPTp3n4kqacmsvQE1f4OGUI/J97Jq4Y+3bXw4U4gDQZ9bhr2cEuHNtCVHIYbZzXgz/feoz31K2k5&#10;62jQSu5/bAQqzsxXS538uZjP42QmYX68mJGALzVPLzV2014A9UNBa8XJdI32wYxXjdA+0k5Yx6ik&#10;ElZS7JLLgKNwEfoFQFtFqvU6mdE0OhGu7b2TETyyGlvzYfco0A39G6j1b2AcSrF81ca9bfS0sN4E&#10;0E3q8QOvA980yalxhq0TV8VLOVkdduPqFwAAAP//AwBQSwMEFAAGAAgAAAAhAH+v58DfAAAABwEA&#10;AA8AAABkcnMvZG93bnJldi54bWxMj81OwzAQhO9IvIO1SL1Rpwk/JWRTVZV6qRASgR64ufESB+J1&#10;FLtp4OlxT3BajWY0822xmmwnRhp86xhhMU9AENdOt9wgvL1ur5cgfFCsVeeYEL7Jw6q8vChUrt2J&#10;X2isQiNiCftcIZgQ+lxKXxuyys9dTxy9DzdYFaIcGqkHdYrltpNpktxJq1qOC0b1tDFUf1VHi7D7&#10;vM8qM67Hn+yZ9sbtn963G484u5rWjyACTeEvDGf8iA5lZDq4I2svOoT4SEC4iedsLh7SFMQBIV3e&#10;ZiDLQv7nL38BAAD//wMAUEsBAi0AFAAGAAgAAAAhALaDOJL+AAAA4QEAABMAAAAAAAAAAAAAAAAA&#10;AAAAAFtDb250ZW50X1R5cGVzXS54bWxQSwECLQAUAAYACAAAACEAOP0h/9YAAACUAQAACwAAAAAA&#10;AAAAAAAAAAAvAQAAX3JlbHMvLnJlbHNQSwECLQAUAAYACAAAACEAsu0D/HMCAABjBQAADgAAAAAA&#10;AAAAAAAAAAAuAgAAZHJzL2Uyb0RvYy54bWxQSwECLQAUAAYACAAAACEAf6/nwN8AAAAHAQAADwAA&#10;AAAAAAAAAAAAAADNBAAAZHJzL2Rvd25yZXYueG1sUEsFBgAAAAAEAAQA8wAAANkFAAAAAA==&#10;" fillcolor="#d04a02 [3204]" stroked="f" strokeweight="1pt">
                <w10:wrap anchorx="page"/>
              </v:rect>
            </w:pict>
          </mc:Fallback>
        </mc:AlternateContent>
      </w:r>
      <w:r w:rsidR="00634B6A" w:rsidRPr="00AB7789">
        <w:rPr>
          <w:color w:val="FFFFFF" w:themeColor="background1"/>
        </w:rPr>
        <w:t>Key findings</w:t>
      </w:r>
    </w:p>
    <w:p w14:paraId="30D45A59" w14:textId="3291B83F" w:rsidR="00634B6A" w:rsidRPr="00EF5FB9" w:rsidRDefault="00634B6A" w:rsidP="00EF5FB9">
      <w:pPr>
        <w:pStyle w:val="DocBullet1"/>
        <w:rPr>
          <w:color w:val="FFFFFF" w:themeColor="background1"/>
        </w:rPr>
      </w:pPr>
      <w:r w:rsidRPr="00EF5FB9">
        <w:rPr>
          <w:color w:val="FFFFFF" w:themeColor="background1"/>
        </w:rPr>
        <w:t xml:space="preserve">Compared to </w:t>
      </w:r>
      <w:r w:rsidR="00627250">
        <w:rPr>
          <w:color w:val="FFFFFF" w:themeColor="background1"/>
        </w:rPr>
        <w:t>Family Day Care (</w:t>
      </w:r>
      <w:r w:rsidRPr="00EF5FB9">
        <w:rPr>
          <w:color w:val="FFFFFF" w:themeColor="background1"/>
        </w:rPr>
        <w:t>FDC</w:t>
      </w:r>
      <w:r w:rsidR="00627250">
        <w:rPr>
          <w:color w:val="FFFFFF" w:themeColor="background1"/>
        </w:rPr>
        <w:t>)</w:t>
      </w:r>
      <w:r w:rsidRPr="00EF5FB9">
        <w:rPr>
          <w:color w:val="FFFFFF" w:themeColor="background1"/>
        </w:rPr>
        <w:t>, IHC incurs significantly less CCS funding, but a greater amount of ACCS, in terms of both amount and proportion of funding.</w:t>
      </w:r>
    </w:p>
    <w:p w14:paraId="70F894C1" w14:textId="77777777" w:rsidR="007D7BF5" w:rsidRPr="004B00F1" w:rsidRDefault="00634B6A" w:rsidP="00EF5FB9">
      <w:pPr>
        <w:pStyle w:val="DocBullet1"/>
        <w:rPr>
          <w:color w:val="FFFFFF" w:themeColor="background1"/>
        </w:rPr>
      </w:pPr>
      <w:r w:rsidRPr="004B00F1">
        <w:rPr>
          <w:color w:val="FFFFFF" w:themeColor="background1"/>
        </w:rPr>
        <w:t>The stability of funding over time is to be expected given the capped nature of the program.</w:t>
      </w:r>
    </w:p>
    <w:p w14:paraId="5602AE39" w14:textId="77777777" w:rsidR="007D7BF5" w:rsidRPr="00EF5FB9" w:rsidRDefault="00634B6A" w:rsidP="00EF5FB9">
      <w:pPr>
        <w:pStyle w:val="DocBullet1"/>
        <w:rPr>
          <w:color w:val="FFFFFF" w:themeColor="background1"/>
        </w:rPr>
      </w:pPr>
      <w:r w:rsidRPr="00EF5FB9">
        <w:rPr>
          <w:color w:val="FFFFFF" w:themeColor="background1"/>
        </w:rPr>
        <w:t>The funding structure associated with the program and the costs associated with delivery of the program has compromised the financial viability of providers.</w:t>
      </w:r>
    </w:p>
    <w:p w14:paraId="11A76B76" w14:textId="0B6FAB13" w:rsidR="00634B6A" w:rsidRPr="00EF5FB9" w:rsidRDefault="00634B6A" w:rsidP="00EF5FB9">
      <w:pPr>
        <w:pStyle w:val="DocBullet1"/>
        <w:rPr>
          <w:color w:val="FFFFFF" w:themeColor="background1"/>
        </w:rPr>
      </w:pPr>
      <w:r w:rsidRPr="00EF5FB9">
        <w:rPr>
          <w:color w:val="FFFFFF" w:themeColor="background1"/>
        </w:rPr>
        <w:t>Families are faced with significant out-of-pocket costs, with some family cohorts facing much larger out-of-pocket costs than others to access the program. A comparison between out-of-pocket fees for FDC and IHC show a 47 per cent increase in out-of-pocket fees for IHC families.</w:t>
      </w:r>
    </w:p>
    <w:p w14:paraId="091E635E" w14:textId="2EBFDE20" w:rsidR="00634B6A" w:rsidRPr="000D7C43" w:rsidRDefault="00634B6A" w:rsidP="00634B6A">
      <w:pPr>
        <w:pStyle w:val="DocParagraphHeading"/>
        <w:rPr>
          <w:highlight w:val="yellow"/>
        </w:rPr>
      </w:pPr>
      <w:r w:rsidRPr="6F3D8DF0">
        <w:t>CCS</w:t>
      </w:r>
      <w:r w:rsidR="0036642F">
        <w:t>/</w:t>
      </w:r>
      <w:r w:rsidRPr="6F3D8DF0">
        <w:t>ACCS expenditure on IHC</w:t>
      </w:r>
    </w:p>
    <w:p w14:paraId="774670E0" w14:textId="77777777" w:rsidR="007D7BF5" w:rsidRDefault="00634B6A" w:rsidP="00634B6A">
      <w:pPr>
        <w:pStyle w:val="DocBodyText"/>
      </w:pPr>
      <w:r w:rsidRPr="00D96E68">
        <w:t>While the cost to deliver the IHC program includes internal government administration costs, and funding for IHCSAs, the largest expenditure is in the form of CCS/ACCS payments for IHC.</w:t>
      </w:r>
    </w:p>
    <w:p w14:paraId="0B0107C0" w14:textId="77777777" w:rsidR="00943DE9" w:rsidRPr="00353D1E" w:rsidRDefault="00634B6A" w:rsidP="00353D1E">
      <w:pPr>
        <w:pStyle w:val="DocBodyText"/>
      </w:pPr>
      <w:r w:rsidRPr="00D96E68">
        <w:t>From 2018-19 to 2021-22 CCS/ACCS costs increased each year except for 2019-20 (due to COVID-19)</w:t>
      </w:r>
      <w:r w:rsidR="00D74ED6">
        <w:rPr>
          <w:rStyle w:val="FootnoteReference"/>
        </w:rPr>
        <w:footnoteReference w:id="42"/>
      </w:r>
      <w:r w:rsidRPr="00D96E68">
        <w:t xml:space="preserve">. </w:t>
      </w:r>
      <w:r w:rsidRPr="00D96E68" w:rsidDel="001A17F1">
        <w:t xml:space="preserve">Over this period </w:t>
      </w:r>
      <w:r w:rsidRPr="00D96E68">
        <w:t xml:space="preserve">expenditure on CCS/ACCS </w:t>
      </w:r>
      <w:r w:rsidRPr="00BB2FC2">
        <w:t>increased 35.7 per cent</w:t>
      </w:r>
      <w:r w:rsidR="003F0199">
        <w:t xml:space="preserve"> (</w:t>
      </w:r>
      <w:r w:rsidR="003F0199">
        <w:fldChar w:fldCharType="begin"/>
      </w:r>
      <w:r w:rsidR="003F0199">
        <w:instrText xml:space="preserve"> REF _Ref139892914 \h </w:instrText>
      </w:r>
      <w:r w:rsidR="003F0199">
        <w:fldChar w:fldCharType="separate"/>
      </w:r>
    </w:p>
    <w:p w14:paraId="41930A25" w14:textId="77777777" w:rsidR="00943DE9" w:rsidRDefault="00943DE9">
      <w:pPr>
        <w:spacing w:before="0" w:line="281" w:lineRule="auto"/>
        <w:rPr>
          <w:rFonts w:cstheme="minorHAnsi"/>
          <w:b/>
          <w:bCs/>
          <w:color w:val="D04A02" w:themeColor="accent1"/>
          <w:sz w:val="22"/>
          <w:szCs w:val="22"/>
        </w:rPr>
      </w:pPr>
      <w:r>
        <w:br w:type="page"/>
      </w:r>
    </w:p>
    <w:p w14:paraId="53E9A38B" w14:textId="2D625DC7" w:rsidR="00353D1E" w:rsidRPr="00353D1E" w:rsidRDefault="00943DE9" w:rsidP="00353D1E">
      <w:pPr>
        <w:pStyle w:val="DocBodyText"/>
      </w:pPr>
      <w:r>
        <w:t xml:space="preserve">Figure </w:t>
      </w:r>
      <w:r>
        <w:rPr>
          <w:noProof/>
        </w:rPr>
        <w:t>7</w:t>
      </w:r>
      <w:r w:rsidR="003F0199">
        <w:fldChar w:fldCharType="end"/>
      </w:r>
      <w:r w:rsidR="003F0199">
        <w:t>)</w:t>
      </w:r>
      <w:r w:rsidR="00634B6A" w:rsidRPr="00BB2FC2">
        <w:t>. In comparison CCS/ACCS payments for FDC have decreased each year by a total of 28.1 per cent. This is driven by an increase in the number of families eligible for ACCS and large increases in hourly fees. While 17.5 per cent of IHC families were eligible for ACCS in 2018-19, this rose to 58.4 per cent of families in 2022-23</w:t>
      </w:r>
      <w:r w:rsidR="00634B6A" w:rsidRPr="00BB2FC2">
        <w:rPr>
          <w:rStyle w:val="FootnoteReference"/>
        </w:rPr>
        <w:footnoteReference w:id="43"/>
      </w:r>
      <w:r w:rsidR="00634B6A" w:rsidRPr="00BB2FC2">
        <w:t xml:space="preserve">. Whereas the average hourly </w:t>
      </w:r>
      <w:r w:rsidR="004B00F1" w:rsidRPr="00BB2FC2">
        <w:t xml:space="preserve">fee </w:t>
      </w:r>
      <w:r w:rsidR="004B00F1">
        <w:t xml:space="preserve">per child (based on an average of 1.8 children per session) </w:t>
      </w:r>
      <w:r w:rsidR="00634B6A" w:rsidRPr="00BB2FC2">
        <w:t>for IHC was $14.51 in 2018-19 this increased to $21.55 in 2022-23 representing a 49.5 per cent increase</w:t>
      </w:r>
      <w:r w:rsidR="000143B2" w:rsidRPr="00BB2FC2">
        <w:rPr>
          <w:rStyle w:val="FootnoteReference"/>
        </w:rPr>
        <w:footnoteReference w:id="44"/>
      </w:r>
      <w:r w:rsidR="00634B6A" w:rsidRPr="00BB2FC2">
        <w:t>. In comparison, the average hourly fee for FDC rose 15.9 per cent over this same period (from $10.</w:t>
      </w:r>
      <w:r w:rsidR="00634B6A" w:rsidRPr="00D96E68">
        <w:t>17 to $11.79)</w:t>
      </w:r>
      <w:r w:rsidR="000143B2">
        <w:rPr>
          <w:rStyle w:val="FootnoteReference"/>
        </w:rPr>
        <w:footnoteReference w:id="45"/>
      </w:r>
      <w:r w:rsidR="00634B6A" w:rsidRPr="00D96E68">
        <w:t>. This indicates that while there are a small number of families accessing IHC nationally these families tend to experience high levels of disadvantage. To meet the complex and challenging needs of these families, and the barriers to access, the cost of IHC is also increasing.</w:t>
      </w:r>
      <w:bookmarkStart w:id="59" w:name="_Ref139892914"/>
      <w:bookmarkStart w:id="60" w:name="_Ref139885550"/>
    </w:p>
    <w:p w14:paraId="4320EC0F" w14:textId="77777777" w:rsidR="00EF5FB9" w:rsidRDefault="00EF5FB9">
      <w:pPr>
        <w:spacing w:before="0" w:line="281" w:lineRule="auto"/>
        <w:rPr>
          <w:rFonts w:cstheme="minorHAnsi"/>
          <w:b/>
          <w:bCs/>
          <w:color w:val="D04A02" w:themeColor="accent1"/>
          <w:sz w:val="22"/>
          <w:szCs w:val="22"/>
        </w:rPr>
      </w:pPr>
      <w:r>
        <w:br w:type="page"/>
      </w:r>
    </w:p>
    <w:p w14:paraId="08C2D828" w14:textId="34179685" w:rsidR="00634B6A" w:rsidRDefault="00634B6A" w:rsidP="00B14B66">
      <w:pPr>
        <w:pStyle w:val="DocTableHeader"/>
      </w:pPr>
      <w:r>
        <w:lastRenderedPageBreak/>
        <w:t xml:space="preserve">Figure </w:t>
      </w:r>
      <w:r>
        <w:fldChar w:fldCharType="begin"/>
      </w:r>
      <w:r>
        <w:instrText>SEQ Figure \* ARABIC</w:instrText>
      </w:r>
      <w:r>
        <w:fldChar w:fldCharType="separate"/>
      </w:r>
      <w:r w:rsidR="00943DE9">
        <w:rPr>
          <w:noProof/>
        </w:rPr>
        <w:t>7</w:t>
      </w:r>
      <w:r>
        <w:fldChar w:fldCharType="end"/>
      </w:r>
      <w:bookmarkEnd w:id="59"/>
      <w:r>
        <w:t>: CCS/ACCS expenditure on IHC and FDC, by year</w:t>
      </w:r>
      <w:bookmarkEnd w:id="60"/>
    </w:p>
    <w:p w14:paraId="063341E0" w14:textId="243092E0" w:rsidR="007C2A74" w:rsidRDefault="00634B6A" w:rsidP="007C2A74">
      <w:pPr>
        <w:pStyle w:val="DocBodyText"/>
      </w:pPr>
      <w:r w:rsidRPr="007A201D">
        <w:rPr>
          <w:noProof/>
          <w:shd w:val="clear" w:color="auto" w:fill="464646" w:themeFill="accent6"/>
        </w:rPr>
        <w:drawing>
          <wp:inline distT="0" distB="0" distL="0" distR="0" wp14:anchorId="767F5F08" wp14:editId="5E96B7AA">
            <wp:extent cx="6188710" cy="2923501"/>
            <wp:effectExtent l="0" t="0" r="2540" b="10795"/>
            <wp:docPr id="89" name="Chart 89">
              <a:extLst xmlns:a="http://schemas.openxmlformats.org/drawingml/2006/main">
                <a:ext uri="{FF2B5EF4-FFF2-40B4-BE49-F238E27FC236}">
                  <a16:creationId xmlns:a16="http://schemas.microsoft.com/office/drawing/2014/main" id="{FB6DDA66-6D30-B9D7-3FD0-24DB20967D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E63D99B" w14:textId="480FB42F" w:rsidR="007C2A74" w:rsidRPr="007C2A74" w:rsidRDefault="00634B6A" w:rsidP="006D4830">
      <w:pPr>
        <w:pStyle w:val="DocSpecalText"/>
      </w:pPr>
      <w:r w:rsidRPr="007C141A">
        <w:t>Source</w:t>
      </w:r>
      <w:r w:rsidRPr="00D87D5F">
        <w:t>: ORIMA Data Research</w:t>
      </w:r>
      <w:r>
        <w:br/>
        <w:t xml:space="preserve">* </w:t>
      </w:r>
      <w:r w:rsidRPr="00027539">
        <w:t>2022-23 Financial year statistics cover the period from 4/07/2022 to 21/05/2023</w:t>
      </w:r>
      <w:r>
        <w:br/>
        <w:t>Note: due to data methodology used to analyse data may be different to publicly available information.</w:t>
      </w:r>
    </w:p>
    <w:p w14:paraId="05D52892" w14:textId="77777777" w:rsidR="00634B6A" w:rsidRPr="00EF17CC" w:rsidRDefault="00634B6A" w:rsidP="00634B6A">
      <w:pPr>
        <w:pStyle w:val="DocParagraphHeading"/>
      </w:pPr>
      <w:r w:rsidRPr="6F3D8DF0">
        <w:t>Financial viability of IHC providers</w:t>
      </w:r>
    </w:p>
    <w:p w14:paraId="1BF63810" w14:textId="77777777" w:rsidR="007D7BF5" w:rsidRDefault="00634B6A" w:rsidP="00634B6A">
      <w:pPr>
        <w:pStyle w:val="DocBodyText"/>
      </w:pPr>
      <w:r w:rsidRPr="00197B34">
        <w:t xml:space="preserve">Prior to 2018 IHC providers received </w:t>
      </w:r>
      <w:r w:rsidR="00E83E5B">
        <w:t xml:space="preserve">specific </w:t>
      </w:r>
      <w:r w:rsidRPr="00197B34">
        <w:t xml:space="preserve">funding, </w:t>
      </w:r>
      <w:r w:rsidR="00E83E5B">
        <w:t>for each</w:t>
      </w:r>
      <w:r w:rsidRPr="00197B34">
        <w:t xml:space="preserve"> enrol</w:t>
      </w:r>
      <w:r>
        <w:t>ment</w:t>
      </w:r>
      <w:r w:rsidRPr="00197B34">
        <w:t xml:space="preserve">, to cover the </w:t>
      </w:r>
      <w:r w:rsidRPr="00D96E68">
        <w:t>costs of administrative overheads, and learning and development activities</w:t>
      </w:r>
      <w:r w:rsidR="000143B2">
        <w:rPr>
          <w:rStyle w:val="FootnoteReference"/>
        </w:rPr>
        <w:footnoteReference w:id="46"/>
      </w:r>
      <w:r w:rsidRPr="00D96E68">
        <w:t xml:space="preserve">. To help cover the costs of service delivery </w:t>
      </w:r>
      <w:r w:rsidRPr="00D96E68">
        <w:rPr>
          <w:lang w:val="en-US"/>
        </w:rPr>
        <w:t xml:space="preserve">IHC providers were also able to access grants through the </w:t>
      </w:r>
      <w:r w:rsidRPr="00D96E68">
        <w:t xml:space="preserve">Community Support Programme (CSP). Since the introduction of the CCS/ACCS in 2018 IHC providers no longer have access to these funding source. Instead, IHC providers now </w:t>
      </w:r>
      <w:r w:rsidR="00E83E5B">
        <w:t xml:space="preserve">have </w:t>
      </w:r>
      <w:r w:rsidRPr="00D96E68">
        <w:t>access to Community Child Care Fund (CCCF) grants. However, due to</w:t>
      </w:r>
      <w:r w:rsidR="00E83E5B">
        <w:t xml:space="preserve"> reported</w:t>
      </w:r>
      <w:r w:rsidRPr="00D96E68">
        <w:t xml:space="preserve"> ineligibility and challenges with the application process only half of IHC services have received CCCF grant funding, and only a few have received grants for special circumstances or business support. A common theme from consultation with IHC providers was that additional funding to support operational funding, which could be based on the number of families enrolled, would improve financial viability</w:t>
      </w:r>
      <w:r w:rsidR="000143B2">
        <w:rPr>
          <w:rStyle w:val="FootnoteReference"/>
        </w:rPr>
        <w:footnoteReference w:id="47"/>
      </w:r>
      <w:r w:rsidRPr="00D96E68">
        <w:t>.</w:t>
      </w:r>
    </w:p>
    <w:p w14:paraId="62A6CFF8" w14:textId="607AD5E1" w:rsidR="00EF5FB9" w:rsidRDefault="00634B6A" w:rsidP="00634B6A">
      <w:pPr>
        <w:pStyle w:val="DocBodyText"/>
      </w:pPr>
      <w:r w:rsidRPr="00D96E68">
        <w:t xml:space="preserve">While IHC providers retain responsibility for professional development the lack of dedicated funding means that there is little on offer for educators. While IHCSAs are intended to support communities of practice for educators they do not have direct engagement with educators meaning they must rely on IHC providers as conduits. However, IHCSAs report that IHC providers are often unwilling to connect educators with IHCSAs, particularly where an IHCSA is also a provider of ECEC services (whether IHC or other forms of ECEC), out of </w:t>
      </w:r>
      <w:r w:rsidR="00103F5F">
        <w:t xml:space="preserve">concern that </w:t>
      </w:r>
      <w:r w:rsidRPr="00D96E68">
        <w:t>their workforce could be recruited elsewhere</w:t>
      </w:r>
      <w:r w:rsidR="000143B2">
        <w:rPr>
          <w:rStyle w:val="FootnoteReference"/>
        </w:rPr>
        <w:footnoteReference w:id="48"/>
      </w:r>
      <w:r w:rsidRPr="00D96E68">
        <w:t>. This impacts the ability to attract and retain educators.</w:t>
      </w:r>
    </w:p>
    <w:p w14:paraId="636C060F" w14:textId="77777777" w:rsidR="00EF5FB9" w:rsidRDefault="00EF5FB9">
      <w:pPr>
        <w:spacing w:before="0" w:line="281" w:lineRule="auto"/>
        <w:rPr>
          <w:szCs w:val="22"/>
        </w:rPr>
      </w:pPr>
      <w:r>
        <w:br w:type="page"/>
      </w:r>
    </w:p>
    <w:p w14:paraId="76D6F3A1" w14:textId="229B4BC2" w:rsidR="00C94798" w:rsidRPr="00AB7789" w:rsidRDefault="00A42076" w:rsidP="00AB7789">
      <w:pPr>
        <w:pStyle w:val="DocBodyText"/>
        <w:rPr>
          <w:b/>
        </w:rPr>
      </w:pPr>
      <w:r w:rsidRPr="00AB7789">
        <w:rPr>
          <w:b/>
          <w:noProof/>
        </w:rPr>
        <w:lastRenderedPageBreak/>
        <mc:AlternateContent>
          <mc:Choice Requires="wps">
            <w:drawing>
              <wp:anchor distT="0" distB="0" distL="114300" distR="114300" simplePos="0" relativeHeight="251658255" behindDoc="1" locked="0" layoutInCell="1" allowOverlap="1" wp14:anchorId="03D9601C" wp14:editId="1533715B">
                <wp:simplePos x="0" y="0"/>
                <wp:positionH relativeFrom="page">
                  <wp:align>right</wp:align>
                </wp:positionH>
                <wp:positionV relativeFrom="paragraph">
                  <wp:posOffset>-47566</wp:posOffset>
                </wp:positionV>
                <wp:extent cx="7570470" cy="1828741"/>
                <wp:effectExtent l="0" t="0" r="0" b="635"/>
                <wp:wrapNone/>
                <wp:docPr id="35" name="Rectangle 35"/>
                <wp:cNvGraphicFramePr/>
                <a:graphic xmlns:a="http://schemas.openxmlformats.org/drawingml/2006/main">
                  <a:graphicData uri="http://schemas.microsoft.com/office/word/2010/wordprocessingShape">
                    <wps:wsp>
                      <wps:cNvSpPr/>
                      <wps:spPr>
                        <a:xfrm>
                          <a:off x="0" y="0"/>
                          <a:ext cx="7570470" cy="1828741"/>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34D624" id="Rectangle 35" o:spid="_x0000_s1026" style="position:absolute;margin-left:544.9pt;margin-top:-3.75pt;width:596.1pt;height:2in;z-index:-251658225;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2OqiQIAAIMFAAAOAAAAZHJzL2Uyb0RvYy54bWysVMFu2zAMvQ/YPwi6r7aDdGmDOkXQosOA&#10;ri3WDj0rshQLkEVNUuJkXz9Kcpy2K3YYdpFFkXwkn0leXO46TbbCeQWmptVJSYkwHBpl1jX98XTz&#10;6YwSH5hpmAYjaroXnl4uPn646O1cTKAF3QhHEMT4eW9r2oZg50XheSs65k/ACoNKCa5jAUW3LhrH&#10;ekTvdDEpy89FD66xDrjwHl+vs5IuEr6Ugod7Kb0IRNcUcwvpdOlcxbNYXLD52jHbKj6kwf4hi44p&#10;g0FHqGsWGNk49QdUp7gDDzKccOgKkFJxkWrAaqryTTWPLbMi1YLkeDvS5P8fLL/bPtoHhzT01s89&#10;XmMVO+m6+MX8yC6RtR/JErtAOD7OTmfldIacctRVZ5Oz2bSKdBZHd+t8+CKgI/FSU4d/I5HEtrc+&#10;ZNODSYzmQavmRmmdhNgB4ko7smX471brKrnqTfcNmvx2flqW6Q9iyNQw0Twl8ApJm4hnICLnoPGl&#10;ONabbmGvRbTT5ruQRDVY4SRFHJFzUMa5MCEn41vWiPwcU3k/lwQYkSXGH7EHgNdFHrBzloN9dBWp&#10;k0fn8m+JZefRI0UGE0bnThlw7wForGqInO0PJGVqIksraPYPjjjIc+Qtv1H4a2+ZDw/M4eBgO+Ay&#10;CPd4SA19TWG4UdKC+/Xee7THfkYtJT0OYk39zw1zghL91WCnn1fTaZzcJExPZxMU3EvN6qXGbLor&#10;wH6pcO1Ynq7RPujDVTronnFnLGNUVDHDMXZNeXAH4SrkBYFbh4vlMpnhtFoWbs2j5RE8shpb92n3&#10;zJwd+jvgaNzBYWjZ/E2bZ9voaWC5CSBVmoEjrwPfOOmpiYetFFfJSzlZHXfn4jcAAAD//wMAUEsD&#10;BBQABgAIAAAAIQC7ioOe3gAAAAgBAAAPAAAAZHJzL2Rvd25yZXYueG1sTI/BTsMwEETvSPyDtZW4&#10;tXYtJbQhToUqVZw4UCIkbk68JFHjdYidJvw97gmOq1m9eZMfFtuzK46+c6RguxHAkGpnOmoUlO+n&#10;9Q6YD5qM7h2hgh/0cCju73KdGTfTG17PoWERQj7TCtoQhoxzX7dotd+4ASlmX260OsRzbLgZ9Rzh&#10;tudSiJRb3VFsaPWAxxbry3myCmS5JHJ+Pe0/PsvqRaTT91FiqtTDanl+AhZwCX/PcNOP6lBEp8pN&#10;ZDzrFcQhQcH6MQF2S7d7KYFVkb0TCfAi5/8HFL8AAAD//wMAUEsBAi0AFAAGAAgAAAAhALaDOJL+&#10;AAAA4QEAABMAAAAAAAAAAAAAAAAAAAAAAFtDb250ZW50X1R5cGVzXS54bWxQSwECLQAUAAYACAAA&#10;ACEAOP0h/9YAAACUAQAACwAAAAAAAAAAAAAAAAAvAQAAX3JlbHMvLnJlbHNQSwECLQAUAAYACAAA&#10;ACEAIWtjqokCAACDBQAADgAAAAAAAAAAAAAAAAAuAgAAZHJzL2Uyb0RvYy54bWxQSwECLQAUAAYA&#10;CAAAACEAu4qDnt4AAAAIAQAADwAAAAAAAAAAAAAAAADjBAAAZHJzL2Rvd25yZXYueG1sUEsFBgAA&#10;AAAEAAQA8wAAAO4FAAAAAA==&#10;" fillcolor="#f2f2f2 [3052]" stroked="f" strokeweight="1pt">
                <w10:wrap anchorx="page"/>
              </v:rect>
            </w:pict>
          </mc:Fallback>
        </mc:AlternateContent>
      </w:r>
      <w:r w:rsidR="002052A5" w:rsidRPr="00AB7789">
        <w:rPr>
          <w:b/>
        </w:rPr>
        <w:t xml:space="preserve">Sector Comparison </w:t>
      </w:r>
      <w:r w:rsidRPr="00AB7789">
        <w:rPr>
          <w:b/>
        </w:rPr>
        <w:t xml:space="preserve">Box </w:t>
      </w:r>
      <w:r w:rsidR="001A08DA" w:rsidRPr="00AB7789">
        <w:rPr>
          <w:b/>
        </w:rPr>
        <w:t>3</w:t>
      </w:r>
      <w:r w:rsidR="00C94798" w:rsidRPr="00AB7789">
        <w:rPr>
          <w:b/>
        </w:rPr>
        <w:t>:</w:t>
      </w:r>
      <w:r w:rsidRPr="00AB7789">
        <w:rPr>
          <w:b/>
        </w:rPr>
        <w:t xml:space="preserve"> </w:t>
      </w:r>
      <w:r w:rsidR="0029361A" w:rsidRPr="00AB7789">
        <w:rPr>
          <w:b/>
        </w:rPr>
        <w:t xml:space="preserve">Needs based funding for children </w:t>
      </w:r>
      <w:r w:rsidR="00254084" w:rsidRPr="00AB7789">
        <w:rPr>
          <w:b/>
        </w:rPr>
        <w:t xml:space="preserve">in out of home care </w:t>
      </w:r>
      <w:r w:rsidR="000B48F0" w:rsidRPr="00AB7789">
        <w:rPr>
          <w:b/>
        </w:rPr>
        <w:t xml:space="preserve">(OOHC) </w:t>
      </w:r>
      <w:r w:rsidR="00254084" w:rsidRPr="00AB7789">
        <w:rPr>
          <w:b/>
        </w:rPr>
        <w:t>in Queensland</w:t>
      </w:r>
      <w:r w:rsidR="00C94798" w:rsidRPr="00AB7789">
        <w:rPr>
          <w:b/>
        </w:rPr>
        <w:t>.</w:t>
      </w:r>
    </w:p>
    <w:p w14:paraId="345AEE5F" w14:textId="77777777" w:rsidR="007D7BF5" w:rsidRDefault="00B337DA" w:rsidP="00AB7789">
      <w:pPr>
        <w:pStyle w:val="DocBodyText"/>
      </w:pPr>
      <w:r w:rsidRPr="003C6B3B">
        <w:t xml:space="preserve">To </w:t>
      </w:r>
      <w:r w:rsidR="00BA5569" w:rsidRPr="003C6B3B">
        <w:t xml:space="preserve">meet the needs of children </w:t>
      </w:r>
      <w:r w:rsidR="000C22C6" w:rsidRPr="003C6B3B">
        <w:t xml:space="preserve">in </w:t>
      </w:r>
      <w:r w:rsidR="000B48F0" w:rsidRPr="003C6B3B">
        <w:t>OOHC</w:t>
      </w:r>
      <w:r w:rsidR="003E5517" w:rsidRPr="003C6B3B">
        <w:t xml:space="preserve"> approved carers (foster carers and relative/kinship carers) receive a fortnightly caring allowance as a base payment. </w:t>
      </w:r>
      <w:r w:rsidR="00E769AD" w:rsidRPr="003C6B3B">
        <w:t xml:space="preserve">To cover the costs of additional care needs </w:t>
      </w:r>
      <w:r w:rsidR="00577F28" w:rsidRPr="003C6B3B">
        <w:t xml:space="preserve">the Queensland Government provides </w:t>
      </w:r>
      <w:r w:rsidR="00EB52FB" w:rsidRPr="003C6B3B">
        <w:t xml:space="preserve">a </w:t>
      </w:r>
      <w:r w:rsidR="00AA2569" w:rsidRPr="003C6B3B">
        <w:t>Complex Support Needs Allowance</w:t>
      </w:r>
      <w:r w:rsidR="00EB52FB" w:rsidRPr="003C6B3B">
        <w:t xml:space="preserve"> and a </w:t>
      </w:r>
      <w:r w:rsidR="00AA2569" w:rsidRPr="003C6B3B">
        <w:t>High Support Needs Allowance</w:t>
      </w:r>
      <w:r w:rsidR="0019462C" w:rsidRPr="003C6B3B">
        <w:t>.</w:t>
      </w:r>
    </w:p>
    <w:p w14:paraId="45172F7C" w14:textId="77777777" w:rsidR="007D7BF5" w:rsidRDefault="00AF6BBE" w:rsidP="00AB7789">
      <w:pPr>
        <w:pStyle w:val="DocBodyText"/>
      </w:pPr>
      <w:r w:rsidRPr="003C6B3B">
        <w:t>In response to</w:t>
      </w:r>
      <w:r w:rsidR="00D83DFF" w:rsidRPr="003C6B3B">
        <w:t xml:space="preserve"> a 2015 Inquiry into </w:t>
      </w:r>
      <w:r w:rsidR="000B48F0" w:rsidRPr="003C6B3B">
        <w:t>OOHC</w:t>
      </w:r>
      <w:r w:rsidR="00D83DFF" w:rsidRPr="003C6B3B">
        <w:t xml:space="preserve"> in Queensland</w:t>
      </w:r>
      <w:r w:rsidR="00285F71" w:rsidRPr="003C6B3B">
        <w:t xml:space="preserve"> that found that greater financial support was needed, these subsidies were increased. </w:t>
      </w:r>
      <w:r w:rsidR="0019462C" w:rsidRPr="003C6B3B">
        <w:t>Th</w:t>
      </w:r>
      <w:r w:rsidR="00C5747B" w:rsidRPr="003C6B3B">
        <w:t>is</w:t>
      </w:r>
      <w:r w:rsidR="00D86BF8" w:rsidRPr="003C6B3B">
        <w:t xml:space="preserve"> led to </w:t>
      </w:r>
      <w:r w:rsidR="00CC6937" w:rsidRPr="003C6B3B">
        <w:t xml:space="preserve">an </w:t>
      </w:r>
      <w:r w:rsidR="00873EBA" w:rsidRPr="003C6B3B">
        <w:t xml:space="preserve">increase in foster care families </w:t>
      </w:r>
      <w:r w:rsidR="0019462C" w:rsidRPr="003C6B3B">
        <w:t>from around 5,000 in 2015 to</w:t>
      </w:r>
      <w:r w:rsidR="00955823" w:rsidRPr="003C6B3B">
        <w:t xml:space="preserve"> 6,017 </w:t>
      </w:r>
      <w:r w:rsidR="0019462C" w:rsidRPr="003C6B3B">
        <w:t>in September 2022</w:t>
      </w:r>
      <w:r w:rsidR="007508E1" w:rsidRPr="003C6B3B">
        <w:t>.</w:t>
      </w:r>
      <w:r w:rsidR="00CC6937" w:rsidRPr="003C6B3B">
        <w:rPr>
          <w:rStyle w:val="FootnoteReference"/>
        </w:rPr>
        <w:footnoteReference w:id="49"/>
      </w:r>
    </w:p>
    <w:p w14:paraId="1A4D6FEB" w14:textId="1F7776D9" w:rsidR="00AA2569" w:rsidRPr="003C6B3B" w:rsidRDefault="008F6392" w:rsidP="00AB7789">
      <w:pPr>
        <w:pStyle w:val="DocBodyText"/>
      </w:pPr>
      <w:r w:rsidRPr="003C6B3B">
        <w:t xml:space="preserve">Providing funding for IHC based on </w:t>
      </w:r>
      <w:r w:rsidR="0034387D" w:rsidRPr="003C6B3B">
        <w:t xml:space="preserve">family needs could help </w:t>
      </w:r>
      <w:r w:rsidR="006B5964" w:rsidRPr="003C6B3B">
        <w:t>with affordab</w:t>
      </w:r>
      <w:r w:rsidR="007A516F" w:rsidRPr="003C6B3B">
        <w:t>le</w:t>
      </w:r>
      <w:r w:rsidR="006B5964" w:rsidRPr="003C6B3B">
        <w:t xml:space="preserve"> access </w:t>
      </w:r>
      <w:r w:rsidR="007A516F" w:rsidRPr="003C6B3B">
        <w:t xml:space="preserve">to </w:t>
      </w:r>
      <w:r w:rsidR="00BC5BF7" w:rsidRPr="003C6B3B">
        <w:t>educators</w:t>
      </w:r>
      <w:r w:rsidR="00EB0BDF" w:rsidRPr="003C6B3B">
        <w:t>.</w:t>
      </w:r>
    </w:p>
    <w:p w14:paraId="2EDAC893" w14:textId="77777777" w:rsidR="00AA2569" w:rsidRPr="00D96E68" w:rsidRDefault="00AA2569" w:rsidP="00AB7789">
      <w:pPr>
        <w:pStyle w:val="DocBodyText"/>
        <w:spacing w:after="0"/>
      </w:pPr>
    </w:p>
    <w:p w14:paraId="34854D43" w14:textId="666C152E" w:rsidR="00634B6A" w:rsidRPr="00D96E68" w:rsidRDefault="00634B6A" w:rsidP="00634B6A">
      <w:pPr>
        <w:pStyle w:val="DocBodyText"/>
      </w:pPr>
      <w:r w:rsidRPr="00D96E68">
        <w:t>The high costs of IHC service delivery and the reduced funding available impacts the financial viability of IHC providers. More than 40 per cent of IHC providers have exited the market between July 2018 and May 2023</w:t>
      </w:r>
      <w:r w:rsidR="00CF106A">
        <w:rPr>
          <w:rStyle w:val="FootnoteReference"/>
        </w:rPr>
        <w:footnoteReference w:id="50"/>
      </w:r>
      <w:r w:rsidRPr="00D96E68">
        <w:t>, contributing to service gaps. As part of this review several peak bodies and IHC providers expressed concern for the financial viability of providers. IHC providers that deliver other forms of ECEC reported cross-subsidising IHC from other programs to remain viable.</w:t>
      </w:r>
    </w:p>
    <w:p w14:paraId="78F1D9F4" w14:textId="576DEEE4" w:rsidR="00634B6A" w:rsidRPr="00D96E68" w:rsidRDefault="00634B6A" w:rsidP="00634B6A">
      <w:pPr>
        <w:pStyle w:val="DocQuote"/>
      </w:pPr>
      <w:r w:rsidRPr="00D96E68">
        <w:t xml:space="preserve">“The increasing costs and reduced funding available has made our business reconsider delivery of this program” </w:t>
      </w:r>
      <w:r w:rsidR="006502D0">
        <w:t xml:space="preserve">– </w:t>
      </w:r>
      <w:r w:rsidRPr="00D96E68">
        <w:t>IHC Provider</w:t>
      </w:r>
    </w:p>
    <w:p w14:paraId="0CC95F2B" w14:textId="77777777" w:rsidR="007D7BF5" w:rsidRDefault="00634B6A" w:rsidP="00634B6A">
      <w:pPr>
        <w:pStyle w:val="DocParagraphHeading"/>
      </w:pPr>
      <w:r w:rsidRPr="00D96E68">
        <w:t>Cost of IHC to families</w:t>
      </w:r>
    </w:p>
    <w:p w14:paraId="32DD4DDD" w14:textId="77777777" w:rsidR="00943DE9" w:rsidRPr="00943DE9" w:rsidRDefault="00103F5F" w:rsidP="00943DE9">
      <w:pPr>
        <w:pStyle w:val="DocBodyText"/>
      </w:pPr>
      <w:r>
        <w:t>The out-of-pocket cost for IHC is significant for families</w:t>
      </w:r>
      <w:r w:rsidR="0088592A" w:rsidRPr="0088592A">
        <w:t xml:space="preserve"> (</w:t>
      </w:r>
      <w:r w:rsidR="00F04C85" w:rsidRPr="0088592A">
        <w:fldChar w:fldCharType="begin"/>
      </w:r>
      <w:r w:rsidR="00F04C85" w:rsidRPr="0088592A">
        <w:instrText xml:space="preserve"> REF _Ref139886164 \h  \* MERGEFORMAT </w:instrText>
      </w:r>
      <w:r w:rsidR="00F04C85" w:rsidRPr="0088592A">
        <w:fldChar w:fldCharType="separate"/>
      </w:r>
      <w:r w:rsidR="00943DE9">
        <w:br w:type="page"/>
      </w:r>
    </w:p>
    <w:p w14:paraId="5EA1FA2D" w14:textId="10605F1F" w:rsidR="007D7BF5" w:rsidRDefault="00943DE9" w:rsidP="00634B6A">
      <w:pPr>
        <w:pStyle w:val="DocBodyText"/>
        <w:rPr>
          <w:color w:val="FF0000"/>
        </w:rPr>
      </w:pPr>
      <w:r w:rsidRPr="00D96E68">
        <w:t xml:space="preserve">Figure </w:t>
      </w:r>
      <w:r>
        <w:rPr>
          <w:noProof/>
        </w:rPr>
        <w:t>8</w:t>
      </w:r>
      <w:r w:rsidRPr="00D96E68">
        <w:t>: IHC Average Gap Fee per Session</w:t>
      </w:r>
      <w:r w:rsidR="00F04C85" w:rsidRPr="0088592A">
        <w:fldChar w:fldCharType="end"/>
      </w:r>
      <w:r w:rsidR="0088592A" w:rsidRPr="0088592A">
        <w:t>).</w:t>
      </w:r>
      <w:r w:rsidR="00F04C85">
        <w:t xml:space="preserve"> </w:t>
      </w:r>
      <w:r w:rsidR="00634B6A" w:rsidRPr="00D96E68">
        <w:t>In 2022, the average fee payable (including administration fees) for a 4.2-hour session of IHC per family was $166.78 with an out-of-pocket gap fee of $29.91. For families only eligible for CCS, the average out-of-pocket gap fee is higher, at $40.32 per session. For families eligible for the ACCS the out-of-pocket gap fee is only $9.03 per session</w:t>
      </w:r>
      <w:r w:rsidR="00F04C85">
        <w:t>.</w:t>
      </w:r>
      <w:r w:rsidR="00634B6A" w:rsidRPr="00D96E68">
        <w:t xml:space="preserve"> While families eligible for ACCS have the lowest out-of-pocket gap fees it is worth noting that under the previous CCB/CCR and SCCB scheme there would have been no out-of-pocket costs to access IHC as the full fees </w:t>
      </w:r>
      <w:r w:rsidR="00103F5F">
        <w:t xml:space="preserve">were </w:t>
      </w:r>
      <w:r w:rsidR="00634B6A" w:rsidRPr="00D96E68">
        <w:t>subsidised. Under the CCS/ACCS system these families are now required to pay an out-of-pocket gap fee. Between 2018 and 2023 the average number of children in a family utilising IHC was two.</w:t>
      </w:r>
    </w:p>
    <w:p w14:paraId="0AC8F8DD" w14:textId="2454A746" w:rsidR="007711F1" w:rsidRPr="00D96E68" w:rsidRDefault="007711F1" w:rsidP="007711F1">
      <w:pPr>
        <w:pStyle w:val="DocQuote"/>
      </w:pPr>
      <w:r w:rsidRPr="00D96E68">
        <w:t>“The increasing costs and reduced funding available has made our business reconsider delivery of this program” IHC Provider</w:t>
      </w:r>
    </w:p>
    <w:p w14:paraId="7E84C021" w14:textId="77777777" w:rsidR="00353D1E" w:rsidRDefault="00353D1E">
      <w:pPr>
        <w:spacing w:before="0" w:line="281" w:lineRule="auto"/>
        <w:rPr>
          <w:rFonts w:cstheme="minorHAnsi"/>
          <w:b/>
          <w:bCs/>
          <w:color w:val="D04A02" w:themeColor="accent1"/>
          <w:sz w:val="22"/>
          <w:szCs w:val="22"/>
        </w:rPr>
      </w:pPr>
      <w:bookmarkStart w:id="61" w:name="_Ref139886164"/>
      <w:r>
        <w:br w:type="page"/>
      </w:r>
    </w:p>
    <w:p w14:paraId="0ECDE4BB" w14:textId="631F2388" w:rsidR="00634B6A" w:rsidRPr="009D0558" w:rsidRDefault="00634B6A" w:rsidP="00E46391">
      <w:pPr>
        <w:pStyle w:val="DocTableHeader"/>
      </w:pPr>
      <w:r w:rsidRPr="00D96E68">
        <w:lastRenderedPageBreak/>
        <w:t xml:space="preserve">Figure </w:t>
      </w:r>
      <w:r w:rsidRPr="00D96E68">
        <w:fldChar w:fldCharType="begin"/>
      </w:r>
      <w:r w:rsidRPr="00D96E68">
        <w:instrText>SEQ Figure \* ARABIC</w:instrText>
      </w:r>
      <w:r w:rsidRPr="00D96E68">
        <w:fldChar w:fldCharType="separate"/>
      </w:r>
      <w:r w:rsidR="00943DE9">
        <w:rPr>
          <w:noProof/>
        </w:rPr>
        <w:t>8</w:t>
      </w:r>
      <w:r w:rsidRPr="00D96E68">
        <w:fldChar w:fldCharType="end"/>
      </w:r>
      <w:r w:rsidRPr="00D96E68">
        <w:t>: IHC Average Gap Fee per Session</w:t>
      </w:r>
      <w:bookmarkEnd w:id="61"/>
    </w:p>
    <w:p w14:paraId="43200B75" w14:textId="6715542F" w:rsidR="007C2A74" w:rsidRDefault="00634B6A" w:rsidP="007C2A74">
      <w:pPr>
        <w:pStyle w:val="DocBodyText"/>
      </w:pPr>
      <w:r w:rsidRPr="00AB7789">
        <w:rPr>
          <w:noProof/>
          <w:shd w:val="clear" w:color="auto" w:fill="D04A02" w:themeFill="accent1"/>
        </w:rPr>
        <w:drawing>
          <wp:inline distT="0" distB="0" distL="0" distR="0" wp14:anchorId="384B7427" wp14:editId="6C2EAF74">
            <wp:extent cx="6188710" cy="2923501"/>
            <wp:effectExtent l="0" t="0" r="2540" b="10795"/>
            <wp:docPr id="90" name="Chart 90">
              <a:extLst xmlns:a="http://schemas.openxmlformats.org/drawingml/2006/main">
                <a:ext uri="{FF2B5EF4-FFF2-40B4-BE49-F238E27FC236}">
                  <a16:creationId xmlns:a16="http://schemas.microsoft.com/office/drawing/2014/main" id="{023E247E-972F-336B-7C95-B3405ED169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7DD4D3E" w14:textId="3A551EE1" w:rsidR="00634B6A" w:rsidRPr="008C11C2" w:rsidRDefault="00634B6A" w:rsidP="00634B6A">
      <w:pPr>
        <w:pStyle w:val="DocSpecalText"/>
      </w:pPr>
      <w:r w:rsidRPr="008C11C2">
        <w:t>Source: ORIMA Research</w:t>
      </w:r>
      <w:r w:rsidRPr="008C11C2">
        <w:br/>
        <w:t>* 2023 up to 23 May 2023.</w:t>
      </w:r>
      <w:r w:rsidRPr="008C11C2">
        <w:br/>
        <w:t xml:space="preserve">All families: Average out-of-pocket gap fee – all families. </w:t>
      </w:r>
      <w:r w:rsidRPr="008C11C2">
        <w:br/>
        <w:t xml:space="preserve">CCS only: Average out-of-pocket gap fee – families only eligible for CCS. </w:t>
      </w:r>
      <w:r w:rsidRPr="008C11C2">
        <w:br/>
        <w:t>ACCS: Average out-of-pocket gap fee – families eligible for ACCS</w:t>
      </w:r>
    </w:p>
    <w:p w14:paraId="2D493F1B" w14:textId="77777777" w:rsidR="0065045A" w:rsidRPr="00211300" w:rsidRDefault="0065045A" w:rsidP="00634B6A">
      <w:pPr>
        <w:pStyle w:val="DocSpecalText"/>
      </w:pPr>
    </w:p>
    <w:p w14:paraId="0798BBD4" w14:textId="5C552457" w:rsidR="002C7305" w:rsidRPr="00BB2FC2" w:rsidRDefault="002C7305" w:rsidP="002C7305">
      <w:pPr>
        <w:pStyle w:val="DocBodyText"/>
      </w:pPr>
      <w:r w:rsidRPr="00D96E68">
        <w:t xml:space="preserve">As part of this review IHCSAs highlighted that out-of-pocket gap fees for families were the greatest barrier to them accessing the IHC program, as well as being one of the main reasons for families exiting the program. This is reflected in feedback </w:t>
      </w:r>
      <w:r w:rsidRPr="00BB2FC2">
        <w:t>from families with 18 per cent of survey respondents reporting that the cost of IHC to families was a factor when considering access to services</w:t>
      </w:r>
      <w:r w:rsidR="00A844AD" w:rsidRPr="00BB2FC2">
        <w:rPr>
          <w:rStyle w:val="FootnoteReference"/>
        </w:rPr>
        <w:footnoteReference w:id="51"/>
      </w:r>
      <w:r w:rsidRPr="00BB2FC2">
        <w:t>.</w:t>
      </w:r>
    </w:p>
    <w:p w14:paraId="437B99DC" w14:textId="010E7C5D" w:rsidR="007D7BF5" w:rsidRDefault="002C7305" w:rsidP="002C7305">
      <w:pPr>
        <w:pStyle w:val="DocBodyText"/>
      </w:pPr>
      <w:r w:rsidRPr="00BB2FC2">
        <w:t>Families</w:t>
      </w:r>
      <w:r w:rsidR="00FE3853" w:rsidRPr="00BB2FC2">
        <w:t xml:space="preserve"> </w:t>
      </w:r>
      <w:r w:rsidR="00582491" w:rsidRPr="00BB2FC2">
        <w:t xml:space="preserve">accessing IHC </w:t>
      </w:r>
      <w:r w:rsidRPr="00BB2FC2">
        <w:t>in remote areas often face higher out-of-pocket fees, with the average gap payment for a 4.2-hour session of IHC in Very Remote Australia being $49.00 per session and $42.04 per session for Remote Australia in 2022</w:t>
      </w:r>
      <w:r w:rsidR="00481309">
        <w:rPr>
          <w:rStyle w:val="FootnoteReference"/>
        </w:rPr>
        <w:t xml:space="preserve"> </w:t>
      </w:r>
      <w:r w:rsidR="00481309">
        <w:t>(</w:t>
      </w:r>
      <w:r w:rsidR="00481309" w:rsidRPr="00481309">
        <w:rPr>
          <w:highlight w:val="yellow"/>
        </w:rPr>
        <w:fldChar w:fldCharType="begin"/>
      </w:r>
      <w:r w:rsidR="00481309" w:rsidRPr="00481309">
        <w:rPr>
          <w:highlight w:val="yellow"/>
        </w:rPr>
        <w:instrText xml:space="preserve"> REF _Ref139887608 \h </w:instrText>
      </w:r>
      <w:r w:rsidR="00481309">
        <w:rPr>
          <w:highlight w:val="yellow"/>
        </w:rPr>
        <w:instrText xml:space="preserve"> \* MERGEFORMAT </w:instrText>
      </w:r>
      <w:r w:rsidR="00481309" w:rsidRPr="00481309">
        <w:rPr>
          <w:highlight w:val="yellow"/>
        </w:rPr>
      </w:r>
      <w:r w:rsidR="00481309" w:rsidRPr="00481309">
        <w:rPr>
          <w:highlight w:val="yellow"/>
        </w:rPr>
        <w:fldChar w:fldCharType="separate"/>
      </w:r>
      <w:r w:rsidR="00943DE9" w:rsidRPr="00D96E68">
        <w:t xml:space="preserve">Figure </w:t>
      </w:r>
      <w:r w:rsidR="00943DE9">
        <w:rPr>
          <w:noProof/>
        </w:rPr>
        <w:t>9</w:t>
      </w:r>
      <w:r w:rsidR="00943DE9" w:rsidRPr="00D96E68">
        <w:t>: IHC Average Gap Fee by geographical area</w:t>
      </w:r>
      <w:r w:rsidR="00481309" w:rsidRPr="00481309">
        <w:rPr>
          <w:highlight w:val="yellow"/>
        </w:rPr>
        <w:fldChar w:fldCharType="end"/>
      </w:r>
      <w:r w:rsidR="00481309">
        <w:t>)</w:t>
      </w:r>
      <w:r w:rsidRPr="00BB2FC2">
        <w:t>. Families receiving the same service in Major Cities have an average gap fee of $26.31 in comparison. It is also important to note that there are additional costs for families in remote areas relating to transport, board, food and other ancillary costs to access an educator that are not reimbursed as part of the IHC program</w:t>
      </w:r>
      <w:r w:rsidR="00E85B0B" w:rsidRPr="00BB2FC2">
        <w:rPr>
          <w:rStyle w:val="FootnoteReference"/>
        </w:rPr>
        <w:footnoteReference w:id="52"/>
      </w:r>
      <w:r w:rsidRPr="00BB2FC2">
        <w:t>.</w:t>
      </w:r>
    </w:p>
    <w:p w14:paraId="53D74A03" w14:textId="070770B6" w:rsidR="002C7305" w:rsidRPr="00D96E68" w:rsidRDefault="002C7305" w:rsidP="002C7305">
      <w:pPr>
        <w:pStyle w:val="DocQuote"/>
        <w:rPr>
          <w:rFonts w:cstheme="minorHAnsi"/>
          <w:color w:val="auto"/>
        </w:rPr>
      </w:pPr>
      <w:r w:rsidRPr="00D96E68">
        <w:t>“The increasing costs of travel for our coordinators to visit families [is a particular challenge to providing care]. In many regional locations we go above the reimbursement cap for accommodation. As these prices continue to increase, we have to balance whether the cost of family levies increase or our budget in resourcing and advertising decreases.” – IHC Provider</w:t>
      </w:r>
    </w:p>
    <w:p w14:paraId="053F2F88" w14:textId="1A9F68D9" w:rsidR="002C7305" w:rsidRPr="00FD484E" w:rsidRDefault="00ED5B92" w:rsidP="002C7305">
      <w:pPr>
        <w:pStyle w:val="DocBodyText"/>
        <w:rPr>
          <w:color w:val="000000" w:themeColor="text1"/>
        </w:rPr>
      </w:pPr>
      <w:r>
        <w:lastRenderedPageBreak/>
        <w:t>All</w:t>
      </w:r>
      <w:r w:rsidR="002C7305" w:rsidRPr="00D96E68">
        <w:t xml:space="preserve"> </w:t>
      </w:r>
      <w:r w:rsidR="00686C4D">
        <w:t xml:space="preserve">22 </w:t>
      </w:r>
      <w:r w:rsidR="002C7305" w:rsidRPr="00D96E68">
        <w:t xml:space="preserve">families that responded to the review survey </w:t>
      </w:r>
      <w:r w:rsidR="00686C4D">
        <w:t xml:space="preserve">who </w:t>
      </w:r>
      <w:r w:rsidR="002C7305" w:rsidRPr="00D96E68">
        <w:t xml:space="preserve">were geographically isolated reported that they </w:t>
      </w:r>
      <w:r w:rsidR="002C7305" w:rsidRPr="00BB2FC2">
        <w:t>experienced high costs of IHC</w:t>
      </w:r>
      <w:r w:rsidR="00FE3853">
        <w:t>,</w:t>
      </w:r>
      <w:r w:rsidR="002C7305" w:rsidRPr="00BB2FC2">
        <w:t xml:space="preserve"> with some reporting out-of-pocket costs of more than $800 per week including additional</w:t>
      </w:r>
      <w:r w:rsidR="004033F9" w:rsidRPr="00BB2FC2">
        <w:t xml:space="preserve"> </w:t>
      </w:r>
      <w:r w:rsidR="002C7305" w:rsidRPr="00BB2FC2">
        <w:t>costs</w:t>
      </w:r>
      <w:r w:rsidR="00405A9D" w:rsidRPr="00BB2FC2">
        <w:rPr>
          <w:rStyle w:val="FootnoteReference"/>
        </w:rPr>
        <w:footnoteReference w:id="53"/>
      </w:r>
      <w:r w:rsidR="002C7305" w:rsidRPr="00BB2FC2">
        <w:t>.</w:t>
      </w:r>
      <w:r w:rsidR="0036642F">
        <w:t xml:space="preserve"> </w:t>
      </w:r>
      <w:r w:rsidR="002C7305" w:rsidRPr="00BB2FC2">
        <w:t>While there is a mechanism for reimbursement of some travel costs, not all providers are aware of, or accessing, these funds</w:t>
      </w:r>
      <w:r w:rsidR="00487B6A" w:rsidRPr="00BB2FC2">
        <w:rPr>
          <w:rStyle w:val="FootnoteReference"/>
        </w:rPr>
        <w:footnoteReference w:id="54"/>
      </w:r>
      <w:r w:rsidR="002C7305" w:rsidRPr="00BB2FC2">
        <w:t>.</w:t>
      </w:r>
    </w:p>
    <w:p w14:paraId="640F3119" w14:textId="49EA769D" w:rsidR="002C7305" w:rsidRPr="00D96E68" w:rsidRDefault="002C7305" w:rsidP="002C7305">
      <w:pPr>
        <w:pStyle w:val="DocQuote"/>
      </w:pPr>
      <w:r w:rsidRPr="00BB2FC2">
        <w:t xml:space="preserve">“We pay for [the educators] food while they are working in our house, we pay for electricity and provide free rent. These are all recruitment and retention strategies. I feel that moving forward we are going to have to lay out more costs to keep our educator.” </w:t>
      </w:r>
      <w:r w:rsidR="000E14C9" w:rsidRPr="00BB2FC2">
        <w:t>–</w:t>
      </w:r>
      <w:r w:rsidR="000E14C9">
        <w:t xml:space="preserve"> Geographically </w:t>
      </w:r>
      <w:r w:rsidRPr="00D96E68">
        <w:t>isolated family accessing IHC</w:t>
      </w:r>
    </w:p>
    <w:p w14:paraId="35DB6ADE" w14:textId="1E459406" w:rsidR="002C7305" w:rsidRPr="00D96E68" w:rsidRDefault="002C7305" w:rsidP="00E46391">
      <w:pPr>
        <w:pStyle w:val="DocTableHeader"/>
      </w:pPr>
      <w:bookmarkStart w:id="62" w:name="_Ref139887608"/>
      <w:r w:rsidRPr="00D96E68">
        <w:t xml:space="preserve">Figure </w:t>
      </w:r>
      <w:r w:rsidRPr="00D96E68">
        <w:fldChar w:fldCharType="begin"/>
      </w:r>
      <w:r w:rsidRPr="00D96E68">
        <w:instrText>SEQ Figure \* ARABIC</w:instrText>
      </w:r>
      <w:r w:rsidRPr="00D96E68">
        <w:fldChar w:fldCharType="separate"/>
      </w:r>
      <w:r w:rsidR="00943DE9">
        <w:rPr>
          <w:noProof/>
        </w:rPr>
        <w:t>9</w:t>
      </w:r>
      <w:r w:rsidRPr="00D96E68">
        <w:fldChar w:fldCharType="end"/>
      </w:r>
      <w:r w:rsidRPr="00D96E68">
        <w:t>: IHC Average Gap Fee by geographical area</w:t>
      </w:r>
      <w:bookmarkEnd w:id="62"/>
    </w:p>
    <w:p w14:paraId="414C8A65" w14:textId="594000E2" w:rsidR="00634B6A" w:rsidRDefault="002C7305" w:rsidP="00386B81">
      <w:pPr>
        <w:spacing w:before="0" w:line="281" w:lineRule="auto"/>
        <w:jc w:val="center"/>
      </w:pPr>
      <w:r w:rsidRPr="00D96E68">
        <w:rPr>
          <w:noProof/>
        </w:rPr>
        <w:drawing>
          <wp:inline distT="0" distB="0" distL="0" distR="0" wp14:anchorId="076EC79B" wp14:editId="7C327DED">
            <wp:extent cx="6130290" cy="2191109"/>
            <wp:effectExtent l="0" t="0" r="3810" b="0"/>
            <wp:docPr id="91" name="Chart 91">
              <a:extLst xmlns:a="http://schemas.openxmlformats.org/drawingml/2006/main">
                <a:ext uri="{FF2B5EF4-FFF2-40B4-BE49-F238E27FC236}">
                  <a16:creationId xmlns:a16="http://schemas.microsoft.com/office/drawing/2014/main" id="{B4294759-1FF3-E1FB-FF7B-F43C7BD91FEF}"/>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023669B" w14:textId="77777777" w:rsidR="002C7305" w:rsidRPr="00D96E68" w:rsidRDefault="002C7305" w:rsidP="002C7305">
      <w:pPr>
        <w:pStyle w:val="DocSpecalText"/>
      </w:pPr>
      <w:r w:rsidRPr="00D96E68">
        <w:t>Source: ORIMA Research</w:t>
      </w:r>
      <w:r w:rsidRPr="00D96E68">
        <w:br/>
        <w:t>* 2023 up to 23 May 2023.</w:t>
      </w:r>
    </w:p>
    <w:p w14:paraId="6923F830" w14:textId="7D1ACF47" w:rsidR="008C11C2" w:rsidRDefault="002C7305" w:rsidP="002C7305">
      <w:pPr>
        <w:pStyle w:val="DocBodyText"/>
      </w:pPr>
      <w:r w:rsidRPr="00D96E68">
        <w:t>Compared to the out-of-pocket costs for FDC, families accessing IHC pay significantly higher gap fees for several reasons, including for sourcing appropriate educators, loadings for attraction of educators to remote areas and penalty rates. The below table compares how the average family which can access FDC are nearly $40 better off per day in out-of-pocket costs (</w:t>
      </w:r>
      <w:r w:rsidRPr="00D96E68">
        <w:fldChar w:fldCharType="begin"/>
      </w:r>
      <w:r w:rsidRPr="00D96E68">
        <w:instrText xml:space="preserve"> REF _Ref138204981 \h </w:instrText>
      </w:r>
      <w:r>
        <w:instrText xml:space="preserve"> \* MERGEFORMAT </w:instrText>
      </w:r>
      <w:r w:rsidRPr="00D96E68">
        <w:fldChar w:fldCharType="separate"/>
      </w:r>
      <w:r w:rsidR="00943DE9" w:rsidRPr="00D96E68">
        <w:t xml:space="preserve">Figure </w:t>
      </w:r>
      <w:r w:rsidR="00943DE9">
        <w:rPr>
          <w:noProof/>
        </w:rPr>
        <w:t>10</w:t>
      </w:r>
      <w:r w:rsidRPr="00D96E68">
        <w:fldChar w:fldCharType="end"/>
      </w:r>
      <w:r w:rsidRPr="00D96E68">
        <w:t>).</w:t>
      </w:r>
    </w:p>
    <w:p w14:paraId="23F525E7" w14:textId="764B9021" w:rsidR="002C7305" w:rsidRPr="00D96E68" w:rsidRDefault="002C7305" w:rsidP="00AB7789">
      <w:pPr>
        <w:pStyle w:val="DocTableHeader"/>
      </w:pPr>
      <w:bookmarkStart w:id="63" w:name="_Ref138204981"/>
      <w:r w:rsidRPr="00D96E68">
        <w:t xml:space="preserve">Figure </w:t>
      </w:r>
      <w:r w:rsidRPr="00D96E68">
        <w:fldChar w:fldCharType="begin"/>
      </w:r>
      <w:r w:rsidRPr="00D96E68">
        <w:instrText>SEQ Figure \* ARABIC</w:instrText>
      </w:r>
      <w:r w:rsidRPr="00D96E68">
        <w:fldChar w:fldCharType="separate"/>
      </w:r>
      <w:r w:rsidR="00943DE9">
        <w:rPr>
          <w:noProof/>
        </w:rPr>
        <w:t>10</w:t>
      </w:r>
      <w:r w:rsidRPr="00D96E68">
        <w:fldChar w:fldCharType="end"/>
      </w:r>
      <w:bookmarkEnd w:id="63"/>
      <w:r w:rsidRPr="00D96E68">
        <w:t>: Fee and subsidy comparison, FDC compared to IHC for a 10-hour session of care</w:t>
      </w:r>
    </w:p>
    <w:tbl>
      <w:tblPr>
        <w:tblStyle w:val="ListTable3-Accent1"/>
        <w:tblW w:w="5000" w:type="pct"/>
        <w:tblBorders>
          <w:top w:val="none" w:sz="0" w:space="0" w:color="auto"/>
          <w:left w:val="none" w:sz="0" w:space="0" w:color="auto"/>
          <w:bottom w:val="none" w:sz="0" w:space="0" w:color="auto"/>
          <w:right w:val="none" w:sz="0" w:space="0" w:color="auto"/>
          <w:insideH w:val="dashed" w:sz="4" w:space="0" w:color="D04A02" w:themeColor="accent1"/>
        </w:tblBorders>
        <w:tblLook w:val="04A0" w:firstRow="1" w:lastRow="0" w:firstColumn="1" w:lastColumn="0" w:noHBand="0" w:noVBand="1"/>
      </w:tblPr>
      <w:tblGrid>
        <w:gridCol w:w="3687"/>
        <w:gridCol w:w="2836"/>
        <w:gridCol w:w="3228"/>
      </w:tblGrid>
      <w:tr w:rsidR="00AA7AD0" w:rsidRPr="006D4830" w14:paraId="3CD2936A" w14:textId="77777777" w:rsidTr="00AB77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91" w:type="pct"/>
            <w:tcBorders>
              <w:bottom w:val="single" w:sz="4" w:space="0" w:color="D04A02" w:themeColor="accent1"/>
            </w:tcBorders>
          </w:tcPr>
          <w:p w14:paraId="001B1424" w14:textId="77777777" w:rsidR="002C7305" w:rsidRPr="008549AA" w:rsidRDefault="002C7305" w:rsidP="00FD484E">
            <w:pPr>
              <w:pStyle w:val="PwCNormal"/>
              <w:numPr>
                <w:ilvl w:val="0"/>
                <w:numId w:val="2"/>
              </w:numPr>
              <w:spacing w:before="60" w:after="60"/>
              <w:rPr>
                <w:rFonts w:asciiTheme="minorHAnsi" w:hAnsiTheme="minorHAnsi" w:cstheme="minorHAnsi"/>
                <w:color w:val="FFFFFF" w:themeColor="background1"/>
                <w:sz w:val="20"/>
              </w:rPr>
            </w:pPr>
            <w:r w:rsidRPr="008549AA">
              <w:rPr>
                <w:rFonts w:asciiTheme="minorHAnsi" w:hAnsiTheme="minorHAnsi" w:cstheme="minorHAnsi"/>
                <w:color w:val="FFFFFF" w:themeColor="background1"/>
                <w:sz w:val="20"/>
              </w:rPr>
              <w:t>Financial Year</w:t>
            </w:r>
          </w:p>
        </w:tc>
        <w:tc>
          <w:tcPr>
            <w:tcW w:w="1454" w:type="pct"/>
            <w:tcBorders>
              <w:bottom w:val="single" w:sz="4" w:space="0" w:color="D04A02" w:themeColor="accent1"/>
            </w:tcBorders>
          </w:tcPr>
          <w:p w14:paraId="29E065B2" w14:textId="77777777" w:rsidR="002C7305" w:rsidRPr="008549AA" w:rsidRDefault="002C7305" w:rsidP="00FD484E">
            <w:pPr>
              <w:pStyle w:val="PwCNormal"/>
              <w:numPr>
                <w:ilvl w:val="0"/>
                <w:numId w:val="2"/>
              </w:num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r w:rsidRPr="008549AA">
              <w:rPr>
                <w:rFonts w:asciiTheme="minorHAnsi" w:hAnsiTheme="minorHAnsi" w:cstheme="minorHAnsi"/>
                <w:color w:val="FFFFFF" w:themeColor="background1"/>
                <w:sz w:val="20"/>
              </w:rPr>
              <w:t>Family Day Care</w:t>
            </w:r>
          </w:p>
        </w:tc>
        <w:tc>
          <w:tcPr>
            <w:tcW w:w="1655" w:type="pct"/>
            <w:tcBorders>
              <w:bottom w:val="single" w:sz="4" w:space="0" w:color="D04A02" w:themeColor="accent1"/>
            </w:tcBorders>
          </w:tcPr>
          <w:p w14:paraId="20AA357C" w14:textId="77777777" w:rsidR="002C7305" w:rsidRPr="008549AA" w:rsidRDefault="002C7305" w:rsidP="00FD484E">
            <w:pPr>
              <w:pStyle w:val="PwCNormal"/>
              <w:numPr>
                <w:ilvl w:val="0"/>
                <w:numId w:val="2"/>
              </w:num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r w:rsidRPr="008549AA">
              <w:rPr>
                <w:rFonts w:asciiTheme="minorHAnsi" w:hAnsiTheme="minorHAnsi" w:cstheme="minorHAnsi"/>
                <w:color w:val="FFFFFF" w:themeColor="background1"/>
                <w:sz w:val="20"/>
              </w:rPr>
              <w:t>In Home Care</w:t>
            </w:r>
          </w:p>
        </w:tc>
      </w:tr>
      <w:tr w:rsidR="000165DD" w:rsidRPr="006D4830" w14:paraId="6C3D6BAC" w14:textId="77777777" w:rsidTr="00AB7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1" w:type="pct"/>
            <w:tcBorders>
              <w:bottom w:val="single" w:sz="4" w:space="0" w:color="464646" w:themeColor="accent6"/>
            </w:tcBorders>
          </w:tcPr>
          <w:p w14:paraId="756E1A47" w14:textId="77777777" w:rsidR="002C7305" w:rsidRPr="008549AA" w:rsidRDefault="002C7305" w:rsidP="00FD484E">
            <w:pPr>
              <w:pStyle w:val="PwCNormal"/>
              <w:numPr>
                <w:ilvl w:val="0"/>
                <w:numId w:val="2"/>
              </w:numPr>
              <w:spacing w:before="60" w:after="60"/>
              <w:rPr>
                <w:rFonts w:asciiTheme="minorHAnsi" w:hAnsiTheme="minorHAnsi" w:cstheme="minorHAnsi"/>
                <w:b w:val="0"/>
                <w:bCs w:val="0"/>
                <w:color w:val="auto"/>
                <w:sz w:val="20"/>
              </w:rPr>
            </w:pPr>
            <w:r w:rsidRPr="008549AA">
              <w:rPr>
                <w:rFonts w:asciiTheme="minorHAnsi" w:hAnsiTheme="minorHAnsi" w:cstheme="minorHAnsi"/>
                <w:b w:val="0"/>
                <w:bCs w:val="0"/>
                <w:sz w:val="20"/>
              </w:rPr>
              <w:t>Fees</w:t>
            </w:r>
          </w:p>
        </w:tc>
        <w:tc>
          <w:tcPr>
            <w:tcW w:w="1454" w:type="pct"/>
            <w:tcBorders>
              <w:bottom w:val="single" w:sz="4" w:space="0" w:color="464646" w:themeColor="accent6"/>
            </w:tcBorders>
          </w:tcPr>
          <w:p w14:paraId="1BF30EA8" w14:textId="77777777" w:rsidR="002C7305" w:rsidRPr="008549AA" w:rsidRDefault="002C7305" w:rsidP="00FD484E">
            <w:pPr>
              <w:pStyle w:val="PwCNormal"/>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8549AA">
              <w:rPr>
                <w:rFonts w:asciiTheme="minorHAnsi" w:hAnsiTheme="minorHAnsi" w:cstheme="minorHAnsi"/>
                <w:sz w:val="20"/>
              </w:rPr>
              <w:t>$117.87 per day</w:t>
            </w:r>
          </w:p>
        </w:tc>
        <w:tc>
          <w:tcPr>
            <w:tcW w:w="1655" w:type="pct"/>
            <w:tcBorders>
              <w:bottom w:val="single" w:sz="4" w:space="0" w:color="464646" w:themeColor="accent6"/>
            </w:tcBorders>
          </w:tcPr>
          <w:p w14:paraId="5685F60E" w14:textId="77777777" w:rsidR="002C7305" w:rsidRPr="008549AA" w:rsidRDefault="002C7305" w:rsidP="00FD484E">
            <w:pPr>
              <w:pStyle w:val="PwCNormal"/>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8549AA">
              <w:rPr>
                <w:rFonts w:asciiTheme="minorHAnsi" w:hAnsiTheme="minorHAnsi" w:cstheme="minorHAnsi"/>
                <w:sz w:val="20"/>
              </w:rPr>
              <w:t xml:space="preserve">$397.19 per day </w:t>
            </w:r>
          </w:p>
        </w:tc>
      </w:tr>
      <w:tr w:rsidR="00A71B7E" w:rsidRPr="006D4830" w14:paraId="22A57BCF" w14:textId="77777777" w:rsidTr="00AB7789">
        <w:tc>
          <w:tcPr>
            <w:cnfStyle w:val="001000000000" w:firstRow="0" w:lastRow="0" w:firstColumn="1" w:lastColumn="0" w:oddVBand="0" w:evenVBand="0" w:oddHBand="0" w:evenHBand="0" w:firstRowFirstColumn="0" w:firstRowLastColumn="0" w:lastRowFirstColumn="0" w:lastRowLastColumn="0"/>
            <w:tcW w:w="1891" w:type="pct"/>
            <w:tcBorders>
              <w:top w:val="single" w:sz="4" w:space="0" w:color="464646" w:themeColor="accent6"/>
              <w:bottom w:val="single" w:sz="4" w:space="0" w:color="464646" w:themeColor="accent6"/>
            </w:tcBorders>
          </w:tcPr>
          <w:p w14:paraId="0B58979B" w14:textId="77777777" w:rsidR="002C7305" w:rsidRPr="008549AA" w:rsidRDefault="002C7305" w:rsidP="00FD484E">
            <w:pPr>
              <w:pStyle w:val="PwCNormal"/>
              <w:numPr>
                <w:ilvl w:val="0"/>
                <w:numId w:val="2"/>
              </w:numPr>
              <w:spacing w:before="60" w:after="60"/>
              <w:rPr>
                <w:rFonts w:asciiTheme="minorHAnsi" w:hAnsiTheme="minorHAnsi" w:cstheme="minorHAnsi"/>
                <w:b w:val="0"/>
                <w:bCs w:val="0"/>
                <w:color w:val="auto"/>
                <w:sz w:val="20"/>
              </w:rPr>
            </w:pPr>
            <w:r w:rsidRPr="008549AA">
              <w:rPr>
                <w:rFonts w:asciiTheme="minorHAnsi" w:hAnsiTheme="minorHAnsi" w:cstheme="minorHAnsi"/>
                <w:b w:val="0"/>
                <w:bCs w:val="0"/>
                <w:sz w:val="20"/>
              </w:rPr>
              <w:t>Child Care Subsidy (after 5% withholding)</w:t>
            </w:r>
          </w:p>
        </w:tc>
        <w:tc>
          <w:tcPr>
            <w:tcW w:w="1454" w:type="pct"/>
            <w:tcBorders>
              <w:top w:val="single" w:sz="4" w:space="0" w:color="464646" w:themeColor="accent6"/>
              <w:bottom w:val="single" w:sz="4" w:space="0" w:color="464646" w:themeColor="accent6"/>
            </w:tcBorders>
          </w:tcPr>
          <w:p w14:paraId="60BCBAFF" w14:textId="77777777" w:rsidR="002C7305" w:rsidRPr="008549AA" w:rsidRDefault="002C7305" w:rsidP="00FD484E">
            <w:pPr>
              <w:pStyle w:val="PwCNormal"/>
              <w:numPr>
                <w:ilvl w:val="0"/>
                <w:numId w:val="2"/>
              </w:num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0"/>
              </w:rPr>
            </w:pPr>
            <w:r w:rsidRPr="008549AA">
              <w:rPr>
                <w:rFonts w:asciiTheme="minorHAnsi" w:hAnsiTheme="minorHAnsi" w:cstheme="minorHAnsi"/>
                <w:sz w:val="20"/>
              </w:rPr>
              <w:t>$83.33 (71% of total fee)</w:t>
            </w:r>
          </w:p>
        </w:tc>
        <w:tc>
          <w:tcPr>
            <w:tcW w:w="1655" w:type="pct"/>
            <w:tcBorders>
              <w:top w:val="single" w:sz="4" w:space="0" w:color="464646" w:themeColor="accent6"/>
              <w:bottom w:val="single" w:sz="4" w:space="0" w:color="464646" w:themeColor="accent6"/>
            </w:tcBorders>
          </w:tcPr>
          <w:p w14:paraId="435EB07D" w14:textId="77777777" w:rsidR="002C7305" w:rsidRPr="008549AA" w:rsidRDefault="002C7305" w:rsidP="00FD484E">
            <w:pPr>
              <w:pStyle w:val="PwCNormal"/>
              <w:numPr>
                <w:ilvl w:val="0"/>
                <w:numId w:val="2"/>
              </w:num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0"/>
              </w:rPr>
            </w:pPr>
            <w:r w:rsidRPr="008549AA">
              <w:rPr>
                <w:rFonts w:asciiTheme="minorHAnsi" w:hAnsiTheme="minorHAnsi" w:cstheme="minorHAnsi"/>
                <w:sz w:val="20"/>
              </w:rPr>
              <w:t>$323.52 (81% of total fee)</w:t>
            </w:r>
          </w:p>
        </w:tc>
      </w:tr>
      <w:tr w:rsidR="00AA7AD0" w:rsidRPr="006D4830" w14:paraId="06E8D775" w14:textId="77777777" w:rsidTr="00AB7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1" w:type="pct"/>
            <w:tcBorders>
              <w:top w:val="single" w:sz="4" w:space="0" w:color="464646" w:themeColor="accent6"/>
              <w:bottom w:val="single" w:sz="12" w:space="0" w:color="D04A02" w:themeColor="accent1"/>
            </w:tcBorders>
          </w:tcPr>
          <w:p w14:paraId="418B8A38" w14:textId="77777777" w:rsidR="002C7305" w:rsidRPr="008549AA" w:rsidRDefault="002C7305" w:rsidP="00FD484E">
            <w:pPr>
              <w:pStyle w:val="PwCNormal"/>
              <w:numPr>
                <w:ilvl w:val="0"/>
                <w:numId w:val="2"/>
              </w:numPr>
              <w:spacing w:before="60" w:after="60"/>
              <w:rPr>
                <w:rFonts w:asciiTheme="minorHAnsi" w:hAnsiTheme="minorHAnsi" w:cstheme="minorHAnsi"/>
                <w:b w:val="0"/>
                <w:bCs w:val="0"/>
                <w:color w:val="auto"/>
                <w:sz w:val="20"/>
              </w:rPr>
            </w:pPr>
            <w:r w:rsidRPr="008549AA">
              <w:rPr>
                <w:rFonts w:asciiTheme="minorHAnsi" w:hAnsiTheme="minorHAnsi" w:cstheme="minorHAnsi"/>
                <w:b w:val="0"/>
                <w:bCs w:val="0"/>
                <w:sz w:val="20"/>
              </w:rPr>
              <w:t>Out of Pocket Fees</w:t>
            </w:r>
          </w:p>
        </w:tc>
        <w:tc>
          <w:tcPr>
            <w:tcW w:w="1454" w:type="pct"/>
            <w:tcBorders>
              <w:top w:val="single" w:sz="4" w:space="0" w:color="464646" w:themeColor="accent6"/>
              <w:bottom w:val="single" w:sz="12" w:space="0" w:color="D04A02" w:themeColor="accent1"/>
            </w:tcBorders>
          </w:tcPr>
          <w:p w14:paraId="21424DE7" w14:textId="77777777" w:rsidR="002C7305" w:rsidRPr="008549AA" w:rsidRDefault="002C7305" w:rsidP="00FD484E">
            <w:pPr>
              <w:pStyle w:val="PwCNormal"/>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8549AA">
              <w:rPr>
                <w:rFonts w:asciiTheme="minorHAnsi" w:hAnsiTheme="minorHAnsi" w:cstheme="minorHAnsi"/>
                <w:sz w:val="20"/>
              </w:rPr>
              <w:t>$34.55 per day</w:t>
            </w:r>
          </w:p>
        </w:tc>
        <w:tc>
          <w:tcPr>
            <w:tcW w:w="1655" w:type="pct"/>
            <w:tcBorders>
              <w:top w:val="single" w:sz="4" w:space="0" w:color="464646" w:themeColor="accent6"/>
              <w:bottom w:val="single" w:sz="12" w:space="0" w:color="D04A02" w:themeColor="accent1"/>
            </w:tcBorders>
          </w:tcPr>
          <w:p w14:paraId="07B35C4E" w14:textId="77777777" w:rsidR="002C7305" w:rsidRPr="008549AA" w:rsidRDefault="002C7305" w:rsidP="00FD484E">
            <w:pPr>
              <w:pStyle w:val="PwCNormal"/>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8549AA">
              <w:rPr>
                <w:rFonts w:asciiTheme="minorHAnsi" w:hAnsiTheme="minorHAnsi" w:cstheme="minorHAnsi"/>
                <w:sz w:val="20"/>
              </w:rPr>
              <w:t>$73.68 per day</w:t>
            </w:r>
          </w:p>
        </w:tc>
      </w:tr>
    </w:tbl>
    <w:p w14:paraId="7600CAF9" w14:textId="2255DC5A" w:rsidR="00FD2C82" w:rsidRDefault="00AB7789" w:rsidP="00FD484E">
      <w:pPr>
        <w:pStyle w:val="DocSpecalText"/>
      </w:pPr>
      <w:r>
        <w:br/>
      </w:r>
      <w:r w:rsidR="002C7305" w:rsidRPr="00BB2FC2">
        <w:t>Source: ORIMA Data</w:t>
      </w:r>
      <w:r w:rsidR="002C7305" w:rsidRPr="00BB2FC2">
        <w:rPr>
          <w:iCs/>
        </w:rPr>
        <w:t xml:space="preserve"> as at 21 May 2023</w:t>
      </w:r>
      <w:r w:rsidR="003D4B38" w:rsidRPr="00BB2FC2">
        <w:rPr>
          <w:iCs/>
        </w:rPr>
        <w:br/>
      </w:r>
      <w:r w:rsidR="002C7305" w:rsidRPr="00BB2FC2">
        <w:t>Note: IHC fee per day is based on a 10-hour day at the average hourly rate charged per family ($39.</w:t>
      </w:r>
      <w:r w:rsidR="002C7305" w:rsidRPr="00BB2FC2">
        <w:rPr>
          <w:iCs/>
        </w:rPr>
        <w:t>71</w:t>
      </w:r>
      <w:r w:rsidR="002C7305" w:rsidRPr="00BB2FC2">
        <w:t xml:space="preserve"> per hour, per family). </w:t>
      </w:r>
      <w:r w:rsidR="003847EB" w:rsidRPr="00BB2FC2">
        <w:t>While the FDC</w:t>
      </w:r>
      <w:r w:rsidR="00FB2645" w:rsidRPr="00BB2FC2">
        <w:t xml:space="preserve"> fees and subsidies are per child, IHC fees and subsidies are per family. It should be noted that, on average, 1.8 children utilise IHC per family. </w:t>
      </w:r>
      <w:r w:rsidR="00E946CF" w:rsidRPr="00BB2FC2">
        <w:t>In comparison</w:t>
      </w:r>
      <w:r w:rsidR="003D4B38" w:rsidRPr="00BB2FC2">
        <w:t>, FDC has an average of 2.1 children per family attending.</w:t>
      </w:r>
      <w:bookmarkStart w:id="64" w:name="_Toc138249583"/>
      <w:bookmarkStart w:id="65" w:name="_Toc139022135"/>
    </w:p>
    <w:p w14:paraId="52F31AF9" w14:textId="77777777" w:rsidR="007A7461" w:rsidRDefault="007A7461" w:rsidP="00FD484E">
      <w:pPr>
        <w:pStyle w:val="DocSpecalText"/>
      </w:pPr>
    </w:p>
    <w:p w14:paraId="2088273C" w14:textId="77777777" w:rsidR="007A7461" w:rsidRDefault="007A7461" w:rsidP="00FD484E">
      <w:pPr>
        <w:pStyle w:val="DocSpecalText"/>
        <w:sectPr w:rsidR="007A7461" w:rsidSect="00764AC1">
          <w:pgSz w:w="11906" w:h="16838" w:code="9"/>
          <w:pgMar w:top="1247" w:right="737" w:bottom="1247" w:left="1418" w:header="720" w:footer="720" w:gutter="0"/>
          <w:cols w:space="284"/>
          <w:docGrid w:linePitch="360"/>
        </w:sectPr>
      </w:pPr>
    </w:p>
    <w:p w14:paraId="56262E67" w14:textId="687F482D" w:rsidR="002C7305" w:rsidRPr="00D96E68" w:rsidRDefault="002C7305" w:rsidP="002C7305">
      <w:pPr>
        <w:pStyle w:val="DocHeading01"/>
      </w:pPr>
      <w:bookmarkStart w:id="66" w:name="_Toc140148413"/>
      <w:bookmarkStart w:id="67" w:name="_Toc140149911"/>
      <w:r w:rsidRPr="00BB2FC2">
        <w:lastRenderedPageBreak/>
        <w:t>Future IHC program options</w:t>
      </w:r>
      <w:bookmarkEnd w:id="64"/>
      <w:bookmarkEnd w:id="65"/>
      <w:bookmarkEnd w:id="66"/>
      <w:bookmarkEnd w:id="67"/>
    </w:p>
    <w:p w14:paraId="11CEF72B" w14:textId="5C16BDA2" w:rsidR="002C7305" w:rsidRPr="00D96E68" w:rsidRDefault="002C7305" w:rsidP="0038133A">
      <w:pPr>
        <w:pStyle w:val="DocBodyText"/>
        <w:spacing w:after="0"/>
        <w:rPr>
          <w:rFonts w:cstheme="minorHAnsi"/>
        </w:rPr>
      </w:pPr>
      <w:r w:rsidRPr="00D96E68">
        <w:t xml:space="preserve">As part of a co-design process with the Department, options for change </w:t>
      </w:r>
      <w:r w:rsidR="00686C4D">
        <w:t>were</w:t>
      </w:r>
      <w:r w:rsidRPr="00D96E68">
        <w:t xml:space="preserve"> developed and assessed based on an agreed MCA framework (see Appendix </w:t>
      </w:r>
      <w:r w:rsidR="00EE2F22">
        <w:t>C</w:t>
      </w:r>
      <w:r w:rsidRPr="00D96E68">
        <w:t>). The</w:t>
      </w:r>
      <w:r w:rsidRPr="00D96E68">
        <w:rPr>
          <w:rFonts w:cstheme="minorHAnsi"/>
        </w:rPr>
        <w:t xml:space="preserve"> range of options are presented in </w:t>
      </w:r>
      <w:r w:rsidRPr="00D96E68">
        <w:rPr>
          <w:rFonts w:cstheme="minorHAnsi"/>
        </w:rPr>
        <w:fldChar w:fldCharType="begin"/>
      </w:r>
      <w:r w:rsidRPr="00D96E68">
        <w:rPr>
          <w:rFonts w:cstheme="minorHAnsi"/>
        </w:rPr>
        <w:instrText xml:space="preserve"> REF _Ref138325804 \h  \* MERGEFORMAT </w:instrText>
      </w:r>
      <w:r w:rsidRPr="00D96E68">
        <w:rPr>
          <w:rFonts w:cstheme="minorHAnsi"/>
        </w:rPr>
      </w:r>
      <w:r w:rsidRPr="00D96E68">
        <w:rPr>
          <w:rFonts w:cstheme="minorHAnsi"/>
        </w:rPr>
        <w:fldChar w:fldCharType="separate"/>
      </w:r>
      <w:r w:rsidR="00943DE9" w:rsidRPr="00D96E68">
        <w:t xml:space="preserve">Figure </w:t>
      </w:r>
      <w:r w:rsidR="00943DE9">
        <w:rPr>
          <w:noProof/>
        </w:rPr>
        <w:t>11</w:t>
      </w:r>
      <w:r w:rsidRPr="00D96E68">
        <w:rPr>
          <w:rFonts w:cstheme="minorHAnsi"/>
        </w:rPr>
        <w:fldChar w:fldCharType="end"/>
      </w:r>
      <w:r w:rsidRPr="00D96E68">
        <w:rPr>
          <w:rFonts w:cstheme="minorHAnsi"/>
        </w:rPr>
        <w:t>.</w:t>
      </w:r>
    </w:p>
    <w:p w14:paraId="4BECE69D" w14:textId="7536F1DB" w:rsidR="002C7305" w:rsidRPr="00D96E68" w:rsidRDefault="002C7305" w:rsidP="0038133A">
      <w:pPr>
        <w:pStyle w:val="DocTableHeader"/>
        <w:spacing w:before="120"/>
      </w:pPr>
      <w:bookmarkStart w:id="68" w:name="_Ref138325804"/>
      <w:r w:rsidRPr="00D96E68">
        <w:t xml:space="preserve">Figure </w:t>
      </w:r>
      <w:r w:rsidRPr="00D96E68">
        <w:fldChar w:fldCharType="begin"/>
      </w:r>
      <w:r w:rsidRPr="00D96E68">
        <w:instrText>SEQ Figure \* ARABIC</w:instrText>
      </w:r>
      <w:r w:rsidRPr="00D96E68">
        <w:fldChar w:fldCharType="separate"/>
      </w:r>
      <w:r w:rsidR="00943DE9">
        <w:rPr>
          <w:noProof/>
        </w:rPr>
        <w:t>11</w:t>
      </w:r>
      <w:r w:rsidRPr="00D96E68">
        <w:fldChar w:fldCharType="end"/>
      </w:r>
      <w:bookmarkEnd w:id="68"/>
      <w:r w:rsidRPr="00D96E68">
        <w:t xml:space="preserve"> Summary of options</w:t>
      </w:r>
    </w:p>
    <w:tbl>
      <w:tblPr>
        <w:tblStyle w:val="PwCColour"/>
        <w:tblW w:w="5000" w:type="pct"/>
        <w:tblLook w:val="04A0" w:firstRow="1" w:lastRow="0" w:firstColumn="1" w:lastColumn="0" w:noHBand="0" w:noVBand="1"/>
      </w:tblPr>
      <w:tblGrid>
        <w:gridCol w:w="1699"/>
        <w:gridCol w:w="4656"/>
        <w:gridCol w:w="1129"/>
        <w:gridCol w:w="1129"/>
        <w:gridCol w:w="1128"/>
      </w:tblGrid>
      <w:tr w:rsidR="002C7305" w:rsidRPr="008549AA" w14:paraId="4FF20C59" w14:textId="77777777" w:rsidTr="007A7461">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1699" w:type="dxa"/>
            <w:tcBorders>
              <w:bottom w:val="dotted" w:sz="8" w:space="0" w:color="7D7D7D" w:themeColor="text2"/>
            </w:tcBorders>
            <w:shd w:val="clear" w:color="auto" w:fill="D04A02" w:themeFill="accent1"/>
            <w:tcMar>
              <w:top w:w="28" w:type="dxa"/>
              <w:left w:w="85" w:type="dxa"/>
              <w:bottom w:w="28" w:type="dxa"/>
              <w:right w:w="85" w:type="dxa"/>
            </w:tcMar>
          </w:tcPr>
          <w:p w14:paraId="3C041072" w14:textId="77777777" w:rsidR="002C7305" w:rsidRPr="008549AA" w:rsidRDefault="002C7305" w:rsidP="007A7461">
            <w:pPr>
              <w:pStyle w:val="PwCNormal"/>
              <w:numPr>
                <w:ilvl w:val="0"/>
                <w:numId w:val="0"/>
              </w:numPr>
              <w:spacing w:before="0" w:line="269" w:lineRule="auto"/>
              <w:rPr>
                <w:rFonts w:asciiTheme="minorHAnsi" w:hAnsiTheme="minorHAnsi" w:cstheme="minorHAnsi"/>
                <w:b/>
                <w:bCs/>
                <w:color w:val="FFFFFF" w:themeColor="background1"/>
                <w:sz w:val="20"/>
              </w:rPr>
            </w:pPr>
            <w:r w:rsidRPr="008549AA">
              <w:rPr>
                <w:rFonts w:asciiTheme="minorHAnsi" w:hAnsiTheme="minorHAnsi" w:cstheme="minorHAnsi"/>
                <w:b/>
                <w:bCs/>
                <w:color w:val="FFFFFF" w:themeColor="background1"/>
                <w:sz w:val="20"/>
              </w:rPr>
              <w:t>Focus area</w:t>
            </w:r>
          </w:p>
        </w:tc>
        <w:tc>
          <w:tcPr>
            <w:tcW w:w="4654" w:type="dxa"/>
            <w:tcBorders>
              <w:bottom w:val="dotted" w:sz="8" w:space="0" w:color="7D7D7D" w:themeColor="text2"/>
            </w:tcBorders>
            <w:shd w:val="clear" w:color="auto" w:fill="D04A02" w:themeFill="accent1"/>
            <w:tcMar>
              <w:top w:w="28" w:type="dxa"/>
              <w:left w:w="85" w:type="dxa"/>
              <w:bottom w:w="28" w:type="dxa"/>
              <w:right w:w="85" w:type="dxa"/>
            </w:tcMar>
          </w:tcPr>
          <w:p w14:paraId="02F7BEF5" w14:textId="77777777" w:rsidR="002C7305" w:rsidRPr="008549AA" w:rsidRDefault="002C7305" w:rsidP="007A7461">
            <w:pPr>
              <w:pStyle w:val="PwCNormal"/>
              <w:numPr>
                <w:ilvl w:val="0"/>
                <w:numId w:val="0"/>
              </w:numPr>
              <w:spacing w:before="0" w:line="269"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sz w:val="20"/>
              </w:rPr>
            </w:pPr>
            <w:r w:rsidRPr="008549AA">
              <w:rPr>
                <w:rFonts w:asciiTheme="minorHAnsi" w:hAnsiTheme="minorHAnsi" w:cstheme="minorHAnsi"/>
                <w:b/>
                <w:bCs/>
                <w:color w:val="FFFFFF" w:themeColor="background1"/>
                <w:sz w:val="20"/>
              </w:rPr>
              <w:t>Option</w:t>
            </w:r>
          </w:p>
        </w:tc>
        <w:tc>
          <w:tcPr>
            <w:tcW w:w="3383" w:type="dxa"/>
            <w:gridSpan w:val="3"/>
            <w:tcBorders>
              <w:bottom w:val="dotted" w:sz="8" w:space="0" w:color="7D7D7D" w:themeColor="text2"/>
            </w:tcBorders>
            <w:shd w:val="clear" w:color="auto" w:fill="D04A02" w:themeFill="accent1"/>
            <w:tcMar>
              <w:top w:w="28" w:type="dxa"/>
              <w:left w:w="85" w:type="dxa"/>
              <w:bottom w:w="28" w:type="dxa"/>
              <w:right w:w="85" w:type="dxa"/>
            </w:tcMar>
          </w:tcPr>
          <w:p w14:paraId="756572CD" w14:textId="77777777" w:rsidR="002C7305" w:rsidRPr="008549AA" w:rsidRDefault="002C7305" w:rsidP="007A7461">
            <w:pPr>
              <w:pStyle w:val="PwCNormal"/>
              <w:numPr>
                <w:ilvl w:val="0"/>
                <w:numId w:val="0"/>
              </w:numPr>
              <w:spacing w:before="0" w:line="269"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sz w:val="20"/>
              </w:rPr>
            </w:pPr>
            <w:r w:rsidRPr="008549AA">
              <w:rPr>
                <w:rFonts w:asciiTheme="minorHAnsi" w:hAnsiTheme="minorHAnsi" w:cstheme="minorHAnsi"/>
                <w:b/>
                <w:bCs/>
                <w:color w:val="FFFFFF" w:themeColor="background1"/>
                <w:sz w:val="20"/>
              </w:rPr>
              <w:t>Families impacted</w:t>
            </w:r>
          </w:p>
        </w:tc>
      </w:tr>
      <w:tr w:rsidR="002C7305" w:rsidRPr="008549AA" w14:paraId="23008977" w14:textId="77777777" w:rsidTr="007A7461">
        <w:tc>
          <w:tcPr>
            <w:tcW w:w="1699" w:type="dxa"/>
            <w:vMerge w:val="restart"/>
            <w:tcBorders>
              <w:top w:val="dotted" w:sz="8" w:space="0" w:color="7D7D7D" w:themeColor="text2"/>
            </w:tcBorders>
            <w:shd w:val="clear" w:color="auto" w:fill="F2F2F2" w:themeFill="background1" w:themeFillShade="F2"/>
            <w:tcMar>
              <w:top w:w="28" w:type="dxa"/>
              <w:left w:w="85" w:type="dxa"/>
              <w:bottom w:w="28" w:type="dxa"/>
              <w:right w:w="85" w:type="dxa"/>
            </w:tcMar>
          </w:tcPr>
          <w:p w14:paraId="13D09611" w14:textId="77777777" w:rsidR="002C7305" w:rsidRPr="008549AA" w:rsidRDefault="002C7305" w:rsidP="007A7461">
            <w:pPr>
              <w:pStyle w:val="PwCNormal"/>
              <w:numPr>
                <w:ilvl w:val="0"/>
                <w:numId w:val="0"/>
              </w:numPr>
              <w:spacing w:before="0" w:line="269" w:lineRule="auto"/>
              <w:rPr>
                <w:rFonts w:asciiTheme="minorHAnsi" w:hAnsiTheme="minorHAnsi" w:cstheme="minorHAnsi"/>
                <w:b/>
                <w:bCs/>
                <w:sz w:val="20"/>
              </w:rPr>
            </w:pPr>
            <w:r w:rsidRPr="008549AA">
              <w:rPr>
                <w:rFonts w:asciiTheme="minorHAnsi" w:hAnsiTheme="minorHAnsi" w:cstheme="minorHAnsi"/>
                <w:b/>
                <w:bCs/>
                <w:sz w:val="20"/>
              </w:rPr>
              <w:t>Options to improve demand management</w:t>
            </w:r>
          </w:p>
        </w:tc>
        <w:tc>
          <w:tcPr>
            <w:tcW w:w="4654" w:type="dxa"/>
            <w:tcBorders>
              <w:top w:val="dotted" w:sz="8" w:space="0" w:color="7D7D7D" w:themeColor="text2"/>
              <w:bottom w:val="dashSmallGap" w:sz="4" w:space="0" w:color="D04A02" w:themeColor="accent1"/>
            </w:tcBorders>
            <w:tcMar>
              <w:top w:w="28" w:type="dxa"/>
              <w:left w:w="85" w:type="dxa"/>
              <w:bottom w:w="28" w:type="dxa"/>
              <w:right w:w="85" w:type="dxa"/>
            </w:tcMar>
          </w:tcPr>
          <w:p w14:paraId="4419B496" w14:textId="77777777" w:rsidR="002C7305" w:rsidRPr="008549AA" w:rsidRDefault="002C7305" w:rsidP="007A7461">
            <w:pPr>
              <w:pStyle w:val="PwCNormal"/>
              <w:numPr>
                <w:ilvl w:val="0"/>
                <w:numId w:val="0"/>
              </w:numPr>
              <w:spacing w:before="0" w:line="269" w:lineRule="auto"/>
              <w:rPr>
                <w:rFonts w:asciiTheme="minorHAnsi" w:hAnsiTheme="minorHAnsi" w:cstheme="minorHAnsi"/>
                <w:sz w:val="20"/>
              </w:rPr>
            </w:pPr>
            <w:r w:rsidRPr="008549AA">
              <w:rPr>
                <w:rFonts w:asciiTheme="minorHAnsi" w:hAnsiTheme="minorHAnsi" w:cstheme="minorHAnsi"/>
                <w:sz w:val="20"/>
              </w:rPr>
              <w:t>Better support transition of some families from IHC to mainstream ECEC or alternative service systems.</w:t>
            </w:r>
          </w:p>
        </w:tc>
        <w:tc>
          <w:tcPr>
            <w:tcW w:w="1128" w:type="dxa"/>
            <w:tcBorders>
              <w:top w:val="dotted" w:sz="8" w:space="0" w:color="7D7D7D" w:themeColor="text2"/>
              <w:bottom w:val="dashSmallGap" w:sz="4" w:space="0" w:color="D04A02" w:themeColor="accent1"/>
            </w:tcBorders>
            <w:tcMar>
              <w:top w:w="28" w:type="dxa"/>
              <w:left w:w="85" w:type="dxa"/>
              <w:bottom w:w="28" w:type="dxa"/>
              <w:right w:w="85" w:type="dxa"/>
            </w:tcMar>
          </w:tcPr>
          <w:p w14:paraId="2931B0FD"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67717483" wp14:editId="7F7CE430">
                  <wp:extent cx="295200" cy="295200"/>
                  <wp:effectExtent l="0" t="0" r="0" b="0"/>
                  <wp:docPr id="105" name="Picture 105"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95200" cy="295200"/>
                          </a:xfrm>
                          <a:prstGeom prst="rect">
                            <a:avLst/>
                          </a:prstGeom>
                        </pic:spPr>
                      </pic:pic>
                    </a:graphicData>
                  </a:graphic>
                </wp:inline>
              </w:drawing>
            </w:r>
          </w:p>
        </w:tc>
        <w:tc>
          <w:tcPr>
            <w:tcW w:w="1128" w:type="dxa"/>
            <w:tcBorders>
              <w:top w:val="dotted" w:sz="8" w:space="0" w:color="7D7D7D" w:themeColor="text2"/>
              <w:bottom w:val="dashSmallGap" w:sz="4" w:space="0" w:color="D04A02" w:themeColor="accent1"/>
            </w:tcBorders>
            <w:tcMar>
              <w:top w:w="28" w:type="dxa"/>
              <w:left w:w="85" w:type="dxa"/>
              <w:bottom w:w="28" w:type="dxa"/>
              <w:right w:w="85" w:type="dxa"/>
            </w:tcMar>
          </w:tcPr>
          <w:p w14:paraId="725FB339"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4FAA67B5" wp14:editId="754B13E0">
                  <wp:extent cx="305933" cy="305933"/>
                  <wp:effectExtent l="0" t="0" r="0" b="0"/>
                  <wp:docPr id="106" name="Picture 106"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13342" cy="313342"/>
                          </a:xfrm>
                          <a:prstGeom prst="rect">
                            <a:avLst/>
                          </a:prstGeom>
                        </pic:spPr>
                      </pic:pic>
                    </a:graphicData>
                  </a:graphic>
                </wp:inline>
              </w:drawing>
            </w:r>
          </w:p>
        </w:tc>
        <w:tc>
          <w:tcPr>
            <w:tcW w:w="1127" w:type="dxa"/>
            <w:tcBorders>
              <w:top w:val="dotted" w:sz="8" w:space="0" w:color="7D7D7D" w:themeColor="text2"/>
              <w:bottom w:val="dashSmallGap" w:sz="4" w:space="0" w:color="D04A02" w:themeColor="accent1"/>
            </w:tcBorders>
            <w:tcMar>
              <w:top w:w="28" w:type="dxa"/>
              <w:left w:w="85" w:type="dxa"/>
              <w:bottom w:w="28" w:type="dxa"/>
              <w:right w:w="85" w:type="dxa"/>
            </w:tcMar>
          </w:tcPr>
          <w:p w14:paraId="5C6B7F53"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1EC4E6BE" wp14:editId="0D18688E">
                  <wp:extent cx="302534" cy="302534"/>
                  <wp:effectExtent l="0" t="0" r="2540" b="2540"/>
                  <wp:docPr id="107" name="Picture 107"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08605" cy="308605"/>
                          </a:xfrm>
                          <a:prstGeom prst="rect">
                            <a:avLst/>
                          </a:prstGeom>
                        </pic:spPr>
                      </pic:pic>
                    </a:graphicData>
                  </a:graphic>
                </wp:inline>
              </w:drawing>
            </w:r>
          </w:p>
        </w:tc>
      </w:tr>
      <w:tr w:rsidR="002C7305" w:rsidRPr="008549AA" w14:paraId="2A32279E" w14:textId="77777777" w:rsidTr="007A7461">
        <w:tc>
          <w:tcPr>
            <w:tcW w:w="1699" w:type="dxa"/>
            <w:vMerge/>
            <w:tcBorders>
              <w:bottom w:val="single" w:sz="4" w:space="0" w:color="D04A02" w:themeColor="accent1"/>
            </w:tcBorders>
            <w:shd w:val="clear" w:color="auto" w:fill="F2F2F2" w:themeFill="background1" w:themeFillShade="F2"/>
            <w:tcMar>
              <w:top w:w="28" w:type="dxa"/>
              <w:left w:w="85" w:type="dxa"/>
              <w:bottom w:w="28" w:type="dxa"/>
              <w:right w:w="85" w:type="dxa"/>
            </w:tcMar>
          </w:tcPr>
          <w:p w14:paraId="66A66CCD" w14:textId="77777777" w:rsidR="002C7305" w:rsidRPr="008549AA" w:rsidRDefault="002C7305" w:rsidP="007A7461">
            <w:pPr>
              <w:pStyle w:val="PwCNormal"/>
              <w:numPr>
                <w:ilvl w:val="0"/>
                <w:numId w:val="0"/>
              </w:numPr>
              <w:spacing w:before="0" w:line="269" w:lineRule="auto"/>
              <w:rPr>
                <w:rFonts w:asciiTheme="minorHAnsi" w:hAnsiTheme="minorHAnsi" w:cstheme="minorHAnsi"/>
                <w:b/>
                <w:bCs/>
                <w:sz w:val="20"/>
              </w:rPr>
            </w:pPr>
          </w:p>
        </w:tc>
        <w:tc>
          <w:tcPr>
            <w:tcW w:w="4654" w:type="dxa"/>
            <w:tcBorders>
              <w:top w:val="dashSmallGap" w:sz="4" w:space="0" w:color="D04A02" w:themeColor="accent1"/>
              <w:bottom w:val="single" w:sz="4" w:space="0" w:color="D04A02" w:themeColor="accent1"/>
            </w:tcBorders>
            <w:tcMar>
              <w:top w:w="28" w:type="dxa"/>
              <w:left w:w="85" w:type="dxa"/>
              <w:bottom w:w="28" w:type="dxa"/>
              <w:right w:w="85" w:type="dxa"/>
            </w:tcMar>
          </w:tcPr>
          <w:p w14:paraId="19A8D4C2" w14:textId="12A889C4" w:rsidR="002C7305" w:rsidRPr="008549AA" w:rsidRDefault="002C7305" w:rsidP="007A7461">
            <w:pPr>
              <w:pStyle w:val="PwCNormal"/>
              <w:numPr>
                <w:ilvl w:val="0"/>
                <w:numId w:val="0"/>
              </w:numPr>
              <w:spacing w:before="0" w:line="269" w:lineRule="auto"/>
              <w:rPr>
                <w:rFonts w:asciiTheme="minorHAnsi" w:hAnsiTheme="minorHAnsi" w:cstheme="minorHAnsi"/>
                <w:sz w:val="20"/>
              </w:rPr>
            </w:pPr>
            <w:r w:rsidRPr="008549AA">
              <w:rPr>
                <w:rFonts w:asciiTheme="minorHAnsi" w:hAnsiTheme="minorHAnsi" w:cstheme="minorHAnsi"/>
                <w:sz w:val="20"/>
              </w:rPr>
              <w:t>Streamline and simplify administrative processes and responsibilities</w:t>
            </w:r>
          </w:p>
        </w:tc>
        <w:tc>
          <w:tcPr>
            <w:tcW w:w="1128" w:type="dxa"/>
            <w:tcBorders>
              <w:top w:val="dashSmallGap" w:sz="4" w:space="0" w:color="D04A02" w:themeColor="accent1"/>
              <w:bottom w:val="single" w:sz="4" w:space="0" w:color="D04A02" w:themeColor="accent1"/>
            </w:tcBorders>
            <w:tcMar>
              <w:top w:w="28" w:type="dxa"/>
              <w:left w:w="85" w:type="dxa"/>
              <w:bottom w:w="28" w:type="dxa"/>
              <w:right w:w="85" w:type="dxa"/>
            </w:tcMar>
          </w:tcPr>
          <w:p w14:paraId="7CF6D99C"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4624E620" wp14:editId="147395A1">
                  <wp:extent cx="295735" cy="295735"/>
                  <wp:effectExtent l="0" t="0" r="0" b="9525"/>
                  <wp:docPr id="109" name="Picture 109"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98683" cy="298683"/>
                          </a:xfrm>
                          <a:prstGeom prst="rect">
                            <a:avLst/>
                          </a:prstGeom>
                        </pic:spPr>
                      </pic:pic>
                    </a:graphicData>
                  </a:graphic>
                </wp:inline>
              </w:drawing>
            </w:r>
          </w:p>
        </w:tc>
        <w:tc>
          <w:tcPr>
            <w:tcW w:w="1128" w:type="dxa"/>
            <w:tcBorders>
              <w:top w:val="dashSmallGap" w:sz="4" w:space="0" w:color="D04A02" w:themeColor="accent1"/>
              <w:bottom w:val="single" w:sz="4" w:space="0" w:color="D04A02" w:themeColor="accent1"/>
            </w:tcBorders>
            <w:tcMar>
              <w:top w:w="28" w:type="dxa"/>
              <w:left w:w="85" w:type="dxa"/>
              <w:bottom w:w="28" w:type="dxa"/>
              <w:right w:w="85" w:type="dxa"/>
            </w:tcMar>
          </w:tcPr>
          <w:p w14:paraId="25072C49"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7BD1969F" wp14:editId="15D12B37">
                  <wp:extent cx="299134" cy="299134"/>
                  <wp:effectExtent l="0" t="0" r="5715" b="5715"/>
                  <wp:docPr id="110" name="Picture 110"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03519" cy="303519"/>
                          </a:xfrm>
                          <a:prstGeom prst="rect">
                            <a:avLst/>
                          </a:prstGeom>
                        </pic:spPr>
                      </pic:pic>
                    </a:graphicData>
                  </a:graphic>
                </wp:inline>
              </w:drawing>
            </w:r>
          </w:p>
        </w:tc>
        <w:tc>
          <w:tcPr>
            <w:tcW w:w="1127" w:type="dxa"/>
            <w:tcBorders>
              <w:top w:val="dashSmallGap" w:sz="4" w:space="0" w:color="D04A02" w:themeColor="accent1"/>
              <w:bottom w:val="single" w:sz="4" w:space="0" w:color="D04A02" w:themeColor="accent1"/>
            </w:tcBorders>
            <w:tcMar>
              <w:top w:w="28" w:type="dxa"/>
              <w:left w:w="85" w:type="dxa"/>
              <w:bottom w:w="28" w:type="dxa"/>
              <w:right w:w="85" w:type="dxa"/>
            </w:tcMar>
          </w:tcPr>
          <w:p w14:paraId="1F3AB4AE"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4A31997F" wp14:editId="3CC96915">
                  <wp:extent cx="278739" cy="278739"/>
                  <wp:effectExtent l="0" t="0" r="7620" b="7620"/>
                  <wp:docPr id="111" name="Picture 111"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79969" cy="279969"/>
                          </a:xfrm>
                          <a:prstGeom prst="rect">
                            <a:avLst/>
                          </a:prstGeom>
                        </pic:spPr>
                      </pic:pic>
                    </a:graphicData>
                  </a:graphic>
                </wp:inline>
              </w:drawing>
            </w:r>
          </w:p>
        </w:tc>
      </w:tr>
      <w:tr w:rsidR="002C7305" w:rsidRPr="008549AA" w14:paraId="44856D1A" w14:textId="77777777" w:rsidTr="007A7461">
        <w:tc>
          <w:tcPr>
            <w:tcW w:w="1699" w:type="dxa"/>
            <w:vMerge w:val="restart"/>
            <w:tcBorders>
              <w:top w:val="single" w:sz="4" w:space="0" w:color="D04A02" w:themeColor="accent1"/>
            </w:tcBorders>
            <w:shd w:val="clear" w:color="auto" w:fill="F2F2F2" w:themeFill="background1" w:themeFillShade="F2"/>
            <w:tcMar>
              <w:top w:w="28" w:type="dxa"/>
              <w:left w:w="85" w:type="dxa"/>
              <w:bottom w:w="28" w:type="dxa"/>
              <w:right w:w="85" w:type="dxa"/>
            </w:tcMar>
          </w:tcPr>
          <w:p w14:paraId="612698E9" w14:textId="77777777" w:rsidR="002C7305" w:rsidRPr="008549AA" w:rsidRDefault="002C7305" w:rsidP="007A7461">
            <w:pPr>
              <w:pStyle w:val="PwCNormal"/>
              <w:numPr>
                <w:ilvl w:val="0"/>
                <w:numId w:val="0"/>
              </w:numPr>
              <w:spacing w:before="0" w:line="269" w:lineRule="auto"/>
              <w:rPr>
                <w:rFonts w:asciiTheme="minorHAnsi" w:hAnsiTheme="minorHAnsi" w:cstheme="minorHAnsi"/>
                <w:b/>
                <w:bCs/>
                <w:sz w:val="20"/>
              </w:rPr>
            </w:pPr>
            <w:r w:rsidRPr="008549AA">
              <w:rPr>
                <w:rFonts w:asciiTheme="minorHAnsi" w:hAnsiTheme="minorHAnsi" w:cstheme="minorHAnsi"/>
                <w:b/>
                <w:bCs/>
                <w:sz w:val="20"/>
              </w:rPr>
              <w:t>Expanding and supporting the provider market</w:t>
            </w:r>
          </w:p>
        </w:tc>
        <w:tc>
          <w:tcPr>
            <w:tcW w:w="4654" w:type="dxa"/>
            <w:tcBorders>
              <w:top w:val="single" w:sz="4" w:space="0" w:color="D04A02" w:themeColor="accent1"/>
              <w:bottom w:val="dashSmallGap" w:sz="4" w:space="0" w:color="D04A02" w:themeColor="accent1"/>
            </w:tcBorders>
            <w:tcMar>
              <w:top w:w="28" w:type="dxa"/>
              <w:left w:w="85" w:type="dxa"/>
              <w:bottom w:w="28" w:type="dxa"/>
              <w:right w:w="85" w:type="dxa"/>
            </w:tcMar>
          </w:tcPr>
          <w:p w14:paraId="20C50B8C" w14:textId="66B9DC19" w:rsidR="002C7305" w:rsidRPr="008549AA" w:rsidRDefault="002C7305" w:rsidP="007A7461">
            <w:pPr>
              <w:pStyle w:val="PwCNormal"/>
              <w:numPr>
                <w:ilvl w:val="0"/>
                <w:numId w:val="0"/>
              </w:numPr>
              <w:spacing w:before="0" w:line="269" w:lineRule="auto"/>
              <w:rPr>
                <w:rFonts w:asciiTheme="minorHAnsi" w:hAnsiTheme="minorHAnsi" w:cstheme="minorHAnsi"/>
                <w:sz w:val="20"/>
              </w:rPr>
            </w:pPr>
            <w:r w:rsidRPr="008549AA">
              <w:rPr>
                <w:rFonts w:asciiTheme="minorHAnsi" w:hAnsiTheme="minorHAnsi" w:cstheme="minorHAnsi"/>
                <w:sz w:val="20"/>
              </w:rPr>
              <w:t>Expand FDC to provide additional support to IHC eligible families</w:t>
            </w:r>
          </w:p>
        </w:tc>
        <w:tc>
          <w:tcPr>
            <w:tcW w:w="1128" w:type="dxa"/>
            <w:tcBorders>
              <w:top w:val="single" w:sz="4" w:space="0" w:color="D04A02" w:themeColor="accent1"/>
              <w:bottom w:val="dashSmallGap" w:sz="4" w:space="0" w:color="D04A02" w:themeColor="accent1"/>
            </w:tcBorders>
            <w:tcMar>
              <w:top w:w="28" w:type="dxa"/>
              <w:left w:w="85" w:type="dxa"/>
              <w:bottom w:w="28" w:type="dxa"/>
              <w:right w:w="85" w:type="dxa"/>
            </w:tcMar>
          </w:tcPr>
          <w:p w14:paraId="4258B8B9"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51E06C91" wp14:editId="252F2350">
                  <wp:extent cx="336526" cy="336526"/>
                  <wp:effectExtent l="0" t="0" r="0" b="6985"/>
                  <wp:docPr id="113" name="Picture 113"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40992" cy="340992"/>
                          </a:xfrm>
                          <a:prstGeom prst="rect">
                            <a:avLst/>
                          </a:prstGeom>
                        </pic:spPr>
                      </pic:pic>
                    </a:graphicData>
                  </a:graphic>
                </wp:inline>
              </w:drawing>
            </w:r>
          </w:p>
        </w:tc>
        <w:tc>
          <w:tcPr>
            <w:tcW w:w="1128" w:type="dxa"/>
            <w:tcBorders>
              <w:top w:val="single" w:sz="4" w:space="0" w:color="D04A02" w:themeColor="accent1"/>
              <w:bottom w:val="dashSmallGap" w:sz="4" w:space="0" w:color="D04A02" w:themeColor="accent1"/>
            </w:tcBorders>
            <w:tcMar>
              <w:top w:w="28" w:type="dxa"/>
              <w:left w:w="85" w:type="dxa"/>
              <w:bottom w:w="28" w:type="dxa"/>
              <w:right w:w="85" w:type="dxa"/>
            </w:tcMar>
          </w:tcPr>
          <w:p w14:paraId="60B37A41"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24B8F3B7" wp14:editId="31400141">
                  <wp:extent cx="319530" cy="319530"/>
                  <wp:effectExtent l="0" t="0" r="4445" b="4445"/>
                  <wp:docPr id="119" name="Picture 119"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23984" cy="323984"/>
                          </a:xfrm>
                          <a:prstGeom prst="rect">
                            <a:avLst/>
                          </a:prstGeom>
                        </pic:spPr>
                      </pic:pic>
                    </a:graphicData>
                  </a:graphic>
                </wp:inline>
              </w:drawing>
            </w:r>
          </w:p>
        </w:tc>
        <w:tc>
          <w:tcPr>
            <w:tcW w:w="1127" w:type="dxa"/>
            <w:tcBorders>
              <w:top w:val="single" w:sz="4" w:space="0" w:color="D04A02" w:themeColor="accent1"/>
              <w:bottom w:val="dashSmallGap" w:sz="4" w:space="0" w:color="D04A02" w:themeColor="accent1"/>
            </w:tcBorders>
            <w:tcMar>
              <w:top w:w="28" w:type="dxa"/>
              <w:left w:w="85" w:type="dxa"/>
              <w:bottom w:w="28" w:type="dxa"/>
              <w:right w:w="85" w:type="dxa"/>
            </w:tcMar>
          </w:tcPr>
          <w:p w14:paraId="606602C7"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1D18FE5D" wp14:editId="331D4467">
                  <wp:extent cx="288937" cy="288937"/>
                  <wp:effectExtent l="0" t="0" r="0" b="0"/>
                  <wp:docPr id="120" name="Picture 120"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92088" cy="292088"/>
                          </a:xfrm>
                          <a:prstGeom prst="rect">
                            <a:avLst/>
                          </a:prstGeom>
                        </pic:spPr>
                      </pic:pic>
                    </a:graphicData>
                  </a:graphic>
                </wp:inline>
              </w:drawing>
            </w:r>
          </w:p>
        </w:tc>
      </w:tr>
      <w:tr w:rsidR="002C7305" w:rsidRPr="008549AA" w14:paraId="1E096FEF" w14:textId="77777777" w:rsidTr="007A7461">
        <w:tc>
          <w:tcPr>
            <w:tcW w:w="1699" w:type="dxa"/>
            <w:vMerge/>
            <w:shd w:val="clear" w:color="auto" w:fill="F2F2F2" w:themeFill="background1" w:themeFillShade="F2"/>
            <w:tcMar>
              <w:top w:w="28" w:type="dxa"/>
              <w:left w:w="85" w:type="dxa"/>
              <w:bottom w:w="28" w:type="dxa"/>
              <w:right w:w="85" w:type="dxa"/>
            </w:tcMar>
          </w:tcPr>
          <w:p w14:paraId="4DB74BFF" w14:textId="77777777" w:rsidR="002C7305" w:rsidRPr="008549AA" w:rsidRDefault="002C7305" w:rsidP="007A7461">
            <w:pPr>
              <w:pStyle w:val="PwCNormal"/>
              <w:numPr>
                <w:ilvl w:val="0"/>
                <w:numId w:val="0"/>
              </w:numPr>
              <w:spacing w:before="0" w:line="269" w:lineRule="auto"/>
              <w:rPr>
                <w:rFonts w:asciiTheme="minorHAnsi" w:hAnsiTheme="minorHAnsi" w:cstheme="minorHAnsi"/>
                <w:b/>
                <w:bCs/>
                <w:sz w:val="20"/>
              </w:rPr>
            </w:pPr>
          </w:p>
        </w:tc>
        <w:tc>
          <w:tcPr>
            <w:tcW w:w="4654"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0BEB4F68" w14:textId="77777777" w:rsidR="002C7305" w:rsidRPr="008549AA" w:rsidRDefault="002C7305" w:rsidP="007A7461">
            <w:pPr>
              <w:pStyle w:val="PwCNormal"/>
              <w:numPr>
                <w:ilvl w:val="0"/>
                <w:numId w:val="0"/>
              </w:numPr>
              <w:spacing w:before="0" w:line="269" w:lineRule="auto"/>
              <w:rPr>
                <w:rFonts w:asciiTheme="minorHAnsi" w:hAnsiTheme="minorHAnsi" w:cstheme="minorHAnsi"/>
                <w:sz w:val="20"/>
              </w:rPr>
            </w:pPr>
            <w:r w:rsidRPr="008549AA">
              <w:rPr>
                <w:rFonts w:asciiTheme="minorHAnsi" w:hAnsiTheme="minorHAnsi" w:cstheme="minorHAnsi"/>
                <w:sz w:val="20"/>
              </w:rPr>
              <w:t>Alternative delivery models of IHC</w:t>
            </w:r>
          </w:p>
        </w:tc>
        <w:tc>
          <w:tcPr>
            <w:tcW w:w="1128"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5D51ED1F"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3AAA8C82" wp14:editId="1C6A7747">
                  <wp:extent cx="316131" cy="316131"/>
                  <wp:effectExtent l="0" t="0" r="0" b="8255"/>
                  <wp:docPr id="121" name="Picture 121"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9076" cy="319076"/>
                          </a:xfrm>
                          <a:prstGeom prst="rect">
                            <a:avLst/>
                          </a:prstGeom>
                        </pic:spPr>
                      </pic:pic>
                    </a:graphicData>
                  </a:graphic>
                </wp:inline>
              </w:drawing>
            </w:r>
          </w:p>
        </w:tc>
        <w:tc>
          <w:tcPr>
            <w:tcW w:w="1128"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2B029BC6"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2C18543C" wp14:editId="4C655335">
                  <wp:extent cx="322929" cy="322929"/>
                  <wp:effectExtent l="0" t="0" r="1270" b="1270"/>
                  <wp:docPr id="122" name="Picture 122"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27879" cy="327879"/>
                          </a:xfrm>
                          <a:prstGeom prst="rect">
                            <a:avLst/>
                          </a:prstGeom>
                        </pic:spPr>
                      </pic:pic>
                    </a:graphicData>
                  </a:graphic>
                </wp:inline>
              </w:drawing>
            </w:r>
          </w:p>
        </w:tc>
        <w:tc>
          <w:tcPr>
            <w:tcW w:w="1127"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1E1EC8C8"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6D73380B" wp14:editId="6635E61A">
                  <wp:extent cx="309332" cy="309332"/>
                  <wp:effectExtent l="0" t="0" r="0" b="0"/>
                  <wp:docPr id="123" name="Picture 123"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11187" cy="311187"/>
                          </a:xfrm>
                          <a:prstGeom prst="rect">
                            <a:avLst/>
                          </a:prstGeom>
                        </pic:spPr>
                      </pic:pic>
                    </a:graphicData>
                  </a:graphic>
                </wp:inline>
              </w:drawing>
            </w:r>
          </w:p>
        </w:tc>
      </w:tr>
      <w:tr w:rsidR="002C7305" w:rsidRPr="008549AA" w14:paraId="5BDA189C" w14:textId="77777777" w:rsidTr="007A7461">
        <w:tc>
          <w:tcPr>
            <w:tcW w:w="1699" w:type="dxa"/>
            <w:vMerge/>
            <w:tcBorders>
              <w:bottom w:val="single" w:sz="4" w:space="0" w:color="D04A02" w:themeColor="accent1"/>
            </w:tcBorders>
            <w:shd w:val="clear" w:color="auto" w:fill="F2F2F2" w:themeFill="background1" w:themeFillShade="F2"/>
            <w:tcMar>
              <w:top w:w="28" w:type="dxa"/>
              <w:left w:w="85" w:type="dxa"/>
              <w:bottom w:w="28" w:type="dxa"/>
              <w:right w:w="85" w:type="dxa"/>
            </w:tcMar>
          </w:tcPr>
          <w:p w14:paraId="6B17DE0B" w14:textId="77777777" w:rsidR="002C7305" w:rsidRPr="008549AA" w:rsidRDefault="002C7305" w:rsidP="007A7461">
            <w:pPr>
              <w:pStyle w:val="PwCNormal"/>
              <w:numPr>
                <w:ilvl w:val="0"/>
                <w:numId w:val="0"/>
              </w:numPr>
              <w:spacing w:before="0" w:line="269" w:lineRule="auto"/>
              <w:rPr>
                <w:rFonts w:asciiTheme="minorHAnsi" w:hAnsiTheme="minorHAnsi" w:cstheme="minorHAnsi"/>
                <w:b/>
                <w:bCs/>
                <w:sz w:val="20"/>
              </w:rPr>
            </w:pPr>
          </w:p>
        </w:tc>
        <w:tc>
          <w:tcPr>
            <w:tcW w:w="4654" w:type="dxa"/>
            <w:tcBorders>
              <w:top w:val="dashSmallGap" w:sz="4" w:space="0" w:color="D04A02" w:themeColor="accent1"/>
              <w:bottom w:val="single" w:sz="4" w:space="0" w:color="D04A02" w:themeColor="accent1"/>
            </w:tcBorders>
            <w:tcMar>
              <w:top w:w="28" w:type="dxa"/>
              <w:left w:w="85" w:type="dxa"/>
              <w:bottom w:w="28" w:type="dxa"/>
              <w:right w:w="85" w:type="dxa"/>
            </w:tcMar>
          </w:tcPr>
          <w:p w14:paraId="0DAE2B02" w14:textId="22D23AFF" w:rsidR="002C7305" w:rsidRPr="008549AA" w:rsidRDefault="002C7305" w:rsidP="007A7461">
            <w:pPr>
              <w:pStyle w:val="PwCNormal"/>
              <w:numPr>
                <w:ilvl w:val="0"/>
                <w:numId w:val="0"/>
              </w:numPr>
              <w:spacing w:before="0" w:line="269" w:lineRule="auto"/>
              <w:rPr>
                <w:rFonts w:asciiTheme="minorHAnsi" w:hAnsiTheme="minorHAnsi" w:cstheme="minorHAnsi"/>
                <w:sz w:val="20"/>
              </w:rPr>
            </w:pPr>
            <w:r w:rsidRPr="008549AA">
              <w:rPr>
                <w:rFonts w:asciiTheme="minorHAnsi" w:hAnsiTheme="minorHAnsi" w:cstheme="minorHAnsi"/>
                <w:sz w:val="20"/>
              </w:rPr>
              <w:t>Broaden</w:t>
            </w:r>
            <w:r w:rsidR="0036642F" w:rsidRPr="008549AA">
              <w:rPr>
                <w:rFonts w:asciiTheme="minorHAnsi" w:hAnsiTheme="minorHAnsi" w:cstheme="minorHAnsi"/>
                <w:sz w:val="20"/>
              </w:rPr>
              <w:t>/</w:t>
            </w:r>
            <w:r w:rsidRPr="008549AA">
              <w:rPr>
                <w:rFonts w:asciiTheme="minorHAnsi" w:hAnsiTheme="minorHAnsi" w:cstheme="minorHAnsi"/>
                <w:sz w:val="20"/>
              </w:rPr>
              <w:t>integrate IHC with other services</w:t>
            </w:r>
            <w:r w:rsidR="0036642F" w:rsidRPr="008549AA">
              <w:rPr>
                <w:rFonts w:asciiTheme="minorHAnsi" w:hAnsiTheme="minorHAnsi" w:cstheme="minorHAnsi"/>
                <w:sz w:val="20"/>
              </w:rPr>
              <w:t>/</w:t>
            </w:r>
            <w:r w:rsidRPr="008549AA">
              <w:rPr>
                <w:rFonts w:asciiTheme="minorHAnsi" w:hAnsiTheme="minorHAnsi" w:cstheme="minorHAnsi"/>
                <w:sz w:val="20"/>
              </w:rPr>
              <w:t>programs</w:t>
            </w:r>
          </w:p>
        </w:tc>
        <w:tc>
          <w:tcPr>
            <w:tcW w:w="1128" w:type="dxa"/>
            <w:tcBorders>
              <w:top w:val="dashSmallGap" w:sz="4" w:space="0" w:color="D04A02" w:themeColor="accent1"/>
              <w:bottom w:val="single" w:sz="4" w:space="0" w:color="D04A02" w:themeColor="accent1"/>
            </w:tcBorders>
            <w:tcMar>
              <w:top w:w="28" w:type="dxa"/>
              <w:left w:w="85" w:type="dxa"/>
              <w:bottom w:w="28" w:type="dxa"/>
              <w:right w:w="85" w:type="dxa"/>
            </w:tcMar>
          </w:tcPr>
          <w:p w14:paraId="6DB4AB7D"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63E53BC1" wp14:editId="3EB54D5A">
                  <wp:extent cx="316131" cy="316131"/>
                  <wp:effectExtent l="0" t="0" r="0" b="8255"/>
                  <wp:docPr id="124" name="Picture 124"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18877" cy="318877"/>
                          </a:xfrm>
                          <a:prstGeom prst="rect">
                            <a:avLst/>
                          </a:prstGeom>
                        </pic:spPr>
                      </pic:pic>
                    </a:graphicData>
                  </a:graphic>
                </wp:inline>
              </w:drawing>
            </w:r>
          </w:p>
        </w:tc>
        <w:tc>
          <w:tcPr>
            <w:tcW w:w="1128" w:type="dxa"/>
            <w:tcBorders>
              <w:top w:val="dashSmallGap" w:sz="4" w:space="0" w:color="D04A02" w:themeColor="accent1"/>
              <w:bottom w:val="single" w:sz="4" w:space="0" w:color="D04A02" w:themeColor="accent1"/>
            </w:tcBorders>
            <w:tcMar>
              <w:top w:w="28" w:type="dxa"/>
              <w:left w:w="85" w:type="dxa"/>
              <w:bottom w:w="28" w:type="dxa"/>
              <w:right w:w="85" w:type="dxa"/>
            </w:tcMar>
          </w:tcPr>
          <w:p w14:paraId="4723CA5A" w14:textId="1AE6031E" w:rsidR="002C7305" w:rsidRPr="008549AA" w:rsidRDefault="0038133A"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05124F5F" wp14:editId="2A7BAF34">
                  <wp:extent cx="312732" cy="312732"/>
                  <wp:effectExtent l="0" t="0" r="0" b="0"/>
                  <wp:docPr id="206" name="Picture 206"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16188" cy="316188"/>
                          </a:xfrm>
                          <a:prstGeom prst="rect">
                            <a:avLst/>
                          </a:prstGeom>
                        </pic:spPr>
                      </pic:pic>
                    </a:graphicData>
                  </a:graphic>
                </wp:inline>
              </w:drawing>
            </w:r>
          </w:p>
        </w:tc>
        <w:tc>
          <w:tcPr>
            <w:tcW w:w="1127" w:type="dxa"/>
            <w:tcBorders>
              <w:top w:val="dashSmallGap" w:sz="4" w:space="0" w:color="D04A02" w:themeColor="accent1"/>
              <w:bottom w:val="single" w:sz="4" w:space="0" w:color="D04A02" w:themeColor="accent1"/>
            </w:tcBorders>
            <w:tcMar>
              <w:top w:w="28" w:type="dxa"/>
              <w:left w:w="85" w:type="dxa"/>
              <w:bottom w:w="28" w:type="dxa"/>
              <w:right w:w="85" w:type="dxa"/>
            </w:tcMar>
          </w:tcPr>
          <w:p w14:paraId="4316C6EC"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26EFB129" wp14:editId="04D5ED4D">
                  <wp:extent cx="288937" cy="288937"/>
                  <wp:effectExtent l="0" t="0" r="0" b="0"/>
                  <wp:docPr id="71" name="Picture 71"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90425" cy="290425"/>
                          </a:xfrm>
                          <a:prstGeom prst="rect">
                            <a:avLst/>
                          </a:prstGeom>
                        </pic:spPr>
                      </pic:pic>
                    </a:graphicData>
                  </a:graphic>
                </wp:inline>
              </w:drawing>
            </w:r>
          </w:p>
        </w:tc>
      </w:tr>
      <w:tr w:rsidR="002C7305" w:rsidRPr="008549AA" w14:paraId="5F0148E1" w14:textId="77777777" w:rsidTr="007A7461">
        <w:tc>
          <w:tcPr>
            <w:tcW w:w="1699" w:type="dxa"/>
            <w:vMerge w:val="restart"/>
            <w:tcBorders>
              <w:top w:val="single" w:sz="4" w:space="0" w:color="D04A02" w:themeColor="accent1"/>
            </w:tcBorders>
            <w:shd w:val="clear" w:color="auto" w:fill="F2F2F2" w:themeFill="background1" w:themeFillShade="F2"/>
            <w:tcMar>
              <w:top w:w="28" w:type="dxa"/>
              <w:left w:w="85" w:type="dxa"/>
              <w:bottom w:w="28" w:type="dxa"/>
              <w:right w:w="85" w:type="dxa"/>
            </w:tcMar>
          </w:tcPr>
          <w:p w14:paraId="58EF0072" w14:textId="77777777" w:rsidR="002C7305" w:rsidRPr="008549AA" w:rsidRDefault="002C7305" w:rsidP="007A7461">
            <w:pPr>
              <w:pStyle w:val="PwCNormal"/>
              <w:numPr>
                <w:ilvl w:val="0"/>
                <w:numId w:val="0"/>
              </w:numPr>
              <w:spacing w:before="0" w:line="269" w:lineRule="auto"/>
              <w:rPr>
                <w:rFonts w:asciiTheme="minorHAnsi" w:hAnsiTheme="minorHAnsi" w:cstheme="minorHAnsi"/>
                <w:b/>
                <w:bCs/>
                <w:sz w:val="20"/>
              </w:rPr>
            </w:pPr>
            <w:r w:rsidRPr="008549AA">
              <w:rPr>
                <w:rFonts w:asciiTheme="minorHAnsi" w:hAnsiTheme="minorHAnsi" w:cstheme="minorHAnsi"/>
                <w:b/>
                <w:bCs/>
                <w:sz w:val="20"/>
              </w:rPr>
              <w:t>Workforce</w:t>
            </w:r>
          </w:p>
        </w:tc>
        <w:tc>
          <w:tcPr>
            <w:tcW w:w="4654" w:type="dxa"/>
            <w:tcBorders>
              <w:top w:val="single" w:sz="4" w:space="0" w:color="D04A02" w:themeColor="accent1"/>
              <w:bottom w:val="dashSmallGap" w:sz="4" w:space="0" w:color="D04A02" w:themeColor="accent1"/>
            </w:tcBorders>
            <w:tcMar>
              <w:top w:w="28" w:type="dxa"/>
              <w:left w:w="85" w:type="dxa"/>
              <w:bottom w:w="28" w:type="dxa"/>
              <w:right w:w="85" w:type="dxa"/>
            </w:tcMar>
          </w:tcPr>
          <w:p w14:paraId="63F10535" w14:textId="77777777" w:rsidR="002C7305" w:rsidRPr="008549AA" w:rsidRDefault="002C7305" w:rsidP="007A7461">
            <w:pPr>
              <w:pStyle w:val="PwCNormal"/>
              <w:numPr>
                <w:ilvl w:val="0"/>
                <w:numId w:val="0"/>
              </w:numPr>
              <w:spacing w:before="0" w:line="269" w:lineRule="auto"/>
              <w:rPr>
                <w:rFonts w:asciiTheme="minorHAnsi" w:hAnsiTheme="minorHAnsi" w:cstheme="minorHAnsi"/>
                <w:sz w:val="20"/>
              </w:rPr>
            </w:pPr>
            <w:r w:rsidRPr="008549AA">
              <w:rPr>
                <w:rFonts w:asciiTheme="minorHAnsi" w:hAnsiTheme="minorHAnsi" w:cstheme="minorHAnsi"/>
                <w:sz w:val="20"/>
              </w:rPr>
              <w:t>Expand eligible qualifications</w:t>
            </w:r>
          </w:p>
        </w:tc>
        <w:tc>
          <w:tcPr>
            <w:tcW w:w="1128" w:type="dxa"/>
            <w:tcBorders>
              <w:top w:val="single" w:sz="4" w:space="0" w:color="D04A02" w:themeColor="accent1"/>
              <w:bottom w:val="dashSmallGap" w:sz="4" w:space="0" w:color="D04A02" w:themeColor="accent1"/>
            </w:tcBorders>
            <w:tcMar>
              <w:top w:w="28" w:type="dxa"/>
              <w:left w:w="85" w:type="dxa"/>
              <w:bottom w:w="28" w:type="dxa"/>
              <w:right w:w="85" w:type="dxa"/>
            </w:tcMar>
          </w:tcPr>
          <w:p w14:paraId="30619C65"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56F61BBF" wp14:editId="1DFD5A32">
                  <wp:extent cx="336526" cy="336526"/>
                  <wp:effectExtent l="0" t="0" r="0" b="6985"/>
                  <wp:docPr id="125" name="Picture 125"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39289" cy="339289"/>
                          </a:xfrm>
                          <a:prstGeom prst="rect">
                            <a:avLst/>
                          </a:prstGeom>
                        </pic:spPr>
                      </pic:pic>
                    </a:graphicData>
                  </a:graphic>
                </wp:inline>
              </w:drawing>
            </w:r>
          </w:p>
        </w:tc>
        <w:tc>
          <w:tcPr>
            <w:tcW w:w="1128" w:type="dxa"/>
            <w:tcBorders>
              <w:top w:val="single" w:sz="4" w:space="0" w:color="D04A02" w:themeColor="accent1"/>
              <w:bottom w:val="dashSmallGap" w:sz="4" w:space="0" w:color="D04A02" w:themeColor="accent1"/>
            </w:tcBorders>
            <w:tcMar>
              <w:top w:w="28" w:type="dxa"/>
              <w:left w:w="85" w:type="dxa"/>
              <w:bottom w:w="28" w:type="dxa"/>
              <w:right w:w="85" w:type="dxa"/>
            </w:tcMar>
          </w:tcPr>
          <w:p w14:paraId="2BB995E0"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42770604" wp14:editId="1B7A04FC">
                  <wp:extent cx="319405" cy="319405"/>
                  <wp:effectExtent l="0" t="0" r="4445" b="4445"/>
                  <wp:docPr id="73" name="Picture 73"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21462" cy="321462"/>
                          </a:xfrm>
                          <a:prstGeom prst="rect">
                            <a:avLst/>
                          </a:prstGeom>
                        </pic:spPr>
                      </pic:pic>
                    </a:graphicData>
                  </a:graphic>
                </wp:inline>
              </w:drawing>
            </w:r>
          </w:p>
        </w:tc>
        <w:tc>
          <w:tcPr>
            <w:tcW w:w="1127" w:type="dxa"/>
            <w:tcBorders>
              <w:top w:val="single" w:sz="4" w:space="0" w:color="D04A02" w:themeColor="accent1"/>
              <w:bottom w:val="dashSmallGap" w:sz="4" w:space="0" w:color="D04A02" w:themeColor="accent1"/>
            </w:tcBorders>
            <w:tcMar>
              <w:top w:w="28" w:type="dxa"/>
              <w:left w:w="85" w:type="dxa"/>
              <w:bottom w:w="28" w:type="dxa"/>
              <w:right w:w="85" w:type="dxa"/>
            </w:tcMar>
          </w:tcPr>
          <w:p w14:paraId="09B77B49"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73F1EE51" wp14:editId="723A3AF2">
                  <wp:extent cx="312731" cy="312731"/>
                  <wp:effectExtent l="0" t="0" r="0" b="0"/>
                  <wp:docPr id="74" name="Picture 74"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17164" cy="317164"/>
                          </a:xfrm>
                          <a:prstGeom prst="rect">
                            <a:avLst/>
                          </a:prstGeom>
                        </pic:spPr>
                      </pic:pic>
                    </a:graphicData>
                  </a:graphic>
                </wp:inline>
              </w:drawing>
            </w:r>
          </w:p>
        </w:tc>
      </w:tr>
      <w:tr w:rsidR="002C7305" w:rsidRPr="008549AA" w14:paraId="70ECFE4B" w14:textId="77777777" w:rsidTr="007A7461">
        <w:tc>
          <w:tcPr>
            <w:tcW w:w="1699" w:type="dxa"/>
            <w:vMerge/>
            <w:shd w:val="clear" w:color="auto" w:fill="F2F2F2" w:themeFill="background1" w:themeFillShade="F2"/>
            <w:tcMar>
              <w:top w:w="28" w:type="dxa"/>
              <w:left w:w="85" w:type="dxa"/>
              <w:bottom w:w="28" w:type="dxa"/>
              <w:right w:w="85" w:type="dxa"/>
            </w:tcMar>
          </w:tcPr>
          <w:p w14:paraId="4F55C3C4" w14:textId="77777777" w:rsidR="002C7305" w:rsidRPr="008549AA" w:rsidRDefault="002C7305" w:rsidP="007A7461">
            <w:pPr>
              <w:pStyle w:val="PwCNormal"/>
              <w:numPr>
                <w:ilvl w:val="0"/>
                <w:numId w:val="0"/>
              </w:numPr>
              <w:spacing w:before="0" w:line="269" w:lineRule="auto"/>
              <w:rPr>
                <w:rFonts w:asciiTheme="minorHAnsi" w:hAnsiTheme="minorHAnsi" w:cstheme="minorHAnsi"/>
                <w:b/>
                <w:bCs/>
                <w:sz w:val="20"/>
              </w:rPr>
            </w:pPr>
          </w:p>
        </w:tc>
        <w:tc>
          <w:tcPr>
            <w:tcW w:w="4654"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284422DA" w14:textId="77777777" w:rsidR="002C7305" w:rsidRPr="008549AA" w:rsidRDefault="002C7305" w:rsidP="007A7461">
            <w:pPr>
              <w:pStyle w:val="PwCNormal"/>
              <w:numPr>
                <w:ilvl w:val="0"/>
                <w:numId w:val="0"/>
              </w:numPr>
              <w:spacing w:before="0" w:line="269" w:lineRule="auto"/>
              <w:rPr>
                <w:rFonts w:asciiTheme="minorHAnsi" w:hAnsiTheme="minorHAnsi" w:cstheme="minorHAnsi"/>
                <w:sz w:val="20"/>
              </w:rPr>
            </w:pPr>
            <w:r w:rsidRPr="008549AA">
              <w:rPr>
                <w:rFonts w:asciiTheme="minorHAnsi" w:hAnsiTheme="minorHAnsi" w:cstheme="minorHAnsi"/>
                <w:sz w:val="20"/>
              </w:rPr>
              <w:t>Support workforce pipeline for after hours and remote educators</w:t>
            </w:r>
          </w:p>
        </w:tc>
        <w:tc>
          <w:tcPr>
            <w:tcW w:w="1128"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58F9C735" w14:textId="74161923" w:rsidR="002C7305" w:rsidRPr="008549AA" w:rsidRDefault="0038133A"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0ECF3C65" wp14:editId="3F4C98BA">
                  <wp:extent cx="316131" cy="316131"/>
                  <wp:effectExtent l="0" t="0" r="0" b="8255"/>
                  <wp:docPr id="205" name="Picture 205"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9076" cy="319076"/>
                          </a:xfrm>
                          <a:prstGeom prst="rect">
                            <a:avLst/>
                          </a:prstGeom>
                        </pic:spPr>
                      </pic:pic>
                    </a:graphicData>
                  </a:graphic>
                </wp:inline>
              </w:drawing>
            </w:r>
          </w:p>
        </w:tc>
        <w:tc>
          <w:tcPr>
            <w:tcW w:w="1128"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015C1712"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noProof/>
                <w:sz w:val="20"/>
              </w:rPr>
            </w:pPr>
            <w:r w:rsidRPr="008549AA">
              <w:rPr>
                <w:rFonts w:cstheme="minorHAnsi"/>
                <w:noProof/>
                <w:sz w:val="20"/>
              </w:rPr>
              <w:drawing>
                <wp:inline distT="0" distB="0" distL="0" distR="0" wp14:anchorId="35F94037" wp14:editId="215A6DFD">
                  <wp:extent cx="343325" cy="343325"/>
                  <wp:effectExtent l="0" t="0" r="0" b="0"/>
                  <wp:docPr id="76" name="Picture 76"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47821" cy="347821"/>
                          </a:xfrm>
                          <a:prstGeom prst="rect">
                            <a:avLst/>
                          </a:prstGeom>
                        </pic:spPr>
                      </pic:pic>
                    </a:graphicData>
                  </a:graphic>
                </wp:inline>
              </w:drawing>
            </w:r>
          </w:p>
        </w:tc>
        <w:tc>
          <w:tcPr>
            <w:tcW w:w="1127"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44EDC6B6"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noProof/>
                <w:sz w:val="20"/>
              </w:rPr>
            </w:pPr>
            <w:r w:rsidRPr="008549AA">
              <w:rPr>
                <w:rFonts w:cstheme="minorHAnsi"/>
                <w:noProof/>
                <w:sz w:val="20"/>
              </w:rPr>
              <w:drawing>
                <wp:inline distT="0" distB="0" distL="0" distR="0" wp14:anchorId="3960B762" wp14:editId="3EF456DE">
                  <wp:extent cx="285226" cy="285226"/>
                  <wp:effectExtent l="0" t="0" r="635" b="635"/>
                  <wp:docPr id="77" name="Picture 77"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88344" cy="288344"/>
                          </a:xfrm>
                          <a:prstGeom prst="rect">
                            <a:avLst/>
                          </a:prstGeom>
                        </pic:spPr>
                      </pic:pic>
                    </a:graphicData>
                  </a:graphic>
                </wp:inline>
              </w:drawing>
            </w:r>
          </w:p>
        </w:tc>
      </w:tr>
      <w:tr w:rsidR="002C7305" w:rsidRPr="008549AA" w14:paraId="210B2030" w14:textId="77777777" w:rsidTr="007A7461">
        <w:tc>
          <w:tcPr>
            <w:tcW w:w="1699" w:type="dxa"/>
            <w:vMerge/>
            <w:shd w:val="clear" w:color="auto" w:fill="F2F2F2" w:themeFill="background1" w:themeFillShade="F2"/>
            <w:tcMar>
              <w:top w:w="28" w:type="dxa"/>
              <w:left w:w="85" w:type="dxa"/>
              <w:bottom w:w="28" w:type="dxa"/>
              <w:right w:w="85" w:type="dxa"/>
            </w:tcMar>
          </w:tcPr>
          <w:p w14:paraId="4EE4882B" w14:textId="77777777" w:rsidR="002C7305" w:rsidRPr="008549AA" w:rsidRDefault="002C7305" w:rsidP="007A7461">
            <w:pPr>
              <w:pStyle w:val="PwCNormal"/>
              <w:numPr>
                <w:ilvl w:val="0"/>
                <w:numId w:val="0"/>
              </w:numPr>
              <w:spacing w:before="0" w:line="269" w:lineRule="auto"/>
              <w:rPr>
                <w:rFonts w:asciiTheme="minorHAnsi" w:hAnsiTheme="minorHAnsi" w:cstheme="minorHAnsi"/>
                <w:b/>
                <w:bCs/>
                <w:sz w:val="20"/>
              </w:rPr>
            </w:pPr>
          </w:p>
        </w:tc>
        <w:tc>
          <w:tcPr>
            <w:tcW w:w="4654"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3048BC74" w14:textId="77777777" w:rsidR="002C7305" w:rsidRPr="008549AA" w:rsidRDefault="002C7305" w:rsidP="007A7461">
            <w:pPr>
              <w:pStyle w:val="PwCNormal"/>
              <w:numPr>
                <w:ilvl w:val="0"/>
                <w:numId w:val="0"/>
              </w:numPr>
              <w:spacing w:before="0" w:line="269" w:lineRule="auto"/>
              <w:rPr>
                <w:rFonts w:asciiTheme="minorHAnsi" w:hAnsiTheme="minorHAnsi" w:cstheme="minorHAnsi"/>
                <w:sz w:val="20"/>
              </w:rPr>
            </w:pPr>
            <w:r w:rsidRPr="008549AA">
              <w:rPr>
                <w:rFonts w:asciiTheme="minorHAnsi" w:hAnsiTheme="minorHAnsi" w:cstheme="minorHAnsi"/>
                <w:sz w:val="20"/>
              </w:rPr>
              <w:t>Broaden pool of available educators</w:t>
            </w:r>
          </w:p>
        </w:tc>
        <w:tc>
          <w:tcPr>
            <w:tcW w:w="1128"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71727804"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noProof/>
                <w:sz w:val="20"/>
              </w:rPr>
            </w:pPr>
            <w:r w:rsidRPr="008549AA">
              <w:rPr>
                <w:rFonts w:cstheme="minorHAnsi"/>
                <w:noProof/>
                <w:sz w:val="20"/>
              </w:rPr>
              <w:drawing>
                <wp:inline distT="0" distB="0" distL="0" distR="0" wp14:anchorId="05D2E7FF" wp14:editId="08C63424">
                  <wp:extent cx="333127" cy="333127"/>
                  <wp:effectExtent l="0" t="0" r="0" b="0"/>
                  <wp:docPr id="78" name="Picture 78"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38476" cy="338476"/>
                          </a:xfrm>
                          <a:prstGeom prst="rect">
                            <a:avLst/>
                          </a:prstGeom>
                        </pic:spPr>
                      </pic:pic>
                    </a:graphicData>
                  </a:graphic>
                </wp:inline>
              </w:drawing>
            </w:r>
          </w:p>
        </w:tc>
        <w:tc>
          <w:tcPr>
            <w:tcW w:w="1128"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4F733567"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2B65EB99" wp14:editId="6744C299">
                  <wp:extent cx="329728" cy="329728"/>
                  <wp:effectExtent l="0" t="0" r="0" b="0"/>
                  <wp:docPr id="79" name="Picture 79"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33935" cy="333935"/>
                          </a:xfrm>
                          <a:prstGeom prst="rect">
                            <a:avLst/>
                          </a:prstGeom>
                        </pic:spPr>
                      </pic:pic>
                    </a:graphicData>
                  </a:graphic>
                </wp:inline>
              </w:drawing>
            </w:r>
          </w:p>
        </w:tc>
        <w:tc>
          <w:tcPr>
            <w:tcW w:w="1127"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11D48551"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69341C8E" wp14:editId="615E1AE2">
                  <wp:extent cx="288925" cy="288925"/>
                  <wp:effectExtent l="0" t="0" r="0" b="0"/>
                  <wp:docPr id="80" name="Picture 80"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91446" cy="291446"/>
                          </a:xfrm>
                          <a:prstGeom prst="rect">
                            <a:avLst/>
                          </a:prstGeom>
                        </pic:spPr>
                      </pic:pic>
                    </a:graphicData>
                  </a:graphic>
                </wp:inline>
              </w:drawing>
            </w:r>
          </w:p>
        </w:tc>
      </w:tr>
      <w:tr w:rsidR="002C7305" w:rsidRPr="008549AA" w14:paraId="2E45B7CA" w14:textId="77777777" w:rsidTr="007A7461">
        <w:tc>
          <w:tcPr>
            <w:tcW w:w="1699" w:type="dxa"/>
            <w:vMerge/>
            <w:tcBorders>
              <w:bottom w:val="single" w:sz="4" w:space="0" w:color="D04A02" w:themeColor="accent1"/>
            </w:tcBorders>
            <w:shd w:val="clear" w:color="auto" w:fill="F2F2F2" w:themeFill="background1" w:themeFillShade="F2"/>
            <w:tcMar>
              <w:top w:w="28" w:type="dxa"/>
              <w:left w:w="85" w:type="dxa"/>
              <w:bottom w:w="28" w:type="dxa"/>
              <w:right w:w="85" w:type="dxa"/>
            </w:tcMar>
          </w:tcPr>
          <w:p w14:paraId="42DE87E9" w14:textId="77777777" w:rsidR="002C7305" w:rsidRPr="008549AA" w:rsidRDefault="002C7305" w:rsidP="007A7461">
            <w:pPr>
              <w:pStyle w:val="PwCNormal"/>
              <w:numPr>
                <w:ilvl w:val="0"/>
                <w:numId w:val="0"/>
              </w:numPr>
              <w:spacing w:before="0" w:line="269" w:lineRule="auto"/>
              <w:rPr>
                <w:rFonts w:asciiTheme="minorHAnsi" w:hAnsiTheme="minorHAnsi" w:cstheme="minorHAnsi"/>
                <w:b/>
                <w:bCs/>
                <w:sz w:val="20"/>
              </w:rPr>
            </w:pPr>
          </w:p>
        </w:tc>
        <w:tc>
          <w:tcPr>
            <w:tcW w:w="4654" w:type="dxa"/>
            <w:tcBorders>
              <w:top w:val="dashSmallGap" w:sz="4" w:space="0" w:color="D04A02" w:themeColor="accent1"/>
              <w:bottom w:val="single" w:sz="4" w:space="0" w:color="D04A02" w:themeColor="accent1"/>
            </w:tcBorders>
            <w:tcMar>
              <w:top w:w="28" w:type="dxa"/>
              <w:left w:w="85" w:type="dxa"/>
              <w:bottom w:w="28" w:type="dxa"/>
              <w:right w:w="85" w:type="dxa"/>
            </w:tcMar>
          </w:tcPr>
          <w:p w14:paraId="6E10D181" w14:textId="77777777" w:rsidR="002C7305" w:rsidRPr="008549AA" w:rsidRDefault="002C7305" w:rsidP="007A7461">
            <w:pPr>
              <w:pStyle w:val="PwCNormal"/>
              <w:numPr>
                <w:ilvl w:val="0"/>
                <w:numId w:val="0"/>
              </w:numPr>
              <w:spacing w:before="0" w:line="269" w:lineRule="auto"/>
              <w:rPr>
                <w:rFonts w:asciiTheme="minorHAnsi" w:hAnsiTheme="minorHAnsi" w:cstheme="minorHAnsi"/>
                <w:sz w:val="20"/>
              </w:rPr>
            </w:pPr>
            <w:r w:rsidRPr="008549AA">
              <w:rPr>
                <w:rFonts w:asciiTheme="minorHAnsi" w:hAnsiTheme="minorHAnsi" w:cstheme="minorHAnsi"/>
                <w:sz w:val="20"/>
              </w:rPr>
              <w:t>Upskill workforce to provide care to children with complex care needs</w:t>
            </w:r>
          </w:p>
        </w:tc>
        <w:tc>
          <w:tcPr>
            <w:tcW w:w="1128" w:type="dxa"/>
            <w:tcBorders>
              <w:top w:val="dashSmallGap" w:sz="4" w:space="0" w:color="D04A02" w:themeColor="accent1"/>
              <w:bottom w:val="single" w:sz="4" w:space="0" w:color="D04A02" w:themeColor="accent1"/>
            </w:tcBorders>
            <w:tcMar>
              <w:top w:w="28" w:type="dxa"/>
              <w:left w:w="85" w:type="dxa"/>
              <w:bottom w:w="28" w:type="dxa"/>
              <w:right w:w="85" w:type="dxa"/>
            </w:tcMar>
          </w:tcPr>
          <w:p w14:paraId="1642363B"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noProof/>
                <w:sz w:val="20"/>
              </w:rPr>
            </w:pPr>
            <w:r w:rsidRPr="008549AA">
              <w:rPr>
                <w:rFonts w:cstheme="minorHAnsi"/>
                <w:noProof/>
                <w:sz w:val="20"/>
              </w:rPr>
              <w:drawing>
                <wp:inline distT="0" distB="0" distL="0" distR="0" wp14:anchorId="0337D1C6" wp14:editId="53A0F830">
                  <wp:extent cx="326329" cy="326329"/>
                  <wp:effectExtent l="0" t="0" r="0" b="0"/>
                  <wp:docPr id="81" name="Picture 81"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34931" cy="334931"/>
                          </a:xfrm>
                          <a:prstGeom prst="rect">
                            <a:avLst/>
                          </a:prstGeom>
                        </pic:spPr>
                      </pic:pic>
                    </a:graphicData>
                  </a:graphic>
                </wp:inline>
              </w:drawing>
            </w:r>
          </w:p>
        </w:tc>
        <w:tc>
          <w:tcPr>
            <w:tcW w:w="1128" w:type="dxa"/>
            <w:tcBorders>
              <w:top w:val="dashSmallGap" w:sz="4" w:space="0" w:color="D04A02" w:themeColor="accent1"/>
              <w:bottom w:val="single" w:sz="4" w:space="0" w:color="D04A02" w:themeColor="accent1"/>
            </w:tcBorders>
            <w:tcMar>
              <w:top w:w="28" w:type="dxa"/>
              <w:left w:w="85" w:type="dxa"/>
              <w:bottom w:w="28" w:type="dxa"/>
              <w:right w:w="85" w:type="dxa"/>
            </w:tcMar>
          </w:tcPr>
          <w:p w14:paraId="05272C5C"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6F47DD1E" wp14:editId="254499E1">
                  <wp:extent cx="312732" cy="312732"/>
                  <wp:effectExtent l="0" t="0" r="0" b="0"/>
                  <wp:docPr id="82" name="Picture 82"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16188" cy="316188"/>
                          </a:xfrm>
                          <a:prstGeom prst="rect">
                            <a:avLst/>
                          </a:prstGeom>
                        </pic:spPr>
                      </pic:pic>
                    </a:graphicData>
                  </a:graphic>
                </wp:inline>
              </w:drawing>
            </w:r>
          </w:p>
        </w:tc>
        <w:tc>
          <w:tcPr>
            <w:tcW w:w="1127" w:type="dxa"/>
            <w:tcBorders>
              <w:top w:val="dashSmallGap" w:sz="4" w:space="0" w:color="D04A02" w:themeColor="accent1"/>
              <w:bottom w:val="single" w:sz="4" w:space="0" w:color="D04A02" w:themeColor="accent1"/>
            </w:tcBorders>
            <w:tcMar>
              <w:top w:w="28" w:type="dxa"/>
              <w:left w:w="85" w:type="dxa"/>
              <w:bottom w:w="28" w:type="dxa"/>
              <w:right w:w="85" w:type="dxa"/>
            </w:tcMar>
          </w:tcPr>
          <w:p w14:paraId="4ADD7E5E"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55F8CBF0" wp14:editId="36CB0326">
                  <wp:extent cx="305511" cy="305511"/>
                  <wp:effectExtent l="0" t="0" r="0" b="0"/>
                  <wp:docPr id="126" name="Picture 126"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09500" cy="309500"/>
                          </a:xfrm>
                          <a:prstGeom prst="rect">
                            <a:avLst/>
                          </a:prstGeom>
                        </pic:spPr>
                      </pic:pic>
                    </a:graphicData>
                  </a:graphic>
                </wp:inline>
              </w:drawing>
            </w:r>
          </w:p>
        </w:tc>
      </w:tr>
      <w:tr w:rsidR="002C7305" w:rsidRPr="008549AA" w14:paraId="06E261AA" w14:textId="77777777" w:rsidTr="007A7461">
        <w:tc>
          <w:tcPr>
            <w:tcW w:w="1699" w:type="dxa"/>
            <w:vMerge w:val="restart"/>
            <w:tcBorders>
              <w:top w:val="single" w:sz="4" w:space="0" w:color="D04A02" w:themeColor="accent1"/>
            </w:tcBorders>
            <w:shd w:val="clear" w:color="auto" w:fill="F2F2F2" w:themeFill="background1" w:themeFillShade="F2"/>
            <w:tcMar>
              <w:top w:w="28" w:type="dxa"/>
              <w:left w:w="85" w:type="dxa"/>
              <w:bottom w:w="28" w:type="dxa"/>
              <w:right w:w="85" w:type="dxa"/>
            </w:tcMar>
          </w:tcPr>
          <w:p w14:paraId="43A8797A" w14:textId="77777777" w:rsidR="002C7305" w:rsidRPr="008549AA" w:rsidRDefault="002C7305" w:rsidP="007A7461">
            <w:pPr>
              <w:pStyle w:val="PwCNormal"/>
              <w:numPr>
                <w:ilvl w:val="0"/>
                <w:numId w:val="0"/>
              </w:numPr>
              <w:spacing w:before="0" w:line="269" w:lineRule="auto"/>
              <w:rPr>
                <w:rFonts w:asciiTheme="minorHAnsi" w:hAnsiTheme="minorHAnsi" w:cstheme="minorHAnsi"/>
                <w:b/>
                <w:bCs/>
                <w:sz w:val="20"/>
              </w:rPr>
            </w:pPr>
            <w:r w:rsidRPr="008549AA">
              <w:rPr>
                <w:rFonts w:asciiTheme="minorHAnsi" w:hAnsiTheme="minorHAnsi" w:cstheme="minorHAnsi"/>
                <w:b/>
                <w:bCs/>
                <w:sz w:val="20"/>
              </w:rPr>
              <w:t>Funding and fees</w:t>
            </w:r>
          </w:p>
        </w:tc>
        <w:tc>
          <w:tcPr>
            <w:tcW w:w="4654" w:type="dxa"/>
            <w:tcBorders>
              <w:top w:val="single" w:sz="4" w:space="0" w:color="D04A02" w:themeColor="accent1"/>
              <w:bottom w:val="dashSmallGap" w:sz="4" w:space="0" w:color="D04A02" w:themeColor="accent1"/>
            </w:tcBorders>
            <w:tcMar>
              <w:top w:w="28" w:type="dxa"/>
              <w:left w:w="85" w:type="dxa"/>
              <w:bottom w:w="28" w:type="dxa"/>
              <w:right w:w="85" w:type="dxa"/>
            </w:tcMar>
          </w:tcPr>
          <w:p w14:paraId="314926E5" w14:textId="033D9842" w:rsidR="002C7305" w:rsidRPr="008549AA" w:rsidRDefault="00ED5B92" w:rsidP="007A7461">
            <w:pPr>
              <w:pStyle w:val="PwCNormal"/>
              <w:numPr>
                <w:ilvl w:val="0"/>
                <w:numId w:val="0"/>
              </w:numPr>
              <w:spacing w:before="0" w:line="269" w:lineRule="auto"/>
              <w:rPr>
                <w:rFonts w:asciiTheme="minorHAnsi" w:hAnsiTheme="minorHAnsi" w:cstheme="minorHAnsi"/>
                <w:sz w:val="20"/>
              </w:rPr>
            </w:pPr>
            <w:r w:rsidRPr="008549AA">
              <w:rPr>
                <w:rFonts w:cstheme="minorHAnsi"/>
                <w:noProof/>
                <w:snapToGrid/>
                <w:sz w:val="20"/>
              </w:rPr>
              <w:t>Providing funding aligned to family needs</w:t>
            </w:r>
          </w:p>
        </w:tc>
        <w:tc>
          <w:tcPr>
            <w:tcW w:w="1128" w:type="dxa"/>
            <w:tcBorders>
              <w:top w:val="single" w:sz="4" w:space="0" w:color="D04A02" w:themeColor="accent1"/>
              <w:bottom w:val="dashSmallGap" w:sz="4" w:space="0" w:color="D04A02" w:themeColor="accent1"/>
            </w:tcBorders>
            <w:tcMar>
              <w:top w:w="28" w:type="dxa"/>
              <w:left w:w="85" w:type="dxa"/>
              <w:bottom w:w="28" w:type="dxa"/>
              <w:right w:w="85" w:type="dxa"/>
            </w:tcMar>
          </w:tcPr>
          <w:p w14:paraId="5E65F668"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noProof/>
                <w:sz w:val="20"/>
              </w:rPr>
            </w:pPr>
            <w:r w:rsidRPr="008549AA">
              <w:rPr>
                <w:rFonts w:cstheme="minorHAnsi"/>
                <w:noProof/>
                <w:sz w:val="20"/>
              </w:rPr>
              <w:drawing>
                <wp:inline distT="0" distB="0" distL="0" distR="0" wp14:anchorId="0290B6D2" wp14:editId="40EA7E72">
                  <wp:extent cx="346724" cy="346724"/>
                  <wp:effectExtent l="0" t="0" r="0" b="0"/>
                  <wp:docPr id="256" name="Picture 256"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49054" cy="349054"/>
                          </a:xfrm>
                          <a:prstGeom prst="rect">
                            <a:avLst/>
                          </a:prstGeom>
                        </pic:spPr>
                      </pic:pic>
                    </a:graphicData>
                  </a:graphic>
                </wp:inline>
              </w:drawing>
            </w:r>
          </w:p>
        </w:tc>
        <w:tc>
          <w:tcPr>
            <w:tcW w:w="1128" w:type="dxa"/>
            <w:tcBorders>
              <w:top w:val="single" w:sz="4" w:space="0" w:color="D04A02" w:themeColor="accent1"/>
              <w:bottom w:val="dashSmallGap" w:sz="4" w:space="0" w:color="D04A02" w:themeColor="accent1"/>
            </w:tcBorders>
            <w:tcMar>
              <w:top w:w="28" w:type="dxa"/>
              <w:left w:w="85" w:type="dxa"/>
              <w:bottom w:w="28" w:type="dxa"/>
              <w:right w:w="85" w:type="dxa"/>
            </w:tcMar>
          </w:tcPr>
          <w:p w14:paraId="08AADE1C"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2B27A64E" wp14:editId="7F01AE35">
                  <wp:extent cx="333127" cy="333127"/>
                  <wp:effectExtent l="0" t="0" r="0" b="0"/>
                  <wp:docPr id="92" name="Picture 92"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37849" cy="337849"/>
                          </a:xfrm>
                          <a:prstGeom prst="rect">
                            <a:avLst/>
                          </a:prstGeom>
                        </pic:spPr>
                      </pic:pic>
                    </a:graphicData>
                  </a:graphic>
                </wp:inline>
              </w:drawing>
            </w:r>
          </w:p>
        </w:tc>
        <w:tc>
          <w:tcPr>
            <w:tcW w:w="1127" w:type="dxa"/>
            <w:tcBorders>
              <w:top w:val="single" w:sz="4" w:space="0" w:color="D04A02" w:themeColor="accent1"/>
              <w:bottom w:val="dashSmallGap" w:sz="4" w:space="0" w:color="D04A02" w:themeColor="accent1"/>
            </w:tcBorders>
            <w:tcMar>
              <w:top w:w="28" w:type="dxa"/>
              <w:left w:w="85" w:type="dxa"/>
              <w:bottom w:w="28" w:type="dxa"/>
              <w:right w:w="85" w:type="dxa"/>
            </w:tcMar>
          </w:tcPr>
          <w:p w14:paraId="1E1781FC"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14BC1F01" wp14:editId="7E851C70">
                  <wp:extent cx="288937" cy="288937"/>
                  <wp:effectExtent l="0" t="0" r="0" b="0"/>
                  <wp:docPr id="93" name="Picture 93"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91722" cy="291722"/>
                          </a:xfrm>
                          <a:prstGeom prst="rect">
                            <a:avLst/>
                          </a:prstGeom>
                        </pic:spPr>
                      </pic:pic>
                    </a:graphicData>
                  </a:graphic>
                </wp:inline>
              </w:drawing>
            </w:r>
          </w:p>
        </w:tc>
      </w:tr>
      <w:tr w:rsidR="002C7305" w:rsidRPr="008549AA" w14:paraId="2C10B8F2" w14:textId="77777777" w:rsidTr="007A7461">
        <w:tc>
          <w:tcPr>
            <w:tcW w:w="1699" w:type="dxa"/>
            <w:vMerge/>
            <w:shd w:val="clear" w:color="auto" w:fill="F2F2F2" w:themeFill="background1" w:themeFillShade="F2"/>
            <w:tcMar>
              <w:top w:w="28" w:type="dxa"/>
              <w:left w:w="85" w:type="dxa"/>
              <w:bottom w:w="28" w:type="dxa"/>
              <w:right w:w="85" w:type="dxa"/>
            </w:tcMar>
          </w:tcPr>
          <w:p w14:paraId="35C96451" w14:textId="77777777" w:rsidR="002C7305" w:rsidRPr="008549AA" w:rsidRDefault="002C7305" w:rsidP="007A7461">
            <w:pPr>
              <w:pStyle w:val="PwCNormal"/>
              <w:numPr>
                <w:ilvl w:val="0"/>
                <w:numId w:val="0"/>
              </w:numPr>
              <w:spacing w:before="0" w:line="269" w:lineRule="auto"/>
              <w:rPr>
                <w:rFonts w:asciiTheme="minorHAnsi" w:hAnsiTheme="minorHAnsi" w:cstheme="minorHAnsi"/>
                <w:b/>
                <w:bCs/>
                <w:sz w:val="20"/>
              </w:rPr>
            </w:pPr>
          </w:p>
        </w:tc>
        <w:tc>
          <w:tcPr>
            <w:tcW w:w="4654"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0A1A3BB0" w14:textId="6D06C20A" w:rsidR="002C7305" w:rsidRPr="008549AA" w:rsidRDefault="002C7305" w:rsidP="007A7461">
            <w:pPr>
              <w:pStyle w:val="PwCNormal"/>
              <w:numPr>
                <w:ilvl w:val="0"/>
                <w:numId w:val="0"/>
              </w:numPr>
              <w:spacing w:before="0" w:line="269" w:lineRule="auto"/>
              <w:rPr>
                <w:rFonts w:asciiTheme="minorHAnsi" w:hAnsiTheme="minorHAnsi" w:cstheme="minorHAnsi"/>
                <w:sz w:val="20"/>
              </w:rPr>
            </w:pPr>
            <w:r w:rsidRPr="008549AA">
              <w:rPr>
                <w:rFonts w:asciiTheme="minorHAnsi" w:hAnsiTheme="minorHAnsi" w:cstheme="minorHAnsi"/>
                <w:sz w:val="20"/>
              </w:rPr>
              <w:t>Fund professional development opportunities for the workforce</w:t>
            </w:r>
          </w:p>
        </w:tc>
        <w:tc>
          <w:tcPr>
            <w:tcW w:w="1128"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2B70949F"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noProof/>
                <w:sz w:val="20"/>
              </w:rPr>
            </w:pPr>
            <w:r w:rsidRPr="008549AA">
              <w:rPr>
                <w:rFonts w:cstheme="minorHAnsi"/>
                <w:noProof/>
                <w:sz w:val="20"/>
              </w:rPr>
              <w:drawing>
                <wp:inline distT="0" distB="0" distL="0" distR="0" wp14:anchorId="46467C16" wp14:editId="079A7134">
                  <wp:extent cx="319530" cy="319530"/>
                  <wp:effectExtent l="0" t="0" r="0" b="4445"/>
                  <wp:docPr id="95" name="Picture 95"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21950" cy="321950"/>
                          </a:xfrm>
                          <a:prstGeom prst="rect">
                            <a:avLst/>
                          </a:prstGeom>
                        </pic:spPr>
                      </pic:pic>
                    </a:graphicData>
                  </a:graphic>
                </wp:inline>
              </w:drawing>
            </w:r>
          </w:p>
        </w:tc>
        <w:tc>
          <w:tcPr>
            <w:tcW w:w="1128"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19026EC2"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0EF8BABD" wp14:editId="458482CB">
                  <wp:extent cx="312732" cy="312732"/>
                  <wp:effectExtent l="0" t="0" r="0" b="0"/>
                  <wp:docPr id="96" name="Picture 96"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16616" cy="316616"/>
                          </a:xfrm>
                          <a:prstGeom prst="rect">
                            <a:avLst/>
                          </a:prstGeom>
                        </pic:spPr>
                      </pic:pic>
                    </a:graphicData>
                  </a:graphic>
                </wp:inline>
              </w:drawing>
            </w:r>
          </w:p>
        </w:tc>
        <w:tc>
          <w:tcPr>
            <w:tcW w:w="1127" w:type="dxa"/>
            <w:tcBorders>
              <w:top w:val="dashSmallGap" w:sz="4" w:space="0" w:color="D04A02" w:themeColor="accent1"/>
              <w:bottom w:val="dashSmallGap" w:sz="4" w:space="0" w:color="D04A02" w:themeColor="accent1"/>
            </w:tcBorders>
            <w:tcMar>
              <w:top w:w="28" w:type="dxa"/>
              <w:left w:w="85" w:type="dxa"/>
              <w:bottom w:w="28" w:type="dxa"/>
              <w:right w:w="85" w:type="dxa"/>
            </w:tcMar>
          </w:tcPr>
          <w:p w14:paraId="0D5FB789"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3796329B" wp14:editId="253A3809">
                  <wp:extent cx="312732" cy="312732"/>
                  <wp:effectExtent l="0" t="0" r="0" b="0"/>
                  <wp:docPr id="97" name="Picture 97"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316508" cy="316508"/>
                          </a:xfrm>
                          <a:prstGeom prst="rect">
                            <a:avLst/>
                          </a:prstGeom>
                        </pic:spPr>
                      </pic:pic>
                    </a:graphicData>
                  </a:graphic>
                </wp:inline>
              </w:drawing>
            </w:r>
          </w:p>
        </w:tc>
      </w:tr>
      <w:tr w:rsidR="002C7305" w:rsidRPr="008549AA" w14:paraId="3F2E09F5" w14:textId="77777777" w:rsidTr="007A7461">
        <w:tc>
          <w:tcPr>
            <w:tcW w:w="1699" w:type="dxa"/>
            <w:vMerge/>
            <w:tcBorders>
              <w:bottom w:val="single" w:sz="4" w:space="0" w:color="D04A02" w:themeColor="accent1"/>
            </w:tcBorders>
            <w:shd w:val="clear" w:color="auto" w:fill="F2F2F2" w:themeFill="background1" w:themeFillShade="F2"/>
            <w:tcMar>
              <w:top w:w="28" w:type="dxa"/>
              <w:left w:w="85" w:type="dxa"/>
              <w:bottom w:w="28" w:type="dxa"/>
              <w:right w:w="85" w:type="dxa"/>
            </w:tcMar>
          </w:tcPr>
          <w:p w14:paraId="1893DBE8" w14:textId="77777777" w:rsidR="002C7305" w:rsidRPr="008549AA" w:rsidRDefault="002C7305" w:rsidP="007A7461">
            <w:pPr>
              <w:pStyle w:val="PwCNormal"/>
              <w:numPr>
                <w:ilvl w:val="0"/>
                <w:numId w:val="0"/>
              </w:numPr>
              <w:spacing w:before="0" w:line="269" w:lineRule="auto"/>
              <w:rPr>
                <w:rFonts w:asciiTheme="minorHAnsi" w:hAnsiTheme="minorHAnsi" w:cstheme="minorHAnsi"/>
                <w:b/>
                <w:bCs/>
                <w:sz w:val="20"/>
              </w:rPr>
            </w:pPr>
          </w:p>
        </w:tc>
        <w:tc>
          <w:tcPr>
            <w:tcW w:w="4654" w:type="dxa"/>
            <w:tcBorders>
              <w:top w:val="dashSmallGap" w:sz="4" w:space="0" w:color="D04A02" w:themeColor="accent1"/>
              <w:bottom w:val="single" w:sz="4" w:space="0" w:color="D04A02" w:themeColor="accent1"/>
            </w:tcBorders>
            <w:tcMar>
              <w:top w:w="28" w:type="dxa"/>
              <w:left w:w="85" w:type="dxa"/>
              <w:bottom w:w="28" w:type="dxa"/>
              <w:right w:w="85" w:type="dxa"/>
            </w:tcMar>
          </w:tcPr>
          <w:p w14:paraId="7B680B66" w14:textId="77777777" w:rsidR="002C7305" w:rsidRPr="008549AA" w:rsidRDefault="002C7305" w:rsidP="007A7461">
            <w:pPr>
              <w:pStyle w:val="PwCNormal"/>
              <w:numPr>
                <w:ilvl w:val="0"/>
                <w:numId w:val="0"/>
              </w:numPr>
              <w:spacing w:before="0" w:line="269" w:lineRule="auto"/>
              <w:rPr>
                <w:rFonts w:asciiTheme="minorHAnsi" w:hAnsiTheme="minorHAnsi" w:cstheme="minorHAnsi"/>
                <w:sz w:val="20"/>
              </w:rPr>
            </w:pPr>
            <w:r w:rsidRPr="008549AA">
              <w:rPr>
                <w:rFonts w:asciiTheme="minorHAnsi" w:hAnsiTheme="minorHAnsi" w:cstheme="minorHAnsi"/>
                <w:sz w:val="20"/>
              </w:rPr>
              <w:t>Block funding to support provider financial viability</w:t>
            </w:r>
          </w:p>
        </w:tc>
        <w:tc>
          <w:tcPr>
            <w:tcW w:w="1128" w:type="dxa"/>
            <w:tcBorders>
              <w:top w:val="dashSmallGap" w:sz="4" w:space="0" w:color="D04A02" w:themeColor="accent1"/>
              <w:bottom w:val="single" w:sz="4" w:space="0" w:color="D04A02" w:themeColor="accent1"/>
            </w:tcBorders>
            <w:tcMar>
              <w:top w:w="28" w:type="dxa"/>
              <w:left w:w="85" w:type="dxa"/>
              <w:bottom w:w="28" w:type="dxa"/>
              <w:right w:w="85" w:type="dxa"/>
            </w:tcMar>
          </w:tcPr>
          <w:p w14:paraId="618A4A21"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noProof/>
                <w:sz w:val="20"/>
              </w:rPr>
            </w:pPr>
            <w:r w:rsidRPr="008549AA">
              <w:rPr>
                <w:rFonts w:cstheme="minorHAnsi"/>
                <w:noProof/>
                <w:sz w:val="20"/>
              </w:rPr>
              <w:drawing>
                <wp:inline distT="0" distB="0" distL="0" distR="0" wp14:anchorId="24FAAC23" wp14:editId="03EB808C">
                  <wp:extent cx="346710" cy="346710"/>
                  <wp:effectExtent l="0" t="0" r="0" b="0"/>
                  <wp:docPr id="98" name="Picture 98"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48557" cy="348557"/>
                          </a:xfrm>
                          <a:prstGeom prst="rect">
                            <a:avLst/>
                          </a:prstGeom>
                        </pic:spPr>
                      </pic:pic>
                    </a:graphicData>
                  </a:graphic>
                </wp:inline>
              </w:drawing>
            </w:r>
          </w:p>
        </w:tc>
        <w:tc>
          <w:tcPr>
            <w:tcW w:w="1128" w:type="dxa"/>
            <w:tcBorders>
              <w:top w:val="dashSmallGap" w:sz="4" w:space="0" w:color="D04A02" w:themeColor="accent1"/>
              <w:bottom w:val="single" w:sz="4" w:space="0" w:color="D04A02" w:themeColor="accent1"/>
            </w:tcBorders>
            <w:tcMar>
              <w:top w:w="28" w:type="dxa"/>
              <w:left w:w="85" w:type="dxa"/>
              <w:bottom w:w="28" w:type="dxa"/>
              <w:right w:w="85" w:type="dxa"/>
            </w:tcMar>
          </w:tcPr>
          <w:p w14:paraId="114ABA6B"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0CCA2C01" wp14:editId="67049140">
                  <wp:extent cx="312732" cy="312732"/>
                  <wp:effectExtent l="0" t="0" r="0" b="0"/>
                  <wp:docPr id="99" name="Picture 99"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16379" cy="316379"/>
                          </a:xfrm>
                          <a:prstGeom prst="rect">
                            <a:avLst/>
                          </a:prstGeom>
                        </pic:spPr>
                      </pic:pic>
                    </a:graphicData>
                  </a:graphic>
                </wp:inline>
              </w:drawing>
            </w:r>
          </w:p>
        </w:tc>
        <w:tc>
          <w:tcPr>
            <w:tcW w:w="1127" w:type="dxa"/>
            <w:tcBorders>
              <w:top w:val="dashSmallGap" w:sz="4" w:space="0" w:color="D04A02" w:themeColor="accent1"/>
              <w:bottom w:val="single" w:sz="4" w:space="0" w:color="D04A02" w:themeColor="accent1"/>
            </w:tcBorders>
            <w:tcMar>
              <w:top w:w="28" w:type="dxa"/>
              <w:left w:w="85" w:type="dxa"/>
              <w:bottom w:w="28" w:type="dxa"/>
              <w:right w:w="85" w:type="dxa"/>
            </w:tcMar>
          </w:tcPr>
          <w:p w14:paraId="7ADE59F5"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799F5B41" wp14:editId="7CAF2AA9">
                  <wp:extent cx="312732" cy="312732"/>
                  <wp:effectExtent l="0" t="0" r="0" b="0"/>
                  <wp:docPr id="100" name="Picture 100"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15788" cy="315788"/>
                          </a:xfrm>
                          <a:prstGeom prst="rect">
                            <a:avLst/>
                          </a:prstGeom>
                        </pic:spPr>
                      </pic:pic>
                    </a:graphicData>
                  </a:graphic>
                </wp:inline>
              </w:drawing>
            </w:r>
          </w:p>
        </w:tc>
      </w:tr>
      <w:tr w:rsidR="002C7305" w:rsidRPr="008549AA" w14:paraId="30BE07B2" w14:textId="77777777" w:rsidTr="007A7461">
        <w:tc>
          <w:tcPr>
            <w:tcW w:w="1699" w:type="dxa"/>
            <w:vMerge w:val="restart"/>
            <w:tcBorders>
              <w:top w:val="single" w:sz="4" w:space="0" w:color="D04A02" w:themeColor="accent1"/>
            </w:tcBorders>
            <w:shd w:val="clear" w:color="auto" w:fill="F2F2F2" w:themeFill="background1" w:themeFillShade="F2"/>
            <w:tcMar>
              <w:top w:w="28" w:type="dxa"/>
              <w:left w:w="85" w:type="dxa"/>
              <w:bottom w:w="28" w:type="dxa"/>
              <w:right w:w="85" w:type="dxa"/>
            </w:tcMar>
          </w:tcPr>
          <w:p w14:paraId="6440E2E1" w14:textId="77777777" w:rsidR="002C7305" w:rsidRPr="008549AA" w:rsidRDefault="002C7305" w:rsidP="007A7461">
            <w:pPr>
              <w:pStyle w:val="PwCNormal"/>
              <w:numPr>
                <w:ilvl w:val="0"/>
                <w:numId w:val="0"/>
              </w:numPr>
              <w:spacing w:before="0" w:line="269" w:lineRule="auto"/>
              <w:rPr>
                <w:rFonts w:asciiTheme="minorHAnsi" w:hAnsiTheme="minorHAnsi" w:cstheme="minorHAnsi"/>
                <w:b/>
                <w:bCs/>
                <w:sz w:val="20"/>
              </w:rPr>
            </w:pPr>
            <w:r w:rsidRPr="008549AA">
              <w:rPr>
                <w:rFonts w:asciiTheme="minorHAnsi" w:hAnsiTheme="minorHAnsi" w:cstheme="minorHAnsi"/>
                <w:b/>
                <w:bCs/>
                <w:sz w:val="20"/>
              </w:rPr>
              <w:t>Quality and Safety</w:t>
            </w:r>
          </w:p>
        </w:tc>
        <w:tc>
          <w:tcPr>
            <w:tcW w:w="4654" w:type="dxa"/>
            <w:tcBorders>
              <w:top w:val="single" w:sz="4" w:space="0" w:color="D04A02" w:themeColor="accent1"/>
              <w:bottom w:val="dashSmallGap" w:sz="4" w:space="0" w:color="D04A02" w:themeColor="accent1"/>
            </w:tcBorders>
            <w:tcMar>
              <w:top w:w="28" w:type="dxa"/>
              <w:left w:w="85" w:type="dxa"/>
              <w:bottom w:w="28" w:type="dxa"/>
              <w:right w:w="85" w:type="dxa"/>
            </w:tcMar>
          </w:tcPr>
          <w:p w14:paraId="284CBAA4" w14:textId="374EDDF7" w:rsidR="002C7305" w:rsidRPr="008549AA" w:rsidRDefault="002C7305" w:rsidP="007A7461">
            <w:pPr>
              <w:pStyle w:val="PwCNormal"/>
              <w:numPr>
                <w:ilvl w:val="0"/>
                <w:numId w:val="0"/>
              </w:numPr>
              <w:spacing w:before="0" w:line="269" w:lineRule="auto"/>
              <w:rPr>
                <w:rFonts w:asciiTheme="minorHAnsi" w:hAnsiTheme="minorHAnsi" w:cstheme="minorHAnsi"/>
                <w:sz w:val="20"/>
              </w:rPr>
            </w:pPr>
            <w:r w:rsidRPr="008549AA">
              <w:rPr>
                <w:rFonts w:asciiTheme="minorHAnsi" w:hAnsiTheme="minorHAnsi" w:cstheme="minorHAnsi"/>
                <w:sz w:val="20"/>
              </w:rPr>
              <w:t>Improve data and IT systems for monitoring, reporting and oversight</w:t>
            </w:r>
          </w:p>
        </w:tc>
        <w:tc>
          <w:tcPr>
            <w:tcW w:w="1128" w:type="dxa"/>
            <w:tcBorders>
              <w:top w:val="single" w:sz="4" w:space="0" w:color="D04A02" w:themeColor="accent1"/>
              <w:bottom w:val="dashSmallGap" w:sz="4" w:space="0" w:color="D04A02" w:themeColor="accent1"/>
            </w:tcBorders>
            <w:tcMar>
              <w:top w:w="28" w:type="dxa"/>
              <w:left w:w="85" w:type="dxa"/>
              <w:bottom w:w="28" w:type="dxa"/>
              <w:right w:w="85" w:type="dxa"/>
            </w:tcMar>
          </w:tcPr>
          <w:p w14:paraId="22A0E472"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3D147795" wp14:editId="163AEDB9">
                  <wp:extent cx="346724" cy="346724"/>
                  <wp:effectExtent l="0" t="0" r="0" b="0"/>
                  <wp:docPr id="102" name="Picture 102"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48847" cy="348847"/>
                          </a:xfrm>
                          <a:prstGeom prst="rect">
                            <a:avLst/>
                          </a:prstGeom>
                        </pic:spPr>
                      </pic:pic>
                    </a:graphicData>
                  </a:graphic>
                </wp:inline>
              </w:drawing>
            </w:r>
          </w:p>
        </w:tc>
        <w:tc>
          <w:tcPr>
            <w:tcW w:w="1128" w:type="dxa"/>
            <w:tcBorders>
              <w:top w:val="single" w:sz="4" w:space="0" w:color="D04A02" w:themeColor="accent1"/>
              <w:bottom w:val="dashSmallGap" w:sz="4" w:space="0" w:color="D04A02" w:themeColor="accent1"/>
            </w:tcBorders>
            <w:tcMar>
              <w:top w:w="28" w:type="dxa"/>
              <w:left w:w="85" w:type="dxa"/>
              <w:bottom w:w="28" w:type="dxa"/>
              <w:right w:w="85" w:type="dxa"/>
            </w:tcMar>
          </w:tcPr>
          <w:p w14:paraId="1168AC1A"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09435E65" wp14:editId="3915D937">
                  <wp:extent cx="312731" cy="312731"/>
                  <wp:effectExtent l="0" t="0" r="0" b="0"/>
                  <wp:docPr id="103" name="Picture 103"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16545" cy="316545"/>
                          </a:xfrm>
                          <a:prstGeom prst="rect">
                            <a:avLst/>
                          </a:prstGeom>
                        </pic:spPr>
                      </pic:pic>
                    </a:graphicData>
                  </a:graphic>
                </wp:inline>
              </w:drawing>
            </w:r>
          </w:p>
        </w:tc>
        <w:tc>
          <w:tcPr>
            <w:tcW w:w="1127" w:type="dxa"/>
            <w:tcBorders>
              <w:top w:val="single" w:sz="4" w:space="0" w:color="D04A02" w:themeColor="accent1"/>
              <w:bottom w:val="dashSmallGap" w:sz="4" w:space="0" w:color="D04A02" w:themeColor="accent1"/>
            </w:tcBorders>
            <w:tcMar>
              <w:top w:w="28" w:type="dxa"/>
              <w:left w:w="85" w:type="dxa"/>
              <w:bottom w:w="28" w:type="dxa"/>
              <w:right w:w="85" w:type="dxa"/>
            </w:tcMar>
          </w:tcPr>
          <w:p w14:paraId="779F2E3E"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38DD3F33" wp14:editId="354527D5">
                  <wp:extent cx="309320" cy="309320"/>
                  <wp:effectExtent l="0" t="0" r="0" b="0"/>
                  <wp:docPr id="104" name="Picture 104"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12891" cy="312891"/>
                          </a:xfrm>
                          <a:prstGeom prst="rect">
                            <a:avLst/>
                          </a:prstGeom>
                        </pic:spPr>
                      </pic:pic>
                    </a:graphicData>
                  </a:graphic>
                </wp:inline>
              </w:drawing>
            </w:r>
          </w:p>
        </w:tc>
      </w:tr>
      <w:tr w:rsidR="002C7305" w:rsidRPr="008549AA" w14:paraId="1E2408C7" w14:textId="77777777" w:rsidTr="007A7461">
        <w:tc>
          <w:tcPr>
            <w:tcW w:w="1699" w:type="dxa"/>
            <w:vMerge/>
            <w:tcBorders>
              <w:bottom w:val="single" w:sz="4" w:space="0" w:color="D04A02" w:themeColor="accent1"/>
            </w:tcBorders>
            <w:shd w:val="clear" w:color="auto" w:fill="F2F2F2" w:themeFill="background1" w:themeFillShade="F2"/>
            <w:tcMar>
              <w:top w:w="28" w:type="dxa"/>
              <w:left w:w="85" w:type="dxa"/>
              <w:bottom w:w="28" w:type="dxa"/>
              <w:right w:w="85" w:type="dxa"/>
            </w:tcMar>
          </w:tcPr>
          <w:p w14:paraId="053A0538" w14:textId="77777777" w:rsidR="002C7305" w:rsidRPr="008549AA" w:rsidRDefault="002C7305" w:rsidP="007A7461">
            <w:pPr>
              <w:pStyle w:val="PwCNormal"/>
              <w:numPr>
                <w:ilvl w:val="0"/>
                <w:numId w:val="0"/>
              </w:numPr>
              <w:spacing w:before="0" w:line="269" w:lineRule="auto"/>
              <w:rPr>
                <w:rFonts w:asciiTheme="minorHAnsi" w:hAnsiTheme="minorHAnsi" w:cstheme="minorHAnsi"/>
                <w:sz w:val="20"/>
              </w:rPr>
            </w:pPr>
          </w:p>
        </w:tc>
        <w:tc>
          <w:tcPr>
            <w:tcW w:w="4654" w:type="dxa"/>
            <w:tcBorders>
              <w:top w:val="dashSmallGap" w:sz="4" w:space="0" w:color="D04A02" w:themeColor="accent1"/>
              <w:bottom w:val="single" w:sz="4" w:space="0" w:color="D04A02" w:themeColor="accent1"/>
            </w:tcBorders>
            <w:tcMar>
              <w:top w:w="28" w:type="dxa"/>
              <w:left w:w="85" w:type="dxa"/>
              <w:bottom w:w="28" w:type="dxa"/>
              <w:right w:w="85" w:type="dxa"/>
            </w:tcMar>
          </w:tcPr>
          <w:p w14:paraId="1DE6E8BF" w14:textId="67A61F86" w:rsidR="002C7305" w:rsidRPr="008549AA" w:rsidRDefault="002C7305" w:rsidP="007A7461">
            <w:pPr>
              <w:pStyle w:val="PwCNormal"/>
              <w:numPr>
                <w:ilvl w:val="0"/>
                <w:numId w:val="0"/>
              </w:numPr>
              <w:spacing w:before="0" w:line="269" w:lineRule="auto"/>
              <w:rPr>
                <w:rFonts w:asciiTheme="minorHAnsi" w:hAnsiTheme="minorHAnsi" w:cstheme="minorHAnsi"/>
                <w:sz w:val="20"/>
              </w:rPr>
            </w:pPr>
            <w:r w:rsidRPr="008549AA">
              <w:rPr>
                <w:rFonts w:asciiTheme="minorHAnsi" w:hAnsiTheme="minorHAnsi" w:cstheme="minorHAnsi"/>
                <w:sz w:val="20"/>
              </w:rPr>
              <w:t>Enhance national consistency and quality of the program</w:t>
            </w:r>
          </w:p>
        </w:tc>
        <w:tc>
          <w:tcPr>
            <w:tcW w:w="1128" w:type="dxa"/>
            <w:tcBorders>
              <w:top w:val="dashSmallGap" w:sz="4" w:space="0" w:color="D04A02" w:themeColor="accent1"/>
              <w:bottom w:val="single" w:sz="4" w:space="0" w:color="D04A02" w:themeColor="accent1"/>
            </w:tcBorders>
            <w:tcMar>
              <w:top w:w="28" w:type="dxa"/>
              <w:left w:w="85" w:type="dxa"/>
              <w:bottom w:w="28" w:type="dxa"/>
              <w:right w:w="85" w:type="dxa"/>
            </w:tcMar>
          </w:tcPr>
          <w:p w14:paraId="3E7BB217"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17C1279A" wp14:editId="31076647">
                  <wp:extent cx="346724" cy="346724"/>
                  <wp:effectExtent l="0" t="0" r="0" b="0"/>
                  <wp:docPr id="115" name="Picture 115"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48847" cy="348847"/>
                          </a:xfrm>
                          <a:prstGeom prst="rect">
                            <a:avLst/>
                          </a:prstGeom>
                        </pic:spPr>
                      </pic:pic>
                    </a:graphicData>
                  </a:graphic>
                </wp:inline>
              </w:drawing>
            </w:r>
          </w:p>
        </w:tc>
        <w:tc>
          <w:tcPr>
            <w:tcW w:w="1128" w:type="dxa"/>
            <w:tcBorders>
              <w:top w:val="dashSmallGap" w:sz="4" w:space="0" w:color="D04A02" w:themeColor="accent1"/>
              <w:bottom w:val="single" w:sz="4" w:space="0" w:color="D04A02" w:themeColor="accent1"/>
            </w:tcBorders>
            <w:tcMar>
              <w:top w:w="28" w:type="dxa"/>
              <w:left w:w="85" w:type="dxa"/>
              <w:bottom w:w="28" w:type="dxa"/>
              <w:right w:w="85" w:type="dxa"/>
            </w:tcMar>
          </w:tcPr>
          <w:p w14:paraId="2A6BF9DE"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21A2B931" wp14:editId="6DBE8468">
                  <wp:extent cx="312731" cy="312731"/>
                  <wp:effectExtent l="0" t="0" r="0" b="0"/>
                  <wp:docPr id="116" name="Picture 116"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16545" cy="316545"/>
                          </a:xfrm>
                          <a:prstGeom prst="rect">
                            <a:avLst/>
                          </a:prstGeom>
                        </pic:spPr>
                      </pic:pic>
                    </a:graphicData>
                  </a:graphic>
                </wp:inline>
              </w:drawing>
            </w:r>
          </w:p>
        </w:tc>
        <w:tc>
          <w:tcPr>
            <w:tcW w:w="1127" w:type="dxa"/>
            <w:tcBorders>
              <w:top w:val="dashSmallGap" w:sz="4" w:space="0" w:color="D04A02" w:themeColor="accent1"/>
              <w:bottom w:val="single" w:sz="4" w:space="0" w:color="D04A02" w:themeColor="accent1"/>
            </w:tcBorders>
            <w:tcMar>
              <w:top w:w="28" w:type="dxa"/>
              <w:left w:w="85" w:type="dxa"/>
              <w:bottom w:w="28" w:type="dxa"/>
              <w:right w:w="85" w:type="dxa"/>
            </w:tcMar>
          </w:tcPr>
          <w:p w14:paraId="0B5D8781" w14:textId="77777777" w:rsidR="002C7305" w:rsidRPr="008549AA" w:rsidRDefault="002C7305" w:rsidP="007A7461">
            <w:pPr>
              <w:pStyle w:val="PwCNormal"/>
              <w:numPr>
                <w:ilvl w:val="0"/>
                <w:numId w:val="0"/>
              </w:numPr>
              <w:spacing w:before="0" w:line="269" w:lineRule="auto"/>
              <w:jc w:val="center"/>
              <w:rPr>
                <w:rFonts w:asciiTheme="minorHAnsi" w:hAnsiTheme="minorHAnsi" w:cstheme="minorHAnsi"/>
                <w:sz w:val="20"/>
              </w:rPr>
            </w:pPr>
            <w:r w:rsidRPr="008549AA">
              <w:rPr>
                <w:rFonts w:cstheme="minorHAnsi"/>
                <w:noProof/>
                <w:sz w:val="20"/>
              </w:rPr>
              <w:drawing>
                <wp:inline distT="0" distB="0" distL="0" distR="0" wp14:anchorId="7EE9437C" wp14:editId="7CA68223">
                  <wp:extent cx="309320" cy="309320"/>
                  <wp:effectExtent l="0" t="0" r="0" b="0"/>
                  <wp:docPr id="117" name="Picture 117"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12891" cy="312891"/>
                          </a:xfrm>
                          <a:prstGeom prst="rect">
                            <a:avLst/>
                          </a:prstGeom>
                        </pic:spPr>
                      </pic:pic>
                    </a:graphicData>
                  </a:graphic>
                </wp:inline>
              </w:drawing>
            </w:r>
          </w:p>
        </w:tc>
      </w:tr>
    </w:tbl>
    <w:p w14:paraId="3A628BF7" w14:textId="28068576" w:rsidR="008D78B6" w:rsidRPr="005054F8" w:rsidRDefault="002174A1" w:rsidP="002948FF">
      <w:pPr>
        <w:pStyle w:val="DocSpecalText"/>
        <w:spacing w:before="120"/>
      </w:pPr>
      <w:r w:rsidRPr="0038133A">
        <w:rPr>
          <w:b/>
          <w:bCs/>
          <w:color w:val="464646" w:themeColor="accent6"/>
        </w:rPr>
        <w:t>Grey</w:t>
      </w:r>
      <w:r w:rsidRPr="00D96E68">
        <w:rPr>
          <w:b/>
          <w:bCs/>
          <w:color w:val="808080" w:themeColor="background1" w:themeShade="80"/>
        </w:rPr>
        <w:t xml:space="preserve"> </w:t>
      </w:r>
      <w:r w:rsidRPr="00D96E68">
        <w:t xml:space="preserve">= no impact to families, </w:t>
      </w:r>
      <w:r w:rsidRPr="0038133A">
        <w:rPr>
          <w:b/>
          <w:bCs/>
          <w:color w:val="D04A02" w:themeColor="accent1"/>
        </w:rPr>
        <w:t>Amber</w:t>
      </w:r>
      <w:r w:rsidRPr="00D96E68">
        <w:rPr>
          <w:color w:val="EB8C00" w:themeColor="accent4"/>
        </w:rPr>
        <w:t xml:space="preserve"> </w:t>
      </w:r>
      <w:r w:rsidRPr="00D96E68">
        <w:t xml:space="preserve">= moderate impact to families, </w:t>
      </w:r>
      <w:r w:rsidRPr="0038133A">
        <w:rPr>
          <w:b/>
          <w:bCs/>
          <w:color w:val="175C2C"/>
        </w:rPr>
        <w:t>Green</w:t>
      </w:r>
      <w:r w:rsidRPr="00D96E68">
        <w:rPr>
          <w:color w:val="00B050"/>
        </w:rPr>
        <w:t xml:space="preserve"> </w:t>
      </w:r>
      <w:r w:rsidRPr="00D96E68">
        <w:t>= significant impact to families</w:t>
      </w:r>
      <w:r w:rsidR="00B35DDD">
        <w:t xml:space="preserve">. </w:t>
      </w:r>
      <w:r w:rsidR="00B35DDD" w:rsidRPr="005F5257">
        <w:rPr>
          <w:rFonts w:cstheme="minorHAnsi"/>
          <w:noProof/>
        </w:rPr>
        <w:drawing>
          <wp:inline distT="0" distB="0" distL="0" distR="0" wp14:anchorId="509EDA58" wp14:editId="792B3942">
            <wp:extent cx="200025" cy="200025"/>
            <wp:effectExtent l="0" t="0" r="0" b="9525"/>
            <wp:docPr id="24" name="Picture 24"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01257" cy="201257"/>
                    </a:xfrm>
                    <a:prstGeom prst="rect">
                      <a:avLst/>
                    </a:prstGeom>
                  </pic:spPr>
                </pic:pic>
              </a:graphicData>
            </a:graphic>
          </wp:inline>
        </w:drawing>
      </w:r>
      <w:r w:rsidR="00B35DDD" w:rsidRPr="005F5257">
        <w:t xml:space="preserve"> = Families with complex and challenging needs, </w:t>
      </w:r>
      <w:r w:rsidR="00B35DDD" w:rsidRPr="005F5257">
        <w:rPr>
          <w:rFonts w:cstheme="minorHAnsi"/>
          <w:noProof/>
        </w:rPr>
        <w:drawing>
          <wp:inline distT="0" distB="0" distL="0" distR="0" wp14:anchorId="0A408A46" wp14:editId="6905451E">
            <wp:extent cx="152400" cy="152400"/>
            <wp:effectExtent l="0" t="0" r="0" b="0"/>
            <wp:docPr id="26" name="Picture 26"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154236" cy="154236"/>
                    </a:xfrm>
                    <a:prstGeom prst="rect">
                      <a:avLst/>
                    </a:prstGeom>
                  </pic:spPr>
                </pic:pic>
              </a:graphicData>
            </a:graphic>
          </wp:inline>
        </w:drawing>
      </w:r>
      <w:r w:rsidR="00B35DDD" w:rsidRPr="005F5257">
        <w:t xml:space="preserve"> = Families that work non-standard hours, </w:t>
      </w:r>
      <w:r w:rsidR="00B35DDD" w:rsidRPr="005F5257">
        <w:rPr>
          <w:rFonts w:cstheme="minorHAnsi"/>
          <w:noProof/>
        </w:rPr>
        <w:drawing>
          <wp:inline distT="0" distB="0" distL="0" distR="0" wp14:anchorId="0A3977C1" wp14:editId="59B3D126">
            <wp:extent cx="153035" cy="153035"/>
            <wp:effectExtent l="0" t="0" r="0" b="0"/>
            <wp:docPr id="27" name="Picture 27"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flipH="1">
                      <a:off x="0" y="0"/>
                      <a:ext cx="155071" cy="155071"/>
                    </a:xfrm>
                    <a:prstGeom prst="rect">
                      <a:avLst/>
                    </a:prstGeom>
                  </pic:spPr>
                </pic:pic>
              </a:graphicData>
            </a:graphic>
          </wp:inline>
        </w:drawing>
      </w:r>
      <w:r w:rsidR="00B35DDD" w:rsidRPr="005F5257">
        <w:t xml:space="preserve"> = Geographically isolated families.</w:t>
      </w:r>
    </w:p>
    <w:p w14:paraId="5C0E675B" w14:textId="77777777" w:rsidR="008D78B6" w:rsidRPr="00D96E68" w:rsidRDefault="008D78B6" w:rsidP="0038133A">
      <w:pPr>
        <w:pStyle w:val="DocSpecalText"/>
        <w:spacing w:before="120"/>
      </w:pPr>
    </w:p>
    <w:p w14:paraId="4E2D60E9" w14:textId="7589D0B4" w:rsidR="002174A1" w:rsidRPr="00D96E68" w:rsidRDefault="002174A1" w:rsidP="002174A1">
      <w:pPr>
        <w:pStyle w:val="DocBodyText"/>
      </w:pPr>
      <w:r w:rsidRPr="00D96E68">
        <w:t>A summary of each of these options</w:t>
      </w:r>
      <w:r w:rsidR="00FE3853">
        <w:t xml:space="preserve"> </w:t>
      </w:r>
      <w:r w:rsidRPr="00D96E68">
        <w:t xml:space="preserve">and </w:t>
      </w:r>
      <w:r w:rsidR="00686C4D">
        <w:t>their</w:t>
      </w:r>
      <w:r w:rsidRPr="00D96E68">
        <w:t xml:space="preserve"> assessment against the MCA framework, are presented in the section below.</w:t>
      </w:r>
    </w:p>
    <w:p w14:paraId="7A968CB6" w14:textId="77777777" w:rsidR="007A7461" w:rsidRDefault="007A7461">
      <w:pPr>
        <w:spacing w:before="0" w:line="281" w:lineRule="auto"/>
        <w:rPr>
          <w:b/>
          <w:bCs/>
          <w:sz w:val="28"/>
          <w:szCs w:val="28"/>
        </w:rPr>
      </w:pPr>
      <w:bookmarkStart w:id="69" w:name="_Toc139022136"/>
      <w:r>
        <w:br w:type="page"/>
      </w:r>
    </w:p>
    <w:p w14:paraId="2EB03FA0" w14:textId="766E2536" w:rsidR="002174A1" w:rsidRPr="00D96E68" w:rsidRDefault="002174A1" w:rsidP="002174A1">
      <w:pPr>
        <w:pStyle w:val="DocHeading02"/>
      </w:pPr>
      <w:bookmarkStart w:id="70" w:name="_Toc140148414"/>
      <w:bookmarkStart w:id="71" w:name="_Toc140149912"/>
      <w:r w:rsidRPr="00D96E68">
        <w:lastRenderedPageBreak/>
        <w:t>Options to improve demand management</w:t>
      </w:r>
      <w:bookmarkEnd w:id="69"/>
      <w:bookmarkEnd w:id="70"/>
      <w:bookmarkEnd w:id="71"/>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4"/>
        <w:gridCol w:w="669"/>
        <w:gridCol w:w="707"/>
        <w:gridCol w:w="671"/>
      </w:tblGrid>
      <w:tr w:rsidR="002174A1" w:rsidRPr="008549AA" w14:paraId="61D38FF7" w14:textId="77777777" w:rsidTr="00404A23">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855" w:type="dxa"/>
            <w:gridSpan w:val="4"/>
            <w:shd w:val="clear" w:color="auto" w:fill="D04A02" w:themeFill="accent1"/>
          </w:tcPr>
          <w:p w14:paraId="7FC27370" w14:textId="77777777" w:rsidR="002174A1" w:rsidRPr="008549AA" w:rsidRDefault="002174A1" w:rsidP="006D4830">
            <w:pPr>
              <w:pStyle w:val="PwCNormal"/>
              <w:numPr>
                <w:ilvl w:val="0"/>
                <w:numId w:val="2"/>
              </w:numPr>
              <w:spacing w:before="120" w:after="120"/>
              <w:rPr>
                <w:rFonts w:asciiTheme="minorHAnsi" w:hAnsiTheme="minorHAnsi" w:cstheme="minorHAnsi"/>
                <w:b/>
                <w:bCs/>
                <w:color w:val="FFFFFF" w:themeColor="background1"/>
                <w:sz w:val="20"/>
              </w:rPr>
            </w:pPr>
            <w:r w:rsidRPr="008549AA">
              <w:rPr>
                <w:rFonts w:asciiTheme="minorHAnsi" w:hAnsiTheme="minorHAnsi" w:cstheme="minorHAnsi"/>
                <w:b/>
                <w:bCs/>
                <w:color w:val="FFFFFF" w:themeColor="background1"/>
                <w:sz w:val="20"/>
              </w:rPr>
              <w:t>Better support transition of some families from IHC to mainstream ECEC or alternative service systems.</w:t>
            </w:r>
          </w:p>
        </w:tc>
      </w:tr>
      <w:tr w:rsidR="002174A1" w:rsidRPr="008549AA" w14:paraId="138E44C8" w14:textId="77777777" w:rsidTr="00404A23">
        <w:tc>
          <w:tcPr>
            <w:tcW w:w="9855" w:type="dxa"/>
            <w:gridSpan w:val="4"/>
            <w:shd w:val="clear" w:color="auto" w:fill="E5E5E5" w:themeFill="text2" w:themeFillTint="33"/>
          </w:tcPr>
          <w:p w14:paraId="0C46CF60" w14:textId="77777777" w:rsidR="002174A1" w:rsidRPr="008549AA" w:rsidRDefault="002174A1" w:rsidP="006D4830">
            <w:pPr>
              <w:pStyle w:val="PwCNormal"/>
              <w:numPr>
                <w:ilvl w:val="0"/>
                <w:numId w:val="2"/>
              </w:numPr>
              <w:spacing w:before="120" w:after="120"/>
              <w:rPr>
                <w:rFonts w:asciiTheme="minorHAnsi" w:hAnsiTheme="minorHAnsi" w:cstheme="minorHAnsi"/>
                <w:b/>
                <w:bCs/>
                <w:sz w:val="20"/>
              </w:rPr>
            </w:pPr>
            <w:r w:rsidRPr="008549AA">
              <w:rPr>
                <w:rFonts w:asciiTheme="minorHAnsi" w:hAnsiTheme="minorHAnsi" w:cstheme="minorHAnsi"/>
                <w:b/>
                <w:bCs/>
                <w:sz w:val="20"/>
              </w:rPr>
              <w:t>Description</w:t>
            </w:r>
          </w:p>
        </w:tc>
      </w:tr>
      <w:tr w:rsidR="002174A1" w:rsidRPr="008549AA" w14:paraId="0AEE15BE" w14:textId="77777777" w:rsidTr="00404A23">
        <w:tc>
          <w:tcPr>
            <w:tcW w:w="9855" w:type="dxa"/>
            <w:gridSpan w:val="4"/>
          </w:tcPr>
          <w:p w14:paraId="53F17B41" w14:textId="77777777" w:rsidR="002174A1" w:rsidRPr="008549AA" w:rsidRDefault="002174A1" w:rsidP="0038133A">
            <w:pPr>
              <w:pStyle w:val="ListParagraph"/>
              <w:numPr>
                <w:ilvl w:val="0"/>
                <w:numId w:val="25"/>
              </w:numPr>
              <w:kinsoku w:val="0"/>
              <w:overflowPunct w:val="0"/>
              <w:autoSpaceDE w:val="0"/>
              <w:autoSpaceDN w:val="0"/>
              <w:adjustRightInd w:val="0"/>
              <w:snapToGrid w:val="0"/>
              <w:spacing w:after="120"/>
              <w:ind w:left="360"/>
              <w:contextualSpacing w:val="0"/>
              <w:rPr>
                <w:rFonts w:asciiTheme="minorHAnsi" w:hAnsiTheme="minorHAnsi" w:cstheme="minorHAnsi"/>
              </w:rPr>
            </w:pPr>
            <w:r w:rsidRPr="008549AA">
              <w:rPr>
                <w:rFonts w:asciiTheme="minorHAnsi" w:hAnsiTheme="minorHAnsi" w:cstheme="minorHAnsi"/>
              </w:rPr>
              <w:t>Better support the transition of families and children from IHC to mainstream ECEC services</w:t>
            </w:r>
          </w:p>
          <w:p w14:paraId="72125B34" w14:textId="77777777" w:rsidR="002174A1" w:rsidRPr="008549AA" w:rsidRDefault="002174A1" w:rsidP="0038133A">
            <w:pPr>
              <w:pStyle w:val="ListParagraph"/>
              <w:numPr>
                <w:ilvl w:val="0"/>
                <w:numId w:val="25"/>
              </w:numPr>
              <w:kinsoku w:val="0"/>
              <w:overflowPunct w:val="0"/>
              <w:autoSpaceDE w:val="0"/>
              <w:autoSpaceDN w:val="0"/>
              <w:adjustRightInd w:val="0"/>
              <w:snapToGrid w:val="0"/>
              <w:spacing w:after="120"/>
              <w:ind w:left="360"/>
              <w:contextualSpacing w:val="0"/>
              <w:rPr>
                <w:rFonts w:asciiTheme="minorHAnsi" w:hAnsiTheme="minorHAnsi" w:cstheme="minorHAnsi"/>
              </w:rPr>
            </w:pPr>
            <w:r w:rsidRPr="008549AA">
              <w:rPr>
                <w:rFonts w:asciiTheme="minorHAnsi" w:hAnsiTheme="minorHAnsi" w:cstheme="minorHAnsi"/>
              </w:rPr>
              <w:t>Better support the shift in demand to other, more appropriate programs (including ISP)</w:t>
            </w:r>
          </w:p>
          <w:p w14:paraId="4541DDFD" w14:textId="77777777" w:rsidR="002174A1" w:rsidRPr="008549AA" w:rsidRDefault="002174A1" w:rsidP="0038133A">
            <w:pPr>
              <w:pStyle w:val="ListParagraph"/>
              <w:numPr>
                <w:ilvl w:val="0"/>
                <w:numId w:val="25"/>
              </w:numPr>
              <w:kinsoku w:val="0"/>
              <w:overflowPunct w:val="0"/>
              <w:autoSpaceDE w:val="0"/>
              <w:autoSpaceDN w:val="0"/>
              <w:adjustRightInd w:val="0"/>
              <w:snapToGrid w:val="0"/>
              <w:spacing w:after="120"/>
              <w:ind w:left="360"/>
              <w:contextualSpacing w:val="0"/>
              <w:rPr>
                <w:rFonts w:asciiTheme="minorHAnsi" w:hAnsiTheme="minorHAnsi" w:cstheme="minorHAnsi"/>
              </w:rPr>
            </w:pPr>
            <w:r w:rsidRPr="008549AA">
              <w:rPr>
                <w:rFonts w:asciiTheme="minorHAnsi" w:hAnsiTheme="minorHAnsi" w:cstheme="minorHAnsi"/>
              </w:rPr>
              <w:t>Incentivise centre-based providers to extend operating hours</w:t>
            </w:r>
          </w:p>
        </w:tc>
      </w:tr>
      <w:tr w:rsidR="002174A1" w:rsidRPr="008549AA" w14:paraId="1E67F281" w14:textId="77777777" w:rsidTr="00404A23">
        <w:trPr>
          <w:trHeight w:val="50"/>
        </w:trPr>
        <w:tc>
          <w:tcPr>
            <w:tcW w:w="9855" w:type="dxa"/>
            <w:gridSpan w:val="4"/>
            <w:shd w:val="clear" w:color="auto" w:fill="E5E5E5" w:themeFill="text2" w:themeFillTint="33"/>
          </w:tcPr>
          <w:p w14:paraId="6AC4E3E7" w14:textId="77777777" w:rsidR="002174A1" w:rsidRPr="008549AA" w:rsidRDefault="002174A1" w:rsidP="006D4830">
            <w:pPr>
              <w:pStyle w:val="PwCNormal"/>
              <w:numPr>
                <w:ilvl w:val="0"/>
                <w:numId w:val="2"/>
              </w:numPr>
              <w:spacing w:before="120" w:after="120"/>
              <w:rPr>
                <w:rFonts w:asciiTheme="minorHAnsi" w:hAnsiTheme="minorHAnsi" w:cstheme="minorHAnsi"/>
                <w:color w:val="FF0000"/>
                <w:sz w:val="20"/>
              </w:rPr>
            </w:pPr>
            <w:r w:rsidRPr="008549AA">
              <w:rPr>
                <w:rFonts w:asciiTheme="minorHAnsi" w:hAnsiTheme="minorHAnsi" w:cstheme="minorHAnsi"/>
                <w:b/>
                <w:bCs/>
                <w:color w:val="auto"/>
                <w:sz w:val="20"/>
              </w:rPr>
              <w:t>Impacted families</w:t>
            </w:r>
          </w:p>
        </w:tc>
      </w:tr>
      <w:tr w:rsidR="002174A1" w:rsidRPr="008549AA" w14:paraId="0B34C3E6" w14:textId="77777777" w:rsidTr="00404A23">
        <w:trPr>
          <w:trHeight w:val="70"/>
        </w:trPr>
        <w:tc>
          <w:tcPr>
            <w:tcW w:w="8019" w:type="dxa"/>
          </w:tcPr>
          <w:p w14:paraId="24B7DE87" w14:textId="77777777" w:rsidR="007D7BF5" w:rsidRPr="008549AA" w:rsidRDefault="002174A1" w:rsidP="006D4830">
            <w:pPr>
              <w:pStyle w:val="PwCNormal"/>
              <w:numPr>
                <w:ilvl w:val="0"/>
                <w:numId w:val="2"/>
              </w:numPr>
              <w:spacing w:before="120"/>
              <w:rPr>
                <w:rFonts w:asciiTheme="minorHAnsi" w:hAnsiTheme="minorHAnsi" w:cstheme="minorHAnsi"/>
                <w:color w:val="auto"/>
                <w:sz w:val="20"/>
              </w:rPr>
            </w:pPr>
            <w:r w:rsidRPr="008549AA">
              <w:rPr>
                <w:rFonts w:asciiTheme="minorHAnsi" w:hAnsiTheme="minorHAnsi" w:cstheme="minorHAnsi"/>
                <w:color w:val="auto"/>
                <w:sz w:val="20"/>
              </w:rPr>
              <w:t>This option would impact families with complex needs and non-standard work hours.</w:t>
            </w:r>
          </w:p>
          <w:p w14:paraId="6735CB99" w14:textId="43DA31DE" w:rsidR="002174A1" w:rsidRPr="008549AA" w:rsidRDefault="002174A1" w:rsidP="006D4830">
            <w:pPr>
              <w:pStyle w:val="PwCNormal"/>
              <w:numPr>
                <w:ilvl w:val="0"/>
                <w:numId w:val="0"/>
              </w:numPr>
              <w:spacing w:before="120" w:after="120"/>
              <w:rPr>
                <w:rFonts w:asciiTheme="minorHAnsi" w:hAnsiTheme="minorHAnsi" w:cstheme="minorHAnsi"/>
                <w:color w:val="auto"/>
                <w:sz w:val="20"/>
              </w:rPr>
            </w:pPr>
            <w:r w:rsidRPr="008549AA">
              <w:rPr>
                <w:rFonts w:asciiTheme="minorHAnsi" w:hAnsiTheme="minorHAnsi" w:cstheme="minorHAnsi"/>
                <w:color w:val="auto"/>
                <w:sz w:val="20"/>
              </w:rPr>
              <w:t>Geographically isolated families are unlikely to be impacted.</w:t>
            </w:r>
          </w:p>
        </w:tc>
        <w:tc>
          <w:tcPr>
            <w:tcW w:w="456" w:type="dxa"/>
          </w:tcPr>
          <w:p w14:paraId="15D0896C" w14:textId="77777777" w:rsidR="002174A1" w:rsidRPr="008549AA" w:rsidRDefault="002174A1" w:rsidP="006D4830">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4C30901F" wp14:editId="06526E8E">
                  <wp:extent cx="288000" cy="288000"/>
                  <wp:effectExtent l="0" t="0" r="0" b="0"/>
                  <wp:docPr id="292" name="Picture 292"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8000" cy="288000"/>
                          </a:xfrm>
                          <a:prstGeom prst="rect">
                            <a:avLst/>
                          </a:prstGeom>
                        </pic:spPr>
                      </pic:pic>
                    </a:graphicData>
                  </a:graphic>
                </wp:inline>
              </w:drawing>
            </w:r>
          </w:p>
        </w:tc>
        <w:tc>
          <w:tcPr>
            <w:tcW w:w="709" w:type="dxa"/>
          </w:tcPr>
          <w:p w14:paraId="7C34A9BB" w14:textId="77777777" w:rsidR="002174A1" w:rsidRPr="008549AA" w:rsidRDefault="002174A1" w:rsidP="006D4830">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25804C94" wp14:editId="5ECE7188">
                  <wp:extent cx="288000" cy="288000"/>
                  <wp:effectExtent l="0" t="0" r="0" b="0"/>
                  <wp:docPr id="293" name="Picture 293"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88000" cy="288000"/>
                          </a:xfrm>
                          <a:prstGeom prst="rect">
                            <a:avLst/>
                          </a:prstGeom>
                        </pic:spPr>
                      </pic:pic>
                    </a:graphicData>
                  </a:graphic>
                </wp:inline>
              </w:drawing>
            </w:r>
          </w:p>
        </w:tc>
        <w:tc>
          <w:tcPr>
            <w:tcW w:w="671" w:type="dxa"/>
          </w:tcPr>
          <w:p w14:paraId="0B605F4D" w14:textId="77777777" w:rsidR="002174A1" w:rsidRPr="008549AA" w:rsidRDefault="002174A1" w:rsidP="006D4830">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022D8321" wp14:editId="241F38BC">
                  <wp:extent cx="289367" cy="289367"/>
                  <wp:effectExtent l="0" t="0" r="0" b="0"/>
                  <wp:docPr id="294" name="Picture 294"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291885" cy="291885"/>
                          </a:xfrm>
                          <a:prstGeom prst="rect">
                            <a:avLst/>
                          </a:prstGeom>
                        </pic:spPr>
                      </pic:pic>
                    </a:graphicData>
                  </a:graphic>
                </wp:inline>
              </w:drawing>
            </w:r>
          </w:p>
        </w:tc>
      </w:tr>
      <w:tr w:rsidR="002174A1" w:rsidRPr="008549AA" w14:paraId="5F0E3F2D" w14:textId="77777777" w:rsidTr="00404A23">
        <w:tc>
          <w:tcPr>
            <w:tcW w:w="8019" w:type="dxa"/>
            <w:shd w:val="clear" w:color="auto" w:fill="E5E5E5" w:themeFill="text2" w:themeFillTint="33"/>
            <w:vAlign w:val="center"/>
          </w:tcPr>
          <w:p w14:paraId="024C0781" w14:textId="77777777" w:rsidR="002174A1" w:rsidRPr="008549AA" w:rsidRDefault="002174A1" w:rsidP="006D4830">
            <w:pPr>
              <w:pStyle w:val="PwCNormal"/>
              <w:numPr>
                <w:ilvl w:val="0"/>
                <w:numId w:val="0"/>
              </w:numPr>
              <w:spacing w:before="120" w:after="120"/>
              <w:rPr>
                <w:rFonts w:asciiTheme="minorHAnsi" w:hAnsiTheme="minorHAnsi" w:cstheme="minorHAnsi"/>
                <w:color w:val="FF0000"/>
                <w:sz w:val="20"/>
              </w:rPr>
            </w:pPr>
            <w:r w:rsidRPr="008549AA">
              <w:rPr>
                <w:rFonts w:asciiTheme="minorHAnsi" w:hAnsiTheme="minorHAnsi" w:cstheme="minorHAnsi"/>
                <w:b/>
                <w:bCs/>
                <w:color w:val="auto"/>
                <w:sz w:val="20"/>
              </w:rPr>
              <w:t>Outcomes assessment summary</w:t>
            </w:r>
          </w:p>
        </w:tc>
        <w:tc>
          <w:tcPr>
            <w:tcW w:w="1836" w:type="dxa"/>
            <w:gridSpan w:val="3"/>
            <w:shd w:val="clear" w:color="auto" w:fill="D04A02" w:themeFill="accent1"/>
            <w:vAlign w:val="center"/>
          </w:tcPr>
          <w:p w14:paraId="39C89523" w14:textId="77777777" w:rsidR="002174A1" w:rsidRPr="008549AA" w:rsidRDefault="002174A1" w:rsidP="006D4830">
            <w:pPr>
              <w:pStyle w:val="PwCNormal"/>
              <w:numPr>
                <w:ilvl w:val="0"/>
                <w:numId w:val="0"/>
              </w:numPr>
              <w:spacing w:before="120" w:after="120"/>
              <w:jc w:val="center"/>
              <w:rPr>
                <w:rFonts w:asciiTheme="minorHAnsi" w:hAnsiTheme="minorHAnsi" w:cstheme="minorHAnsi"/>
                <w:color w:val="FF0000"/>
                <w:sz w:val="20"/>
              </w:rPr>
            </w:pPr>
            <w:r w:rsidRPr="008549AA">
              <w:rPr>
                <w:rFonts w:asciiTheme="minorHAnsi" w:hAnsiTheme="minorHAnsi" w:cstheme="minorHAnsi"/>
                <w:b/>
                <w:bCs/>
                <w:color w:val="FFFFFF" w:themeColor="background1"/>
                <w:sz w:val="20"/>
              </w:rPr>
              <w:t>Moderate</w:t>
            </w:r>
            <w:r w:rsidRPr="008549AA">
              <w:rPr>
                <w:rFonts w:asciiTheme="minorHAnsi" w:hAnsiTheme="minorHAnsi" w:cstheme="minorHAnsi"/>
                <w:b/>
                <w:color w:val="FFFFFF" w:themeColor="background1"/>
                <w:sz w:val="20"/>
              </w:rPr>
              <w:t xml:space="preserve"> impact</w:t>
            </w:r>
          </w:p>
        </w:tc>
      </w:tr>
      <w:tr w:rsidR="002174A1" w:rsidRPr="008549AA" w14:paraId="01831178" w14:textId="77777777" w:rsidTr="00404A23">
        <w:tc>
          <w:tcPr>
            <w:tcW w:w="9855" w:type="dxa"/>
            <w:gridSpan w:val="4"/>
          </w:tcPr>
          <w:p w14:paraId="409A7B90" w14:textId="77777777" w:rsidR="002174A1" w:rsidRPr="008549AA" w:rsidRDefault="002174A1" w:rsidP="006D4830">
            <w:pPr>
              <w:pStyle w:val="PwCNormal"/>
              <w:numPr>
                <w:ilvl w:val="0"/>
                <w:numId w:val="0"/>
              </w:numPr>
              <w:spacing w:before="120" w:after="120"/>
              <w:rPr>
                <w:rFonts w:asciiTheme="minorHAnsi" w:hAnsiTheme="minorHAnsi" w:cstheme="minorHAnsi"/>
                <w:color w:val="FF0000"/>
                <w:sz w:val="20"/>
              </w:rPr>
            </w:pPr>
            <w:r w:rsidRPr="008549AA">
              <w:rPr>
                <w:rFonts w:asciiTheme="minorHAnsi" w:hAnsiTheme="minorHAnsi" w:cstheme="minorHAnsi"/>
                <w:color w:val="auto"/>
                <w:sz w:val="20"/>
              </w:rPr>
              <w:t xml:space="preserve">This option would impact families with complex needs and non-standard work hours, by supporting them to access more appropriate ECEC and other services to meet their specific needs. This could reduce costs of the IHC program, enable families to access more affordable services with lower gap fees, and increase equity of outcomes for these families. </w:t>
            </w:r>
          </w:p>
        </w:tc>
      </w:tr>
      <w:tr w:rsidR="002174A1" w:rsidRPr="008549AA" w14:paraId="2527713C" w14:textId="77777777" w:rsidTr="00404A23">
        <w:tc>
          <w:tcPr>
            <w:tcW w:w="8019" w:type="dxa"/>
            <w:shd w:val="clear" w:color="auto" w:fill="E5E5E5" w:themeFill="text2" w:themeFillTint="33"/>
            <w:vAlign w:val="center"/>
          </w:tcPr>
          <w:p w14:paraId="1C41C704" w14:textId="77777777" w:rsidR="002174A1" w:rsidRPr="008549AA" w:rsidRDefault="002174A1" w:rsidP="006D4830">
            <w:pPr>
              <w:pStyle w:val="PwCNormal"/>
              <w:numPr>
                <w:ilvl w:val="0"/>
                <w:numId w:val="0"/>
              </w:numPr>
              <w:spacing w:before="120" w:after="120"/>
              <w:rPr>
                <w:rFonts w:asciiTheme="minorHAnsi" w:hAnsiTheme="minorHAnsi" w:cstheme="minorHAnsi"/>
                <w:color w:val="FF0000"/>
                <w:sz w:val="20"/>
              </w:rPr>
            </w:pPr>
            <w:r w:rsidRPr="008549AA">
              <w:rPr>
                <w:rFonts w:asciiTheme="minorHAnsi" w:hAnsiTheme="minorHAnsi" w:cstheme="minorHAnsi"/>
                <w:b/>
                <w:bCs/>
                <w:color w:val="auto"/>
                <w:sz w:val="20"/>
              </w:rPr>
              <w:t>Implementation risk summary</w:t>
            </w:r>
          </w:p>
        </w:tc>
        <w:tc>
          <w:tcPr>
            <w:tcW w:w="1836" w:type="dxa"/>
            <w:gridSpan w:val="3"/>
            <w:shd w:val="clear" w:color="auto" w:fill="175C2C"/>
            <w:vAlign w:val="center"/>
          </w:tcPr>
          <w:p w14:paraId="227CB48E" w14:textId="77777777" w:rsidR="002174A1" w:rsidRPr="008549AA" w:rsidRDefault="002174A1" w:rsidP="006D4830">
            <w:pPr>
              <w:pStyle w:val="PwCNormal"/>
              <w:numPr>
                <w:ilvl w:val="0"/>
                <w:numId w:val="0"/>
              </w:numPr>
              <w:spacing w:before="120" w:after="120"/>
              <w:jc w:val="center"/>
              <w:rPr>
                <w:rFonts w:asciiTheme="minorHAnsi" w:hAnsiTheme="minorHAnsi" w:cstheme="minorHAnsi"/>
                <w:color w:val="FF0000"/>
                <w:sz w:val="20"/>
              </w:rPr>
            </w:pPr>
            <w:r w:rsidRPr="008549AA">
              <w:rPr>
                <w:rFonts w:asciiTheme="minorHAnsi" w:hAnsiTheme="minorHAnsi" w:cstheme="minorHAnsi"/>
                <w:b/>
                <w:bCs/>
                <w:color w:val="FFFFFF" w:themeColor="background1"/>
                <w:sz w:val="20"/>
              </w:rPr>
              <w:t>Low risk</w:t>
            </w:r>
          </w:p>
        </w:tc>
      </w:tr>
      <w:tr w:rsidR="002174A1" w:rsidRPr="008549AA" w14:paraId="45904EEC" w14:textId="77777777" w:rsidTr="00404A23">
        <w:tc>
          <w:tcPr>
            <w:tcW w:w="9855" w:type="dxa"/>
            <w:gridSpan w:val="4"/>
          </w:tcPr>
          <w:p w14:paraId="752FCB1F" w14:textId="77777777" w:rsidR="002174A1" w:rsidRPr="008549AA" w:rsidRDefault="002174A1" w:rsidP="006D4830">
            <w:pPr>
              <w:pStyle w:val="PwCNormal"/>
              <w:numPr>
                <w:ilvl w:val="0"/>
                <w:numId w:val="0"/>
              </w:numPr>
              <w:spacing w:before="120" w:after="120"/>
              <w:rPr>
                <w:rFonts w:asciiTheme="minorHAnsi" w:hAnsiTheme="minorHAnsi" w:cstheme="minorHAnsi"/>
                <w:color w:val="FF0000"/>
                <w:sz w:val="20"/>
              </w:rPr>
            </w:pPr>
            <w:r w:rsidRPr="008549AA">
              <w:rPr>
                <w:rFonts w:asciiTheme="minorHAnsi" w:hAnsiTheme="minorHAnsi" w:cstheme="minorHAnsi"/>
                <w:sz w:val="20"/>
              </w:rPr>
              <w:t xml:space="preserve">While operational changes to the IHC program would need to be introduced and strengthened, this option should be relatively low cost and complexity to implement over the short term. </w:t>
            </w:r>
          </w:p>
        </w:tc>
      </w:tr>
    </w:tbl>
    <w:p w14:paraId="77BEA3DC" w14:textId="77777777" w:rsidR="00937D5A" w:rsidRPr="002313AF" w:rsidRDefault="00937D5A" w:rsidP="002313AF">
      <w:pPr>
        <w:pStyle w:val="DocBodyText"/>
      </w:pPr>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4"/>
        <w:gridCol w:w="669"/>
        <w:gridCol w:w="707"/>
        <w:gridCol w:w="671"/>
      </w:tblGrid>
      <w:tr w:rsidR="002174A1" w:rsidRPr="008549AA" w14:paraId="274990F8" w14:textId="77777777" w:rsidTr="00404A23">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855" w:type="dxa"/>
            <w:gridSpan w:val="4"/>
            <w:shd w:val="clear" w:color="auto" w:fill="D04A02" w:themeFill="accent1"/>
          </w:tcPr>
          <w:p w14:paraId="6D2B0AC8" w14:textId="77777777" w:rsidR="002174A1" w:rsidRPr="008549AA" w:rsidRDefault="002174A1" w:rsidP="006D4830">
            <w:pPr>
              <w:pStyle w:val="PwCNormal"/>
              <w:numPr>
                <w:ilvl w:val="0"/>
                <w:numId w:val="2"/>
              </w:numPr>
              <w:spacing w:before="120" w:after="120"/>
              <w:rPr>
                <w:rFonts w:asciiTheme="minorHAnsi" w:hAnsiTheme="minorHAnsi" w:cstheme="minorHAnsi"/>
                <w:b/>
                <w:bCs/>
                <w:sz w:val="20"/>
                <w:highlight w:val="yellow"/>
              </w:rPr>
            </w:pPr>
            <w:r w:rsidRPr="008549AA">
              <w:rPr>
                <w:rFonts w:asciiTheme="minorHAnsi" w:hAnsiTheme="minorHAnsi" w:cstheme="minorHAnsi"/>
                <w:b/>
                <w:bCs/>
                <w:color w:val="FFFFFF" w:themeColor="background1"/>
                <w:sz w:val="20"/>
              </w:rPr>
              <w:t>Streamline and simply administrative processes and responsibilities</w:t>
            </w:r>
            <w:r w:rsidRPr="008549AA">
              <w:rPr>
                <w:rFonts w:asciiTheme="minorHAnsi" w:hAnsiTheme="minorHAnsi" w:cstheme="minorHAnsi"/>
                <w:color w:val="FFFFFF" w:themeColor="background1"/>
                <w:sz w:val="20"/>
              </w:rPr>
              <w:t xml:space="preserve"> </w:t>
            </w:r>
          </w:p>
        </w:tc>
      </w:tr>
      <w:tr w:rsidR="002174A1" w:rsidRPr="008549AA" w14:paraId="7FCBD5E8" w14:textId="77777777" w:rsidTr="00404A23">
        <w:tc>
          <w:tcPr>
            <w:tcW w:w="9855" w:type="dxa"/>
            <w:gridSpan w:val="4"/>
            <w:shd w:val="clear" w:color="auto" w:fill="E5E5E5" w:themeFill="text2" w:themeFillTint="33"/>
          </w:tcPr>
          <w:p w14:paraId="4C4B4CBD" w14:textId="77777777" w:rsidR="002174A1" w:rsidRPr="008549AA" w:rsidRDefault="002174A1" w:rsidP="006D4830">
            <w:pPr>
              <w:pStyle w:val="PwCNormal"/>
              <w:numPr>
                <w:ilvl w:val="0"/>
                <w:numId w:val="2"/>
              </w:numPr>
              <w:spacing w:before="120" w:after="120"/>
              <w:rPr>
                <w:rFonts w:asciiTheme="minorHAnsi" w:hAnsiTheme="minorHAnsi" w:cstheme="minorHAnsi"/>
                <w:b/>
                <w:bCs/>
                <w:color w:val="FF0000"/>
                <w:sz w:val="20"/>
                <w:highlight w:val="yellow"/>
              </w:rPr>
            </w:pPr>
            <w:r w:rsidRPr="008549AA">
              <w:rPr>
                <w:rFonts w:asciiTheme="minorHAnsi" w:hAnsiTheme="minorHAnsi" w:cstheme="minorHAnsi"/>
                <w:b/>
                <w:bCs/>
                <w:color w:val="auto"/>
                <w:sz w:val="20"/>
              </w:rPr>
              <w:t>Description</w:t>
            </w:r>
          </w:p>
        </w:tc>
      </w:tr>
      <w:tr w:rsidR="002174A1" w:rsidRPr="008549AA" w14:paraId="541B8023" w14:textId="77777777" w:rsidTr="00404A23">
        <w:tc>
          <w:tcPr>
            <w:tcW w:w="9855" w:type="dxa"/>
            <w:gridSpan w:val="4"/>
          </w:tcPr>
          <w:p w14:paraId="10C52BF0" w14:textId="77777777" w:rsidR="007D7BF5" w:rsidRPr="008549AA" w:rsidRDefault="002174A1" w:rsidP="008E2948">
            <w:pPr>
              <w:pStyle w:val="ListParagraph"/>
              <w:numPr>
                <w:ilvl w:val="0"/>
                <w:numId w:val="26"/>
              </w:numPr>
              <w:kinsoku w:val="0"/>
              <w:overflowPunct w:val="0"/>
              <w:autoSpaceDE w:val="0"/>
              <w:autoSpaceDN w:val="0"/>
              <w:adjustRightInd w:val="0"/>
              <w:snapToGrid w:val="0"/>
              <w:spacing w:line="281" w:lineRule="auto"/>
              <w:ind w:left="360"/>
              <w:contextualSpacing w:val="0"/>
              <w:rPr>
                <w:rFonts w:asciiTheme="minorHAnsi" w:hAnsiTheme="minorHAnsi" w:cstheme="minorHAnsi"/>
              </w:rPr>
            </w:pPr>
            <w:r w:rsidRPr="008549AA">
              <w:rPr>
                <w:rFonts w:asciiTheme="minorHAnsi" w:hAnsiTheme="minorHAnsi" w:cstheme="minorHAnsi"/>
              </w:rPr>
              <w:t>Shift the role of making IHC eligibility decisions from Support Agencies to Services Australia or a single National Support Agency.</w:t>
            </w:r>
          </w:p>
          <w:p w14:paraId="529783E0" w14:textId="3CE0A275" w:rsidR="002174A1" w:rsidRPr="008549AA" w:rsidRDefault="002174A1" w:rsidP="008E2948">
            <w:pPr>
              <w:pStyle w:val="ListParagraph"/>
              <w:numPr>
                <w:ilvl w:val="0"/>
                <w:numId w:val="26"/>
              </w:numPr>
              <w:kinsoku w:val="0"/>
              <w:overflowPunct w:val="0"/>
              <w:autoSpaceDE w:val="0"/>
              <w:autoSpaceDN w:val="0"/>
              <w:adjustRightInd w:val="0"/>
              <w:snapToGrid w:val="0"/>
              <w:spacing w:after="120" w:line="281" w:lineRule="auto"/>
              <w:ind w:left="360"/>
              <w:contextualSpacing w:val="0"/>
              <w:rPr>
                <w:rFonts w:asciiTheme="minorHAnsi" w:hAnsiTheme="minorHAnsi" w:cstheme="minorHAnsi"/>
              </w:rPr>
            </w:pPr>
            <w:r w:rsidRPr="008549AA">
              <w:rPr>
                <w:rFonts w:asciiTheme="minorHAnsi" w:hAnsiTheme="minorHAnsi" w:cstheme="minorHAnsi"/>
              </w:rPr>
              <w:t>Provide details of all IHC providers on the Services Australia website or amend Starting Blocks to cater for the advertisement of IHC services.</w:t>
            </w:r>
          </w:p>
          <w:p w14:paraId="19AB1A45" w14:textId="77777777" w:rsidR="002174A1" w:rsidRPr="008549AA" w:rsidRDefault="002174A1" w:rsidP="008E2948">
            <w:pPr>
              <w:pStyle w:val="ListParagraph"/>
              <w:numPr>
                <w:ilvl w:val="0"/>
                <w:numId w:val="26"/>
              </w:numPr>
              <w:kinsoku w:val="0"/>
              <w:overflowPunct w:val="0"/>
              <w:autoSpaceDE w:val="0"/>
              <w:autoSpaceDN w:val="0"/>
              <w:adjustRightInd w:val="0"/>
              <w:snapToGrid w:val="0"/>
              <w:spacing w:after="120" w:line="281" w:lineRule="auto"/>
              <w:ind w:left="360" w:right="-177"/>
              <w:contextualSpacing w:val="0"/>
              <w:rPr>
                <w:rFonts w:asciiTheme="minorHAnsi" w:hAnsiTheme="minorHAnsi" w:cstheme="minorHAnsi"/>
              </w:rPr>
            </w:pPr>
            <w:r w:rsidRPr="008549AA">
              <w:rPr>
                <w:rFonts w:asciiTheme="minorHAnsi" w:hAnsiTheme="minorHAnsi" w:cstheme="minorHAnsi"/>
              </w:rPr>
              <w:t>Reduce the administrative requirements and frequency for families to confirm ongoing eligibility.</w:t>
            </w:r>
          </w:p>
        </w:tc>
      </w:tr>
      <w:tr w:rsidR="002174A1" w:rsidRPr="008549AA" w14:paraId="7A44CFC2" w14:textId="77777777" w:rsidTr="00404A23">
        <w:trPr>
          <w:trHeight w:val="50"/>
        </w:trPr>
        <w:tc>
          <w:tcPr>
            <w:tcW w:w="9855" w:type="dxa"/>
            <w:gridSpan w:val="4"/>
            <w:shd w:val="clear" w:color="auto" w:fill="E5E5E5" w:themeFill="text2" w:themeFillTint="33"/>
          </w:tcPr>
          <w:p w14:paraId="3E0FABF6" w14:textId="77777777" w:rsidR="002174A1" w:rsidRPr="008549AA" w:rsidRDefault="002174A1" w:rsidP="006D4830">
            <w:pPr>
              <w:pStyle w:val="PwCNormal"/>
              <w:numPr>
                <w:ilvl w:val="0"/>
                <w:numId w:val="2"/>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Impacted families</w:t>
            </w:r>
          </w:p>
        </w:tc>
      </w:tr>
      <w:tr w:rsidR="002174A1" w:rsidRPr="008549AA" w14:paraId="571675EF" w14:textId="77777777" w:rsidTr="00404A23">
        <w:trPr>
          <w:trHeight w:val="70"/>
        </w:trPr>
        <w:tc>
          <w:tcPr>
            <w:tcW w:w="7807" w:type="dxa"/>
          </w:tcPr>
          <w:p w14:paraId="3CE34C0C" w14:textId="77777777" w:rsidR="002174A1" w:rsidRPr="008549AA" w:rsidRDefault="002174A1" w:rsidP="006D4830">
            <w:pPr>
              <w:pStyle w:val="PwCNormal"/>
              <w:numPr>
                <w:ilvl w:val="0"/>
                <w:numId w:val="0"/>
              </w:numPr>
              <w:spacing w:before="120" w:after="120"/>
              <w:rPr>
                <w:rFonts w:asciiTheme="minorHAnsi" w:hAnsiTheme="minorHAnsi" w:cstheme="minorHAnsi"/>
                <w:color w:val="auto"/>
                <w:sz w:val="20"/>
              </w:rPr>
            </w:pPr>
            <w:r w:rsidRPr="008549AA">
              <w:rPr>
                <w:rFonts w:asciiTheme="minorHAnsi" w:hAnsiTheme="minorHAnsi" w:cstheme="minorHAnsi"/>
                <w:color w:val="auto"/>
                <w:sz w:val="20"/>
              </w:rPr>
              <w:t>This option will impact all families in the IHC program due to the reduction in administration required for families and the clarity created through a single support agency. Additional benefits would also be experienced by families within the complex needs cohorts especially if there are improved linkages with the ISP program.</w:t>
            </w:r>
          </w:p>
        </w:tc>
        <w:tc>
          <w:tcPr>
            <w:tcW w:w="669" w:type="dxa"/>
          </w:tcPr>
          <w:p w14:paraId="76E94AE3" w14:textId="77777777" w:rsidR="002174A1" w:rsidRPr="008549AA" w:rsidRDefault="002174A1" w:rsidP="006D4830">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07903D98" wp14:editId="61BFD906">
                  <wp:extent cx="288000" cy="288000"/>
                  <wp:effectExtent l="0" t="0" r="0" b="0"/>
                  <wp:docPr id="295" name="Picture 295"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8000" cy="288000"/>
                          </a:xfrm>
                          <a:prstGeom prst="rect">
                            <a:avLst/>
                          </a:prstGeom>
                        </pic:spPr>
                      </pic:pic>
                    </a:graphicData>
                  </a:graphic>
                </wp:inline>
              </w:drawing>
            </w:r>
          </w:p>
        </w:tc>
        <w:tc>
          <w:tcPr>
            <w:tcW w:w="708" w:type="dxa"/>
          </w:tcPr>
          <w:p w14:paraId="6EEAE132" w14:textId="77777777" w:rsidR="002174A1" w:rsidRPr="008549AA" w:rsidRDefault="002174A1" w:rsidP="006D4830">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2DC2BA91" wp14:editId="5F0BEEBE">
                  <wp:extent cx="288000" cy="288000"/>
                  <wp:effectExtent l="0" t="0" r="0" b="0"/>
                  <wp:docPr id="296" name="Picture 296"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88000" cy="288000"/>
                          </a:xfrm>
                          <a:prstGeom prst="rect">
                            <a:avLst/>
                          </a:prstGeom>
                        </pic:spPr>
                      </pic:pic>
                    </a:graphicData>
                  </a:graphic>
                </wp:inline>
              </w:drawing>
            </w:r>
          </w:p>
        </w:tc>
        <w:tc>
          <w:tcPr>
            <w:tcW w:w="671" w:type="dxa"/>
          </w:tcPr>
          <w:p w14:paraId="43CE2962" w14:textId="77777777" w:rsidR="002174A1" w:rsidRPr="008549AA" w:rsidRDefault="002174A1" w:rsidP="006D4830">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0E71580D" wp14:editId="12E10F12">
                  <wp:extent cx="289367" cy="289367"/>
                  <wp:effectExtent l="0" t="0" r="0" b="0"/>
                  <wp:docPr id="298" name="Picture 298"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291885" cy="291885"/>
                          </a:xfrm>
                          <a:prstGeom prst="rect">
                            <a:avLst/>
                          </a:prstGeom>
                        </pic:spPr>
                      </pic:pic>
                    </a:graphicData>
                  </a:graphic>
                </wp:inline>
              </w:drawing>
            </w:r>
          </w:p>
        </w:tc>
      </w:tr>
      <w:tr w:rsidR="002174A1" w:rsidRPr="008549AA" w14:paraId="2CD80016" w14:textId="77777777" w:rsidTr="00404A23">
        <w:tc>
          <w:tcPr>
            <w:tcW w:w="7807" w:type="dxa"/>
            <w:shd w:val="clear" w:color="auto" w:fill="E5E5E5" w:themeFill="text2" w:themeFillTint="33"/>
            <w:vAlign w:val="center"/>
          </w:tcPr>
          <w:p w14:paraId="13B729CB" w14:textId="77777777" w:rsidR="002174A1" w:rsidRPr="008549AA" w:rsidRDefault="002174A1" w:rsidP="006D4830">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Outcomes assessment summary</w:t>
            </w:r>
          </w:p>
        </w:tc>
        <w:tc>
          <w:tcPr>
            <w:tcW w:w="2048" w:type="dxa"/>
            <w:gridSpan w:val="3"/>
            <w:shd w:val="clear" w:color="auto" w:fill="175C2C"/>
            <w:vAlign w:val="center"/>
          </w:tcPr>
          <w:p w14:paraId="74CB0DA9" w14:textId="77777777" w:rsidR="002174A1" w:rsidRPr="008549AA" w:rsidRDefault="002174A1" w:rsidP="006D4830">
            <w:pPr>
              <w:pStyle w:val="PwCNormal"/>
              <w:numPr>
                <w:ilvl w:val="0"/>
                <w:numId w:val="0"/>
              </w:numPr>
              <w:spacing w:before="120" w:after="120"/>
              <w:jc w:val="center"/>
              <w:rPr>
                <w:rFonts w:asciiTheme="minorHAnsi" w:hAnsiTheme="minorHAnsi" w:cstheme="minorHAnsi"/>
                <w:color w:val="FF0000"/>
                <w:sz w:val="20"/>
                <w:highlight w:val="yellow"/>
              </w:rPr>
            </w:pPr>
            <w:r w:rsidRPr="008549AA">
              <w:rPr>
                <w:rFonts w:asciiTheme="minorHAnsi" w:hAnsiTheme="minorHAnsi" w:cstheme="minorHAnsi"/>
                <w:b/>
                <w:bCs/>
                <w:color w:val="FFFFFF" w:themeColor="background1"/>
                <w:sz w:val="20"/>
              </w:rPr>
              <w:t>High impact</w:t>
            </w:r>
          </w:p>
        </w:tc>
      </w:tr>
      <w:tr w:rsidR="002174A1" w:rsidRPr="008549AA" w14:paraId="7FFB5242" w14:textId="77777777" w:rsidTr="00404A23">
        <w:tc>
          <w:tcPr>
            <w:tcW w:w="9855" w:type="dxa"/>
            <w:gridSpan w:val="4"/>
          </w:tcPr>
          <w:p w14:paraId="758810D9" w14:textId="77777777" w:rsidR="002174A1" w:rsidRPr="008549AA" w:rsidRDefault="002174A1" w:rsidP="006D4830">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sz w:val="20"/>
              </w:rPr>
              <w:t xml:space="preserve">This option would increase equity, affordability and to a degree, accessibility, to IHC. There will likely also be improvements to quality and sustainability of the IHC program. </w:t>
            </w:r>
          </w:p>
        </w:tc>
      </w:tr>
      <w:tr w:rsidR="002174A1" w:rsidRPr="008549AA" w14:paraId="157808EE" w14:textId="77777777" w:rsidTr="00404A23">
        <w:tc>
          <w:tcPr>
            <w:tcW w:w="7807" w:type="dxa"/>
            <w:shd w:val="clear" w:color="auto" w:fill="E5E5E5" w:themeFill="text2" w:themeFillTint="33"/>
            <w:vAlign w:val="center"/>
          </w:tcPr>
          <w:p w14:paraId="678FB0E0" w14:textId="77777777" w:rsidR="002174A1" w:rsidRPr="008549AA" w:rsidRDefault="002174A1" w:rsidP="006D4830">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Implementation risk summary</w:t>
            </w:r>
          </w:p>
        </w:tc>
        <w:tc>
          <w:tcPr>
            <w:tcW w:w="2048" w:type="dxa"/>
            <w:gridSpan w:val="3"/>
            <w:shd w:val="clear" w:color="auto" w:fill="E0301E" w:themeFill="accent3"/>
            <w:vAlign w:val="center"/>
          </w:tcPr>
          <w:p w14:paraId="0E8167CE" w14:textId="77777777" w:rsidR="002174A1" w:rsidRPr="008549AA" w:rsidRDefault="002174A1" w:rsidP="006D4830">
            <w:pPr>
              <w:pStyle w:val="PwCNormal"/>
              <w:numPr>
                <w:ilvl w:val="0"/>
                <w:numId w:val="0"/>
              </w:numPr>
              <w:spacing w:before="120" w:after="120"/>
              <w:jc w:val="center"/>
              <w:rPr>
                <w:rFonts w:asciiTheme="minorHAnsi" w:hAnsiTheme="minorHAnsi" w:cstheme="minorHAnsi"/>
                <w:color w:val="FF0000"/>
                <w:sz w:val="20"/>
                <w:highlight w:val="yellow"/>
              </w:rPr>
            </w:pPr>
            <w:r w:rsidRPr="008549AA">
              <w:rPr>
                <w:rFonts w:asciiTheme="minorHAnsi" w:hAnsiTheme="minorHAnsi" w:cstheme="minorHAnsi"/>
                <w:b/>
                <w:bCs/>
                <w:color w:val="FFFFFF" w:themeColor="background1"/>
                <w:sz w:val="20"/>
              </w:rPr>
              <w:t>High</w:t>
            </w:r>
            <w:r w:rsidRPr="008549AA">
              <w:rPr>
                <w:rFonts w:asciiTheme="minorHAnsi" w:hAnsiTheme="minorHAnsi" w:cstheme="minorHAnsi"/>
                <w:b/>
                <w:color w:val="FFFFFF" w:themeColor="background1"/>
                <w:sz w:val="20"/>
              </w:rPr>
              <w:t xml:space="preserve"> risk</w:t>
            </w:r>
          </w:p>
        </w:tc>
      </w:tr>
      <w:tr w:rsidR="002174A1" w:rsidRPr="008549AA" w14:paraId="1A609DBE" w14:textId="77777777" w:rsidTr="008549AA">
        <w:tc>
          <w:tcPr>
            <w:tcW w:w="9855" w:type="dxa"/>
            <w:gridSpan w:val="4"/>
            <w:tcMar>
              <w:right w:w="28" w:type="dxa"/>
            </w:tcMar>
          </w:tcPr>
          <w:p w14:paraId="38FB43B1" w14:textId="77777777" w:rsidR="002174A1" w:rsidRPr="008549AA" w:rsidRDefault="002174A1" w:rsidP="006D4830">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sz w:val="20"/>
              </w:rPr>
              <w:t>Implementation of this option will require both legislative and regulatory changes. The operational change required could be complex and will require long-term timelines (although this may lead to savings over time).</w:t>
            </w:r>
          </w:p>
        </w:tc>
      </w:tr>
    </w:tbl>
    <w:p w14:paraId="5A36286F" w14:textId="77777777" w:rsidR="00731FFB" w:rsidRPr="00B6071A" w:rsidRDefault="00731FFB" w:rsidP="00731FFB">
      <w:pPr>
        <w:pStyle w:val="DocHeading02"/>
      </w:pPr>
      <w:bookmarkStart w:id="72" w:name="_Toc139022137"/>
      <w:bookmarkStart w:id="73" w:name="_Toc140148415"/>
      <w:bookmarkStart w:id="74" w:name="_Toc140149913"/>
      <w:r>
        <w:lastRenderedPageBreak/>
        <w:t>Expanding and supporting the provider market</w:t>
      </w:r>
      <w:bookmarkEnd w:id="72"/>
      <w:bookmarkEnd w:id="73"/>
      <w:bookmarkEnd w:id="74"/>
    </w:p>
    <w:tbl>
      <w:tblPr>
        <w:tblStyle w:val="PwCColou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1"/>
        <w:gridCol w:w="670"/>
        <w:gridCol w:w="708"/>
        <w:gridCol w:w="672"/>
      </w:tblGrid>
      <w:tr w:rsidR="00731FFB" w:rsidRPr="008549AA" w14:paraId="2A32DB55" w14:textId="77777777" w:rsidTr="00404A23">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736" w:type="dxa"/>
            <w:gridSpan w:val="4"/>
            <w:shd w:val="clear" w:color="auto" w:fill="D04A02" w:themeFill="accent1"/>
          </w:tcPr>
          <w:p w14:paraId="70167FD4" w14:textId="77777777" w:rsidR="00731FFB" w:rsidRPr="008549AA" w:rsidRDefault="00731FFB" w:rsidP="006D4830">
            <w:pPr>
              <w:pStyle w:val="PwCNormal"/>
              <w:numPr>
                <w:ilvl w:val="0"/>
                <w:numId w:val="2"/>
              </w:numPr>
              <w:spacing w:before="120" w:after="120"/>
              <w:rPr>
                <w:rFonts w:asciiTheme="minorHAnsi" w:hAnsiTheme="minorHAnsi" w:cstheme="minorHAnsi"/>
                <w:b/>
                <w:bCs/>
                <w:sz w:val="20"/>
                <w:highlight w:val="yellow"/>
              </w:rPr>
            </w:pPr>
            <w:r w:rsidRPr="008549AA">
              <w:rPr>
                <w:rFonts w:asciiTheme="minorHAnsi" w:hAnsiTheme="minorHAnsi" w:cstheme="minorHAnsi"/>
                <w:b/>
                <w:bCs/>
                <w:color w:val="FFFFFF" w:themeColor="background1"/>
                <w:sz w:val="20"/>
              </w:rPr>
              <w:t>Expand FDC to provide additional support to IHC eligible families</w:t>
            </w:r>
          </w:p>
        </w:tc>
      </w:tr>
      <w:tr w:rsidR="00731FFB" w:rsidRPr="008549AA" w14:paraId="4FB9F385" w14:textId="77777777" w:rsidTr="00404A23">
        <w:tc>
          <w:tcPr>
            <w:tcW w:w="9736" w:type="dxa"/>
            <w:gridSpan w:val="4"/>
            <w:shd w:val="clear" w:color="auto" w:fill="E5E5E5" w:themeFill="text2" w:themeFillTint="33"/>
          </w:tcPr>
          <w:p w14:paraId="7C151455" w14:textId="77777777" w:rsidR="00731FFB" w:rsidRPr="008549AA" w:rsidRDefault="00731FFB" w:rsidP="006D4830">
            <w:pPr>
              <w:pStyle w:val="PwCNormal"/>
              <w:numPr>
                <w:ilvl w:val="0"/>
                <w:numId w:val="2"/>
              </w:numPr>
              <w:spacing w:before="120" w:after="120"/>
              <w:rPr>
                <w:rFonts w:asciiTheme="minorHAnsi" w:hAnsiTheme="minorHAnsi" w:cstheme="minorHAnsi"/>
                <w:b/>
                <w:bCs/>
                <w:color w:val="FF0000"/>
                <w:sz w:val="20"/>
                <w:highlight w:val="yellow"/>
              </w:rPr>
            </w:pPr>
            <w:r w:rsidRPr="008549AA">
              <w:rPr>
                <w:rFonts w:asciiTheme="minorHAnsi" w:hAnsiTheme="minorHAnsi" w:cstheme="minorHAnsi"/>
                <w:b/>
                <w:bCs/>
                <w:color w:val="auto"/>
                <w:sz w:val="20"/>
              </w:rPr>
              <w:t>Description</w:t>
            </w:r>
          </w:p>
        </w:tc>
      </w:tr>
      <w:tr w:rsidR="00731FFB" w:rsidRPr="008549AA" w14:paraId="099EFE77" w14:textId="77777777" w:rsidTr="00404A23">
        <w:tc>
          <w:tcPr>
            <w:tcW w:w="9736" w:type="dxa"/>
            <w:gridSpan w:val="4"/>
          </w:tcPr>
          <w:p w14:paraId="2BC00BDC" w14:textId="77777777" w:rsidR="00731FFB" w:rsidRPr="008549AA" w:rsidRDefault="00731FFB" w:rsidP="008E2948">
            <w:pPr>
              <w:pStyle w:val="ListParagraph"/>
              <w:numPr>
                <w:ilvl w:val="0"/>
                <w:numId w:val="27"/>
              </w:numPr>
              <w:kinsoku w:val="0"/>
              <w:overflowPunct w:val="0"/>
              <w:autoSpaceDE w:val="0"/>
              <w:autoSpaceDN w:val="0"/>
              <w:adjustRightInd w:val="0"/>
              <w:snapToGrid w:val="0"/>
              <w:spacing w:after="120" w:line="281" w:lineRule="auto"/>
              <w:ind w:left="360"/>
              <w:contextualSpacing w:val="0"/>
              <w:jc w:val="both"/>
              <w:rPr>
                <w:rFonts w:asciiTheme="minorHAnsi" w:hAnsiTheme="minorHAnsi" w:cstheme="minorHAnsi"/>
              </w:rPr>
            </w:pPr>
            <w:r w:rsidRPr="008549AA">
              <w:rPr>
                <w:rFonts w:asciiTheme="minorHAnsi" w:hAnsiTheme="minorHAnsi" w:cstheme="minorHAnsi"/>
              </w:rPr>
              <w:t>Financial incentives for FDC services to provide additional ECEC for out-of-standard-hours care families</w:t>
            </w:r>
          </w:p>
          <w:p w14:paraId="05A94FEB" w14:textId="77777777" w:rsidR="007D7BF5" w:rsidRPr="008549AA" w:rsidRDefault="00731FFB" w:rsidP="008E2948">
            <w:pPr>
              <w:pStyle w:val="ListParagraph"/>
              <w:numPr>
                <w:ilvl w:val="0"/>
                <w:numId w:val="27"/>
              </w:numPr>
              <w:kinsoku w:val="0"/>
              <w:overflowPunct w:val="0"/>
              <w:autoSpaceDE w:val="0"/>
              <w:autoSpaceDN w:val="0"/>
              <w:adjustRightInd w:val="0"/>
              <w:snapToGrid w:val="0"/>
              <w:spacing w:line="281" w:lineRule="auto"/>
              <w:ind w:left="360"/>
              <w:contextualSpacing w:val="0"/>
              <w:jc w:val="both"/>
              <w:rPr>
                <w:rFonts w:asciiTheme="minorHAnsi" w:hAnsiTheme="minorHAnsi" w:cstheme="minorHAnsi"/>
              </w:rPr>
            </w:pPr>
            <w:r w:rsidRPr="008549AA">
              <w:rPr>
                <w:rFonts w:asciiTheme="minorHAnsi" w:hAnsiTheme="minorHAnsi" w:cstheme="minorHAnsi"/>
              </w:rPr>
              <w:t>Develop a new category of FDC for rural, remote and regional Australia</w:t>
            </w:r>
          </w:p>
          <w:p w14:paraId="1D8EC818" w14:textId="773349F6" w:rsidR="00731FFB" w:rsidRPr="008549AA" w:rsidRDefault="00731FFB" w:rsidP="008E2948">
            <w:pPr>
              <w:pStyle w:val="ListParagraph"/>
              <w:numPr>
                <w:ilvl w:val="0"/>
                <w:numId w:val="27"/>
              </w:numPr>
              <w:kinsoku w:val="0"/>
              <w:overflowPunct w:val="0"/>
              <w:autoSpaceDE w:val="0"/>
              <w:autoSpaceDN w:val="0"/>
              <w:adjustRightInd w:val="0"/>
              <w:snapToGrid w:val="0"/>
              <w:spacing w:after="120" w:line="281" w:lineRule="auto"/>
              <w:ind w:left="360"/>
              <w:contextualSpacing w:val="0"/>
              <w:jc w:val="both"/>
              <w:rPr>
                <w:rFonts w:asciiTheme="minorHAnsi" w:hAnsiTheme="minorHAnsi" w:cstheme="minorHAnsi"/>
              </w:rPr>
            </w:pPr>
            <w:r w:rsidRPr="008549AA">
              <w:rPr>
                <w:rFonts w:asciiTheme="minorHAnsi" w:hAnsiTheme="minorHAnsi" w:cstheme="minorHAnsi"/>
              </w:rPr>
              <w:t>Support FDC to receive more non-standard-hours fees and places through a pilot program</w:t>
            </w:r>
          </w:p>
        </w:tc>
      </w:tr>
      <w:tr w:rsidR="00731FFB" w:rsidRPr="008549AA" w14:paraId="6EA1194C" w14:textId="77777777" w:rsidTr="00404A23">
        <w:trPr>
          <w:trHeight w:val="50"/>
        </w:trPr>
        <w:tc>
          <w:tcPr>
            <w:tcW w:w="9736" w:type="dxa"/>
            <w:gridSpan w:val="4"/>
            <w:shd w:val="clear" w:color="auto" w:fill="E5E5E5" w:themeFill="text2" w:themeFillTint="33"/>
          </w:tcPr>
          <w:p w14:paraId="3394CD9F" w14:textId="77777777" w:rsidR="00731FFB" w:rsidRPr="008549AA" w:rsidRDefault="00731FFB" w:rsidP="006D4830">
            <w:pPr>
              <w:pStyle w:val="PwCNormal"/>
              <w:numPr>
                <w:ilvl w:val="0"/>
                <w:numId w:val="2"/>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Impacted families</w:t>
            </w:r>
          </w:p>
        </w:tc>
      </w:tr>
      <w:tr w:rsidR="00731FFB" w:rsidRPr="008549AA" w14:paraId="099CDDFD" w14:textId="77777777" w:rsidTr="00404A23">
        <w:trPr>
          <w:trHeight w:val="70"/>
        </w:trPr>
        <w:tc>
          <w:tcPr>
            <w:tcW w:w="7689" w:type="dxa"/>
          </w:tcPr>
          <w:p w14:paraId="35547A93" w14:textId="77777777" w:rsidR="00731FFB" w:rsidRPr="008549AA" w:rsidRDefault="00731FFB" w:rsidP="006D4830">
            <w:pPr>
              <w:pStyle w:val="PwCNormal"/>
              <w:numPr>
                <w:ilvl w:val="0"/>
                <w:numId w:val="0"/>
              </w:numPr>
              <w:spacing w:before="120" w:after="120"/>
              <w:rPr>
                <w:rFonts w:asciiTheme="minorHAnsi" w:hAnsiTheme="minorHAnsi" w:cstheme="minorHAnsi"/>
                <w:color w:val="auto"/>
                <w:sz w:val="20"/>
              </w:rPr>
            </w:pPr>
            <w:r w:rsidRPr="008549AA">
              <w:rPr>
                <w:rFonts w:asciiTheme="minorHAnsi" w:hAnsiTheme="minorHAnsi" w:cstheme="minorHAnsi"/>
                <w:color w:val="auto"/>
                <w:sz w:val="20"/>
              </w:rPr>
              <w:t>This option will predominantly impact families that work non-standard hours. Families that are geographically isolated will also be impacted if a new class of FDC is established.</w:t>
            </w:r>
          </w:p>
        </w:tc>
        <w:tc>
          <w:tcPr>
            <w:tcW w:w="669" w:type="dxa"/>
          </w:tcPr>
          <w:p w14:paraId="04EF2250" w14:textId="77777777" w:rsidR="00731FFB" w:rsidRPr="008549AA" w:rsidRDefault="00731FFB" w:rsidP="006D4830">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60BF35A2" wp14:editId="0D043A90">
                  <wp:extent cx="288000" cy="288000"/>
                  <wp:effectExtent l="0" t="0" r="0" b="0"/>
                  <wp:docPr id="299" name="Picture 299"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88000" cy="288000"/>
                          </a:xfrm>
                          <a:prstGeom prst="rect">
                            <a:avLst/>
                          </a:prstGeom>
                        </pic:spPr>
                      </pic:pic>
                    </a:graphicData>
                  </a:graphic>
                </wp:inline>
              </w:drawing>
            </w:r>
          </w:p>
        </w:tc>
        <w:tc>
          <w:tcPr>
            <w:tcW w:w="707" w:type="dxa"/>
          </w:tcPr>
          <w:p w14:paraId="6504006C" w14:textId="77777777" w:rsidR="00731FFB" w:rsidRPr="008549AA" w:rsidRDefault="00731FFB" w:rsidP="006D4830">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269FA9B9" wp14:editId="52D419EE">
                  <wp:extent cx="288000" cy="288000"/>
                  <wp:effectExtent l="0" t="0" r="0" b="0"/>
                  <wp:docPr id="300" name="Picture 300"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88000" cy="288000"/>
                          </a:xfrm>
                          <a:prstGeom prst="rect">
                            <a:avLst/>
                          </a:prstGeom>
                        </pic:spPr>
                      </pic:pic>
                    </a:graphicData>
                  </a:graphic>
                </wp:inline>
              </w:drawing>
            </w:r>
          </w:p>
        </w:tc>
        <w:tc>
          <w:tcPr>
            <w:tcW w:w="671" w:type="dxa"/>
          </w:tcPr>
          <w:p w14:paraId="65911343" w14:textId="77777777" w:rsidR="00731FFB" w:rsidRPr="008549AA" w:rsidRDefault="00731FFB" w:rsidP="006D4830">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46B0ADB3" wp14:editId="290F0C4A">
                  <wp:extent cx="289367" cy="289367"/>
                  <wp:effectExtent l="0" t="0" r="0" b="0"/>
                  <wp:docPr id="301" name="Picture 301"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91885" cy="291885"/>
                          </a:xfrm>
                          <a:prstGeom prst="rect">
                            <a:avLst/>
                          </a:prstGeom>
                        </pic:spPr>
                      </pic:pic>
                    </a:graphicData>
                  </a:graphic>
                </wp:inline>
              </w:drawing>
            </w:r>
          </w:p>
        </w:tc>
      </w:tr>
      <w:tr w:rsidR="00731FFB" w:rsidRPr="008549AA" w14:paraId="5FB5C664" w14:textId="77777777" w:rsidTr="00404A23">
        <w:tc>
          <w:tcPr>
            <w:tcW w:w="7689" w:type="dxa"/>
            <w:shd w:val="clear" w:color="auto" w:fill="E5E5E5" w:themeFill="text2" w:themeFillTint="33"/>
            <w:vAlign w:val="center"/>
          </w:tcPr>
          <w:p w14:paraId="61FCF4EC" w14:textId="77777777" w:rsidR="00731FFB" w:rsidRPr="008549AA" w:rsidRDefault="00731FFB" w:rsidP="006D4830">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Outcomes assessment summary</w:t>
            </w:r>
          </w:p>
        </w:tc>
        <w:tc>
          <w:tcPr>
            <w:tcW w:w="2047" w:type="dxa"/>
            <w:gridSpan w:val="3"/>
            <w:shd w:val="clear" w:color="auto" w:fill="D04A02" w:themeFill="accent1"/>
            <w:vAlign w:val="center"/>
          </w:tcPr>
          <w:p w14:paraId="404CDC8C" w14:textId="77777777" w:rsidR="00731FFB" w:rsidRPr="008549AA" w:rsidRDefault="00731FFB" w:rsidP="006D4830">
            <w:pPr>
              <w:pStyle w:val="PwCNormal"/>
              <w:numPr>
                <w:ilvl w:val="0"/>
                <w:numId w:val="0"/>
              </w:numPr>
              <w:spacing w:before="120" w:after="120"/>
              <w:jc w:val="center"/>
              <w:rPr>
                <w:rFonts w:asciiTheme="minorHAnsi" w:hAnsiTheme="minorHAnsi" w:cstheme="minorHAnsi"/>
                <w:color w:val="FF0000"/>
                <w:sz w:val="20"/>
                <w:highlight w:val="yellow"/>
              </w:rPr>
            </w:pPr>
            <w:r w:rsidRPr="008549AA">
              <w:rPr>
                <w:rFonts w:asciiTheme="minorHAnsi" w:hAnsiTheme="minorHAnsi" w:cstheme="minorHAnsi"/>
                <w:b/>
                <w:bCs/>
                <w:color w:val="FFFFFF" w:themeColor="background1"/>
                <w:sz w:val="20"/>
              </w:rPr>
              <w:t>Moderate impact</w:t>
            </w:r>
          </w:p>
        </w:tc>
      </w:tr>
      <w:tr w:rsidR="00731FFB" w:rsidRPr="008549AA" w14:paraId="2C41701C" w14:textId="77777777" w:rsidTr="00404A23">
        <w:trPr>
          <w:trHeight w:val="750"/>
        </w:trPr>
        <w:tc>
          <w:tcPr>
            <w:tcW w:w="9736" w:type="dxa"/>
            <w:gridSpan w:val="4"/>
          </w:tcPr>
          <w:p w14:paraId="5B88DADE" w14:textId="77777777" w:rsidR="00731FFB" w:rsidRPr="008549AA" w:rsidRDefault="00731FFB" w:rsidP="006D4830">
            <w:pPr>
              <w:pStyle w:val="PwCNormal"/>
              <w:numPr>
                <w:ilvl w:val="0"/>
                <w:numId w:val="0"/>
              </w:numPr>
              <w:spacing w:before="120" w:after="120"/>
              <w:rPr>
                <w:rFonts w:asciiTheme="minorHAnsi" w:hAnsiTheme="minorHAnsi" w:cstheme="minorHAnsi"/>
                <w:color w:val="FF0000"/>
                <w:sz w:val="20"/>
              </w:rPr>
            </w:pPr>
            <w:r w:rsidRPr="008549AA">
              <w:rPr>
                <w:rFonts w:asciiTheme="minorHAnsi" w:hAnsiTheme="minorHAnsi" w:cstheme="minorHAnsi"/>
                <w:sz w:val="20"/>
              </w:rPr>
              <w:t>This option will improve equity, affordability, and accessibility of IHC (and potentially mainstream ECEC) for families that work non-standard and variable hours, as well as some families that are geographically isolated. This will in turn improve quality of services received by families, as well as increase sustainability of the</w:t>
            </w:r>
            <w:r w:rsidRPr="008549AA">
              <w:rPr>
                <w:rFonts w:asciiTheme="minorHAnsi" w:hAnsiTheme="minorHAnsi" w:cstheme="minorHAnsi"/>
                <w:color w:val="FF0000"/>
                <w:sz w:val="20"/>
              </w:rPr>
              <w:t xml:space="preserve"> </w:t>
            </w:r>
            <w:r w:rsidRPr="008549AA">
              <w:rPr>
                <w:rFonts w:asciiTheme="minorHAnsi" w:hAnsiTheme="minorHAnsi" w:cstheme="minorHAnsi"/>
                <w:color w:val="auto"/>
                <w:sz w:val="20"/>
              </w:rPr>
              <w:t>IHC program through the reduction in costs and focus on families which need it most.</w:t>
            </w:r>
          </w:p>
        </w:tc>
      </w:tr>
      <w:tr w:rsidR="00731FFB" w:rsidRPr="008549AA" w14:paraId="5D28AB9C" w14:textId="77777777" w:rsidTr="00404A23">
        <w:tc>
          <w:tcPr>
            <w:tcW w:w="7689" w:type="dxa"/>
            <w:shd w:val="clear" w:color="auto" w:fill="E5E5E5" w:themeFill="text2" w:themeFillTint="33"/>
            <w:vAlign w:val="center"/>
          </w:tcPr>
          <w:p w14:paraId="6576A681" w14:textId="77777777" w:rsidR="00731FFB" w:rsidRPr="008549AA" w:rsidRDefault="00731FFB" w:rsidP="006D4830">
            <w:pPr>
              <w:pStyle w:val="PwCNormal"/>
              <w:numPr>
                <w:ilvl w:val="0"/>
                <w:numId w:val="0"/>
              </w:numPr>
              <w:spacing w:before="120" w:after="120"/>
              <w:rPr>
                <w:rFonts w:asciiTheme="minorHAnsi" w:hAnsiTheme="minorHAnsi" w:cstheme="minorHAnsi"/>
                <w:color w:val="FF0000"/>
                <w:sz w:val="20"/>
              </w:rPr>
            </w:pPr>
            <w:r w:rsidRPr="008549AA">
              <w:rPr>
                <w:rFonts w:asciiTheme="minorHAnsi" w:hAnsiTheme="minorHAnsi" w:cstheme="minorHAnsi"/>
                <w:b/>
                <w:bCs/>
                <w:color w:val="auto"/>
                <w:sz w:val="20"/>
              </w:rPr>
              <w:t>Implementation risk summary</w:t>
            </w:r>
          </w:p>
        </w:tc>
        <w:tc>
          <w:tcPr>
            <w:tcW w:w="2047" w:type="dxa"/>
            <w:gridSpan w:val="3"/>
            <w:shd w:val="clear" w:color="auto" w:fill="D04A02" w:themeFill="accent1"/>
            <w:vAlign w:val="center"/>
          </w:tcPr>
          <w:p w14:paraId="13DE95E2" w14:textId="77777777" w:rsidR="00731FFB" w:rsidRPr="008549AA" w:rsidRDefault="00731FFB" w:rsidP="006D4830">
            <w:pPr>
              <w:pStyle w:val="PwCNormal"/>
              <w:numPr>
                <w:ilvl w:val="0"/>
                <w:numId w:val="0"/>
              </w:numPr>
              <w:spacing w:before="120" w:after="120"/>
              <w:jc w:val="center"/>
              <w:rPr>
                <w:rFonts w:asciiTheme="minorHAnsi" w:hAnsiTheme="minorHAnsi" w:cstheme="minorHAnsi"/>
                <w:color w:val="FF0000"/>
                <w:sz w:val="20"/>
              </w:rPr>
            </w:pPr>
            <w:r w:rsidRPr="008549AA">
              <w:rPr>
                <w:rFonts w:asciiTheme="minorHAnsi" w:hAnsiTheme="minorHAnsi" w:cstheme="minorHAnsi"/>
                <w:b/>
                <w:bCs/>
                <w:color w:val="FFFFFF" w:themeColor="background1"/>
                <w:sz w:val="20"/>
              </w:rPr>
              <w:t>Moderate risk</w:t>
            </w:r>
          </w:p>
        </w:tc>
      </w:tr>
      <w:tr w:rsidR="00A513DB" w:rsidRPr="008549AA" w14:paraId="17778F40" w14:textId="77777777" w:rsidTr="00404A23">
        <w:tc>
          <w:tcPr>
            <w:tcW w:w="9736" w:type="dxa"/>
            <w:gridSpan w:val="4"/>
          </w:tcPr>
          <w:p w14:paraId="7C4C5576" w14:textId="0DFA8E1D" w:rsidR="00A513DB" w:rsidRPr="008549AA" w:rsidRDefault="00A513DB" w:rsidP="00A513DB">
            <w:pPr>
              <w:pStyle w:val="PwCNormal"/>
              <w:numPr>
                <w:ilvl w:val="0"/>
                <w:numId w:val="0"/>
              </w:numPr>
              <w:spacing w:before="120" w:after="120"/>
              <w:rPr>
                <w:rFonts w:asciiTheme="minorHAnsi" w:hAnsiTheme="minorHAnsi" w:cstheme="minorHAnsi"/>
                <w:color w:val="FF0000"/>
                <w:sz w:val="20"/>
              </w:rPr>
            </w:pPr>
            <w:r w:rsidRPr="008549AA">
              <w:rPr>
                <w:rFonts w:asciiTheme="minorHAnsi" w:hAnsiTheme="minorHAnsi" w:cstheme="minorHAnsi"/>
                <w:sz w:val="20"/>
              </w:rPr>
              <w:t>While there would likely be savings over the longer term with these changes, implementation of this option would require regulatory (and possibly legislative) changes, significant operational changes for FDC providers, as well as long-term timelines to see an impact in supply. While there are strong interdependencies with the FDC program, stakeholder consultation suggests the sector would welcome this option. However, FDC providers and families would remain key stakeholders for implementation</w:t>
            </w:r>
            <w:r w:rsidR="00015FD4" w:rsidRPr="008549AA">
              <w:rPr>
                <w:rFonts w:asciiTheme="minorHAnsi" w:hAnsiTheme="minorHAnsi" w:cstheme="minorHAnsi"/>
                <w:sz w:val="20"/>
              </w:rPr>
              <w:t>.</w:t>
            </w:r>
          </w:p>
        </w:tc>
      </w:tr>
    </w:tbl>
    <w:p w14:paraId="040E5C14" w14:textId="1846ECDB" w:rsidR="006D4830" w:rsidRDefault="006D4830" w:rsidP="002313AF">
      <w:pPr>
        <w:pStyle w:val="DocBodyText"/>
      </w:pPr>
    </w:p>
    <w:tbl>
      <w:tblPr>
        <w:tblStyle w:val="PwCColou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1"/>
        <w:gridCol w:w="670"/>
        <w:gridCol w:w="708"/>
        <w:gridCol w:w="672"/>
      </w:tblGrid>
      <w:tr w:rsidR="00731FFB" w:rsidRPr="008549AA" w14:paraId="71E343F3" w14:textId="77777777" w:rsidTr="00404A23">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736" w:type="dxa"/>
            <w:gridSpan w:val="4"/>
            <w:shd w:val="clear" w:color="auto" w:fill="D04A02" w:themeFill="accent1"/>
          </w:tcPr>
          <w:p w14:paraId="6BDBFF6F" w14:textId="77777777" w:rsidR="00731FFB" w:rsidRPr="008549AA" w:rsidRDefault="00731FFB" w:rsidP="006D4830">
            <w:pPr>
              <w:pStyle w:val="PwCNormal"/>
              <w:numPr>
                <w:ilvl w:val="0"/>
                <w:numId w:val="2"/>
              </w:numPr>
              <w:spacing w:before="120" w:after="120"/>
              <w:rPr>
                <w:rFonts w:asciiTheme="minorHAnsi" w:hAnsiTheme="minorHAnsi" w:cstheme="minorHAnsi"/>
                <w:b/>
                <w:bCs/>
                <w:sz w:val="20"/>
              </w:rPr>
            </w:pPr>
            <w:r w:rsidRPr="008549AA">
              <w:rPr>
                <w:rFonts w:asciiTheme="minorHAnsi" w:hAnsiTheme="minorHAnsi" w:cstheme="minorHAnsi"/>
                <w:b/>
                <w:bCs/>
                <w:color w:val="FFFFFF" w:themeColor="background1"/>
                <w:sz w:val="20"/>
              </w:rPr>
              <w:t>Alternative delivery models of IHC</w:t>
            </w:r>
          </w:p>
        </w:tc>
      </w:tr>
      <w:tr w:rsidR="00731FFB" w:rsidRPr="008549AA" w14:paraId="0292DEFD" w14:textId="77777777" w:rsidTr="00404A23">
        <w:tc>
          <w:tcPr>
            <w:tcW w:w="9736" w:type="dxa"/>
            <w:gridSpan w:val="4"/>
            <w:shd w:val="clear" w:color="auto" w:fill="E5E5E5" w:themeFill="text2" w:themeFillTint="33"/>
          </w:tcPr>
          <w:p w14:paraId="36B2C095" w14:textId="77777777" w:rsidR="00731FFB" w:rsidRPr="008549AA" w:rsidRDefault="00731FFB" w:rsidP="006D4830">
            <w:pPr>
              <w:pStyle w:val="PwCNormal"/>
              <w:numPr>
                <w:ilvl w:val="0"/>
                <w:numId w:val="2"/>
              </w:numPr>
              <w:spacing w:before="120" w:after="120"/>
              <w:rPr>
                <w:rFonts w:asciiTheme="minorHAnsi" w:hAnsiTheme="minorHAnsi" w:cstheme="minorHAnsi"/>
                <w:b/>
                <w:bCs/>
                <w:color w:val="FF0000"/>
                <w:sz w:val="20"/>
              </w:rPr>
            </w:pPr>
            <w:r w:rsidRPr="008549AA">
              <w:rPr>
                <w:rFonts w:asciiTheme="minorHAnsi" w:hAnsiTheme="minorHAnsi" w:cstheme="minorHAnsi"/>
                <w:b/>
                <w:bCs/>
                <w:color w:val="auto"/>
                <w:sz w:val="20"/>
              </w:rPr>
              <w:t>Description</w:t>
            </w:r>
          </w:p>
        </w:tc>
      </w:tr>
      <w:tr w:rsidR="00731FFB" w:rsidRPr="008549AA" w14:paraId="5CBF0FE4" w14:textId="77777777" w:rsidTr="00404A23">
        <w:tc>
          <w:tcPr>
            <w:tcW w:w="9736" w:type="dxa"/>
            <w:gridSpan w:val="4"/>
          </w:tcPr>
          <w:p w14:paraId="780F7C78" w14:textId="77777777" w:rsidR="007D7BF5" w:rsidRPr="008549AA" w:rsidRDefault="00731FFB" w:rsidP="008E2948">
            <w:pPr>
              <w:pStyle w:val="ListParagraph"/>
              <w:numPr>
                <w:ilvl w:val="0"/>
                <w:numId w:val="28"/>
              </w:numPr>
              <w:kinsoku w:val="0"/>
              <w:overflowPunct w:val="0"/>
              <w:autoSpaceDE w:val="0"/>
              <w:autoSpaceDN w:val="0"/>
              <w:adjustRightInd w:val="0"/>
              <w:snapToGrid w:val="0"/>
              <w:spacing w:line="281" w:lineRule="auto"/>
              <w:ind w:left="360"/>
              <w:contextualSpacing w:val="0"/>
              <w:rPr>
                <w:rFonts w:asciiTheme="minorHAnsi" w:hAnsiTheme="minorHAnsi" w:cstheme="minorHAnsi"/>
              </w:rPr>
            </w:pPr>
            <w:r w:rsidRPr="008549AA">
              <w:rPr>
                <w:rFonts w:asciiTheme="minorHAnsi" w:hAnsiTheme="minorHAnsi" w:cstheme="minorHAnsi"/>
              </w:rPr>
              <w:t xml:space="preserve">Centralised workforce pool that any family/IHC provider can access for after-hours IHC, similar to the relief teacher pool that </w:t>
            </w:r>
            <w:r w:rsidR="00416129" w:rsidRPr="008549AA">
              <w:rPr>
                <w:rFonts w:asciiTheme="minorHAnsi" w:hAnsiTheme="minorHAnsi" w:cstheme="minorHAnsi"/>
              </w:rPr>
              <w:t xml:space="preserve">has been developed </w:t>
            </w:r>
            <w:r w:rsidRPr="008549AA">
              <w:rPr>
                <w:rFonts w:asciiTheme="minorHAnsi" w:hAnsiTheme="minorHAnsi" w:cstheme="minorHAnsi"/>
              </w:rPr>
              <w:t>in states and territories for primary and secondary education.</w:t>
            </w:r>
          </w:p>
          <w:p w14:paraId="11E6C277" w14:textId="4B6B8D10" w:rsidR="00731FFB" w:rsidRPr="008549AA" w:rsidRDefault="00731FFB" w:rsidP="008E2948">
            <w:pPr>
              <w:pStyle w:val="ListParagraph"/>
              <w:numPr>
                <w:ilvl w:val="0"/>
                <w:numId w:val="28"/>
              </w:numPr>
              <w:kinsoku w:val="0"/>
              <w:overflowPunct w:val="0"/>
              <w:autoSpaceDE w:val="0"/>
              <w:autoSpaceDN w:val="0"/>
              <w:adjustRightInd w:val="0"/>
              <w:snapToGrid w:val="0"/>
              <w:spacing w:after="120" w:line="281" w:lineRule="auto"/>
              <w:ind w:left="360"/>
              <w:contextualSpacing w:val="0"/>
              <w:rPr>
                <w:rFonts w:asciiTheme="minorHAnsi" w:hAnsiTheme="minorHAnsi" w:cstheme="minorHAnsi"/>
              </w:rPr>
            </w:pPr>
            <w:r w:rsidRPr="008549AA">
              <w:rPr>
                <w:rFonts w:asciiTheme="minorHAnsi" w:hAnsiTheme="minorHAnsi" w:cstheme="minorHAnsi"/>
              </w:rPr>
              <w:t>Exploring in venue care for rural/remote/regional families, and caring for more than one family in a home venue, such as remote families having multiple families on one station accessing IHC)</w:t>
            </w:r>
          </w:p>
        </w:tc>
      </w:tr>
      <w:tr w:rsidR="00731FFB" w:rsidRPr="008549AA" w14:paraId="0B411ABF" w14:textId="77777777" w:rsidTr="00404A23">
        <w:trPr>
          <w:trHeight w:val="50"/>
        </w:trPr>
        <w:tc>
          <w:tcPr>
            <w:tcW w:w="9736" w:type="dxa"/>
            <w:gridSpan w:val="4"/>
            <w:shd w:val="clear" w:color="auto" w:fill="E5E5E5" w:themeFill="text2" w:themeFillTint="33"/>
          </w:tcPr>
          <w:p w14:paraId="28D194AB" w14:textId="77777777" w:rsidR="00731FFB" w:rsidRPr="008549AA" w:rsidRDefault="00731FFB" w:rsidP="006D4830">
            <w:pPr>
              <w:pStyle w:val="PwCNormal"/>
              <w:numPr>
                <w:ilvl w:val="0"/>
                <w:numId w:val="2"/>
              </w:numPr>
              <w:spacing w:before="120" w:after="120"/>
              <w:rPr>
                <w:rFonts w:asciiTheme="minorHAnsi" w:hAnsiTheme="minorHAnsi" w:cstheme="minorHAnsi"/>
                <w:color w:val="FF0000"/>
                <w:sz w:val="20"/>
              </w:rPr>
            </w:pPr>
            <w:r w:rsidRPr="008549AA">
              <w:rPr>
                <w:rFonts w:asciiTheme="minorHAnsi" w:hAnsiTheme="minorHAnsi" w:cstheme="minorHAnsi"/>
                <w:b/>
                <w:bCs/>
                <w:color w:val="auto"/>
                <w:sz w:val="20"/>
              </w:rPr>
              <w:t>Impacted families</w:t>
            </w:r>
          </w:p>
        </w:tc>
      </w:tr>
      <w:tr w:rsidR="00731FFB" w:rsidRPr="008549AA" w14:paraId="59B823B8" w14:textId="77777777" w:rsidTr="00404A23">
        <w:trPr>
          <w:trHeight w:val="70"/>
        </w:trPr>
        <w:tc>
          <w:tcPr>
            <w:tcW w:w="7689" w:type="dxa"/>
          </w:tcPr>
          <w:p w14:paraId="5BABD4D2" w14:textId="77777777" w:rsidR="00731FFB" w:rsidRPr="008549AA" w:rsidRDefault="00731FFB" w:rsidP="006D4830">
            <w:pPr>
              <w:pStyle w:val="PwCNormal"/>
              <w:numPr>
                <w:ilvl w:val="0"/>
                <w:numId w:val="0"/>
              </w:numPr>
              <w:spacing w:before="120" w:after="120"/>
              <w:rPr>
                <w:rFonts w:asciiTheme="minorHAnsi" w:hAnsiTheme="minorHAnsi" w:cstheme="minorHAnsi"/>
                <w:color w:val="auto"/>
                <w:sz w:val="20"/>
              </w:rPr>
            </w:pPr>
            <w:r w:rsidRPr="008549AA">
              <w:rPr>
                <w:rFonts w:asciiTheme="minorHAnsi" w:hAnsiTheme="minorHAnsi" w:cstheme="minorHAnsi"/>
                <w:color w:val="auto"/>
                <w:sz w:val="20"/>
              </w:rPr>
              <w:t>A centralised workforce pool would benefit families that work non-standard hours, while in venue care and caring for more than one family in a home venue, would impact geographically isolated families. Families with complex needs are unlikely to be impacted.</w:t>
            </w:r>
          </w:p>
        </w:tc>
        <w:tc>
          <w:tcPr>
            <w:tcW w:w="669" w:type="dxa"/>
          </w:tcPr>
          <w:p w14:paraId="6A106869" w14:textId="77777777" w:rsidR="00731FFB" w:rsidRPr="008549AA" w:rsidRDefault="00731FFB" w:rsidP="006D4830">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16507A93" wp14:editId="00B9EE80">
                  <wp:extent cx="288000" cy="288000"/>
                  <wp:effectExtent l="0" t="0" r="0" b="0"/>
                  <wp:docPr id="302" name="Picture 302"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88000" cy="288000"/>
                          </a:xfrm>
                          <a:prstGeom prst="rect">
                            <a:avLst/>
                          </a:prstGeom>
                        </pic:spPr>
                      </pic:pic>
                    </a:graphicData>
                  </a:graphic>
                </wp:inline>
              </w:drawing>
            </w:r>
          </w:p>
        </w:tc>
        <w:tc>
          <w:tcPr>
            <w:tcW w:w="707" w:type="dxa"/>
          </w:tcPr>
          <w:p w14:paraId="1282621C" w14:textId="77777777" w:rsidR="00731FFB" w:rsidRPr="008549AA" w:rsidRDefault="00731FFB" w:rsidP="006D4830">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137347DF" wp14:editId="30A86B9F">
                  <wp:extent cx="288000" cy="288000"/>
                  <wp:effectExtent l="0" t="0" r="0" b="0"/>
                  <wp:docPr id="303" name="Picture 303"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88000" cy="288000"/>
                          </a:xfrm>
                          <a:prstGeom prst="rect">
                            <a:avLst/>
                          </a:prstGeom>
                        </pic:spPr>
                      </pic:pic>
                    </a:graphicData>
                  </a:graphic>
                </wp:inline>
              </w:drawing>
            </w:r>
          </w:p>
        </w:tc>
        <w:tc>
          <w:tcPr>
            <w:tcW w:w="671" w:type="dxa"/>
          </w:tcPr>
          <w:p w14:paraId="2EFA771B" w14:textId="77777777" w:rsidR="00731FFB" w:rsidRPr="008549AA" w:rsidRDefault="00731FFB" w:rsidP="006D4830">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2D6D5025" wp14:editId="7D8F0880">
                  <wp:extent cx="289367" cy="289367"/>
                  <wp:effectExtent l="0" t="0" r="0" b="0"/>
                  <wp:docPr id="304" name="Picture 304"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291885" cy="291885"/>
                          </a:xfrm>
                          <a:prstGeom prst="rect">
                            <a:avLst/>
                          </a:prstGeom>
                        </pic:spPr>
                      </pic:pic>
                    </a:graphicData>
                  </a:graphic>
                </wp:inline>
              </w:drawing>
            </w:r>
          </w:p>
        </w:tc>
      </w:tr>
      <w:tr w:rsidR="00731FFB" w:rsidRPr="008549AA" w14:paraId="28526728" w14:textId="77777777" w:rsidTr="00404A23">
        <w:tc>
          <w:tcPr>
            <w:tcW w:w="7689" w:type="dxa"/>
            <w:shd w:val="clear" w:color="auto" w:fill="E5E5E5" w:themeFill="text2" w:themeFillTint="33"/>
            <w:vAlign w:val="center"/>
          </w:tcPr>
          <w:p w14:paraId="083F2CAE" w14:textId="77777777" w:rsidR="00731FFB" w:rsidRPr="008549AA" w:rsidRDefault="00731FFB" w:rsidP="006D4830">
            <w:pPr>
              <w:pStyle w:val="PwCNormal"/>
              <w:numPr>
                <w:ilvl w:val="0"/>
                <w:numId w:val="0"/>
              </w:numPr>
              <w:spacing w:before="120" w:after="120"/>
              <w:rPr>
                <w:rFonts w:asciiTheme="minorHAnsi" w:hAnsiTheme="minorHAnsi" w:cstheme="minorHAnsi"/>
                <w:color w:val="FF0000"/>
                <w:sz w:val="20"/>
              </w:rPr>
            </w:pPr>
            <w:r w:rsidRPr="008549AA">
              <w:rPr>
                <w:rFonts w:asciiTheme="minorHAnsi" w:hAnsiTheme="minorHAnsi" w:cstheme="minorHAnsi"/>
                <w:b/>
                <w:bCs/>
                <w:color w:val="auto"/>
                <w:sz w:val="20"/>
              </w:rPr>
              <w:t>Outcomes assessment summary</w:t>
            </w:r>
          </w:p>
        </w:tc>
        <w:tc>
          <w:tcPr>
            <w:tcW w:w="2047" w:type="dxa"/>
            <w:gridSpan w:val="3"/>
            <w:shd w:val="clear" w:color="auto" w:fill="175C2C"/>
            <w:vAlign w:val="center"/>
          </w:tcPr>
          <w:p w14:paraId="7AA1B2B9" w14:textId="77777777" w:rsidR="00731FFB" w:rsidRPr="008549AA" w:rsidRDefault="00731FFB" w:rsidP="006D4830">
            <w:pPr>
              <w:pStyle w:val="PwCNormal"/>
              <w:numPr>
                <w:ilvl w:val="0"/>
                <w:numId w:val="0"/>
              </w:numPr>
              <w:spacing w:before="120" w:after="120"/>
              <w:jc w:val="center"/>
              <w:rPr>
                <w:rFonts w:asciiTheme="minorHAnsi" w:hAnsiTheme="minorHAnsi" w:cstheme="minorHAnsi"/>
                <w:color w:val="FF0000"/>
                <w:sz w:val="20"/>
              </w:rPr>
            </w:pPr>
            <w:r w:rsidRPr="008549AA">
              <w:rPr>
                <w:rFonts w:asciiTheme="minorHAnsi" w:hAnsiTheme="minorHAnsi" w:cstheme="minorHAnsi"/>
                <w:b/>
                <w:bCs/>
                <w:color w:val="FFFFFF" w:themeColor="background1"/>
                <w:sz w:val="20"/>
              </w:rPr>
              <w:t>High</w:t>
            </w:r>
            <w:r w:rsidRPr="008549AA">
              <w:rPr>
                <w:rFonts w:asciiTheme="minorHAnsi" w:hAnsiTheme="minorHAnsi" w:cstheme="minorHAnsi"/>
                <w:b/>
                <w:color w:val="FFFFFF" w:themeColor="background1"/>
                <w:sz w:val="20"/>
              </w:rPr>
              <w:t xml:space="preserve"> impact</w:t>
            </w:r>
          </w:p>
        </w:tc>
      </w:tr>
      <w:tr w:rsidR="00731FFB" w:rsidRPr="008549AA" w14:paraId="1403ADB9" w14:textId="77777777" w:rsidTr="00404A23">
        <w:tc>
          <w:tcPr>
            <w:tcW w:w="9736" w:type="dxa"/>
            <w:gridSpan w:val="4"/>
          </w:tcPr>
          <w:p w14:paraId="7C4C3E6C" w14:textId="77777777" w:rsidR="00731FFB" w:rsidRPr="008549AA" w:rsidRDefault="00731FFB" w:rsidP="006D4830">
            <w:pPr>
              <w:pStyle w:val="PwCNormal"/>
              <w:numPr>
                <w:ilvl w:val="0"/>
                <w:numId w:val="0"/>
              </w:numPr>
              <w:spacing w:before="120" w:after="120"/>
              <w:rPr>
                <w:rFonts w:asciiTheme="minorHAnsi" w:hAnsiTheme="minorHAnsi" w:cstheme="minorHAnsi"/>
                <w:color w:val="FF0000"/>
                <w:sz w:val="20"/>
              </w:rPr>
            </w:pPr>
            <w:r w:rsidRPr="008549AA">
              <w:rPr>
                <w:rFonts w:asciiTheme="minorHAnsi" w:hAnsiTheme="minorHAnsi" w:cstheme="minorHAnsi"/>
                <w:sz w:val="20"/>
              </w:rPr>
              <w:t>This option will improve equity, affordability and accessibility of IHC for families that work non-standard hours, and families that are geographically isolated. However, it may be difficult to monitor and improve quality of services while the sustainability of this option relies on the ability to scale these alternative delivery models.</w:t>
            </w:r>
          </w:p>
        </w:tc>
      </w:tr>
      <w:tr w:rsidR="00731FFB" w:rsidRPr="008549AA" w14:paraId="179B020E" w14:textId="77777777" w:rsidTr="00404A23">
        <w:tc>
          <w:tcPr>
            <w:tcW w:w="7689" w:type="dxa"/>
            <w:shd w:val="clear" w:color="auto" w:fill="E5E5E5" w:themeFill="text2" w:themeFillTint="33"/>
            <w:vAlign w:val="center"/>
          </w:tcPr>
          <w:p w14:paraId="6C2C48AD" w14:textId="77777777" w:rsidR="00731FFB" w:rsidRPr="008549AA" w:rsidRDefault="00731FFB" w:rsidP="006D4830">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lastRenderedPageBreak/>
              <w:t>Implementation risk summary</w:t>
            </w:r>
          </w:p>
        </w:tc>
        <w:tc>
          <w:tcPr>
            <w:tcW w:w="2047" w:type="dxa"/>
            <w:gridSpan w:val="3"/>
            <w:shd w:val="clear" w:color="auto" w:fill="E0301E" w:themeFill="accent3"/>
            <w:vAlign w:val="center"/>
          </w:tcPr>
          <w:p w14:paraId="79ED1712" w14:textId="77777777" w:rsidR="00731FFB" w:rsidRPr="008549AA" w:rsidRDefault="00731FFB" w:rsidP="006D4830">
            <w:pPr>
              <w:pStyle w:val="PwCNormal"/>
              <w:numPr>
                <w:ilvl w:val="0"/>
                <w:numId w:val="0"/>
              </w:numPr>
              <w:spacing w:before="120" w:after="120"/>
              <w:jc w:val="center"/>
              <w:rPr>
                <w:rFonts w:asciiTheme="minorHAnsi" w:hAnsiTheme="minorHAnsi" w:cstheme="minorHAnsi"/>
                <w:color w:val="FF0000"/>
                <w:sz w:val="20"/>
                <w:highlight w:val="yellow"/>
              </w:rPr>
            </w:pPr>
            <w:r w:rsidRPr="008549AA">
              <w:rPr>
                <w:rFonts w:asciiTheme="minorHAnsi" w:hAnsiTheme="minorHAnsi" w:cstheme="minorHAnsi"/>
                <w:b/>
                <w:color w:val="FFFFFF" w:themeColor="background1"/>
                <w:sz w:val="20"/>
              </w:rPr>
              <w:t>High risk</w:t>
            </w:r>
          </w:p>
        </w:tc>
      </w:tr>
      <w:tr w:rsidR="00731FFB" w:rsidRPr="008549AA" w14:paraId="1B93F5FC" w14:textId="77777777" w:rsidTr="00404A23">
        <w:tc>
          <w:tcPr>
            <w:tcW w:w="9736" w:type="dxa"/>
            <w:gridSpan w:val="4"/>
          </w:tcPr>
          <w:p w14:paraId="30AA97F2" w14:textId="77777777" w:rsidR="00731FFB" w:rsidRPr="008549AA" w:rsidRDefault="00731FFB" w:rsidP="006D4830">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sz w:val="20"/>
              </w:rPr>
              <w:t>This option would likely require changes to both legislation and regulation, as well as leading to significant operational changes for IHC providers and educators. The cost to deliver these alternative models would require additional and ongoing funding which would be subject to negotiation with the Department of Treasury and Finance (DTF), either for block funding, or through the CCS/ACCS. The timelines for implementation would likely be medium to long term.</w:t>
            </w:r>
          </w:p>
        </w:tc>
      </w:tr>
    </w:tbl>
    <w:p w14:paraId="6697E293" w14:textId="524B8374" w:rsidR="00731FFB" w:rsidRPr="00215F1C" w:rsidRDefault="00731FFB" w:rsidP="00215F1C">
      <w:pPr>
        <w:pStyle w:val="DocBodyText"/>
      </w:pPr>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9"/>
        <w:gridCol w:w="669"/>
        <w:gridCol w:w="707"/>
        <w:gridCol w:w="671"/>
      </w:tblGrid>
      <w:tr w:rsidR="00731FFB" w:rsidRPr="008549AA" w14:paraId="57CCAA44" w14:textId="77777777" w:rsidTr="00404A23">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736" w:type="dxa"/>
            <w:gridSpan w:val="4"/>
            <w:shd w:val="clear" w:color="auto" w:fill="D04A02" w:themeFill="accent1"/>
          </w:tcPr>
          <w:p w14:paraId="185A35BF" w14:textId="0CFFF7B6" w:rsidR="00731FFB" w:rsidRPr="008549AA" w:rsidRDefault="00731FFB" w:rsidP="006D4830">
            <w:pPr>
              <w:pStyle w:val="PwCNormal"/>
              <w:numPr>
                <w:ilvl w:val="0"/>
                <w:numId w:val="2"/>
              </w:numPr>
              <w:spacing w:before="120" w:after="120"/>
              <w:rPr>
                <w:rFonts w:asciiTheme="minorHAnsi" w:hAnsiTheme="minorHAnsi" w:cstheme="minorHAnsi"/>
                <w:b/>
                <w:bCs/>
                <w:sz w:val="20"/>
                <w:highlight w:val="yellow"/>
              </w:rPr>
            </w:pPr>
            <w:r w:rsidRPr="008549AA">
              <w:rPr>
                <w:rFonts w:asciiTheme="minorHAnsi" w:hAnsiTheme="minorHAnsi" w:cstheme="minorHAnsi"/>
                <w:b/>
                <w:bCs/>
                <w:color w:val="FFFFFF" w:themeColor="background1"/>
                <w:sz w:val="20"/>
              </w:rPr>
              <w:t>Broaden</w:t>
            </w:r>
            <w:r w:rsidR="0036642F" w:rsidRPr="008549AA">
              <w:rPr>
                <w:rFonts w:asciiTheme="minorHAnsi" w:hAnsiTheme="minorHAnsi" w:cstheme="minorHAnsi"/>
                <w:b/>
                <w:bCs/>
                <w:color w:val="FFFFFF" w:themeColor="background1"/>
                <w:sz w:val="20"/>
              </w:rPr>
              <w:t>/</w:t>
            </w:r>
            <w:r w:rsidRPr="008549AA">
              <w:rPr>
                <w:rFonts w:asciiTheme="minorHAnsi" w:hAnsiTheme="minorHAnsi" w:cstheme="minorHAnsi"/>
                <w:b/>
                <w:bCs/>
                <w:color w:val="FFFFFF" w:themeColor="background1"/>
                <w:sz w:val="20"/>
              </w:rPr>
              <w:t>integrate IHC with other services</w:t>
            </w:r>
            <w:r w:rsidR="0036642F" w:rsidRPr="008549AA">
              <w:rPr>
                <w:rFonts w:asciiTheme="minorHAnsi" w:hAnsiTheme="minorHAnsi" w:cstheme="minorHAnsi"/>
                <w:b/>
                <w:bCs/>
                <w:color w:val="FFFFFF" w:themeColor="background1"/>
                <w:sz w:val="20"/>
              </w:rPr>
              <w:t>/</w:t>
            </w:r>
            <w:r w:rsidRPr="008549AA">
              <w:rPr>
                <w:rFonts w:asciiTheme="minorHAnsi" w:hAnsiTheme="minorHAnsi" w:cstheme="minorHAnsi"/>
                <w:b/>
                <w:bCs/>
                <w:color w:val="FFFFFF" w:themeColor="background1"/>
                <w:sz w:val="20"/>
              </w:rPr>
              <w:t>programs</w:t>
            </w:r>
          </w:p>
        </w:tc>
      </w:tr>
      <w:tr w:rsidR="00731FFB" w:rsidRPr="008549AA" w14:paraId="3DBF7BB4" w14:textId="77777777" w:rsidTr="00404A23">
        <w:tc>
          <w:tcPr>
            <w:tcW w:w="9736" w:type="dxa"/>
            <w:gridSpan w:val="4"/>
            <w:shd w:val="clear" w:color="auto" w:fill="E5E5E5" w:themeFill="text2" w:themeFillTint="33"/>
          </w:tcPr>
          <w:p w14:paraId="61ACD049" w14:textId="77777777" w:rsidR="00731FFB" w:rsidRPr="008549AA" w:rsidRDefault="00731FFB" w:rsidP="006D4830">
            <w:pPr>
              <w:pStyle w:val="PwCNormal"/>
              <w:numPr>
                <w:ilvl w:val="0"/>
                <w:numId w:val="2"/>
              </w:numPr>
              <w:spacing w:before="120" w:after="120"/>
              <w:rPr>
                <w:rFonts w:asciiTheme="minorHAnsi" w:hAnsiTheme="minorHAnsi" w:cstheme="minorHAnsi"/>
                <w:b/>
                <w:bCs/>
                <w:color w:val="FF0000"/>
                <w:sz w:val="20"/>
                <w:highlight w:val="yellow"/>
              </w:rPr>
            </w:pPr>
            <w:r w:rsidRPr="008549AA">
              <w:rPr>
                <w:rFonts w:asciiTheme="minorHAnsi" w:hAnsiTheme="minorHAnsi" w:cstheme="minorHAnsi"/>
                <w:b/>
                <w:bCs/>
                <w:color w:val="auto"/>
                <w:sz w:val="20"/>
              </w:rPr>
              <w:t>Description</w:t>
            </w:r>
          </w:p>
        </w:tc>
      </w:tr>
      <w:tr w:rsidR="00731FFB" w:rsidRPr="008549AA" w14:paraId="260436D4" w14:textId="77777777" w:rsidTr="00404A23">
        <w:tc>
          <w:tcPr>
            <w:tcW w:w="9736" w:type="dxa"/>
            <w:gridSpan w:val="4"/>
          </w:tcPr>
          <w:p w14:paraId="75F9738A" w14:textId="77777777" w:rsidR="00731FFB" w:rsidRPr="008549AA" w:rsidRDefault="00731FFB" w:rsidP="008E2948">
            <w:pPr>
              <w:pStyle w:val="PwCNormal"/>
              <w:numPr>
                <w:ilvl w:val="0"/>
                <w:numId w:val="29"/>
              </w:numPr>
              <w:spacing w:before="120" w:after="120"/>
              <w:ind w:left="360"/>
              <w:rPr>
                <w:rFonts w:asciiTheme="minorHAnsi" w:hAnsiTheme="minorHAnsi" w:cstheme="minorHAnsi"/>
                <w:color w:val="auto"/>
                <w:sz w:val="20"/>
              </w:rPr>
            </w:pPr>
            <w:r w:rsidRPr="008549AA">
              <w:rPr>
                <w:rFonts w:asciiTheme="minorHAnsi" w:hAnsiTheme="minorHAnsi" w:cstheme="minorHAnsi"/>
                <w:color w:val="auto"/>
                <w:sz w:val="20"/>
              </w:rPr>
              <w:t>Partner with local councils and communities to provide a hybrid IHC/FDC residence/venue (ECEC focused not focused on workforce participation)</w:t>
            </w:r>
          </w:p>
          <w:p w14:paraId="7DD27C73" w14:textId="77777777" w:rsidR="00731FFB" w:rsidRPr="008549AA" w:rsidRDefault="00731FFB" w:rsidP="008E2948">
            <w:pPr>
              <w:pStyle w:val="PwCNormal"/>
              <w:numPr>
                <w:ilvl w:val="0"/>
                <w:numId w:val="29"/>
              </w:numPr>
              <w:spacing w:before="120" w:after="120"/>
              <w:ind w:left="360"/>
              <w:rPr>
                <w:rFonts w:asciiTheme="minorHAnsi" w:hAnsiTheme="minorHAnsi" w:cstheme="minorHAnsi"/>
                <w:color w:val="auto"/>
                <w:sz w:val="20"/>
              </w:rPr>
            </w:pPr>
            <w:r w:rsidRPr="008549AA">
              <w:rPr>
                <w:rFonts w:asciiTheme="minorHAnsi" w:hAnsiTheme="minorHAnsi" w:cstheme="minorHAnsi"/>
                <w:color w:val="auto"/>
                <w:sz w:val="20"/>
              </w:rPr>
              <w:t>Develop a Connected Beginnings</w:t>
            </w:r>
            <w:r w:rsidRPr="008549AA">
              <w:rPr>
                <w:rStyle w:val="FootnoteReference"/>
                <w:rFonts w:asciiTheme="minorHAnsi" w:hAnsiTheme="minorHAnsi" w:cstheme="minorHAnsi"/>
                <w:color w:val="auto"/>
                <w:sz w:val="20"/>
              </w:rPr>
              <w:footnoteReference w:id="55"/>
            </w:r>
            <w:r w:rsidRPr="008549AA">
              <w:rPr>
                <w:rFonts w:asciiTheme="minorHAnsi" w:hAnsiTheme="minorHAnsi" w:cstheme="minorHAnsi"/>
                <w:color w:val="auto"/>
                <w:sz w:val="20"/>
              </w:rPr>
              <w:t xml:space="preserve"> model of integrated servicing for rural and remote families</w:t>
            </w:r>
          </w:p>
          <w:p w14:paraId="0EFD49C8" w14:textId="77777777" w:rsidR="00731FFB" w:rsidRPr="008549AA" w:rsidRDefault="00731FFB" w:rsidP="008E2948">
            <w:pPr>
              <w:pStyle w:val="PwCNormal"/>
              <w:numPr>
                <w:ilvl w:val="0"/>
                <w:numId w:val="29"/>
              </w:numPr>
              <w:spacing w:before="120" w:after="120"/>
              <w:ind w:left="360"/>
              <w:rPr>
                <w:rFonts w:asciiTheme="minorHAnsi" w:hAnsiTheme="minorHAnsi" w:cstheme="minorHAnsi"/>
                <w:color w:val="auto"/>
                <w:sz w:val="20"/>
              </w:rPr>
            </w:pPr>
            <w:r w:rsidRPr="008549AA">
              <w:rPr>
                <w:rFonts w:asciiTheme="minorHAnsi" w:hAnsiTheme="minorHAnsi" w:cstheme="minorHAnsi"/>
                <w:sz w:val="20"/>
              </w:rPr>
              <w:t>Grant program (or add to ISP as an additional payment) for services to pass on to educators in recognition of the additional skills required to work in an IHC environment</w:t>
            </w:r>
          </w:p>
        </w:tc>
      </w:tr>
      <w:tr w:rsidR="00731FFB" w:rsidRPr="008549AA" w14:paraId="56AAAA42" w14:textId="77777777" w:rsidTr="00404A23">
        <w:trPr>
          <w:trHeight w:val="50"/>
        </w:trPr>
        <w:tc>
          <w:tcPr>
            <w:tcW w:w="9736" w:type="dxa"/>
            <w:gridSpan w:val="4"/>
            <w:shd w:val="clear" w:color="auto" w:fill="E5E5E5" w:themeFill="text2" w:themeFillTint="33"/>
          </w:tcPr>
          <w:p w14:paraId="0AB82D33" w14:textId="77777777" w:rsidR="00731FFB" w:rsidRPr="008549AA" w:rsidRDefault="00731FFB" w:rsidP="006D4830">
            <w:pPr>
              <w:pStyle w:val="PwCNormal"/>
              <w:numPr>
                <w:ilvl w:val="0"/>
                <w:numId w:val="2"/>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Impacted families</w:t>
            </w:r>
          </w:p>
        </w:tc>
      </w:tr>
      <w:tr w:rsidR="00731FFB" w:rsidRPr="008549AA" w14:paraId="7D5F733D" w14:textId="77777777" w:rsidTr="00404A23">
        <w:trPr>
          <w:trHeight w:val="70"/>
        </w:trPr>
        <w:tc>
          <w:tcPr>
            <w:tcW w:w="7689" w:type="dxa"/>
          </w:tcPr>
          <w:p w14:paraId="6C5290AC" w14:textId="77777777" w:rsidR="00731FFB" w:rsidRPr="008549AA" w:rsidRDefault="00731FFB" w:rsidP="006D4830">
            <w:pPr>
              <w:pStyle w:val="PwCNormal"/>
              <w:numPr>
                <w:ilvl w:val="0"/>
                <w:numId w:val="0"/>
              </w:numPr>
              <w:spacing w:before="120" w:after="120"/>
              <w:rPr>
                <w:rFonts w:asciiTheme="minorHAnsi" w:hAnsiTheme="minorHAnsi" w:cstheme="minorHAnsi"/>
                <w:color w:val="auto"/>
                <w:sz w:val="20"/>
              </w:rPr>
            </w:pPr>
            <w:r w:rsidRPr="008549AA">
              <w:rPr>
                <w:rFonts w:asciiTheme="minorHAnsi" w:hAnsiTheme="minorHAnsi" w:cstheme="minorHAnsi"/>
                <w:color w:val="auto"/>
                <w:sz w:val="20"/>
              </w:rPr>
              <w:t>Should local government wish to re-enter and/or remain in the ECEC sector (noting they are generally shifting away from delivery of ECEC services) then families in geographically isolated areas would be impacted with councils able to address some of the demand in thin markets. A Connected Beginnings model of integrated services, and a grant program in recognition of additional skills required, would support families with complex needs and those in geographically isolated areas.</w:t>
            </w:r>
          </w:p>
        </w:tc>
        <w:tc>
          <w:tcPr>
            <w:tcW w:w="669" w:type="dxa"/>
          </w:tcPr>
          <w:p w14:paraId="36850980" w14:textId="77777777" w:rsidR="00731FFB" w:rsidRPr="008549AA" w:rsidRDefault="00731FFB" w:rsidP="006D4830">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48053092" wp14:editId="7F039E13">
                  <wp:extent cx="288000" cy="288000"/>
                  <wp:effectExtent l="0" t="0" r="0" b="0"/>
                  <wp:docPr id="305" name="Picture 305"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8000" cy="288000"/>
                          </a:xfrm>
                          <a:prstGeom prst="rect">
                            <a:avLst/>
                          </a:prstGeom>
                        </pic:spPr>
                      </pic:pic>
                    </a:graphicData>
                  </a:graphic>
                </wp:inline>
              </w:drawing>
            </w:r>
          </w:p>
        </w:tc>
        <w:tc>
          <w:tcPr>
            <w:tcW w:w="707" w:type="dxa"/>
          </w:tcPr>
          <w:p w14:paraId="28CA4673" w14:textId="77777777" w:rsidR="00731FFB" w:rsidRPr="008549AA" w:rsidRDefault="00731FFB" w:rsidP="006D4830">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50777990" wp14:editId="4C6B4443">
                  <wp:extent cx="288000" cy="288000"/>
                  <wp:effectExtent l="0" t="0" r="0" b="0"/>
                  <wp:docPr id="306" name="Picture 306"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288000" cy="288000"/>
                          </a:xfrm>
                          <a:prstGeom prst="rect">
                            <a:avLst/>
                          </a:prstGeom>
                        </pic:spPr>
                      </pic:pic>
                    </a:graphicData>
                  </a:graphic>
                </wp:inline>
              </w:drawing>
            </w:r>
          </w:p>
        </w:tc>
        <w:tc>
          <w:tcPr>
            <w:tcW w:w="671" w:type="dxa"/>
          </w:tcPr>
          <w:p w14:paraId="72FD602C" w14:textId="77777777" w:rsidR="00731FFB" w:rsidRPr="008549AA" w:rsidRDefault="00731FFB" w:rsidP="006D4830">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3CFD15FA" wp14:editId="510199A8">
                  <wp:extent cx="289367" cy="289367"/>
                  <wp:effectExtent l="0" t="0" r="0" b="0"/>
                  <wp:docPr id="307" name="Picture 307"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91885" cy="291885"/>
                          </a:xfrm>
                          <a:prstGeom prst="rect">
                            <a:avLst/>
                          </a:prstGeom>
                        </pic:spPr>
                      </pic:pic>
                    </a:graphicData>
                  </a:graphic>
                </wp:inline>
              </w:drawing>
            </w:r>
          </w:p>
        </w:tc>
      </w:tr>
      <w:tr w:rsidR="00731FFB" w:rsidRPr="008549AA" w14:paraId="431CB0EB" w14:textId="77777777" w:rsidTr="00404A23">
        <w:tc>
          <w:tcPr>
            <w:tcW w:w="7689" w:type="dxa"/>
            <w:shd w:val="clear" w:color="auto" w:fill="E5E5E5" w:themeFill="text2" w:themeFillTint="33"/>
            <w:vAlign w:val="center"/>
          </w:tcPr>
          <w:p w14:paraId="51D4E3B8" w14:textId="77777777" w:rsidR="00731FFB" w:rsidRPr="008549AA" w:rsidRDefault="00731FFB" w:rsidP="00404A23">
            <w:pPr>
              <w:pStyle w:val="PwCNormal"/>
              <w:keepNext/>
              <w:keepLines/>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Outcomes assessment summary</w:t>
            </w:r>
          </w:p>
        </w:tc>
        <w:tc>
          <w:tcPr>
            <w:tcW w:w="2047" w:type="dxa"/>
            <w:gridSpan w:val="3"/>
            <w:shd w:val="clear" w:color="auto" w:fill="D04A02" w:themeFill="accent1"/>
            <w:vAlign w:val="center"/>
          </w:tcPr>
          <w:p w14:paraId="6F30EDB8" w14:textId="77777777" w:rsidR="00731FFB" w:rsidRPr="008549AA" w:rsidRDefault="00731FFB" w:rsidP="00404A23">
            <w:pPr>
              <w:pStyle w:val="PwCNormal"/>
              <w:keepNext/>
              <w:keepLines/>
              <w:numPr>
                <w:ilvl w:val="0"/>
                <w:numId w:val="0"/>
              </w:numPr>
              <w:spacing w:before="120" w:after="120"/>
              <w:jc w:val="center"/>
              <w:rPr>
                <w:rFonts w:asciiTheme="minorHAnsi" w:hAnsiTheme="minorHAnsi" w:cstheme="minorHAnsi"/>
                <w:color w:val="FF0000"/>
                <w:sz w:val="20"/>
                <w:highlight w:val="yellow"/>
              </w:rPr>
            </w:pPr>
            <w:r w:rsidRPr="008549AA">
              <w:rPr>
                <w:rFonts w:asciiTheme="minorHAnsi" w:hAnsiTheme="minorHAnsi" w:cstheme="minorHAnsi"/>
                <w:b/>
                <w:bCs/>
                <w:color w:val="FFFFFF" w:themeColor="background1"/>
                <w:sz w:val="20"/>
              </w:rPr>
              <w:t>Moderate</w:t>
            </w:r>
            <w:r w:rsidRPr="008549AA">
              <w:rPr>
                <w:rFonts w:asciiTheme="minorHAnsi" w:hAnsiTheme="minorHAnsi" w:cstheme="minorHAnsi"/>
                <w:b/>
                <w:color w:val="FFFFFF" w:themeColor="background1"/>
                <w:sz w:val="20"/>
              </w:rPr>
              <w:t xml:space="preserve"> impact</w:t>
            </w:r>
          </w:p>
        </w:tc>
      </w:tr>
      <w:tr w:rsidR="00731FFB" w:rsidRPr="008549AA" w14:paraId="4B316130" w14:textId="77777777" w:rsidTr="00404A23">
        <w:tc>
          <w:tcPr>
            <w:tcW w:w="9736" w:type="dxa"/>
            <w:gridSpan w:val="4"/>
          </w:tcPr>
          <w:p w14:paraId="3EBBF1A0" w14:textId="4E9AB9FC" w:rsidR="00731FFB" w:rsidRPr="008549AA" w:rsidRDefault="00731FFB" w:rsidP="006D4830">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sz w:val="20"/>
              </w:rPr>
              <w:t xml:space="preserve">This option would primarily improve equity, access and affordability for families with complex needs and those that are geographically isolated. However, the challenges with delivering integrated services, including the cost to government, make this likely </w:t>
            </w:r>
            <w:r w:rsidR="00416129" w:rsidRPr="008549AA">
              <w:rPr>
                <w:rFonts w:asciiTheme="minorHAnsi" w:hAnsiTheme="minorHAnsi" w:cstheme="minorHAnsi"/>
                <w:sz w:val="20"/>
              </w:rPr>
              <w:t>to be</w:t>
            </w:r>
            <w:r w:rsidRPr="008549AA">
              <w:rPr>
                <w:rFonts w:asciiTheme="minorHAnsi" w:hAnsiTheme="minorHAnsi" w:cstheme="minorHAnsi"/>
                <w:sz w:val="20"/>
              </w:rPr>
              <w:t xml:space="preserve"> unsustainable.</w:t>
            </w:r>
          </w:p>
        </w:tc>
      </w:tr>
      <w:tr w:rsidR="00731FFB" w:rsidRPr="008549AA" w14:paraId="6B5F0908" w14:textId="77777777" w:rsidTr="00404A23">
        <w:tc>
          <w:tcPr>
            <w:tcW w:w="7689" w:type="dxa"/>
            <w:shd w:val="clear" w:color="auto" w:fill="E5E5E5" w:themeFill="text2" w:themeFillTint="33"/>
            <w:vAlign w:val="center"/>
          </w:tcPr>
          <w:p w14:paraId="406A5504" w14:textId="77777777" w:rsidR="00731FFB" w:rsidRPr="008549AA" w:rsidRDefault="00731FFB" w:rsidP="006D4830">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Implementation risk summary</w:t>
            </w:r>
          </w:p>
        </w:tc>
        <w:tc>
          <w:tcPr>
            <w:tcW w:w="2047" w:type="dxa"/>
            <w:gridSpan w:val="3"/>
            <w:shd w:val="clear" w:color="auto" w:fill="E0301E" w:themeFill="accent3"/>
            <w:vAlign w:val="center"/>
          </w:tcPr>
          <w:p w14:paraId="4A4C477B" w14:textId="77777777" w:rsidR="00731FFB" w:rsidRPr="008549AA" w:rsidRDefault="00731FFB" w:rsidP="006D4830">
            <w:pPr>
              <w:pStyle w:val="PwCNormal"/>
              <w:numPr>
                <w:ilvl w:val="0"/>
                <w:numId w:val="0"/>
              </w:numPr>
              <w:spacing w:before="120" w:after="120"/>
              <w:jc w:val="center"/>
              <w:rPr>
                <w:rFonts w:asciiTheme="minorHAnsi" w:hAnsiTheme="minorHAnsi" w:cstheme="minorHAnsi"/>
                <w:color w:val="FF0000"/>
                <w:sz w:val="20"/>
                <w:highlight w:val="yellow"/>
              </w:rPr>
            </w:pPr>
            <w:r w:rsidRPr="008549AA">
              <w:rPr>
                <w:rFonts w:asciiTheme="minorHAnsi" w:hAnsiTheme="minorHAnsi" w:cstheme="minorHAnsi"/>
                <w:b/>
                <w:color w:val="FFFFFF" w:themeColor="background1"/>
                <w:sz w:val="20"/>
              </w:rPr>
              <w:t>High risk</w:t>
            </w:r>
          </w:p>
        </w:tc>
      </w:tr>
      <w:tr w:rsidR="00731FFB" w:rsidRPr="008549AA" w14:paraId="355CE68B" w14:textId="77777777" w:rsidTr="00404A23">
        <w:tc>
          <w:tcPr>
            <w:tcW w:w="9736" w:type="dxa"/>
            <w:gridSpan w:val="4"/>
          </w:tcPr>
          <w:p w14:paraId="37EA5F75" w14:textId="3E6232BA" w:rsidR="00731FFB" w:rsidRPr="008549AA" w:rsidRDefault="00731FFB" w:rsidP="006D4830">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sz w:val="20"/>
              </w:rPr>
              <w:t>While an integrated service offering for children in remote and regional areas would be significantly beneficial to their development</w:t>
            </w:r>
            <w:r w:rsidR="00416129" w:rsidRPr="008549AA">
              <w:rPr>
                <w:rFonts w:asciiTheme="minorHAnsi" w:hAnsiTheme="minorHAnsi" w:cstheme="minorHAnsi"/>
                <w:sz w:val="20"/>
              </w:rPr>
              <w:t>,</w:t>
            </w:r>
            <w:r w:rsidRPr="008549AA">
              <w:rPr>
                <w:rFonts w:asciiTheme="minorHAnsi" w:hAnsiTheme="minorHAnsi" w:cstheme="minorHAnsi"/>
                <w:sz w:val="20"/>
              </w:rPr>
              <w:t xml:space="preserve"> a Connected Beginnings model for rural and remote areas is a highly complex initiative to implement. Local councils are shifting away from ECEC making a hybrid FDC/IHC model difficult to implement and maintain.</w:t>
            </w:r>
          </w:p>
        </w:tc>
      </w:tr>
    </w:tbl>
    <w:p w14:paraId="398919D0" w14:textId="77777777" w:rsidR="008549AA" w:rsidRDefault="008549AA" w:rsidP="00731FFB">
      <w:pPr>
        <w:pStyle w:val="DocHeading02"/>
      </w:pPr>
      <w:bookmarkStart w:id="75" w:name="_Toc139022138"/>
    </w:p>
    <w:p w14:paraId="0BEC4A5F" w14:textId="77777777" w:rsidR="008549AA" w:rsidRDefault="008549AA">
      <w:pPr>
        <w:spacing w:before="0" w:line="281" w:lineRule="auto"/>
        <w:rPr>
          <w:b/>
          <w:bCs/>
          <w:sz w:val="28"/>
          <w:szCs w:val="28"/>
        </w:rPr>
      </w:pPr>
      <w:r>
        <w:br w:type="page"/>
      </w:r>
    </w:p>
    <w:p w14:paraId="006CCF27" w14:textId="5BB00CEA" w:rsidR="00731FFB" w:rsidRPr="00B6071A" w:rsidRDefault="00731FFB" w:rsidP="00731FFB">
      <w:pPr>
        <w:pStyle w:val="DocHeading02"/>
      </w:pPr>
      <w:bookmarkStart w:id="76" w:name="_Toc140148416"/>
      <w:bookmarkStart w:id="77" w:name="_Toc140149914"/>
      <w:r w:rsidRPr="00B6071A">
        <w:lastRenderedPageBreak/>
        <w:t>Workforce</w:t>
      </w:r>
      <w:bookmarkEnd w:id="75"/>
      <w:bookmarkEnd w:id="76"/>
      <w:bookmarkEnd w:id="77"/>
    </w:p>
    <w:tbl>
      <w:tblPr>
        <w:tblStyle w:val="PwCColou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4"/>
        <w:gridCol w:w="669"/>
        <w:gridCol w:w="707"/>
        <w:gridCol w:w="671"/>
      </w:tblGrid>
      <w:tr w:rsidR="00731FFB" w:rsidRPr="008549AA" w14:paraId="7106D9AF" w14:textId="77777777" w:rsidTr="00404A23">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855" w:type="dxa"/>
            <w:gridSpan w:val="4"/>
            <w:shd w:val="clear" w:color="auto" w:fill="D04A02" w:themeFill="accent1"/>
          </w:tcPr>
          <w:p w14:paraId="3C284C60" w14:textId="77777777" w:rsidR="00731FFB" w:rsidRPr="008549AA" w:rsidRDefault="00731FFB" w:rsidP="005E471A">
            <w:pPr>
              <w:pStyle w:val="PwCNormal"/>
              <w:numPr>
                <w:ilvl w:val="0"/>
                <w:numId w:val="2"/>
              </w:numPr>
              <w:spacing w:before="120" w:after="120"/>
              <w:rPr>
                <w:rFonts w:asciiTheme="minorHAnsi" w:hAnsiTheme="minorHAnsi" w:cstheme="minorHAnsi"/>
                <w:b/>
                <w:bCs/>
                <w:sz w:val="20"/>
                <w:highlight w:val="yellow"/>
              </w:rPr>
            </w:pPr>
            <w:r w:rsidRPr="008549AA">
              <w:rPr>
                <w:rFonts w:asciiTheme="minorHAnsi" w:hAnsiTheme="minorHAnsi" w:cstheme="minorHAnsi"/>
                <w:b/>
                <w:bCs/>
                <w:color w:val="FFFFFF" w:themeColor="background1"/>
                <w:sz w:val="20"/>
              </w:rPr>
              <w:t>Expand eligible qualifications</w:t>
            </w:r>
          </w:p>
        </w:tc>
      </w:tr>
      <w:tr w:rsidR="00731FFB" w:rsidRPr="008549AA" w14:paraId="7F503035" w14:textId="77777777" w:rsidTr="00404A23">
        <w:tc>
          <w:tcPr>
            <w:tcW w:w="9855" w:type="dxa"/>
            <w:gridSpan w:val="4"/>
            <w:shd w:val="clear" w:color="auto" w:fill="E5E5E5" w:themeFill="text2" w:themeFillTint="33"/>
          </w:tcPr>
          <w:p w14:paraId="2EDA1479" w14:textId="77777777" w:rsidR="00731FFB" w:rsidRPr="008549AA" w:rsidRDefault="00731FFB" w:rsidP="005E471A">
            <w:pPr>
              <w:pStyle w:val="PwCNormal"/>
              <w:numPr>
                <w:ilvl w:val="0"/>
                <w:numId w:val="2"/>
              </w:numPr>
              <w:spacing w:before="120" w:after="120"/>
              <w:rPr>
                <w:rFonts w:asciiTheme="minorHAnsi" w:hAnsiTheme="minorHAnsi" w:cstheme="minorHAnsi"/>
                <w:b/>
                <w:bCs/>
                <w:color w:val="FF0000"/>
                <w:sz w:val="20"/>
                <w:highlight w:val="yellow"/>
              </w:rPr>
            </w:pPr>
            <w:r w:rsidRPr="008549AA">
              <w:rPr>
                <w:rFonts w:asciiTheme="minorHAnsi" w:hAnsiTheme="minorHAnsi" w:cstheme="minorHAnsi"/>
                <w:b/>
                <w:bCs/>
                <w:color w:val="auto"/>
                <w:sz w:val="20"/>
              </w:rPr>
              <w:t>Description</w:t>
            </w:r>
          </w:p>
        </w:tc>
      </w:tr>
      <w:tr w:rsidR="00731FFB" w:rsidRPr="008549AA" w14:paraId="7BBE7026" w14:textId="77777777" w:rsidTr="00404A23">
        <w:tc>
          <w:tcPr>
            <w:tcW w:w="9855" w:type="dxa"/>
            <w:gridSpan w:val="4"/>
          </w:tcPr>
          <w:p w14:paraId="45ADAB7E" w14:textId="77777777" w:rsidR="007D7BF5" w:rsidRPr="008549AA" w:rsidRDefault="00731FFB" w:rsidP="009761D5">
            <w:pPr>
              <w:pStyle w:val="PwCNormal"/>
              <w:numPr>
                <w:ilvl w:val="0"/>
                <w:numId w:val="30"/>
              </w:numPr>
              <w:spacing w:before="120"/>
              <w:ind w:left="360"/>
              <w:rPr>
                <w:rFonts w:asciiTheme="minorHAnsi" w:hAnsiTheme="minorHAnsi" w:cstheme="minorHAnsi"/>
                <w:color w:val="auto"/>
                <w:sz w:val="20"/>
              </w:rPr>
            </w:pPr>
            <w:r w:rsidRPr="008549AA">
              <w:rPr>
                <w:rFonts w:asciiTheme="minorHAnsi" w:hAnsiTheme="minorHAnsi" w:cstheme="minorHAnsi"/>
                <w:color w:val="auto"/>
                <w:sz w:val="20"/>
              </w:rPr>
              <w:t>Expansion of eligible qualifications that are aligned with education and care, such as extending the Bachelor of Teaching provisions to include additional teaching streams i.e. primary</w:t>
            </w:r>
            <w:r w:rsidR="0036642F" w:rsidRPr="008549AA">
              <w:rPr>
                <w:rFonts w:asciiTheme="minorHAnsi" w:hAnsiTheme="minorHAnsi" w:cstheme="minorHAnsi"/>
                <w:color w:val="auto"/>
                <w:sz w:val="20"/>
              </w:rPr>
              <w:t>/</w:t>
            </w:r>
            <w:r w:rsidRPr="008549AA">
              <w:rPr>
                <w:rFonts w:asciiTheme="minorHAnsi" w:hAnsiTheme="minorHAnsi" w:cstheme="minorHAnsi"/>
                <w:color w:val="auto"/>
                <w:sz w:val="20"/>
              </w:rPr>
              <w:t>high school</w:t>
            </w:r>
          </w:p>
          <w:p w14:paraId="06EE36F1" w14:textId="052709C0" w:rsidR="00731FFB" w:rsidRPr="008549AA" w:rsidRDefault="00731FFB" w:rsidP="009761D5">
            <w:pPr>
              <w:pStyle w:val="PwCNormal"/>
              <w:numPr>
                <w:ilvl w:val="0"/>
                <w:numId w:val="30"/>
              </w:numPr>
              <w:spacing w:before="120" w:after="120"/>
              <w:ind w:left="360"/>
              <w:rPr>
                <w:rFonts w:asciiTheme="minorHAnsi" w:hAnsiTheme="minorHAnsi" w:cstheme="minorHAnsi"/>
                <w:color w:val="auto"/>
                <w:sz w:val="20"/>
              </w:rPr>
            </w:pPr>
            <w:r w:rsidRPr="008549AA">
              <w:rPr>
                <w:rFonts w:asciiTheme="minorHAnsi" w:hAnsiTheme="minorHAnsi" w:cstheme="minorHAnsi"/>
                <w:sz w:val="20"/>
              </w:rPr>
              <w:t>Review eligibility treatment of potential educators, such as retired teachers and the associated guidance around current teacher registration being required to enable these people to apply to be an IHC educator</w:t>
            </w:r>
          </w:p>
        </w:tc>
      </w:tr>
      <w:tr w:rsidR="00731FFB" w:rsidRPr="008549AA" w14:paraId="05AB18CF" w14:textId="77777777" w:rsidTr="00404A23">
        <w:tc>
          <w:tcPr>
            <w:tcW w:w="9855" w:type="dxa"/>
            <w:gridSpan w:val="4"/>
            <w:shd w:val="clear" w:color="auto" w:fill="E5E5E5" w:themeFill="text2" w:themeFillTint="33"/>
          </w:tcPr>
          <w:p w14:paraId="53E14F46" w14:textId="77777777" w:rsidR="00731FFB" w:rsidRPr="008549AA" w:rsidRDefault="00731FFB" w:rsidP="005E471A">
            <w:pPr>
              <w:pStyle w:val="PwCNormal"/>
              <w:numPr>
                <w:ilvl w:val="0"/>
                <w:numId w:val="2"/>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Impacted families</w:t>
            </w:r>
          </w:p>
        </w:tc>
      </w:tr>
      <w:tr w:rsidR="00731FFB" w:rsidRPr="008549AA" w14:paraId="15A3D6BC" w14:textId="77777777" w:rsidTr="00404A23">
        <w:tc>
          <w:tcPr>
            <w:tcW w:w="7807" w:type="dxa"/>
          </w:tcPr>
          <w:p w14:paraId="0FE371A7" w14:textId="77777777" w:rsidR="00731FFB" w:rsidRPr="008549AA" w:rsidRDefault="00731FFB" w:rsidP="005E471A">
            <w:pPr>
              <w:pStyle w:val="PwCNormal"/>
              <w:numPr>
                <w:ilvl w:val="0"/>
                <w:numId w:val="0"/>
              </w:numPr>
              <w:spacing w:before="120" w:after="120"/>
              <w:rPr>
                <w:rFonts w:asciiTheme="minorHAnsi" w:hAnsiTheme="minorHAnsi" w:cstheme="minorHAnsi"/>
                <w:color w:val="auto"/>
                <w:sz w:val="20"/>
              </w:rPr>
            </w:pPr>
            <w:r w:rsidRPr="008549AA">
              <w:rPr>
                <w:rFonts w:asciiTheme="minorHAnsi" w:hAnsiTheme="minorHAnsi" w:cstheme="minorHAnsi"/>
                <w:color w:val="auto"/>
                <w:sz w:val="20"/>
              </w:rPr>
              <w:t>Expansion of eligible workforce qualifications would increase available educators in geographically isolated areas, as well as the skills and availability of educators available to support families with complex needs. The review of treatment towards retired teachers would likely impact the ability to attract workforce in geographically isolated areas.</w:t>
            </w:r>
          </w:p>
        </w:tc>
        <w:tc>
          <w:tcPr>
            <w:tcW w:w="669" w:type="dxa"/>
          </w:tcPr>
          <w:p w14:paraId="238BCCD7" w14:textId="77777777" w:rsidR="00731FFB" w:rsidRPr="008549AA" w:rsidRDefault="00731FFB"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7FF4C51C" wp14:editId="6D8DA62B">
                  <wp:extent cx="288000" cy="288000"/>
                  <wp:effectExtent l="0" t="0" r="0" b="0"/>
                  <wp:docPr id="308" name="Picture 308"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88000" cy="288000"/>
                          </a:xfrm>
                          <a:prstGeom prst="rect">
                            <a:avLst/>
                          </a:prstGeom>
                        </pic:spPr>
                      </pic:pic>
                    </a:graphicData>
                  </a:graphic>
                </wp:inline>
              </w:drawing>
            </w:r>
          </w:p>
        </w:tc>
        <w:tc>
          <w:tcPr>
            <w:tcW w:w="708" w:type="dxa"/>
          </w:tcPr>
          <w:p w14:paraId="453E1E49" w14:textId="77777777" w:rsidR="00731FFB" w:rsidRPr="008549AA" w:rsidRDefault="00731FFB"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2221912F" wp14:editId="1D99DEFF">
                  <wp:extent cx="288000" cy="288000"/>
                  <wp:effectExtent l="0" t="0" r="0" b="0"/>
                  <wp:docPr id="309" name="Picture 309"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288000" cy="288000"/>
                          </a:xfrm>
                          <a:prstGeom prst="rect">
                            <a:avLst/>
                          </a:prstGeom>
                        </pic:spPr>
                      </pic:pic>
                    </a:graphicData>
                  </a:graphic>
                </wp:inline>
              </w:drawing>
            </w:r>
          </w:p>
        </w:tc>
        <w:tc>
          <w:tcPr>
            <w:tcW w:w="671" w:type="dxa"/>
          </w:tcPr>
          <w:p w14:paraId="7B1CA99D" w14:textId="77777777" w:rsidR="00731FFB" w:rsidRPr="008549AA" w:rsidRDefault="00731FFB"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2459C158" wp14:editId="1C2DA175">
                  <wp:extent cx="289367" cy="289367"/>
                  <wp:effectExtent l="0" t="0" r="0" b="0"/>
                  <wp:docPr id="310" name="Picture 310"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291885" cy="291885"/>
                          </a:xfrm>
                          <a:prstGeom prst="rect">
                            <a:avLst/>
                          </a:prstGeom>
                        </pic:spPr>
                      </pic:pic>
                    </a:graphicData>
                  </a:graphic>
                </wp:inline>
              </w:drawing>
            </w:r>
          </w:p>
        </w:tc>
      </w:tr>
      <w:tr w:rsidR="00731FFB" w:rsidRPr="008549AA" w14:paraId="32A99699" w14:textId="77777777" w:rsidTr="00404A23">
        <w:tc>
          <w:tcPr>
            <w:tcW w:w="7807" w:type="dxa"/>
            <w:shd w:val="clear" w:color="auto" w:fill="E5E5E5" w:themeFill="text2" w:themeFillTint="33"/>
            <w:vAlign w:val="center"/>
          </w:tcPr>
          <w:p w14:paraId="4971B6F3" w14:textId="77777777" w:rsidR="00731FFB" w:rsidRPr="008549AA" w:rsidRDefault="00731FFB"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Outcomes assessment summary</w:t>
            </w:r>
          </w:p>
        </w:tc>
        <w:tc>
          <w:tcPr>
            <w:tcW w:w="2048" w:type="dxa"/>
            <w:gridSpan w:val="3"/>
            <w:shd w:val="clear" w:color="auto" w:fill="175C2C"/>
            <w:vAlign w:val="center"/>
          </w:tcPr>
          <w:p w14:paraId="2A845B26" w14:textId="77777777" w:rsidR="00731FFB" w:rsidRPr="008549AA" w:rsidRDefault="00731FFB" w:rsidP="005E471A">
            <w:pPr>
              <w:pStyle w:val="PwCNormal"/>
              <w:numPr>
                <w:ilvl w:val="0"/>
                <w:numId w:val="0"/>
              </w:numPr>
              <w:spacing w:before="120" w:after="120"/>
              <w:jc w:val="center"/>
              <w:rPr>
                <w:rFonts w:asciiTheme="minorHAnsi" w:hAnsiTheme="minorHAnsi" w:cstheme="minorHAnsi"/>
                <w:color w:val="FF0000"/>
                <w:sz w:val="20"/>
                <w:highlight w:val="yellow"/>
              </w:rPr>
            </w:pPr>
            <w:r w:rsidRPr="008549AA">
              <w:rPr>
                <w:rFonts w:asciiTheme="minorHAnsi" w:hAnsiTheme="minorHAnsi" w:cstheme="minorHAnsi"/>
                <w:b/>
                <w:bCs/>
                <w:color w:val="FFFFFF" w:themeColor="background1"/>
                <w:sz w:val="20"/>
              </w:rPr>
              <w:t>High</w:t>
            </w:r>
            <w:r w:rsidRPr="008549AA">
              <w:rPr>
                <w:rFonts w:asciiTheme="minorHAnsi" w:hAnsiTheme="minorHAnsi" w:cstheme="minorHAnsi"/>
                <w:b/>
                <w:color w:val="FFFFFF" w:themeColor="background1"/>
                <w:sz w:val="20"/>
              </w:rPr>
              <w:t xml:space="preserve"> impact</w:t>
            </w:r>
          </w:p>
        </w:tc>
      </w:tr>
      <w:tr w:rsidR="00731FFB" w:rsidRPr="008549AA" w14:paraId="2B6B7355" w14:textId="77777777" w:rsidTr="00404A23">
        <w:tc>
          <w:tcPr>
            <w:tcW w:w="9855" w:type="dxa"/>
            <w:gridSpan w:val="4"/>
          </w:tcPr>
          <w:p w14:paraId="2F034499" w14:textId="5C0EE15D" w:rsidR="00731FFB" w:rsidRPr="008549AA" w:rsidRDefault="00731FFB"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sz w:val="20"/>
              </w:rPr>
              <w:t xml:space="preserve">This option would improve equity, affordability and accessibility by expanding the number of eligible educators available to provide IHC to families. This would provide flexibility to attract a workforce able to address some of the gaps that exist primarily for families in geographically isolated areas, </w:t>
            </w:r>
            <w:r w:rsidR="00A834C8" w:rsidRPr="008549AA">
              <w:rPr>
                <w:rFonts w:asciiTheme="minorHAnsi" w:hAnsiTheme="minorHAnsi" w:cstheme="minorHAnsi"/>
                <w:sz w:val="20"/>
              </w:rPr>
              <w:t>al</w:t>
            </w:r>
            <w:r w:rsidRPr="008549AA">
              <w:rPr>
                <w:rFonts w:asciiTheme="minorHAnsi" w:hAnsiTheme="minorHAnsi" w:cstheme="minorHAnsi"/>
                <w:sz w:val="20"/>
              </w:rPr>
              <w:t>though it w</w:t>
            </w:r>
            <w:r w:rsidR="00A834C8" w:rsidRPr="008549AA">
              <w:rPr>
                <w:rFonts w:asciiTheme="minorHAnsi" w:hAnsiTheme="minorHAnsi" w:cstheme="minorHAnsi"/>
                <w:sz w:val="20"/>
              </w:rPr>
              <w:t>ould</w:t>
            </w:r>
            <w:r w:rsidRPr="008549AA">
              <w:rPr>
                <w:rFonts w:asciiTheme="minorHAnsi" w:hAnsiTheme="minorHAnsi" w:cstheme="minorHAnsi"/>
                <w:sz w:val="20"/>
              </w:rPr>
              <w:t xml:space="preserve"> also impact families with complex needs and those that work non-standard hours. The quality of IHC and sustainability of the program would likely be strengthened.</w:t>
            </w:r>
          </w:p>
        </w:tc>
      </w:tr>
      <w:tr w:rsidR="00731FFB" w:rsidRPr="008549AA" w14:paraId="0D852ED0" w14:textId="77777777" w:rsidTr="00404A23">
        <w:tc>
          <w:tcPr>
            <w:tcW w:w="7807" w:type="dxa"/>
            <w:shd w:val="clear" w:color="auto" w:fill="E5E5E5" w:themeFill="text2" w:themeFillTint="33"/>
            <w:vAlign w:val="center"/>
          </w:tcPr>
          <w:p w14:paraId="54343DDF" w14:textId="77777777" w:rsidR="00731FFB" w:rsidRPr="008549AA" w:rsidRDefault="00731FFB"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Implementation risk summary</w:t>
            </w:r>
          </w:p>
        </w:tc>
        <w:tc>
          <w:tcPr>
            <w:tcW w:w="2048" w:type="dxa"/>
            <w:gridSpan w:val="3"/>
            <w:shd w:val="clear" w:color="auto" w:fill="175C2C"/>
            <w:vAlign w:val="center"/>
          </w:tcPr>
          <w:p w14:paraId="7336847A" w14:textId="77777777" w:rsidR="00731FFB" w:rsidRPr="008549AA" w:rsidRDefault="00731FFB" w:rsidP="005E471A">
            <w:pPr>
              <w:pStyle w:val="PwCNormal"/>
              <w:numPr>
                <w:ilvl w:val="0"/>
                <w:numId w:val="0"/>
              </w:numPr>
              <w:spacing w:before="120" w:after="120"/>
              <w:jc w:val="center"/>
              <w:rPr>
                <w:rFonts w:asciiTheme="minorHAnsi" w:hAnsiTheme="minorHAnsi" w:cstheme="minorHAnsi"/>
                <w:color w:val="FF0000"/>
                <w:sz w:val="20"/>
                <w:highlight w:val="yellow"/>
              </w:rPr>
            </w:pPr>
            <w:r w:rsidRPr="008549AA">
              <w:rPr>
                <w:rFonts w:asciiTheme="minorHAnsi" w:hAnsiTheme="minorHAnsi" w:cstheme="minorHAnsi"/>
                <w:b/>
                <w:bCs/>
                <w:color w:val="FFFFFF" w:themeColor="background1"/>
                <w:sz w:val="20"/>
              </w:rPr>
              <w:t>Low</w:t>
            </w:r>
            <w:r w:rsidRPr="008549AA">
              <w:rPr>
                <w:rFonts w:asciiTheme="minorHAnsi" w:hAnsiTheme="minorHAnsi" w:cstheme="minorHAnsi"/>
                <w:b/>
                <w:color w:val="FFFFFF" w:themeColor="background1"/>
                <w:sz w:val="20"/>
              </w:rPr>
              <w:t xml:space="preserve"> risk</w:t>
            </w:r>
          </w:p>
        </w:tc>
      </w:tr>
      <w:tr w:rsidR="00731FFB" w:rsidRPr="008549AA" w14:paraId="42C44E18" w14:textId="77777777" w:rsidTr="00404A23">
        <w:tc>
          <w:tcPr>
            <w:tcW w:w="9855" w:type="dxa"/>
            <w:gridSpan w:val="4"/>
          </w:tcPr>
          <w:p w14:paraId="4961AA05" w14:textId="791EA5F5" w:rsidR="00731FFB" w:rsidRPr="008549AA" w:rsidRDefault="00731FFB" w:rsidP="005E471A">
            <w:pPr>
              <w:pStyle w:val="PwCNormal"/>
              <w:numPr>
                <w:ilvl w:val="0"/>
                <w:numId w:val="0"/>
              </w:numPr>
              <w:spacing w:before="120" w:after="120"/>
              <w:rPr>
                <w:rFonts w:asciiTheme="minorHAnsi" w:hAnsiTheme="minorHAnsi" w:cstheme="minorHAnsi"/>
                <w:color w:val="FF0000"/>
                <w:sz w:val="20"/>
              </w:rPr>
            </w:pPr>
            <w:r w:rsidRPr="008549AA">
              <w:rPr>
                <w:rFonts w:asciiTheme="minorHAnsi" w:hAnsiTheme="minorHAnsi" w:cstheme="minorHAnsi"/>
                <w:sz w:val="20"/>
              </w:rPr>
              <w:t xml:space="preserve">Expanding eligible qualifications should be relatively straightforward through minor regulatory changes, though it would be subject to agreements with each state/territory </w:t>
            </w:r>
            <w:r w:rsidR="00A834C8" w:rsidRPr="008549AA">
              <w:rPr>
                <w:rFonts w:asciiTheme="minorHAnsi" w:hAnsiTheme="minorHAnsi" w:cstheme="minorHAnsi"/>
                <w:sz w:val="20"/>
              </w:rPr>
              <w:t>(</w:t>
            </w:r>
            <w:r w:rsidRPr="008549AA">
              <w:rPr>
                <w:rFonts w:asciiTheme="minorHAnsi" w:hAnsiTheme="minorHAnsi" w:cstheme="minorHAnsi"/>
                <w:sz w:val="20"/>
              </w:rPr>
              <w:t>given there is legislation and regulation at the jurisdictional level that relates to workforce requirement</w:t>
            </w:r>
            <w:r w:rsidRPr="008549AA">
              <w:rPr>
                <w:rFonts w:asciiTheme="minorHAnsi" w:hAnsiTheme="minorHAnsi" w:cstheme="minorHAnsi"/>
                <w:color w:val="auto"/>
                <w:sz w:val="20"/>
              </w:rPr>
              <w:t>s</w:t>
            </w:r>
            <w:r w:rsidR="00A834C8" w:rsidRPr="008549AA">
              <w:rPr>
                <w:rFonts w:asciiTheme="minorHAnsi" w:hAnsiTheme="minorHAnsi" w:cstheme="minorHAnsi"/>
                <w:color w:val="auto"/>
                <w:sz w:val="20"/>
              </w:rPr>
              <w:t>)</w:t>
            </w:r>
            <w:r w:rsidRPr="008549AA">
              <w:rPr>
                <w:rFonts w:asciiTheme="minorHAnsi" w:hAnsiTheme="minorHAnsi" w:cstheme="minorHAnsi"/>
                <w:color w:val="auto"/>
                <w:sz w:val="20"/>
              </w:rPr>
              <w:t xml:space="preserve">. </w:t>
            </w:r>
            <w:r w:rsidRPr="008549AA">
              <w:rPr>
                <w:rFonts w:asciiTheme="minorHAnsi" w:hAnsiTheme="minorHAnsi" w:cstheme="minorHAnsi"/>
                <w:sz w:val="20"/>
              </w:rPr>
              <w:t>This should make it possible to implement in the short term.</w:t>
            </w:r>
          </w:p>
        </w:tc>
      </w:tr>
    </w:tbl>
    <w:p w14:paraId="32A7BE1B" w14:textId="012CECA3" w:rsidR="00404A23" w:rsidRDefault="00404A23" w:rsidP="00215F1C">
      <w:pPr>
        <w:pStyle w:val="DocBodyText"/>
      </w:pPr>
    </w:p>
    <w:tbl>
      <w:tblPr>
        <w:tblStyle w:val="PwCColou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4"/>
        <w:gridCol w:w="669"/>
        <w:gridCol w:w="707"/>
        <w:gridCol w:w="671"/>
      </w:tblGrid>
      <w:tr w:rsidR="00731FFB" w:rsidRPr="008549AA" w14:paraId="359E63BA" w14:textId="77777777" w:rsidTr="008549AA">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751" w:type="dxa"/>
            <w:gridSpan w:val="4"/>
            <w:shd w:val="clear" w:color="auto" w:fill="D04A02" w:themeFill="accent1"/>
          </w:tcPr>
          <w:p w14:paraId="2C8CEE4A" w14:textId="77777777" w:rsidR="00731FFB" w:rsidRPr="008549AA" w:rsidRDefault="00731FFB" w:rsidP="005E471A">
            <w:pPr>
              <w:pStyle w:val="PwCNormal"/>
              <w:numPr>
                <w:ilvl w:val="0"/>
                <w:numId w:val="2"/>
              </w:numPr>
              <w:spacing w:before="120" w:after="120"/>
              <w:rPr>
                <w:rFonts w:asciiTheme="minorHAnsi" w:hAnsiTheme="minorHAnsi" w:cstheme="minorHAnsi"/>
                <w:b/>
                <w:bCs/>
                <w:sz w:val="20"/>
                <w:highlight w:val="yellow"/>
              </w:rPr>
            </w:pPr>
            <w:r w:rsidRPr="008549AA">
              <w:rPr>
                <w:rFonts w:asciiTheme="minorHAnsi" w:hAnsiTheme="minorHAnsi" w:cstheme="minorHAnsi"/>
                <w:b/>
                <w:bCs/>
                <w:color w:val="FFFFFF" w:themeColor="background1"/>
                <w:sz w:val="20"/>
              </w:rPr>
              <w:t>Support workforce pipeline for after hours and remote educators</w:t>
            </w:r>
          </w:p>
        </w:tc>
      </w:tr>
      <w:tr w:rsidR="00731FFB" w:rsidRPr="008549AA" w14:paraId="67103D80" w14:textId="77777777" w:rsidTr="008549AA">
        <w:tc>
          <w:tcPr>
            <w:tcW w:w="9751" w:type="dxa"/>
            <w:gridSpan w:val="4"/>
            <w:shd w:val="clear" w:color="auto" w:fill="E5E5E5" w:themeFill="text2" w:themeFillTint="33"/>
          </w:tcPr>
          <w:p w14:paraId="18649E0E" w14:textId="77777777" w:rsidR="00731FFB" w:rsidRPr="008549AA" w:rsidRDefault="00731FFB" w:rsidP="005E471A">
            <w:pPr>
              <w:pStyle w:val="PwCNormal"/>
              <w:numPr>
                <w:ilvl w:val="0"/>
                <w:numId w:val="2"/>
              </w:numPr>
              <w:spacing w:before="120" w:after="120"/>
              <w:rPr>
                <w:rFonts w:asciiTheme="minorHAnsi" w:hAnsiTheme="minorHAnsi" w:cstheme="minorHAnsi"/>
                <w:b/>
                <w:bCs/>
                <w:color w:val="FF0000"/>
                <w:sz w:val="20"/>
                <w:highlight w:val="yellow"/>
              </w:rPr>
            </w:pPr>
            <w:r w:rsidRPr="008549AA">
              <w:rPr>
                <w:rFonts w:asciiTheme="minorHAnsi" w:hAnsiTheme="minorHAnsi" w:cstheme="minorHAnsi"/>
                <w:b/>
                <w:bCs/>
                <w:color w:val="auto"/>
                <w:sz w:val="20"/>
              </w:rPr>
              <w:t>Description</w:t>
            </w:r>
          </w:p>
        </w:tc>
      </w:tr>
      <w:tr w:rsidR="00731FFB" w:rsidRPr="008549AA" w14:paraId="4F347617" w14:textId="77777777" w:rsidTr="008549AA">
        <w:tc>
          <w:tcPr>
            <w:tcW w:w="9751" w:type="dxa"/>
            <w:gridSpan w:val="4"/>
          </w:tcPr>
          <w:p w14:paraId="2F3251C0" w14:textId="77777777" w:rsidR="007D7BF5" w:rsidRPr="008549AA" w:rsidRDefault="00A834C8" w:rsidP="009761D5">
            <w:pPr>
              <w:pStyle w:val="PwCNormal"/>
              <w:numPr>
                <w:ilvl w:val="0"/>
                <w:numId w:val="31"/>
              </w:numPr>
              <w:spacing w:before="120"/>
              <w:ind w:left="360"/>
              <w:rPr>
                <w:rFonts w:asciiTheme="minorHAnsi" w:hAnsiTheme="minorHAnsi" w:cstheme="minorHAnsi"/>
                <w:color w:val="auto"/>
                <w:sz w:val="20"/>
              </w:rPr>
            </w:pPr>
            <w:r w:rsidRPr="008549AA">
              <w:rPr>
                <w:rFonts w:asciiTheme="minorHAnsi" w:hAnsiTheme="minorHAnsi" w:cstheme="minorHAnsi"/>
                <w:color w:val="auto"/>
                <w:sz w:val="20"/>
              </w:rPr>
              <w:t>Have</w:t>
            </w:r>
            <w:r w:rsidR="00731FFB" w:rsidRPr="008549AA">
              <w:rPr>
                <w:rFonts w:asciiTheme="minorHAnsi" w:hAnsiTheme="minorHAnsi" w:cstheme="minorHAnsi"/>
                <w:color w:val="auto"/>
                <w:sz w:val="20"/>
              </w:rPr>
              <w:t xml:space="preserve"> IHC recognised as an accepted service for educators to </w:t>
            </w:r>
            <w:r w:rsidRPr="008549AA">
              <w:rPr>
                <w:rFonts w:asciiTheme="minorHAnsi" w:hAnsiTheme="minorHAnsi" w:cstheme="minorHAnsi"/>
                <w:color w:val="auto"/>
                <w:sz w:val="20"/>
              </w:rPr>
              <w:t xml:space="preserve">undertake </w:t>
            </w:r>
            <w:r w:rsidR="00731FFB" w:rsidRPr="008549AA">
              <w:rPr>
                <w:rFonts w:asciiTheme="minorHAnsi" w:hAnsiTheme="minorHAnsi" w:cstheme="minorHAnsi"/>
                <w:color w:val="auto"/>
                <w:sz w:val="20"/>
              </w:rPr>
              <w:t>practical hours to complete qualifications</w:t>
            </w:r>
          </w:p>
          <w:p w14:paraId="2478F3FA" w14:textId="3298E913" w:rsidR="00731FFB" w:rsidRPr="008549AA" w:rsidRDefault="00731FFB" w:rsidP="009761D5">
            <w:pPr>
              <w:pStyle w:val="PwCNormal"/>
              <w:numPr>
                <w:ilvl w:val="0"/>
                <w:numId w:val="31"/>
              </w:numPr>
              <w:spacing w:before="120" w:after="120"/>
              <w:ind w:left="360"/>
              <w:rPr>
                <w:rFonts w:asciiTheme="minorHAnsi" w:hAnsiTheme="minorHAnsi" w:cstheme="minorHAnsi"/>
                <w:color w:val="auto"/>
                <w:sz w:val="20"/>
              </w:rPr>
            </w:pPr>
            <w:r w:rsidRPr="008549AA">
              <w:rPr>
                <w:rFonts w:asciiTheme="minorHAnsi" w:hAnsiTheme="minorHAnsi" w:cstheme="minorHAnsi"/>
                <w:sz w:val="20"/>
              </w:rPr>
              <w:t xml:space="preserve">Engage experienced and willing ECEC staff to assist in the backfilling Certificate III participants, allowing educators to complete </w:t>
            </w:r>
            <w:r w:rsidR="00A834C8" w:rsidRPr="008549AA">
              <w:rPr>
                <w:rFonts w:asciiTheme="minorHAnsi" w:hAnsiTheme="minorHAnsi" w:cstheme="minorHAnsi"/>
                <w:sz w:val="20"/>
              </w:rPr>
              <w:t>their</w:t>
            </w:r>
            <w:r w:rsidRPr="008549AA">
              <w:rPr>
                <w:rFonts w:asciiTheme="minorHAnsi" w:hAnsiTheme="minorHAnsi" w:cstheme="minorHAnsi"/>
                <w:sz w:val="20"/>
              </w:rPr>
              <w:t xml:space="preserve"> qualifications</w:t>
            </w:r>
          </w:p>
        </w:tc>
      </w:tr>
      <w:tr w:rsidR="00731FFB" w:rsidRPr="008549AA" w14:paraId="52F5168C" w14:textId="77777777" w:rsidTr="008549AA">
        <w:tc>
          <w:tcPr>
            <w:tcW w:w="9751" w:type="dxa"/>
            <w:gridSpan w:val="4"/>
            <w:shd w:val="clear" w:color="auto" w:fill="E5E5E5" w:themeFill="text2" w:themeFillTint="33"/>
          </w:tcPr>
          <w:p w14:paraId="2AA33A02" w14:textId="77777777" w:rsidR="00731FFB" w:rsidRPr="008549AA" w:rsidRDefault="00731FFB" w:rsidP="005E471A">
            <w:pPr>
              <w:pStyle w:val="PwCNormal"/>
              <w:numPr>
                <w:ilvl w:val="0"/>
                <w:numId w:val="2"/>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Impacted families</w:t>
            </w:r>
          </w:p>
        </w:tc>
      </w:tr>
      <w:tr w:rsidR="00731FFB" w:rsidRPr="008549AA" w14:paraId="1E24E776" w14:textId="77777777" w:rsidTr="008549AA">
        <w:tc>
          <w:tcPr>
            <w:tcW w:w="7704" w:type="dxa"/>
          </w:tcPr>
          <w:p w14:paraId="1F6EDF10" w14:textId="77777777" w:rsidR="00731FFB" w:rsidRPr="008549AA" w:rsidRDefault="00731FFB" w:rsidP="005E471A">
            <w:pPr>
              <w:pStyle w:val="PwCNormal"/>
              <w:numPr>
                <w:ilvl w:val="0"/>
                <w:numId w:val="0"/>
              </w:numPr>
              <w:spacing w:before="120" w:after="120"/>
              <w:rPr>
                <w:rFonts w:asciiTheme="minorHAnsi" w:hAnsiTheme="minorHAnsi" w:cstheme="minorHAnsi"/>
                <w:color w:val="auto"/>
                <w:sz w:val="20"/>
              </w:rPr>
            </w:pPr>
            <w:r w:rsidRPr="008549AA">
              <w:rPr>
                <w:rFonts w:asciiTheme="minorHAnsi" w:hAnsiTheme="minorHAnsi" w:cstheme="minorHAnsi"/>
                <w:color w:val="auto"/>
                <w:sz w:val="20"/>
              </w:rPr>
              <w:t xml:space="preserve">Expansion of eligible workforce participants and entrants would increase available educators in geographically isolated areas, as well as the availability of educators available to support families with complex needs and non-standard hours. </w:t>
            </w:r>
          </w:p>
        </w:tc>
        <w:tc>
          <w:tcPr>
            <w:tcW w:w="669" w:type="dxa"/>
          </w:tcPr>
          <w:p w14:paraId="7B70395B" w14:textId="77777777" w:rsidR="00731FFB" w:rsidRPr="008549AA" w:rsidRDefault="00731FFB"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4FFA1873" wp14:editId="6C000C37">
                  <wp:extent cx="288000" cy="288000"/>
                  <wp:effectExtent l="0" t="0" r="0" b="0"/>
                  <wp:docPr id="311" name="Picture 311"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88000" cy="288000"/>
                          </a:xfrm>
                          <a:prstGeom prst="rect">
                            <a:avLst/>
                          </a:prstGeom>
                        </pic:spPr>
                      </pic:pic>
                    </a:graphicData>
                  </a:graphic>
                </wp:inline>
              </w:drawing>
            </w:r>
          </w:p>
        </w:tc>
        <w:tc>
          <w:tcPr>
            <w:tcW w:w="707" w:type="dxa"/>
          </w:tcPr>
          <w:p w14:paraId="1B556261" w14:textId="77777777" w:rsidR="00731FFB" w:rsidRPr="008549AA" w:rsidRDefault="00731FFB"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420026AF" wp14:editId="49188489">
                  <wp:extent cx="288000" cy="288000"/>
                  <wp:effectExtent l="0" t="0" r="0" b="0"/>
                  <wp:docPr id="312" name="Picture 312"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288000" cy="288000"/>
                          </a:xfrm>
                          <a:prstGeom prst="rect">
                            <a:avLst/>
                          </a:prstGeom>
                        </pic:spPr>
                      </pic:pic>
                    </a:graphicData>
                  </a:graphic>
                </wp:inline>
              </w:drawing>
            </w:r>
          </w:p>
        </w:tc>
        <w:tc>
          <w:tcPr>
            <w:tcW w:w="671" w:type="dxa"/>
          </w:tcPr>
          <w:p w14:paraId="35ABE2B4" w14:textId="77777777" w:rsidR="00731FFB" w:rsidRPr="008549AA" w:rsidRDefault="00731FFB"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0E0748C7" wp14:editId="6579C534">
                  <wp:extent cx="289367" cy="289367"/>
                  <wp:effectExtent l="0" t="0" r="0" b="0"/>
                  <wp:docPr id="313" name="Picture 313"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291885" cy="291885"/>
                          </a:xfrm>
                          <a:prstGeom prst="rect">
                            <a:avLst/>
                          </a:prstGeom>
                        </pic:spPr>
                      </pic:pic>
                    </a:graphicData>
                  </a:graphic>
                </wp:inline>
              </w:drawing>
            </w:r>
          </w:p>
        </w:tc>
      </w:tr>
      <w:tr w:rsidR="00731FFB" w:rsidRPr="008549AA" w14:paraId="13E8D624" w14:textId="77777777" w:rsidTr="008549AA">
        <w:tc>
          <w:tcPr>
            <w:tcW w:w="7704" w:type="dxa"/>
            <w:shd w:val="clear" w:color="auto" w:fill="E5E5E5" w:themeFill="text2" w:themeFillTint="33"/>
            <w:vAlign w:val="center"/>
          </w:tcPr>
          <w:p w14:paraId="08D06C11" w14:textId="77777777" w:rsidR="00731FFB" w:rsidRPr="008549AA" w:rsidRDefault="00731FFB"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Outcomes assessment summary</w:t>
            </w:r>
          </w:p>
        </w:tc>
        <w:tc>
          <w:tcPr>
            <w:tcW w:w="2047" w:type="dxa"/>
            <w:gridSpan w:val="3"/>
            <w:shd w:val="clear" w:color="auto" w:fill="D04A02" w:themeFill="accent1"/>
            <w:vAlign w:val="center"/>
          </w:tcPr>
          <w:p w14:paraId="3ECE859E" w14:textId="77777777" w:rsidR="00731FFB" w:rsidRPr="008549AA" w:rsidRDefault="00731FFB" w:rsidP="005E471A">
            <w:pPr>
              <w:pStyle w:val="PwCNormal"/>
              <w:numPr>
                <w:ilvl w:val="0"/>
                <w:numId w:val="0"/>
              </w:numPr>
              <w:spacing w:before="120" w:after="120"/>
              <w:jc w:val="center"/>
              <w:rPr>
                <w:rFonts w:asciiTheme="minorHAnsi" w:hAnsiTheme="minorHAnsi" w:cstheme="minorHAnsi"/>
                <w:color w:val="FF0000"/>
                <w:sz w:val="20"/>
                <w:highlight w:val="yellow"/>
              </w:rPr>
            </w:pPr>
            <w:r w:rsidRPr="008549AA">
              <w:rPr>
                <w:rFonts w:asciiTheme="minorHAnsi" w:hAnsiTheme="minorHAnsi" w:cstheme="minorHAnsi"/>
                <w:b/>
                <w:bCs/>
                <w:color w:val="FFFFFF" w:themeColor="background1"/>
                <w:sz w:val="20"/>
              </w:rPr>
              <w:t>Moderate</w:t>
            </w:r>
            <w:r w:rsidRPr="008549AA">
              <w:rPr>
                <w:rFonts w:asciiTheme="minorHAnsi" w:hAnsiTheme="minorHAnsi" w:cstheme="minorHAnsi"/>
                <w:b/>
                <w:color w:val="FFFFFF" w:themeColor="background1"/>
                <w:sz w:val="20"/>
              </w:rPr>
              <w:t xml:space="preserve"> impact</w:t>
            </w:r>
          </w:p>
        </w:tc>
      </w:tr>
      <w:tr w:rsidR="00731FFB" w:rsidRPr="008549AA" w14:paraId="561AC8D4" w14:textId="77777777" w:rsidTr="008549AA">
        <w:tc>
          <w:tcPr>
            <w:tcW w:w="9751" w:type="dxa"/>
            <w:gridSpan w:val="4"/>
          </w:tcPr>
          <w:p w14:paraId="666BF173" w14:textId="77777777" w:rsidR="00731FFB" w:rsidRPr="008549AA" w:rsidRDefault="00731FFB"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sz w:val="20"/>
              </w:rPr>
              <w:t>While increasing the available workforce would improve equity, affordability and accessibility for families, particularly in geographically isolated areas, this option is unlikely to attract large numbers of additional educators to provide IHC. Similarly, the backfill of educators to enable completion of placements will not lead to significant impact unless a large number of potential educators are attracted to delivering IHC.</w:t>
            </w:r>
          </w:p>
        </w:tc>
      </w:tr>
      <w:tr w:rsidR="00731FFB" w:rsidRPr="008549AA" w14:paraId="55FFA019" w14:textId="77777777" w:rsidTr="008549AA">
        <w:tc>
          <w:tcPr>
            <w:tcW w:w="7704" w:type="dxa"/>
            <w:shd w:val="clear" w:color="auto" w:fill="E5E5E5" w:themeFill="text2" w:themeFillTint="33"/>
            <w:vAlign w:val="center"/>
          </w:tcPr>
          <w:p w14:paraId="5C97571D" w14:textId="77777777" w:rsidR="00731FFB" w:rsidRPr="008549AA" w:rsidRDefault="00731FFB"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lastRenderedPageBreak/>
              <w:t>Implementation risk summary</w:t>
            </w:r>
          </w:p>
        </w:tc>
        <w:tc>
          <w:tcPr>
            <w:tcW w:w="2047" w:type="dxa"/>
            <w:gridSpan w:val="3"/>
            <w:shd w:val="clear" w:color="auto" w:fill="E0301E" w:themeFill="accent3"/>
            <w:vAlign w:val="center"/>
          </w:tcPr>
          <w:p w14:paraId="34F5D52B" w14:textId="77777777" w:rsidR="00731FFB" w:rsidRPr="008549AA" w:rsidRDefault="00731FFB" w:rsidP="005E471A">
            <w:pPr>
              <w:pStyle w:val="PwCNormal"/>
              <w:numPr>
                <w:ilvl w:val="0"/>
                <w:numId w:val="0"/>
              </w:numPr>
              <w:spacing w:before="120" w:after="120"/>
              <w:jc w:val="center"/>
              <w:rPr>
                <w:rFonts w:asciiTheme="minorHAnsi" w:hAnsiTheme="minorHAnsi" w:cstheme="minorHAnsi"/>
                <w:color w:val="FF0000"/>
                <w:sz w:val="20"/>
                <w:highlight w:val="yellow"/>
              </w:rPr>
            </w:pPr>
            <w:r w:rsidRPr="008549AA">
              <w:rPr>
                <w:rFonts w:asciiTheme="minorHAnsi" w:hAnsiTheme="minorHAnsi" w:cstheme="minorHAnsi"/>
                <w:b/>
                <w:bCs/>
                <w:color w:val="FFFFFF" w:themeColor="background1"/>
                <w:sz w:val="20"/>
              </w:rPr>
              <w:t>High</w:t>
            </w:r>
            <w:r w:rsidRPr="008549AA">
              <w:rPr>
                <w:rFonts w:asciiTheme="minorHAnsi" w:hAnsiTheme="minorHAnsi" w:cstheme="minorHAnsi"/>
                <w:b/>
                <w:color w:val="FFFFFF" w:themeColor="background1"/>
                <w:sz w:val="20"/>
              </w:rPr>
              <w:t xml:space="preserve"> risk</w:t>
            </w:r>
          </w:p>
        </w:tc>
      </w:tr>
      <w:tr w:rsidR="00731FFB" w:rsidRPr="008549AA" w14:paraId="048DD391" w14:textId="77777777" w:rsidTr="008549AA">
        <w:tc>
          <w:tcPr>
            <w:tcW w:w="9751" w:type="dxa"/>
            <w:gridSpan w:val="4"/>
          </w:tcPr>
          <w:p w14:paraId="4AADB1E1" w14:textId="77777777" w:rsidR="00731FFB" w:rsidRPr="008549AA" w:rsidRDefault="00731FFB"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sz w:val="20"/>
              </w:rPr>
              <w:t>Implementation would require changes to regulation that may be difficult to achieve as well as require sector buy-in. While the intent is to increase workforce over the long term it may be challenging to implement given the likely difficulties with identifying and arranging suitable backfill staff.</w:t>
            </w:r>
          </w:p>
        </w:tc>
      </w:tr>
    </w:tbl>
    <w:p w14:paraId="4D683695" w14:textId="148199FA" w:rsidR="00F92795" w:rsidRDefault="00F92795">
      <w:pPr>
        <w:spacing w:before="0" w:line="281" w:lineRule="auto"/>
        <w:rPr>
          <w:sz w:val="22"/>
          <w:szCs w:val="22"/>
        </w:rPr>
      </w:pPr>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9"/>
        <w:gridCol w:w="669"/>
        <w:gridCol w:w="707"/>
        <w:gridCol w:w="671"/>
      </w:tblGrid>
      <w:tr w:rsidR="002313AF" w:rsidRPr="008549AA" w14:paraId="0AEF0B4B" w14:textId="77777777" w:rsidTr="00404A23">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736" w:type="dxa"/>
            <w:gridSpan w:val="4"/>
            <w:shd w:val="clear" w:color="auto" w:fill="D04A02" w:themeFill="accent1"/>
          </w:tcPr>
          <w:p w14:paraId="6A4F9AB5" w14:textId="77777777" w:rsidR="002313AF" w:rsidRPr="008549AA" w:rsidRDefault="002313AF" w:rsidP="005E471A">
            <w:pPr>
              <w:pStyle w:val="PwCNormal"/>
              <w:numPr>
                <w:ilvl w:val="0"/>
                <w:numId w:val="2"/>
              </w:numPr>
              <w:spacing w:before="120" w:after="120"/>
              <w:rPr>
                <w:rFonts w:asciiTheme="minorHAnsi" w:hAnsiTheme="minorHAnsi" w:cstheme="minorHAnsi"/>
                <w:b/>
                <w:bCs/>
                <w:sz w:val="20"/>
                <w:highlight w:val="yellow"/>
              </w:rPr>
            </w:pPr>
            <w:r w:rsidRPr="008549AA">
              <w:rPr>
                <w:rFonts w:asciiTheme="minorHAnsi" w:hAnsiTheme="minorHAnsi" w:cstheme="minorHAnsi"/>
                <w:b/>
                <w:bCs/>
                <w:color w:val="FFFFFF" w:themeColor="background1"/>
                <w:sz w:val="20"/>
              </w:rPr>
              <w:t>Broaden the pool of available educators</w:t>
            </w:r>
          </w:p>
        </w:tc>
      </w:tr>
      <w:tr w:rsidR="002313AF" w:rsidRPr="008549AA" w14:paraId="441BB6F8" w14:textId="77777777" w:rsidTr="00404A23">
        <w:tc>
          <w:tcPr>
            <w:tcW w:w="9736" w:type="dxa"/>
            <w:gridSpan w:val="4"/>
            <w:shd w:val="clear" w:color="auto" w:fill="E5E5E5" w:themeFill="text2" w:themeFillTint="33"/>
          </w:tcPr>
          <w:p w14:paraId="0F90E130" w14:textId="77777777" w:rsidR="002313AF" w:rsidRPr="008549AA" w:rsidRDefault="002313AF" w:rsidP="005E471A">
            <w:pPr>
              <w:pStyle w:val="PwCNormal"/>
              <w:numPr>
                <w:ilvl w:val="0"/>
                <w:numId w:val="2"/>
              </w:numPr>
              <w:spacing w:before="120" w:after="120"/>
              <w:rPr>
                <w:rFonts w:asciiTheme="minorHAnsi" w:hAnsiTheme="minorHAnsi" w:cstheme="minorHAnsi"/>
                <w:b/>
                <w:bCs/>
                <w:color w:val="FF0000"/>
                <w:sz w:val="20"/>
                <w:highlight w:val="yellow"/>
              </w:rPr>
            </w:pPr>
            <w:r w:rsidRPr="008549AA">
              <w:rPr>
                <w:rFonts w:asciiTheme="minorHAnsi" w:hAnsiTheme="minorHAnsi" w:cstheme="minorHAnsi"/>
                <w:b/>
                <w:bCs/>
                <w:color w:val="auto"/>
                <w:sz w:val="20"/>
              </w:rPr>
              <w:t>Description</w:t>
            </w:r>
          </w:p>
        </w:tc>
      </w:tr>
      <w:tr w:rsidR="002313AF" w:rsidRPr="008549AA" w14:paraId="7D0583E7" w14:textId="77777777" w:rsidTr="00404A23">
        <w:tc>
          <w:tcPr>
            <w:tcW w:w="9736" w:type="dxa"/>
            <w:gridSpan w:val="4"/>
          </w:tcPr>
          <w:p w14:paraId="76471B56" w14:textId="77777777" w:rsidR="002313AF" w:rsidRPr="008549AA" w:rsidRDefault="002313AF" w:rsidP="00911A40">
            <w:pPr>
              <w:pStyle w:val="PwCNormal"/>
              <w:numPr>
                <w:ilvl w:val="0"/>
                <w:numId w:val="32"/>
              </w:numPr>
              <w:spacing w:before="120" w:after="120"/>
              <w:ind w:left="360"/>
              <w:rPr>
                <w:rFonts w:asciiTheme="minorHAnsi" w:hAnsiTheme="minorHAnsi" w:cstheme="minorHAnsi"/>
                <w:color w:val="auto"/>
                <w:sz w:val="20"/>
              </w:rPr>
            </w:pPr>
            <w:r w:rsidRPr="008549AA">
              <w:rPr>
                <w:rFonts w:asciiTheme="minorHAnsi" w:hAnsiTheme="minorHAnsi" w:cstheme="minorHAnsi"/>
                <w:color w:val="auto"/>
                <w:sz w:val="20"/>
              </w:rPr>
              <w:t>Leverage educators across CBC/FDC and IHC to encourage working across settings</w:t>
            </w:r>
          </w:p>
          <w:p w14:paraId="20F0AAE1" w14:textId="77777777" w:rsidR="002313AF" w:rsidRPr="008549AA" w:rsidRDefault="002313AF" w:rsidP="00911A40">
            <w:pPr>
              <w:pStyle w:val="PwCNormal"/>
              <w:numPr>
                <w:ilvl w:val="0"/>
                <w:numId w:val="32"/>
              </w:numPr>
              <w:spacing w:before="120" w:after="120"/>
              <w:ind w:left="360"/>
              <w:rPr>
                <w:rFonts w:asciiTheme="minorHAnsi" w:hAnsiTheme="minorHAnsi" w:cstheme="minorHAnsi"/>
                <w:color w:val="auto"/>
                <w:sz w:val="20"/>
              </w:rPr>
            </w:pPr>
            <w:r w:rsidRPr="008549AA">
              <w:rPr>
                <w:rFonts w:asciiTheme="minorHAnsi" w:hAnsiTheme="minorHAnsi" w:cstheme="minorHAnsi"/>
                <w:color w:val="auto"/>
                <w:sz w:val="20"/>
              </w:rPr>
              <w:t>Incentive payments for educators for working with specific cohorts with waitlists/limited supply of educators (i.e. remote/out of hours)</w:t>
            </w:r>
          </w:p>
          <w:p w14:paraId="4BD83E4C" w14:textId="77777777" w:rsidR="002313AF" w:rsidRPr="008549AA" w:rsidRDefault="002313AF" w:rsidP="00911A40">
            <w:pPr>
              <w:pStyle w:val="PwCNormal"/>
              <w:numPr>
                <w:ilvl w:val="0"/>
                <w:numId w:val="32"/>
              </w:numPr>
              <w:spacing w:before="120" w:after="120"/>
              <w:ind w:left="360"/>
              <w:rPr>
                <w:rFonts w:asciiTheme="minorHAnsi" w:hAnsiTheme="minorHAnsi" w:cstheme="minorHAnsi"/>
                <w:color w:val="auto"/>
                <w:sz w:val="20"/>
              </w:rPr>
            </w:pPr>
            <w:r w:rsidRPr="008549AA">
              <w:rPr>
                <w:rFonts w:asciiTheme="minorHAnsi" w:hAnsiTheme="minorHAnsi" w:cstheme="minorHAnsi"/>
                <w:color w:val="auto"/>
                <w:sz w:val="20"/>
              </w:rPr>
              <w:t>Incentivise educators to take up IHC - e.g. educators only working part-time at CBDC may have spare capacity to provide IHC, including some nights/weekends</w:t>
            </w:r>
          </w:p>
          <w:p w14:paraId="01B0F722" w14:textId="1956CBB8" w:rsidR="002313AF" w:rsidRPr="008549AA" w:rsidRDefault="002313AF" w:rsidP="00911A40">
            <w:pPr>
              <w:pStyle w:val="PwCNormal"/>
              <w:numPr>
                <w:ilvl w:val="0"/>
                <w:numId w:val="32"/>
              </w:numPr>
              <w:spacing w:before="120" w:after="120"/>
              <w:ind w:left="360"/>
              <w:rPr>
                <w:rFonts w:asciiTheme="minorHAnsi" w:hAnsiTheme="minorHAnsi" w:cstheme="minorHAnsi"/>
                <w:color w:val="auto"/>
                <w:sz w:val="20"/>
              </w:rPr>
            </w:pPr>
            <w:r w:rsidRPr="008549AA">
              <w:rPr>
                <w:rFonts w:asciiTheme="minorHAnsi" w:hAnsiTheme="minorHAnsi" w:cstheme="minorHAnsi"/>
                <w:sz w:val="20"/>
              </w:rPr>
              <w:t>Expansion of working visas to allow for educators to enter Australia with a similar qualification from overseas</w:t>
            </w:r>
          </w:p>
        </w:tc>
      </w:tr>
      <w:tr w:rsidR="002313AF" w:rsidRPr="008549AA" w14:paraId="0327E299" w14:textId="77777777" w:rsidTr="00404A23">
        <w:trPr>
          <w:trHeight w:val="50"/>
        </w:trPr>
        <w:tc>
          <w:tcPr>
            <w:tcW w:w="9736" w:type="dxa"/>
            <w:gridSpan w:val="4"/>
            <w:shd w:val="clear" w:color="auto" w:fill="E5E5E5" w:themeFill="text2" w:themeFillTint="33"/>
          </w:tcPr>
          <w:p w14:paraId="57A229BB" w14:textId="77777777" w:rsidR="002313AF" w:rsidRPr="008549AA" w:rsidRDefault="002313AF" w:rsidP="005E471A">
            <w:pPr>
              <w:pStyle w:val="PwCNormal"/>
              <w:numPr>
                <w:ilvl w:val="0"/>
                <w:numId w:val="2"/>
              </w:numPr>
              <w:spacing w:before="120" w:after="120"/>
              <w:rPr>
                <w:rFonts w:asciiTheme="minorHAnsi" w:hAnsiTheme="minorHAnsi" w:cstheme="minorHAnsi"/>
                <w:color w:val="FF0000"/>
                <w:sz w:val="20"/>
              </w:rPr>
            </w:pPr>
            <w:r w:rsidRPr="008549AA">
              <w:rPr>
                <w:rFonts w:asciiTheme="minorHAnsi" w:hAnsiTheme="minorHAnsi" w:cstheme="minorHAnsi"/>
                <w:b/>
                <w:bCs/>
                <w:color w:val="auto"/>
                <w:sz w:val="20"/>
              </w:rPr>
              <w:t>Impacted families</w:t>
            </w:r>
          </w:p>
        </w:tc>
      </w:tr>
      <w:tr w:rsidR="002313AF" w:rsidRPr="008549AA" w14:paraId="4FAF8981" w14:textId="77777777" w:rsidTr="00404A23">
        <w:trPr>
          <w:trHeight w:val="70"/>
        </w:trPr>
        <w:tc>
          <w:tcPr>
            <w:tcW w:w="7689" w:type="dxa"/>
          </w:tcPr>
          <w:p w14:paraId="2C2CBE22" w14:textId="77777777" w:rsidR="002313AF" w:rsidRPr="008549AA" w:rsidRDefault="002313AF" w:rsidP="005E471A">
            <w:pPr>
              <w:pStyle w:val="PwCNormal"/>
              <w:numPr>
                <w:ilvl w:val="0"/>
                <w:numId w:val="0"/>
              </w:numPr>
              <w:spacing w:before="120" w:after="120"/>
              <w:rPr>
                <w:rFonts w:asciiTheme="minorHAnsi" w:hAnsiTheme="minorHAnsi" w:cstheme="minorHAnsi"/>
                <w:color w:val="auto"/>
                <w:sz w:val="20"/>
              </w:rPr>
            </w:pPr>
            <w:r w:rsidRPr="008549AA">
              <w:rPr>
                <w:rFonts w:asciiTheme="minorHAnsi" w:hAnsiTheme="minorHAnsi" w:cstheme="minorHAnsi"/>
                <w:sz w:val="20"/>
              </w:rPr>
              <w:t>This option would most significantly impact families that are geographically isolated, as well as those that work non-standard hours.</w:t>
            </w:r>
          </w:p>
        </w:tc>
        <w:tc>
          <w:tcPr>
            <w:tcW w:w="669" w:type="dxa"/>
          </w:tcPr>
          <w:p w14:paraId="4B86DAD2" w14:textId="77777777" w:rsidR="002313AF" w:rsidRPr="008549AA" w:rsidRDefault="002313AF"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0133A0AE" wp14:editId="0D94EFD8">
                  <wp:extent cx="288000" cy="288000"/>
                  <wp:effectExtent l="0" t="0" r="0" b="0"/>
                  <wp:docPr id="317" name="Picture 317"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88000" cy="288000"/>
                          </a:xfrm>
                          <a:prstGeom prst="rect">
                            <a:avLst/>
                          </a:prstGeom>
                        </pic:spPr>
                      </pic:pic>
                    </a:graphicData>
                  </a:graphic>
                </wp:inline>
              </w:drawing>
            </w:r>
          </w:p>
        </w:tc>
        <w:tc>
          <w:tcPr>
            <w:tcW w:w="707" w:type="dxa"/>
          </w:tcPr>
          <w:p w14:paraId="0F858B2D" w14:textId="77777777" w:rsidR="002313AF" w:rsidRPr="008549AA" w:rsidRDefault="002313AF"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25F99A41" wp14:editId="2AA718F4">
                  <wp:extent cx="288000" cy="288000"/>
                  <wp:effectExtent l="0" t="0" r="0" b="0"/>
                  <wp:docPr id="318" name="Picture 318"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288000" cy="288000"/>
                          </a:xfrm>
                          <a:prstGeom prst="rect">
                            <a:avLst/>
                          </a:prstGeom>
                        </pic:spPr>
                      </pic:pic>
                    </a:graphicData>
                  </a:graphic>
                </wp:inline>
              </w:drawing>
            </w:r>
          </w:p>
        </w:tc>
        <w:tc>
          <w:tcPr>
            <w:tcW w:w="671" w:type="dxa"/>
          </w:tcPr>
          <w:p w14:paraId="1138EB82" w14:textId="77777777" w:rsidR="002313AF" w:rsidRPr="008549AA" w:rsidRDefault="002313AF"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470EEF6B" wp14:editId="4DD4555E">
                  <wp:extent cx="289367" cy="289367"/>
                  <wp:effectExtent l="0" t="0" r="0" b="0"/>
                  <wp:docPr id="319" name="Picture 319"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291885" cy="291885"/>
                          </a:xfrm>
                          <a:prstGeom prst="rect">
                            <a:avLst/>
                          </a:prstGeom>
                        </pic:spPr>
                      </pic:pic>
                    </a:graphicData>
                  </a:graphic>
                </wp:inline>
              </w:drawing>
            </w:r>
          </w:p>
        </w:tc>
      </w:tr>
      <w:tr w:rsidR="002313AF" w:rsidRPr="008549AA" w14:paraId="0DFA14C4" w14:textId="77777777" w:rsidTr="00404A23">
        <w:tc>
          <w:tcPr>
            <w:tcW w:w="7689" w:type="dxa"/>
            <w:shd w:val="clear" w:color="auto" w:fill="E5E5E5" w:themeFill="text2" w:themeFillTint="33"/>
            <w:vAlign w:val="center"/>
          </w:tcPr>
          <w:p w14:paraId="1C3B0B4F" w14:textId="77777777" w:rsidR="002313AF" w:rsidRPr="008549AA" w:rsidRDefault="002313AF" w:rsidP="00404A23">
            <w:pPr>
              <w:pStyle w:val="PwCNormal"/>
              <w:keepNext/>
              <w:keepLines/>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Outcomes assessment summary</w:t>
            </w:r>
          </w:p>
        </w:tc>
        <w:tc>
          <w:tcPr>
            <w:tcW w:w="2047" w:type="dxa"/>
            <w:gridSpan w:val="3"/>
            <w:shd w:val="clear" w:color="auto" w:fill="D04A02" w:themeFill="accent1"/>
            <w:vAlign w:val="center"/>
          </w:tcPr>
          <w:p w14:paraId="202D8954" w14:textId="77777777" w:rsidR="002313AF" w:rsidRPr="008549AA" w:rsidRDefault="002313AF" w:rsidP="00404A23">
            <w:pPr>
              <w:pStyle w:val="PwCNormal"/>
              <w:keepNext/>
              <w:keepLines/>
              <w:numPr>
                <w:ilvl w:val="0"/>
                <w:numId w:val="0"/>
              </w:numPr>
              <w:spacing w:before="120" w:after="120"/>
              <w:jc w:val="center"/>
              <w:rPr>
                <w:rFonts w:asciiTheme="minorHAnsi" w:hAnsiTheme="minorHAnsi" w:cstheme="minorHAnsi"/>
                <w:color w:val="FF0000"/>
                <w:sz w:val="20"/>
                <w:highlight w:val="yellow"/>
              </w:rPr>
            </w:pPr>
            <w:r w:rsidRPr="008549AA">
              <w:rPr>
                <w:rFonts w:asciiTheme="minorHAnsi" w:hAnsiTheme="minorHAnsi" w:cstheme="minorHAnsi"/>
                <w:b/>
                <w:color w:val="FFFFFF" w:themeColor="background1"/>
                <w:sz w:val="20"/>
              </w:rPr>
              <w:t>Moderate impact</w:t>
            </w:r>
          </w:p>
        </w:tc>
      </w:tr>
      <w:tr w:rsidR="002313AF" w:rsidRPr="008549AA" w14:paraId="3CEBB1E3" w14:textId="77777777" w:rsidTr="00404A23">
        <w:tc>
          <w:tcPr>
            <w:tcW w:w="9736" w:type="dxa"/>
            <w:gridSpan w:val="4"/>
          </w:tcPr>
          <w:p w14:paraId="4DFB4DFD" w14:textId="3894F9BA" w:rsidR="002313AF" w:rsidRPr="008549AA" w:rsidRDefault="002313AF" w:rsidP="005E471A">
            <w:pPr>
              <w:pStyle w:val="PwCNormal"/>
              <w:numPr>
                <w:ilvl w:val="0"/>
                <w:numId w:val="0"/>
              </w:numPr>
              <w:spacing w:before="120" w:after="120"/>
              <w:rPr>
                <w:rFonts w:asciiTheme="minorHAnsi" w:hAnsiTheme="minorHAnsi" w:cstheme="minorHAnsi"/>
                <w:color w:val="FF0000"/>
                <w:sz w:val="20"/>
              </w:rPr>
            </w:pPr>
            <w:r w:rsidRPr="008549AA">
              <w:rPr>
                <w:rFonts w:asciiTheme="minorHAnsi" w:hAnsiTheme="minorHAnsi" w:cstheme="minorHAnsi"/>
                <w:color w:val="auto"/>
                <w:sz w:val="20"/>
              </w:rPr>
              <w:t>Leveraging and incentivising centre based educators to also deliver IHC would improve equity and accessibility for families that work non-standard hours, and those in geographically isolated areas. However, the scale of this impact is likely to be small. This would also be the case for expanding working visas, which could also introduce issues around quality.</w:t>
            </w:r>
            <w:r w:rsidR="002B49BB" w:rsidRPr="008549AA">
              <w:rPr>
                <w:rFonts w:asciiTheme="minorHAnsi" w:hAnsiTheme="minorHAnsi" w:cstheme="minorHAnsi"/>
                <w:color w:val="auto"/>
                <w:sz w:val="20"/>
              </w:rPr>
              <w:t xml:space="preserve"> It is important to also note that workforce shortages are experienced </w:t>
            </w:r>
            <w:r w:rsidR="00405F68" w:rsidRPr="008549AA">
              <w:rPr>
                <w:rFonts w:asciiTheme="minorHAnsi" w:hAnsiTheme="minorHAnsi" w:cstheme="minorHAnsi"/>
                <w:color w:val="auto"/>
                <w:sz w:val="20"/>
              </w:rPr>
              <w:t xml:space="preserve">across </w:t>
            </w:r>
            <w:r w:rsidR="002B49BB" w:rsidRPr="008549AA">
              <w:rPr>
                <w:rFonts w:asciiTheme="minorHAnsi" w:hAnsiTheme="minorHAnsi" w:cstheme="minorHAnsi"/>
                <w:color w:val="auto"/>
                <w:sz w:val="20"/>
              </w:rPr>
              <w:t>the ECEC sector</w:t>
            </w:r>
            <w:r w:rsidR="00405F68" w:rsidRPr="008549AA">
              <w:rPr>
                <w:rFonts w:asciiTheme="minorHAnsi" w:hAnsiTheme="minorHAnsi" w:cstheme="minorHAnsi"/>
                <w:color w:val="auto"/>
                <w:sz w:val="20"/>
              </w:rPr>
              <w:t>, not just IHC.</w:t>
            </w:r>
          </w:p>
        </w:tc>
      </w:tr>
      <w:tr w:rsidR="002313AF" w:rsidRPr="008549AA" w14:paraId="66447DF2" w14:textId="77777777" w:rsidTr="00404A23">
        <w:tc>
          <w:tcPr>
            <w:tcW w:w="7689" w:type="dxa"/>
            <w:shd w:val="clear" w:color="auto" w:fill="E5E5E5" w:themeFill="text2" w:themeFillTint="33"/>
            <w:vAlign w:val="center"/>
          </w:tcPr>
          <w:p w14:paraId="3914162D" w14:textId="1F71C948" w:rsidR="002313AF" w:rsidRPr="008549AA" w:rsidRDefault="002313AF"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Implementation risk summary</w:t>
            </w:r>
          </w:p>
        </w:tc>
        <w:tc>
          <w:tcPr>
            <w:tcW w:w="2047" w:type="dxa"/>
            <w:gridSpan w:val="3"/>
            <w:shd w:val="clear" w:color="auto" w:fill="E0301E" w:themeFill="accent3"/>
            <w:vAlign w:val="center"/>
          </w:tcPr>
          <w:p w14:paraId="52A3857A" w14:textId="77777777" w:rsidR="002313AF" w:rsidRPr="008549AA" w:rsidRDefault="002313AF" w:rsidP="005E471A">
            <w:pPr>
              <w:pStyle w:val="PwCNormal"/>
              <w:numPr>
                <w:ilvl w:val="0"/>
                <w:numId w:val="0"/>
              </w:numPr>
              <w:spacing w:before="120" w:after="120"/>
              <w:jc w:val="center"/>
              <w:rPr>
                <w:rFonts w:asciiTheme="minorHAnsi" w:hAnsiTheme="minorHAnsi" w:cstheme="minorHAnsi"/>
                <w:color w:val="FF0000"/>
                <w:sz w:val="20"/>
                <w:highlight w:val="yellow"/>
              </w:rPr>
            </w:pPr>
            <w:r w:rsidRPr="008549AA">
              <w:rPr>
                <w:rFonts w:asciiTheme="minorHAnsi" w:hAnsiTheme="minorHAnsi" w:cstheme="minorHAnsi"/>
                <w:b/>
                <w:bCs/>
                <w:color w:val="FFFFFF" w:themeColor="background1"/>
                <w:sz w:val="20"/>
              </w:rPr>
              <w:t>High</w:t>
            </w:r>
            <w:r w:rsidRPr="008549AA">
              <w:rPr>
                <w:rFonts w:asciiTheme="minorHAnsi" w:hAnsiTheme="minorHAnsi" w:cstheme="minorHAnsi"/>
                <w:b/>
                <w:color w:val="FFFFFF" w:themeColor="background1"/>
                <w:sz w:val="20"/>
              </w:rPr>
              <w:t xml:space="preserve"> risk</w:t>
            </w:r>
          </w:p>
        </w:tc>
      </w:tr>
      <w:tr w:rsidR="002313AF" w:rsidRPr="008549AA" w14:paraId="6ACACD52" w14:textId="77777777" w:rsidTr="00404A23">
        <w:tc>
          <w:tcPr>
            <w:tcW w:w="9736" w:type="dxa"/>
            <w:gridSpan w:val="4"/>
          </w:tcPr>
          <w:p w14:paraId="45E39FCD" w14:textId="77777777" w:rsidR="007D7BF5" w:rsidRPr="008549AA" w:rsidRDefault="002313AF" w:rsidP="005E471A">
            <w:pPr>
              <w:pStyle w:val="PwCNormal"/>
              <w:numPr>
                <w:ilvl w:val="0"/>
                <w:numId w:val="0"/>
              </w:numPr>
              <w:spacing w:before="120"/>
              <w:rPr>
                <w:rFonts w:asciiTheme="minorHAnsi" w:hAnsiTheme="minorHAnsi" w:cstheme="minorHAnsi"/>
                <w:sz w:val="20"/>
              </w:rPr>
            </w:pPr>
            <w:r w:rsidRPr="008549AA">
              <w:rPr>
                <w:rFonts w:asciiTheme="minorHAnsi" w:hAnsiTheme="minorHAnsi" w:cstheme="minorHAnsi"/>
                <w:sz w:val="20"/>
              </w:rPr>
              <w:t>Leveraging and incentivising centre based educators to also deliver IHC would likely face resistance from centre based services. It may also be difficult to implement at sufficient scale. Expanding working visas would be dependent on agreements with Home Affairs, as well as states and territories. It may also require legislative and regulatory change.</w:t>
            </w:r>
          </w:p>
          <w:p w14:paraId="281C3D39" w14:textId="3876F00B" w:rsidR="00405F68" w:rsidRPr="008549AA" w:rsidRDefault="00405F68" w:rsidP="00405F68">
            <w:pPr>
              <w:pStyle w:val="PwCNormal"/>
              <w:numPr>
                <w:ilvl w:val="0"/>
                <w:numId w:val="0"/>
              </w:numPr>
              <w:rPr>
                <w:rFonts w:asciiTheme="minorHAnsi" w:hAnsiTheme="minorHAnsi" w:cstheme="minorHAnsi"/>
                <w:sz w:val="20"/>
              </w:rPr>
            </w:pPr>
            <w:r w:rsidRPr="008549AA">
              <w:rPr>
                <w:rFonts w:asciiTheme="minorHAnsi" w:hAnsiTheme="minorHAnsi" w:cstheme="minorHAnsi"/>
                <w:sz w:val="20"/>
              </w:rPr>
              <w:t>While skilled migration pathway can be an avenue to help fill some roles across the sector, a report by the Care and Support Economy Taskforce in 2023 advises that this is not suitable for filling early childhood educator roles.</w:t>
            </w:r>
            <w:r w:rsidR="002B49BB" w:rsidRPr="008549AA">
              <w:rPr>
                <w:rStyle w:val="FootnoteReference"/>
                <w:rFonts w:asciiTheme="minorHAnsi" w:hAnsiTheme="minorHAnsi"/>
                <w:sz w:val="20"/>
              </w:rPr>
              <w:footnoteReference w:id="56"/>
            </w:r>
          </w:p>
          <w:p w14:paraId="6CA0AAF1" w14:textId="0DFC6E32" w:rsidR="002313AF" w:rsidRPr="008549AA" w:rsidRDefault="002313AF" w:rsidP="00671CD9">
            <w:pPr>
              <w:pStyle w:val="PwCNormal"/>
              <w:numPr>
                <w:ilvl w:val="0"/>
                <w:numId w:val="0"/>
              </w:numPr>
              <w:spacing w:after="120"/>
              <w:rPr>
                <w:rFonts w:asciiTheme="minorHAnsi" w:hAnsiTheme="minorHAnsi" w:cstheme="minorHAnsi"/>
                <w:color w:val="FF0000"/>
                <w:sz w:val="20"/>
                <w:highlight w:val="yellow"/>
              </w:rPr>
            </w:pPr>
            <w:r w:rsidRPr="008549AA">
              <w:rPr>
                <w:rFonts w:asciiTheme="minorHAnsi" w:hAnsiTheme="minorHAnsi" w:cstheme="minorHAnsi"/>
                <w:sz w:val="20"/>
              </w:rPr>
              <w:t>Given the impacts this could have on quality of educators this option would likely be met with strong opposition across the ECEC sector.</w:t>
            </w:r>
          </w:p>
        </w:tc>
      </w:tr>
    </w:tbl>
    <w:p w14:paraId="09FCEA0B" w14:textId="454F9D06" w:rsidR="008549AA" w:rsidRDefault="008549AA">
      <w:pPr>
        <w:spacing w:before="0" w:line="281" w:lineRule="auto"/>
      </w:pPr>
    </w:p>
    <w:p w14:paraId="1A47C08E" w14:textId="77777777" w:rsidR="008549AA" w:rsidRDefault="008549AA">
      <w:pPr>
        <w:spacing w:before="0" w:line="281" w:lineRule="auto"/>
      </w:pPr>
      <w:r>
        <w:br w:type="page"/>
      </w:r>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9"/>
        <w:gridCol w:w="669"/>
        <w:gridCol w:w="707"/>
        <w:gridCol w:w="671"/>
      </w:tblGrid>
      <w:tr w:rsidR="002313AF" w:rsidRPr="008549AA" w14:paraId="7E57E4D9" w14:textId="77777777" w:rsidTr="00404A23">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746" w:type="dxa"/>
            <w:gridSpan w:val="4"/>
            <w:shd w:val="clear" w:color="auto" w:fill="D04A02" w:themeFill="accent1"/>
          </w:tcPr>
          <w:p w14:paraId="694E5D23" w14:textId="77777777" w:rsidR="002313AF" w:rsidRPr="008549AA" w:rsidRDefault="002313AF" w:rsidP="005E471A">
            <w:pPr>
              <w:pStyle w:val="PwCNormal"/>
              <w:numPr>
                <w:ilvl w:val="0"/>
                <w:numId w:val="2"/>
              </w:numPr>
              <w:spacing w:before="120" w:after="120"/>
              <w:rPr>
                <w:rFonts w:asciiTheme="minorHAnsi" w:hAnsiTheme="minorHAnsi" w:cstheme="minorHAnsi"/>
                <w:b/>
                <w:bCs/>
                <w:sz w:val="20"/>
                <w:highlight w:val="yellow"/>
              </w:rPr>
            </w:pPr>
            <w:r w:rsidRPr="008549AA">
              <w:rPr>
                <w:rFonts w:asciiTheme="minorHAnsi" w:hAnsiTheme="minorHAnsi" w:cstheme="minorHAnsi"/>
                <w:b/>
                <w:bCs/>
                <w:color w:val="FFFFFF" w:themeColor="background1"/>
                <w:sz w:val="20"/>
              </w:rPr>
              <w:lastRenderedPageBreak/>
              <w:t>Upskill the workforce to provide care to children with complex care needs</w:t>
            </w:r>
          </w:p>
        </w:tc>
      </w:tr>
      <w:tr w:rsidR="002313AF" w:rsidRPr="008549AA" w14:paraId="6F1E7AD7" w14:textId="77777777" w:rsidTr="00404A23">
        <w:tc>
          <w:tcPr>
            <w:tcW w:w="9746" w:type="dxa"/>
            <w:gridSpan w:val="4"/>
            <w:shd w:val="clear" w:color="auto" w:fill="E5E5E5" w:themeFill="text2" w:themeFillTint="33"/>
          </w:tcPr>
          <w:p w14:paraId="0CF35C09" w14:textId="77777777" w:rsidR="002313AF" w:rsidRPr="008549AA" w:rsidRDefault="002313AF" w:rsidP="005E471A">
            <w:pPr>
              <w:pStyle w:val="PwCNormal"/>
              <w:numPr>
                <w:ilvl w:val="0"/>
                <w:numId w:val="2"/>
              </w:numPr>
              <w:spacing w:before="120" w:after="120"/>
              <w:rPr>
                <w:rFonts w:asciiTheme="minorHAnsi" w:hAnsiTheme="minorHAnsi" w:cstheme="minorHAnsi"/>
                <w:b/>
                <w:bCs/>
                <w:color w:val="FF0000"/>
                <w:sz w:val="20"/>
                <w:highlight w:val="yellow"/>
              </w:rPr>
            </w:pPr>
            <w:r w:rsidRPr="008549AA">
              <w:rPr>
                <w:rFonts w:asciiTheme="minorHAnsi" w:hAnsiTheme="minorHAnsi" w:cstheme="minorHAnsi"/>
                <w:b/>
                <w:bCs/>
                <w:color w:val="auto"/>
                <w:sz w:val="20"/>
              </w:rPr>
              <w:t>Description</w:t>
            </w:r>
          </w:p>
        </w:tc>
      </w:tr>
      <w:tr w:rsidR="002313AF" w:rsidRPr="008549AA" w14:paraId="1050FDB2" w14:textId="77777777" w:rsidTr="00404A23">
        <w:tc>
          <w:tcPr>
            <w:tcW w:w="9746" w:type="dxa"/>
            <w:gridSpan w:val="4"/>
          </w:tcPr>
          <w:p w14:paraId="7F5B856F" w14:textId="77777777" w:rsidR="002313AF" w:rsidRPr="008549AA" w:rsidRDefault="002313AF" w:rsidP="00671CD9">
            <w:pPr>
              <w:pStyle w:val="PwCNormal"/>
              <w:numPr>
                <w:ilvl w:val="0"/>
                <w:numId w:val="33"/>
              </w:numPr>
              <w:spacing w:before="120" w:after="120"/>
              <w:ind w:left="360"/>
              <w:rPr>
                <w:rFonts w:asciiTheme="minorHAnsi" w:hAnsiTheme="minorHAnsi" w:cstheme="minorHAnsi"/>
                <w:color w:val="auto"/>
                <w:sz w:val="20"/>
              </w:rPr>
            </w:pPr>
            <w:r w:rsidRPr="008549AA">
              <w:rPr>
                <w:rFonts w:asciiTheme="minorHAnsi" w:hAnsiTheme="minorHAnsi" w:cstheme="minorHAnsi"/>
                <w:color w:val="auto"/>
                <w:sz w:val="20"/>
              </w:rPr>
              <w:t>Upskill workforce (including via micro-credentialling) to gain skills required to make reasonable adjustments for children with complex needs to participate in the ECEC IHC program. This is ECEC that is still aligned with IHC and is not care and support that is within the scope of NDIS). Like all ECEC settings, IHC has a legal obligation to support reasonable adjustments for children with complex disability needs to participate in ECEC.</w:t>
            </w:r>
          </w:p>
          <w:p w14:paraId="25E654D4" w14:textId="4B41FAFC" w:rsidR="002313AF" w:rsidRPr="008549AA" w:rsidRDefault="002313AF" w:rsidP="00671CD9">
            <w:pPr>
              <w:pStyle w:val="PwCNormal"/>
              <w:numPr>
                <w:ilvl w:val="0"/>
                <w:numId w:val="33"/>
              </w:numPr>
              <w:spacing w:before="120" w:after="120"/>
              <w:ind w:left="360"/>
              <w:rPr>
                <w:rFonts w:asciiTheme="minorHAnsi" w:hAnsiTheme="minorHAnsi" w:cstheme="minorHAnsi"/>
                <w:color w:val="auto"/>
                <w:sz w:val="20"/>
              </w:rPr>
            </w:pPr>
            <w:r w:rsidRPr="008549AA">
              <w:rPr>
                <w:rFonts w:asciiTheme="minorHAnsi" w:hAnsiTheme="minorHAnsi" w:cstheme="minorHAnsi"/>
                <w:sz w:val="20"/>
              </w:rPr>
              <w:t>Online learning portal to support professional development and provide easier access for educators to engage in learning modules</w:t>
            </w:r>
          </w:p>
        </w:tc>
      </w:tr>
      <w:tr w:rsidR="002313AF" w:rsidRPr="008549AA" w14:paraId="2C3C700E" w14:textId="77777777" w:rsidTr="00404A23">
        <w:trPr>
          <w:trHeight w:val="50"/>
        </w:trPr>
        <w:tc>
          <w:tcPr>
            <w:tcW w:w="9746" w:type="dxa"/>
            <w:gridSpan w:val="4"/>
            <w:shd w:val="clear" w:color="auto" w:fill="E5E5E5" w:themeFill="text2" w:themeFillTint="33"/>
          </w:tcPr>
          <w:p w14:paraId="0E213D61" w14:textId="77777777" w:rsidR="002313AF" w:rsidRPr="008549AA" w:rsidRDefault="002313AF" w:rsidP="005E471A">
            <w:pPr>
              <w:pStyle w:val="PwCNormal"/>
              <w:numPr>
                <w:ilvl w:val="0"/>
                <w:numId w:val="2"/>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Impacted families</w:t>
            </w:r>
          </w:p>
        </w:tc>
      </w:tr>
      <w:tr w:rsidR="002313AF" w:rsidRPr="008549AA" w14:paraId="4C7A9483" w14:textId="77777777" w:rsidTr="00404A23">
        <w:trPr>
          <w:trHeight w:val="70"/>
        </w:trPr>
        <w:tc>
          <w:tcPr>
            <w:tcW w:w="7699" w:type="dxa"/>
          </w:tcPr>
          <w:p w14:paraId="25A39D4F" w14:textId="77777777" w:rsidR="002313AF" w:rsidRPr="008549AA" w:rsidRDefault="002313AF" w:rsidP="005E471A">
            <w:pPr>
              <w:pStyle w:val="PwCNormal"/>
              <w:numPr>
                <w:ilvl w:val="0"/>
                <w:numId w:val="0"/>
              </w:numPr>
              <w:spacing w:before="120" w:after="120"/>
              <w:rPr>
                <w:rFonts w:asciiTheme="minorHAnsi" w:hAnsiTheme="minorHAnsi" w:cstheme="minorHAnsi"/>
                <w:color w:val="auto"/>
                <w:sz w:val="20"/>
              </w:rPr>
            </w:pPr>
            <w:r w:rsidRPr="008549AA">
              <w:rPr>
                <w:rFonts w:asciiTheme="minorHAnsi" w:hAnsiTheme="minorHAnsi" w:cstheme="minorHAnsi"/>
                <w:sz w:val="20"/>
              </w:rPr>
              <w:t>This option focuses on addressing a key gap for families and children with complex needs. While some of these families may require non-standard hours, or be in geographically isolated areas, these families are not specifically targeted.</w:t>
            </w:r>
          </w:p>
        </w:tc>
        <w:tc>
          <w:tcPr>
            <w:tcW w:w="669" w:type="dxa"/>
          </w:tcPr>
          <w:p w14:paraId="10D69979" w14:textId="77777777" w:rsidR="002313AF" w:rsidRPr="008549AA" w:rsidRDefault="002313AF"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02DCD0B6" wp14:editId="2411609B">
                  <wp:extent cx="288000" cy="288000"/>
                  <wp:effectExtent l="0" t="0" r="0" b="0"/>
                  <wp:docPr id="1948901120" name="Picture 1948901120"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8000" cy="288000"/>
                          </a:xfrm>
                          <a:prstGeom prst="rect">
                            <a:avLst/>
                          </a:prstGeom>
                        </pic:spPr>
                      </pic:pic>
                    </a:graphicData>
                  </a:graphic>
                </wp:inline>
              </w:drawing>
            </w:r>
          </w:p>
        </w:tc>
        <w:tc>
          <w:tcPr>
            <w:tcW w:w="707" w:type="dxa"/>
          </w:tcPr>
          <w:p w14:paraId="13CA6C29" w14:textId="77777777" w:rsidR="002313AF" w:rsidRPr="008549AA" w:rsidRDefault="002313AF"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5E0CACB1" wp14:editId="0ECA5DC7">
                  <wp:extent cx="288000" cy="288000"/>
                  <wp:effectExtent l="0" t="0" r="0" b="0"/>
                  <wp:docPr id="1948901121" name="Picture 1948901121"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288000" cy="288000"/>
                          </a:xfrm>
                          <a:prstGeom prst="rect">
                            <a:avLst/>
                          </a:prstGeom>
                        </pic:spPr>
                      </pic:pic>
                    </a:graphicData>
                  </a:graphic>
                </wp:inline>
              </w:drawing>
            </w:r>
          </w:p>
        </w:tc>
        <w:tc>
          <w:tcPr>
            <w:tcW w:w="671" w:type="dxa"/>
          </w:tcPr>
          <w:p w14:paraId="57A41305" w14:textId="77777777" w:rsidR="002313AF" w:rsidRPr="008549AA" w:rsidRDefault="002313AF"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5949CED5" wp14:editId="7098C619">
                  <wp:extent cx="289367" cy="289367"/>
                  <wp:effectExtent l="0" t="0" r="0" b="0"/>
                  <wp:docPr id="1948901122" name="Picture 1948901122"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291885" cy="291885"/>
                          </a:xfrm>
                          <a:prstGeom prst="rect">
                            <a:avLst/>
                          </a:prstGeom>
                        </pic:spPr>
                      </pic:pic>
                    </a:graphicData>
                  </a:graphic>
                </wp:inline>
              </w:drawing>
            </w:r>
          </w:p>
        </w:tc>
      </w:tr>
      <w:tr w:rsidR="002313AF" w:rsidRPr="008549AA" w14:paraId="5D8C049D" w14:textId="77777777" w:rsidTr="00404A23">
        <w:tc>
          <w:tcPr>
            <w:tcW w:w="7699" w:type="dxa"/>
            <w:shd w:val="clear" w:color="auto" w:fill="E5E5E5" w:themeFill="text2" w:themeFillTint="33"/>
            <w:vAlign w:val="center"/>
          </w:tcPr>
          <w:p w14:paraId="15A03C6F" w14:textId="77777777" w:rsidR="002313AF" w:rsidRPr="008549AA" w:rsidRDefault="002313AF"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Outcomes assessment summary</w:t>
            </w:r>
          </w:p>
        </w:tc>
        <w:tc>
          <w:tcPr>
            <w:tcW w:w="2047" w:type="dxa"/>
            <w:gridSpan w:val="3"/>
            <w:shd w:val="clear" w:color="auto" w:fill="175C2C"/>
            <w:vAlign w:val="center"/>
          </w:tcPr>
          <w:p w14:paraId="3F3B35CE" w14:textId="77777777" w:rsidR="002313AF" w:rsidRPr="008549AA" w:rsidRDefault="002313AF" w:rsidP="005E471A">
            <w:pPr>
              <w:pStyle w:val="PwCNormal"/>
              <w:numPr>
                <w:ilvl w:val="0"/>
                <w:numId w:val="0"/>
              </w:numPr>
              <w:spacing w:before="120" w:after="120"/>
              <w:jc w:val="center"/>
              <w:rPr>
                <w:rFonts w:asciiTheme="minorHAnsi" w:hAnsiTheme="minorHAnsi" w:cstheme="minorHAnsi"/>
                <w:color w:val="FF0000"/>
                <w:sz w:val="20"/>
                <w:highlight w:val="yellow"/>
              </w:rPr>
            </w:pPr>
            <w:r w:rsidRPr="008549AA">
              <w:rPr>
                <w:rFonts w:asciiTheme="minorHAnsi" w:hAnsiTheme="minorHAnsi" w:cstheme="minorHAnsi"/>
                <w:b/>
                <w:bCs/>
                <w:color w:val="FFFFFF" w:themeColor="background1"/>
                <w:sz w:val="20"/>
              </w:rPr>
              <w:t>High impact</w:t>
            </w:r>
          </w:p>
        </w:tc>
      </w:tr>
      <w:tr w:rsidR="002313AF" w:rsidRPr="008549AA" w14:paraId="2D4BB2BF" w14:textId="77777777" w:rsidTr="00404A23">
        <w:tc>
          <w:tcPr>
            <w:tcW w:w="9746" w:type="dxa"/>
            <w:gridSpan w:val="4"/>
          </w:tcPr>
          <w:p w14:paraId="5F99E0A3" w14:textId="77777777" w:rsidR="002313AF" w:rsidRPr="008549AA" w:rsidRDefault="002313AF"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color w:val="auto"/>
                <w:sz w:val="20"/>
              </w:rPr>
              <w:t>This option would significantly improve equity and accessibility of IHC for families with complex needs, though it may lead to reduced affordability given an upskilled workforce may mean increased costs of service delivery. It will also boost quality and be sustainable over the long term.</w:t>
            </w:r>
          </w:p>
        </w:tc>
      </w:tr>
      <w:tr w:rsidR="002313AF" w:rsidRPr="008549AA" w14:paraId="2E354E82" w14:textId="77777777" w:rsidTr="00404A23">
        <w:tc>
          <w:tcPr>
            <w:tcW w:w="7699" w:type="dxa"/>
            <w:shd w:val="clear" w:color="auto" w:fill="E5E5E5" w:themeFill="text2" w:themeFillTint="33"/>
            <w:vAlign w:val="center"/>
          </w:tcPr>
          <w:p w14:paraId="4C150195" w14:textId="77777777" w:rsidR="002313AF" w:rsidRPr="008549AA" w:rsidRDefault="002313AF" w:rsidP="00404A23">
            <w:pPr>
              <w:pStyle w:val="PwCNormal"/>
              <w:keepNext/>
              <w:keepLines/>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Implementation risk summary</w:t>
            </w:r>
          </w:p>
        </w:tc>
        <w:tc>
          <w:tcPr>
            <w:tcW w:w="2047" w:type="dxa"/>
            <w:gridSpan w:val="3"/>
            <w:shd w:val="clear" w:color="auto" w:fill="175C2C"/>
            <w:vAlign w:val="center"/>
          </w:tcPr>
          <w:p w14:paraId="5CEA93CF" w14:textId="77777777" w:rsidR="002313AF" w:rsidRPr="008549AA" w:rsidRDefault="002313AF" w:rsidP="00404A23">
            <w:pPr>
              <w:pStyle w:val="PwCNormal"/>
              <w:keepNext/>
              <w:keepLines/>
              <w:numPr>
                <w:ilvl w:val="0"/>
                <w:numId w:val="0"/>
              </w:numPr>
              <w:spacing w:before="120" w:after="120"/>
              <w:jc w:val="center"/>
              <w:rPr>
                <w:rFonts w:asciiTheme="minorHAnsi" w:hAnsiTheme="minorHAnsi" w:cstheme="minorHAnsi"/>
                <w:color w:val="FFFFFF" w:themeColor="background1"/>
                <w:sz w:val="20"/>
                <w:highlight w:val="yellow"/>
              </w:rPr>
            </w:pPr>
            <w:r w:rsidRPr="008549AA">
              <w:rPr>
                <w:rFonts w:asciiTheme="minorHAnsi" w:hAnsiTheme="minorHAnsi" w:cstheme="minorHAnsi"/>
                <w:b/>
                <w:bCs/>
                <w:color w:val="FFFFFF" w:themeColor="background1"/>
                <w:sz w:val="20"/>
              </w:rPr>
              <w:t>Low risk</w:t>
            </w:r>
          </w:p>
        </w:tc>
      </w:tr>
      <w:tr w:rsidR="002313AF" w:rsidRPr="008549AA" w14:paraId="12E8AA60" w14:textId="77777777" w:rsidTr="00404A23">
        <w:tc>
          <w:tcPr>
            <w:tcW w:w="9746" w:type="dxa"/>
            <w:gridSpan w:val="4"/>
          </w:tcPr>
          <w:p w14:paraId="4E1190B1" w14:textId="77777777" w:rsidR="002313AF" w:rsidRPr="008549AA" w:rsidRDefault="002313AF"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color w:val="auto"/>
                <w:sz w:val="20"/>
              </w:rPr>
              <w:br w:type="page"/>
            </w:r>
            <w:r w:rsidRPr="008549AA">
              <w:rPr>
                <w:rFonts w:asciiTheme="minorHAnsi" w:hAnsiTheme="minorHAnsi" w:cstheme="minorHAnsi"/>
                <w:sz w:val="20"/>
              </w:rPr>
              <w:t>This option should be relatively straightforward to implement in the short term and would not require any legislative or regulatory changes. However, it should be considered in the context of the Productivity Commission review and the ISP re-design to ensure alignment.</w:t>
            </w:r>
          </w:p>
        </w:tc>
      </w:tr>
    </w:tbl>
    <w:p w14:paraId="09037F0A" w14:textId="77777777" w:rsidR="002313AF" w:rsidRPr="00B6071A" w:rsidRDefault="002313AF" w:rsidP="002313AF">
      <w:pPr>
        <w:pStyle w:val="DocHeading02"/>
      </w:pPr>
      <w:bookmarkStart w:id="78" w:name="_Toc139022139"/>
      <w:bookmarkStart w:id="79" w:name="_Toc140148417"/>
      <w:bookmarkStart w:id="80" w:name="_Toc140149915"/>
      <w:r w:rsidRPr="00B6071A">
        <w:t xml:space="preserve">Funding and </w:t>
      </w:r>
      <w:r>
        <w:t>f</w:t>
      </w:r>
      <w:r w:rsidRPr="00B6071A">
        <w:t>ees</w:t>
      </w:r>
      <w:bookmarkEnd w:id="78"/>
      <w:bookmarkEnd w:id="79"/>
      <w:bookmarkEnd w:id="80"/>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4"/>
        <w:gridCol w:w="669"/>
        <w:gridCol w:w="707"/>
        <w:gridCol w:w="671"/>
      </w:tblGrid>
      <w:tr w:rsidR="002313AF" w:rsidRPr="008549AA" w14:paraId="6A90A565" w14:textId="77777777" w:rsidTr="00404A23">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855" w:type="dxa"/>
            <w:gridSpan w:val="4"/>
            <w:shd w:val="clear" w:color="auto" w:fill="D04A02" w:themeFill="accent1"/>
          </w:tcPr>
          <w:p w14:paraId="66DA94F0" w14:textId="1596928B" w:rsidR="002313AF" w:rsidRPr="008549AA" w:rsidRDefault="002313AF" w:rsidP="005E471A">
            <w:pPr>
              <w:pStyle w:val="PwCNormal"/>
              <w:numPr>
                <w:ilvl w:val="0"/>
                <w:numId w:val="2"/>
              </w:numPr>
              <w:spacing w:before="120" w:after="120"/>
              <w:rPr>
                <w:rFonts w:asciiTheme="minorHAnsi" w:hAnsiTheme="minorHAnsi" w:cstheme="minorHAnsi"/>
                <w:b/>
                <w:bCs/>
                <w:sz w:val="20"/>
                <w:highlight w:val="yellow"/>
              </w:rPr>
            </w:pPr>
            <w:r w:rsidRPr="008549AA">
              <w:rPr>
                <w:rFonts w:asciiTheme="minorHAnsi" w:hAnsiTheme="minorHAnsi" w:cstheme="minorHAnsi"/>
                <w:b/>
                <w:bCs/>
                <w:color w:val="FFFFFF" w:themeColor="background1"/>
                <w:sz w:val="20"/>
              </w:rPr>
              <w:t xml:space="preserve">Providing funding </w:t>
            </w:r>
            <w:r w:rsidR="00ED5B92" w:rsidRPr="008549AA">
              <w:rPr>
                <w:rFonts w:asciiTheme="minorHAnsi" w:hAnsiTheme="minorHAnsi" w:cstheme="minorHAnsi"/>
                <w:b/>
                <w:bCs/>
                <w:color w:val="FFFFFF" w:themeColor="background1"/>
                <w:sz w:val="20"/>
              </w:rPr>
              <w:t>aligned to</w:t>
            </w:r>
            <w:r w:rsidRPr="008549AA">
              <w:rPr>
                <w:rFonts w:asciiTheme="minorHAnsi" w:hAnsiTheme="minorHAnsi" w:cstheme="minorHAnsi"/>
                <w:b/>
                <w:bCs/>
                <w:color w:val="FFFFFF" w:themeColor="background1"/>
                <w:sz w:val="20"/>
              </w:rPr>
              <w:t xml:space="preserve"> family needs</w:t>
            </w:r>
          </w:p>
        </w:tc>
      </w:tr>
      <w:tr w:rsidR="002313AF" w:rsidRPr="008549AA" w14:paraId="31B0AB8C" w14:textId="77777777" w:rsidTr="00404A23">
        <w:tc>
          <w:tcPr>
            <w:tcW w:w="9855" w:type="dxa"/>
            <w:gridSpan w:val="4"/>
            <w:shd w:val="clear" w:color="auto" w:fill="E5E5E5" w:themeFill="text2" w:themeFillTint="33"/>
          </w:tcPr>
          <w:p w14:paraId="4A2612EB" w14:textId="77777777" w:rsidR="002313AF" w:rsidRPr="008549AA" w:rsidRDefault="002313AF" w:rsidP="005E471A">
            <w:pPr>
              <w:pStyle w:val="PwCNormal"/>
              <w:numPr>
                <w:ilvl w:val="0"/>
                <w:numId w:val="2"/>
              </w:numPr>
              <w:spacing w:before="120" w:after="120"/>
              <w:rPr>
                <w:rFonts w:asciiTheme="minorHAnsi" w:hAnsiTheme="minorHAnsi" w:cstheme="minorHAnsi"/>
                <w:b/>
                <w:bCs/>
                <w:color w:val="FF0000"/>
                <w:sz w:val="20"/>
                <w:highlight w:val="yellow"/>
              </w:rPr>
            </w:pPr>
            <w:r w:rsidRPr="008549AA">
              <w:rPr>
                <w:rFonts w:asciiTheme="minorHAnsi" w:hAnsiTheme="minorHAnsi" w:cstheme="minorHAnsi"/>
                <w:b/>
                <w:bCs/>
                <w:color w:val="auto"/>
                <w:sz w:val="20"/>
              </w:rPr>
              <w:t>Description</w:t>
            </w:r>
          </w:p>
        </w:tc>
      </w:tr>
      <w:tr w:rsidR="002313AF" w:rsidRPr="008549AA" w14:paraId="0C60BFDD" w14:textId="77777777" w:rsidTr="00404A23">
        <w:tc>
          <w:tcPr>
            <w:tcW w:w="9855" w:type="dxa"/>
            <w:gridSpan w:val="4"/>
          </w:tcPr>
          <w:p w14:paraId="61B1DC18" w14:textId="77777777" w:rsidR="002313AF" w:rsidRPr="008549AA" w:rsidRDefault="002313AF" w:rsidP="00671CD9">
            <w:pPr>
              <w:pStyle w:val="ListParagraph"/>
              <w:numPr>
                <w:ilvl w:val="0"/>
                <w:numId w:val="34"/>
              </w:numPr>
              <w:kinsoku w:val="0"/>
              <w:overflowPunct w:val="0"/>
              <w:autoSpaceDE w:val="0"/>
              <w:autoSpaceDN w:val="0"/>
              <w:adjustRightInd w:val="0"/>
              <w:snapToGrid w:val="0"/>
              <w:spacing w:after="120"/>
              <w:ind w:left="360"/>
              <w:contextualSpacing w:val="0"/>
              <w:rPr>
                <w:rFonts w:asciiTheme="minorHAnsi" w:hAnsiTheme="minorHAnsi" w:cstheme="minorHAnsi"/>
              </w:rPr>
            </w:pPr>
            <w:r w:rsidRPr="008549AA">
              <w:rPr>
                <w:rFonts w:asciiTheme="minorHAnsi" w:hAnsiTheme="minorHAnsi" w:cstheme="minorHAnsi"/>
              </w:rPr>
              <w:t>Change funding to be based on complexity criteria</w:t>
            </w:r>
          </w:p>
          <w:p w14:paraId="7F55746F" w14:textId="77777777" w:rsidR="002313AF" w:rsidRPr="008549AA" w:rsidRDefault="002313AF" w:rsidP="00671CD9">
            <w:pPr>
              <w:pStyle w:val="ListParagraph"/>
              <w:numPr>
                <w:ilvl w:val="0"/>
                <w:numId w:val="34"/>
              </w:numPr>
              <w:kinsoku w:val="0"/>
              <w:overflowPunct w:val="0"/>
              <w:autoSpaceDE w:val="0"/>
              <w:autoSpaceDN w:val="0"/>
              <w:adjustRightInd w:val="0"/>
              <w:snapToGrid w:val="0"/>
              <w:spacing w:after="120"/>
              <w:ind w:left="360"/>
              <w:contextualSpacing w:val="0"/>
              <w:rPr>
                <w:rFonts w:asciiTheme="minorHAnsi" w:hAnsiTheme="minorHAnsi" w:cstheme="minorHAnsi"/>
              </w:rPr>
            </w:pPr>
            <w:r w:rsidRPr="008549AA">
              <w:rPr>
                <w:rFonts w:asciiTheme="minorHAnsi" w:hAnsiTheme="minorHAnsi" w:cstheme="minorHAnsi"/>
              </w:rPr>
              <w:t>Include a variable hourly rate/loading based on cohort (location, experience, family complexity)</w:t>
            </w:r>
          </w:p>
        </w:tc>
      </w:tr>
      <w:tr w:rsidR="002313AF" w:rsidRPr="008549AA" w14:paraId="6BA60757" w14:textId="77777777" w:rsidTr="00404A23">
        <w:trPr>
          <w:trHeight w:val="50"/>
        </w:trPr>
        <w:tc>
          <w:tcPr>
            <w:tcW w:w="9855" w:type="dxa"/>
            <w:gridSpan w:val="4"/>
            <w:shd w:val="clear" w:color="auto" w:fill="E5E5E5" w:themeFill="text2" w:themeFillTint="33"/>
          </w:tcPr>
          <w:p w14:paraId="76AD265F" w14:textId="77777777" w:rsidR="002313AF" w:rsidRPr="008549AA" w:rsidRDefault="002313AF" w:rsidP="005E471A">
            <w:pPr>
              <w:pStyle w:val="PwCNormal"/>
              <w:numPr>
                <w:ilvl w:val="0"/>
                <w:numId w:val="2"/>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Impacted families</w:t>
            </w:r>
          </w:p>
        </w:tc>
      </w:tr>
      <w:tr w:rsidR="002313AF" w:rsidRPr="008549AA" w14:paraId="0BE88094" w14:textId="77777777" w:rsidTr="00404A23">
        <w:trPr>
          <w:trHeight w:val="70"/>
        </w:trPr>
        <w:tc>
          <w:tcPr>
            <w:tcW w:w="7807" w:type="dxa"/>
          </w:tcPr>
          <w:p w14:paraId="5B74861F" w14:textId="77777777" w:rsidR="002313AF" w:rsidRPr="008549AA" w:rsidRDefault="002313AF" w:rsidP="005E471A">
            <w:pPr>
              <w:pStyle w:val="PwCNormal"/>
              <w:numPr>
                <w:ilvl w:val="0"/>
                <w:numId w:val="0"/>
              </w:numPr>
              <w:spacing w:before="120" w:after="120"/>
              <w:rPr>
                <w:rFonts w:asciiTheme="minorHAnsi" w:hAnsiTheme="minorHAnsi" w:cstheme="minorHAnsi"/>
                <w:color w:val="auto"/>
                <w:sz w:val="20"/>
              </w:rPr>
            </w:pPr>
            <w:r w:rsidRPr="008549AA">
              <w:rPr>
                <w:rFonts w:asciiTheme="minorHAnsi" w:hAnsiTheme="minorHAnsi" w:cstheme="minorHAnsi"/>
                <w:sz w:val="20"/>
              </w:rPr>
              <w:t>This option would impact all families and their children given the intent is to introduce funding reform that is tailored to specific needs of families, regardless of their circumstances.</w:t>
            </w:r>
          </w:p>
        </w:tc>
        <w:tc>
          <w:tcPr>
            <w:tcW w:w="669" w:type="dxa"/>
          </w:tcPr>
          <w:p w14:paraId="204A344C" w14:textId="77777777" w:rsidR="002313AF" w:rsidRPr="008549AA" w:rsidRDefault="002313AF"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34EFD64C" wp14:editId="58FC38CF">
                  <wp:extent cx="288000" cy="288000"/>
                  <wp:effectExtent l="0" t="0" r="0" b="0"/>
                  <wp:docPr id="1948901123" name="Picture 1948901123"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8000" cy="288000"/>
                          </a:xfrm>
                          <a:prstGeom prst="rect">
                            <a:avLst/>
                          </a:prstGeom>
                        </pic:spPr>
                      </pic:pic>
                    </a:graphicData>
                  </a:graphic>
                </wp:inline>
              </w:drawing>
            </w:r>
          </w:p>
        </w:tc>
        <w:tc>
          <w:tcPr>
            <w:tcW w:w="708" w:type="dxa"/>
          </w:tcPr>
          <w:p w14:paraId="59C503B3" w14:textId="77777777" w:rsidR="002313AF" w:rsidRPr="008549AA" w:rsidRDefault="002313AF"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5738DD18" wp14:editId="4557EBC2">
                  <wp:extent cx="288000" cy="288000"/>
                  <wp:effectExtent l="0" t="0" r="0" b="0"/>
                  <wp:docPr id="1948901124" name="Picture 1948901124"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88000" cy="288000"/>
                          </a:xfrm>
                          <a:prstGeom prst="rect">
                            <a:avLst/>
                          </a:prstGeom>
                        </pic:spPr>
                      </pic:pic>
                    </a:graphicData>
                  </a:graphic>
                </wp:inline>
              </w:drawing>
            </w:r>
          </w:p>
        </w:tc>
        <w:tc>
          <w:tcPr>
            <w:tcW w:w="671" w:type="dxa"/>
          </w:tcPr>
          <w:p w14:paraId="762BDDCA" w14:textId="77777777" w:rsidR="002313AF" w:rsidRPr="008549AA" w:rsidRDefault="002313AF"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3DDE4BB4" wp14:editId="5970680A">
                  <wp:extent cx="289367" cy="289367"/>
                  <wp:effectExtent l="0" t="0" r="0" b="0"/>
                  <wp:docPr id="1948901125" name="Picture 1948901125"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291885" cy="291885"/>
                          </a:xfrm>
                          <a:prstGeom prst="rect">
                            <a:avLst/>
                          </a:prstGeom>
                        </pic:spPr>
                      </pic:pic>
                    </a:graphicData>
                  </a:graphic>
                </wp:inline>
              </w:drawing>
            </w:r>
          </w:p>
        </w:tc>
      </w:tr>
      <w:tr w:rsidR="002313AF" w:rsidRPr="008549AA" w14:paraId="66009EC3" w14:textId="77777777" w:rsidTr="00404A23">
        <w:tc>
          <w:tcPr>
            <w:tcW w:w="7807" w:type="dxa"/>
            <w:shd w:val="clear" w:color="auto" w:fill="E5E5E5" w:themeFill="text2" w:themeFillTint="33"/>
            <w:vAlign w:val="center"/>
          </w:tcPr>
          <w:p w14:paraId="71995A58" w14:textId="77777777" w:rsidR="002313AF" w:rsidRPr="008549AA" w:rsidRDefault="002313AF"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Outcomes assessment summary</w:t>
            </w:r>
          </w:p>
        </w:tc>
        <w:tc>
          <w:tcPr>
            <w:tcW w:w="2048" w:type="dxa"/>
            <w:gridSpan w:val="3"/>
            <w:shd w:val="clear" w:color="auto" w:fill="175C2C"/>
            <w:vAlign w:val="center"/>
          </w:tcPr>
          <w:p w14:paraId="232BE518" w14:textId="77777777" w:rsidR="002313AF" w:rsidRPr="008549AA" w:rsidRDefault="002313AF" w:rsidP="005E471A">
            <w:pPr>
              <w:pStyle w:val="PwCNormal"/>
              <w:numPr>
                <w:ilvl w:val="0"/>
                <w:numId w:val="0"/>
              </w:numPr>
              <w:spacing w:before="120" w:after="120"/>
              <w:jc w:val="center"/>
              <w:rPr>
                <w:rFonts w:asciiTheme="minorHAnsi" w:hAnsiTheme="minorHAnsi" w:cstheme="minorHAnsi"/>
                <w:color w:val="FFFFFF" w:themeColor="background1"/>
                <w:sz w:val="20"/>
                <w:highlight w:val="yellow"/>
              </w:rPr>
            </w:pPr>
            <w:r w:rsidRPr="008549AA">
              <w:rPr>
                <w:rFonts w:asciiTheme="minorHAnsi" w:hAnsiTheme="minorHAnsi" w:cstheme="minorHAnsi"/>
                <w:b/>
                <w:bCs/>
                <w:color w:val="FFFFFF" w:themeColor="background1"/>
                <w:sz w:val="20"/>
              </w:rPr>
              <w:t>High impact</w:t>
            </w:r>
          </w:p>
        </w:tc>
      </w:tr>
      <w:tr w:rsidR="002313AF" w:rsidRPr="008549AA" w14:paraId="262C1227" w14:textId="77777777" w:rsidTr="00404A23">
        <w:tc>
          <w:tcPr>
            <w:tcW w:w="9855" w:type="dxa"/>
            <w:gridSpan w:val="4"/>
          </w:tcPr>
          <w:p w14:paraId="40D77EE6" w14:textId="77777777" w:rsidR="002313AF" w:rsidRPr="008549AA" w:rsidRDefault="002313AF"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color w:val="auto"/>
                <w:sz w:val="20"/>
              </w:rPr>
              <w:t>This option will have significant impact on the equity, affordability and accessibility for all three family cohorts – those with complex needs, that work non-standard hours, and those that are geographically isolated. It would also strengthen financial viability of IHC providers across the sector.</w:t>
            </w:r>
          </w:p>
        </w:tc>
      </w:tr>
      <w:tr w:rsidR="002313AF" w:rsidRPr="008549AA" w14:paraId="24B1AA62" w14:textId="77777777" w:rsidTr="00404A23">
        <w:tc>
          <w:tcPr>
            <w:tcW w:w="7807" w:type="dxa"/>
            <w:shd w:val="clear" w:color="auto" w:fill="E5E5E5" w:themeFill="text2" w:themeFillTint="33"/>
            <w:vAlign w:val="center"/>
          </w:tcPr>
          <w:p w14:paraId="03C1186C" w14:textId="77777777" w:rsidR="002313AF" w:rsidRPr="008549AA" w:rsidRDefault="002313AF"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Implementation risk summary</w:t>
            </w:r>
          </w:p>
        </w:tc>
        <w:tc>
          <w:tcPr>
            <w:tcW w:w="2048" w:type="dxa"/>
            <w:gridSpan w:val="3"/>
            <w:shd w:val="clear" w:color="auto" w:fill="E0301E" w:themeFill="accent3"/>
            <w:vAlign w:val="center"/>
          </w:tcPr>
          <w:p w14:paraId="21D287D5" w14:textId="77777777" w:rsidR="002313AF" w:rsidRPr="008549AA" w:rsidRDefault="002313AF" w:rsidP="005E471A">
            <w:pPr>
              <w:pStyle w:val="PwCNormal"/>
              <w:numPr>
                <w:ilvl w:val="0"/>
                <w:numId w:val="0"/>
              </w:numPr>
              <w:spacing w:before="120" w:after="120"/>
              <w:jc w:val="center"/>
              <w:rPr>
                <w:rFonts w:asciiTheme="minorHAnsi" w:hAnsiTheme="minorHAnsi" w:cstheme="minorHAnsi"/>
                <w:color w:val="FFFFFF" w:themeColor="background1"/>
                <w:sz w:val="20"/>
                <w:highlight w:val="yellow"/>
              </w:rPr>
            </w:pPr>
            <w:r w:rsidRPr="008549AA">
              <w:rPr>
                <w:rFonts w:asciiTheme="minorHAnsi" w:hAnsiTheme="minorHAnsi" w:cstheme="minorHAnsi"/>
                <w:b/>
                <w:bCs/>
                <w:color w:val="FFFFFF" w:themeColor="background1"/>
                <w:sz w:val="20"/>
              </w:rPr>
              <w:t>High</w:t>
            </w:r>
            <w:r w:rsidRPr="008549AA">
              <w:rPr>
                <w:rFonts w:asciiTheme="minorHAnsi" w:hAnsiTheme="minorHAnsi" w:cstheme="minorHAnsi"/>
                <w:b/>
                <w:color w:val="FFFFFF" w:themeColor="background1"/>
                <w:sz w:val="20"/>
              </w:rPr>
              <w:t xml:space="preserve"> risk</w:t>
            </w:r>
          </w:p>
        </w:tc>
      </w:tr>
      <w:tr w:rsidR="002313AF" w:rsidRPr="008549AA" w14:paraId="550B7E0F" w14:textId="77777777" w:rsidTr="00404A23">
        <w:tc>
          <w:tcPr>
            <w:tcW w:w="9855" w:type="dxa"/>
            <w:gridSpan w:val="4"/>
          </w:tcPr>
          <w:p w14:paraId="4EE22753" w14:textId="77777777" w:rsidR="002313AF" w:rsidRPr="008549AA" w:rsidRDefault="002313AF" w:rsidP="005E471A">
            <w:pPr>
              <w:pStyle w:val="PwCNormal"/>
              <w:numPr>
                <w:ilvl w:val="0"/>
                <w:numId w:val="0"/>
              </w:numPr>
              <w:spacing w:before="120" w:after="120"/>
              <w:rPr>
                <w:rFonts w:asciiTheme="minorHAnsi" w:hAnsiTheme="minorHAnsi" w:cstheme="minorHAnsi"/>
                <w:color w:val="FF0000"/>
                <w:sz w:val="20"/>
              </w:rPr>
            </w:pPr>
            <w:r w:rsidRPr="008549AA">
              <w:rPr>
                <w:rFonts w:asciiTheme="minorHAnsi" w:hAnsiTheme="minorHAnsi" w:cstheme="minorHAnsi"/>
                <w:sz w:val="20"/>
              </w:rPr>
              <w:t>Implementation of this option would be complex and, if changes were to be made to the CCS/ACCS scheme, would require legislative and regulatory changes. It would also be dependent on approval from DTF. The high degree of complexity involved would mean it would be a long-term option.</w:t>
            </w:r>
          </w:p>
        </w:tc>
      </w:tr>
    </w:tbl>
    <w:p w14:paraId="008A87E7" w14:textId="6148391D" w:rsidR="007312D4" w:rsidRDefault="007312D4">
      <w:pPr>
        <w:spacing w:before="0" w:line="281" w:lineRule="auto"/>
        <w:rPr>
          <w:sz w:val="22"/>
          <w:szCs w:val="22"/>
        </w:rPr>
      </w:pPr>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9"/>
        <w:gridCol w:w="669"/>
        <w:gridCol w:w="707"/>
        <w:gridCol w:w="671"/>
      </w:tblGrid>
      <w:tr w:rsidR="005632EB" w:rsidRPr="008549AA" w14:paraId="79A60129" w14:textId="77777777" w:rsidTr="00404A23">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736" w:type="dxa"/>
            <w:gridSpan w:val="4"/>
            <w:shd w:val="clear" w:color="auto" w:fill="D04A02" w:themeFill="accent1"/>
          </w:tcPr>
          <w:p w14:paraId="495FC218" w14:textId="77777777" w:rsidR="005632EB" w:rsidRPr="008549AA" w:rsidRDefault="005632EB" w:rsidP="005E471A">
            <w:pPr>
              <w:pStyle w:val="PwCNormal"/>
              <w:numPr>
                <w:ilvl w:val="0"/>
                <w:numId w:val="2"/>
              </w:numPr>
              <w:spacing w:before="120" w:after="120"/>
              <w:rPr>
                <w:rFonts w:asciiTheme="minorHAnsi" w:hAnsiTheme="minorHAnsi" w:cstheme="minorHAnsi"/>
                <w:b/>
                <w:bCs/>
                <w:sz w:val="20"/>
                <w:highlight w:val="yellow"/>
              </w:rPr>
            </w:pPr>
            <w:r w:rsidRPr="008549AA">
              <w:rPr>
                <w:rFonts w:asciiTheme="minorHAnsi" w:hAnsiTheme="minorHAnsi" w:cstheme="minorHAnsi"/>
                <w:b/>
                <w:bCs/>
                <w:color w:val="FFFFFF" w:themeColor="background1"/>
                <w:sz w:val="20"/>
              </w:rPr>
              <w:lastRenderedPageBreak/>
              <w:t>Fund professional development opportunities for the workforce</w:t>
            </w:r>
          </w:p>
        </w:tc>
      </w:tr>
      <w:tr w:rsidR="005632EB" w:rsidRPr="008549AA" w14:paraId="18159C29" w14:textId="77777777" w:rsidTr="00404A23">
        <w:tc>
          <w:tcPr>
            <w:tcW w:w="9736" w:type="dxa"/>
            <w:gridSpan w:val="4"/>
            <w:shd w:val="clear" w:color="auto" w:fill="E5E5E5" w:themeFill="text2" w:themeFillTint="33"/>
          </w:tcPr>
          <w:p w14:paraId="7087780E" w14:textId="77777777" w:rsidR="005632EB" w:rsidRPr="008549AA" w:rsidRDefault="005632EB" w:rsidP="005E471A">
            <w:pPr>
              <w:pStyle w:val="PwCNormal"/>
              <w:numPr>
                <w:ilvl w:val="0"/>
                <w:numId w:val="2"/>
              </w:numPr>
              <w:spacing w:before="120" w:after="120"/>
              <w:rPr>
                <w:rFonts w:asciiTheme="minorHAnsi" w:hAnsiTheme="minorHAnsi" w:cstheme="minorHAnsi"/>
                <w:b/>
                <w:bCs/>
                <w:color w:val="FF0000"/>
                <w:sz w:val="20"/>
                <w:highlight w:val="yellow"/>
              </w:rPr>
            </w:pPr>
            <w:r w:rsidRPr="008549AA">
              <w:rPr>
                <w:rFonts w:asciiTheme="minorHAnsi" w:hAnsiTheme="minorHAnsi" w:cstheme="minorHAnsi"/>
                <w:b/>
                <w:bCs/>
                <w:color w:val="auto"/>
                <w:sz w:val="20"/>
              </w:rPr>
              <w:t>Description</w:t>
            </w:r>
          </w:p>
        </w:tc>
      </w:tr>
      <w:tr w:rsidR="005632EB" w:rsidRPr="008549AA" w14:paraId="254F92C2" w14:textId="77777777" w:rsidTr="00404A23">
        <w:tc>
          <w:tcPr>
            <w:tcW w:w="9736" w:type="dxa"/>
            <w:gridSpan w:val="4"/>
          </w:tcPr>
          <w:p w14:paraId="10149A1A" w14:textId="77777777" w:rsidR="005632EB" w:rsidRPr="008549AA" w:rsidRDefault="005632EB" w:rsidP="00671CD9">
            <w:pPr>
              <w:pStyle w:val="ListParagraph"/>
              <w:numPr>
                <w:ilvl w:val="0"/>
                <w:numId w:val="35"/>
              </w:numPr>
              <w:kinsoku w:val="0"/>
              <w:overflowPunct w:val="0"/>
              <w:autoSpaceDE w:val="0"/>
              <w:autoSpaceDN w:val="0"/>
              <w:adjustRightInd w:val="0"/>
              <w:snapToGrid w:val="0"/>
              <w:spacing w:after="120"/>
              <w:ind w:left="360"/>
              <w:contextualSpacing w:val="0"/>
              <w:rPr>
                <w:rFonts w:asciiTheme="minorHAnsi" w:hAnsiTheme="minorHAnsi" w:cstheme="minorHAnsi"/>
              </w:rPr>
            </w:pPr>
            <w:r w:rsidRPr="008549AA">
              <w:rPr>
                <w:rFonts w:asciiTheme="minorHAnsi" w:hAnsiTheme="minorHAnsi" w:cstheme="minorHAnsi"/>
              </w:rPr>
              <w:t>Provision of funding for IHCSAs to conduct and oversee professional development of IHC educators</w:t>
            </w:r>
          </w:p>
          <w:p w14:paraId="01689CAF" w14:textId="77777777" w:rsidR="005632EB" w:rsidRPr="008549AA" w:rsidRDefault="005632EB" w:rsidP="00671CD9">
            <w:pPr>
              <w:pStyle w:val="ListParagraph"/>
              <w:numPr>
                <w:ilvl w:val="0"/>
                <w:numId w:val="35"/>
              </w:numPr>
              <w:kinsoku w:val="0"/>
              <w:overflowPunct w:val="0"/>
              <w:autoSpaceDE w:val="0"/>
              <w:autoSpaceDN w:val="0"/>
              <w:adjustRightInd w:val="0"/>
              <w:snapToGrid w:val="0"/>
              <w:spacing w:after="120"/>
              <w:ind w:left="360"/>
              <w:contextualSpacing w:val="0"/>
              <w:rPr>
                <w:rFonts w:asciiTheme="minorHAnsi" w:hAnsiTheme="minorHAnsi" w:cstheme="minorHAnsi"/>
              </w:rPr>
            </w:pPr>
            <w:r w:rsidRPr="008549AA">
              <w:rPr>
                <w:rFonts w:asciiTheme="minorHAnsi" w:hAnsiTheme="minorHAnsi" w:cstheme="minorHAnsi"/>
              </w:rPr>
              <w:t>Direct funding to educators to access approved professional development</w:t>
            </w:r>
          </w:p>
        </w:tc>
      </w:tr>
      <w:tr w:rsidR="005632EB" w:rsidRPr="008549AA" w14:paraId="27EA9DC5" w14:textId="77777777" w:rsidTr="00404A23">
        <w:trPr>
          <w:trHeight w:val="50"/>
        </w:trPr>
        <w:tc>
          <w:tcPr>
            <w:tcW w:w="9736" w:type="dxa"/>
            <w:gridSpan w:val="4"/>
            <w:shd w:val="clear" w:color="auto" w:fill="E5E5E5" w:themeFill="text2" w:themeFillTint="33"/>
          </w:tcPr>
          <w:p w14:paraId="78BDE442" w14:textId="77777777" w:rsidR="005632EB" w:rsidRPr="008549AA" w:rsidRDefault="005632EB" w:rsidP="005E471A">
            <w:pPr>
              <w:pStyle w:val="PwCNormal"/>
              <w:numPr>
                <w:ilvl w:val="0"/>
                <w:numId w:val="2"/>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Impacted families</w:t>
            </w:r>
          </w:p>
        </w:tc>
      </w:tr>
      <w:tr w:rsidR="005632EB" w:rsidRPr="008549AA" w14:paraId="675341FE" w14:textId="77777777" w:rsidTr="00404A23">
        <w:trPr>
          <w:trHeight w:val="70"/>
        </w:trPr>
        <w:tc>
          <w:tcPr>
            <w:tcW w:w="7689" w:type="dxa"/>
          </w:tcPr>
          <w:p w14:paraId="6EB34C14" w14:textId="77777777" w:rsidR="005632EB" w:rsidRPr="008549AA" w:rsidRDefault="005632EB" w:rsidP="005E471A">
            <w:pPr>
              <w:pStyle w:val="PwCNormal"/>
              <w:numPr>
                <w:ilvl w:val="0"/>
                <w:numId w:val="0"/>
              </w:numPr>
              <w:spacing w:before="120" w:after="120"/>
              <w:rPr>
                <w:rFonts w:asciiTheme="minorHAnsi" w:hAnsiTheme="minorHAnsi" w:cstheme="minorHAnsi"/>
                <w:color w:val="auto"/>
                <w:sz w:val="20"/>
              </w:rPr>
            </w:pPr>
            <w:r w:rsidRPr="008549AA">
              <w:rPr>
                <w:rFonts w:asciiTheme="minorHAnsi" w:hAnsiTheme="minorHAnsi" w:cstheme="minorHAnsi"/>
                <w:sz w:val="20"/>
              </w:rPr>
              <w:t>This option would impact on the skills and training of all educators, which would therefore impact all families receiving IHC services.</w:t>
            </w:r>
          </w:p>
        </w:tc>
        <w:tc>
          <w:tcPr>
            <w:tcW w:w="669" w:type="dxa"/>
          </w:tcPr>
          <w:p w14:paraId="6F7AA056" w14:textId="77777777" w:rsidR="005632EB" w:rsidRPr="008549AA" w:rsidRDefault="005632EB"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58449C7E" wp14:editId="32EDBD90">
                  <wp:extent cx="288000" cy="288000"/>
                  <wp:effectExtent l="0" t="0" r="0" b="0"/>
                  <wp:docPr id="1948901127" name="Picture 1948901127"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88000" cy="288000"/>
                          </a:xfrm>
                          <a:prstGeom prst="rect">
                            <a:avLst/>
                          </a:prstGeom>
                        </pic:spPr>
                      </pic:pic>
                    </a:graphicData>
                  </a:graphic>
                </wp:inline>
              </w:drawing>
            </w:r>
          </w:p>
        </w:tc>
        <w:tc>
          <w:tcPr>
            <w:tcW w:w="707" w:type="dxa"/>
          </w:tcPr>
          <w:p w14:paraId="4E65F3DC" w14:textId="77777777" w:rsidR="005632EB" w:rsidRPr="008549AA" w:rsidRDefault="005632EB"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04BFA07A" wp14:editId="79583B94">
                  <wp:extent cx="288000" cy="288000"/>
                  <wp:effectExtent l="0" t="0" r="0" b="0"/>
                  <wp:docPr id="1948901128" name="Picture 1948901128"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288000" cy="288000"/>
                          </a:xfrm>
                          <a:prstGeom prst="rect">
                            <a:avLst/>
                          </a:prstGeom>
                        </pic:spPr>
                      </pic:pic>
                    </a:graphicData>
                  </a:graphic>
                </wp:inline>
              </w:drawing>
            </w:r>
          </w:p>
        </w:tc>
        <w:tc>
          <w:tcPr>
            <w:tcW w:w="671" w:type="dxa"/>
          </w:tcPr>
          <w:p w14:paraId="38491910" w14:textId="77777777" w:rsidR="005632EB" w:rsidRPr="008549AA" w:rsidRDefault="005632EB"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2400BEBD" wp14:editId="7EE6DA78">
                  <wp:extent cx="289367" cy="289367"/>
                  <wp:effectExtent l="0" t="0" r="0" b="0"/>
                  <wp:docPr id="1948901129" name="Picture 1948901129"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91885" cy="291885"/>
                          </a:xfrm>
                          <a:prstGeom prst="rect">
                            <a:avLst/>
                          </a:prstGeom>
                        </pic:spPr>
                      </pic:pic>
                    </a:graphicData>
                  </a:graphic>
                </wp:inline>
              </w:drawing>
            </w:r>
          </w:p>
        </w:tc>
      </w:tr>
      <w:tr w:rsidR="005632EB" w:rsidRPr="008549AA" w14:paraId="595B5860" w14:textId="77777777" w:rsidTr="00404A23">
        <w:tc>
          <w:tcPr>
            <w:tcW w:w="7689" w:type="dxa"/>
            <w:shd w:val="clear" w:color="auto" w:fill="E5E5E5" w:themeFill="text2" w:themeFillTint="33"/>
            <w:vAlign w:val="center"/>
          </w:tcPr>
          <w:p w14:paraId="00179C8C" w14:textId="77777777" w:rsidR="005632EB" w:rsidRPr="008549AA" w:rsidRDefault="005632EB"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Outcomes assessment summary</w:t>
            </w:r>
          </w:p>
        </w:tc>
        <w:tc>
          <w:tcPr>
            <w:tcW w:w="2047" w:type="dxa"/>
            <w:gridSpan w:val="3"/>
            <w:shd w:val="clear" w:color="auto" w:fill="D04A02" w:themeFill="accent1"/>
            <w:vAlign w:val="center"/>
          </w:tcPr>
          <w:p w14:paraId="24DD5039" w14:textId="77777777" w:rsidR="005632EB" w:rsidRPr="008549AA" w:rsidRDefault="005632EB" w:rsidP="005E471A">
            <w:pPr>
              <w:pStyle w:val="PwCNormal"/>
              <w:numPr>
                <w:ilvl w:val="0"/>
                <w:numId w:val="0"/>
              </w:numPr>
              <w:spacing w:before="120" w:after="120"/>
              <w:jc w:val="center"/>
              <w:rPr>
                <w:rFonts w:asciiTheme="minorHAnsi" w:hAnsiTheme="minorHAnsi" w:cstheme="minorHAnsi"/>
                <w:color w:val="FFFFFF" w:themeColor="background1"/>
                <w:sz w:val="20"/>
                <w:highlight w:val="yellow"/>
              </w:rPr>
            </w:pPr>
            <w:r w:rsidRPr="008549AA">
              <w:rPr>
                <w:rFonts w:asciiTheme="minorHAnsi" w:hAnsiTheme="minorHAnsi" w:cstheme="minorHAnsi"/>
                <w:b/>
                <w:color w:val="FFFFFF" w:themeColor="background1"/>
                <w:sz w:val="20"/>
              </w:rPr>
              <w:t>Moderate impact</w:t>
            </w:r>
          </w:p>
        </w:tc>
      </w:tr>
      <w:tr w:rsidR="005632EB" w:rsidRPr="008549AA" w14:paraId="3EC20C5F" w14:textId="77777777" w:rsidTr="00404A23">
        <w:tc>
          <w:tcPr>
            <w:tcW w:w="9736" w:type="dxa"/>
            <w:gridSpan w:val="4"/>
          </w:tcPr>
          <w:p w14:paraId="205A2ECC" w14:textId="77777777" w:rsidR="005632EB" w:rsidRPr="008549AA" w:rsidRDefault="005632EB" w:rsidP="005E471A">
            <w:pPr>
              <w:pStyle w:val="PwCNormal"/>
              <w:numPr>
                <w:ilvl w:val="0"/>
                <w:numId w:val="0"/>
              </w:numPr>
              <w:spacing w:before="120" w:after="120"/>
              <w:rPr>
                <w:rFonts w:asciiTheme="minorHAnsi" w:hAnsiTheme="minorHAnsi" w:cstheme="minorHAnsi"/>
                <w:color w:val="FF0000"/>
                <w:sz w:val="20"/>
              </w:rPr>
            </w:pPr>
            <w:r w:rsidRPr="008549AA">
              <w:rPr>
                <w:rFonts w:asciiTheme="minorHAnsi" w:hAnsiTheme="minorHAnsi" w:cstheme="minorHAnsi"/>
                <w:color w:val="auto"/>
                <w:sz w:val="20"/>
              </w:rPr>
              <w:t>This option will improve equity and quality for families as it will build capability of the educator workforce delivering IHC. While access to professional development already exists in the form of free and online opportunities this will build from and strengthen these opportunities and make professional development more accessible to educators. Similarly, a Professional Development Subsidy is available via ECEC services to help qualified staff to complete training that adds to their skills as of 1 July 2023.</w:t>
            </w:r>
            <w:r w:rsidRPr="008549AA">
              <w:rPr>
                <w:rStyle w:val="FootnoteReference"/>
                <w:rFonts w:asciiTheme="minorHAnsi" w:hAnsiTheme="minorHAnsi" w:cstheme="minorHAnsi"/>
                <w:color w:val="auto"/>
                <w:sz w:val="20"/>
              </w:rPr>
              <w:footnoteReference w:id="57"/>
            </w:r>
            <w:r w:rsidRPr="008549AA">
              <w:rPr>
                <w:rFonts w:asciiTheme="minorHAnsi" w:hAnsiTheme="minorHAnsi" w:cstheme="minorHAnsi"/>
                <w:color w:val="auto"/>
                <w:sz w:val="20"/>
              </w:rPr>
              <w:t xml:space="preserve"> However, this is initially only available to services and staff in regional, remote and very remote locations, and First Nations services and educators.</w:t>
            </w:r>
          </w:p>
        </w:tc>
      </w:tr>
      <w:tr w:rsidR="005632EB" w:rsidRPr="008549AA" w14:paraId="63EC82F3" w14:textId="77777777" w:rsidTr="00404A23">
        <w:tc>
          <w:tcPr>
            <w:tcW w:w="7689" w:type="dxa"/>
            <w:shd w:val="clear" w:color="auto" w:fill="E5E5E5" w:themeFill="text2" w:themeFillTint="33"/>
            <w:vAlign w:val="center"/>
          </w:tcPr>
          <w:p w14:paraId="35615E32" w14:textId="77777777" w:rsidR="005632EB" w:rsidRPr="008549AA" w:rsidRDefault="005632EB"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Implementation risk summary</w:t>
            </w:r>
          </w:p>
        </w:tc>
        <w:tc>
          <w:tcPr>
            <w:tcW w:w="2047" w:type="dxa"/>
            <w:gridSpan w:val="3"/>
            <w:shd w:val="clear" w:color="auto" w:fill="D04A02" w:themeFill="accent1"/>
            <w:vAlign w:val="center"/>
          </w:tcPr>
          <w:p w14:paraId="73677B27" w14:textId="77777777" w:rsidR="005632EB" w:rsidRPr="008549AA" w:rsidRDefault="005632EB" w:rsidP="005E471A">
            <w:pPr>
              <w:pStyle w:val="PwCNormal"/>
              <w:numPr>
                <w:ilvl w:val="0"/>
                <w:numId w:val="0"/>
              </w:numPr>
              <w:spacing w:before="120" w:after="120"/>
              <w:jc w:val="center"/>
              <w:rPr>
                <w:rFonts w:asciiTheme="minorHAnsi" w:hAnsiTheme="minorHAnsi" w:cstheme="minorHAnsi"/>
                <w:color w:val="FFFFFF" w:themeColor="background1"/>
                <w:sz w:val="20"/>
                <w:highlight w:val="yellow"/>
              </w:rPr>
            </w:pPr>
            <w:r w:rsidRPr="008549AA">
              <w:rPr>
                <w:rFonts w:asciiTheme="minorHAnsi" w:hAnsiTheme="minorHAnsi" w:cstheme="minorHAnsi"/>
                <w:b/>
                <w:color w:val="FFFFFF" w:themeColor="background1"/>
                <w:sz w:val="20"/>
              </w:rPr>
              <w:t>Moderate risk</w:t>
            </w:r>
          </w:p>
        </w:tc>
      </w:tr>
      <w:tr w:rsidR="005632EB" w:rsidRPr="008549AA" w14:paraId="5B2291EA" w14:textId="77777777" w:rsidTr="00404A23">
        <w:tc>
          <w:tcPr>
            <w:tcW w:w="9736" w:type="dxa"/>
            <w:gridSpan w:val="4"/>
          </w:tcPr>
          <w:p w14:paraId="036880D1" w14:textId="77777777" w:rsidR="005632EB" w:rsidRPr="008549AA" w:rsidRDefault="005632EB"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sz w:val="20"/>
              </w:rPr>
              <w:t>Providing funding for workforce professional development would be a relatively low-cost option that could be rapidly implemented and with few challenges. It would need to align with any findings from the Productivity Commission’s current inquiry. However, it would be inconsistent with the approach to professional development for the ECEC sector more broadly.</w:t>
            </w:r>
          </w:p>
        </w:tc>
      </w:tr>
    </w:tbl>
    <w:p w14:paraId="5AE2C9AC" w14:textId="592DFB44" w:rsidR="005632EB" w:rsidRDefault="005632EB" w:rsidP="00215F1C">
      <w:pPr>
        <w:pStyle w:val="DocBodyText"/>
      </w:pPr>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9"/>
        <w:gridCol w:w="669"/>
        <w:gridCol w:w="707"/>
        <w:gridCol w:w="671"/>
      </w:tblGrid>
      <w:tr w:rsidR="005632EB" w:rsidRPr="008549AA" w14:paraId="7623AA40" w14:textId="77777777" w:rsidTr="00404A23">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746" w:type="dxa"/>
            <w:gridSpan w:val="4"/>
            <w:shd w:val="clear" w:color="auto" w:fill="D04A02" w:themeFill="accent1"/>
          </w:tcPr>
          <w:p w14:paraId="1CA1616F" w14:textId="77777777" w:rsidR="005632EB" w:rsidRPr="008549AA" w:rsidRDefault="005632EB" w:rsidP="005E471A">
            <w:pPr>
              <w:pStyle w:val="PwCNormal"/>
              <w:numPr>
                <w:ilvl w:val="0"/>
                <w:numId w:val="2"/>
              </w:numPr>
              <w:spacing w:before="120" w:after="120"/>
              <w:rPr>
                <w:rFonts w:asciiTheme="minorHAnsi" w:hAnsiTheme="minorHAnsi" w:cstheme="minorHAnsi"/>
                <w:b/>
                <w:bCs/>
                <w:sz w:val="20"/>
                <w:highlight w:val="yellow"/>
              </w:rPr>
            </w:pPr>
            <w:r w:rsidRPr="008549AA">
              <w:rPr>
                <w:rFonts w:asciiTheme="minorHAnsi" w:hAnsiTheme="minorHAnsi" w:cstheme="minorHAnsi"/>
                <w:b/>
                <w:bCs/>
                <w:color w:val="FFFFFF" w:themeColor="background1"/>
                <w:sz w:val="20"/>
              </w:rPr>
              <w:t>Block funding to support provider financial viability</w:t>
            </w:r>
          </w:p>
        </w:tc>
      </w:tr>
      <w:tr w:rsidR="005632EB" w:rsidRPr="008549AA" w14:paraId="372EA0AF" w14:textId="77777777" w:rsidTr="00404A23">
        <w:tc>
          <w:tcPr>
            <w:tcW w:w="9746" w:type="dxa"/>
            <w:gridSpan w:val="4"/>
            <w:shd w:val="clear" w:color="auto" w:fill="E5E5E5" w:themeFill="text2" w:themeFillTint="33"/>
          </w:tcPr>
          <w:p w14:paraId="51474BAA" w14:textId="77777777" w:rsidR="005632EB" w:rsidRPr="008549AA" w:rsidRDefault="005632EB" w:rsidP="005E471A">
            <w:pPr>
              <w:pStyle w:val="PwCNormal"/>
              <w:numPr>
                <w:ilvl w:val="0"/>
                <w:numId w:val="2"/>
              </w:numPr>
              <w:spacing w:before="120" w:after="120"/>
              <w:rPr>
                <w:rFonts w:asciiTheme="minorHAnsi" w:hAnsiTheme="minorHAnsi" w:cstheme="minorHAnsi"/>
                <w:b/>
                <w:bCs/>
                <w:color w:val="FF0000"/>
                <w:sz w:val="20"/>
                <w:highlight w:val="yellow"/>
              </w:rPr>
            </w:pPr>
            <w:r w:rsidRPr="008549AA">
              <w:rPr>
                <w:rFonts w:asciiTheme="minorHAnsi" w:hAnsiTheme="minorHAnsi" w:cstheme="minorHAnsi"/>
                <w:b/>
                <w:bCs/>
                <w:color w:val="auto"/>
                <w:sz w:val="20"/>
              </w:rPr>
              <w:t>Description</w:t>
            </w:r>
          </w:p>
        </w:tc>
      </w:tr>
      <w:tr w:rsidR="005632EB" w:rsidRPr="008549AA" w14:paraId="38C386B6" w14:textId="77777777" w:rsidTr="00404A23">
        <w:tc>
          <w:tcPr>
            <w:tcW w:w="9746" w:type="dxa"/>
            <w:gridSpan w:val="4"/>
          </w:tcPr>
          <w:p w14:paraId="12D730F2" w14:textId="77777777" w:rsidR="005632EB" w:rsidRPr="008549AA" w:rsidRDefault="005632EB" w:rsidP="00671CD9">
            <w:pPr>
              <w:pStyle w:val="ListParagraph"/>
              <w:numPr>
                <w:ilvl w:val="0"/>
                <w:numId w:val="36"/>
              </w:numPr>
              <w:kinsoku w:val="0"/>
              <w:overflowPunct w:val="0"/>
              <w:autoSpaceDE w:val="0"/>
              <w:autoSpaceDN w:val="0"/>
              <w:adjustRightInd w:val="0"/>
              <w:snapToGrid w:val="0"/>
              <w:spacing w:after="120"/>
              <w:ind w:left="360"/>
              <w:contextualSpacing w:val="0"/>
              <w:rPr>
                <w:rFonts w:asciiTheme="minorHAnsi" w:hAnsiTheme="minorHAnsi" w:cstheme="minorHAnsi"/>
              </w:rPr>
            </w:pPr>
            <w:r w:rsidRPr="008549AA">
              <w:rPr>
                <w:rFonts w:asciiTheme="minorHAnsi" w:hAnsiTheme="minorHAnsi" w:cstheme="minorHAnsi"/>
              </w:rPr>
              <w:t>Grant program/funding to support service viability in recognition of the increased costs and risks associated with providing IHC care compared to other forms of ECEC</w:t>
            </w:r>
          </w:p>
          <w:p w14:paraId="647D5F72" w14:textId="77777777" w:rsidR="005632EB" w:rsidRPr="008549AA" w:rsidRDefault="005632EB" w:rsidP="00671CD9">
            <w:pPr>
              <w:pStyle w:val="ListParagraph"/>
              <w:numPr>
                <w:ilvl w:val="0"/>
                <w:numId w:val="36"/>
              </w:numPr>
              <w:kinsoku w:val="0"/>
              <w:overflowPunct w:val="0"/>
              <w:autoSpaceDE w:val="0"/>
              <w:autoSpaceDN w:val="0"/>
              <w:adjustRightInd w:val="0"/>
              <w:snapToGrid w:val="0"/>
              <w:spacing w:after="120"/>
              <w:ind w:left="360"/>
              <w:contextualSpacing w:val="0"/>
              <w:rPr>
                <w:rFonts w:asciiTheme="minorHAnsi" w:hAnsiTheme="minorHAnsi" w:cstheme="minorHAnsi"/>
              </w:rPr>
            </w:pPr>
            <w:r w:rsidRPr="008549AA">
              <w:rPr>
                <w:rFonts w:asciiTheme="minorHAnsi" w:hAnsiTheme="minorHAnsi" w:cstheme="minorHAnsi"/>
              </w:rPr>
              <w:t>Provision of operational funding for IHC providers based on per family accessing IHC through the provider</w:t>
            </w:r>
          </w:p>
        </w:tc>
      </w:tr>
      <w:tr w:rsidR="005632EB" w:rsidRPr="008549AA" w14:paraId="4F392B0F" w14:textId="77777777" w:rsidTr="00404A23">
        <w:trPr>
          <w:trHeight w:val="50"/>
        </w:trPr>
        <w:tc>
          <w:tcPr>
            <w:tcW w:w="9746" w:type="dxa"/>
            <w:gridSpan w:val="4"/>
            <w:shd w:val="clear" w:color="auto" w:fill="E5E5E5" w:themeFill="text2" w:themeFillTint="33"/>
          </w:tcPr>
          <w:p w14:paraId="4013B5FB" w14:textId="77777777" w:rsidR="005632EB" w:rsidRPr="008549AA" w:rsidRDefault="005632EB" w:rsidP="005E471A">
            <w:pPr>
              <w:pStyle w:val="PwCNormal"/>
              <w:numPr>
                <w:ilvl w:val="0"/>
                <w:numId w:val="2"/>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Impacted families</w:t>
            </w:r>
          </w:p>
        </w:tc>
      </w:tr>
      <w:tr w:rsidR="005632EB" w:rsidRPr="008549AA" w14:paraId="677203BE" w14:textId="77777777" w:rsidTr="00404A23">
        <w:trPr>
          <w:trHeight w:val="70"/>
        </w:trPr>
        <w:tc>
          <w:tcPr>
            <w:tcW w:w="7699" w:type="dxa"/>
          </w:tcPr>
          <w:p w14:paraId="5F35C639" w14:textId="77777777" w:rsidR="005632EB" w:rsidRPr="008549AA" w:rsidRDefault="005632EB" w:rsidP="005E471A">
            <w:pPr>
              <w:pStyle w:val="PwCNormal"/>
              <w:numPr>
                <w:ilvl w:val="0"/>
                <w:numId w:val="0"/>
              </w:numPr>
              <w:spacing w:before="120" w:after="120"/>
              <w:rPr>
                <w:rFonts w:asciiTheme="minorHAnsi" w:hAnsiTheme="minorHAnsi" w:cstheme="minorHAnsi"/>
                <w:color w:val="auto"/>
                <w:sz w:val="20"/>
              </w:rPr>
            </w:pPr>
            <w:r w:rsidRPr="008549AA">
              <w:rPr>
                <w:rFonts w:asciiTheme="minorHAnsi" w:hAnsiTheme="minorHAnsi" w:cstheme="minorHAnsi"/>
                <w:sz w:val="20"/>
              </w:rPr>
              <w:t>This option will impact the financial viability of IHC providers and will therefore impact all three cohorts of families.</w:t>
            </w:r>
          </w:p>
        </w:tc>
        <w:tc>
          <w:tcPr>
            <w:tcW w:w="669" w:type="dxa"/>
          </w:tcPr>
          <w:p w14:paraId="2D026880" w14:textId="77777777" w:rsidR="005632EB" w:rsidRPr="008549AA" w:rsidRDefault="005632EB"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1B5DA3E6" wp14:editId="74D0DD6A">
                  <wp:extent cx="288000" cy="288000"/>
                  <wp:effectExtent l="0" t="0" r="0" b="0"/>
                  <wp:docPr id="1948901130" name="Picture 1948901130"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8000" cy="288000"/>
                          </a:xfrm>
                          <a:prstGeom prst="rect">
                            <a:avLst/>
                          </a:prstGeom>
                        </pic:spPr>
                      </pic:pic>
                    </a:graphicData>
                  </a:graphic>
                </wp:inline>
              </w:drawing>
            </w:r>
          </w:p>
        </w:tc>
        <w:tc>
          <w:tcPr>
            <w:tcW w:w="707" w:type="dxa"/>
          </w:tcPr>
          <w:p w14:paraId="506FD0A3" w14:textId="77777777" w:rsidR="005632EB" w:rsidRPr="008549AA" w:rsidRDefault="005632EB"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3A5E2140" wp14:editId="2FF21308">
                  <wp:extent cx="288000" cy="288000"/>
                  <wp:effectExtent l="0" t="0" r="0" b="0"/>
                  <wp:docPr id="1948901131" name="Picture 1948901131"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88000" cy="288000"/>
                          </a:xfrm>
                          <a:prstGeom prst="rect">
                            <a:avLst/>
                          </a:prstGeom>
                        </pic:spPr>
                      </pic:pic>
                    </a:graphicData>
                  </a:graphic>
                </wp:inline>
              </w:drawing>
            </w:r>
          </w:p>
        </w:tc>
        <w:tc>
          <w:tcPr>
            <w:tcW w:w="671" w:type="dxa"/>
          </w:tcPr>
          <w:p w14:paraId="6CA3EAC2" w14:textId="77777777" w:rsidR="005632EB" w:rsidRPr="008549AA" w:rsidRDefault="005632EB"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375684A2" wp14:editId="12D92877">
                  <wp:extent cx="289367" cy="289367"/>
                  <wp:effectExtent l="0" t="0" r="0" b="0"/>
                  <wp:docPr id="1948901132" name="Picture 1948901132"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291885" cy="291885"/>
                          </a:xfrm>
                          <a:prstGeom prst="rect">
                            <a:avLst/>
                          </a:prstGeom>
                        </pic:spPr>
                      </pic:pic>
                    </a:graphicData>
                  </a:graphic>
                </wp:inline>
              </w:drawing>
            </w:r>
          </w:p>
        </w:tc>
      </w:tr>
      <w:tr w:rsidR="005632EB" w:rsidRPr="008549AA" w14:paraId="33E12F11" w14:textId="77777777" w:rsidTr="00404A23">
        <w:tc>
          <w:tcPr>
            <w:tcW w:w="7699" w:type="dxa"/>
            <w:shd w:val="clear" w:color="auto" w:fill="E5E5E5" w:themeFill="text2" w:themeFillTint="33"/>
            <w:vAlign w:val="center"/>
          </w:tcPr>
          <w:p w14:paraId="1C068630" w14:textId="77777777" w:rsidR="005632EB" w:rsidRPr="008549AA" w:rsidRDefault="005632EB"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Outcomes assessment summary</w:t>
            </w:r>
          </w:p>
        </w:tc>
        <w:tc>
          <w:tcPr>
            <w:tcW w:w="2047" w:type="dxa"/>
            <w:gridSpan w:val="3"/>
            <w:shd w:val="clear" w:color="auto" w:fill="175C2C"/>
            <w:vAlign w:val="center"/>
          </w:tcPr>
          <w:p w14:paraId="4156A412" w14:textId="77777777" w:rsidR="005632EB" w:rsidRPr="008549AA" w:rsidRDefault="005632EB" w:rsidP="005E471A">
            <w:pPr>
              <w:pStyle w:val="PwCNormal"/>
              <w:numPr>
                <w:ilvl w:val="0"/>
                <w:numId w:val="0"/>
              </w:numPr>
              <w:spacing w:before="120" w:after="120"/>
              <w:jc w:val="center"/>
              <w:rPr>
                <w:rFonts w:asciiTheme="minorHAnsi" w:hAnsiTheme="minorHAnsi" w:cstheme="minorHAnsi"/>
                <w:color w:val="FFFFFF" w:themeColor="background1"/>
                <w:sz w:val="20"/>
                <w:highlight w:val="yellow"/>
              </w:rPr>
            </w:pPr>
            <w:r w:rsidRPr="008549AA">
              <w:rPr>
                <w:rFonts w:asciiTheme="minorHAnsi" w:hAnsiTheme="minorHAnsi" w:cstheme="minorHAnsi"/>
                <w:b/>
                <w:color w:val="FFFFFF" w:themeColor="background1"/>
                <w:sz w:val="20"/>
              </w:rPr>
              <w:t>High impact</w:t>
            </w:r>
          </w:p>
        </w:tc>
      </w:tr>
      <w:tr w:rsidR="005632EB" w:rsidRPr="008549AA" w14:paraId="41C6A89B" w14:textId="77777777" w:rsidTr="00404A23">
        <w:tc>
          <w:tcPr>
            <w:tcW w:w="9746" w:type="dxa"/>
            <w:gridSpan w:val="4"/>
          </w:tcPr>
          <w:p w14:paraId="60D76190" w14:textId="77777777" w:rsidR="005632EB" w:rsidRPr="008549AA" w:rsidRDefault="005632EB" w:rsidP="005E471A">
            <w:pPr>
              <w:pStyle w:val="PwCNormal"/>
              <w:numPr>
                <w:ilvl w:val="0"/>
                <w:numId w:val="0"/>
              </w:numPr>
              <w:spacing w:before="120" w:after="120"/>
              <w:rPr>
                <w:rFonts w:asciiTheme="minorHAnsi" w:hAnsiTheme="minorHAnsi" w:cstheme="minorHAnsi"/>
                <w:color w:val="FF0000"/>
                <w:sz w:val="20"/>
              </w:rPr>
            </w:pPr>
            <w:r w:rsidRPr="008549AA">
              <w:rPr>
                <w:rFonts w:asciiTheme="minorHAnsi" w:hAnsiTheme="minorHAnsi" w:cstheme="minorHAnsi"/>
                <w:color w:val="auto"/>
                <w:sz w:val="20"/>
              </w:rPr>
              <w:t>Reverting to block/grant funding would provide significant uplift to the equity, affordability, accessibility, quality and sustainability of the program. However, this would also be a shift away from recent funding policy which has transitioned to per child and family funding arrangements.</w:t>
            </w:r>
          </w:p>
        </w:tc>
      </w:tr>
      <w:tr w:rsidR="005632EB" w:rsidRPr="008549AA" w14:paraId="49C7648B" w14:textId="77777777" w:rsidTr="00404A23">
        <w:tc>
          <w:tcPr>
            <w:tcW w:w="7699" w:type="dxa"/>
            <w:shd w:val="clear" w:color="auto" w:fill="E5E5E5" w:themeFill="text2" w:themeFillTint="33"/>
            <w:vAlign w:val="center"/>
          </w:tcPr>
          <w:p w14:paraId="7D3F0D3C" w14:textId="77777777" w:rsidR="005632EB" w:rsidRPr="008549AA" w:rsidRDefault="005632EB"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Implementation risk summary</w:t>
            </w:r>
          </w:p>
        </w:tc>
        <w:tc>
          <w:tcPr>
            <w:tcW w:w="2047" w:type="dxa"/>
            <w:gridSpan w:val="3"/>
            <w:shd w:val="clear" w:color="auto" w:fill="D04A02" w:themeFill="accent1"/>
            <w:vAlign w:val="center"/>
          </w:tcPr>
          <w:p w14:paraId="76EBA936" w14:textId="77777777" w:rsidR="005632EB" w:rsidRPr="008549AA" w:rsidRDefault="005632EB" w:rsidP="005E471A">
            <w:pPr>
              <w:pStyle w:val="PwCNormal"/>
              <w:numPr>
                <w:ilvl w:val="0"/>
                <w:numId w:val="0"/>
              </w:numPr>
              <w:spacing w:before="120" w:after="120"/>
              <w:jc w:val="center"/>
              <w:rPr>
                <w:rFonts w:asciiTheme="minorHAnsi" w:hAnsiTheme="minorHAnsi" w:cstheme="minorHAnsi"/>
                <w:color w:val="FFFFFF" w:themeColor="background1"/>
                <w:sz w:val="20"/>
                <w:highlight w:val="yellow"/>
              </w:rPr>
            </w:pPr>
            <w:r w:rsidRPr="008549AA">
              <w:rPr>
                <w:rFonts w:asciiTheme="minorHAnsi" w:hAnsiTheme="minorHAnsi" w:cstheme="minorHAnsi"/>
                <w:b/>
                <w:color w:val="FFFFFF" w:themeColor="background1"/>
                <w:sz w:val="20"/>
              </w:rPr>
              <w:t>Moderate risk</w:t>
            </w:r>
          </w:p>
        </w:tc>
      </w:tr>
      <w:tr w:rsidR="005632EB" w:rsidRPr="008549AA" w14:paraId="342F730E" w14:textId="77777777" w:rsidTr="00404A23">
        <w:tc>
          <w:tcPr>
            <w:tcW w:w="9746" w:type="dxa"/>
            <w:gridSpan w:val="4"/>
          </w:tcPr>
          <w:p w14:paraId="0168FFF1" w14:textId="77777777" w:rsidR="005632EB" w:rsidRPr="008549AA" w:rsidRDefault="005632EB"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sz w:val="20"/>
              </w:rPr>
              <w:t xml:space="preserve">While this would be a relatively straightforward option to implement in the short term there are some risks associated with reverting back to block funding to support IHC services given the deliberate shift to per child </w:t>
            </w:r>
            <w:r w:rsidRPr="008549AA">
              <w:rPr>
                <w:rFonts w:asciiTheme="minorHAnsi" w:hAnsiTheme="minorHAnsi" w:cstheme="minorHAnsi"/>
                <w:sz w:val="20"/>
              </w:rPr>
              <w:lastRenderedPageBreak/>
              <w:t>funding across the sector. Additional, ongoing funding would need to be approved from government though block funding should ideally leverage existing schemes (e.g. CCCF).</w:t>
            </w:r>
          </w:p>
        </w:tc>
      </w:tr>
    </w:tbl>
    <w:p w14:paraId="555C9459" w14:textId="6CF52B07" w:rsidR="00B57DEB" w:rsidRDefault="00B57DEB" w:rsidP="00B57DEB">
      <w:pPr>
        <w:pStyle w:val="DocHeading02"/>
      </w:pPr>
      <w:bookmarkStart w:id="81" w:name="_Toc139022140"/>
      <w:bookmarkStart w:id="82" w:name="_Toc140148418"/>
      <w:bookmarkStart w:id="83" w:name="_Toc140149916"/>
      <w:r w:rsidRPr="00B6071A">
        <w:lastRenderedPageBreak/>
        <w:t>Quality and Safety</w:t>
      </w:r>
      <w:bookmarkEnd w:id="81"/>
      <w:bookmarkEnd w:id="82"/>
      <w:bookmarkEnd w:id="83"/>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4"/>
        <w:gridCol w:w="669"/>
        <w:gridCol w:w="707"/>
        <w:gridCol w:w="671"/>
      </w:tblGrid>
      <w:tr w:rsidR="00B57DEB" w:rsidRPr="008549AA" w14:paraId="10FDE8DD" w14:textId="77777777" w:rsidTr="00404A23">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855" w:type="dxa"/>
            <w:gridSpan w:val="4"/>
            <w:shd w:val="clear" w:color="auto" w:fill="D04A02" w:themeFill="accent1"/>
          </w:tcPr>
          <w:p w14:paraId="58B77485" w14:textId="77777777" w:rsidR="00B57DEB" w:rsidRPr="008549AA" w:rsidRDefault="00B57DEB" w:rsidP="005E471A">
            <w:pPr>
              <w:pStyle w:val="PwCNormal"/>
              <w:numPr>
                <w:ilvl w:val="0"/>
                <w:numId w:val="2"/>
              </w:numPr>
              <w:spacing w:before="120" w:after="120"/>
              <w:rPr>
                <w:rFonts w:asciiTheme="minorHAnsi" w:hAnsiTheme="minorHAnsi" w:cstheme="minorHAnsi"/>
                <w:b/>
                <w:bCs/>
                <w:sz w:val="20"/>
                <w:highlight w:val="yellow"/>
              </w:rPr>
            </w:pPr>
            <w:r w:rsidRPr="008549AA">
              <w:rPr>
                <w:rFonts w:asciiTheme="minorHAnsi" w:hAnsiTheme="minorHAnsi" w:cstheme="minorHAnsi"/>
                <w:b/>
                <w:bCs/>
                <w:color w:val="FFFFFF" w:themeColor="background1"/>
                <w:sz w:val="20"/>
              </w:rPr>
              <w:t>Improve data and IT systems for monitoring, reporting an oversight</w:t>
            </w:r>
          </w:p>
        </w:tc>
      </w:tr>
      <w:tr w:rsidR="00B57DEB" w:rsidRPr="008549AA" w14:paraId="2A4A4D18" w14:textId="77777777" w:rsidTr="00404A23">
        <w:tc>
          <w:tcPr>
            <w:tcW w:w="9855" w:type="dxa"/>
            <w:gridSpan w:val="4"/>
            <w:shd w:val="clear" w:color="auto" w:fill="E5E5E5" w:themeFill="text2" w:themeFillTint="33"/>
          </w:tcPr>
          <w:p w14:paraId="77DB11E4" w14:textId="77777777" w:rsidR="00B57DEB" w:rsidRPr="008549AA" w:rsidRDefault="00B57DEB" w:rsidP="005E471A">
            <w:pPr>
              <w:pStyle w:val="PwCNormal"/>
              <w:numPr>
                <w:ilvl w:val="0"/>
                <w:numId w:val="2"/>
              </w:numPr>
              <w:spacing w:before="120" w:after="120"/>
              <w:rPr>
                <w:rFonts w:asciiTheme="minorHAnsi" w:hAnsiTheme="minorHAnsi" w:cstheme="minorHAnsi"/>
                <w:b/>
                <w:bCs/>
                <w:color w:val="FF0000"/>
                <w:sz w:val="20"/>
                <w:highlight w:val="yellow"/>
              </w:rPr>
            </w:pPr>
            <w:r w:rsidRPr="008549AA">
              <w:rPr>
                <w:rFonts w:asciiTheme="minorHAnsi" w:hAnsiTheme="minorHAnsi" w:cstheme="minorHAnsi"/>
                <w:b/>
                <w:bCs/>
                <w:color w:val="auto"/>
                <w:sz w:val="20"/>
              </w:rPr>
              <w:t>Description</w:t>
            </w:r>
          </w:p>
        </w:tc>
      </w:tr>
      <w:tr w:rsidR="00B57DEB" w:rsidRPr="008549AA" w14:paraId="36940371" w14:textId="77777777" w:rsidTr="00404A23">
        <w:tc>
          <w:tcPr>
            <w:tcW w:w="9855" w:type="dxa"/>
            <w:gridSpan w:val="4"/>
          </w:tcPr>
          <w:p w14:paraId="7F7C4F88" w14:textId="77777777" w:rsidR="00B57DEB" w:rsidRPr="008549AA" w:rsidRDefault="00B57DEB" w:rsidP="00671CD9">
            <w:pPr>
              <w:pStyle w:val="ListParagraph"/>
              <w:numPr>
                <w:ilvl w:val="0"/>
                <w:numId w:val="37"/>
              </w:numPr>
              <w:kinsoku w:val="0"/>
              <w:overflowPunct w:val="0"/>
              <w:autoSpaceDE w:val="0"/>
              <w:autoSpaceDN w:val="0"/>
              <w:adjustRightInd w:val="0"/>
              <w:snapToGrid w:val="0"/>
              <w:spacing w:after="120"/>
              <w:ind w:left="360"/>
              <w:contextualSpacing w:val="0"/>
              <w:rPr>
                <w:rFonts w:asciiTheme="minorHAnsi" w:hAnsiTheme="minorHAnsi" w:cstheme="minorHAnsi"/>
              </w:rPr>
            </w:pPr>
            <w:r w:rsidRPr="008549AA">
              <w:rPr>
                <w:rFonts w:asciiTheme="minorHAnsi" w:hAnsiTheme="minorHAnsi" w:cstheme="minorHAnsi"/>
              </w:rPr>
              <w:t>Streamlining IT reporting systems for IHCSAs to report data</w:t>
            </w:r>
          </w:p>
          <w:p w14:paraId="5F040EFD" w14:textId="77777777" w:rsidR="00B57DEB" w:rsidRPr="008549AA" w:rsidRDefault="00B57DEB" w:rsidP="00671CD9">
            <w:pPr>
              <w:pStyle w:val="ListParagraph"/>
              <w:numPr>
                <w:ilvl w:val="0"/>
                <w:numId w:val="37"/>
              </w:numPr>
              <w:kinsoku w:val="0"/>
              <w:overflowPunct w:val="0"/>
              <w:autoSpaceDE w:val="0"/>
              <w:autoSpaceDN w:val="0"/>
              <w:adjustRightInd w:val="0"/>
              <w:snapToGrid w:val="0"/>
              <w:spacing w:after="120"/>
              <w:ind w:left="360"/>
              <w:contextualSpacing w:val="0"/>
              <w:rPr>
                <w:rFonts w:asciiTheme="minorHAnsi" w:hAnsiTheme="minorHAnsi" w:cstheme="minorHAnsi"/>
              </w:rPr>
            </w:pPr>
            <w:r w:rsidRPr="008549AA">
              <w:rPr>
                <w:rFonts w:asciiTheme="minorHAnsi" w:hAnsiTheme="minorHAnsi" w:cstheme="minorHAnsi"/>
              </w:rPr>
              <w:t>Creating a central data repository where IHC providers/support agencies/government can access “live” data on the program</w:t>
            </w:r>
          </w:p>
          <w:p w14:paraId="39BFE00B" w14:textId="77777777" w:rsidR="00B57DEB" w:rsidRPr="008549AA" w:rsidRDefault="00B57DEB" w:rsidP="00671CD9">
            <w:pPr>
              <w:pStyle w:val="ListParagraph"/>
              <w:numPr>
                <w:ilvl w:val="0"/>
                <w:numId w:val="37"/>
              </w:numPr>
              <w:kinsoku w:val="0"/>
              <w:overflowPunct w:val="0"/>
              <w:autoSpaceDE w:val="0"/>
              <w:autoSpaceDN w:val="0"/>
              <w:adjustRightInd w:val="0"/>
              <w:snapToGrid w:val="0"/>
              <w:spacing w:after="120"/>
              <w:ind w:left="360"/>
              <w:contextualSpacing w:val="0"/>
              <w:rPr>
                <w:rFonts w:asciiTheme="minorHAnsi" w:hAnsiTheme="minorHAnsi" w:cstheme="minorHAnsi"/>
              </w:rPr>
            </w:pPr>
            <w:r w:rsidRPr="008549AA">
              <w:rPr>
                <w:rFonts w:asciiTheme="minorHAnsi" w:hAnsiTheme="minorHAnsi" w:cstheme="minorHAnsi"/>
              </w:rPr>
              <w:t>Increasing the frequency of data collection processes to enhance program administration understanding and identify any potential quality and safety risks.</w:t>
            </w:r>
          </w:p>
          <w:p w14:paraId="1102E190" w14:textId="77777777" w:rsidR="00B57DEB" w:rsidRPr="008549AA" w:rsidRDefault="00B57DEB" w:rsidP="00671CD9">
            <w:pPr>
              <w:pStyle w:val="ListParagraph"/>
              <w:numPr>
                <w:ilvl w:val="0"/>
                <w:numId w:val="37"/>
              </w:numPr>
              <w:kinsoku w:val="0"/>
              <w:overflowPunct w:val="0"/>
              <w:autoSpaceDE w:val="0"/>
              <w:autoSpaceDN w:val="0"/>
              <w:adjustRightInd w:val="0"/>
              <w:snapToGrid w:val="0"/>
              <w:spacing w:after="120"/>
              <w:ind w:left="360"/>
              <w:contextualSpacing w:val="0"/>
              <w:rPr>
                <w:rFonts w:asciiTheme="minorHAnsi" w:hAnsiTheme="minorHAnsi" w:cstheme="minorHAnsi"/>
              </w:rPr>
            </w:pPr>
            <w:r w:rsidRPr="008549AA">
              <w:rPr>
                <w:rFonts w:asciiTheme="minorHAnsi" w:hAnsiTheme="minorHAnsi" w:cstheme="minorHAnsi"/>
              </w:rPr>
              <w:t>Integrating IHC data into other data/IT systems such as the Child Care Subsidy System (CCSS)</w:t>
            </w:r>
          </w:p>
        </w:tc>
      </w:tr>
      <w:tr w:rsidR="00B57DEB" w:rsidRPr="008549AA" w14:paraId="3B57FF72" w14:textId="77777777" w:rsidTr="00404A23">
        <w:trPr>
          <w:trHeight w:val="50"/>
        </w:trPr>
        <w:tc>
          <w:tcPr>
            <w:tcW w:w="9855" w:type="dxa"/>
            <w:gridSpan w:val="4"/>
            <w:shd w:val="clear" w:color="auto" w:fill="E5E5E5" w:themeFill="text2" w:themeFillTint="33"/>
          </w:tcPr>
          <w:p w14:paraId="6754CD61" w14:textId="77777777" w:rsidR="00B57DEB" w:rsidRPr="008549AA" w:rsidRDefault="00B57DEB" w:rsidP="005E471A">
            <w:pPr>
              <w:pStyle w:val="PwCNormal"/>
              <w:numPr>
                <w:ilvl w:val="0"/>
                <w:numId w:val="2"/>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Impacted families</w:t>
            </w:r>
          </w:p>
        </w:tc>
      </w:tr>
      <w:tr w:rsidR="00B57DEB" w:rsidRPr="008549AA" w14:paraId="7974BF5B" w14:textId="77777777" w:rsidTr="00404A23">
        <w:trPr>
          <w:trHeight w:val="70"/>
        </w:trPr>
        <w:tc>
          <w:tcPr>
            <w:tcW w:w="7807" w:type="dxa"/>
          </w:tcPr>
          <w:p w14:paraId="39EF7FE5" w14:textId="77777777" w:rsidR="00B57DEB" w:rsidRPr="008549AA" w:rsidRDefault="00B57DEB" w:rsidP="005E471A">
            <w:pPr>
              <w:pStyle w:val="PwCNormal"/>
              <w:numPr>
                <w:ilvl w:val="0"/>
                <w:numId w:val="0"/>
              </w:numPr>
              <w:spacing w:before="120" w:after="120"/>
              <w:rPr>
                <w:rFonts w:asciiTheme="minorHAnsi" w:hAnsiTheme="minorHAnsi" w:cstheme="minorHAnsi"/>
                <w:color w:val="auto"/>
                <w:sz w:val="20"/>
              </w:rPr>
            </w:pPr>
            <w:r w:rsidRPr="008549AA">
              <w:rPr>
                <w:rFonts w:asciiTheme="minorHAnsi" w:hAnsiTheme="minorHAnsi" w:cstheme="minorHAnsi"/>
                <w:sz w:val="20"/>
              </w:rPr>
              <w:t>Data and IT system transformation will impact families indirectly by improving service quality over time and more accurate and up to date analytics on sector performance and demand.</w:t>
            </w:r>
          </w:p>
        </w:tc>
        <w:tc>
          <w:tcPr>
            <w:tcW w:w="669" w:type="dxa"/>
          </w:tcPr>
          <w:p w14:paraId="340A58F9" w14:textId="77777777" w:rsidR="00B57DEB" w:rsidRPr="008549AA" w:rsidRDefault="00B57DEB"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07F44899" wp14:editId="25973DDA">
                  <wp:extent cx="288000" cy="288000"/>
                  <wp:effectExtent l="0" t="0" r="0" b="0"/>
                  <wp:docPr id="260" name="Picture 260"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8000" cy="288000"/>
                          </a:xfrm>
                          <a:prstGeom prst="rect">
                            <a:avLst/>
                          </a:prstGeom>
                        </pic:spPr>
                      </pic:pic>
                    </a:graphicData>
                  </a:graphic>
                </wp:inline>
              </w:drawing>
            </w:r>
          </w:p>
        </w:tc>
        <w:tc>
          <w:tcPr>
            <w:tcW w:w="708" w:type="dxa"/>
          </w:tcPr>
          <w:p w14:paraId="0C0407B3" w14:textId="77777777" w:rsidR="00B57DEB" w:rsidRPr="008549AA" w:rsidRDefault="00B57DEB"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0E5A12F7" wp14:editId="681543DB">
                  <wp:extent cx="288000" cy="288000"/>
                  <wp:effectExtent l="0" t="0" r="0" b="0"/>
                  <wp:docPr id="261" name="Picture 261"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88000" cy="288000"/>
                          </a:xfrm>
                          <a:prstGeom prst="rect">
                            <a:avLst/>
                          </a:prstGeom>
                        </pic:spPr>
                      </pic:pic>
                    </a:graphicData>
                  </a:graphic>
                </wp:inline>
              </w:drawing>
            </w:r>
          </w:p>
        </w:tc>
        <w:tc>
          <w:tcPr>
            <w:tcW w:w="671" w:type="dxa"/>
          </w:tcPr>
          <w:p w14:paraId="11A81D32" w14:textId="77777777" w:rsidR="00B57DEB" w:rsidRPr="008549AA" w:rsidRDefault="00B57DEB"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0EFD03AE" wp14:editId="362C99CE">
                  <wp:extent cx="289367" cy="289367"/>
                  <wp:effectExtent l="0" t="0" r="0" b="0"/>
                  <wp:docPr id="263" name="Picture 263"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291885" cy="291885"/>
                          </a:xfrm>
                          <a:prstGeom prst="rect">
                            <a:avLst/>
                          </a:prstGeom>
                        </pic:spPr>
                      </pic:pic>
                    </a:graphicData>
                  </a:graphic>
                </wp:inline>
              </w:drawing>
            </w:r>
          </w:p>
        </w:tc>
      </w:tr>
      <w:tr w:rsidR="00B57DEB" w:rsidRPr="008549AA" w14:paraId="3C3B9D73" w14:textId="77777777" w:rsidTr="00404A23">
        <w:tc>
          <w:tcPr>
            <w:tcW w:w="7807" w:type="dxa"/>
            <w:shd w:val="clear" w:color="auto" w:fill="E5E5E5" w:themeFill="text2" w:themeFillTint="33"/>
            <w:vAlign w:val="center"/>
          </w:tcPr>
          <w:p w14:paraId="0EDE0F1B" w14:textId="77777777" w:rsidR="00B57DEB" w:rsidRPr="008549AA" w:rsidRDefault="00B57DEB"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Outcomes assessment summary</w:t>
            </w:r>
          </w:p>
        </w:tc>
        <w:tc>
          <w:tcPr>
            <w:tcW w:w="2048" w:type="dxa"/>
            <w:gridSpan w:val="3"/>
            <w:shd w:val="clear" w:color="auto" w:fill="175C2C"/>
            <w:vAlign w:val="center"/>
          </w:tcPr>
          <w:p w14:paraId="77F63AD3" w14:textId="77777777" w:rsidR="00B57DEB" w:rsidRPr="008549AA" w:rsidRDefault="00B57DEB" w:rsidP="005E471A">
            <w:pPr>
              <w:pStyle w:val="PwCNormal"/>
              <w:numPr>
                <w:ilvl w:val="0"/>
                <w:numId w:val="0"/>
              </w:numPr>
              <w:spacing w:before="120" w:after="120"/>
              <w:jc w:val="center"/>
              <w:rPr>
                <w:rFonts w:asciiTheme="minorHAnsi" w:hAnsiTheme="minorHAnsi" w:cstheme="minorHAnsi"/>
                <w:color w:val="FFFFFF" w:themeColor="background1"/>
                <w:sz w:val="20"/>
                <w:highlight w:val="yellow"/>
              </w:rPr>
            </w:pPr>
            <w:r w:rsidRPr="008549AA">
              <w:rPr>
                <w:rFonts w:asciiTheme="minorHAnsi" w:hAnsiTheme="minorHAnsi" w:cstheme="minorHAnsi"/>
                <w:b/>
                <w:color w:val="FFFFFF" w:themeColor="background1"/>
                <w:sz w:val="20"/>
              </w:rPr>
              <w:t>High impact</w:t>
            </w:r>
          </w:p>
        </w:tc>
      </w:tr>
      <w:tr w:rsidR="00B57DEB" w:rsidRPr="008549AA" w14:paraId="5B6BF624" w14:textId="77777777" w:rsidTr="00404A23">
        <w:tc>
          <w:tcPr>
            <w:tcW w:w="9855" w:type="dxa"/>
            <w:gridSpan w:val="4"/>
          </w:tcPr>
          <w:p w14:paraId="561414BA" w14:textId="77777777" w:rsidR="00B57DEB" w:rsidRPr="008549AA" w:rsidRDefault="00B57DEB" w:rsidP="005E471A">
            <w:pPr>
              <w:pStyle w:val="PwCNormal"/>
              <w:numPr>
                <w:ilvl w:val="0"/>
                <w:numId w:val="0"/>
              </w:numPr>
              <w:spacing w:before="120" w:after="120"/>
              <w:rPr>
                <w:rFonts w:asciiTheme="minorHAnsi" w:hAnsiTheme="minorHAnsi" w:cstheme="minorHAnsi"/>
                <w:color w:val="FF0000"/>
                <w:sz w:val="20"/>
              </w:rPr>
            </w:pPr>
            <w:r w:rsidRPr="008549AA">
              <w:rPr>
                <w:rFonts w:asciiTheme="minorHAnsi" w:hAnsiTheme="minorHAnsi" w:cstheme="minorHAnsi"/>
                <w:color w:val="auto"/>
                <w:sz w:val="20"/>
              </w:rPr>
              <w:t>Improving data and IT systems will impact all families that are part of the IHC program. Data and IT systems are critical for monitoring, reporting and oversight of quality, demand and risk across the IHC program. Improving these will enable greater oversight, and more informed decision making and planning.</w:t>
            </w:r>
          </w:p>
        </w:tc>
      </w:tr>
      <w:tr w:rsidR="00B57DEB" w:rsidRPr="008549AA" w14:paraId="06E3D2FD" w14:textId="77777777" w:rsidTr="00404A23">
        <w:tc>
          <w:tcPr>
            <w:tcW w:w="7807" w:type="dxa"/>
            <w:shd w:val="clear" w:color="auto" w:fill="E5E5E5" w:themeFill="text2" w:themeFillTint="33"/>
            <w:vAlign w:val="center"/>
          </w:tcPr>
          <w:p w14:paraId="57CEA35C" w14:textId="77777777" w:rsidR="00B57DEB" w:rsidRPr="008549AA" w:rsidRDefault="00B57DEB"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Implementation risk summary</w:t>
            </w:r>
          </w:p>
        </w:tc>
        <w:tc>
          <w:tcPr>
            <w:tcW w:w="2048" w:type="dxa"/>
            <w:gridSpan w:val="3"/>
            <w:shd w:val="clear" w:color="auto" w:fill="E0301E" w:themeFill="accent3"/>
            <w:vAlign w:val="center"/>
          </w:tcPr>
          <w:p w14:paraId="2D5DE9EC" w14:textId="77777777" w:rsidR="00B57DEB" w:rsidRPr="008549AA" w:rsidRDefault="00B57DEB" w:rsidP="005E471A">
            <w:pPr>
              <w:pStyle w:val="PwCNormal"/>
              <w:numPr>
                <w:ilvl w:val="0"/>
                <w:numId w:val="0"/>
              </w:numPr>
              <w:spacing w:before="120" w:after="120"/>
              <w:jc w:val="center"/>
              <w:rPr>
                <w:rFonts w:asciiTheme="minorHAnsi" w:hAnsiTheme="minorHAnsi" w:cstheme="minorHAnsi"/>
                <w:color w:val="FF0000"/>
                <w:sz w:val="20"/>
                <w:highlight w:val="yellow"/>
              </w:rPr>
            </w:pPr>
            <w:r w:rsidRPr="008549AA">
              <w:rPr>
                <w:rFonts w:asciiTheme="minorHAnsi" w:hAnsiTheme="minorHAnsi" w:cstheme="minorHAnsi"/>
                <w:b/>
                <w:bCs/>
                <w:color w:val="FFFFFF" w:themeColor="background1"/>
                <w:sz w:val="20"/>
              </w:rPr>
              <w:t>High</w:t>
            </w:r>
            <w:r w:rsidRPr="008549AA">
              <w:rPr>
                <w:rFonts w:asciiTheme="minorHAnsi" w:hAnsiTheme="minorHAnsi" w:cstheme="minorHAnsi"/>
                <w:b/>
                <w:color w:val="FFFFFF" w:themeColor="background1"/>
                <w:sz w:val="20"/>
              </w:rPr>
              <w:t xml:space="preserve"> risk</w:t>
            </w:r>
          </w:p>
        </w:tc>
      </w:tr>
      <w:tr w:rsidR="00B57DEB" w:rsidRPr="008549AA" w14:paraId="460D5149" w14:textId="77777777" w:rsidTr="00404A23">
        <w:trPr>
          <w:trHeight w:val="520"/>
        </w:trPr>
        <w:tc>
          <w:tcPr>
            <w:tcW w:w="9855" w:type="dxa"/>
            <w:gridSpan w:val="4"/>
          </w:tcPr>
          <w:p w14:paraId="6D21D5A0" w14:textId="77777777" w:rsidR="00B57DEB" w:rsidRPr="008549AA" w:rsidRDefault="00B57DEB" w:rsidP="005E471A">
            <w:pPr>
              <w:pStyle w:val="PwCNormal"/>
              <w:numPr>
                <w:ilvl w:val="0"/>
                <w:numId w:val="0"/>
              </w:numPr>
              <w:spacing w:before="120" w:after="120"/>
              <w:rPr>
                <w:rFonts w:asciiTheme="minorHAnsi" w:hAnsiTheme="minorHAnsi" w:cstheme="minorHAnsi"/>
                <w:sz w:val="20"/>
              </w:rPr>
            </w:pPr>
            <w:r w:rsidRPr="008549AA">
              <w:rPr>
                <w:rFonts w:asciiTheme="minorHAnsi" w:hAnsiTheme="minorHAnsi" w:cstheme="minorHAnsi"/>
                <w:sz w:val="20"/>
              </w:rPr>
              <w:t>Large scale data and IT system transformation is costly, long term, and requires considerable change management and support. There will also be legislative and regulatory changes required making this a large, complex initiative.</w:t>
            </w:r>
          </w:p>
        </w:tc>
      </w:tr>
    </w:tbl>
    <w:p w14:paraId="540D4874" w14:textId="55ACD4AF" w:rsidR="005632EB" w:rsidRDefault="005632EB" w:rsidP="00215F1C">
      <w:pPr>
        <w:pStyle w:val="DocBodyText"/>
      </w:pPr>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4"/>
        <w:gridCol w:w="669"/>
        <w:gridCol w:w="707"/>
        <w:gridCol w:w="671"/>
      </w:tblGrid>
      <w:tr w:rsidR="00E64554" w:rsidRPr="008549AA" w14:paraId="2E846C61" w14:textId="77777777" w:rsidTr="00404A23">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855" w:type="dxa"/>
            <w:gridSpan w:val="4"/>
            <w:shd w:val="clear" w:color="auto" w:fill="D04A02" w:themeFill="accent1"/>
          </w:tcPr>
          <w:p w14:paraId="15C4808D" w14:textId="77777777" w:rsidR="00E64554" w:rsidRPr="008549AA" w:rsidRDefault="00E64554" w:rsidP="005E471A">
            <w:pPr>
              <w:pStyle w:val="PwCNormal"/>
              <w:numPr>
                <w:ilvl w:val="0"/>
                <w:numId w:val="2"/>
              </w:numPr>
              <w:spacing w:before="120" w:after="120"/>
              <w:rPr>
                <w:rFonts w:asciiTheme="minorHAnsi" w:hAnsiTheme="minorHAnsi" w:cstheme="minorHAnsi"/>
                <w:b/>
                <w:bCs/>
                <w:sz w:val="20"/>
                <w:highlight w:val="yellow"/>
              </w:rPr>
            </w:pPr>
            <w:r w:rsidRPr="008549AA">
              <w:rPr>
                <w:rFonts w:asciiTheme="minorHAnsi" w:hAnsiTheme="minorHAnsi" w:cstheme="minorHAnsi"/>
                <w:b/>
                <w:bCs/>
                <w:color w:val="FFFFFF" w:themeColor="background1"/>
                <w:sz w:val="20"/>
              </w:rPr>
              <w:t>Enhance national consistency and quality of the program</w:t>
            </w:r>
          </w:p>
        </w:tc>
      </w:tr>
      <w:tr w:rsidR="00E64554" w:rsidRPr="008549AA" w14:paraId="5DBAE9DD" w14:textId="77777777" w:rsidTr="00404A23">
        <w:tc>
          <w:tcPr>
            <w:tcW w:w="9855" w:type="dxa"/>
            <w:gridSpan w:val="4"/>
            <w:shd w:val="clear" w:color="auto" w:fill="E5E5E5" w:themeFill="text2" w:themeFillTint="33"/>
          </w:tcPr>
          <w:p w14:paraId="293E7FD5" w14:textId="77777777" w:rsidR="00E64554" w:rsidRPr="008549AA" w:rsidRDefault="00E64554" w:rsidP="005E471A">
            <w:pPr>
              <w:pStyle w:val="PwCNormal"/>
              <w:numPr>
                <w:ilvl w:val="0"/>
                <w:numId w:val="2"/>
              </w:numPr>
              <w:spacing w:before="120" w:after="120"/>
              <w:rPr>
                <w:rFonts w:asciiTheme="minorHAnsi" w:hAnsiTheme="minorHAnsi" w:cstheme="minorHAnsi"/>
                <w:b/>
                <w:bCs/>
                <w:color w:val="FF0000"/>
                <w:sz w:val="20"/>
                <w:highlight w:val="yellow"/>
              </w:rPr>
            </w:pPr>
            <w:r w:rsidRPr="008549AA">
              <w:rPr>
                <w:rFonts w:asciiTheme="minorHAnsi" w:hAnsiTheme="minorHAnsi" w:cstheme="minorHAnsi"/>
                <w:b/>
                <w:bCs/>
                <w:color w:val="auto"/>
                <w:sz w:val="20"/>
              </w:rPr>
              <w:t>Description</w:t>
            </w:r>
          </w:p>
        </w:tc>
      </w:tr>
      <w:tr w:rsidR="00E64554" w:rsidRPr="008549AA" w14:paraId="7EF66927" w14:textId="77777777" w:rsidTr="00404A23">
        <w:tc>
          <w:tcPr>
            <w:tcW w:w="9855" w:type="dxa"/>
            <w:gridSpan w:val="4"/>
          </w:tcPr>
          <w:p w14:paraId="66AABB2B" w14:textId="77777777" w:rsidR="00E64554" w:rsidRPr="008549AA" w:rsidRDefault="00E64554" w:rsidP="00671CD9">
            <w:pPr>
              <w:pStyle w:val="ListParagraph"/>
              <w:numPr>
                <w:ilvl w:val="0"/>
                <w:numId w:val="38"/>
              </w:numPr>
              <w:kinsoku w:val="0"/>
              <w:overflowPunct w:val="0"/>
              <w:autoSpaceDE w:val="0"/>
              <w:autoSpaceDN w:val="0"/>
              <w:adjustRightInd w:val="0"/>
              <w:snapToGrid w:val="0"/>
              <w:spacing w:after="120"/>
              <w:ind w:left="360"/>
              <w:contextualSpacing w:val="0"/>
              <w:rPr>
                <w:rFonts w:asciiTheme="minorHAnsi" w:hAnsiTheme="minorHAnsi" w:cstheme="minorHAnsi"/>
              </w:rPr>
            </w:pPr>
            <w:r w:rsidRPr="008549AA">
              <w:rPr>
                <w:rFonts w:asciiTheme="minorHAnsi" w:hAnsiTheme="minorHAnsi" w:cstheme="minorHAnsi"/>
              </w:rPr>
              <w:t>Further developing the Quality and Safety project under ACECQA</w:t>
            </w:r>
          </w:p>
          <w:p w14:paraId="3EDB5270" w14:textId="77777777" w:rsidR="00E64554" w:rsidRPr="008549AA" w:rsidRDefault="00E64554" w:rsidP="00671CD9">
            <w:pPr>
              <w:pStyle w:val="ListParagraph"/>
              <w:numPr>
                <w:ilvl w:val="0"/>
                <w:numId w:val="38"/>
              </w:numPr>
              <w:kinsoku w:val="0"/>
              <w:overflowPunct w:val="0"/>
              <w:autoSpaceDE w:val="0"/>
              <w:autoSpaceDN w:val="0"/>
              <w:adjustRightInd w:val="0"/>
              <w:snapToGrid w:val="0"/>
              <w:spacing w:after="120"/>
              <w:ind w:left="360"/>
              <w:contextualSpacing w:val="0"/>
              <w:rPr>
                <w:rFonts w:asciiTheme="minorHAnsi" w:hAnsiTheme="minorHAnsi" w:cstheme="minorHAnsi"/>
              </w:rPr>
            </w:pPr>
            <w:r w:rsidRPr="008549AA">
              <w:rPr>
                <w:rFonts w:asciiTheme="minorHAnsi" w:hAnsiTheme="minorHAnsi" w:cstheme="minorHAnsi"/>
              </w:rPr>
              <w:t>Establishing national policies and procedures for the IHCSAs and IHC providers, including expectations around family engagement</w:t>
            </w:r>
          </w:p>
        </w:tc>
      </w:tr>
      <w:tr w:rsidR="00E64554" w:rsidRPr="008549AA" w14:paraId="2CC7D0DE" w14:textId="77777777" w:rsidTr="00404A23">
        <w:trPr>
          <w:trHeight w:val="50"/>
        </w:trPr>
        <w:tc>
          <w:tcPr>
            <w:tcW w:w="9855" w:type="dxa"/>
            <w:gridSpan w:val="4"/>
            <w:shd w:val="clear" w:color="auto" w:fill="E5E5E5" w:themeFill="text2" w:themeFillTint="33"/>
          </w:tcPr>
          <w:p w14:paraId="4E2CEE89" w14:textId="77777777" w:rsidR="00E64554" w:rsidRPr="008549AA" w:rsidRDefault="00E64554" w:rsidP="005E471A">
            <w:pPr>
              <w:pStyle w:val="PwCNormal"/>
              <w:numPr>
                <w:ilvl w:val="0"/>
                <w:numId w:val="2"/>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Impacted families</w:t>
            </w:r>
          </w:p>
        </w:tc>
      </w:tr>
      <w:tr w:rsidR="00E64554" w:rsidRPr="008549AA" w14:paraId="48C99AD9" w14:textId="77777777" w:rsidTr="00404A23">
        <w:trPr>
          <w:trHeight w:val="70"/>
        </w:trPr>
        <w:tc>
          <w:tcPr>
            <w:tcW w:w="7807" w:type="dxa"/>
          </w:tcPr>
          <w:p w14:paraId="08A498FD" w14:textId="77777777" w:rsidR="00E64554" w:rsidRPr="008549AA" w:rsidRDefault="00E64554" w:rsidP="005E471A">
            <w:pPr>
              <w:pStyle w:val="PwCNormal"/>
              <w:numPr>
                <w:ilvl w:val="0"/>
                <w:numId w:val="0"/>
              </w:numPr>
              <w:spacing w:before="120" w:after="120"/>
              <w:rPr>
                <w:rFonts w:asciiTheme="minorHAnsi" w:hAnsiTheme="minorHAnsi" w:cstheme="minorHAnsi"/>
                <w:color w:val="auto"/>
                <w:sz w:val="20"/>
              </w:rPr>
            </w:pPr>
            <w:r w:rsidRPr="008549AA">
              <w:rPr>
                <w:rFonts w:asciiTheme="minorHAnsi" w:hAnsiTheme="minorHAnsi" w:cstheme="minorHAnsi"/>
                <w:sz w:val="20"/>
              </w:rPr>
              <w:t>This option will indirectly impact all three cohorts of families.</w:t>
            </w:r>
          </w:p>
        </w:tc>
        <w:tc>
          <w:tcPr>
            <w:tcW w:w="669" w:type="dxa"/>
          </w:tcPr>
          <w:p w14:paraId="2D8DC833" w14:textId="77777777" w:rsidR="00E64554" w:rsidRPr="008549AA" w:rsidRDefault="00E64554"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506764A0" wp14:editId="510AC793">
                  <wp:extent cx="288000" cy="288000"/>
                  <wp:effectExtent l="0" t="0" r="0" b="0"/>
                  <wp:docPr id="270" name="Picture 270" descr="Juggler with solid fill">
                    <a:extLst xmlns:a="http://schemas.openxmlformats.org/drawingml/2006/main">
                      <a:ext uri="{FF2B5EF4-FFF2-40B4-BE49-F238E27FC236}">
                        <a16:creationId xmlns:a16="http://schemas.microsoft.com/office/drawing/2014/main" id="{CEBEF4CF-2C57-742B-2751-94A19E5A5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2" descr="Juggler with solid fill">
                            <a:extLst>
                              <a:ext uri="{FF2B5EF4-FFF2-40B4-BE49-F238E27FC236}">
                                <a16:creationId xmlns:a16="http://schemas.microsoft.com/office/drawing/2014/main" id="{CEBEF4CF-2C57-742B-2751-94A19E5A5B41}"/>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8000" cy="288000"/>
                          </a:xfrm>
                          <a:prstGeom prst="rect">
                            <a:avLst/>
                          </a:prstGeom>
                        </pic:spPr>
                      </pic:pic>
                    </a:graphicData>
                  </a:graphic>
                </wp:inline>
              </w:drawing>
            </w:r>
          </w:p>
        </w:tc>
        <w:tc>
          <w:tcPr>
            <w:tcW w:w="708" w:type="dxa"/>
          </w:tcPr>
          <w:p w14:paraId="33461F66" w14:textId="77777777" w:rsidR="00E64554" w:rsidRPr="008549AA" w:rsidRDefault="00E64554"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006D45D7" wp14:editId="08D7920E">
                  <wp:extent cx="288000" cy="288000"/>
                  <wp:effectExtent l="0" t="0" r="0" b="0"/>
                  <wp:docPr id="276" name="Picture 276" descr="Clock with solid fill">
                    <a:extLst xmlns:a="http://schemas.openxmlformats.org/drawingml/2006/main">
                      <a:ext uri="{FF2B5EF4-FFF2-40B4-BE49-F238E27FC236}">
                        <a16:creationId xmlns:a16="http://schemas.microsoft.com/office/drawing/2014/main" id="{3F7DCD6A-3E0C-6439-563A-41232EF95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5" descr="Clock with solid fill">
                            <a:extLst>
                              <a:ext uri="{FF2B5EF4-FFF2-40B4-BE49-F238E27FC236}">
                                <a16:creationId xmlns:a16="http://schemas.microsoft.com/office/drawing/2014/main" id="{3F7DCD6A-3E0C-6439-563A-41232EF95AF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88000" cy="288000"/>
                          </a:xfrm>
                          <a:prstGeom prst="rect">
                            <a:avLst/>
                          </a:prstGeom>
                        </pic:spPr>
                      </pic:pic>
                    </a:graphicData>
                  </a:graphic>
                </wp:inline>
              </w:drawing>
            </w:r>
          </w:p>
        </w:tc>
        <w:tc>
          <w:tcPr>
            <w:tcW w:w="671" w:type="dxa"/>
          </w:tcPr>
          <w:p w14:paraId="242F61D9" w14:textId="77777777" w:rsidR="00E64554" w:rsidRPr="008549AA" w:rsidRDefault="00E64554" w:rsidP="005E471A">
            <w:pPr>
              <w:pStyle w:val="PwCNormal"/>
              <w:numPr>
                <w:ilvl w:val="0"/>
                <w:numId w:val="0"/>
              </w:numPr>
              <w:spacing w:before="120" w:after="120"/>
              <w:rPr>
                <w:rFonts w:asciiTheme="minorHAnsi" w:hAnsiTheme="minorHAnsi" w:cstheme="minorHAnsi"/>
                <w:color w:val="auto"/>
                <w:sz w:val="20"/>
              </w:rPr>
            </w:pPr>
            <w:r w:rsidRPr="008549AA">
              <w:rPr>
                <w:rFonts w:cstheme="minorHAnsi"/>
                <w:noProof/>
                <w:sz w:val="20"/>
              </w:rPr>
              <w:drawing>
                <wp:inline distT="0" distB="0" distL="0" distR="0" wp14:anchorId="1F32D2E9" wp14:editId="5EB9ECFF">
                  <wp:extent cx="289367" cy="289367"/>
                  <wp:effectExtent l="0" t="0" r="0" b="0"/>
                  <wp:docPr id="277" name="Picture 277" descr="Windmill with solid fill">
                    <a:extLst xmlns:a="http://schemas.openxmlformats.org/drawingml/2006/main">
                      <a:ext uri="{FF2B5EF4-FFF2-40B4-BE49-F238E27FC236}">
                        <a16:creationId xmlns:a16="http://schemas.microsoft.com/office/drawing/2014/main" id="{3A5698D8-B3F4-87D8-FEA2-814B067B1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8" descr="Windmill with solid fill">
                            <a:extLst>
                              <a:ext uri="{FF2B5EF4-FFF2-40B4-BE49-F238E27FC236}">
                                <a16:creationId xmlns:a16="http://schemas.microsoft.com/office/drawing/2014/main" id="{3A5698D8-B3F4-87D8-FEA2-814B067B123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291885" cy="291885"/>
                          </a:xfrm>
                          <a:prstGeom prst="rect">
                            <a:avLst/>
                          </a:prstGeom>
                        </pic:spPr>
                      </pic:pic>
                    </a:graphicData>
                  </a:graphic>
                </wp:inline>
              </w:drawing>
            </w:r>
          </w:p>
        </w:tc>
      </w:tr>
      <w:tr w:rsidR="00E64554" w:rsidRPr="008549AA" w14:paraId="7E3833E0" w14:textId="77777777" w:rsidTr="00404A23">
        <w:tc>
          <w:tcPr>
            <w:tcW w:w="7807" w:type="dxa"/>
            <w:shd w:val="clear" w:color="auto" w:fill="E5E5E5" w:themeFill="text2" w:themeFillTint="33"/>
            <w:vAlign w:val="center"/>
          </w:tcPr>
          <w:p w14:paraId="79464893" w14:textId="77777777" w:rsidR="00E64554" w:rsidRPr="008549AA" w:rsidRDefault="00E64554"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t>Outcomes assessment summary</w:t>
            </w:r>
          </w:p>
        </w:tc>
        <w:tc>
          <w:tcPr>
            <w:tcW w:w="2048" w:type="dxa"/>
            <w:gridSpan w:val="3"/>
            <w:shd w:val="clear" w:color="auto" w:fill="175C2C"/>
            <w:vAlign w:val="center"/>
          </w:tcPr>
          <w:p w14:paraId="185B3620" w14:textId="77777777" w:rsidR="00E64554" w:rsidRPr="008549AA" w:rsidRDefault="00E64554" w:rsidP="005E471A">
            <w:pPr>
              <w:pStyle w:val="PwCNormal"/>
              <w:numPr>
                <w:ilvl w:val="0"/>
                <w:numId w:val="0"/>
              </w:numPr>
              <w:spacing w:before="120" w:after="120"/>
              <w:jc w:val="center"/>
              <w:rPr>
                <w:rFonts w:asciiTheme="minorHAnsi" w:hAnsiTheme="minorHAnsi" w:cstheme="minorHAnsi"/>
                <w:color w:val="FFFFFF" w:themeColor="background1"/>
                <w:sz w:val="20"/>
                <w:highlight w:val="yellow"/>
              </w:rPr>
            </w:pPr>
            <w:r w:rsidRPr="008549AA">
              <w:rPr>
                <w:rFonts w:asciiTheme="minorHAnsi" w:hAnsiTheme="minorHAnsi" w:cstheme="minorHAnsi"/>
                <w:b/>
                <w:color w:val="FFFFFF" w:themeColor="background1"/>
                <w:sz w:val="20"/>
              </w:rPr>
              <w:t>High impact</w:t>
            </w:r>
          </w:p>
        </w:tc>
      </w:tr>
      <w:tr w:rsidR="00E64554" w:rsidRPr="008549AA" w14:paraId="09635734" w14:textId="77777777" w:rsidTr="00404A23">
        <w:tc>
          <w:tcPr>
            <w:tcW w:w="9855" w:type="dxa"/>
            <w:gridSpan w:val="4"/>
          </w:tcPr>
          <w:p w14:paraId="4D2B18CD" w14:textId="77777777" w:rsidR="00E64554" w:rsidRPr="008549AA" w:rsidRDefault="00E64554"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color w:val="auto"/>
                <w:sz w:val="20"/>
              </w:rPr>
              <w:t>This option will improve equity and accessibility to quality IHC services for all families and children. There is a risk it could further increase costs, and therefore impact affordability, for families.</w:t>
            </w:r>
          </w:p>
        </w:tc>
      </w:tr>
      <w:tr w:rsidR="00E64554" w:rsidRPr="008549AA" w14:paraId="4E62120A" w14:textId="77777777" w:rsidTr="00404A23">
        <w:tc>
          <w:tcPr>
            <w:tcW w:w="7807" w:type="dxa"/>
            <w:shd w:val="clear" w:color="auto" w:fill="E5E5E5" w:themeFill="text2" w:themeFillTint="33"/>
            <w:vAlign w:val="center"/>
          </w:tcPr>
          <w:p w14:paraId="43151A7E" w14:textId="77777777" w:rsidR="00E64554" w:rsidRPr="008549AA" w:rsidRDefault="00E64554" w:rsidP="00404A23">
            <w:pPr>
              <w:pStyle w:val="PwCNormal"/>
              <w:keepNext/>
              <w:keepLines/>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b/>
                <w:bCs/>
                <w:color w:val="auto"/>
                <w:sz w:val="20"/>
              </w:rPr>
              <w:lastRenderedPageBreak/>
              <w:t>Implementation risk summary</w:t>
            </w:r>
          </w:p>
        </w:tc>
        <w:tc>
          <w:tcPr>
            <w:tcW w:w="2048" w:type="dxa"/>
            <w:gridSpan w:val="3"/>
            <w:shd w:val="clear" w:color="auto" w:fill="D04A02" w:themeFill="accent1"/>
            <w:vAlign w:val="center"/>
          </w:tcPr>
          <w:p w14:paraId="1BA61AE2" w14:textId="77777777" w:rsidR="00E64554" w:rsidRPr="008549AA" w:rsidRDefault="00E64554" w:rsidP="005E471A">
            <w:pPr>
              <w:pStyle w:val="PwCNormal"/>
              <w:numPr>
                <w:ilvl w:val="0"/>
                <w:numId w:val="0"/>
              </w:numPr>
              <w:spacing w:before="120" w:after="120"/>
              <w:jc w:val="center"/>
              <w:rPr>
                <w:rFonts w:asciiTheme="minorHAnsi" w:hAnsiTheme="minorHAnsi" w:cstheme="minorHAnsi"/>
                <w:color w:val="FFFFFF" w:themeColor="background1"/>
                <w:sz w:val="20"/>
                <w:highlight w:val="yellow"/>
              </w:rPr>
            </w:pPr>
            <w:r w:rsidRPr="008549AA">
              <w:rPr>
                <w:rFonts w:asciiTheme="minorHAnsi" w:hAnsiTheme="minorHAnsi" w:cstheme="minorHAnsi"/>
                <w:b/>
                <w:bCs/>
                <w:color w:val="FFFFFF" w:themeColor="background1"/>
                <w:sz w:val="20"/>
              </w:rPr>
              <w:t>Moderate</w:t>
            </w:r>
            <w:r w:rsidRPr="008549AA">
              <w:rPr>
                <w:rFonts w:asciiTheme="minorHAnsi" w:hAnsiTheme="minorHAnsi" w:cstheme="minorHAnsi"/>
                <w:b/>
                <w:color w:val="FFFFFF" w:themeColor="background1"/>
                <w:sz w:val="20"/>
              </w:rPr>
              <w:t xml:space="preserve"> risk</w:t>
            </w:r>
          </w:p>
        </w:tc>
      </w:tr>
      <w:tr w:rsidR="00E64554" w:rsidRPr="008549AA" w14:paraId="6FEF74F9" w14:textId="77777777" w:rsidTr="00404A23">
        <w:tc>
          <w:tcPr>
            <w:tcW w:w="9855" w:type="dxa"/>
            <w:gridSpan w:val="4"/>
          </w:tcPr>
          <w:p w14:paraId="235ADD7B" w14:textId="77777777" w:rsidR="00E64554" w:rsidRPr="008549AA" w:rsidRDefault="00E64554" w:rsidP="005E471A">
            <w:pPr>
              <w:pStyle w:val="PwCNormal"/>
              <w:numPr>
                <w:ilvl w:val="0"/>
                <w:numId w:val="0"/>
              </w:numPr>
              <w:spacing w:before="120" w:after="120"/>
              <w:rPr>
                <w:rFonts w:asciiTheme="minorHAnsi" w:hAnsiTheme="minorHAnsi" w:cstheme="minorHAnsi"/>
                <w:color w:val="FF0000"/>
                <w:sz w:val="20"/>
                <w:highlight w:val="yellow"/>
              </w:rPr>
            </w:pPr>
            <w:r w:rsidRPr="008549AA">
              <w:rPr>
                <w:rFonts w:asciiTheme="minorHAnsi" w:hAnsiTheme="minorHAnsi" w:cstheme="minorHAnsi"/>
                <w:sz w:val="20"/>
              </w:rPr>
              <w:t>Enhancing national and consistent standards across the IHC program will have both legislative and regulatory impacts. There will also be a change management process that would need to be carefully managed with the sector, as it will lead to compliance measures and therefore operational changes for IHC providers. Given the scale and complexity of these changes this would be a long-term option.</w:t>
            </w:r>
          </w:p>
        </w:tc>
      </w:tr>
    </w:tbl>
    <w:p w14:paraId="5A060174" w14:textId="1F02E516" w:rsidR="00E56B3D" w:rsidRPr="00BA54F8" w:rsidRDefault="00E56B3D" w:rsidP="00E56B3D">
      <w:pPr>
        <w:pStyle w:val="DocHeading01"/>
      </w:pPr>
      <w:bookmarkStart w:id="84" w:name="_Toc138249584"/>
      <w:bookmarkStart w:id="85" w:name="_Toc139022141"/>
      <w:bookmarkStart w:id="86" w:name="_Toc140148419"/>
      <w:bookmarkStart w:id="87" w:name="_Toc140149917"/>
      <w:r w:rsidRPr="00B6071A">
        <w:lastRenderedPageBreak/>
        <w:t>Proposed opportunities</w:t>
      </w:r>
      <w:r>
        <w:t xml:space="preserve"> for the future IHC program</w:t>
      </w:r>
      <w:bookmarkEnd w:id="84"/>
      <w:bookmarkEnd w:id="85"/>
      <w:bookmarkEnd w:id="86"/>
      <w:bookmarkEnd w:id="87"/>
    </w:p>
    <w:p w14:paraId="206C699D" w14:textId="139EC009" w:rsidR="00E56B3D" w:rsidRDefault="00E56B3D" w:rsidP="00E56B3D">
      <w:pPr>
        <w:pStyle w:val="DocBodyText"/>
        <w:rPr>
          <w:rFonts w:ascii="Arial" w:hAnsi="Arial"/>
          <w:szCs w:val="18"/>
        </w:rPr>
      </w:pPr>
      <w:r>
        <w:t xml:space="preserve">Following the co-design and assessment of options for change, a prioritisation process was undertaken with the Department of Education to identify </w:t>
      </w:r>
      <w:r w:rsidR="001D68BB">
        <w:t xml:space="preserve">the </w:t>
      </w:r>
      <w:r>
        <w:t xml:space="preserve">six key opportunities to explore further for the future design. This section provides further description of these opportunities and implementation considerations. </w:t>
      </w:r>
    </w:p>
    <w:tbl>
      <w:tblPr>
        <w:tblStyle w:val="PwCColou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1"/>
      </w:tblGrid>
      <w:tr w:rsidR="00E56B3D" w:rsidRPr="00E82A42" w14:paraId="42066F13" w14:textId="77777777" w:rsidTr="00E82A42">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855" w:type="dxa"/>
            <w:shd w:val="clear" w:color="auto" w:fill="D04A02" w:themeFill="accent1"/>
          </w:tcPr>
          <w:p w14:paraId="364CF958" w14:textId="77777777" w:rsidR="00E56B3D" w:rsidRPr="00E82A42" w:rsidRDefault="00E56B3D" w:rsidP="005E471A">
            <w:pPr>
              <w:pStyle w:val="PwCNormal"/>
              <w:numPr>
                <w:ilvl w:val="0"/>
                <w:numId w:val="2"/>
              </w:numPr>
              <w:spacing w:before="120" w:after="120"/>
              <w:rPr>
                <w:rFonts w:asciiTheme="minorHAnsi" w:hAnsiTheme="minorHAnsi" w:cstheme="minorHAnsi"/>
                <w:b/>
                <w:bCs/>
                <w:sz w:val="20"/>
              </w:rPr>
            </w:pPr>
            <w:bookmarkStart w:id="88" w:name="_Hlk138429751"/>
            <w:r w:rsidRPr="00E82A42">
              <w:rPr>
                <w:rFonts w:asciiTheme="minorHAnsi" w:hAnsiTheme="minorHAnsi" w:cstheme="minorHAnsi"/>
                <w:b/>
                <w:bCs/>
                <w:color w:val="FFFFFF" w:themeColor="background1"/>
                <w:sz w:val="20"/>
              </w:rPr>
              <w:t>Streamline and simplify administrative processes and responsibilities</w:t>
            </w:r>
          </w:p>
        </w:tc>
      </w:tr>
      <w:bookmarkEnd w:id="88"/>
      <w:tr w:rsidR="00E56B3D" w:rsidRPr="00E82A42" w14:paraId="2A3B135D" w14:textId="77777777" w:rsidTr="00404A23">
        <w:tc>
          <w:tcPr>
            <w:tcW w:w="9855" w:type="dxa"/>
            <w:shd w:val="clear" w:color="auto" w:fill="E5E5E5" w:themeFill="text2" w:themeFillTint="33"/>
          </w:tcPr>
          <w:p w14:paraId="0BDFF808" w14:textId="77777777" w:rsidR="00E56B3D" w:rsidRPr="00E82A42" w:rsidRDefault="00E56B3D" w:rsidP="005E471A">
            <w:pPr>
              <w:pStyle w:val="PwCNormal"/>
              <w:numPr>
                <w:ilvl w:val="0"/>
                <w:numId w:val="2"/>
              </w:numPr>
              <w:spacing w:before="120" w:after="120"/>
              <w:rPr>
                <w:rFonts w:asciiTheme="minorHAnsi" w:hAnsiTheme="minorHAnsi" w:cstheme="minorHAnsi"/>
                <w:b/>
                <w:bCs/>
                <w:color w:val="FF0000"/>
                <w:sz w:val="20"/>
              </w:rPr>
            </w:pPr>
            <w:r w:rsidRPr="00E82A42">
              <w:rPr>
                <w:rFonts w:asciiTheme="minorHAnsi" w:hAnsiTheme="minorHAnsi" w:cstheme="minorHAnsi"/>
                <w:b/>
                <w:bCs/>
                <w:color w:val="auto"/>
                <w:sz w:val="20"/>
              </w:rPr>
              <w:t>Description</w:t>
            </w:r>
          </w:p>
        </w:tc>
      </w:tr>
      <w:tr w:rsidR="00E56B3D" w:rsidRPr="00E82A42" w14:paraId="3774C773" w14:textId="77777777" w:rsidTr="00404A23">
        <w:tc>
          <w:tcPr>
            <w:tcW w:w="9855" w:type="dxa"/>
          </w:tcPr>
          <w:p w14:paraId="3762A310" w14:textId="77777777" w:rsidR="00E56B3D" w:rsidRPr="00E82A42" w:rsidRDefault="00E56B3D" w:rsidP="005E471A">
            <w:pPr>
              <w:spacing w:after="120"/>
              <w:rPr>
                <w:rFonts w:asciiTheme="minorHAnsi" w:hAnsiTheme="minorHAnsi" w:cstheme="minorHAnsi"/>
              </w:rPr>
            </w:pPr>
            <w:r w:rsidRPr="00E82A42">
              <w:rPr>
                <w:rFonts w:asciiTheme="minorHAnsi" w:hAnsiTheme="minorHAnsi" w:cstheme="minorHAnsi"/>
              </w:rPr>
              <w:t>To address issues identified in the review it is proposed that the following changes be implemented:</w:t>
            </w:r>
          </w:p>
          <w:p w14:paraId="5E167334" w14:textId="55B02899" w:rsidR="00E56B3D" w:rsidRPr="00E82A42" w:rsidRDefault="00E56B3D" w:rsidP="00E82A42">
            <w:pPr>
              <w:pStyle w:val="TabBullet1"/>
              <w:rPr>
                <w:rFonts w:asciiTheme="minorHAnsi" w:hAnsiTheme="minorHAnsi"/>
              </w:rPr>
            </w:pPr>
            <w:r w:rsidRPr="00E82A42">
              <w:rPr>
                <w:rFonts w:asciiTheme="minorHAnsi" w:hAnsiTheme="minorHAnsi"/>
              </w:rPr>
              <w:t>Consolidate the assessment of family eligibility function into Services Australia or a single National Support Agency.</w:t>
            </w:r>
          </w:p>
          <w:p w14:paraId="1E4E7C4B" w14:textId="77777777" w:rsidR="00E56B3D" w:rsidRPr="00E82A42" w:rsidRDefault="00E56B3D" w:rsidP="00E82A42">
            <w:pPr>
              <w:pStyle w:val="TabBullet1"/>
              <w:rPr>
                <w:rFonts w:asciiTheme="minorHAnsi" w:hAnsiTheme="minorHAnsi"/>
              </w:rPr>
            </w:pPr>
            <w:r w:rsidRPr="00E82A42">
              <w:rPr>
                <w:rFonts w:asciiTheme="minorHAnsi" w:hAnsiTheme="minorHAnsi"/>
              </w:rPr>
              <w:t>Publish all IHC providers details online (e.g. on the Services Australia website or Starting Blocks)</w:t>
            </w:r>
          </w:p>
          <w:p w14:paraId="4402FA06" w14:textId="77777777" w:rsidR="00E56B3D" w:rsidRPr="00E82A42" w:rsidRDefault="00E56B3D" w:rsidP="00E82A42">
            <w:pPr>
              <w:pStyle w:val="TabBullet1"/>
              <w:rPr>
                <w:rFonts w:asciiTheme="minorHAnsi" w:hAnsiTheme="minorHAnsi"/>
              </w:rPr>
            </w:pPr>
            <w:r w:rsidRPr="00E82A42">
              <w:rPr>
                <w:rFonts w:asciiTheme="minorHAnsi" w:hAnsiTheme="minorHAnsi"/>
              </w:rPr>
              <w:t>Reduce the administrative requirements and frequency for families to confirm ongoing eligibility.</w:t>
            </w:r>
          </w:p>
          <w:p w14:paraId="413E9B89" w14:textId="77777777" w:rsidR="00E56B3D" w:rsidRPr="00E82A42" w:rsidRDefault="00E56B3D" w:rsidP="005E471A">
            <w:pPr>
              <w:spacing w:after="120"/>
              <w:rPr>
                <w:rFonts w:asciiTheme="minorHAnsi" w:hAnsiTheme="minorHAnsi" w:cstheme="minorHAnsi"/>
              </w:rPr>
            </w:pPr>
            <w:r w:rsidRPr="00E82A42">
              <w:rPr>
                <w:rFonts w:asciiTheme="minorHAnsi" w:hAnsiTheme="minorHAnsi" w:cstheme="minorHAnsi"/>
              </w:rPr>
              <w:t>Centralising support agency functions and responsibilities within a single entity will drive further consistency, enable better oversight and efficiency, and simplify system navigation for both IHC providers and families. This will lead to improved equity and access for IHC families.</w:t>
            </w:r>
          </w:p>
          <w:p w14:paraId="19E1AB11" w14:textId="77777777" w:rsidR="00E56B3D" w:rsidRPr="00E82A42" w:rsidRDefault="00E56B3D" w:rsidP="005E471A">
            <w:pPr>
              <w:spacing w:after="120"/>
              <w:rPr>
                <w:rFonts w:asciiTheme="minorHAnsi" w:hAnsiTheme="minorHAnsi" w:cstheme="minorHAnsi"/>
              </w:rPr>
            </w:pPr>
            <w:r w:rsidRPr="00E82A42">
              <w:rPr>
                <w:rFonts w:asciiTheme="minorHAnsi" w:hAnsiTheme="minorHAnsi" w:cstheme="minorHAnsi"/>
              </w:rPr>
              <w:t>Publishing all IHC provider details online will further aid families to navigate the system while providing greater choice to families (where multiple IHC providers are available).</w:t>
            </w:r>
          </w:p>
          <w:p w14:paraId="016C6BEB" w14:textId="539B743A" w:rsidR="00E56B3D" w:rsidRPr="00E82A42" w:rsidRDefault="00E56B3D" w:rsidP="005E471A">
            <w:pPr>
              <w:spacing w:after="120"/>
              <w:rPr>
                <w:rFonts w:asciiTheme="minorHAnsi" w:hAnsiTheme="minorHAnsi" w:cstheme="minorHAnsi"/>
              </w:rPr>
            </w:pPr>
            <w:r w:rsidRPr="00E82A42">
              <w:rPr>
                <w:rFonts w:asciiTheme="minorHAnsi" w:hAnsiTheme="minorHAnsi" w:cstheme="minorHAnsi"/>
              </w:rPr>
              <w:t>Reducing the frequency that families are required to re-confirm eligibility</w:t>
            </w:r>
            <w:r w:rsidR="001D68BB" w:rsidRPr="00E82A42">
              <w:rPr>
                <w:rFonts w:asciiTheme="minorHAnsi" w:hAnsiTheme="minorHAnsi" w:cstheme="minorHAnsi"/>
              </w:rPr>
              <w:t xml:space="preserve"> for IHC</w:t>
            </w:r>
            <w:r w:rsidRPr="00E82A42">
              <w:rPr>
                <w:rFonts w:asciiTheme="minorHAnsi" w:hAnsiTheme="minorHAnsi" w:cstheme="minorHAnsi"/>
              </w:rPr>
              <w:t>, as well as the requirements (</w:t>
            </w:r>
            <w:r w:rsidR="00102BA5" w:rsidRPr="00E82A42">
              <w:rPr>
                <w:rFonts w:asciiTheme="minorHAnsi" w:hAnsiTheme="minorHAnsi" w:cstheme="minorHAnsi"/>
              </w:rPr>
              <w:t>e.g.</w:t>
            </w:r>
            <w:r w:rsidRPr="00E82A42">
              <w:rPr>
                <w:rFonts w:asciiTheme="minorHAnsi" w:hAnsiTheme="minorHAnsi" w:cstheme="minorHAnsi"/>
              </w:rPr>
              <w:t xml:space="preserve"> medical certificates from specialists and other forms of evidence), will reduce the burden, costs, and therefore affordability and access to IHC for families. </w:t>
            </w:r>
          </w:p>
        </w:tc>
      </w:tr>
      <w:tr w:rsidR="00E56B3D" w:rsidRPr="00E82A42" w14:paraId="26A60C38" w14:textId="77777777" w:rsidTr="00404A23">
        <w:tc>
          <w:tcPr>
            <w:tcW w:w="9855" w:type="dxa"/>
            <w:shd w:val="clear" w:color="auto" w:fill="E5E5E5" w:themeFill="text2" w:themeFillTint="33"/>
          </w:tcPr>
          <w:p w14:paraId="16145FA5" w14:textId="77777777" w:rsidR="00E56B3D" w:rsidRPr="00E82A42" w:rsidRDefault="00E56B3D" w:rsidP="005E471A">
            <w:pPr>
              <w:spacing w:after="120"/>
              <w:rPr>
                <w:rFonts w:asciiTheme="minorHAnsi" w:hAnsiTheme="minorHAnsi" w:cstheme="minorHAnsi"/>
                <w:b/>
                <w:bCs/>
              </w:rPr>
            </w:pPr>
            <w:r w:rsidRPr="00E82A42">
              <w:rPr>
                <w:rFonts w:asciiTheme="minorHAnsi" w:hAnsiTheme="minorHAnsi" w:cstheme="minorHAnsi"/>
                <w:b/>
                <w:bCs/>
              </w:rPr>
              <w:t>Operational details</w:t>
            </w:r>
          </w:p>
        </w:tc>
      </w:tr>
      <w:tr w:rsidR="00E56B3D" w:rsidRPr="00E82A42" w14:paraId="5780C106" w14:textId="77777777" w:rsidTr="00404A23">
        <w:tc>
          <w:tcPr>
            <w:tcW w:w="9855" w:type="dxa"/>
          </w:tcPr>
          <w:p w14:paraId="4B2F7A90" w14:textId="77777777" w:rsidR="00E56B3D" w:rsidRPr="00E82A42" w:rsidRDefault="00E56B3D" w:rsidP="00E82A42">
            <w:pPr>
              <w:pStyle w:val="TabBullet1"/>
              <w:rPr>
                <w:rFonts w:asciiTheme="minorHAnsi" w:hAnsiTheme="minorHAnsi"/>
              </w:rPr>
            </w:pPr>
            <w:r w:rsidRPr="00E82A42">
              <w:rPr>
                <w:rFonts w:asciiTheme="minorHAnsi" w:hAnsiTheme="minorHAnsi"/>
              </w:rPr>
              <w:t>Families seeking access to IHC will submit to, and have their applications assessed by, a single agency responsible for determining eligibility. This could be through Services Australia or a National Support Agency.</w:t>
            </w:r>
          </w:p>
          <w:p w14:paraId="777DC552" w14:textId="77777777" w:rsidR="00E56B3D" w:rsidRPr="00E82A42" w:rsidRDefault="00E56B3D" w:rsidP="00E82A42">
            <w:pPr>
              <w:pStyle w:val="TabBullet1"/>
              <w:rPr>
                <w:rFonts w:asciiTheme="minorHAnsi" w:hAnsiTheme="minorHAnsi"/>
              </w:rPr>
            </w:pPr>
            <w:r w:rsidRPr="00E82A42">
              <w:rPr>
                <w:rFonts w:asciiTheme="minorHAnsi" w:hAnsiTheme="minorHAnsi"/>
              </w:rPr>
              <w:t>Once a family is deemed eligible for the IHC program they will be referred to an appropriate IHC provider able to deliver services to their region, and to meet their specific needs. However, families will have access to information online via either the Services Australia website, or Starting Blocks, about IHC providers, service offerings, fees, etc, so that families can exercise choice.</w:t>
            </w:r>
          </w:p>
          <w:p w14:paraId="2F07C0EB" w14:textId="0C5CF4B6" w:rsidR="00E56B3D" w:rsidRPr="00E82A42" w:rsidRDefault="00E56B3D" w:rsidP="00E82A42">
            <w:pPr>
              <w:pStyle w:val="TabBullet1"/>
              <w:spacing w:after="120"/>
              <w:rPr>
                <w:rFonts w:asciiTheme="minorHAnsi" w:hAnsiTheme="minorHAnsi"/>
              </w:rPr>
            </w:pPr>
            <w:r w:rsidRPr="00E82A42">
              <w:rPr>
                <w:rFonts w:asciiTheme="minorHAnsi" w:hAnsiTheme="minorHAnsi"/>
              </w:rPr>
              <w:t>While families will need to provide evidence of eligibility upon initial entry into the IHC program they will only be required to confirm and renew eligibility annually rather than quarterly. Evidence requirements will also be revisited to be more flexible (e</w:t>
            </w:r>
            <w:r w:rsidR="00EC6C09" w:rsidRPr="00E82A42">
              <w:rPr>
                <w:rFonts w:asciiTheme="minorHAnsi" w:hAnsiTheme="minorHAnsi"/>
              </w:rPr>
              <w:t>.</w:t>
            </w:r>
            <w:r w:rsidRPr="00E82A42">
              <w:rPr>
                <w:rFonts w:asciiTheme="minorHAnsi" w:hAnsiTheme="minorHAnsi"/>
              </w:rPr>
              <w:t>g</w:t>
            </w:r>
            <w:r w:rsidR="00EC6C09" w:rsidRPr="00E82A42">
              <w:rPr>
                <w:rFonts w:asciiTheme="minorHAnsi" w:hAnsiTheme="minorHAnsi"/>
              </w:rPr>
              <w:t>.</w:t>
            </w:r>
            <w:r w:rsidRPr="00E82A42">
              <w:rPr>
                <w:rFonts w:asciiTheme="minorHAnsi" w:hAnsiTheme="minorHAnsi"/>
              </w:rPr>
              <w:t xml:space="preserve"> allow GPs to provide medical certificates instead of specialists).</w:t>
            </w:r>
          </w:p>
        </w:tc>
      </w:tr>
      <w:tr w:rsidR="00E56B3D" w:rsidRPr="00E82A42" w14:paraId="3E4E55E4" w14:textId="77777777" w:rsidTr="00404A23">
        <w:tc>
          <w:tcPr>
            <w:tcW w:w="9855" w:type="dxa"/>
            <w:shd w:val="clear" w:color="auto" w:fill="E5E5E5" w:themeFill="text2" w:themeFillTint="33"/>
          </w:tcPr>
          <w:p w14:paraId="0179F23A" w14:textId="77777777" w:rsidR="00E56B3D" w:rsidRPr="00E82A42" w:rsidRDefault="00E56B3D" w:rsidP="008549AA">
            <w:pPr>
              <w:spacing w:after="120"/>
              <w:rPr>
                <w:rFonts w:asciiTheme="minorHAnsi" w:hAnsiTheme="minorHAnsi" w:cstheme="minorHAnsi"/>
                <w:b/>
                <w:bCs/>
              </w:rPr>
            </w:pPr>
            <w:r w:rsidRPr="00E82A42">
              <w:rPr>
                <w:rFonts w:asciiTheme="minorHAnsi" w:hAnsiTheme="minorHAnsi" w:cstheme="minorHAnsi"/>
                <w:b/>
                <w:bCs/>
              </w:rPr>
              <w:t>Implementation requirements</w:t>
            </w:r>
          </w:p>
        </w:tc>
      </w:tr>
      <w:tr w:rsidR="00E56B3D" w:rsidRPr="00E82A42" w14:paraId="5418BA82" w14:textId="77777777" w:rsidTr="00404A23">
        <w:tc>
          <w:tcPr>
            <w:tcW w:w="9855" w:type="dxa"/>
          </w:tcPr>
          <w:p w14:paraId="5E41D5DB" w14:textId="77777777" w:rsidR="00E56B3D" w:rsidRPr="00E82A42" w:rsidRDefault="00E56B3D" w:rsidP="00E82A42">
            <w:pPr>
              <w:pStyle w:val="TabBullet1"/>
              <w:rPr>
                <w:rFonts w:asciiTheme="minorHAnsi" w:hAnsiTheme="minorHAnsi"/>
              </w:rPr>
            </w:pPr>
            <w:r w:rsidRPr="00E82A42">
              <w:rPr>
                <w:rFonts w:asciiTheme="minorHAnsi" w:hAnsiTheme="minorHAnsi"/>
              </w:rPr>
              <w:t>Transition to a single agency responsible for assessing family eligibility will require the termination or conclusion of contracts with existing IHCSAs.</w:t>
            </w:r>
          </w:p>
          <w:p w14:paraId="1EB6298C" w14:textId="77777777" w:rsidR="00E56B3D" w:rsidRPr="00E82A42" w:rsidRDefault="00E56B3D" w:rsidP="00E82A42">
            <w:pPr>
              <w:pStyle w:val="TabBullet1"/>
              <w:rPr>
                <w:rFonts w:asciiTheme="minorHAnsi" w:hAnsiTheme="minorHAnsi"/>
              </w:rPr>
            </w:pPr>
            <w:r w:rsidRPr="00E82A42">
              <w:rPr>
                <w:rFonts w:asciiTheme="minorHAnsi" w:hAnsiTheme="minorHAnsi"/>
              </w:rPr>
              <w:t>If IHCSA functions were to transfer to Services Australia this would require integration of IHC into existing processes and systems, with possible regulatory impacts. There may also be Machinery of Government implications depending on whether the functions and/or responsibilities transition to the Social Services portfolio.</w:t>
            </w:r>
          </w:p>
          <w:p w14:paraId="4D64A46B" w14:textId="77777777" w:rsidR="00E56B3D" w:rsidRPr="00E82A42" w:rsidRDefault="00E56B3D" w:rsidP="00E82A42">
            <w:pPr>
              <w:pStyle w:val="TabBullet1"/>
              <w:rPr>
                <w:rFonts w:asciiTheme="minorHAnsi" w:hAnsiTheme="minorHAnsi"/>
              </w:rPr>
            </w:pPr>
            <w:r w:rsidRPr="00E82A42">
              <w:rPr>
                <w:rFonts w:asciiTheme="minorHAnsi" w:hAnsiTheme="minorHAnsi"/>
              </w:rPr>
              <w:t>Initial, short-term funding would be required to established and/or transition support agency functions to a single entity, and to streamline and refine administrative processes. However, this should translate into longer term savings.</w:t>
            </w:r>
          </w:p>
          <w:p w14:paraId="29047E6E" w14:textId="77777777" w:rsidR="00E56B3D" w:rsidRPr="00E82A42" w:rsidRDefault="00E56B3D" w:rsidP="00E82A42">
            <w:pPr>
              <w:pStyle w:val="TabBullet1"/>
              <w:rPr>
                <w:rFonts w:asciiTheme="minorHAnsi" w:hAnsiTheme="minorHAnsi"/>
              </w:rPr>
            </w:pPr>
            <w:r w:rsidRPr="00E82A42">
              <w:rPr>
                <w:rFonts w:asciiTheme="minorHAnsi" w:hAnsiTheme="minorHAnsi"/>
              </w:rPr>
              <w:lastRenderedPageBreak/>
              <w:t>Publishing IHC provider details online will require a process and resources to manage the review and update of information. However, a platform already exists in the form of Starting Blocks that would need minor adjustments to be fit for purpose.</w:t>
            </w:r>
          </w:p>
          <w:p w14:paraId="2C730878" w14:textId="77777777" w:rsidR="00E56B3D" w:rsidRPr="00E82A42" w:rsidRDefault="00E56B3D" w:rsidP="00E82A42">
            <w:pPr>
              <w:pStyle w:val="TabBullet1"/>
              <w:spacing w:after="120"/>
              <w:rPr>
                <w:rFonts w:asciiTheme="minorHAnsi" w:hAnsiTheme="minorHAnsi"/>
              </w:rPr>
            </w:pPr>
            <w:r w:rsidRPr="00E82A42">
              <w:rPr>
                <w:rFonts w:asciiTheme="minorHAnsi" w:hAnsiTheme="minorHAnsi"/>
              </w:rPr>
              <w:t>Change management process would be needed to support IHC providers and families to adjust to new and adjusted processes. Recent changes mean the administrative requirements and frequency for families to confirm ongoing eligibility are already aimed at easing the burden on families.</w:t>
            </w:r>
          </w:p>
        </w:tc>
      </w:tr>
      <w:tr w:rsidR="00E56B3D" w:rsidRPr="00E82A42" w14:paraId="55331A4A" w14:textId="77777777" w:rsidTr="00404A23">
        <w:tc>
          <w:tcPr>
            <w:tcW w:w="9855" w:type="dxa"/>
            <w:shd w:val="clear" w:color="auto" w:fill="E5E5E5" w:themeFill="text2" w:themeFillTint="33"/>
          </w:tcPr>
          <w:p w14:paraId="53B8020A" w14:textId="77777777" w:rsidR="00E56B3D" w:rsidRPr="00E82A42" w:rsidRDefault="00E56B3D" w:rsidP="005E471A">
            <w:pPr>
              <w:spacing w:after="120"/>
              <w:rPr>
                <w:rFonts w:asciiTheme="minorHAnsi" w:hAnsiTheme="minorHAnsi" w:cstheme="minorHAnsi"/>
                <w:b/>
                <w:bCs/>
              </w:rPr>
            </w:pPr>
            <w:r w:rsidRPr="00E82A42">
              <w:rPr>
                <w:rFonts w:asciiTheme="minorHAnsi" w:hAnsiTheme="minorHAnsi" w:cstheme="minorHAnsi"/>
                <w:b/>
                <w:bCs/>
              </w:rPr>
              <w:lastRenderedPageBreak/>
              <w:t>Key risks, mitigation strategies, and residual risk</w:t>
            </w:r>
          </w:p>
        </w:tc>
      </w:tr>
      <w:tr w:rsidR="00E56B3D" w:rsidRPr="00E82A42" w14:paraId="4C3EA76A" w14:textId="77777777" w:rsidTr="00404A23">
        <w:tc>
          <w:tcPr>
            <w:tcW w:w="0" w:type="dxa"/>
          </w:tcPr>
          <w:p w14:paraId="7E38154B" w14:textId="77777777" w:rsidR="007D7BF5" w:rsidRPr="00E82A42" w:rsidRDefault="00E56B3D" w:rsidP="00EC6C09">
            <w:pPr>
              <w:pStyle w:val="ListParagraph"/>
              <w:numPr>
                <w:ilvl w:val="0"/>
                <w:numId w:val="39"/>
              </w:numPr>
              <w:kinsoku w:val="0"/>
              <w:overflowPunct w:val="0"/>
              <w:autoSpaceDE w:val="0"/>
              <w:autoSpaceDN w:val="0"/>
              <w:adjustRightInd w:val="0"/>
              <w:snapToGrid w:val="0"/>
              <w:ind w:left="360"/>
              <w:contextualSpacing w:val="0"/>
              <w:rPr>
                <w:rFonts w:asciiTheme="minorHAnsi" w:hAnsiTheme="minorHAnsi" w:cstheme="minorHAnsi"/>
              </w:rPr>
            </w:pPr>
            <w:bookmarkStart w:id="89" w:name="_Hlk138429732"/>
            <w:r w:rsidRPr="00E82A42">
              <w:rPr>
                <w:rFonts w:asciiTheme="minorHAnsi" w:hAnsiTheme="minorHAnsi" w:cstheme="minorHAnsi"/>
              </w:rPr>
              <w:t>A key risk will be the loss of local context and knowledge by those responsible for assessing family eligibility for IHC. This could be mitigated by having a hub and spoke model for the national support agency and building in clear processes for assessments to factor in local circumstances.</w:t>
            </w:r>
          </w:p>
          <w:bookmarkEnd w:id="89"/>
          <w:p w14:paraId="079DCFEF" w14:textId="48765217" w:rsidR="00E56B3D" w:rsidRPr="00E82A42" w:rsidRDefault="00E56B3D" w:rsidP="00EC6C09">
            <w:pPr>
              <w:pStyle w:val="ListParagraph"/>
              <w:numPr>
                <w:ilvl w:val="0"/>
                <w:numId w:val="39"/>
              </w:numPr>
              <w:kinsoku w:val="0"/>
              <w:overflowPunct w:val="0"/>
              <w:autoSpaceDE w:val="0"/>
              <w:autoSpaceDN w:val="0"/>
              <w:adjustRightInd w:val="0"/>
              <w:snapToGrid w:val="0"/>
              <w:spacing w:after="120"/>
              <w:ind w:left="360"/>
              <w:contextualSpacing w:val="0"/>
              <w:rPr>
                <w:rFonts w:asciiTheme="minorHAnsi" w:hAnsiTheme="minorHAnsi" w:cstheme="minorHAnsi"/>
              </w:rPr>
            </w:pPr>
            <w:r w:rsidRPr="00E82A42">
              <w:rPr>
                <w:rFonts w:asciiTheme="minorHAnsi" w:hAnsiTheme="minorHAnsi" w:cstheme="minorHAnsi"/>
              </w:rPr>
              <w:t>The transition from IHCSAs to a single support agency could lead to confusion amongst IHC providers and families, and delays to eligibility assessments. To minimise this</w:t>
            </w:r>
            <w:r w:rsidR="001D68BB" w:rsidRPr="00E82A42">
              <w:rPr>
                <w:rFonts w:asciiTheme="minorHAnsi" w:hAnsiTheme="minorHAnsi" w:cstheme="minorHAnsi"/>
              </w:rPr>
              <w:t xml:space="preserve">, </w:t>
            </w:r>
            <w:r w:rsidRPr="00E82A42">
              <w:rPr>
                <w:rFonts w:asciiTheme="minorHAnsi" w:hAnsiTheme="minorHAnsi" w:cstheme="minorHAnsi"/>
              </w:rPr>
              <w:t>there could be a period of overlap in time between the continued functions of the IHCSAs and those of the national support agency.</w:t>
            </w:r>
          </w:p>
        </w:tc>
      </w:tr>
      <w:tr w:rsidR="00E56B3D" w:rsidRPr="00E82A42" w14:paraId="7189A082" w14:textId="77777777" w:rsidTr="00404A23">
        <w:tc>
          <w:tcPr>
            <w:tcW w:w="9855" w:type="dxa"/>
            <w:shd w:val="clear" w:color="auto" w:fill="E5E5E5" w:themeFill="text2" w:themeFillTint="33"/>
          </w:tcPr>
          <w:p w14:paraId="1AA97210" w14:textId="1394ED7C" w:rsidR="00E56B3D" w:rsidRPr="00E82A42" w:rsidRDefault="00E56B3D" w:rsidP="005E471A">
            <w:pPr>
              <w:spacing w:after="120"/>
              <w:rPr>
                <w:rFonts w:asciiTheme="minorHAnsi" w:hAnsiTheme="minorHAnsi" w:cstheme="minorHAnsi"/>
                <w:b/>
                <w:bCs/>
              </w:rPr>
            </w:pPr>
            <w:r w:rsidRPr="00E82A42">
              <w:rPr>
                <w:rFonts w:asciiTheme="minorHAnsi" w:hAnsiTheme="minorHAnsi" w:cstheme="minorHAnsi"/>
                <w:b/>
                <w:bCs/>
              </w:rPr>
              <w:t>Sequencing</w:t>
            </w:r>
            <w:r w:rsidR="0036642F" w:rsidRPr="00E82A42">
              <w:rPr>
                <w:rFonts w:asciiTheme="minorHAnsi" w:hAnsiTheme="minorHAnsi" w:cstheme="minorHAnsi"/>
                <w:b/>
                <w:bCs/>
              </w:rPr>
              <w:t>/</w:t>
            </w:r>
            <w:r w:rsidRPr="00E82A42">
              <w:rPr>
                <w:rFonts w:asciiTheme="minorHAnsi" w:hAnsiTheme="minorHAnsi" w:cstheme="minorHAnsi"/>
                <w:b/>
                <w:bCs/>
              </w:rPr>
              <w:t>timeline</w:t>
            </w:r>
          </w:p>
        </w:tc>
      </w:tr>
      <w:tr w:rsidR="00E56B3D" w:rsidRPr="00E82A42" w14:paraId="30AECB20" w14:textId="77777777" w:rsidTr="00404A23">
        <w:tc>
          <w:tcPr>
            <w:tcW w:w="9855" w:type="dxa"/>
          </w:tcPr>
          <w:p w14:paraId="47DF8D1E" w14:textId="77777777" w:rsidR="00E56B3D" w:rsidRPr="00E82A42" w:rsidRDefault="00E56B3D" w:rsidP="005E471A">
            <w:pPr>
              <w:spacing w:after="120"/>
              <w:rPr>
                <w:rFonts w:asciiTheme="minorHAnsi" w:hAnsiTheme="minorHAnsi" w:cstheme="minorHAnsi"/>
              </w:rPr>
            </w:pPr>
            <w:r w:rsidRPr="00E82A42">
              <w:rPr>
                <w:rFonts w:asciiTheme="minorHAnsi" w:hAnsiTheme="minorHAnsi" w:cstheme="minorHAnsi"/>
              </w:rPr>
              <w:t>Changes to the eligibility requirements and frequency of review can be implemented relatively quickly (ie 12 months), especially given changes to this have already been reviewed by the Department of Education. Similarly, publishing IHC provider details online can be achieved within the next 12 months once information is collected and verified.</w:t>
            </w:r>
          </w:p>
          <w:p w14:paraId="66359555" w14:textId="50F61E4D" w:rsidR="00E56B3D" w:rsidRPr="00E82A42" w:rsidRDefault="00E56B3D" w:rsidP="005E471A">
            <w:pPr>
              <w:spacing w:after="120"/>
              <w:rPr>
                <w:rFonts w:asciiTheme="minorHAnsi" w:hAnsiTheme="minorHAnsi" w:cstheme="minorHAnsi"/>
              </w:rPr>
            </w:pPr>
            <w:r w:rsidRPr="00E82A42">
              <w:rPr>
                <w:rFonts w:asciiTheme="minorHAnsi" w:hAnsiTheme="minorHAnsi" w:cstheme="minorHAnsi"/>
              </w:rPr>
              <w:t>Planning to transition IHCSA functions to a single support agency would need to commence as soon as possible to ensure sufficient lead time, including fulfilling any contractual obligations and allowing time for any regulatory amendments. With contracts with IHCSAs currently due for renewal in June 2025</w:t>
            </w:r>
            <w:r w:rsidR="001D68BB" w:rsidRPr="00E82A42">
              <w:rPr>
                <w:rFonts w:asciiTheme="minorHAnsi" w:hAnsiTheme="minorHAnsi" w:cstheme="minorHAnsi"/>
              </w:rPr>
              <w:t>,</w:t>
            </w:r>
            <w:r w:rsidRPr="00E82A42">
              <w:rPr>
                <w:rFonts w:asciiTheme="minorHAnsi" w:hAnsiTheme="minorHAnsi" w:cstheme="minorHAnsi"/>
              </w:rPr>
              <w:t xml:space="preserve"> design and planning for a single support agency would need to commence immediately. </w:t>
            </w:r>
          </w:p>
        </w:tc>
      </w:tr>
      <w:tr w:rsidR="00E56B3D" w:rsidRPr="00E82A42" w14:paraId="482AC606" w14:textId="77777777" w:rsidTr="00404A23">
        <w:tc>
          <w:tcPr>
            <w:tcW w:w="9855" w:type="dxa"/>
            <w:shd w:val="clear" w:color="auto" w:fill="E5E5E5" w:themeFill="text2" w:themeFillTint="33"/>
          </w:tcPr>
          <w:p w14:paraId="3CB35E05" w14:textId="77777777" w:rsidR="00E56B3D" w:rsidRPr="00E82A42" w:rsidRDefault="00E56B3D" w:rsidP="005E471A">
            <w:pPr>
              <w:spacing w:after="120"/>
              <w:rPr>
                <w:rFonts w:asciiTheme="minorHAnsi" w:hAnsiTheme="minorHAnsi" w:cstheme="minorHAnsi"/>
                <w:b/>
                <w:bCs/>
              </w:rPr>
            </w:pPr>
            <w:r w:rsidRPr="00E82A42">
              <w:rPr>
                <w:rFonts w:asciiTheme="minorHAnsi" w:hAnsiTheme="minorHAnsi" w:cstheme="minorHAnsi"/>
                <w:b/>
                <w:bCs/>
              </w:rPr>
              <w:t>Stakeholders and acceptance</w:t>
            </w:r>
          </w:p>
        </w:tc>
      </w:tr>
      <w:tr w:rsidR="00E56B3D" w:rsidRPr="00E82A42" w14:paraId="729D387C" w14:textId="77777777" w:rsidTr="00404A23">
        <w:tc>
          <w:tcPr>
            <w:tcW w:w="9855" w:type="dxa"/>
          </w:tcPr>
          <w:p w14:paraId="2BFBB6B6" w14:textId="77777777" w:rsidR="00E56B3D" w:rsidRPr="00E82A42" w:rsidRDefault="00E56B3D" w:rsidP="005E471A">
            <w:pPr>
              <w:spacing w:after="120"/>
              <w:rPr>
                <w:rFonts w:asciiTheme="minorHAnsi" w:hAnsiTheme="minorHAnsi" w:cstheme="minorHAnsi"/>
              </w:rPr>
            </w:pPr>
            <w:r w:rsidRPr="00E82A42">
              <w:rPr>
                <w:rFonts w:asciiTheme="minorHAnsi" w:hAnsiTheme="minorHAnsi" w:cstheme="minorHAnsi"/>
              </w:rPr>
              <w:t>This option should be accepted by families and IHC providers, including for a single, support agency. However, there may not be sufficient appetite within government for the support agency function to be fulfilled by Services Australia.</w:t>
            </w:r>
          </w:p>
        </w:tc>
      </w:tr>
    </w:tbl>
    <w:p w14:paraId="729D5A58" w14:textId="7B7146CA" w:rsidR="00E64554" w:rsidRDefault="00E64554" w:rsidP="00215F1C">
      <w:pPr>
        <w:pStyle w:val="DocBodyText"/>
      </w:pPr>
    </w:p>
    <w:tbl>
      <w:tblPr>
        <w:tblStyle w:val="PwCColou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1"/>
      </w:tblGrid>
      <w:tr w:rsidR="00E56B3D" w:rsidRPr="008549AA" w14:paraId="6AC35878" w14:textId="77777777" w:rsidTr="00E82A42">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855" w:type="dxa"/>
            <w:shd w:val="clear" w:color="auto" w:fill="D04A02" w:themeFill="accent1"/>
            <w:tcMar>
              <w:top w:w="28" w:type="dxa"/>
              <w:bottom w:w="28" w:type="dxa"/>
            </w:tcMar>
          </w:tcPr>
          <w:p w14:paraId="2B9ABFF8" w14:textId="77777777" w:rsidR="00E56B3D" w:rsidRPr="008549AA" w:rsidRDefault="00E56B3D" w:rsidP="005E471A">
            <w:pPr>
              <w:pStyle w:val="PwCNormal"/>
              <w:numPr>
                <w:ilvl w:val="0"/>
                <w:numId w:val="2"/>
              </w:numPr>
              <w:spacing w:before="120" w:after="120"/>
              <w:rPr>
                <w:rFonts w:asciiTheme="minorHAnsi" w:hAnsiTheme="minorHAnsi" w:cstheme="minorHAnsi"/>
                <w:b/>
                <w:bCs/>
                <w:sz w:val="20"/>
              </w:rPr>
            </w:pPr>
            <w:r w:rsidRPr="008549AA">
              <w:rPr>
                <w:rFonts w:asciiTheme="minorHAnsi" w:hAnsiTheme="minorHAnsi" w:cstheme="minorHAnsi"/>
                <w:b/>
                <w:bCs/>
                <w:color w:val="FFFFFF" w:themeColor="background1"/>
                <w:sz w:val="20"/>
              </w:rPr>
              <w:t>Empowering and expanding FDC offerings</w:t>
            </w:r>
          </w:p>
        </w:tc>
      </w:tr>
      <w:tr w:rsidR="00E56B3D" w:rsidRPr="008549AA" w14:paraId="4079FCA1" w14:textId="77777777" w:rsidTr="008549AA">
        <w:tc>
          <w:tcPr>
            <w:tcW w:w="9855" w:type="dxa"/>
            <w:shd w:val="clear" w:color="auto" w:fill="E5E5E5" w:themeFill="text2" w:themeFillTint="33"/>
            <w:tcMar>
              <w:top w:w="28" w:type="dxa"/>
              <w:bottom w:w="28" w:type="dxa"/>
            </w:tcMar>
          </w:tcPr>
          <w:p w14:paraId="6325E974" w14:textId="77777777" w:rsidR="00E56B3D" w:rsidRPr="008549AA" w:rsidRDefault="00E56B3D" w:rsidP="005E471A">
            <w:pPr>
              <w:pStyle w:val="PwCNormal"/>
              <w:numPr>
                <w:ilvl w:val="0"/>
                <w:numId w:val="2"/>
              </w:numPr>
              <w:spacing w:before="120" w:after="120"/>
              <w:rPr>
                <w:rFonts w:asciiTheme="minorHAnsi" w:hAnsiTheme="minorHAnsi" w:cstheme="minorHAnsi"/>
                <w:b/>
                <w:bCs/>
                <w:color w:val="FF0000"/>
                <w:sz w:val="20"/>
              </w:rPr>
            </w:pPr>
            <w:r w:rsidRPr="008549AA">
              <w:rPr>
                <w:rFonts w:asciiTheme="minorHAnsi" w:hAnsiTheme="minorHAnsi" w:cstheme="minorHAnsi"/>
                <w:b/>
                <w:bCs/>
                <w:color w:val="auto"/>
                <w:sz w:val="20"/>
              </w:rPr>
              <w:t>Description</w:t>
            </w:r>
          </w:p>
        </w:tc>
      </w:tr>
      <w:tr w:rsidR="00E56B3D" w:rsidRPr="008549AA" w14:paraId="4DD5E9C1" w14:textId="77777777" w:rsidTr="008549AA">
        <w:tc>
          <w:tcPr>
            <w:tcW w:w="9855" w:type="dxa"/>
            <w:tcMar>
              <w:top w:w="28" w:type="dxa"/>
              <w:bottom w:w="28" w:type="dxa"/>
            </w:tcMar>
          </w:tcPr>
          <w:p w14:paraId="22DD7F23" w14:textId="77777777" w:rsidR="00E56B3D" w:rsidRPr="008549AA" w:rsidRDefault="00E56B3D" w:rsidP="005E471A">
            <w:pPr>
              <w:spacing w:after="120"/>
              <w:rPr>
                <w:rFonts w:asciiTheme="minorHAnsi" w:hAnsiTheme="minorHAnsi" w:cstheme="minorHAnsi"/>
              </w:rPr>
            </w:pPr>
            <w:r w:rsidRPr="008549AA">
              <w:rPr>
                <w:rFonts w:asciiTheme="minorHAnsi" w:hAnsiTheme="minorHAnsi" w:cstheme="minorHAnsi"/>
              </w:rPr>
              <w:t>As part of recent reforms to the ECEC system in Australia FDC has seen a significant uplift in quality. More than 140,000 children per year receive FDC services. FDC can be empowered and expanded to provide ECEC to families currently accessing (or waitlisted to access) the IHC program through:</w:t>
            </w:r>
          </w:p>
          <w:p w14:paraId="2663229B" w14:textId="77777777" w:rsidR="00E56B3D" w:rsidRPr="008549AA" w:rsidRDefault="00E56B3D" w:rsidP="00E82A42">
            <w:pPr>
              <w:pStyle w:val="TabBullet1"/>
            </w:pPr>
            <w:r w:rsidRPr="00E82A42">
              <w:t>Financial</w:t>
            </w:r>
            <w:r w:rsidRPr="008549AA">
              <w:t xml:space="preserve"> incentives for FDC services to provide additional ECEC for out-of-standard-hours care families</w:t>
            </w:r>
          </w:p>
          <w:p w14:paraId="44335353" w14:textId="77777777" w:rsidR="00E56B3D" w:rsidRPr="008549AA" w:rsidRDefault="00E56B3D" w:rsidP="00E82A42">
            <w:pPr>
              <w:pStyle w:val="TabBullet1"/>
            </w:pPr>
            <w:r w:rsidRPr="008549AA">
              <w:t>Developing a new category of FDC for rural, remote and regional Australia</w:t>
            </w:r>
          </w:p>
          <w:p w14:paraId="001067C8" w14:textId="77777777" w:rsidR="00E56B3D" w:rsidRPr="008549AA" w:rsidRDefault="00E56B3D" w:rsidP="00E82A42">
            <w:pPr>
              <w:pStyle w:val="TabBullet1"/>
            </w:pPr>
            <w:r w:rsidRPr="008549AA">
              <w:t>Supporting FDC to receive more non-standard-hours fees and places through a pilot program</w:t>
            </w:r>
          </w:p>
          <w:p w14:paraId="106A01DB" w14:textId="4F3C5182" w:rsidR="00E56B3D" w:rsidRPr="008549AA" w:rsidRDefault="00E56B3D" w:rsidP="005E471A">
            <w:pPr>
              <w:spacing w:after="120"/>
              <w:rPr>
                <w:rFonts w:asciiTheme="minorHAnsi" w:hAnsiTheme="minorHAnsi" w:cstheme="minorHAnsi"/>
              </w:rPr>
            </w:pPr>
            <w:r w:rsidRPr="008549AA">
              <w:rPr>
                <w:rFonts w:asciiTheme="minorHAnsi" w:hAnsiTheme="minorHAnsi" w:cstheme="minorHAnsi"/>
              </w:rPr>
              <w:t xml:space="preserve">Providing incentives and supporting alternative models of FDC would alleviate </w:t>
            </w:r>
            <w:r w:rsidR="00524825" w:rsidRPr="008549AA">
              <w:rPr>
                <w:rFonts w:asciiTheme="minorHAnsi" w:hAnsiTheme="minorHAnsi" w:cstheme="minorHAnsi"/>
              </w:rPr>
              <w:t xml:space="preserve">some of the </w:t>
            </w:r>
            <w:r w:rsidRPr="008549AA">
              <w:rPr>
                <w:rFonts w:asciiTheme="minorHAnsi" w:hAnsiTheme="minorHAnsi" w:cstheme="minorHAnsi"/>
              </w:rPr>
              <w:t xml:space="preserve">demand for IHC. This will improve equity, accessibility and affordability for families by enabling them to access FDC instead of IHC, where appropriate, and preserve IHC places for those most in need. </w:t>
            </w:r>
          </w:p>
        </w:tc>
      </w:tr>
      <w:tr w:rsidR="00E56B3D" w:rsidRPr="008549AA" w14:paraId="0CBB2618" w14:textId="77777777" w:rsidTr="008549AA">
        <w:tc>
          <w:tcPr>
            <w:tcW w:w="9855" w:type="dxa"/>
            <w:shd w:val="clear" w:color="auto" w:fill="E5E5E5" w:themeFill="text2" w:themeFillTint="33"/>
            <w:tcMar>
              <w:top w:w="28" w:type="dxa"/>
              <w:bottom w:w="28" w:type="dxa"/>
            </w:tcMar>
          </w:tcPr>
          <w:p w14:paraId="22756547" w14:textId="77777777" w:rsidR="00E56B3D" w:rsidRPr="008549AA" w:rsidRDefault="00E56B3D" w:rsidP="008549AA">
            <w:pPr>
              <w:keepNext/>
              <w:keepLines/>
              <w:spacing w:after="120"/>
              <w:rPr>
                <w:rFonts w:asciiTheme="minorHAnsi" w:hAnsiTheme="minorHAnsi" w:cstheme="minorHAnsi"/>
                <w:b/>
                <w:bCs/>
              </w:rPr>
            </w:pPr>
            <w:r w:rsidRPr="008549AA">
              <w:rPr>
                <w:rFonts w:asciiTheme="minorHAnsi" w:hAnsiTheme="minorHAnsi" w:cstheme="minorHAnsi"/>
                <w:b/>
                <w:bCs/>
              </w:rPr>
              <w:lastRenderedPageBreak/>
              <w:t>Operational details</w:t>
            </w:r>
          </w:p>
        </w:tc>
      </w:tr>
      <w:tr w:rsidR="00E56B3D" w:rsidRPr="008549AA" w14:paraId="36E9C5F2" w14:textId="77777777" w:rsidTr="008549AA">
        <w:tc>
          <w:tcPr>
            <w:tcW w:w="9855" w:type="dxa"/>
            <w:tcMar>
              <w:top w:w="28" w:type="dxa"/>
              <w:bottom w:w="28" w:type="dxa"/>
            </w:tcMar>
          </w:tcPr>
          <w:p w14:paraId="02B11D45" w14:textId="77777777" w:rsidR="00E56B3D" w:rsidRPr="008549AA" w:rsidRDefault="00E56B3D" w:rsidP="00E82A42">
            <w:pPr>
              <w:pStyle w:val="TabBullet1"/>
              <w:keepNext/>
              <w:keepLines/>
            </w:pPr>
            <w:r w:rsidRPr="008549AA">
              <w:t>FDC providers wishing to provide ECEC to families outside-of-standard-hours and/or through alternative models of FDC would need to be approved. As part of this, IHCSA(s) (or equivalent) would need to be aware that they should be considered an appropriate provider for IHC families (under current eligibility and definitions).</w:t>
            </w:r>
          </w:p>
          <w:p w14:paraId="5FBC9C88" w14:textId="77777777" w:rsidR="00E56B3D" w:rsidRPr="008549AA" w:rsidRDefault="00E56B3D" w:rsidP="00E82A42">
            <w:pPr>
              <w:pStyle w:val="TabBullet1"/>
            </w:pPr>
            <w:r w:rsidRPr="008549AA">
              <w:t>FDC providers approved to expand service offerings would be eligible to apply for one-off grant funding to support design, delivery and operational changes required to deliver outside-of-standard-hours FDC and/or alternative models of FDC.</w:t>
            </w:r>
          </w:p>
          <w:p w14:paraId="61CDFDA6" w14:textId="77777777" w:rsidR="00E56B3D" w:rsidRPr="008549AA" w:rsidRDefault="00E56B3D" w:rsidP="00E82A42">
            <w:pPr>
              <w:pStyle w:val="TabBullet1"/>
            </w:pPr>
            <w:r w:rsidRPr="008549AA">
              <w:t>Families eligible for IHC that are within reasonable proximity to these FDC providers will be made aware that the options available to them include outside-of-standard-hours FDC and/or alternative models of FDC.</w:t>
            </w:r>
          </w:p>
          <w:p w14:paraId="3688BDE5" w14:textId="77777777" w:rsidR="00E56B3D" w:rsidRPr="008549AA" w:rsidRDefault="00E56B3D" w:rsidP="00E82A42">
            <w:pPr>
              <w:pStyle w:val="TabBullet1"/>
              <w:spacing w:after="120"/>
            </w:pPr>
            <w:r w:rsidRPr="008549AA">
              <w:t>FDC providers will be funded, and families will be subsidised, based on CCS/ACCS payments tailored to these new and expanded types of FDC (and ideally linked to the Fee Subsidy Scheme option below).</w:t>
            </w:r>
          </w:p>
        </w:tc>
      </w:tr>
      <w:tr w:rsidR="00E56B3D" w:rsidRPr="008549AA" w14:paraId="73382BB5" w14:textId="77777777" w:rsidTr="008549AA">
        <w:tc>
          <w:tcPr>
            <w:tcW w:w="9855" w:type="dxa"/>
            <w:shd w:val="clear" w:color="auto" w:fill="E5E5E5" w:themeFill="text2" w:themeFillTint="33"/>
            <w:tcMar>
              <w:top w:w="28" w:type="dxa"/>
              <w:bottom w:w="28" w:type="dxa"/>
            </w:tcMar>
          </w:tcPr>
          <w:p w14:paraId="415BA0E4" w14:textId="77777777" w:rsidR="00E56B3D" w:rsidRPr="008549AA" w:rsidRDefault="00E56B3D" w:rsidP="005E471A">
            <w:pPr>
              <w:spacing w:after="120"/>
              <w:rPr>
                <w:rFonts w:asciiTheme="minorHAnsi" w:hAnsiTheme="minorHAnsi" w:cstheme="minorHAnsi"/>
                <w:b/>
                <w:bCs/>
              </w:rPr>
            </w:pPr>
            <w:r w:rsidRPr="008549AA">
              <w:rPr>
                <w:rFonts w:asciiTheme="minorHAnsi" w:hAnsiTheme="minorHAnsi" w:cstheme="minorHAnsi"/>
                <w:b/>
                <w:bCs/>
              </w:rPr>
              <w:t>Implementation requirements</w:t>
            </w:r>
          </w:p>
        </w:tc>
      </w:tr>
      <w:tr w:rsidR="00E56B3D" w:rsidRPr="008549AA" w14:paraId="300FCC43" w14:textId="77777777" w:rsidTr="008549AA">
        <w:tc>
          <w:tcPr>
            <w:tcW w:w="9855" w:type="dxa"/>
            <w:tcMar>
              <w:top w:w="28" w:type="dxa"/>
              <w:bottom w:w="28" w:type="dxa"/>
            </w:tcMar>
          </w:tcPr>
          <w:p w14:paraId="4CF1B9A3" w14:textId="77777777" w:rsidR="00E56B3D" w:rsidRPr="008549AA" w:rsidRDefault="00E56B3D" w:rsidP="00E82A42">
            <w:pPr>
              <w:pStyle w:val="TabBullet1"/>
            </w:pPr>
            <w:r w:rsidRPr="008549AA">
              <w:t>Market testing would need to occur to determine the appetite of existing FDC providers to expand services and/or alternative models of FDC to meet the needs of IHC eligible families.</w:t>
            </w:r>
          </w:p>
          <w:p w14:paraId="706B77DB" w14:textId="77777777" w:rsidR="00E56B3D" w:rsidRPr="008549AA" w:rsidRDefault="00E56B3D" w:rsidP="00E82A42">
            <w:pPr>
              <w:pStyle w:val="TabBullet1"/>
            </w:pPr>
            <w:r w:rsidRPr="008549AA">
              <w:t>Subject to FDC provider interest a pilot could be designed and implemented to test feasibility before broader expansion. FDC providers could be asked to provide a detailed proposal on how they plan to deliver services to families, including oversight and reporting of operations.</w:t>
            </w:r>
          </w:p>
          <w:p w14:paraId="65E1FE00" w14:textId="77777777" w:rsidR="00E56B3D" w:rsidRPr="008549AA" w:rsidRDefault="00E56B3D" w:rsidP="00E82A42">
            <w:pPr>
              <w:pStyle w:val="TabBullet1"/>
            </w:pPr>
            <w:r w:rsidRPr="008549AA">
              <w:t>Changes would be needed to the NQF to incorporate provision of FDC after hours and for alternative models of FDC. There may also be a need to amend existing legislation.</w:t>
            </w:r>
          </w:p>
          <w:p w14:paraId="29DA2024" w14:textId="562FEB1D" w:rsidR="008C384F" w:rsidRPr="008549AA" w:rsidRDefault="00E56B3D" w:rsidP="00E82A42">
            <w:pPr>
              <w:pStyle w:val="TabBullet1"/>
              <w:spacing w:after="120"/>
            </w:pPr>
            <w:r w:rsidRPr="008549AA">
              <w:t>Subject to the findings and outcomes of the pilot program FDC services nationally could be expanded.</w:t>
            </w:r>
          </w:p>
        </w:tc>
      </w:tr>
      <w:tr w:rsidR="00E56B3D" w:rsidRPr="008549AA" w14:paraId="6FB6139C" w14:textId="77777777" w:rsidTr="008549AA">
        <w:tc>
          <w:tcPr>
            <w:tcW w:w="9855" w:type="dxa"/>
            <w:shd w:val="clear" w:color="auto" w:fill="E5E5E5" w:themeFill="text2" w:themeFillTint="33"/>
            <w:tcMar>
              <w:top w:w="28" w:type="dxa"/>
              <w:bottom w:w="28" w:type="dxa"/>
            </w:tcMar>
          </w:tcPr>
          <w:p w14:paraId="691BEF3E" w14:textId="0840A04C" w:rsidR="00E56B3D" w:rsidRPr="008549AA" w:rsidRDefault="00E56B3D" w:rsidP="005E471A">
            <w:pPr>
              <w:spacing w:after="120"/>
              <w:rPr>
                <w:rFonts w:asciiTheme="minorHAnsi" w:hAnsiTheme="minorHAnsi" w:cstheme="minorHAnsi"/>
                <w:b/>
                <w:bCs/>
              </w:rPr>
            </w:pPr>
            <w:r w:rsidRPr="008549AA">
              <w:rPr>
                <w:rFonts w:asciiTheme="minorHAnsi" w:hAnsiTheme="minorHAnsi" w:cstheme="minorHAnsi"/>
                <w:b/>
                <w:bCs/>
              </w:rPr>
              <w:t>Key risks, mitigation strategies, and residual risk</w:t>
            </w:r>
          </w:p>
        </w:tc>
      </w:tr>
      <w:tr w:rsidR="00E56B3D" w:rsidRPr="008549AA" w14:paraId="0DAD40A1" w14:textId="77777777" w:rsidTr="008549AA">
        <w:tc>
          <w:tcPr>
            <w:tcW w:w="9855" w:type="dxa"/>
            <w:tcMar>
              <w:top w:w="28" w:type="dxa"/>
              <w:bottom w:w="28" w:type="dxa"/>
            </w:tcMar>
          </w:tcPr>
          <w:p w14:paraId="371B2BB4" w14:textId="77777777" w:rsidR="00E56B3D" w:rsidRPr="008549AA" w:rsidRDefault="00E56B3D" w:rsidP="008549AA">
            <w:pPr>
              <w:pStyle w:val="ListParagraph"/>
              <w:numPr>
                <w:ilvl w:val="0"/>
                <w:numId w:val="40"/>
              </w:numPr>
              <w:kinsoku w:val="0"/>
              <w:overflowPunct w:val="0"/>
              <w:autoSpaceDE w:val="0"/>
              <w:autoSpaceDN w:val="0"/>
              <w:adjustRightInd w:val="0"/>
              <w:snapToGrid w:val="0"/>
              <w:spacing w:before="60" w:after="120"/>
              <w:ind w:left="357" w:hanging="357"/>
              <w:contextualSpacing w:val="0"/>
              <w:rPr>
                <w:rFonts w:asciiTheme="minorHAnsi" w:hAnsiTheme="minorHAnsi" w:cstheme="minorHAnsi"/>
              </w:rPr>
            </w:pPr>
            <w:r w:rsidRPr="008549AA">
              <w:rPr>
                <w:rFonts w:asciiTheme="minorHAnsi" w:hAnsiTheme="minorHAnsi" w:cstheme="minorHAnsi"/>
              </w:rPr>
              <w:t>A pilot program was previously implemented to expand operating hours of CBDC to meet the needs of families that work non-standard and variable hours. The pilot found there was poor uptake, which could also be the case with expanded FDC. With this in mind, and to minimise risk and cost, change to FDC are proposed to be tested through an initial pilot.</w:t>
            </w:r>
          </w:p>
          <w:p w14:paraId="3F11B69E" w14:textId="77777777" w:rsidR="007D7BF5" w:rsidRPr="008549AA" w:rsidRDefault="00E56B3D" w:rsidP="00A86AE4">
            <w:pPr>
              <w:pStyle w:val="ListParagraph"/>
              <w:numPr>
                <w:ilvl w:val="0"/>
                <w:numId w:val="40"/>
              </w:numPr>
              <w:kinsoku w:val="0"/>
              <w:overflowPunct w:val="0"/>
              <w:autoSpaceDE w:val="0"/>
              <w:autoSpaceDN w:val="0"/>
              <w:adjustRightInd w:val="0"/>
              <w:snapToGrid w:val="0"/>
              <w:spacing w:before="0" w:after="120"/>
              <w:ind w:left="360"/>
              <w:contextualSpacing w:val="0"/>
              <w:rPr>
                <w:rFonts w:asciiTheme="minorHAnsi" w:hAnsiTheme="minorHAnsi" w:cstheme="minorHAnsi"/>
              </w:rPr>
            </w:pPr>
            <w:r w:rsidRPr="008549AA">
              <w:rPr>
                <w:rFonts w:asciiTheme="minorHAnsi" w:hAnsiTheme="minorHAnsi" w:cstheme="minorHAnsi"/>
              </w:rPr>
              <w:t>Alternative models of FDC could risk quality and safety for families and children as these will be innovative and untested models. To mitigate against this FDC providers could be asked to submit proposals for alternative models of FDC that would need to be approved by the Department of Education, and include rigorous oversight, reporting, and review.</w:t>
            </w:r>
          </w:p>
          <w:p w14:paraId="60A19957" w14:textId="01629C45" w:rsidR="00555EEB" w:rsidRPr="008549AA" w:rsidRDefault="00E56B3D" w:rsidP="00A86AE4">
            <w:pPr>
              <w:pStyle w:val="ListParagraph"/>
              <w:numPr>
                <w:ilvl w:val="0"/>
                <w:numId w:val="40"/>
              </w:numPr>
              <w:kinsoku w:val="0"/>
              <w:overflowPunct w:val="0"/>
              <w:autoSpaceDE w:val="0"/>
              <w:autoSpaceDN w:val="0"/>
              <w:adjustRightInd w:val="0"/>
              <w:snapToGrid w:val="0"/>
              <w:spacing w:before="0" w:after="120"/>
              <w:ind w:left="360"/>
              <w:contextualSpacing w:val="0"/>
              <w:rPr>
                <w:rFonts w:asciiTheme="minorHAnsi" w:hAnsiTheme="minorHAnsi" w:cstheme="minorHAnsi"/>
              </w:rPr>
            </w:pPr>
            <w:r w:rsidRPr="008549AA">
              <w:rPr>
                <w:rFonts w:asciiTheme="minorHAnsi" w:hAnsiTheme="minorHAnsi" w:cstheme="minorHAnsi"/>
              </w:rPr>
              <w:t>Any incentives for FDC services to provide additional ECEC for out-of-standard-hours care families would be seen as inequitable to IHC providers and families. Therefore, any incentives for FDC providers would need to be extended to IHC providers.</w:t>
            </w:r>
          </w:p>
          <w:p w14:paraId="7615C3C2" w14:textId="5C96F71E" w:rsidR="00555EEB" w:rsidRPr="008549AA" w:rsidRDefault="003B03F9" w:rsidP="00A86AE4">
            <w:pPr>
              <w:pStyle w:val="ListParagraph"/>
              <w:numPr>
                <w:ilvl w:val="0"/>
                <w:numId w:val="40"/>
              </w:numPr>
              <w:kinsoku w:val="0"/>
              <w:overflowPunct w:val="0"/>
              <w:autoSpaceDE w:val="0"/>
              <w:autoSpaceDN w:val="0"/>
              <w:adjustRightInd w:val="0"/>
              <w:snapToGrid w:val="0"/>
              <w:spacing w:before="0" w:after="120"/>
              <w:ind w:left="360"/>
              <w:contextualSpacing w:val="0"/>
              <w:rPr>
                <w:rFonts w:asciiTheme="minorHAnsi" w:hAnsiTheme="minorHAnsi" w:cstheme="minorHAnsi"/>
              </w:rPr>
            </w:pPr>
            <w:r w:rsidRPr="008549AA">
              <w:rPr>
                <w:rFonts w:cstheme="minorHAnsi"/>
              </w:rPr>
              <w:t xml:space="preserve">An expansion of </w:t>
            </w:r>
            <w:r w:rsidR="00555EEB" w:rsidRPr="008549AA">
              <w:rPr>
                <w:rFonts w:cstheme="minorHAnsi"/>
              </w:rPr>
              <w:t xml:space="preserve">FDC </w:t>
            </w:r>
            <w:r w:rsidRPr="008549AA">
              <w:rPr>
                <w:rFonts w:cstheme="minorHAnsi"/>
              </w:rPr>
              <w:t xml:space="preserve">service offerings </w:t>
            </w:r>
            <w:r w:rsidR="004C4A5B" w:rsidRPr="008549AA">
              <w:rPr>
                <w:rFonts w:cstheme="minorHAnsi"/>
              </w:rPr>
              <w:t xml:space="preserve">would require </w:t>
            </w:r>
            <w:r w:rsidR="001E219B" w:rsidRPr="008549AA">
              <w:rPr>
                <w:rFonts w:cstheme="minorHAnsi"/>
              </w:rPr>
              <w:t xml:space="preserve">an increase to the FDC educator workforce. </w:t>
            </w:r>
            <w:r w:rsidR="00964B74" w:rsidRPr="008549AA">
              <w:rPr>
                <w:rFonts w:cstheme="minorHAnsi"/>
              </w:rPr>
              <w:t>For this to be feasible strategies would need to be developed to build the FDC educator pipeline.</w:t>
            </w:r>
          </w:p>
          <w:p w14:paraId="4707B4BB" w14:textId="5FC0E8A1" w:rsidR="00356C22" w:rsidRPr="008549AA" w:rsidRDefault="002A73FD" w:rsidP="00A86AE4">
            <w:pPr>
              <w:pStyle w:val="ListParagraph"/>
              <w:numPr>
                <w:ilvl w:val="0"/>
                <w:numId w:val="40"/>
              </w:numPr>
              <w:kinsoku w:val="0"/>
              <w:overflowPunct w:val="0"/>
              <w:autoSpaceDE w:val="0"/>
              <w:autoSpaceDN w:val="0"/>
              <w:adjustRightInd w:val="0"/>
              <w:snapToGrid w:val="0"/>
              <w:spacing w:before="0" w:after="120"/>
              <w:ind w:left="360"/>
              <w:contextualSpacing w:val="0"/>
              <w:rPr>
                <w:rFonts w:asciiTheme="minorHAnsi" w:hAnsiTheme="minorHAnsi" w:cstheme="minorHAnsi"/>
              </w:rPr>
            </w:pPr>
            <w:r w:rsidRPr="008549AA">
              <w:rPr>
                <w:rFonts w:cstheme="minorHAnsi"/>
              </w:rPr>
              <w:t xml:space="preserve">Like </w:t>
            </w:r>
            <w:r w:rsidR="00805AFF" w:rsidRPr="008549AA">
              <w:rPr>
                <w:rFonts w:cstheme="minorHAnsi"/>
              </w:rPr>
              <w:t xml:space="preserve">IHC, FDC is a </w:t>
            </w:r>
            <w:r w:rsidR="002C7B9D" w:rsidRPr="008549AA">
              <w:rPr>
                <w:rFonts w:cstheme="minorHAnsi"/>
              </w:rPr>
              <w:t>home-based</w:t>
            </w:r>
            <w:r w:rsidR="00805AFF" w:rsidRPr="008549AA">
              <w:rPr>
                <w:rFonts w:cstheme="minorHAnsi"/>
              </w:rPr>
              <w:t xml:space="preserve"> ECEC service</w:t>
            </w:r>
            <w:r w:rsidR="00E32CAB" w:rsidRPr="008549AA">
              <w:rPr>
                <w:rFonts w:cstheme="minorHAnsi"/>
              </w:rPr>
              <w:t xml:space="preserve"> that comes with inherent risk of fraud and non-compliance</w:t>
            </w:r>
            <w:r w:rsidRPr="008549AA">
              <w:rPr>
                <w:rFonts w:cstheme="minorHAnsi"/>
              </w:rPr>
              <w:t xml:space="preserve">. </w:t>
            </w:r>
            <w:r w:rsidR="00ED1CF0" w:rsidRPr="008549AA">
              <w:rPr>
                <w:rFonts w:cstheme="minorHAnsi"/>
              </w:rPr>
              <w:t xml:space="preserve">Expanding FDC services could lead to increased risk of fraud and non-compliance. To prevent this </w:t>
            </w:r>
            <w:r w:rsidR="00F661CB" w:rsidRPr="008549AA">
              <w:rPr>
                <w:rFonts w:cstheme="minorHAnsi"/>
              </w:rPr>
              <w:t xml:space="preserve">there would need to be a strong focus on integrity, including legislating </w:t>
            </w:r>
            <w:r w:rsidR="008F36CF" w:rsidRPr="008549AA">
              <w:rPr>
                <w:rFonts w:cstheme="minorHAnsi"/>
              </w:rPr>
              <w:t>providers to collect gap fees from families centrally to ensure they have oversight of the of care being claimed and that fees are being collected.</w:t>
            </w:r>
            <w:r w:rsidR="0036642F" w:rsidRPr="008549AA">
              <w:rPr>
                <w:rFonts w:cstheme="minorHAnsi"/>
              </w:rPr>
              <w:t xml:space="preserve"> </w:t>
            </w:r>
          </w:p>
        </w:tc>
      </w:tr>
      <w:tr w:rsidR="00E56B3D" w:rsidRPr="008549AA" w14:paraId="551491ED" w14:textId="77777777" w:rsidTr="008549AA">
        <w:tc>
          <w:tcPr>
            <w:tcW w:w="9855" w:type="dxa"/>
            <w:shd w:val="clear" w:color="auto" w:fill="E5E5E5" w:themeFill="text2" w:themeFillTint="33"/>
            <w:tcMar>
              <w:top w:w="28" w:type="dxa"/>
              <w:bottom w:w="28" w:type="dxa"/>
            </w:tcMar>
          </w:tcPr>
          <w:p w14:paraId="4A951A08" w14:textId="411D9774" w:rsidR="00E56B3D" w:rsidRPr="008549AA" w:rsidRDefault="00E56B3D" w:rsidP="00E82A42">
            <w:pPr>
              <w:keepNext/>
              <w:keepLines/>
              <w:spacing w:after="120"/>
              <w:rPr>
                <w:rFonts w:asciiTheme="minorHAnsi" w:hAnsiTheme="minorHAnsi" w:cstheme="minorHAnsi"/>
                <w:b/>
                <w:bCs/>
              </w:rPr>
            </w:pPr>
            <w:r w:rsidRPr="008549AA">
              <w:rPr>
                <w:rFonts w:asciiTheme="minorHAnsi" w:hAnsiTheme="minorHAnsi" w:cstheme="minorHAnsi"/>
                <w:b/>
                <w:bCs/>
              </w:rPr>
              <w:lastRenderedPageBreak/>
              <w:t>Sequencing</w:t>
            </w:r>
            <w:r w:rsidR="0036642F" w:rsidRPr="008549AA">
              <w:rPr>
                <w:rFonts w:asciiTheme="minorHAnsi" w:hAnsiTheme="minorHAnsi" w:cstheme="minorHAnsi"/>
                <w:b/>
                <w:bCs/>
              </w:rPr>
              <w:t>/</w:t>
            </w:r>
            <w:r w:rsidRPr="008549AA">
              <w:rPr>
                <w:rFonts w:asciiTheme="minorHAnsi" w:hAnsiTheme="minorHAnsi" w:cstheme="minorHAnsi"/>
                <w:b/>
                <w:bCs/>
              </w:rPr>
              <w:t>timeline</w:t>
            </w:r>
          </w:p>
        </w:tc>
      </w:tr>
      <w:tr w:rsidR="00E56B3D" w:rsidRPr="008549AA" w14:paraId="5669F7D9" w14:textId="77777777" w:rsidTr="008549AA">
        <w:tc>
          <w:tcPr>
            <w:tcW w:w="9855" w:type="dxa"/>
            <w:tcMar>
              <w:top w:w="28" w:type="dxa"/>
              <w:bottom w:w="28" w:type="dxa"/>
            </w:tcMar>
          </w:tcPr>
          <w:p w14:paraId="112F15F4" w14:textId="77777777" w:rsidR="00E56B3D" w:rsidRPr="008549AA" w:rsidRDefault="00E56B3D" w:rsidP="00E82A42">
            <w:pPr>
              <w:keepNext/>
              <w:keepLines/>
              <w:spacing w:after="120"/>
              <w:rPr>
                <w:rFonts w:asciiTheme="minorHAnsi" w:hAnsiTheme="minorHAnsi" w:cstheme="minorHAnsi"/>
              </w:rPr>
            </w:pPr>
            <w:r w:rsidRPr="008549AA">
              <w:rPr>
                <w:rFonts w:asciiTheme="minorHAnsi" w:hAnsiTheme="minorHAnsi" w:cstheme="minorHAnsi"/>
              </w:rPr>
              <w:t>This option requires a range of operational, fiscal and regulatory changes. Therefore, it is likely to require a mid- to longer-term timeline for implementation which could commence with a pilot in the medium term. Subject to outcomes of the pilot this could then be implemented more broadly. The timeline for implementation for this would likely be between 18-24 months.</w:t>
            </w:r>
          </w:p>
        </w:tc>
      </w:tr>
      <w:tr w:rsidR="00E56B3D" w:rsidRPr="008549AA" w14:paraId="15460019" w14:textId="77777777" w:rsidTr="008549AA">
        <w:tc>
          <w:tcPr>
            <w:tcW w:w="9855" w:type="dxa"/>
            <w:shd w:val="clear" w:color="auto" w:fill="E5E5E5" w:themeFill="text2" w:themeFillTint="33"/>
            <w:tcMar>
              <w:top w:w="28" w:type="dxa"/>
              <w:bottom w:w="28" w:type="dxa"/>
            </w:tcMar>
          </w:tcPr>
          <w:p w14:paraId="3A56213D" w14:textId="77777777" w:rsidR="00E56B3D" w:rsidRPr="008549AA" w:rsidRDefault="00E56B3D" w:rsidP="005E471A">
            <w:pPr>
              <w:spacing w:after="120"/>
              <w:rPr>
                <w:rFonts w:asciiTheme="minorHAnsi" w:hAnsiTheme="minorHAnsi" w:cstheme="minorHAnsi"/>
                <w:b/>
                <w:bCs/>
              </w:rPr>
            </w:pPr>
            <w:r w:rsidRPr="008549AA">
              <w:rPr>
                <w:rFonts w:asciiTheme="minorHAnsi" w:hAnsiTheme="minorHAnsi" w:cstheme="minorHAnsi"/>
                <w:b/>
                <w:bCs/>
              </w:rPr>
              <w:t>Stakeholders and acceptance</w:t>
            </w:r>
          </w:p>
        </w:tc>
      </w:tr>
      <w:tr w:rsidR="00E56B3D" w:rsidRPr="008549AA" w14:paraId="43C9C070" w14:textId="77777777" w:rsidTr="008549AA">
        <w:tc>
          <w:tcPr>
            <w:tcW w:w="9855" w:type="dxa"/>
            <w:tcMar>
              <w:top w:w="28" w:type="dxa"/>
              <w:bottom w:w="28" w:type="dxa"/>
            </w:tcMar>
          </w:tcPr>
          <w:p w14:paraId="397E77E1" w14:textId="77777777" w:rsidR="00E56B3D" w:rsidRPr="008549AA" w:rsidRDefault="00E56B3D" w:rsidP="005E471A">
            <w:pPr>
              <w:spacing w:after="120"/>
              <w:rPr>
                <w:rFonts w:asciiTheme="minorHAnsi" w:hAnsiTheme="minorHAnsi" w:cstheme="minorHAnsi"/>
              </w:rPr>
            </w:pPr>
            <w:r w:rsidRPr="008549AA">
              <w:rPr>
                <w:rFonts w:asciiTheme="minorHAnsi" w:hAnsiTheme="minorHAnsi" w:cstheme="minorHAnsi"/>
              </w:rPr>
              <w:t>Feedback from FDCA is that FDC providers would welcome the opportunity to be part of any changes that could better support families unable to access appropriate ECEC to meet their needs. However, current IHC providers may be resistant to additional entrants into the space, although a successful pilot could see partnerships develop between FDC providers and existing IHC providers. Families may also be reluctant to take up alternative models of FDC, so would need to be made aware of, and receive assurances, over the service offerings. However, many families who at present can only access IHC, may welcome additional options for alternative ECEC services that could better meet their needs.</w:t>
            </w:r>
          </w:p>
        </w:tc>
      </w:tr>
    </w:tbl>
    <w:p w14:paraId="43B5AC2B" w14:textId="1CA7F606" w:rsidR="00E56B3D" w:rsidRDefault="00E56B3D" w:rsidP="00215F1C">
      <w:pPr>
        <w:pStyle w:val="DocBodyText"/>
      </w:pPr>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1"/>
      </w:tblGrid>
      <w:tr w:rsidR="00E56B3D" w:rsidRPr="00E82A42" w14:paraId="60C1E92A" w14:textId="77777777" w:rsidTr="00E82A42">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855" w:type="dxa"/>
            <w:shd w:val="clear" w:color="auto" w:fill="D04A02" w:themeFill="accent1"/>
          </w:tcPr>
          <w:p w14:paraId="465C5F54" w14:textId="741CC0EF" w:rsidR="00E56B3D" w:rsidRPr="00E82A42" w:rsidRDefault="00E56B3D" w:rsidP="00887EFD">
            <w:pPr>
              <w:pStyle w:val="PwCNormal"/>
              <w:numPr>
                <w:ilvl w:val="0"/>
                <w:numId w:val="2"/>
              </w:numPr>
              <w:spacing w:before="120" w:after="120"/>
              <w:rPr>
                <w:rFonts w:asciiTheme="minorHAnsi" w:hAnsiTheme="minorHAnsi" w:cstheme="minorHAnsi"/>
                <w:b/>
                <w:bCs/>
                <w:sz w:val="20"/>
              </w:rPr>
            </w:pPr>
            <w:r w:rsidRPr="00E82A42">
              <w:rPr>
                <w:rFonts w:asciiTheme="minorHAnsi" w:hAnsiTheme="minorHAnsi" w:cstheme="minorHAnsi"/>
                <w:b/>
                <w:bCs/>
                <w:color w:val="FFFFFF" w:themeColor="background1"/>
                <w:sz w:val="20"/>
              </w:rPr>
              <w:t xml:space="preserve">Providing funding </w:t>
            </w:r>
            <w:r w:rsidR="00524825" w:rsidRPr="00E82A42">
              <w:rPr>
                <w:rFonts w:asciiTheme="minorHAnsi" w:hAnsiTheme="minorHAnsi" w:cstheme="minorHAnsi"/>
                <w:b/>
                <w:bCs/>
                <w:color w:val="FFFFFF" w:themeColor="background1"/>
                <w:sz w:val="20"/>
              </w:rPr>
              <w:t>aligned to</w:t>
            </w:r>
            <w:r w:rsidRPr="00E82A42">
              <w:rPr>
                <w:rFonts w:asciiTheme="minorHAnsi" w:hAnsiTheme="minorHAnsi" w:cstheme="minorHAnsi"/>
                <w:b/>
                <w:bCs/>
                <w:color w:val="FFFFFF" w:themeColor="background1"/>
                <w:sz w:val="20"/>
              </w:rPr>
              <w:t xml:space="preserve"> family needs</w:t>
            </w:r>
          </w:p>
        </w:tc>
      </w:tr>
      <w:tr w:rsidR="00E56B3D" w:rsidRPr="00E82A42" w14:paraId="41438D31" w14:textId="77777777" w:rsidTr="00E82A42">
        <w:tc>
          <w:tcPr>
            <w:tcW w:w="9855" w:type="dxa"/>
            <w:shd w:val="clear" w:color="auto" w:fill="E5E5E5" w:themeFill="text2" w:themeFillTint="33"/>
          </w:tcPr>
          <w:p w14:paraId="0A1ACD53" w14:textId="77777777" w:rsidR="00E56B3D" w:rsidRPr="00E82A42" w:rsidRDefault="00E56B3D" w:rsidP="00887EFD">
            <w:pPr>
              <w:pStyle w:val="PwCNormal"/>
              <w:numPr>
                <w:ilvl w:val="0"/>
                <w:numId w:val="2"/>
              </w:numPr>
              <w:spacing w:before="120" w:after="120"/>
              <w:rPr>
                <w:rFonts w:asciiTheme="minorHAnsi" w:hAnsiTheme="minorHAnsi" w:cstheme="minorHAnsi"/>
                <w:b/>
                <w:bCs/>
                <w:color w:val="auto"/>
                <w:sz w:val="20"/>
              </w:rPr>
            </w:pPr>
            <w:r w:rsidRPr="00E82A42">
              <w:rPr>
                <w:rFonts w:asciiTheme="minorHAnsi" w:hAnsiTheme="minorHAnsi" w:cstheme="minorHAnsi"/>
                <w:b/>
                <w:bCs/>
                <w:color w:val="auto"/>
                <w:sz w:val="20"/>
              </w:rPr>
              <w:t>Description</w:t>
            </w:r>
          </w:p>
        </w:tc>
      </w:tr>
      <w:tr w:rsidR="00E56B3D" w:rsidRPr="00E82A42" w14:paraId="698EB4B9" w14:textId="77777777" w:rsidTr="00E82A42">
        <w:tc>
          <w:tcPr>
            <w:tcW w:w="9855" w:type="dxa"/>
          </w:tcPr>
          <w:p w14:paraId="578C78CD" w14:textId="390ADA3A" w:rsidR="00E56B3D" w:rsidRPr="00E82A42" w:rsidRDefault="00E56B3D" w:rsidP="00887EFD">
            <w:pPr>
              <w:spacing w:after="120"/>
              <w:rPr>
                <w:rFonts w:asciiTheme="minorHAnsi" w:hAnsiTheme="minorHAnsi" w:cstheme="minorHAnsi"/>
              </w:rPr>
            </w:pPr>
            <w:r w:rsidRPr="00E82A42">
              <w:rPr>
                <w:rFonts w:asciiTheme="minorHAnsi" w:hAnsiTheme="minorHAnsi" w:cstheme="minorHAnsi"/>
              </w:rPr>
              <w:t xml:space="preserve">The review found that the IHC program hourly rate cap is too low to cover the costs associated with </w:t>
            </w:r>
            <w:r w:rsidR="00524825" w:rsidRPr="00E82A42">
              <w:rPr>
                <w:rFonts w:asciiTheme="minorHAnsi" w:hAnsiTheme="minorHAnsi" w:cstheme="minorHAnsi"/>
              </w:rPr>
              <w:t xml:space="preserve">delivering </w:t>
            </w:r>
            <w:r w:rsidRPr="00E82A42">
              <w:rPr>
                <w:rFonts w:asciiTheme="minorHAnsi" w:hAnsiTheme="minorHAnsi" w:cstheme="minorHAnsi"/>
              </w:rPr>
              <w:t>IHC and is applied consistently to all three family cohorts despite the different needs and underlying costs to deliver the services. This impacts equity as these families are having to pay higher out-of-pocket fees compared with families accessing other forms of ECEC. To make IHC more affordable, equitable and accessible for families, and to support IHC provider financial viability, the following changes are proposed:</w:t>
            </w:r>
          </w:p>
          <w:p w14:paraId="43032ECF" w14:textId="77777777" w:rsidR="00E56B3D" w:rsidRPr="00E82A42" w:rsidRDefault="00E56B3D" w:rsidP="00E82A42">
            <w:pPr>
              <w:pStyle w:val="TabBullet1"/>
              <w:rPr>
                <w:rFonts w:asciiTheme="minorHAnsi" w:hAnsiTheme="minorHAnsi"/>
              </w:rPr>
            </w:pPr>
            <w:r w:rsidRPr="00E82A42">
              <w:rPr>
                <w:rFonts w:asciiTheme="minorHAnsi" w:hAnsiTheme="minorHAnsi"/>
              </w:rPr>
              <w:t>Change funding to be based on complexity criteria</w:t>
            </w:r>
          </w:p>
          <w:p w14:paraId="6C2788F9" w14:textId="77777777" w:rsidR="00E56B3D" w:rsidRPr="00E82A42" w:rsidRDefault="00E56B3D" w:rsidP="00E82A42">
            <w:pPr>
              <w:pStyle w:val="TabBullet1"/>
              <w:rPr>
                <w:rFonts w:asciiTheme="minorHAnsi" w:hAnsiTheme="minorHAnsi"/>
              </w:rPr>
            </w:pPr>
            <w:r w:rsidRPr="00E82A42">
              <w:rPr>
                <w:rFonts w:asciiTheme="minorHAnsi" w:hAnsiTheme="minorHAnsi"/>
              </w:rPr>
              <w:t>Include a variable hourly rate/loading based on cohort (location, experience, family complexity)</w:t>
            </w:r>
          </w:p>
          <w:p w14:paraId="43BEA720" w14:textId="77777777" w:rsidR="00E56B3D" w:rsidRPr="00E82A42" w:rsidRDefault="00E56B3D" w:rsidP="00887EFD">
            <w:pPr>
              <w:pStyle w:val="PwCNormal"/>
              <w:numPr>
                <w:ilvl w:val="0"/>
                <w:numId w:val="0"/>
              </w:numPr>
              <w:spacing w:before="120" w:after="120"/>
              <w:rPr>
                <w:rFonts w:asciiTheme="minorHAnsi" w:hAnsiTheme="minorHAnsi" w:cstheme="minorHAnsi"/>
                <w:color w:val="auto"/>
                <w:sz w:val="20"/>
              </w:rPr>
            </w:pPr>
            <w:r w:rsidRPr="00E82A42">
              <w:rPr>
                <w:rFonts w:asciiTheme="minorHAnsi" w:hAnsiTheme="minorHAnsi" w:cstheme="minorHAnsi"/>
                <w:color w:val="auto"/>
                <w:sz w:val="20"/>
              </w:rPr>
              <w:t>Implementing needs-based funding could be achieved using one of three funding mechanisms:</w:t>
            </w:r>
          </w:p>
          <w:p w14:paraId="041E5B68" w14:textId="77777777" w:rsidR="00E56B3D" w:rsidRPr="00E82A42" w:rsidRDefault="00E56B3D" w:rsidP="00E82A42">
            <w:pPr>
              <w:pStyle w:val="TabBullet1"/>
              <w:rPr>
                <w:rFonts w:asciiTheme="minorHAnsi" w:hAnsiTheme="minorHAnsi"/>
              </w:rPr>
            </w:pPr>
            <w:r w:rsidRPr="00E82A42">
              <w:rPr>
                <w:rFonts w:asciiTheme="minorHAnsi" w:hAnsiTheme="minorHAnsi"/>
              </w:rPr>
              <w:t>Amend the existing CCS/ACCS scheme</w:t>
            </w:r>
          </w:p>
          <w:p w14:paraId="1BA56406" w14:textId="77777777" w:rsidR="00E56B3D" w:rsidRPr="00E82A42" w:rsidRDefault="00E56B3D" w:rsidP="00E82A42">
            <w:pPr>
              <w:pStyle w:val="TabBullet1"/>
              <w:rPr>
                <w:rFonts w:asciiTheme="minorHAnsi" w:hAnsiTheme="minorHAnsi"/>
              </w:rPr>
            </w:pPr>
            <w:r w:rsidRPr="00E82A42">
              <w:rPr>
                <w:rFonts w:asciiTheme="minorHAnsi" w:hAnsiTheme="minorHAnsi"/>
              </w:rPr>
              <w:t>Through block funding to IHC services (either for the total cost, or as top-up funding)</w:t>
            </w:r>
          </w:p>
          <w:p w14:paraId="32FAF958" w14:textId="77777777" w:rsidR="00E56B3D" w:rsidRPr="00E82A42" w:rsidRDefault="00E56B3D" w:rsidP="00E82A42">
            <w:pPr>
              <w:pStyle w:val="TabBullet1"/>
              <w:rPr>
                <w:rFonts w:asciiTheme="minorHAnsi" w:hAnsiTheme="minorHAnsi"/>
              </w:rPr>
            </w:pPr>
            <w:r w:rsidRPr="00E82A42">
              <w:rPr>
                <w:rFonts w:asciiTheme="minorHAnsi" w:hAnsiTheme="minorHAnsi"/>
              </w:rPr>
              <w:t>Introducing a dedicated, per family driven, IHC subsidy scheme</w:t>
            </w:r>
          </w:p>
          <w:p w14:paraId="613C8387" w14:textId="77777777" w:rsidR="00E56B3D" w:rsidRPr="00E82A42" w:rsidRDefault="00E56B3D" w:rsidP="00887EFD">
            <w:pPr>
              <w:spacing w:after="120"/>
              <w:rPr>
                <w:rFonts w:asciiTheme="minorHAnsi" w:hAnsiTheme="minorHAnsi" w:cstheme="minorHAnsi"/>
              </w:rPr>
            </w:pPr>
            <w:r w:rsidRPr="00E82A42">
              <w:rPr>
                <w:rFonts w:asciiTheme="minorHAnsi" w:hAnsiTheme="minorHAnsi" w:cstheme="minorHAnsi"/>
              </w:rPr>
              <w:t>These changes will lead to payments and funding that factor in the additional costs and penalty rates that are necessary to access IHC educators in geographically isolated areas and for short, ad-hoc, out of hours, and/or short notice sessions, and based on the level of complexity (and therefore educator skills needed) to provide IHC to families with complex and challenging needs.</w:t>
            </w:r>
          </w:p>
        </w:tc>
      </w:tr>
      <w:tr w:rsidR="00E56B3D" w:rsidRPr="00E82A42" w14:paraId="07D22A6C" w14:textId="77777777" w:rsidTr="00E82A42">
        <w:tc>
          <w:tcPr>
            <w:tcW w:w="9855" w:type="dxa"/>
            <w:shd w:val="clear" w:color="auto" w:fill="E5E5E5" w:themeFill="text2" w:themeFillTint="33"/>
          </w:tcPr>
          <w:p w14:paraId="22B7FF84" w14:textId="77777777" w:rsidR="00E56B3D" w:rsidRPr="00E82A42" w:rsidRDefault="00E56B3D" w:rsidP="00887EFD">
            <w:pPr>
              <w:spacing w:after="120"/>
              <w:rPr>
                <w:rFonts w:asciiTheme="minorHAnsi" w:hAnsiTheme="minorHAnsi" w:cstheme="minorHAnsi"/>
                <w:b/>
                <w:bCs/>
              </w:rPr>
            </w:pPr>
            <w:r w:rsidRPr="00E82A42">
              <w:rPr>
                <w:rFonts w:asciiTheme="minorHAnsi" w:hAnsiTheme="minorHAnsi" w:cstheme="minorHAnsi"/>
                <w:b/>
                <w:bCs/>
              </w:rPr>
              <w:t>Operational details</w:t>
            </w:r>
          </w:p>
        </w:tc>
      </w:tr>
      <w:tr w:rsidR="00E56B3D" w:rsidRPr="00E82A42" w14:paraId="0664038C" w14:textId="77777777" w:rsidTr="00E82A42">
        <w:tc>
          <w:tcPr>
            <w:tcW w:w="9855" w:type="dxa"/>
          </w:tcPr>
          <w:p w14:paraId="24B21EF1" w14:textId="07239861" w:rsidR="00E56B3D" w:rsidRPr="00E82A42" w:rsidRDefault="00E56B3D" w:rsidP="00E82A42">
            <w:pPr>
              <w:pStyle w:val="TabBullet1"/>
              <w:rPr>
                <w:rFonts w:asciiTheme="minorHAnsi" w:hAnsiTheme="minorHAnsi"/>
              </w:rPr>
            </w:pPr>
            <w:r w:rsidRPr="00E82A42">
              <w:rPr>
                <w:rFonts w:asciiTheme="minorHAnsi" w:hAnsiTheme="minorHAnsi"/>
              </w:rPr>
              <w:t>To access the IHC program families may be required to provide additional information as evidence of family circumstances.</w:t>
            </w:r>
          </w:p>
          <w:p w14:paraId="6059D5BF" w14:textId="77777777" w:rsidR="00E56B3D" w:rsidRPr="00E82A42" w:rsidRDefault="00E56B3D" w:rsidP="00E82A42">
            <w:pPr>
              <w:pStyle w:val="TabBullet1"/>
              <w:rPr>
                <w:rFonts w:asciiTheme="minorHAnsi" w:hAnsiTheme="minorHAnsi"/>
              </w:rPr>
            </w:pPr>
            <w:r w:rsidRPr="00E82A42">
              <w:rPr>
                <w:rFonts w:asciiTheme="minorHAnsi" w:hAnsiTheme="minorHAnsi"/>
              </w:rPr>
              <w:t>Based on family circumstances needs-based funding will be calculated to determine the appropriate funding, and additional loadings, that should be applied to any IHC they receive.</w:t>
            </w:r>
          </w:p>
          <w:p w14:paraId="7169E430" w14:textId="77777777" w:rsidR="00E56B3D" w:rsidRPr="00E82A42" w:rsidRDefault="00E56B3D" w:rsidP="00E82A42">
            <w:pPr>
              <w:pStyle w:val="TabBullet1"/>
              <w:spacing w:after="120"/>
              <w:rPr>
                <w:rFonts w:asciiTheme="minorHAnsi" w:hAnsiTheme="minorHAnsi"/>
              </w:rPr>
            </w:pPr>
            <w:r w:rsidRPr="00E82A42">
              <w:rPr>
                <w:rFonts w:asciiTheme="minorHAnsi" w:hAnsiTheme="minorHAnsi"/>
              </w:rPr>
              <w:t>Payments to IHC providers, and subsidies to families, would be made using existing processes.</w:t>
            </w:r>
          </w:p>
        </w:tc>
      </w:tr>
      <w:tr w:rsidR="00E56B3D" w:rsidRPr="00E82A42" w14:paraId="0C325993" w14:textId="77777777" w:rsidTr="00E82A42">
        <w:tc>
          <w:tcPr>
            <w:tcW w:w="9855" w:type="dxa"/>
            <w:shd w:val="clear" w:color="auto" w:fill="E5E5E5" w:themeFill="text2" w:themeFillTint="33"/>
          </w:tcPr>
          <w:p w14:paraId="45E8B9F2" w14:textId="77777777" w:rsidR="00E56B3D" w:rsidRPr="00E82A42" w:rsidRDefault="00E56B3D" w:rsidP="00E82A42">
            <w:pPr>
              <w:keepNext/>
              <w:keepLines/>
              <w:spacing w:after="120"/>
              <w:rPr>
                <w:rFonts w:asciiTheme="minorHAnsi" w:hAnsiTheme="minorHAnsi" w:cstheme="minorHAnsi"/>
                <w:b/>
                <w:bCs/>
              </w:rPr>
            </w:pPr>
            <w:r w:rsidRPr="00E82A42">
              <w:rPr>
                <w:rFonts w:asciiTheme="minorHAnsi" w:hAnsiTheme="minorHAnsi" w:cstheme="minorHAnsi"/>
                <w:b/>
                <w:bCs/>
              </w:rPr>
              <w:lastRenderedPageBreak/>
              <w:t>Implementation requirements</w:t>
            </w:r>
          </w:p>
        </w:tc>
      </w:tr>
      <w:tr w:rsidR="00E56B3D" w:rsidRPr="00E82A42" w14:paraId="1CB28E77" w14:textId="77777777" w:rsidTr="00E82A42">
        <w:tc>
          <w:tcPr>
            <w:tcW w:w="9855" w:type="dxa"/>
          </w:tcPr>
          <w:p w14:paraId="02A31C05" w14:textId="77777777" w:rsidR="00E56B3D" w:rsidRPr="00E82A42" w:rsidRDefault="00E56B3D" w:rsidP="00E82A42">
            <w:pPr>
              <w:pStyle w:val="TabBullet1"/>
              <w:keepNext/>
              <w:keepLines/>
              <w:rPr>
                <w:rFonts w:asciiTheme="minorHAnsi" w:hAnsiTheme="minorHAnsi"/>
              </w:rPr>
            </w:pPr>
            <w:r w:rsidRPr="00E82A42">
              <w:rPr>
                <w:rFonts w:asciiTheme="minorHAnsi" w:hAnsiTheme="minorHAnsi"/>
              </w:rPr>
              <w:t>Each of the potential needs-based funding mechanisms come with their own risks, including the degree to which they align with the principles of existing policies and reforms. A selection and design process will be needed to identify the most appropriate mechanism to implement needs-based funding.</w:t>
            </w:r>
          </w:p>
          <w:p w14:paraId="457CF45D" w14:textId="77777777" w:rsidR="007D7BF5" w:rsidRPr="00E82A42" w:rsidRDefault="00E56B3D" w:rsidP="00E82A42">
            <w:pPr>
              <w:pStyle w:val="TabBullet1"/>
              <w:rPr>
                <w:rFonts w:asciiTheme="minorHAnsi" w:hAnsiTheme="minorHAnsi"/>
              </w:rPr>
            </w:pPr>
            <w:r w:rsidRPr="00E82A42">
              <w:rPr>
                <w:rFonts w:asciiTheme="minorHAnsi" w:hAnsiTheme="minorHAnsi"/>
              </w:rPr>
              <w:t xml:space="preserve">Work would then need to be </w:t>
            </w:r>
            <w:r w:rsidR="00524825" w:rsidRPr="00E82A42">
              <w:rPr>
                <w:rFonts w:asciiTheme="minorHAnsi" w:hAnsiTheme="minorHAnsi"/>
              </w:rPr>
              <w:t xml:space="preserve">undertaken </w:t>
            </w:r>
            <w:r w:rsidRPr="00E82A42">
              <w:rPr>
                <w:rFonts w:asciiTheme="minorHAnsi" w:hAnsiTheme="minorHAnsi"/>
              </w:rPr>
              <w:t>to understand and develop the tiers and amounts that would be applied to a needs-based funding model, including additional loadings and penalty rates. This would also need to factor in shortages in supply based on geography and skillsets.</w:t>
            </w:r>
          </w:p>
          <w:p w14:paraId="510323D3" w14:textId="2597A40B" w:rsidR="00E56B3D" w:rsidRPr="00E82A42" w:rsidRDefault="00E56B3D" w:rsidP="00E82A42">
            <w:pPr>
              <w:pStyle w:val="TabBullet1"/>
              <w:rPr>
                <w:rFonts w:asciiTheme="minorHAnsi" w:hAnsiTheme="minorHAnsi"/>
              </w:rPr>
            </w:pPr>
            <w:r w:rsidRPr="00E82A42">
              <w:rPr>
                <w:rFonts w:asciiTheme="minorHAnsi" w:hAnsiTheme="minorHAnsi"/>
              </w:rPr>
              <w:t xml:space="preserve">Any changes to the funding model would need to align with findings and recommendations from the ACC </w:t>
            </w:r>
            <w:r w:rsidR="002F5B07" w:rsidRPr="00E82A42">
              <w:rPr>
                <w:rFonts w:asciiTheme="minorHAnsi" w:hAnsiTheme="minorHAnsi"/>
              </w:rPr>
              <w:t>I</w:t>
            </w:r>
            <w:r w:rsidR="00876170" w:rsidRPr="00E82A42">
              <w:rPr>
                <w:rFonts w:asciiTheme="minorHAnsi" w:hAnsiTheme="minorHAnsi"/>
              </w:rPr>
              <w:t>nquiry</w:t>
            </w:r>
            <w:r w:rsidRPr="00E82A42">
              <w:rPr>
                <w:rFonts w:asciiTheme="minorHAnsi" w:hAnsiTheme="minorHAnsi"/>
              </w:rPr>
              <w:t xml:space="preserve"> currently underway.</w:t>
            </w:r>
          </w:p>
          <w:p w14:paraId="00822ADA" w14:textId="77777777" w:rsidR="00E56B3D" w:rsidRPr="00E82A42" w:rsidRDefault="00E56B3D" w:rsidP="00E82A42">
            <w:pPr>
              <w:pStyle w:val="TabBullet1"/>
              <w:spacing w:after="120"/>
              <w:rPr>
                <w:rFonts w:asciiTheme="minorHAnsi" w:hAnsiTheme="minorHAnsi"/>
              </w:rPr>
            </w:pPr>
            <w:r w:rsidRPr="00E82A42">
              <w:rPr>
                <w:rFonts w:asciiTheme="minorHAnsi" w:hAnsiTheme="minorHAnsi"/>
              </w:rPr>
              <w:t>IHC guidelines will need to be updated to reflect changes to the funding mechanism</w:t>
            </w:r>
          </w:p>
        </w:tc>
      </w:tr>
      <w:tr w:rsidR="00E56B3D" w:rsidRPr="00E82A42" w14:paraId="4E3137FE" w14:textId="77777777" w:rsidTr="00E82A42">
        <w:tc>
          <w:tcPr>
            <w:tcW w:w="9855" w:type="dxa"/>
            <w:shd w:val="clear" w:color="auto" w:fill="E5E5E5" w:themeFill="text2" w:themeFillTint="33"/>
          </w:tcPr>
          <w:p w14:paraId="09103796" w14:textId="77777777" w:rsidR="00E56B3D" w:rsidRPr="00E82A42" w:rsidRDefault="00E56B3D" w:rsidP="00887EFD">
            <w:pPr>
              <w:spacing w:after="120"/>
              <w:rPr>
                <w:rFonts w:asciiTheme="minorHAnsi" w:hAnsiTheme="minorHAnsi" w:cstheme="minorHAnsi"/>
                <w:b/>
                <w:bCs/>
              </w:rPr>
            </w:pPr>
            <w:r w:rsidRPr="00E82A42">
              <w:rPr>
                <w:rFonts w:asciiTheme="minorHAnsi" w:hAnsiTheme="minorHAnsi" w:cstheme="minorHAnsi"/>
                <w:b/>
                <w:bCs/>
              </w:rPr>
              <w:t>Key risks, mitigation strategies, and residual risk</w:t>
            </w:r>
          </w:p>
        </w:tc>
      </w:tr>
      <w:tr w:rsidR="00E56B3D" w:rsidRPr="00E82A42" w14:paraId="28F202FB" w14:textId="77777777" w:rsidTr="00E82A42">
        <w:tc>
          <w:tcPr>
            <w:tcW w:w="9855" w:type="dxa"/>
          </w:tcPr>
          <w:p w14:paraId="513DD9D6" w14:textId="77777777" w:rsidR="00E56B3D" w:rsidRPr="00E82A42" w:rsidRDefault="00E56B3D" w:rsidP="00887EFD">
            <w:pPr>
              <w:pStyle w:val="PwCNormal"/>
              <w:numPr>
                <w:ilvl w:val="0"/>
                <w:numId w:val="0"/>
              </w:numPr>
              <w:spacing w:before="120" w:after="120"/>
              <w:rPr>
                <w:rFonts w:asciiTheme="minorHAnsi" w:hAnsiTheme="minorHAnsi" w:cstheme="minorHAnsi"/>
                <w:color w:val="auto"/>
                <w:sz w:val="20"/>
              </w:rPr>
            </w:pPr>
            <w:r w:rsidRPr="00E82A42">
              <w:rPr>
                <w:rFonts w:asciiTheme="minorHAnsi" w:hAnsiTheme="minorHAnsi" w:cstheme="minorHAnsi"/>
                <w:color w:val="auto"/>
                <w:sz w:val="20"/>
              </w:rPr>
              <w:t>Amend the existing CCS/ACCS scheme</w:t>
            </w:r>
          </w:p>
          <w:p w14:paraId="4CDABEB5" w14:textId="19DB91AC" w:rsidR="00E56B3D" w:rsidRPr="00E82A42" w:rsidRDefault="00E56B3D" w:rsidP="00A86AE4">
            <w:pPr>
              <w:pStyle w:val="ListParagraph"/>
              <w:numPr>
                <w:ilvl w:val="0"/>
                <w:numId w:val="43"/>
              </w:numPr>
              <w:kinsoku w:val="0"/>
              <w:overflowPunct w:val="0"/>
              <w:autoSpaceDE w:val="0"/>
              <w:autoSpaceDN w:val="0"/>
              <w:adjustRightInd w:val="0"/>
              <w:snapToGrid w:val="0"/>
              <w:spacing w:before="0" w:after="120"/>
              <w:ind w:left="360"/>
              <w:contextualSpacing w:val="0"/>
              <w:rPr>
                <w:rFonts w:asciiTheme="minorHAnsi" w:hAnsiTheme="minorHAnsi" w:cstheme="minorHAnsi"/>
              </w:rPr>
            </w:pPr>
            <w:r w:rsidRPr="00E82A42">
              <w:rPr>
                <w:rFonts w:asciiTheme="minorHAnsi" w:hAnsiTheme="minorHAnsi" w:cstheme="minorHAnsi"/>
              </w:rPr>
              <w:t xml:space="preserve">The CCS/ACCS is a national funding scheme – making changes for a small cohort of </w:t>
            </w:r>
            <w:r w:rsidR="00524825" w:rsidRPr="00E82A42">
              <w:rPr>
                <w:rFonts w:asciiTheme="minorHAnsi" w:hAnsiTheme="minorHAnsi" w:cstheme="minorHAnsi"/>
              </w:rPr>
              <w:t xml:space="preserve">IHC </w:t>
            </w:r>
            <w:r w:rsidRPr="00E82A42">
              <w:rPr>
                <w:rFonts w:asciiTheme="minorHAnsi" w:hAnsiTheme="minorHAnsi" w:cstheme="minorHAnsi"/>
              </w:rPr>
              <w:t>families will have impacts across Australia. For example, adjusting payments for those in rural and remote areas would need to be applied to all families eligible for CCS/ACCS, not just those accessing IHC. The consequences and costs of this, to meet the needs of a small proportion of families, would be significant.</w:t>
            </w:r>
          </w:p>
          <w:p w14:paraId="7ED30908" w14:textId="77777777" w:rsidR="00E56B3D" w:rsidRPr="00E82A42" w:rsidRDefault="00E56B3D" w:rsidP="00A86AE4">
            <w:pPr>
              <w:pStyle w:val="ListParagraph"/>
              <w:numPr>
                <w:ilvl w:val="0"/>
                <w:numId w:val="43"/>
              </w:numPr>
              <w:kinsoku w:val="0"/>
              <w:overflowPunct w:val="0"/>
              <w:autoSpaceDE w:val="0"/>
              <w:autoSpaceDN w:val="0"/>
              <w:adjustRightInd w:val="0"/>
              <w:snapToGrid w:val="0"/>
              <w:spacing w:before="0" w:after="120"/>
              <w:ind w:left="360"/>
              <w:contextualSpacing w:val="0"/>
              <w:rPr>
                <w:rFonts w:asciiTheme="minorHAnsi" w:hAnsiTheme="minorHAnsi" w:cstheme="minorHAnsi"/>
              </w:rPr>
            </w:pPr>
            <w:r w:rsidRPr="00E82A42">
              <w:rPr>
                <w:rFonts w:asciiTheme="minorHAnsi" w:hAnsiTheme="minorHAnsi" w:cstheme="minorHAnsi"/>
              </w:rPr>
              <w:t>Changes to the CCS/ACCS repayments system would require regulatory, and possibly legislative, amendments that can be costly and timely to navigate. To minimise costs and timelines work should commence as soon as possible to understand the regulatory and legislative impacts of these changes.</w:t>
            </w:r>
          </w:p>
          <w:p w14:paraId="010E6B9A" w14:textId="77777777" w:rsidR="00E56B3D" w:rsidRPr="00E82A42" w:rsidRDefault="00E56B3D" w:rsidP="00A86AE4">
            <w:pPr>
              <w:pStyle w:val="ListParagraph"/>
              <w:numPr>
                <w:ilvl w:val="0"/>
                <w:numId w:val="43"/>
              </w:numPr>
              <w:kinsoku w:val="0"/>
              <w:overflowPunct w:val="0"/>
              <w:autoSpaceDE w:val="0"/>
              <w:autoSpaceDN w:val="0"/>
              <w:adjustRightInd w:val="0"/>
              <w:snapToGrid w:val="0"/>
              <w:spacing w:before="0" w:after="120"/>
              <w:ind w:left="360"/>
              <w:contextualSpacing w:val="0"/>
              <w:rPr>
                <w:rFonts w:asciiTheme="minorHAnsi" w:hAnsiTheme="minorHAnsi" w:cstheme="minorHAnsi"/>
              </w:rPr>
            </w:pPr>
            <w:r w:rsidRPr="00E82A42">
              <w:rPr>
                <w:rFonts w:asciiTheme="minorHAnsi" w:hAnsiTheme="minorHAnsi" w:cstheme="minorHAnsi"/>
              </w:rPr>
              <w:t>There is a risk that the needs-based funding and additional loadings either over-estimate funding needs or continue to under-estimate the costs and out-of-pocket fees. To overcome this scenario modelling and shadow funding should be conducted, and pricing reviews should be built into future workplans.</w:t>
            </w:r>
          </w:p>
          <w:p w14:paraId="21429171" w14:textId="43544340" w:rsidR="00E56B3D" w:rsidRPr="00E82A42" w:rsidRDefault="00E56B3D" w:rsidP="00887EFD">
            <w:pPr>
              <w:pStyle w:val="PwCNormal"/>
              <w:numPr>
                <w:ilvl w:val="0"/>
                <w:numId w:val="0"/>
              </w:numPr>
              <w:spacing w:before="120" w:after="120"/>
              <w:rPr>
                <w:rFonts w:asciiTheme="minorHAnsi" w:hAnsiTheme="minorHAnsi" w:cstheme="minorHAnsi"/>
                <w:color w:val="auto"/>
                <w:sz w:val="20"/>
              </w:rPr>
            </w:pPr>
            <w:r w:rsidRPr="00E82A42">
              <w:rPr>
                <w:rFonts w:asciiTheme="minorHAnsi" w:hAnsiTheme="minorHAnsi" w:cstheme="minorHAnsi"/>
                <w:color w:val="auto"/>
                <w:sz w:val="20"/>
              </w:rPr>
              <w:t>Block funding</w:t>
            </w:r>
          </w:p>
          <w:p w14:paraId="11D2731F" w14:textId="77777777" w:rsidR="00E56B3D" w:rsidRPr="00E82A42" w:rsidRDefault="00E56B3D" w:rsidP="00A86AE4">
            <w:pPr>
              <w:pStyle w:val="ListParagraph"/>
              <w:numPr>
                <w:ilvl w:val="0"/>
                <w:numId w:val="41"/>
              </w:numPr>
              <w:kinsoku w:val="0"/>
              <w:overflowPunct w:val="0"/>
              <w:autoSpaceDE w:val="0"/>
              <w:autoSpaceDN w:val="0"/>
              <w:adjustRightInd w:val="0"/>
              <w:snapToGrid w:val="0"/>
              <w:spacing w:before="0" w:after="120"/>
              <w:ind w:left="360"/>
              <w:contextualSpacing w:val="0"/>
              <w:rPr>
                <w:rFonts w:asciiTheme="minorHAnsi" w:hAnsiTheme="minorHAnsi" w:cstheme="minorHAnsi"/>
              </w:rPr>
            </w:pPr>
            <w:r w:rsidRPr="00E82A42">
              <w:rPr>
                <w:rFonts w:asciiTheme="minorHAnsi" w:hAnsiTheme="minorHAnsi" w:cstheme="minorHAnsi"/>
              </w:rPr>
              <w:t>Reforms to the ECEC system have included a transition away from block-based funding to per child and per family funding. Providing needs-based funding, even as a top-up, for IHC would be a departure from these policies.</w:t>
            </w:r>
          </w:p>
          <w:p w14:paraId="51972DC9" w14:textId="08D0C86A" w:rsidR="00E56B3D" w:rsidRPr="00E82A42" w:rsidRDefault="00E56B3D" w:rsidP="00A86AE4">
            <w:pPr>
              <w:pStyle w:val="ListParagraph"/>
              <w:numPr>
                <w:ilvl w:val="0"/>
                <w:numId w:val="41"/>
              </w:numPr>
              <w:kinsoku w:val="0"/>
              <w:overflowPunct w:val="0"/>
              <w:autoSpaceDE w:val="0"/>
              <w:autoSpaceDN w:val="0"/>
              <w:adjustRightInd w:val="0"/>
              <w:snapToGrid w:val="0"/>
              <w:spacing w:before="0" w:after="120"/>
              <w:ind w:left="360"/>
              <w:contextualSpacing w:val="0"/>
              <w:rPr>
                <w:rFonts w:asciiTheme="minorHAnsi" w:hAnsiTheme="minorHAnsi" w:cstheme="minorHAnsi"/>
              </w:rPr>
            </w:pPr>
            <w:r w:rsidRPr="00E82A42">
              <w:rPr>
                <w:rFonts w:asciiTheme="minorHAnsi" w:hAnsiTheme="minorHAnsi" w:cstheme="minorHAnsi"/>
              </w:rPr>
              <w:t xml:space="preserve">The use of block-based funding would require processes to monitor, report and review enrolment of families, </w:t>
            </w:r>
            <w:r w:rsidR="00FC5C47" w:rsidRPr="00E82A42">
              <w:rPr>
                <w:rFonts w:asciiTheme="minorHAnsi" w:hAnsiTheme="minorHAnsi" w:cstheme="minorHAnsi"/>
              </w:rPr>
              <w:t>cohort</w:t>
            </w:r>
            <w:r w:rsidRPr="00E82A42">
              <w:rPr>
                <w:rFonts w:asciiTheme="minorHAnsi" w:hAnsiTheme="minorHAnsi" w:cstheme="minorHAnsi"/>
              </w:rPr>
              <w:t xml:space="preserve"> of families, and IHC service provision as part of the program to ensure the right funding is being provided over time, and as circumstances change. This can be complex, laborious, and inaccurate.</w:t>
            </w:r>
          </w:p>
          <w:p w14:paraId="2FC45F16" w14:textId="77777777" w:rsidR="00E56B3D" w:rsidRPr="00E82A42" w:rsidRDefault="00E56B3D" w:rsidP="00A86AE4">
            <w:pPr>
              <w:pStyle w:val="ListParagraph"/>
              <w:numPr>
                <w:ilvl w:val="0"/>
                <w:numId w:val="41"/>
              </w:numPr>
              <w:kinsoku w:val="0"/>
              <w:overflowPunct w:val="0"/>
              <w:autoSpaceDE w:val="0"/>
              <w:autoSpaceDN w:val="0"/>
              <w:adjustRightInd w:val="0"/>
              <w:snapToGrid w:val="0"/>
              <w:spacing w:before="0" w:after="120"/>
              <w:ind w:left="360"/>
              <w:contextualSpacing w:val="0"/>
              <w:rPr>
                <w:rFonts w:asciiTheme="minorHAnsi" w:hAnsiTheme="minorHAnsi" w:cstheme="minorHAnsi"/>
              </w:rPr>
            </w:pPr>
            <w:r w:rsidRPr="00E82A42">
              <w:rPr>
                <w:rFonts w:asciiTheme="minorHAnsi" w:hAnsiTheme="minorHAnsi" w:cstheme="minorHAnsi"/>
              </w:rPr>
              <w:t>If the block funding is not set at a level which encourages service viability this may lead to further exits from the market of IHC providers. Conversely, if block funding is more attractive than CCS/ACCS, it could lead to adverse outcomes for the broader ECEC provider market.</w:t>
            </w:r>
          </w:p>
          <w:p w14:paraId="1B808FBC" w14:textId="77777777" w:rsidR="00E56B3D" w:rsidRPr="00E82A42" w:rsidRDefault="00E56B3D" w:rsidP="00887EFD">
            <w:pPr>
              <w:pStyle w:val="PwCNormal"/>
              <w:numPr>
                <w:ilvl w:val="0"/>
                <w:numId w:val="0"/>
              </w:numPr>
              <w:spacing w:before="120" w:after="120"/>
              <w:rPr>
                <w:rFonts w:asciiTheme="minorHAnsi" w:hAnsiTheme="minorHAnsi" w:cstheme="minorHAnsi"/>
                <w:color w:val="auto"/>
                <w:sz w:val="20"/>
              </w:rPr>
            </w:pPr>
            <w:r w:rsidRPr="00E82A42">
              <w:rPr>
                <w:rFonts w:asciiTheme="minorHAnsi" w:hAnsiTheme="minorHAnsi" w:cstheme="minorHAnsi"/>
                <w:color w:val="auto"/>
                <w:sz w:val="20"/>
              </w:rPr>
              <w:t>Dedicated, per family driven, IHC subsidy scheme</w:t>
            </w:r>
          </w:p>
          <w:p w14:paraId="4BD263D1" w14:textId="77777777" w:rsidR="007D7BF5" w:rsidRPr="00E82A42" w:rsidRDefault="00E56B3D" w:rsidP="00A86AE4">
            <w:pPr>
              <w:pStyle w:val="ListParagraph"/>
              <w:numPr>
                <w:ilvl w:val="0"/>
                <w:numId w:val="42"/>
              </w:numPr>
              <w:kinsoku w:val="0"/>
              <w:overflowPunct w:val="0"/>
              <w:autoSpaceDE w:val="0"/>
              <w:autoSpaceDN w:val="0"/>
              <w:adjustRightInd w:val="0"/>
              <w:snapToGrid w:val="0"/>
              <w:spacing w:before="0" w:after="120"/>
              <w:ind w:left="360"/>
              <w:contextualSpacing w:val="0"/>
              <w:rPr>
                <w:rFonts w:asciiTheme="minorHAnsi" w:hAnsiTheme="minorHAnsi" w:cstheme="minorHAnsi"/>
              </w:rPr>
            </w:pPr>
            <w:r w:rsidRPr="00E82A42">
              <w:rPr>
                <w:rFonts w:asciiTheme="minorHAnsi" w:hAnsiTheme="minorHAnsi" w:cstheme="minorHAnsi"/>
              </w:rPr>
              <w:t>The introduction of a needs-based funding scheme specifically for the IHC program would be a very costly exercise for a small number of families across Australia.</w:t>
            </w:r>
          </w:p>
          <w:p w14:paraId="444B436E" w14:textId="77777777" w:rsidR="007D7BF5" w:rsidRPr="00E82A42" w:rsidRDefault="00E56B3D" w:rsidP="00A86AE4">
            <w:pPr>
              <w:pStyle w:val="ListParagraph"/>
              <w:numPr>
                <w:ilvl w:val="0"/>
                <w:numId w:val="42"/>
              </w:numPr>
              <w:kinsoku w:val="0"/>
              <w:overflowPunct w:val="0"/>
              <w:autoSpaceDE w:val="0"/>
              <w:autoSpaceDN w:val="0"/>
              <w:adjustRightInd w:val="0"/>
              <w:snapToGrid w:val="0"/>
              <w:spacing w:before="0" w:after="120"/>
              <w:ind w:left="360"/>
              <w:contextualSpacing w:val="0"/>
              <w:rPr>
                <w:rFonts w:asciiTheme="minorHAnsi" w:hAnsiTheme="minorHAnsi" w:cstheme="minorHAnsi"/>
              </w:rPr>
            </w:pPr>
            <w:r w:rsidRPr="00E82A42">
              <w:rPr>
                <w:rFonts w:asciiTheme="minorHAnsi" w:hAnsiTheme="minorHAnsi" w:cstheme="minorHAnsi"/>
              </w:rPr>
              <w:t>Establishment of a new funding scheme would require regulatory, and possibly legislative, amendments that are both costly and timely to navigate.</w:t>
            </w:r>
          </w:p>
          <w:p w14:paraId="3648FBD6" w14:textId="614C399E" w:rsidR="00E56B3D" w:rsidRPr="00E82A42" w:rsidRDefault="00E56B3D" w:rsidP="00A86AE4">
            <w:pPr>
              <w:pStyle w:val="ListParagraph"/>
              <w:numPr>
                <w:ilvl w:val="0"/>
                <w:numId w:val="42"/>
              </w:numPr>
              <w:kinsoku w:val="0"/>
              <w:overflowPunct w:val="0"/>
              <w:autoSpaceDE w:val="0"/>
              <w:autoSpaceDN w:val="0"/>
              <w:adjustRightInd w:val="0"/>
              <w:snapToGrid w:val="0"/>
              <w:spacing w:before="0" w:after="120"/>
              <w:ind w:left="360"/>
              <w:contextualSpacing w:val="0"/>
              <w:rPr>
                <w:rFonts w:asciiTheme="minorHAnsi" w:hAnsiTheme="minorHAnsi" w:cstheme="minorHAnsi"/>
              </w:rPr>
            </w:pPr>
            <w:r w:rsidRPr="00E82A42">
              <w:rPr>
                <w:rFonts w:asciiTheme="minorHAnsi" w:hAnsiTheme="minorHAnsi" w:cstheme="minorHAnsi"/>
              </w:rPr>
              <w:t>Introducing a needs-based funding scheme specifically for IHC could act as a disincentive for families and providers to prioritise the use of other forms of ECEC with IHC as a last resort.</w:t>
            </w:r>
          </w:p>
        </w:tc>
      </w:tr>
      <w:tr w:rsidR="00E56B3D" w:rsidRPr="00E82A42" w14:paraId="4712214E" w14:textId="77777777" w:rsidTr="00E82A42">
        <w:tc>
          <w:tcPr>
            <w:tcW w:w="9855" w:type="dxa"/>
            <w:shd w:val="clear" w:color="auto" w:fill="E5E5E5" w:themeFill="text2" w:themeFillTint="33"/>
          </w:tcPr>
          <w:p w14:paraId="67692089" w14:textId="1441A5E0" w:rsidR="00E56B3D" w:rsidRPr="00E82A42" w:rsidRDefault="00E56B3D" w:rsidP="00887EFD">
            <w:pPr>
              <w:spacing w:after="120"/>
              <w:rPr>
                <w:rFonts w:asciiTheme="minorHAnsi" w:hAnsiTheme="minorHAnsi" w:cstheme="minorHAnsi"/>
                <w:b/>
                <w:bCs/>
              </w:rPr>
            </w:pPr>
            <w:r w:rsidRPr="00E82A42">
              <w:rPr>
                <w:rFonts w:asciiTheme="minorHAnsi" w:hAnsiTheme="minorHAnsi" w:cstheme="minorHAnsi"/>
                <w:b/>
                <w:bCs/>
              </w:rPr>
              <w:t>Sequencing</w:t>
            </w:r>
            <w:r w:rsidR="0036642F" w:rsidRPr="00E82A42">
              <w:rPr>
                <w:rFonts w:asciiTheme="minorHAnsi" w:hAnsiTheme="minorHAnsi" w:cstheme="minorHAnsi"/>
                <w:b/>
                <w:bCs/>
              </w:rPr>
              <w:t>/</w:t>
            </w:r>
            <w:r w:rsidRPr="00E82A42">
              <w:rPr>
                <w:rFonts w:asciiTheme="minorHAnsi" w:hAnsiTheme="minorHAnsi" w:cstheme="minorHAnsi"/>
                <w:b/>
                <w:bCs/>
              </w:rPr>
              <w:t>timeline</w:t>
            </w:r>
          </w:p>
        </w:tc>
      </w:tr>
      <w:tr w:rsidR="00E56B3D" w:rsidRPr="00E82A42" w14:paraId="63E4F41B" w14:textId="77777777" w:rsidTr="00E82A42">
        <w:tc>
          <w:tcPr>
            <w:tcW w:w="9855" w:type="dxa"/>
          </w:tcPr>
          <w:p w14:paraId="1D9478A4" w14:textId="3AA49939" w:rsidR="00E56B3D" w:rsidRPr="00E82A42" w:rsidRDefault="00E56B3D" w:rsidP="00887EFD">
            <w:pPr>
              <w:spacing w:after="120"/>
              <w:rPr>
                <w:rFonts w:asciiTheme="minorHAnsi" w:hAnsiTheme="minorHAnsi" w:cstheme="minorHAnsi"/>
              </w:rPr>
            </w:pPr>
            <w:r w:rsidRPr="00E82A42">
              <w:rPr>
                <w:rFonts w:asciiTheme="minorHAnsi" w:hAnsiTheme="minorHAnsi" w:cstheme="minorHAnsi"/>
              </w:rPr>
              <w:t xml:space="preserve">Changes of this nature and scale would mean implementation over the longer-term i.e. </w:t>
            </w:r>
            <w:r w:rsidR="001430CF" w:rsidRPr="00E82A42">
              <w:rPr>
                <w:rFonts w:asciiTheme="minorHAnsi" w:hAnsiTheme="minorHAnsi" w:cstheme="minorHAnsi"/>
              </w:rPr>
              <w:t>at least</w:t>
            </w:r>
            <w:r w:rsidRPr="00E82A42">
              <w:rPr>
                <w:rFonts w:asciiTheme="minorHAnsi" w:hAnsiTheme="minorHAnsi" w:cstheme="minorHAnsi"/>
              </w:rPr>
              <w:t>18-24 months</w:t>
            </w:r>
            <w:r w:rsidR="001430CF" w:rsidRPr="00E82A42">
              <w:rPr>
                <w:rFonts w:asciiTheme="minorHAnsi" w:hAnsiTheme="minorHAnsi" w:cstheme="minorHAnsi"/>
              </w:rPr>
              <w:t>.</w:t>
            </w:r>
            <w:r w:rsidRPr="00E82A42">
              <w:rPr>
                <w:rFonts w:asciiTheme="minorHAnsi" w:hAnsiTheme="minorHAnsi" w:cstheme="minorHAnsi"/>
              </w:rPr>
              <w:t xml:space="preserve"> If this were to be implemented, given the long lead times, work to design and develop this option would need to commence as soon as possible, subject to findings and recommendations of the ACCC inquiry and the Productivity Commission </w:t>
            </w:r>
            <w:r w:rsidR="00ED5B92" w:rsidRPr="00E82A42">
              <w:rPr>
                <w:rFonts w:asciiTheme="minorHAnsi" w:hAnsiTheme="minorHAnsi" w:cstheme="minorHAnsi"/>
              </w:rPr>
              <w:t>I</w:t>
            </w:r>
            <w:r w:rsidR="001430CF" w:rsidRPr="00E82A42">
              <w:rPr>
                <w:rFonts w:asciiTheme="minorHAnsi" w:hAnsiTheme="minorHAnsi" w:cstheme="minorHAnsi"/>
              </w:rPr>
              <w:t>nquiry.</w:t>
            </w:r>
          </w:p>
        </w:tc>
      </w:tr>
      <w:tr w:rsidR="00E56B3D" w:rsidRPr="00E82A42" w14:paraId="79F14024" w14:textId="77777777" w:rsidTr="00E82A42">
        <w:tc>
          <w:tcPr>
            <w:tcW w:w="9855" w:type="dxa"/>
            <w:shd w:val="clear" w:color="auto" w:fill="E5E5E5" w:themeFill="text2" w:themeFillTint="33"/>
          </w:tcPr>
          <w:p w14:paraId="6175A96A" w14:textId="77777777" w:rsidR="00E56B3D" w:rsidRPr="00E82A42" w:rsidRDefault="00E56B3D" w:rsidP="00887EFD">
            <w:pPr>
              <w:spacing w:after="120"/>
              <w:rPr>
                <w:rFonts w:asciiTheme="minorHAnsi" w:hAnsiTheme="minorHAnsi" w:cstheme="minorHAnsi"/>
                <w:b/>
                <w:bCs/>
              </w:rPr>
            </w:pPr>
            <w:r w:rsidRPr="00E82A42">
              <w:rPr>
                <w:rFonts w:asciiTheme="minorHAnsi" w:hAnsiTheme="minorHAnsi" w:cstheme="minorHAnsi"/>
                <w:b/>
                <w:bCs/>
              </w:rPr>
              <w:lastRenderedPageBreak/>
              <w:t>Stakeholders and acceptance</w:t>
            </w:r>
          </w:p>
        </w:tc>
      </w:tr>
      <w:tr w:rsidR="00E56B3D" w:rsidRPr="00E82A42" w14:paraId="433971E4" w14:textId="77777777" w:rsidTr="00E82A42">
        <w:tc>
          <w:tcPr>
            <w:tcW w:w="9855" w:type="dxa"/>
          </w:tcPr>
          <w:p w14:paraId="37368FDA" w14:textId="77777777" w:rsidR="00E56B3D" w:rsidRPr="00E82A42" w:rsidRDefault="00E56B3D" w:rsidP="00887EFD">
            <w:pPr>
              <w:spacing w:after="120"/>
              <w:rPr>
                <w:rFonts w:asciiTheme="minorHAnsi" w:hAnsiTheme="minorHAnsi" w:cstheme="minorHAnsi"/>
              </w:rPr>
            </w:pPr>
            <w:r w:rsidRPr="00E82A42">
              <w:rPr>
                <w:rFonts w:asciiTheme="minorHAnsi" w:hAnsiTheme="minorHAnsi" w:cstheme="minorHAnsi"/>
              </w:rPr>
              <w:t>These options would be well received by IHC providers and families. However, making changes to the funding model, particularly of this complexity, would require extensive consultation with families, ECEC providers (not just IHC providers), and other departments and agencies e.g. the Department of Treasury and Finance.</w:t>
            </w:r>
          </w:p>
        </w:tc>
      </w:tr>
    </w:tbl>
    <w:p w14:paraId="72960ECE" w14:textId="6CAC3FF0" w:rsidR="00E56B3D" w:rsidRDefault="00E56B3D" w:rsidP="00215F1C">
      <w:pPr>
        <w:pStyle w:val="DocBodyText"/>
      </w:pPr>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E56B3D" w:rsidRPr="00E82A42" w14:paraId="25D9784B" w14:textId="77777777" w:rsidTr="002F76ED">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736" w:type="dxa"/>
            <w:shd w:val="clear" w:color="auto" w:fill="D04A02" w:themeFill="accent1"/>
          </w:tcPr>
          <w:p w14:paraId="1FA20654" w14:textId="77777777" w:rsidR="00E56B3D" w:rsidRPr="00E82A42" w:rsidRDefault="00E56B3D" w:rsidP="00887EFD">
            <w:pPr>
              <w:pStyle w:val="PwCNormal"/>
              <w:numPr>
                <w:ilvl w:val="0"/>
                <w:numId w:val="2"/>
              </w:numPr>
              <w:spacing w:before="120" w:after="120"/>
              <w:rPr>
                <w:rFonts w:asciiTheme="minorHAnsi" w:hAnsiTheme="minorHAnsi" w:cstheme="minorHAnsi"/>
                <w:b/>
                <w:bCs/>
                <w:sz w:val="20"/>
              </w:rPr>
            </w:pPr>
            <w:r w:rsidRPr="00E82A42">
              <w:rPr>
                <w:rFonts w:asciiTheme="minorHAnsi" w:hAnsiTheme="minorHAnsi" w:cstheme="minorHAnsi"/>
                <w:b/>
                <w:bCs/>
                <w:color w:val="FFFFFF" w:themeColor="background1"/>
                <w:sz w:val="20"/>
              </w:rPr>
              <w:t>Funding for professional development</w:t>
            </w:r>
          </w:p>
        </w:tc>
      </w:tr>
      <w:tr w:rsidR="00E56B3D" w:rsidRPr="00E82A42" w14:paraId="50C5F0DE" w14:textId="77777777" w:rsidTr="00E82A42">
        <w:tc>
          <w:tcPr>
            <w:tcW w:w="9736" w:type="dxa"/>
            <w:shd w:val="clear" w:color="auto" w:fill="E5E5E5" w:themeFill="text2" w:themeFillTint="33"/>
          </w:tcPr>
          <w:p w14:paraId="22E89C6E" w14:textId="77777777" w:rsidR="00E56B3D" w:rsidRPr="00E82A42" w:rsidRDefault="00E56B3D" w:rsidP="00887EFD">
            <w:pPr>
              <w:pStyle w:val="PwCNormal"/>
              <w:numPr>
                <w:ilvl w:val="0"/>
                <w:numId w:val="2"/>
              </w:numPr>
              <w:spacing w:before="120" w:after="120"/>
              <w:rPr>
                <w:rFonts w:asciiTheme="minorHAnsi" w:hAnsiTheme="minorHAnsi" w:cstheme="minorHAnsi"/>
                <w:b/>
                <w:bCs/>
                <w:color w:val="FF0000"/>
                <w:sz w:val="20"/>
              </w:rPr>
            </w:pPr>
            <w:r w:rsidRPr="00E82A42">
              <w:rPr>
                <w:rFonts w:asciiTheme="minorHAnsi" w:hAnsiTheme="minorHAnsi" w:cstheme="minorHAnsi"/>
                <w:b/>
                <w:bCs/>
                <w:color w:val="auto"/>
                <w:sz w:val="20"/>
              </w:rPr>
              <w:t>Description</w:t>
            </w:r>
          </w:p>
        </w:tc>
      </w:tr>
      <w:tr w:rsidR="00E56B3D" w:rsidRPr="00E82A42" w14:paraId="6A12DAAC" w14:textId="77777777" w:rsidTr="00E82A42">
        <w:tc>
          <w:tcPr>
            <w:tcW w:w="9736" w:type="dxa"/>
          </w:tcPr>
          <w:p w14:paraId="54B6445F" w14:textId="1C67B882" w:rsidR="00E56B3D" w:rsidRPr="00E82A42" w:rsidRDefault="00E56B3D" w:rsidP="00887EFD">
            <w:pPr>
              <w:spacing w:after="120"/>
              <w:rPr>
                <w:rFonts w:asciiTheme="minorHAnsi" w:hAnsiTheme="minorHAnsi" w:cstheme="minorHAnsi"/>
              </w:rPr>
            </w:pPr>
            <w:r w:rsidRPr="00E82A42">
              <w:rPr>
                <w:rFonts w:asciiTheme="minorHAnsi" w:hAnsiTheme="minorHAnsi" w:cstheme="minorHAnsi"/>
              </w:rPr>
              <w:t xml:space="preserve">The review heard that there is confusion </w:t>
            </w:r>
            <w:r w:rsidR="001430CF" w:rsidRPr="00E82A42">
              <w:rPr>
                <w:rFonts w:asciiTheme="minorHAnsi" w:hAnsiTheme="minorHAnsi" w:cstheme="minorHAnsi"/>
              </w:rPr>
              <w:t xml:space="preserve">reported </w:t>
            </w:r>
            <w:r w:rsidRPr="00E82A42">
              <w:rPr>
                <w:rFonts w:asciiTheme="minorHAnsi" w:hAnsiTheme="minorHAnsi" w:cstheme="minorHAnsi"/>
              </w:rPr>
              <w:t>between IHCSAs and IHC providers regarding responsibility for the professional development of IHC educators. To improve capability of the workforce, and therefore quality of IHC, as well as being a key value proposition to educators, professional development opportunities could be promoted through:</w:t>
            </w:r>
          </w:p>
          <w:p w14:paraId="6F69D48A" w14:textId="77777777" w:rsidR="00E56B3D" w:rsidRPr="00E82A42" w:rsidRDefault="00E56B3D" w:rsidP="00E82A42">
            <w:pPr>
              <w:pStyle w:val="TabBullet1"/>
            </w:pPr>
            <w:r w:rsidRPr="00E82A42">
              <w:t>Provision of funding for IHCSA(s) to conduct and oversee professional development</w:t>
            </w:r>
          </w:p>
          <w:p w14:paraId="4A0B9EC7" w14:textId="77777777" w:rsidR="00E56B3D" w:rsidRPr="00E82A42" w:rsidRDefault="00E56B3D" w:rsidP="00E82A42">
            <w:pPr>
              <w:pStyle w:val="TabBullet1"/>
            </w:pPr>
            <w:r w:rsidRPr="00E82A42">
              <w:t>Direct funding to educators to access approved professional development</w:t>
            </w:r>
          </w:p>
          <w:p w14:paraId="3AD720D2" w14:textId="77777777" w:rsidR="00E56B3D" w:rsidRPr="00E82A42" w:rsidRDefault="00E56B3D" w:rsidP="00E82A42">
            <w:pPr>
              <w:spacing w:after="120"/>
              <w:rPr>
                <w:rFonts w:asciiTheme="minorHAnsi" w:hAnsiTheme="minorHAnsi" w:cstheme="minorHAnsi"/>
              </w:rPr>
            </w:pPr>
            <w:r w:rsidRPr="00E82A42">
              <w:rPr>
                <w:rFonts w:asciiTheme="minorHAnsi" w:hAnsiTheme="minorHAnsi" w:cstheme="minorHAnsi"/>
              </w:rPr>
              <w:t xml:space="preserve">Increasing workforce capability will also likely lead to increased equity and access as there will be a greater pool of educators better available to provide IHC that meets the specific needs of families. </w:t>
            </w:r>
          </w:p>
        </w:tc>
      </w:tr>
      <w:tr w:rsidR="00E56B3D" w:rsidRPr="00E82A42" w14:paraId="12FE8E02" w14:textId="77777777" w:rsidTr="00E82A42">
        <w:tc>
          <w:tcPr>
            <w:tcW w:w="9736" w:type="dxa"/>
            <w:shd w:val="clear" w:color="auto" w:fill="E5E5E5" w:themeFill="text2" w:themeFillTint="33"/>
          </w:tcPr>
          <w:p w14:paraId="705BF623" w14:textId="77777777" w:rsidR="00E56B3D" w:rsidRPr="00E82A42" w:rsidRDefault="00E56B3D" w:rsidP="00887EFD">
            <w:pPr>
              <w:spacing w:after="120"/>
              <w:rPr>
                <w:rFonts w:asciiTheme="minorHAnsi" w:hAnsiTheme="minorHAnsi" w:cstheme="minorHAnsi"/>
                <w:b/>
                <w:bCs/>
              </w:rPr>
            </w:pPr>
            <w:r w:rsidRPr="00E82A42">
              <w:rPr>
                <w:rFonts w:asciiTheme="minorHAnsi" w:hAnsiTheme="minorHAnsi" w:cstheme="minorHAnsi"/>
                <w:b/>
                <w:bCs/>
              </w:rPr>
              <w:t>Operational details</w:t>
            </w:r>
          </w:p>
        </w:tc>
      </w:tr>
      <w:tr w:rsidR="00E56B3D" w:rsidRPr="00E82A42" w14:paraId="691C8BD6" w14:textId="77777777" w:rsidTr="00E82A42">
        <w:tc>
          <w:tcPr>
            <w:tcW w:w="9736" w:type="dxa"/>
          </w:tcPr>
          <w:p w14:paraId="4A9AAEC7" w14:textId="77777777" w:rsidR="00E56B3D" w:rsidRPr="00E82A42" w:rsidRDefault="00E56B3D" w:rsidP="002F76ED">
            <w:pPr>
              <w:pStyle w:val="TabBullet1"/>
            </w:pPr>
            <w:r w:rsidRPr="00E82A42">
              <w:t>Each year IHCSA(s) would receive an annual budget for the development, disbursement, and oversight of professional development. As part of this remit there could be a requirement to develop and deliver online courses, resource, tools, and communities of practice to support the workforce.</w:t>
            </w:r>
          </w:p>
          <w:p w14:paraId="2B2FF025" w14:textId="77777777" w:rsidR="00E56B3D" w:rsidRPr="00E82A42" w:rsidRDefault="00E56B3D" w:rsidP="002F76ED">
            <w:pPr>
              <w:pStyle w:val="TabBullet1"/>
              <w:spacing w:after="120"/>
            </w:pPr>
            <w:r w:rsidRPr="00E82A42">
              <w:t>While educators would have access to professional development via IHCSA(s) there would also be an allocation of funding held by IHCSA(s) to be used as grant funding, requiring formal delegation from the Department of Education. Educators could have the option of selecting an appropriate and relevant course and applying for funding to cover the costs. These could range from upskilling Certificate III educators to Diploma’s, providing micro-credentials on trauma informed practices, or other courses as approved by IHCSA(s) and aligned with Department of Education guidance.</w:t>
            </w:r>
          </w:p>
        </w:tc>
      </w:tr>
      <w:tr w:rsidR="00E56B3D" w:rsidRPr="00E82A42" w14:paraId="798BCC2E" w14:textId="77777777" w:rsidTr="00E82A42">
        <w:tc>
          <w:tcPr>
            <w:tcW w:w="9736" w:type="dxa"/>
            <w:shd w:val="clear" w:color="auto" w:fill="E5E5E5" w:themeFill="text2" w:themeFillTint="33"/>
          </w:tcPr>
          <w:p w14:paraId="072D8D20" w14:textId="77777777" w:rsidR="00E56B3D" w:rsidRPr="00E82A42" w:rsidRDefault="00E56B3D" w:rsidP="00887EFD">
            <w:pPr>
              <w:spacing w:after="120"/>
              <w:rPr>
                <w:rFonts w:asciiTheme="minorHAnsi" w:hAnsiTheme="minorHAnsi" w:cstheme="minorHAnsi"/>
                <w:b/>
                <w:bCs/>
              </w:rPr>
            </w:pPr>
            <w:r w:rsidRPr="00E82A42">
              <w:rPr>
                <w:rFonts w:asciiTheme="minorHAnsi" w:hAnsiTheme="minorHAnsi" w:cstheme="minorHAnsi"/>
                <w:b/>
                <w:bCs/>
              </w:rPr>
              <w:t>Implementation requirements</w:t>
            </w:r>
          </w:p>
        </w:tc>
      </w:tr>
      <w:tr w:rsidR="00E56B3D" w:rsidRPr="00E82A42" w14:paraId="5FA67399" w14:textId="77777777" w:rsidTr="00E82A42">
        <w:tc>
          <w:tcPr>
            <w:tcW w:w="9736" w:type="dxa"/>
          </w:tcPr>
          <w:p w14:paraId="0324EC76" w14:textId="76E0B549" w:rsidR="00E56B3D" w:rsidRPr="00E82A42" w:rsidRDefault="00E56B3D" w:rsidP="002F76ED">
            <w:pPr>
              <w:pStyle w:val="TabBullet1"/>
            </w:pPr>
            <w:r w:rsidRPr="00E82A42">
              <w:t>Some courses, such as Certificate III, are already offered for free and online. There are also professional development opportunities already available within the IHC program, as well as opportunities outside of the IHC program that can be accessed and/or tailored. Enabling better access and raising awareness of these should be included as part of implementation.</w:t>
            </w:r>
          </w:p>
          <w:p w14:paraId="3A902623" w14:textId="77777777" w:rsidR="00E56B3D" w:rsidRPr="00E82A42" w:rsidRDefault="00E56B3D" w:rsidP="002F76ED">
            <w:pPr>
              <w:pStyle w:val="TabBullet1"/>
            </w:pPr>
            <w:r w:rsidRPr="00E82A42">
              <w:t>The Department of Education would need to conduct a market scan and develop guidance to IHCSA(s) and educators on appropriate and relevant courses and professional development opportunities.</w:t>
            </w:r>
          </w:p>
          <w:p w14:paraId="4713DA31" w14:textId="7CF9C6AF" w:rsidR="00B255A9" w:rsidRPr="00E82A42" w:rsidRDefault="00E56B3D" w:rsidP="002F76ED">
            <w:pPr>
              <w:pStyle w:val="TabBullet1"/>
              <w:spacing w:after="120"/>
            </w:pPr>
            <w:r w:rsidRPr="00E82A42">
              <w:t xml:space="preserve">Service agreements with IHCSA(s) (or equivalent) would need to clearly articulate expectations regarding professional development responsibilities. </w:t>
            </w:r>
          </w:p>
        </w:tc>
      </w:tr>
      <w:tr w:rsidR="00E56B3D" w:rsidRPr="00E82A42" w14:paraId="12FAF75B" w14:textId="77777777" w:rsidTr="00E82A42">
        <w:tc>
          <w:tcPr>
            <w:tcW w:w="9736" w:type="dxa"/>
            <w:shd w:val="clear" w:color="auto" w:fill="E5E5E5" w:themeFill="text2" w:themeFillTint="33"/>
          </w:tcPr>
          <w:p w14:paraId="0FADA0B5" w14:textId="77777777" w:rsidR="00E56B3D" w:rsidRPr="00E82A42" w:rsidRDefault="00E56B3D" w:rsidP="00887EFD">
            <w:pPr>
              <w:spacing w:after="120"/>
              <w:rPr>
                <w:rFonts w:asciiTheme="minorHAnsi" w:hAnsiTheme="minorHAnsi" w:cstheme="minorHAnsi"/>
                <w:b/>
                <w:bCs/>
              </w:rPr>
            </w:pPr>
            <w:r w:rsidRPr="00E82A42">
              <w:rPr>
                <w:rFonts w:asciiTheme="minorHAnsi" w:hAnsiTheme="minorHAnsi" w:cstheme="minorHAnsi"/>
                <w:b/>
                <w:bCs/>
              </w:rPr>
              <w:t>Key risks, mitigation strategies, and residual risk</w:t>
            </w:r>
          </w:p>
        </w:tc>
      </w:tr>
      <w:tr w:rsidR="00E56B3D" w:rsidRPr="00E82A42" w14:paraId="107FE42A" w14:textId="77777777" w:rsidTr="00E82A42">
        <w:tc>
          <w:tcPr>
            <w:tcW w:w="9736" w:type="dxa"/>
          </w:tcPr>
          <w:p w14:paraId="40F008FE" w14:textId="0080AF99" w:rsidR="00E56B3D" w:rsidRPr="00E82A42" w:rsidRDefault="00E56B3D" w:rsidP="002F76ED">
            <w:pPr>
              <w:pStyle w:val="ListParagraph"/>
              <w:numPr>
                <w:ilvl w:val="0"/>
                <w:numId w:val="44"/>
              </w:numPr>
              <w:kinsoku w:val="0"/>
              <w:overflowPunct w:val="0"/>
              <w:autoSpaceDE w:val="0"/>
              <w:autoSpaceDN w:val="0"/>
              <w:adjustRightInd w:val="0"/>
              <w:snapToGrid w:val="0"/>
              <w:spacing w:after="120"/>
              <w:ind w:left="357" w:hanging="357"/>
              <w:contextualSpacing w:val="0"/>
              <w:rPr>
                <w:rFonts w:asciiTheme="minorHAnsi" w:hAnsiTheme="minorHAnsi" w:cstheme="minorHAnsi"/>
              </w:rPr>
            </w:pPr>
            <w:r w:rsidRPr="00E82A42">
              <w:rPr>
                <w:rFonts w:asciiTheme="minorHAnsi" w:hAnsiTheme="minorHAnsi" w:cstheme="minorHAnsi"/>
              </w:rPr>
              <w:t>Providing funding to educators for professional development opportunities would be a departure from the approach to professional development for the broader ECEC sector. While this creates inconsistency it recognises the additional challenges experience with the IHC program</w:t>
            </w:r>
            <w:r w:rsidR="001430CF" w:rsidRPr="00E82A42">
              <w:rPr>
                <w:rFonts w:asciiTheme="minorHAnsi" w:hAnsiTheme="minorHAnsi" w:cstheme="minorHAnsi"/>
              </w:rPr>
              <w:t>, the isolated working setting of IHC educators</w:t>
            </w:r>
            <w:r w:rsidRPr="00E82A42">
              <w:rPr>
                <w:rFonts w:asciiTheme="minorHAnsi" w:hAnsiTheme="minorHAnsi" w:cstheme="minorHAnsi"/>
              </w:rPr>
              <w:t xml:space="preserve"> and access to appropriate workforce. Clearly communicating this as an equity measure could help manage the response from the broader ECEC sector. As an alternative approach, the existing Professional Development Subsidy could be expanded in the short term to apply to IHC educators, including funding be applied for, and accessed, via ECEC services.</w:t>
            </w:r>
          </w:p>
          <w:p w14:paraId="5395D52F" w14:textId="77777777" w:rsidR="00E56B3D" w:rsidRPr="00E82A42" w:rsidRDefault="00E56B3D" w:rsidP="002F76ED">
            <w:pPr>
              <w:pStyle w:val="ListParagraph"/>
              <w:numPr>
                <w:ilvl w:val="0"/>
                <w:numId w:val="44"/>
              </w:numPr>
              <w:kinsoku w:val="0"/>
              <w:overflowPunct w:val="0"/>
              <w:autoSpaceDE w:val="0"/>
              <w:autoSpaceDN w:val="0"/>
              <w:adjustRightInd w:val="0"/>
              <w:snapToGrid w:val="0"/>
              <w:spacing w:after="120"/>
              <w:ind w:left="357" w:hanging="357"/>
              <w:contextualSpacing w:val="0"/>
              <w:rPr>
                <w:rFonts w:asciiTheme="minorHAnsi" w:hAnsiTheme="minorHAnsi" w:cstheme="minorHAnsi"/>
              </w:rPr>
            </w:pPr>
            <w:r w:rsidRPr="00E82A42">
              <w:rPr>
                <w:rFonts w:asciiTheme="minorHAnsi" w:hAnsiTheme="minorHAnsi" w:cstheme="minorHAnsi"/>
              </w:rPr>
              <w:lastRenderedPageBreak/>
              <w:t>IHCSAs do not currently have visibility or contact with educators. Providing funding via IHCSAs would better enable funding to follow the educator and provide them with greater choice as to the type of professional development they would like to access. However, this would require IHCSA(s) to develop a database of educators. As an alternative, funding for professional development could be provided to IHC providers.</w:t>
            </w:r>
          </w:p>
          <w:p w14:paraId="36204EE8" w14:textId="77777777" w:rsidR="00E56B3D" w:rsidRPr="00E82A42" w:rsidRDefault="00E56B3D" w:rsidP="00A86AE4">
            <w:pPr>
              <w:pStyle w:val="ListParagraph"/>
              <w:numPr>
                <w:ilvl w:val="0"/>
                <w:numId w:val="44"/>
              </w:numPr>
              <w:kinsoku w:val="0"/>
              <w:overflowPunct w:val="0"/>
              <w:autoSpaceDE w:val="0"/>
              <w:autoSpaceDN w:val="0"/>
              <w:adjustRightInd w:val="0"/>
              <w:snapToGrid w:val="0"/>
              <w:spacing w:before="0" w:after="120"/>
              <w:ind w:left="360"/>
              <w:contextualSpacing w:val="0"/>
              <w:rPr>
                <w:rFonts w:asciiTheme="minorHAnsi" w:hAnsiTheme="minorHAnsi" w:cstheme="minorHAnsi"/>
              </w:rPr>
            </w:pPr>
            <w:r w:rsidRPr="00E82A42">
              <w:rPr>
                <w:rFonts w:asciiTheme="minorHAnsi" w:hAnsiTheme="minorHAnsi" w:cstheme="minorHAnsi"/>
              </w:rPr>
              <w:t>There may be findings and recommendations relating to professional development as part of the Productivity Commission inquiry currently underway. To ensure consistency and alignment this option should wait for the inquiry to conclude.</w:t>
            </w:r>
          </w:p>
        </w:tc>
      </w:tr>
      <w:tr w:rsidR="00E56B3D" w:rsidRPr="00E82A42" w14:paraId="3F110181" w14:textId="77777777" w:rsidTr="00E82A42">
        <w:tc>
          <w:tcPr>
            <w:tcW w:w="9736" w:type="dxa"/>
            <w:shd w:val="clear" w:color="auto" w:fill="E5E5E5" w:themeFill="text2" w:themeFillTint="33"/>
          </w:tcPr>
          <w:p w14:paraId="1560D67C" w14:textId="5383B173" w:rsidR="00E56B3D" w:rsidRPr="00E82A42" w:rsidRDefault="00E56B3D" w:rsidP="00887EFD">
            <w:pPr>
              <w:spacing w:after="120"/>
              <w:rPr>
                <w:rFonts w:asciiTheme="minorHAnsi" w:hAnsiTheme="minorHAnsi" w:cstheme="minorHAnsi"/>
                <w:b/>
                <w:bCs/>
              </w:rPr>
            </w:pPr>
            <w:r w:rsidRPr="00E82A42">
              <w:rPr>
                <w:rFonts w:asciiTheme="minorHAnsi" w:hAnsiTheme="minorHAnsi" w:cstheme="minorHAnsi"/>
                <w:b/>
                <w:bCs/>
              </w:rPr>
              <w:lastRenderedPageBreak/>
              <w:t>Sequencing</w:t>
            </w:r>
            <w:r w:rsidR="0036642F" w:rsidRPr="00E82A42">
              <w:rPr>
                <w:rFonts w:asciiTheme="minorHAnsi" w:hAnsiTheme="minorHAnsi" w:cstheme="minorHAnsi"/>
                <w:b/>
                <w:bCs/>
              </w:rPr>
              <w:t>/</w:t>
            </w:r>
            <w:r w:rsidRPr="00E82A42">
              <w:rPr>
                <w:rFonts w:asciiTheme="minorHAnsi" w:hAnsiTheme="minorHAnsi" w:cstheme="minorHAnsi"/>
                <w:b/>
                <w:bCs/>
              </w:rPr>
              <w:t>timeline</w:t>
            </w:r>
          </w:p>
        </w:tc>
      </w:tr>
      <w:tr w:rsidR="00E56B3D" w:rsidRPr="00E82A42" w14:paraId="0B8FE36A" w14:textId="77777777" w:rsidTr="00E82A42">
        <w:tc>
          <w:tcPr>
            <w:tcW w:w="9736" w:type="dxa"/>
          </w:tcPr>
          <w:p w14:paraId="0A737D05" w14:textId="77777777" w:rsidR="00E56B3D" w:rsidRPr="00E82A42" w:rsidRDefault="00E56B3D" w:rsidP="00887EFD">
            <w:pPr>
              <w:spacing w:after="120"/>
              <w:rPr>
                <w:rFonts w:asciiTheme="minorHAnsi" w:hAnsiTheme="minorHAnsi" w:cstheme="minorHAnsi"/>
              </w:rPr>
            </w:pPr>
            <w:r w:rsidRPr="00E82A42">
              <w:rPr>
                <w:rFonts w:asciiTheme="minorHAnsi" w:hAnsiTheme="minorHAnsi" w:cstheme="minorHAnsi"/>
              </w:rPr>
              <w:t xml:space="preserve">Providing funding for workforce professional development would be a relatively low-cost initiative that could be rapidly implemented (within 12 months) and with few challenges. However, the Department of Education should await the findings and recommendations of the Productivity Commission inquiry before commencing. </w:t>
            </w:r>
          </w:p>
        </w:tc>
      </w:tr>
      <w:tr w:rsidR="00E56B3D" w:rsidRPr="00E82A42" w14:paraId="5E822E5F" w14:textId="77777777" w:rsidTr="00E82A42">
        <w:tc>
          <w:tcPr>
            <w:tcW w:w="9736" w:type="dxa"/>
            <w:shd w:val="clear" w:color="auto" w:fill="E5E5E5" w:themeFill="text2" w:themeFillTint="33"/>
          </w:tcPr>
          <w:p w14:paraId="2A140EA2" w14:textId="77777777" w:rsidR="00E56B3D" w:rsidRPr="00E82A42" w:rsidRDefault="00E56B3D" w:rsidP="00887EFD">
            <w:pPr>
              <w:spacing w:after="120"/>
              <w:rPr>
                <w:rFonts w:asciiTheme="minorHAnsi" w:hAnsiTheme="minorHAnsi" w:cstheme="minorHAnsi"/>
                <w:b/>
                <w:bCs/>
              </w:rPr>
            </w:pPr>
            <w:r w:rsidRPr="00E82A42">
              <w:rPr>
                <w:rFonts w:asciiTheme="minorHAnsi" w:hAnsiTheme="minorHAnsi" w:cstheme="minorHAnsi"/>
                <w:b/>
                <w:bCs/>
              </w:rPr>
              <w:t>Stakeholders and acceptance</w:t>
            </w:r>
          </w:p>
        </w:tc>
      </w:tr>
      <w:tr w:rsidR="00E56B3D" w:rsidRPr="00E82A42" w14:paraId="1EF940FC" w14:textId="77777777" w:rsidTr="00E82A42">
        <w:tc>
          <w:tcPr>
            <w:tcW w:w="9736" w:type="dxa"/>
          </w:tcPr>
          <w:p w14:paraId="4339E454" w14:textId="461B7C8A" w:rsidR="00E56B3D" w:rsidRPr="00E82A42" w:rsidRDefault="00E56B3D" w:rsidP="00887EFD">
            <w:pPr>
              <w:spacing w:after="120"/>
              <w:rPr>
                <w:rFonts w:asciiTheme="minorHAnsi" w:hAnsiTheme="minorHAnsi" w:cstheme="minorHAnsi"/>
              </w:rPr>
            </w:pPr>
            <w:r w:rsidRPr="00E82A42">
              <w:rPr>
                <w:rFonts w:asciiTheme="minorHAnsi" w:hAnsiTheme="minorHAnsi" w:cstheme="minorHAnsi"/>
              </w:rPr>
              <w:t xml:space="preserve">The IHC sector and the workforce would </w:t>
            </w:r>
            <w:r w:rsidR="00432C21">
              <w:rPr>
                <w:rFonts w:asciiTheme="minorHAnsi" w:hAnsiTheme="minorHAnsi" w:cstheme="minorHAnsi"/>
              </w:rPr>
              <w:t xml:space="preserve">likely </w:t>
            </w:r>
            <w:r w:rsidRPr="00E82A42">
              <w:rPr>
                <w:rFonts w:asciiTheme="minorHAnsi" w:hAnsiTheme="minorHAnsi" w:cstheme="minorHAnsi"/>
              </w:rPr>
              <w:t xml:space="preserve">support this option. However, providers and educators working in other ECEC services will likely advocate for a similar professional development model to be implemented across all ECEC settings. </w:t>
            </w:r>
          </w:p>
        </w:tc>
      </w:tr>
    </w:tbl>
    <w:p w14:paraId="6E5969D6" w14:textId="77777777" w:rsidR="00E56B3D" w:rsidRDefault="00E56B3D" w:rsidP="00215F1C">
      <w:pPr>
        <w:pStyle w:val="DocBodyText"/>
      </w:pPr>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1"/>
      </w:tblGrid>
      <w:tr w:rsidR="00E56B3D" w:rsidRPr="002F76ED" w14:paraId="2E022AA5" w14:textId="77777777" w:rsidTr="002F76ED">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855" w:type="dxa"/>
            <w:shd w:val="clear" w:color="auto" w:fill="D04A02" w:themeFill="accent1"/>
          </w:tcPr>
          <w:p w14:paraId="41E94B7F" w14:textId="77777777" w:rsidR="00E56B3D" w:rsidRPr="002F76ED" w:rsidRDefault="00E56B3D" w:rsidP="00887EFD">
            <w:pPr>
              <w:pStyle w:val="PwCNormal"/>
              <w:numPr>
                <w:ilvl w:val="0"/>
                <w:numId w:val="2"/>
              </w:numPr>
              <w:spacing w:before="120" w:after="120"/>
              <w:rPr>
                <w:rFonts w:asciiTheme="minorHAnsi" w:hAnsiTheme="minorHAnsi" w:cstheme="minorHAnsi"/>
                <w:b/>
                <w:bCs/>
                <w:sz w:val="20"/>
              </w:rPr>
            </w:pPr>
            <w:r w:rsidRPr="002F76ED">
              <w:rPr>
                <w:rFonts w:asciiTheme="minorHAnsi" w:hAnsiTheme="minorHAnsi" w:cstheme="minorHAnsi"/>
                <w:b/>
                <w:bCs/>
                <w:color w:val="FFFFFF" w:themeColor="background1"/>
                <w:sz w:val="20"/>
              </w:rPr>
              <w:t>Improved data and IT systems for monitoring, reporting and oversight</w:t>
            </w:r>
          </w:p>
        </w:tc>
      </w:tr>
      <w:tr w:rsidR="00E56B3D" w:rsidRPr="002F76ED" w14:paraId="15DA5F10" w14:textId="77777777" w:rsidTr="002F76ED">
        <w:tc>
          <w:tcPr>
            <w:tcW w:w="9855" w:type="dxa"/>
            <w:shd w:val="clear" w:color="auto" w:fill="E5E5E5" w:themeFill="text2" w:themeFillTint="33"/>
          </w:tcPr>
          <w:p w14:paraId="242AB7D0" w14:textId="77777777" w:rsidR="00E56B3D" w:rsidRPr="002F76ED" w:rsidRDefault="00E56B3D" w:rsidP="00887EFD">
            <w:pPr>
              <w:pStyle w:val="PwCNormal"/>
              <w:numPr>
                <w:ilvl w:val="0"/>
                <w:numId w:val="2"/>
              </w:numPr>
              <w:spacing w:before="120" w:after="120"/>
              <w:rPr>
                <w:rFonts w:asciiTheme="minorHAnsi" w:hAnsiTheme="minorHAnsi" w:cstheme="minorHAnsi"/>
                <w:b/>
                <w:bCs/>
                <w:color w:val="FF0000"/>
                <w:sz w:val="20"/>
              </w:rPr>
            </w:pPr>
            <w:r w:rsidRPr="002F76ED">
              <w:rPr>
                <w:rFonts w:asciiTheme="minorHAnsi" w:hAnsiTheme="minorHAnsi" w:cstheme="minorHAnsi"/>
                <w:b/>
                <w:bCs/>
                <w:color w:val="auto"/>
                <w:sz w:val="20"/>
              </w:rPr>
              <w:t>Description</w:t>
            </w:r>
          </w:p>
        </w:tc>
      </w:tr>
      <w:tr w:rsidR="00E56B3D" w:rsidRPr="002F76ED" w14:paraId="4E093847" w14:textId="77777777" w:rsidTr="002F76ED">
        <w:tc>
          <w:tcPr>
            <w:tcW w:w="9855" w:type="dxa"/>
          </w:tcPr>
          <w:p w14:paraId="757D9AA3" w14:textId="77777777" w:rsidR="00E56B3D" w:rsidRPr="002F76ED" w:rsidRDefault="00E56B3D" w:rsidP="00887EFD">
            <w:pPr>
              <w:spacing w:after="120"/>
              <w:rPr>
                <w:rFonts w:asciiTheme="minorHAnsi" w:hAnsiTheme="minorHAnsi" w:cstheme="minorHAnsi"/>
              </w:rPr>
            </w:pPr>
            <w:r w:rsidRPr="002F76ED">
              <w:rPr>
                <w:rFonts w:asciiTheme="minorHAnsi" w:hAnsiTheme="minorHAnsi" w:cstheme="minorHAnsi"/>
              </w:rPr>
              <w:t>The review found that the current monitoring and reporting system, and the lack of real-time data and systems, makes it difficult to monitor quality and project demand for IHC services. To overcome these issues this option proposes:</w:t>
            </w:r>
          </w:p>
          <w:p w14:paraId="6EA25766" w14:textId="77777777" w:rsidR="00E56B3D" w:rsidRPr="002F76ED" w:rsidRDefault="00E56B3D" w:rsidP="002F76ED">
            <w:pPr>
              <w:pStyle w:val="TabBullet1"/>
              <w:rPr>
                <w:rFonts w:asciiTheme="minorHAnsi" w:hAnsiTheme="minorHAnsi"/>
              </w:rPr>
            </w:pPr>
            <w:r w:rsidRPr="002F76ED">
              <w:rPr>
                <w:rFonts w:asciiTheme="minorHAnsi" w:hAnsiTheme="minorHAnsi"/>
              </w:rPr>
              <w:t>Streamlining IT reporting systems for IHCSAs to report data</w:t>
            </w:r>
          </w:p>
          <w:p w14:paraId="64FFCB61" w14:textId="77777777" w:rsidR="00E56B3D" w:rsidRPr="002F76ED" w:rsidRDefault="00E56B3D" w:rsidP="002F76ED">
            <w:pPr>
              <w:pStyle w:val="TabBullet1"/>
              <w:rPr>
                <w:rFonts w:asciiTheme="minorHAnsi" w:hAnsiTheme="minorHAnsi"/>
              </w:rPr>
            </w:pPr>
            <w:r w:rsidRPr="002F76ED">
              <w:rPr>
                <w:rFonts w:asciiTheme="minorHAnsi" w:hAnsiTheme="minorHAnsi"/>
              </w:rPr>
              <w:t>Creating a central data repository where IHC providers/support agencies/government can access “live” data on the program</w:t>
            </w:r>
          </w:p>
          <w:p w14:paraId="442A34A9" w14:textId="77777777" w:rsidR="00E56B3D" w:rsidRPr="002F76ED" w:rsidRDefault="00E56B3D" w:rsidP="002F76ED">
            <w:pPr>
              <w:pStyle w:val="TabBullet1"/>
              <w:rPr>
                <w:rFonts w:asciiTheme="minorHAnsi" w:hAnsiTheme="minorHAnsi"/>
              </w:rPr>
            </w:pPr>
            <w:r w:rsidRPr="002F76ED">
              <w:rPr>
                <w:rFonts w:asciiTheme="minorHAnsi" w:hAnsiTheme="minorHAnsi"/>
              </w:rPr>
              <w:t>Increasing the frequency of data collection processes to enhance program administration, understanding, and identify any potential quality and safety risks.</w:t>
            </w:r>
          </w:p>
          <w:p w14:paraId="22330ADE" w14:textId="77777777" w:rsidR="00E56B3D" w:rsidRPr="002F76ED" w:rsidRDefault="00E56B3D" w:rsidP="002F76ED">
            <w:pPr>
              <w:pStyle w:val="TabBullet1"/>
              <w:rPr>
                <w:rFonts w:asciiTheme="minorHAnsi" w:hAnsiTheme="minorHAnsi"/>
              </w:rPr>
            </w:pPr>
            <w:r w:rsidRPr="002F76ED">
              <w:rPr>
                <w:rFonts w:asciiTheme="minorHAnsi" w:hAnsiTheme="minorHAnsi"/>
              </w:rPr>
              <w:t>Integrating IHC data into other data/IT systems such as the Child Care Subsidy System (CCSS)</w:t>
            </w:r>
          </w:p>
          <w:p w14:paraId="1B34A777" w14:textId="77777777" w:rsidR="00E56B3D" w:rsidRPr="002F76ED" w:rsidRDefault="00E56B3D" w:rsidP="00887EFD">
            <w:pPr>
              <w:spacing w:after="120"/>
              <w:rPr>
                <w:rFonts w:asciiTheme="minorHAnsi" w:hAnsiTheme="minorHAnsi" w:cstheme="minorHAnsi"/>
              </w:rPr>
            </w:pPr>
            <w:r w:rsidRPr="002F76ED">
              <w:rPr>
                <w:rFonts w:asciiTheme="minorHAnsi" w:hAnsiTheme="minorHAnsi" w:cstheme="minorHAnsi"/>
              </w:rPr>
              <w:t>Developing and implementing streamlined and improved data and IT systems will increase efficiencies around monitoring and reporting while facilitating more meaningful, real-time data. This will strengthen oversight of quality, demand and risk across the IHC program, allow for a more accurate understanding and projection of demand for IHC, and support future planning and decision making. The outcome of this will be greater equity, access and quality of IHC for families.</w:t>
            </w:r>
          </w:p>
        </w:tc>
      </w:tr>
      <w:tr w:rsidR="00E56B3D" w:rsidRPr="002F76ED" w14:paraId="4A0D0251" w14:textId="77777777" w:rsidTr="002F76ED">
        <w:tc>
          <w:tcPr>
            <w:tcW w:w="9855" w:type="dxa"/>
            <w:shd w:val="clear" w:color="auto" w:fill="E5E5E5" w:themeFill="text2" w:themeFillTint="33"/>
          </w:tcPr>
          <w:p w14:paraId="52C0D089" w14:textId="77777777" w:rsidR="00E56B3D" w:rsidRPr="002F76ED" w:rsidRDefault="00E56B3D" w:rsidP="00887EFD">
            <w:pPr>
              <w:spacing w:after="120"/>
              <w:rPr>
                <w:rFonts w:asciiTheme="minorHAnsi" w:hAnsiTheme="minorHAnsi" w:cstheme="minorHAnsi"/>
                <w:b/>
                <w:bCs/>
              </w:rPr>
            </w:pPr>
            <w:r w:rsidRPr="002F76ED">
              <w:rPr>
                <w:rFonts w:asciiTheme="minorHAnsi" w:hAnsiTheme="minorHAnsi" w:cstheme="minorHAnsi"/>
                <w:b/>
                <w:bCs/>
              </w:rPr>
              <w:t>Operational details</w:t>
            </w:r>
          </w:p>
        </w:tc>
      </w:tr>
      <w:tr w:rsidR="00E56B3D" w:rsidRPr="002F76ED" w14:paraId="383DB0DD" w14:textId="77777777" w:rsidTr="002F76ED">
        <w:tc>
          <w:tcPr>
            <w:tcW w:w="9855" w:type="dxa"/>
          </w:tcPr>
          <w:p w14:paraId="7D4A9745" w14:textId="77777777" w:rsidR="007D7BF5" w:rsidRPr="002F76ED" w:rsidRDefault="00E56B3D" w:rsidP="002F76ED">
            <w:pPr>
              <w:pStyle w:val="TabBullet1"/>
              <w:rPr>
                <w:rFonts w:asciiTheme="minorHAnsi" w:hAnsiTheme="minorHAnsi"/>
              </w:rPr>
            </w:pPr>
            <w:r w:rsidRPr="002F76ED">
              <w:rPr>
                <w:rFonts w:asciiTheme="minorHAnsi" w:hAnsiTheme="minorHAnsi"/>
              </w:rPr>
              <w:t>Improvements to the data and IT systems would be a change in reporting processes and platform for IHC providers and IHCSAs.</w:t>
            </w:r>
          </w:p>
          <w:p w14:paraId="6718A9F9" w14:textId="1666B56B" w:rsidR="00E56B3D" w:rsidRPr="002F76ED" w:rsidRDefault="00E56B3D" w:rsidP="002F76ED">
            <w:pPr>
              <w:pStyle w:val="TabBullet1"/>
              <w:spacing w:after="120"/>
              <w:rPr>
                <w:rFonts w:asciiTheme="minorHAnsi" w:hAnsiTheme="minorHAnsi"/>
              </w:rPr>
            </w:pPr>
            <w:r w:rsidRPr="002F76ED">
              <w:rPr>
                <w:rFonts w:asciiTheme="minorHAnsi" w:hAnsiTheme="minorHAnsi"/>
              </w:rPr>
              <w:t>Increasing the frequency of data collection in the absence of integration with the CCSS would mean additional reporting requirements for IHC providers. Alternatively, integration with the CCSS would make reporting less burdensome.</w:t>
            </w:r>
          </w:p>
        </w:tc>
      </w:tr>
      <w:tr w:rsidR="00E56B3D" w:rsidRPr="002F76ED" w14:paraId="51E27A90" w14:textId="77777777" w:rsidTr="002F76ED">
        <w:tc>
          <w:tcPr>
            <w:tcW w:w="9855" w:type="dxa"/>
            <w:shd w:val="clear" w:color="auto" w:fill="E5E5E5" w:themeFill="text2" w:themeFillTint="33"/>
          </w:tcPr>
          <w:p w14:paraId="31B6EE58" w14:textId="77777777" w:rsidR="00E56B3D" w:rsidRPr="002F76ED" w:rsidRDefault="00E56B3D" w:rsidP="00887EFD">
            <w:pPr>
              <w:spacing w:after="120"/>
              <w:rPr>
                <w:rFonts w:asciiTheme="minorHAnsi" w:hAnsiTheme="minorHAnsi" w:cstheme="minorHAnsi"/>
                <w:b/>
                <w:bCs/>
              </w:rPr>
            </w:pPr>
            <w:r w:rsidRPr="002F76ED">
              <w:rPr>
                <w:rFonts w:asciiTheme="minorHAnsi" w:hAnsiTheme="minorHAnsi" w:cstheme="minorHAnsi"/>
                <w:b/>
                <w:bCs/>
              </w:rPr>
              <w:t>Implementation requirements</w:t>
            </w:r>
          </w:p>
        </w:tc>
      </w:tr>
      <w:tr w:rsidR="00E56B3D" w:rsidRPr="002F76ED" w14:paraId="11EA6A16" w14:textId="77777777" w:rsidTr="002F76ED">
        <w:tc>
          <w:tcPr>
            <w:tcW w:w="9855" w:type="dxa"/>
          </w:tcPr>
          <w:p w14:paraId="7884C2EC" w14:textId="77777777" w:rsidR="00E56B3D" w:rsidRPr="002F76ED" w:rsidRDefault="00E56B3D" w:rsidP="002F76ED">
            <w:pPr>
              <w:pStyle w:val="TabBullet1"/>
              <w:rPr>
                <w:rFonts w:asciiTheme="minorHAnsi" w:hAnsiTheme="minorHAnsi"/>
              </w:rPr>
            </w:pPr>
            <w:r w:rsidRPr="002F76ED">
              <w:rPr>
                <w:rFonts w:asciiTheme="minorHAnsi" w:hAnsiTheme="minorHAnsi"/>
              </w:rPr>
              <w:t>Scoping and design would be needed to develop detailed specifications of any future data and IT systems, including any data repository and exchange, and any integration or interoperability with other data and IT systems.</w:t>
            </w:r>
          </w:p>
          <w:p w14:paraId="1836C50F" w14:textId="77777777" w:rsidR="00E56B3D" w:rsidRPr="002F76ED" w:rsidRDefault="00E56B3D" w:rsidP="002F76ED">
            <w:pPr>
              <w:pStyle w:val="TabBullet1"/>
              <w:rPr>
                <w:rFonts w:asciiTheme="minorHAnsi" w:hAnsiTheme="minorHAnsi"/>
              </w:rPr>
            </w:pPr>
            <w:r w:rsidRPr="002F76ED">
              <w:rPr>
                <w:rFonts w:asciiTheme="minorHAnsi" w:hAnsiTheme="minorHAnsi"/>
              </w:rPr>
              <w:lastRenderedPageBreak/>
              <w:t>Based on specifications legislative and regulatory impacts would need to be assessed, such as in relation to data sharing, data linkage, and interoperability requirements.</w:t>
            </w:r>
          </w:p>
          <w:p w14:paraId="08328487" w14:textId="77777777" w:rsidR="00E56B3D" w:rsidRPr="002F76ED" w:rsidRDefault="00E56B3D" w:rsidP="002F76ED">
            <w:pPr>
              <w:pStyle w:val="TabBullet1"/>
              <w:rPr>
                <w:rFonts w:asciiTheme="minorHAnsi" w:hAnsiTheme="minorHAnsi"/>
              </w:rPr>
            </w:pPr>
            <w:r w:rsidRPr="002F76ED">
              <w:rPr>
                <w:rFonts w:asciiTheme="minorHAnsi" w:hAnsiTheme="minorHAnsi"/>
              </w:rPr>
              <w:t>An IT solution would need to be selected and procured from an appropriate vendor, including scope for user testing with the sector as part of development.</w:t>
            </w:r>
          </w:p>
          <w:p w14:paraId="1512EBBD" w14:textId="77777777" w:rsidR="00E56B3D" w:rsidRPr="002F76ED" w:rsidRDefault="00E56B3D" w:rsidP="002F76ED">
            <w:pPr>
              <w:pStyle w:val="TabBullet1"/>
              <w:spacing w:after="120"/>
              <w:rPr>
                <w:rFonts w:asciiTheme="minorHAnsi" w:hAnsiTheme="minorHAnsi"/>
              </w:rPr>
            </w:pPr>
            <w:r w:rsidRPr="002F76ED">
              <w:rPr>
                <w:rFonts w:asciiTheme="minorHAnsi" w:hAnsiTheme="minorHAnsi"/>
              </w:rPr>
              <w:t>Guidelines on data reporting would also need to be updated to clarify the frequency and type of data collected from IHC providers and support agencies.</w:t>
            </w:r>
          </w:p>
        </w:tc>
      </w:tr>
      <w:tr w:rsidR="00E56B3D" w:rsidRPr="002F76ED" w14:paraId="05CD1924" w14:textId="77777777" w:rsidTr="002F76ED">
        <w:tc>
          <w:tcPr>
            <w:tcW w:w="9855" w:type="dxa"/>
            <w:shd w:val="clear" w:color="auto" w:fill="E5E5E5" w:themeFill="text2" w:themeFillTint="33"/>
          </w:tcPr>
          <w:p w14:paraId="68F478D9" w14:textId="77777777" w:rsidR="00E56B3D" w:rsidRPr="002F76ED" w:rsidRDefault="00E56B3D" w:rsidP="00887EFD">
            <w:pPr>
              <w:spacing w:after="120"/>
              <w:rPr>
                <w:rFonts w:asciiTheme="minorHAnsi" w:hAnsiTheme="minorHAnsi" w:cstheme="minorHAnsi"/>
                <w:b/>
                <w:bCs/>
              </w:rPr>
            </w:pPr>
            <w:r w:rsidRPr="002F76ED">
              <w:rPr>
                <w:rFonts w:asciiTheme="minorHAnsi" w:hAnsiTheme="minorHAnsi" w:cstheme="minorHAnsi"/>
                <w:b/>
                <w:bCs/>
              </w:rPr>
              <w:lastRenderedPageBreak/>
              <w:t>Key risks, mitigation strategies, and residual risk</w:t>
            </w:r>
          </w:p>
        </w:tc>
      </w:tr>
      <w:tr w:rsidR="00E56B3D" w:rsidRPr="002F76ED" w14:paraId="60C88A3B" w14:textId="77777777" w:rsidTr="002F76ED">
        <w:trPr>
          <w:trHeight w:val="2608"/>
        </w:trPr>
        <w:tc>
          <w:tcPr>
            <w:tcW w:w="9855" w:type="dxa"/>
          </w:tcPr>
          <w:p w14:paraId="284A3AAB" w14:textId="77777777" w:rsidR="00E56B3D" w:rsidRPr="002F76ED" w:rsidRDefault="00E56B3D" w:rsidP="002F76ED">
            <w:pPr>
              <w:pStyle w:val="ListParagraph"/>
              <w:numPr>
                <w:ilvl w:val="0"/>
                <w:numId w:val="45"/>
              </w:numPr>
              <w:kinsoku w:val="0"/>
              <w:overflowPunct w:val="0"/>
              <w:autoSpaceDE w:val="0"/>
              <w:autoSpaceDN w:val="0"/>
              <w:adjustRightInd w:val="0"/>
              <w:snapToGrid w:val="0"/>
              <w:spacing w:after="120"/>
              <w:ind w:left="357" w:hanging="357"/>
              <w:contextualSpacing w:val="0"/>
              <w:rPr>
                <w:rFonts w:asciiTheme="minorHAnsi" w:hAnsiTheme="minorHAnsi" w:cstheme="minorHAnsi"/>
              </w:rPr>
            </w:pPr>
            <w:r w:rsidRPr="002F76ED">
              <w:rPr>
                <w:rFonts w:asciiTheme="minorHAnsi" w:hAnsiTheme="minorHAnsi" w:cstheme="minorHAnsi"/>
              </w:rPr>
              <w:t>Large scale data and IT system transformation and implementation are costly, long term, and require considerable change management and support. There will also be legislative and regulatory changes required making this a large, complex initiative. The small number of families accessing IHC nationally mean this may not be a worthwhile investment. To mitigate against this scoping and costing could be done to support decision making. In addition, solutions could focus on those that leverage existing data and IT systems used by government and ECEC providers.</w:t>
            </w:r>
          </w:p>
          <w:p w14:paraId="42B97BA0" w14:textId="77777777" w:rsidR="00E56B3D" w:rsidRPr="002F76ED" w:rsidRDefault="00E56B3D" w:rsidP="002F76ED">
            <w:pPr>
              <w:pStyle w:val="ListParagraph"/>
              <w:numPr>
                <w:ilvl w:val="0"/>
                <w:numId w:val="45"/>
              </w:numPr>
              <w:kinsoku w:val="0"/>
              <w:overflowPunct w:val="0"/>
              <w:autoSpaceDE w:val="0"/>
              <w:autoSpaceDN w:val="0"/>
              <w:adjustRightInd w:val="0"/>
              <w:snapToGrid w:val="0"/>
              <w:spacing w:before="0" w:after="120"/>
              <w:ind w:left="357" w:hanging="357"/>
              <w:contextualSpacing w:val="0"/>
              <w:rPr>
                <w:rFonts w:asciiTheme="minorHAnsi" w:hAnsiTheme="minorHAnsi" w:cstheme="minorHAnsi"/>
              </w:rPr>
            </w:pPr>
            <w:r w:rsidRPr="002F76ED">
              <w:rPr>
                <w:rFonts w:asciiTheme="minorHAnsi" w:hAnsiTheme="minorHAnsi" w:cstheme="minorHAnsi"/>
              </w:rPr>
              <w:t>If future reporting requirements are to increase in frequency and detail without investment in a new IT system this could lead to significant, additional burden on IHC providers. To avoid this burden, reporting templates and secure survey tools could be used to make some of this reporting less manual and more consistent.</w:t>
            </w:r>
          </w:p>
        </w:tc>
      </w:tr>
      <w:tr w:rsidR="00E56B3D" w:rsidRPr="002F76ED" w14:paraId="2DEADB34" w14:textId="77777777" w:rsidTr="002F76ED">
        <w:tc>
          <w:tcPr>
            <w:tcW w:w="9855" w:type="dxa"/>
            <w:shd w:val="clear" w:color="auto" w:fill="E5E5E5" w:themeFill="text2" w:themeFillTint="33"/>
          </w:tcPr>
          <w:p w14:paraId="086BE2DD" w14:textId="4B25AC53" w:rsidR="00E56B3D" w:rsidRPr="002F76ED" w:rsidRDefault="00E56B3D" w:rsidP="00887EFD">
            <w:pPr>
              <w:spacing w:after="120"/>
              <w:rPr>
                <w:rFonts w:asciiTheme="minorHAnsi" w:hAnsiTheme="minorHAnsi" w:cstheme="minorHAnsi"/>
                <w:b/>
                <w:bCs/>
              </w:rPr>
            </w:pPr>
            <w:r w:rsidRPr="002F76ED">
              <w:rPr>
                <w:rFonts w:asciiTheme="minorHAnsi" w:hAnsiTheme="minorHAnsi" w:cstheme="minorHAnsi"/>
                <w:b/>
                <w:bCs/>
              </w:rPr>
              <w:t>Sequencing</w:t>
            </w:r>
            <w:r w:rsidR="0036642F" w:rsidRPr="002F76ED">
              <w:rPr>
                <w:rFonts w:asciiTheme="minorHAnsi" w:hAnsiTheme="minorHAnsi" w:cstheme="minorHAnsi"/>
                <w:b/>
                <w:bCs/>
              </w:rPr>
              <w:t>/</w:t>
            </w:r>
            <w:r w:rsidRPr="002F76ED">
              <w:rPr>
                <w:rFonts w:asciiTheme="minorHAnsi" w:hAnsiTheme="minorHAnsi" w:cstheme="minorHAnsi"/>
                <w:b/>
                <w:bCs/>
              </w:rPr>
              <w:t>timeline</w:t>
            </w:r>
          </w:p>
        </w:tc>
      </w:tr>
      <w:tr w:rsidR="00E56B3D" w:rsidRPr="002F76ED" w14:paraId="560A3624" w14:textId="77777777" w:rsidTr="002F76ED">
        <w:tc>
          <w:tcPr>
            <w:tcW w:w="9855" w:type="dxa"/>
          </w:tcPr>
          <w:p w14:paraId="25E82618" w14:textId="77777777" w:rsidR="00E56B3D" w:rsidRPr="002F76ED" w:rsidRDefault="00E56B3D" w:rsidP="00887EFD">
            <w:pPr>
              <w:spacing w:after="120"/>
              <w:rPr>
                <w:rFonts w:asciiTheme="minorHAnsi" w:hAnsiTheme="minorHAnsi" w:cstheme="minorHAnsi"/>
              </w:rPr>
            </w:pPr>
            <w:r w:rsidRPr="002F76ED">
              <w:rPr>
                <w:rFonts w:asciiTheme="minorHAnsi" w:hAnsiTheme="minorHAnsi" w:cstheme="minorHAnsi"/>
              </w:rPr>
              <w:t>Scoping and design could commence immediately and be used to inform future phases of work. If a revised reporting process and system is preferred, then new reporting templates and tools could be implemented in the short-term (ie next 12 months). If a new data and IT system were to be implemented this would require long-term implementation (18-24 months, if not longer).</w:t>
            </w:r>
          </w:p>
        </w:tc>
      </w:tr>
      <w:tr w:rsidR="00E56B3D" w:rsidRPr="002F76ED" w14:paraId="0B00515A" w14:textId="77777777" w:rsidTr="002F76ED">
        <w:tc>
          <w:tcPr>
            <w:tcW w:w="9855" w:type="dxa"/>
            <w:shd w:val="clear" w:color="auto" w:fill="E5E5E5" w:themeFill="text2" w:themeFillTint="33"/>
          </w:tcPr>
          <w:p w14:paraId="60CBF198" w14:textId="77777777" w:rsidR="00E56B3D" w:rsidRPr="002F76ED" w:rsidRDefault="00E56B3D" w:rsidP="00887EFD">
            <w:pPr>
              <w:spacing w:after="120"/>
              <w:rPr>
                <w:rFonts w:asciiTheme="minorHAnsi" w:hAnsiTheme="minorHAnsi" w:cstheme="minorHAnsi"/>
                <w:b/>
                <w:bCs/>
              </w:rPr>
            </w:pPr>
            <w:r w:rsidRPr="002F76ED">
              <w:rPr>
                <w:rFonts w:asciiTheme="minorHAnsi" w:hAnsiTheme="minorHAnsi" w:cstheme="minorHAnsi"/>
                <w:b/>
                <w:bCs/>
              </w:rPr>
              <w:t>Stakeholders and acceptance</w:t>
            </w:r>
          </w:p>
        </w:tc>
      </w:tr>
      <w:tr w:rsidR="00E56B3D" w:rsidRPr="002F76ED" w14:paraId="26B79C28" w14:textId="77777777" w:rsidTr="002F76ED">
        <w:tc>
          <w:tcPr>
            <w:tcW w:w="9855" w:type="dxa"/>
          </w:tcPr>
          <w:p w14:paraId="263DAA36" w14:textId="77777777" w:rsidR="00E56B3D" w:rsidRPr="002F76ED" w:rsidRDefault="00E56B3D" w:rsidP="00887EFD">
            <w:pPr>
              <w:spacing w:after="120"/>
              <w:rPr>
                <w:rFonts w:asciiTheme="minorHAnsi" w:hAnsiTheme="minorHAnsi" w:cstheme="minorHAnsi"/>
                <w:highlight w:val="yellow"/>
              </w:rPr>
            </w:pPr>
            <w:r w:rsidRPr="002F76ED">
              <w:rPr>
                <w:rFonts w:asciiTheme="minorHAnsi" w:hAnsiTheme="minorHAnsi" w:cstheme="minorHAnsi"/>
              </w:rPr>
              <w:t>Any solution that reduces the burden on IHC providers and IHCSA(s) (or equivalent) would be well-received by the sector. However, any changes would need to undergo user testing to optimise design for end users.</w:t>
            </w:r>
          </w:p>
        </w:tc>
      </w:tr>
    </w:tbl>
    <w:p w14:paraId="0CBCCBF6" w14:textId="207E003B" w:rsidR="00E56B3D" w:rsidRDefault="00E56B3D" w:rsidP="00215F1C">
      <w:pPr>
        <w:pStyle w:val="DocBodyText"/>
      </w:pPr>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1"/>
      </w:tblGrid>
      <w:tr w:rsidR="00E56B3D" w:rsidRPr="002F76ED" w14:paraId="3C2446D0" w14:textId="77777777" w:rsidTr="002F76ED">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855" w:type="dxa"/>
            <w:shd w:val="clear" w:color="auto" w:fill="D04A02" w:themeFill="accent1"/>
          </w:tcPr>
          <w:p w14:paraId="30EAD619" w14:textId="77777777" w:rsidR="00E56B3D" w:rsidRPr="002F76ED" w:rsidRDefault="00E56B3D" w:rsidP="00887EFD">
            <w:pPr>
              <w:pStyle w:val="PwCNormal"/>
              <w:numPr>
                <w:ilvl w:val="0"/>
                <w:numId w:val="2"/>
              </w:numPr>
              <w:spacing w:before="120" w:after="120"/>
              <w:rPr>
                <w:rFonts w:asciiTheme="minorHAnsi" w:hAnsiTheme="minorHAnsi" w:cstheme="minorHAnsi"/>
                <w:b/>
                <w:bCs/>
                <w:color w:val="FFFFFF" w:themeColor="background1"/>
                <w:sz w:val="20"/>
              </w:rPr>
            </w:pPr>
            <w:r w:rsidRPr="002F76ED">
              <w:rPr>
                <w:rFonts w:asciiTheme="minorHAnsi" w:hAnsiTheme="minorHAnsi" w:cstheme="minorHAnsi"/>
                <w:b/>
                <w:bCs/>
                <w:color w:val="FFFFFF" w:themeColor="background1"/>
                <w:sz w:val="20"/>
              </w:rPr>
              <w:t>Enhance national consistency and quality</w:t>
            </w:r>
          </w:p>
        </w:tc>
      </w:tr>
      <w:tr w:rsidR="00E56B3D" w:rsidRPr="002F76ED" w14:paraId="3B7A19AE" w14:textId="77777777" w:rsidTr="002F76ED">
        <w:tc>
          <w:tcPr>
            <w:tcW w:w="9855" w:type="dxa"/>
            <w:shd w:val="clear" w:color="auto" w:fill="E5E5E5" w:themeFill="text2" w:themeFillTint="33"/>
          </w:tcPr>
          <w:p w14:paraId="56BD6936" w14:textId="77777777" w:rsidR="00E56B3D" w:rsidRPr="002F76ED" w:rsidRDefault="00E56B3D" w:rsidP="00887EFD">
            <w:pPr>
              <w:pStyle w:val="PwCNormal"/>
              <w:numPr>
                <w:ilvl w:val="0"/>
                <w:numId w:val="2"/>
              </w:numPr>
              <w:spacing w:before="120" w:after="120"/>
              <w:rPr>
                <w:rFonts w:asciiTheme="minorHAnsi" w:hAnsiTheme="minorHAnsi" w:cstheme="minorHAnsi"/>
                <w:b/>
                <w:bCs/>
                <w:color w:val="auto"/>
                <w:sz w:val="20"/>
              </w:rPr>
            </w:pPr>
            <w:r w:rsidRPr="002F76ED">
              <w:rPr>
                <w:rFonts w:asciiTheme="minorHAnsi" w:hAnsiTheme="minorHAnsi" w:cstheme="minorHAnsi"/>
                <w:b/>
                <w:bCs/>
                <w:color w:val="auto"/>
                <w:sz w:val="20"/>
              </w:rPr>
              <w:t>Description</w:t>
            </w:r>
          </w:p>
        </w:tc>
      </w:tr>
      <w:tr w:rsidR="00E56B3D" w:rsidRPr="002F76ED" w14:paraId="3793E873" w14:textId="77777777" w:rsidTr="002F76ED">
        <w:tc>
          <w:tcPr>
            <w:tcW w:w="9855" w:type="dxa"/>
          </w:tcPr>
          <w:p w14:paraId="5637F29D" w14:textId="590FC33A" w:rsidR="00E56B3D" w:rsidRPr="002F76ED" w:rsidRDefault="00E56B3D" w:rsidP="00887EFD">
            <w:pPr>
              <w:spacing w:after="120"/>
              <w:rPr>
                <w:rFonts w:asciiTheme="minorHAnsi" w:hAnsiTheme="minorHAnsi" w:cstheme="minorHAnsi"/>
              </w:rPr>
            </w:pPr>
            <w:r w:rsidRPr="002F76ED">
              <w:rPr>
                <w:rFonts w:asciiTheme="minorHAnsi" w:hAnsiTheme="minorHAnsi" w:cstheme="minorHAnsi"/>
              </w:rPr>
              <w:t>A key difference between IHC and other forms of ECEC is that the IHC program is not included in the NQF</w:t>
            </w:r>
            <w:r w:rsidR="002B49BB" w:rsidRPr="002F76ED">
              <w:rPr>
                <w:rFonts w:asciiTheme="minorHAnsi" w:hAnsiTheme="minorHAnsi" w:cstheme="minorHAnsi"/>
              </w:rPr>
              <w:t xml:space="preserve"> </w:t>
            </w:r>
            <w:r w:rsidR="00ED5B92" w:rsidRPr="002F76ED">
              <w:rPr>
                <w:rFonts w:asciiTheme="minorHAnsi" w:hAnsiTheme="minorHAnsi" w:cstheme="minorHAnsi"/>
              </w:rPr>
              <w:t xml:space="preserve">(although </w:t>
            </w:r>
            <w:r w:rsidR="002B49BB" w:rsidRPr="002F76ED">
              <w:rPr>
                <w:rFonts w:asciiTheme="minorHAnsi" w:hAnsiTheme="minorHAnsi" w:cstheme="minorHAnsi"/>
              </w:rPr>
              <w:t>Tasmania and South Australia</w:t>
            </w:r>
            <w:r w:rsidR="00ED5B92" w:rsidRPr="002F76ED">
              <w:rPr>
                <w:rFonts w:asciiTheme="minorHAnsi" w:hAnsiTheme="minorHAnsi" w:cstheme="minorHAnsi"/>
              </w:rPr>
              <w:t xml:space="preserve"> have existing regulatory requirements which apply to IHC)</w:t>
            </w:r>
            <w:r w:rsidRPr="002F76ED">
              <w:rPr>
                <w:rFonts w:asciiTheme="minorHAnsi" w:hAnsiTheme="minorHAnsi" w:cstheme="minorHAnsi"/>
              </w:rPr>
              <w:t>. This has implications for the quality and safety of IHC which could be addressed through:</w:t>
            </w:r>
          </w:p>
          <w:p w14:paraId="3B635909" w14:textId="77777777" w:rsidR="00E56B3D" w:rsidRPr="002F76ED" w:rsidRDefault="00E56B3D" w:rsidP="002F76ED">
            <w:pPr>
              <w:pStyle w:val="PwCNormal"/>
              <w:numPr>
                <w:ilvl w:val="0"/>
                <w:numId w:val="75"/>
              </w:numPr>
              <w:spacing w:before="0" w:after="80" w:line="281" w:lineRule="auto"/>
              <w:ind w:left="284" w:hanging="284"/>
              <w:rPr>
                <w:rFonts w:asciiTheme="minorHAnsi" w:hAnsiTheme="minorHAnsi" w:cstheme="minorHAnsi"/>
                <w:sz w:val="20"/>
              </w:rPr>
            </w:pPr>
            <w:r w:rsidRPr="002F76ED">
              <w:rPr>
                <w:rFonts w:asciiTheme="minorHAnsi" w:hAnsiTheme="minorHAnsi" w:cstheme="minorHAnsi"/>
                <w:sz w:val="20"/>
              </w:rPr>
              <w:t>Further developing the Quality and Safety project under ACECQA</w:t>
            </w:r>
          </w:p>
          <w:p w14:paraId="6D5B8C9A" w14:textId="37366EB4" w:rsidR="00E56B3D" w:rsidRPr="002F76ED" w:rsidRDefault="00E56B3D" w:rsidP="002F76ED">
            <w:pPr>
              <w:pStyle w:val="PwCNormal"/>
              <w:numPr>
                <w:ilvl w:val="0"/>
                <w:numId w:val="75"/>
              </w:numPr>
              <w:spacing w:before="0" w:after="80" w:line="281" w:lineRule="auto"/>
              <w:ind w:left="284" w:hanging="284"/>
              <w:rPr>
                <w:rFonts w:asciiTheme="minorHAnsi" w:hAnsiTheme="minorHAnsi" w:cstheme="minorHAnsi"/>
                <w:sz w:val="20"/>
              </w:rPr>
            </w:pPr>
            <w:r w:rsidRPr="002F76ED">
              <w:rPr>
                <w:rFonts w:asciiTheme="minorHAnsi" w:hAnsiTheme="minorHAnsi" w:cstheme="minorHAnsi"/>
                <w:sz w:val="20"/>
              </w:rPr>
              <w:t>Establishing national policies and procedures for IHCSAs and IHC providers, including expectations around family engagement</w:t>
            </w:r>
          </w:p>
          <w:p w14:paraId="6C2DE415" w14:textId="4D54D708" w:rsidR="00E56B3D" w:rsidRPr="002F76ED" w:rsidRDefault="00E56B3D" w:rsidP="00887EFD">
            <w:pPr>
              <w:spacing w:after="120"/>
              <w:rPr>
                <w:rFonts w:asciiTheme="minorHAnsi" w:hAnsiTheme="minorHAnsi" w:cstheme="minorHAnsi"/>
                <w:highlight w:val="yellow"/>
              </w:rPr>
            </w:pPr>
            <w:r w:rsidRPr="002F76ED">
              <w:rPr>
                <w:rFonts w:asciiTheme="minorHAnsi" w:hAnsiTheme="minorHAnsi" w:cstheme="minorHAnsi"/>
              </w:rPr>
              <w:t>In addition to lifting quality of IHC this would also improve equity as the standard of ECEC delivered to families in the IHC program would be equivalent to the standards of other ECEC services.</w:t>
            </w:r>
          </w:p>
        </w:tc>
      </w:tr>
      <w:tr w:rsidR="00E56B3D" w:rsidRPr="002F76ED" w14:paraId="5793DF59" w14:textId="77777777" w:rsidTr="002F76ED">
        <w:tc>
          <w:tcPr>
            <w:tcW w:w="9855" w:type="dxa"/>
            <w:shd w:val="clear" w:color="auto" w:fill="E5E5E5" w:themeFill="text2" w:themeFillTint="33"/>
          </w:tcPr>
          <w:p w14:paraId="40495021" w14:textId="77777777" w:rsidR="00E56B3D" w:rsidRPr="002F76ED" w:rsidRDefault="00E56B3D" w:rsidP="00887EFD">
            <w:pPr>
              <w:spacing w:after="120"/>
              <w:rPr>
                <w:rFonts w:asciiTheme="minorHAnsi" w:hAnsiTheme="minorHAnsi" w:cstheme="minorHAnsi"/>
                <w:b/>
                <w:bCs/>
              </w:rPr>
            </w:pPr>
            <w:r w:rsidRPr="002F76ED">
              <w:rPr>
                <w:rFonts w:asciiTheme="minorHAnsi" w:hAnsiTheme="minorHAnsi" w:cstheme="minorHAnsi"/>
                <w:b/>
                <w:bCs/>
              </w:rPr>
              <w:t>Operational details</w:t>
            </w:r>
          </w:p>
        </w:tc>
      </w:tr>
      <w:tr w:rsidR="00E56B3D" w:rsidRPr="002F76ED" w14:paraId="28511B31" w14:textId="77777777" w:rsidTr="002F76ED">
        <w:tc>
          <w:tcPr>
            <w:tcW w:w="9855" w:type="dxa"/>
          </w:tcPr>
          <w:p w14:paraId="016DCAED" w14:textId="77777777" w:rsidR="007D7BF5" w:rsidRPr="002F76ED" w:rsidRDefault="00E56B3D" w:rsidP="00887EFD">
            <w:r w:rsidRPr="002F76ED">
              <w:rPr>
                <w:rFonts w:asciiTheme="minorHAnsi" w:hAnsiTheme="minorHAnsi" w:cstheme="minorHAnsi"/>
              </w:rPr>
              <w:t>The Department of Education ha</w:t>
            </w:r>
            <w:r w:rsidR="001675D0" w:rsidRPr="002F76ED">
              <w:rPr>
                <w:rFonts w:asciiTheme="minorHAnsi" w:hAnsiTheme="minorHAnsi" w:cstheme="minorHAnsi"/>
              </w:rPr>
              <w:t>s</w:t>
            </w:r>
            <w:r w:rsidRPr="002F76ED">
              <w:rPr>
                <w:rFonts w:asciiTheme="minorHAnsi" w:hAnsiTheme="minorHAnsi" w:cstheme="minorHAnsi"/>
              </w:rPr>
              <w:t xml:space="preserve"> already </w:t>
            </w:r>
            <w:r w:rsidR="00722E35" w:rsidRPr="002F76ED">
              <w:rPr>
                <w:rFonts w:asciiTheme="minorHAnsi" w:hAnsiTheme="minorHAnsi" w:cstheme="minorHAnsi"/>
              </w:rPr>
              <w:t xml:space="preserve">begun </w:t>
            </w:r>
            <w:r w:rsidRPr="002F76ED">
              <w:rPr>
                <w:rFonts w:asciiTheme="minorHAnsi" w:hAnsiTheme="minorHAnsi" w:cstheme="minorHAnsi"/>
              </w:rPr>
              <w:t>work with ACECQA to improve national consistency and quality of IHC, as well as professional practice, through a new initiative, the IHC Quality and Safety Project. An enhanced IHC national framework is due by the end of 2023 and a pilot will be implemented commencing in 2024.</w:t>
            </w:r>
          </w:p>
          <w:p w14:paraId="5EEC3F9C" w14:textId="319A2442" w:rsidR="00E56B3D" w:rsidRPr="002F76ED" w:rsidRDefault="00AD54A6" w:rsidP="00887EFD">
            <w:pPr>
              <w:spacing w:after="120"/>
              <w:rPr>
                <w:rFonts w:asciiTheme="minorHAnsi" w:hAnsiTheme="minorHAnsi" w:cstheme="minorHAnsi"/>
                <w:highlight w:val="yellow"/>
              </w:rPr>
            </w:pPr>
            <w:r w:rsidRPr="002F76ED">
              <w:rPr>
                <w:rFonts w:asciiTheme="minorHAnsi" w:hAnsiTheme="minorHAnsi" w:cstheme="minorHAnsi"/>
              </w:rPr>
              <w:lastRenderedPageBreak/>
              <w:t>Providing additional resources to create a national framework for assessing provider approvals for entry into unregulated markets will also be required in order begin operations.</w:t>
            </w:r>
          </w:p>
        </w:tc>
      </w:tr>
      <w:tr w:rsidR="00E56B3D" w:rsidRPr="002F76ED" w14:paraId="19849D1F" w14:textId="77777777" w:rsidTr="002F76ED">
        <w:tc>
          <w:tcPr>
            <w:tcW w:w="9855" w:type="dxa"/>
            <w:shd w:val="clear" w:color="auto" w:fill="E5E5E5" w:themeFill="text2" w:themeFillTint="33"/>
          </w:tcPr>
          <w:p w14:paraId="4A8CE045" w14:textId="77777777" w:rsidR="00E56B3D" w:rsidRPr="002F76ED" w:rsidRDefault="00E56B3D" w:rsidP="00887EFD">
            <w:pPr>
              <w:spacing w:after="120"/>
              <w:rPr>
                <w:rFonts w:asciiTheme="minorHAnsi" w:hAnsiTheme="minorHAnsi" w:cstheme="minorHAnsi"/>
                <w:b/>
                <w:bCs/>
              </w:rPr>
            </w:pPr>
            <w:r w:rsidRPr="002F76ED">
              <w:rPr>
                <w:rFonts w:asciiTheme="minorHAnsi" w:hAnsiTheme="minorHAnsi" w:cstheme="minorHAnsi"/>
                <w:b/>
                <w:bCs/>
              </w:rPr>
              <w:lastRenderedPageBreak/>
              <w:t>Implementation requirements</w:t>
            </w:r>
          </w:p>
        </w:tc>
      </w:tr>
      <w:tr w:rsidR="00E56B3D" w:rsidRPr="002F76ED" w14:paraId="19D30736" w14:textId="77777777" w:rsidTr="002F76ED">
        <w:trPr>
          <w:trHeight w:val="765"/>
        </w:trPr>
        <w:tc>
          <w:tcPr>
            <w:tcW w:w="9855" w:type="dxa"/>
          </w:tcPr>
          <w:p w14:paraId="0F8C70E0" w14:textId="2B70A687" w:rsidR="00E56B3D" w:rsidRPr="002F76ED" w:rsidRDefault="00E56B3D" w:rsidP="00887EFD">
            <w:pPr>
              <w:spacing w:after="120"/>
              <w:rPr>
                <w:rFonts w:asciiTheme="minorHAnsi" w:hAnsiTheme="minorHAnsi" w:cstheme="minorHAnsi"/>
              </w:rPr>
            </w:pPr>
            <w:r w:rsidRPr="002F76ED">
              <w:rPr>
                <w:rFonts w:asciiTheme="minorHAnsi" w:hAnsiTheme="minorHAnsi" w:cstheme="minorHAnsi"/>
              </w:rPr>
              <w:t>The ACECQA IHC Quality and Safety Project already underway involves the development of an enhanced IHC national framework including new supporting IHC Standards. These will be piloted with a sample group of IHCSAs, IHC providers and educators.</w:t>
            </w:r>
          </w:p>
        </w:tc>
      </w:tr>
      <w:tr w:rsidR="00E56B3D" w:rsidRPr="002F76ED" w14:paraId="55451540" w14:textId="77777777" w:rsidTr="002F76ED">
        <w:tc>
          <w:tcPr>
            <w:tcW w:w="9855" w:type="dxa"/>
            <w:shd w:val="clear" w:color="auto" w:fill="E5E5E5" w:themeFill="text2" w:themeFillTint="33"/>
          </w:tcPr>
          <w:p w14:paraId="4FC8612F" w14:textId="77777777" w:rsidR="00E56B3D" w:rsidRPr="002F76ED" w:rsidRDefault="00E56B3D" w:rsidP="00887EFD">
            <w:pPr>
              <w:spacing w:after="120"/>
              <w:rPr>
                <w:rFonts w:asciiTheme="minorHAnsi" w:hAnsiTheme="minorHAnsi" w:cstheme="minorHAnsi"/>
                <w:b/>
                <w:bCs/>
              </w:rPr>
            </w:pPr>
            <w:r w:rsidRPr="002F76ED">
              <w:rPr>
                <w:rFonts w:asciiTheme="minorHAnsi" w:hAnsiTheme="minorHAnsi" w:cstheme="minorHAnsi"/>
                <w:b/>
                <w:bCs/>
              </w:rPr>
              <w:t>Key risks, mitigation strategies, and residual risk</w:t>
            </w:r>
          </w:p>
        </w:tc>
      </w:tr>
      <w:tr w:rsidR="00E56B3D" w:rsidRPr="002F76ED" w14:paraId="66400814" w14:textId="77777777" w:rsidTr="002F76ED">
        <w:tc>
          <w:tcPr>
            <w:tcW w:w="9855" w:type="dxa"/>
          </w:tcPr>
          <w:p w14:paraId="564D1589" w14:textId="341402F0" w:rsidR="001F5B33" w:rsidRPr="002F76ED" w:rsidRDefault="00E56B3D" w:rsidP="00A86AE4">
            <w:pPr>
              <w:pStyle w:val="ListParagraph"/>
              <w:numPr>
                <w:ilvl w:val="0"/>
                <w:numId w:val="46"/>
              </w:numPr>
              <w:kinsoku w:val="0"/>
              <w:overflowPunct w:val="0"/>
              <w:autoSpaceDE w:val="0"/>
              <w:autoSpaceDN w:val="0"/>
              <w:adjustRightInd w:val="0"/>
              <w:snapToGrid w:val="0"/>
              <w:spacing w:after="120"/>
              <w:ind w:left="360"/>
              <w:contextualSpacing w:val="0"/>
              <w:rPr>
                <w:rFonts w:asciiTheme="minorHAnsi" w:hAnsiTheme="minorHAnsi" w:cstheme="minorHAnsi"/>
              </w:rPr>
            </w:pPr>
            <w:r w:rsidRPr="002F76ED">
              <w:rPr>
                <w:rFonts w:asciiTheme="minorHAnsi" w:hAnsiTheme="minorHAnsi" w:cstheme="minorHAnsi"/>
              </w:rPr>
              <w:t>Additional burden to IHC providers and educators could further impact financial viability, and lead to further exits of IHC providers from the market. However, the pilot phase ACECQA will implement with a sample of IHCSAs, IHC providers and educators in 2024 will be able to test the impact of the enhanced standards on the sector, including any unintended consequences.</w:t>
            </w:r>
          </w:p>
        </w:tc>
      </w:tr>
      <w:tr w:rsidR="00E56B3D" w:rsidRPr="002F76ED" w14:paraId="507BF760" w14:textId="77777777" w:rsidTr="002F76ED">
        <w:tc>
          <w:tcPr>
            <w:tcW w:w="9855" w:type="dxa"/>
            <w:shd w:val="clear" w:color="auto" w:fill="E5E5E5" w:themeFill="text2" w:themeFillTint="33"/>
          </w:tcPr>
          <w:p w14:paraId="4182C2E7" w14:textId="57BFFED8" w:rsidR="00E56B3D" w:rsidRPr="002F76ED" w:rsidRDefault="00E56B3D" w:rsidP="00887EFD">
            <w:pPr>
              <w:spacing w:after="120"/>
              <w:rPr>
                <w:rFonts w:asciiTheme="minorHAnsi" w:hAnsiTheme="minorHAnsi" w:cstheme="minorHAnsi"/>
                <w:b/>
                <w:bCs/>
              </w:rPr>
            </w:pPr>
            <w:r w:rsidRPr="002F76ED">
              <w:rPr>
                <w:rFonts w:asciiTheme="minorHAnsi" w:hAnsiTheme="minorHAnsi" w:cstheme="minorHAnsi"/>
                <w:b/>
                <w:bCs/>
              </w:rPr>
              <w:t>Sequencing</w:t>
            </w:r>
            <w:r w:rsidR="0036642F" w:rsidRPr="002F76ED">
              <w:rPr>
                <w:rFonts w:asciiTheme="minorHAnsi" w:hAnsiTheme="minorHAnsi" w:cstheme="minorHAnsi"/>
                <w:b/>
                <w:bCs/>
              </w:rPr>
              <w:t>/</w:t>
            </w:r>
            <w:r w:rsidRPr="002F76ED">
              <w:rPr>
                <w:rFonts w:asciiTheme="minorHAnsi" w:hAnsiTheme="minorHAnsi" w:cstheme="minorHAnsi"/>
                <w:b/>
                <w:bCs/>
              </w:rPr>
              <w:t>timeline</w:t>
            </w:r>
          </w:p>
        </w:tc>
      </w:tr>
      <w:tr w:rsidR="00E56B3D" w:rsidRPr="002F76ED" w14:paraId="01009DFF" w14:textId="77777777" w:rsidTr="002F76ED">
        <w:tc>
          <w:tcPr>
            <w:tcW w:w="9855" w:type="dxa"/>
          </w:tcPr>
          <w:p w14:paraId="3ECE0773" w14:textId="6107877C" w:rsidR="00E56B3D" w:rsidRPr="002F76ED" w:rsidRDefault="00E56B3D" w:rsidP="001F5B33">
            <w:pPr>
              <w:spacing w:after="120"/>
              <w:rPr>
                <w:rFonts w:asciiTheme="minorHAnsi" w:hAnsiTheme="minorHAnsi" w:cstheme="minorHAnsi"/>
                <w:highlight w:val="yellow"/>
              </w:rPr>
            </w:pPr>
            <w:r w:rsidRPr="002F76ED">
              <w:rPr>
                <w:rFonts w:asciiTheme="minorHAnsi" w:hAnsiTheme="minorHAnsi" w:cstheme="minorHAnsi"/>
              </w:rPr>
              <w:t>The ACECQA IHC Quality and Safety Project is already underway with an enhanced IHC national framework and new supporting IHC Standards expected by the end of 2023. Implementation of the enhanced IHC framework through a pilot, supported by a professional development program and community of practice, will commence in 2024.</w:t>
            </w:r>
          </w:p>
        </w:tc>
      </w:tr>
      <w:tr w:rsidR="00E56B3D" w:rsidRPr="002F76ED" w14:paraId="6E28D4C1" w14:textId="77777777" w:rsidTr="002F76ED">
        <w:tc>
          <w:tcPr>
            <w:tcW w:w="9855" w:type="dxa"/>
            <w:shd w:val="clear" w:color="auto" w:fill="E5E5E5" w:themeFill="text2" w:themeFillTint="33"/>
          </w:tcPr>
          <w:p w14:paraId="0FBA039A" w14:textId="77777777" w:rsidR="00E56B3D" w:rsidRPr="002F76ED" w:rsidRDefault="00E56B3D" w:rsidP="00887EFD">
            <w:pPr>
              <w:spacing w:after="120"/>
              <w:rPr>
                <w:rFonts w:asciiTheme="minorHAnsi" w:hAnsiTheme="minorHAnsi" w:cstheme="minorHAnsi"/>
                <w:b/>
                <w:bCs/>
              </w:rPr>
            </w:pPr>
            <w:r w:rsidRPr="002F76ED">
              <w:rPr>
                <w:rFonts w:asciiTheme="minorHAnsi" w:hAnsiTheme="minorHAnsi" w:cstheme="minorHAnsi"/>
                <w:b/>
                <w:bCs/>
              </w:rPr>
              <w:t>Stakeholders and acceptance</w:t>
            </w:r>
          </w:p>
        </w:tc>
      </w:tr>
      <w:tr w:rsidR="00E56B3D" w:rsidRPr="002F76ED" w14:paraId="438A5793" w14:textId="77777777" w:rsidTr="002F76ED">
        <w:tc>
          <w:tcPr>
            <w:tcW w:w="9855" w:type="dxa"/>
          </w:tcPr>
          <w:p w14:paraId="2F76E318" w14:textId="61FB3034" w:rsidR="00E56B3D" w:rsidRPr="002F76ED" w:rsidRDefault="00E56B3D" w:rsidP="00887EFD">
            <w:pPr>
              <w:spacing w:after="120"/>
              <w:rPr>
                <w:rFonts w:asciiTheme="minorHAnsi" w:hAnsiTheme="minorHAnsi" w:cstheme="minorHAnsi"/>
              </w:rPr>
            </w:pPr>
            <w:r w:rsidRPr="002F76ED">
              <w:rPr>
                <w:rFonts w:asciiTheme="minorHAnsi" w:hAnsiTheme="minorHAnsi" w:cstheme="minorHAnsi"/>
              </w:rPr>
              <w:t>IHCSAs, IHC providers and educators will likely welcome an enhanced framework and standards as it signals the further ‘professionalisation’ of the IHC program, the sector, and the role in providing ECEC</w:t>
            </w:r>
            <w:r w:rsidR="002B744D" w:rsidRPr="002F76ED">
              <w:rPr>
                <w:rStyle w:val="FootnoteReference"/>
                <w:rFonts w:asciiTheme="minorHAnsi" w:hAnsiTheme="minorHAnsi"/>
                <w:sz w:val="20"/>
              </w:rPr>
              <w:footnoteReference w:id="58"/>
            </w:r>
            <w:r w:rsidRPr="002F76ED">
              <w:rPr>
                <w:rFonts w:asciiTheme="minorHAnsi" w:hAnsiTheme="minorHAnsi" w:cstheme="minorHAnsi"/>
              </w:rPr>
              <w:t>. However, there will likely be concern with the level of burden and compliance that may be introduced making engagement with the sector and the pilot critical.</w:t>
            </w:r>
          </w:p>
          <w:p w14:paraId="7EF2CC08" w14:textId="6ACD3449" w:rsidR="00E56B3D" w:rsidRPr="002F76ED" w:rsidRDefault="00E56B3D" w:rsidP="00CE540B">
            <w:pPr>
              <w:spacing w:after="120"/>
              <w:rPr>
                <w:rFonts w:asciiTheme="minorHAnsi" w:hAnsiTheme="minorHAnsi" w:cstheme="minorHAnsi"/>
                <w:color w:val="FF0000"/>
              </w:rPr>
            </w:pPr>
            <w:r w:rsidRPr="002F76ED">
              <w:rPr>
                <w:rFonts w:asciiTheme="minorHAnsi" w:hAnsiTheme="minorHAnsi" w:cstheme="minorHAnsi"/>
              </w:rPr>
              <w:t>Tasmania and South Australia have existing regulatory requirements which apply to IHC. Development and pilot of the enhanced national framework would best be delivered in collaboration with state and territory input, and in the case of Tasmania and South Australia, will be critical to aligning with jurisdictional regulatory requirements.</w:t>
            </w:r>
          </w:p>
        </w:tc>
      </w:tr>
    </w:tbl>
    <w:p w14:paraId="2C958EA7" w14:textId="0B7F66A9" w:rsidR="00E34476" w:rsidRDefault="00E34476" w:rsidP="00A86AE4">
      <w:pPr>
        <w:pStyle w:val="DocBodyText"/>
      </w:pPr>
      <w:bookmarkStart w:id="90" w:name="_Toc139022142"/>
    </w:p>
    <w:p w14:paraId="1CE52ED5" w14:textId="77777777" w:rsidR="0052318A" w:rsidRPr="00BA54F8" w:rsidRDefault="0052318A" w:rsidP="0052318A">
      <w:pPr>
        <w:pStyle w:val="DocHeading01"/>
      </w:pPr>
      <w:bookmarkStart w:id="91" w:name="_Toc140148420"/>
      <w:bookmarkStart w:id="92" w:name="_Toc140149918"/>
      <w:r>
        <w:lastRenderedPageBreak/>
        <w:t>Summary and next steps</w:t>
      </w:r>
      <w:bookmarkEnd w:id="90"/>
      <w:bookmarkEnd w:id="91"/>
      <w:bookmarkEnd w:id="92"/>
    </w:p>
    <w:p w14:paraId="1F425DD9" w14:textId="4BFB3601" w:rsidR="0052318A" w:rsidRDefault="0052318A" w:rsidP="0052318A">
      <w:pPr>
        <w:pStyle w:val="DocBodyText"/>
      </w:pPr>
      <w:r w:rsidRPr="002570D1">
        <w:t xml:space="preserve">The IHC program is intended to be a program of last resort for families who are unable to access other forms of ECEC because they are either geographically isolated, work non-standard or variable hours, or are families with complex and challenging needs. </w:t>
      </w:r>
      <w:r w:rsidR="002570D1" w:rsidRPr="002570D1">
        <w:t xml:space="preserve">The review has found that the IHC program is partially meeting this objective. </w:t>
      </w:r>
      <w:r w:rsidRPr="00D96E68">
        <w:t xml:space="preserve">Compared to the former IHC </w:t>
      </w:r>
      <w:r w:rsidR="00CF213C">
        <w:t>p</w:t>
      </w:r>
      <w:r w:rsidRPr="00D96E68">
        <w:t>rogram the current iteration of the IHC program has seen:</w:t>
      </w:r>
    </w:p>
    <w:p w14:paraId="75E5921E" w14:textId="77777777" w:rsidR="00D85CAB" w:rsidRDefault="00D85CAB" w:rsidP="002F76ED">
      <w:pPr>
        <w:pStyle w:val="DocBullet1"/>
      </w:pPr>
      <w:r>
        <w:t xml:space="preserve">More </w:t>
      </w:r>
      <w:r w:rsidRPr="002F76ED">
        <w:t>equitable</w:t>
      </w:r>
      <w:r>
        <w:t xml:space="preserve"> access with IHCSAs established to introduce greater consistency to the assessment of family eligibility for IHC.</w:t>
      </w:r>
    </w:p>
    <w:p w14:paraId="6B5C9A0A" w14:textId="77777777" w:rsidR="00D85CAB" w:rsidRPr="00436C13" w:rsidRDefault="00D85CAB" w:rsidP="002F76ED">
      <w:pPr>
        <w:pStyle w:val="DocBullet1"/>
      </w:pPr>
      <w:r>
        <w:t xml:space="preserve">Greater affordability for families due to </w:t>
      </w:r>
      <w:r w:rsidRPr="00436C13">
        <w:t>increased subsidies brought about by the CCS/ACCS</w:t>
      </w:r>
    </w:p>
    <w:p w14:paraId="5A8E51C4" w14:textId="77777777" w:rsidR="00D85CAB" w:rsidRPr="00436C13" w:rsidRDefault="00D85CAB" w:rsidP="002F76ED">
      <w:pPr>
        <w:pStyle w:val="DocBullet1"/>
        <w:spacing w:after="160"/>
      </w:pPr>
      <w:r w:rsidRPr="00436C13">
        <w:t>Improved quality of IHC due to the requirement for educators to have minimum qualifications</w:t>
      </w:r>
    </w:p>
    <w:p w14:paraId="00D1E2D6" w14:textId="1245D986" w:rsidR="00D07523" w:rsidRPr="00436C13" w:rsidRDefault="0052318A" w:rsidP="000449F4">
      <w:pPr>
        <w:pStyle w:val="DocBodyText"/>
      </w:pPr>
      <w:r w:rsidRPr="00436C13">
        <w:t xml:space="preserve">This review has identified several challenges that continue to impact families, IHC providers and the workforce. </w:t>
      </w:r>
      <w:r w:rsidR="00456654" w:rsidRPr="00436C13">
        <w:t xml:space="preserve">The barriers to access of IHC for the three cohorts of families differ in relation to affordability, eligibility, scope of service and workforce. </w:t>
      </w:r>
      <w:r w:rsidRPr="00436C13">
        <w:t xml:space="preserve">A key challenge is that the current program design </w:t>
      </w:r>
      <w:r w:rsidR="00F01E44" w:rsidRPr="00436C13">
        <w:t xml:space="preserve">adopts a consistent approach to meeting the needs of families irrespective of circumstances. </w:t>
      </w:r>
      <w:r w:rsidR="000449F4" w:rsidRPr="00436C13">
        <w:t>To better meet the objectives of the program, and therefore improve equity, the IHC program could be tailored to meet the specific needs of each of the three very different cohorts of families</w:t>
      </w:r>
      <w:r w:rsidR="0052433D" w:rsidRPr="00436C13">
        <w:t xml:space="preserve"> it is targeted towards</w:t>
      </w:r>
      <w:r w:rsidR="000449F4" w:rsidRPr="00436C13">
        <w:t xml:space="preserve">. </w:t>
      </w:r>
    </w:p>
    <w:p w14:paraId="3BDEB486" w14:textId="77777777" w:rsidR="0052318A" w:rsidRPr="00436C13" w:rsidRDefault="0052318A" w:rsidP="00C354C7">
      <w:pPr>
        <w:pStyle w:val="DocBodyText"/>
      </w:pPr>
      <w:r w:rsidRPr="00436C13">
        <w:t>Through a co-design and assessment process a suite of opportunities was identified and prioritised for further consideration by the Department of Education:</w:t>
      </w:r>
    </w:p>
    <w:p w14:paraId="69C0542B" w14:textId="77777777" w:rsidR="0052318A" w:rsidRPr="00436C13" w:rsidRDefault="0052318A" w:rsidP="002F76ED">
      <w:pPr>
        <w:pStyle w:val="Style2"/>
        <w:numPr>
          <w:ilvl w:val="0"/>
          <w:numId w:val="103"/>
        </w:numPr>
        <w:ind w:left="284" w:hanging="284"/>
      </w:pPr>
      <w:r w:rsidRPr="00436C13">
        <w:t>Streamlining administrative processes and responsibilities to drive further consistency, enable better oversight and efficiency, and simplify system navigation for both IHC providers and families</w:t>
      </w:r>
    </w:p>
    <w:p w14:paraId="1269DE26" w14:textId="77777777" w:rsidR="0052318A" w:rsidRPr="00436C13" w:rsidRDefault="0052318A" w:rsidP="004D59A0">
      <w:pPr>
        <w:pStyle w:val="Style2"/>
        <w:numPr>
          <w:ilvl w:val="0"/>
          <w:numId w:val="103"/>
        </w:numPr>
        <w:ind w:left="284" w:hanging="284"/>
      </w:pPr>
      <w:r w:rsidRPr="00436C13">
        <w:t>Empowering and expanding FDC offerings to alleviate demand for IHC and preserve IHC places for those most in need</w:t>
      </w:r>
    </w:p>
    <w:p w14:paraId="027C1A32" w14:textId="35468F5E" w:rsidR="0052318A" w:rsidRPr="00436C13" w:rsidRDefault="0052318A" w:rsidP="004D59A0">
      <w:pPr>
        <w:pStyle w:val="Style2"/>
        <w:numPr>
          <w:ilvl w:val="0"/>
          <w:numId w:val="103"/>
        </w:numPr>
        <w:ind w:left="284" w:hanging="284"/>
      </w:pPr>
      <w:r w:rsidRPr="00436C13">
        <w:t xml:space="preserve">Exploring the benefits and risks of providing funding </w:t>
      </w:r>
      <w:r w:rsidR="00ED5B92" w:rsidRPr="00436C13">
        <w:t>aligned to</w:t>
      </w:r>
      <w:r w:rsidRPr="00436C13">
        <w:t xml:space="preserve"> family needs through either changes to the CCS/ACCS scheme, block funding, or the creation of a new funding scheme specific for IHC</w:t>
      </w:r>
    </w:p>
    <w:p w14:paraId="6E05A117" w14:textId="77777777" w:rsidR="0052318A" w:rsidRPr="00436C13" w:rsidRDefault="0052318A" w:rsidP="004D59A0">
      <w:pPr>
        <w:pStyle w:val="Style2"/>
        <w:numPr>
          <w:ilvl w:val="0"/>
          <w:numId w:val="103"/>
        </w:numPr>
        <w:ind w:left="284" w:hanging="284"/>
      </w:pPr>
      <w:r w:rsidRPr="00436C13">
        <w:t>Funding for professional development to further build capability of the workforce</w:t>
      </w:r>
    </w:p>
    <w:p w14:paraId="6901E0A6" w14:textId="77777777" w:rsidR="0052318A" w:rsidRPr="00436C13" w:rsidRDefault="0052318A" w:rsidP="004D59A0">
      <w:pPr>
        <w:pStyle w:val="Style2"/>
        <w:numPr>
          <w:ilvl w:val="0"/>
          <w:numId w:val="103"/>
        </w:numPr>
        <w:ind w:left="284" w:hanging="284"/>
      </w:pPr>
      <w:r w:rsidRPr="00436C13">
        <w:t>Improved data and IT systems to enable more meaningful, real-time data and to strengthen oversight</w:t>
      </w:r>
    </w:p>
    <w:p w14:paraId="08142370" w14:textId="77777777" w:rsidR="0052318A" w:rsidRPr="00436C13" w:rsidRDefault="0052318A" w:rsidP="004D59A0">
      <w:pPr>
        <w:pStyle w:val="Style2"/>
        <w:numPr>
          <w:ilvl w:val="0"/>
          <w:numId w:val="103"/>
        </w:numPr>
        <w:ind w:left="284" w:hanging="284"/>
      </w:pPr>
      <w:r w:rsidRPr="00436C13">
        <w:t>Enhance national consistency and quality</w:t>
      </w:r>
    </w:p>
    <w:p w14:paraId="07968909" w14:textId="77777777" w:rsidR="007D7BF5" w:rsidRPr="00436C13" w:rsidRDefault="0052318A" w:rsidP="00C354C7">
      <w:pPr>
        <w:pStyle w:val="DocBodyText"/>
      </w:pPr>
      <w:r w:rsidRPr="00436C13">
        <w:t xml:space="preserve">To support future </w:t>
      </w:r>
      <w:r w:rsidR="00722E35" w:rsidRPr="00436C13">
        <w:t>government</w:t>
      </w:r>
      <w:r w:rsidRPr="00436C13">
        <w:t xml:space="preserve"> decision making the expected outcomes and implementation risks for each of these opportunities has been described.</w:t>
      </w:r>
    </w:p>
    <w:p w14:paraId="44CB93F2" w14:textId="45058961" w:rsidR="00E56B3D" w:rsidRDefault="0052318A" w:rsidP="00A86AE4">
      <w:pPr>
        <w:pStyle w:val="DocBodyText"/>
      </w:pPr>
      <w:r w:rsidRPr="00436C13">
        <w:t xml:space="preserve">While these opportunities range in nature, scale, impact, timelines and risk profile, taken together, they have the potential to significantly improve equity, accessibility, affordability and quality of the IHC program for all three family </w:t>
      </w:r>
      <w:r w:rsidR="00FC5C47" w:rsidRPr="00436C13">
        <w:t>cohorts</w:t>
      </w:r>
      <w:r w:rsidRPr="00436C13">
        <w:t xml:space="preserve">. This will </w:t>
      </w:r>
      <w:r w:rsidR="00A1591C" w:rsidRPr="00436C13">
        <w:t xml:space="preserve">better support the program to meet the objective and </w:t>
      </w:r>
      <w:r w:rsidRPr="00436C13">
        <w:t xml:space="preserve">contribute to achieving the Australian Government’s </w:t>
      </w:r>
      <w:r w:rsidRPr="00436C13">
        <w:rPr>
          <w:i/>
          <w:iCs/>
        </w:rPr>
        <w:t>National Vision for ECEC</w:t>
      </w:r>
      <w:r w:rsidRPr="00436C13">
        <w:t>.</w:t>
      </w:r>
    </w:p>
    <w:p w14:paraId="0305FE39" w14:textId="57B326BD" w:rsidR="00C354C7" w:rsidRDefault="00C354C7" w:rsidP="00C354C7">
      <w:pPr>
        <w:pStyle w:val="DocHeading01"/>
      </w:pPr>
      <w:bookmarkStart w:id="93" w:name="_Toc140148421"/>
      <w:bookmarkStart w:id="94" w:name="_Toc140149919"/>
      <w:r>
        <w:lastRenderedPageBreak/>
        <w:t>Appendix A:</w:t>
      </w:r>
      <w:r w:rsidR="00734D80">
        <w:t xml:space="preserve"> </w:t>
      </w:r>
      <w:r>
        <w:t>IHC Program Logic</w:t>
      </w:r>
      <w:bookmarkEnd w:id="93"/>
      <w:bookmarkEnd w:id="94"/>
    </w:p>
    <w:p w14:paraId="1B609C23" w14:textId="2D9BA681" w:rsidR="00C354C7" w:rsidRDefault="00360246" w:rsidP="00585123">
      <w:pPr>
        <w:pStyle w:val="DocBodyText"/>
      </w:pPr>
      <w:r>
        <w:rPr>
          <w:noProof/>
        </w:rPr>
        <mc:AlternateContent>
          <mc:Choice Requires="wps">
            <w:drawing>
              <wp:anchor distT="0" distB="0" distL="114300" distR="114300" simplePos="0" relativeHeight="251658256" behindDoc="0" locked="0" layoutInCell="1" allowOverlap="1" wp14:anchorId="5C9F463E" wp14:editId="429F956C">
                <wp:simplePos x="0" y="0"/>
                <wp:positionH relativeFrom="column">
                  <wp:posOffset>0</wp:posOffset>
                </wp:positionH>
                <wp:positionV relativeFrom="paragraph">
                  <wp:posOffset>3720658</wp:posOffset>
                </wp:positionV>
                <wp:extent cx="596348" cy="352315"/>
                <wp:effectExtent l="0" t="0" r="0" b="0"/>
                <wp:wrapNone/>
                <wp:docPr id="43" name="Rectangle 43"/>
                <wp:cNvGraphicFramePr/>
                <a:graphic xmlns:a="http://schemas.openxmlformats.org/drawingml/2006/main">
                  <a:graphicData uri="http://schemas.microsoft.com/office/word/2010/wordprocessingShape">
                    <wps:wsp>
                      <wps:cNvSpPr/>
                      <wps:spPr>
                        <a:xfrm>
                          <a:off x="0" y="0"/>
                          <a:ext cx="596348" cy="3523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92EDA5" id="Rectangle 43" o:spid="_x0000_s1026" style="position:absolute;margin-left:0;margin-top:292.95pt;width:46.95pt;height:27.75pt;z-index:25165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rywewIAAF0FAAAOAAAAZHJzL2Uyb0RvYy54bWysVFFv2yAQfp+0/4B4Xx2nSbdGdaqoVadJ&#10;VVu1nfpMMMRImGNA4mS/fgfYTtdVe5iWBwK+7767+7jj4nLfarITziswFS1PJpQIw6FWZlPR7883&#10;n75Q4gMzNdNgREUPwtPL5ccPF51diCk0oGvhCJIYv+hsRZsQ7KIoPG9Ey/wJWGHQKMG1LODRbYra&#10;sQ7ZW11MJ5OzogNXWwdceI9fr7ORLhO/lIKHeym9CERXFHMLaXVpXce1WF6wxcYx2yjep8H+IYuW&#10;KYNBR6prFhjZOvUHVau4Aw8ynHBoC5BScZFqwGrKyZtqnhpmRaoFxfF2lMn/P1p+t3uyDw5l6Kxf&#10;eNzGKvbStfEf8yP7JNZhFEvsA+H4cX5+djrD2+VoOp1PT8t5FLM4Olvnw1cBLYmbijq8iyQR2936&#10;kKEDJMbyoFV9o7ROh3j/4ko7smN4c+tN2ZP/htImYg1Er0wYvxTHStIuHLSIOG0ehSSqxtynKZHU&#10;ZMcgjHNhQplNDatFjj2f4G+IPqSVCk2EkVli/JG7JxiQmWTgzln2+OgqUo+OzpO/JZadR48UGUwY&#10;nVtlwL1HoLGqPnLGDyJlaaJKa6gPD444yBPiLb9ReG23zIcH5nAkcHhwzMM9LlJDV1Hod5Q04H6+&#10;9z3isVPRSkmHI1ZR/2PLnKBEfzPYw+flbBZnMh1m889TPLjXlvVri9m2V4C9UOKDYnnaRnzQw1Y6&#10;aF/wNVjFqGhihmPsivLghsNVyKOP7wkXq1WC4RxaFm7Nk+WRPKoa2/J5/8Kc7Xs3YNPfwTCObPGm&#10;hTM2ehpYbQNIlfr7qGuvN85wapz+vYmPxOtzQh1fxeUvAAAA//8DAFBLAwQUAAYACAAAACEAOLLQ&#10;F+AAAAAHAQAADwAAAGRycy9kb3ducmV2LnhtbEyPwU7DMBBE70j8g7VIXBB1ituqDdlUgITEhQOl&#10;Qhzd2CRW43UUu0nK17Oc4LQazWjmbbGdfCsG20cXCGE+y0BYqoJxVCPs359v1yBi0mR0G8ginG2E&#10;bXl5UejchJHe7LBLteASirlGaFLqcilj1Viv4yx0ltj7Cr3XiWVfS9Prkct9K++ybCW9dsQLje7s&#10;U2Or4+7kEV7PSr0MN+o47p2q3bf8fPxoAuL11fRwDyLZKf2F4Ref0aFkpkM4kYmiReBHEsJyvdyA&#10;YHuj+B4QVov5AmRZyP/85Q8AAAD//wMAUEsBAi0AFAAGAAgAAAAhALaDOJL+AAAA4QEAABMAAAAA&#10;AAAAAAAAAAAAAAAAAFtDb250ZW50X1R5cGVzXS54bWxQSwECLQAUAAYACAAAACEAOP0h/9YAAACU&#10;AQAACwAAAAAAAAAAAAAAAAAvAQAAX3JlbHMvLnJlbHNQSwECLQAUAAYACAAAACEA7YK8sHsCAABd&#10;BQAADgAAAAAAAAAAAAAAAAAuAgAAZHJzL2Uyb0RvYy54bWxQSwECLQAUAAYACAAAACEAOLLQF+AA&#10;AAAHAQAADwAAAAAAAAAAAAAAAADVBAAAZHJzL2Rvd25yZXYueG1sUEsFBgAAAAAEAAQA8wAAAOIF&#10;AAAAAA==&#10;" fillcolor="white [3212]" stroked="f" strokeweight="1pt"/>
            </w:pict>
          </mc:Fallback>
        </mc:AlternateContent>
      </w:r>
      <w:bookmarkStart w:id="95" w:name="_MON_1750760553"/>
      <w:bookmarkEnd w:id="95"/>
      <w:r w:rsidR="00903448">
        <w:rPr>
          <w:noProof/>
        </w:rPr>
        <w:object w:dxaOrig="7091" w:dyaOrig="5311" w14:anchorId="1C3C4FF4">
          <v:shape id="_x0000_i1032" type="#_x0000_t75" style="width:487.15pt;height:385.5pt" o:ole="">
            <v:imagedata r:id="rId65" o:title="" croptop="7205f" cropbottom="10561f" cropleft="2884f" cropright="17449f"/>
          </v:shape>
          <o:OLEObject Type="Embed" ProgID="PowerPoint.Slide.12" ShapeID="_x0000_i1032" DrawAspect="Content" ObjectID="_1761144020" r:id="rId66"/>
        </w:object>
      </w:r>
    </w:p>
    <w:p w14:paraId="578C74E9" w14:textId="187A3BE4" w:rsidR="00C354C7" w:rsidRDefault="00C354C7" w:rsidP="00A60A43">
      <w:pPr>
        <w:pStyle w:val="DocHeading01"/>
        <w:spacing w:after="320"/>
      </w:pPr>
      <w:bookmarkStart w:id="96" w:name="_Toc140148422"/>
      <w:bookmarkStart w:id="97" w:name="_Toc140149920"/>
      <w:r>
        <w:lastRenderedPageBreak/>
        <w:t>Appendix B:</w:t>
      </w:r>
      <w:r w:rsidR="00E47555">
        <w:t xml:space="preserve"> </w:t>
      </w:r>
      <w:r>
        <w:t>IHC Review framework</w:t>
      </w:r>
      <w:bookmarkEnd w:id="96"/>
      <w:bookmarkEnd w:id="97"/>
    </w:p>
    <w:tbl>
      <w:tblPr>
        <w:tblW w:w="5000" w:type="pct"/>
        <w:tblBorders>
          <w:bottom w:val="single" w:sz="4" w:space="0" w:color="D04A02" w:themeColor="accent1"/>
        </w:tblBorders>
        <w:tblCellMar>
          <w:left w:w="0" w:type="dxa"/>
          <w:right w:w="0" w:type="dxa"/>
        </w:tblCellMar>
        <w:tblLook w:val="0600" w:firstRow="0" w:lastRow="0" w:firstColumn="0" w:lastColumn="0" w:noHBand="1" w:noVBand="1"/>
      </w:tblPr>
      <w:tblGrid>
        <w:gridCol w:w="1362"/>
        <w:gridCol w:w="2309"/>
        <w:gridCol w:w="2196"/>
        <w:gridCol w:w="1862"/>
        <w:gridCol w:w="2022"/>
      </w:tblGrid>
      <w:tr w:rsidR="00C354C7" w:rsidRPr="00B268FB" w14:paraId="62524243" w14:textId="77777777" w:rsidTr="00B7284B">
        <w:trPr>
          <w:tblHeader/>
        </w:trPr>
        <w:tc>
          <w:tcPr>
            <w:tcW w:w="5000" w:type="pct"/>
            <w:gridSpan w:val="5"/>
            <w:shd w:val="clear" w:color="auto" w:fill="D04A02" w:themeFill="accent1"/>
            <w:tcMar>
              <w:top w:w="72" w:type="dxa"/>
              <w:left w:w="144" w:type="dxa"/>
              <w:bottom w:w="72" w:type="dxa"/>
              <w:right w:w="144" w:type="dxa"/>
            </w:tcMar>
            <w:hideMark/>
          </w:tcPr>
          <w:p w14:paraId="69AE647F" w14:textId="77777777" w:rsidR="00C354C7" w:rsidRPr="00B268FB" w:rsidRDefault="00C354C7" w:rsidP="00C354C7">
            <w:pPr>
              <w:pStyle w:val="PwCNormal"/>
              <w:numPr>
                <w:ilvl w:val="0"/>
                <w:numId w:val="2"/>
              </w:numPr>
              <w:spacing w:before="60" w:after="60"/>
              <w:rPr>
                <w:rFonts w:cstheme="minorHAnsi"/>
                <w:szCs w:val="18"/>
              </w:rPr>
            </w:pPr>
            <w:r w:rsidRPr="00B268FB">
              <w:rPr>
                <w:rFonts w:cstheme="minorHAnsi"/>
                <w:b/>
                <w:bCs/>
                <w:color w:val="FFFFFF" w:themeColor="background1"/>
                <w:szCs w:val="18"/>
                <w:lang w:val="en-US"/>
              </w:rPr>
              <w:t xml:space="preserve">Review of the IHC Program – current state analysis </w:t>
            </w:r>
          </w:p>
        </w:tc>
      </w:tr>
      <w:tr w:rsidR="00C354C7" w:rsidRPr="00B268FB" w14:paraId="4E8A621B" w14:textId="77777777" w:rsidTr="00B7284B">
        <w:trPr>
          <w:tblHeader/>
        </w:trPr>
        <w:tc>
          <w:tcPr>
            <w:tcW w:w="698" w:type="pct"/>
            <w:vMerge w:val="restart"/>
            <w:shd w:val="clear" w:color="auto" w:fill="E5E5E5" w:themeFill="text2" w:themeFillTint="33"/>
            <w:tcMar>
              <w:top w:w="35" w:type="dxa"/>
              <w:left w:w="35" w:type="dxa"/>
              <w:bottom w:w="35" w:type="dxa"/>
              <w:right w:w="35" w:type="dxa"/>
            </w:tcMar>
            <w:vAlign w:val="center"/>
            <w:hideMark/>
          </w:tcPr>
          <w:p w14:paraId="08C4F449" w14:textId="77777777" w:rsidR="00C354C7" w:rsidRPr="00B268FB" w:rsidRDefault="00C354C7" w:rsidP="00C354C7">
            <w:pPr>
              <w:pStyle w:val="PwCNormal"/>
              <w:numPr>
                <w:ilvl w:val="0"/>
                <w:numId w:val="2"/>
              </w:numPr>
              <w:spacing w:before="60" w:after="60"/>
              <w:rPr>
                <w:rFonts w:cstheme="minorHAnsi"/>
                <w:szCs w:val="18"/>
              </w:rPr>
            </w:pPr>
            <w:r w:rsidRPr="00B268FB">
              <w:rPr>
                <w:rFonts w:cstheme="minorHAnsi"/>
                <w:b/>
                <w:bCs/>
                <w:szCs w:val="18"/>
                <w:lang w:val="en-GB"/>
              </w:rPr>
              <w:t>Key evaluation question</w:t>
            </w:r>
          </w:p>
        </w:tc>
        <w:tc>
          <w:tcPr>
            <w:tcW w:w="1184" w:type="pct"/>
            <w:vMerge w:val="restart"/>
            <w:shd w:val="clear" w:color="auto" w:fill="E5E5E5" w:themeFill="text2" w:themeFillTint="33"/>
            <w:tcMar>
              <w:top w:w="35" w:type="dxa"/>
              <w:left w:w="35" w:type="dxa"/>
              <w:bottom w:w="35" w:type="dxa"/>
              <w:right w:w="35" w:type="dxa"/>
            </w:tcMar>
            <w:vAlign w:val="center"/>
            <w:hideMark/>
          </w:tcPr>
          <w:p w14:paraId="06DC563C" w14:textId="77777777" w:rsidR="00C354C7" w:rsidRPr="00B268FB" w:rsidRDefault="00C354C7" w:rsidP="00C354C7">
            <w:pPr>
              <w:pStyle w:val="PwCNormal"/>
              <w:numPr>
                <w:ilvl w:val="0"/>
                <w:numId w:val="2"/>
              </w:numPr>
              <w:spacing w:before="60" w:after="60"/>
              <w:rPr>
                <w:rFonts w:cstheme="minorHAnsi"/>
                <w:szCs w:val="18"/>
              </w:rPr>
            </w:pPr>
            <w:r w:rsidRPr="00B268FB">
              <w:rPr>
                <w:rFonts w:cstheme="minorHAnsi"/>
                <w:b/>
                <w:bCs/>
                <w:szCs w:val="18"/>
                <w:lang w:val="en-US"/>
              </w:rPr>
              <w:t>Lines of Inquiry</w:t>
            </w:r>
          </w:p>
        </w:tc>
        <w:tc>
          <w:tcPr>
            <w:tcW w:w="1126" w:type="pct"/>
            <w:vMerge w:val="restart"/>
            <w:shd w:val="clear" w:color="auto" w:fill="E5E5E5" w:themeFill="text2" w:themeFillTint="33"/>
            <w:tcMar>
              <w:top w:w="35" w:type="dxa"/>
              <w:left w:w="35" w:type="dxa"/>
              <w:bottom w:w="35" w:type="dxa"/>
              <w:right w:w="35" w:type="dxa"/>
            </w:tcMar>
            <w:vAlign w:val="center"/>
            <w:hideMark/>
          </w:tcPr>
          <w:p w14:paraId="4DE4FABC" w14:textId="77777777" w:rsidR="00C354C7" w:rsidRPr="00B268FB" w:rsidRDefault="00C354C7" w:rsidP="00C354C7">
            <w:pPr>
              <w:pStyle w:val="PwCNormal"/>
              <w:numPr>
                <w:ilvl w:val="0"/>
                <w:numId w:val="2"/>
              </w:numPr>
              <w:spacing w:before="60" w:after="60"/>
              <w:rPr>
                <w:rFonts w:cstheme="minorHAnsi"/>
                <w:szCs w:val="18"/>
              </w:rPr>
            </w:pPr>
            <w:r w:rsidRPr="00B268FB">
              <w:rPr>
                <w:rFonts w:cstheme="minorHAnsi"/>
                <w:b/>
                <w:bCs/>
                <w:szCs w:val="18"/>
                <w:lang w:val="en-GB"/>
              </w:rPr>
              <w:t>Indicators</w:t>
            </w:r>
          </w:p>
        </w:tc>
        <w:tc>
          <w:tcPr>
            <w:tcW w:w="1992" w:type="pct"/>
            <w:gridSpan w:val="2"/>
            <w:shd w:val="clear" w:color="auto" w:fill="464646" w:themeFill="accent6"/>
            <w:tcMar>
              <w:top w:w="35" w:type="dxa"/>
              <w:left w:w="35" w:type="dxa"/>
              <w:bottom w:w="35" w:type="dxa"/>
              <w:right w:w="35" w:type="dxa"/>
            </w:tcMar>
            <w:vAlign w:val="center"/>
            <w:hideMark/>
          </w:tcPr>
          <w:p w14:paraId="6473EE50" w14:textId="77777777" w:rsidR="00C354C7" w:rsidRPr="00B268FB" w:rsidRDefault="00C354C7" w:rsidP="00B7284B">
            <w:pPr>
              <w:pStyle w:val="PwCNormal"/>
              <w:numPr>
                <w:ilvl w:val="0"/>
                <w:numId w:val="2"/>
              </w:numPr>
              <w:spacing w:before="60" w:after="60"/>
              <w:jc w:val="center"/>
              <w:rPr>
                <w:rFonts w:cstheme="minorHAnsi"/>
                <w:szCs w:val="18"/>
              </w:rPr>
            </w:pPr>
            <w:r w:rsidRPr="00B7284B">
              <w:rPr>
                <w:rFonts w:cstheme="minorHAnsi"/>
                <w:b/>
                <w:bCs/>
                <w:color w:val="FFFFFF" w:themeColor="background1"/>
                <w:szCs w:val="18"/>
                <w:lang w:val="en-GB"/>
              </w:rPr>
              <w:t>Data Source</w:t>
            </w:r>
          </w:p>
        </w:tc>
      </w:tr>
      <w:tr w:rsidR="00D85CAB" w:rsidRPr="00B268FB" w14:paraId="4DC3A697" w14:textId="77777777" w:rsidTr="00B7284B">
        <w:trPr>
          <w:tblHeader/>
        </w:trPr>
        <w:tc>
          <w:tcPr>
            <w:tcW w:w="698" w:type="pct"/>
            <w:vMerge/>
            <w:shd w:val="clear" w:color="auto" w:fill="E5E5E5" w:themeFill="text2" w:themeFillTint="33"/>
            <w:vAlign w:val="center"/>
            <w:hideMark/>
          </w:tcPr>
          <w:p w14:paraId="2DE286FE" w14:textId="77777777" w:rsidR="00C354C7" w:rsidRPr="00B268FB" w:rsidRDefault="00C354C7" w:rsidP="00C354C7">
            <w:pPr>
              <w:pStyle w:val="PwCNormal"/>
              <w:numPr>
                <w:ilvl w:val="0"/>
                <w:numId w:val="2"/>
              </w:numPr>
              <w:spacing w:before="60" w:after="60"/>
              <w:rPr>
                <w:rFonts w:cstheme="minorHAnsi"/>
                <w:szCs w:val="18"/>
              </w:rPr>
            </w:pPr>
          </w:p>
        </w:tc>
        <w:tc>
          <w:tcPr>
            <w:tcW w:w="1184" w:type="pct"/>
            <w:vMerge/>
            <w:shd w:val="clear" w:color="auto" w:fill="E5E5E5" w:themeFill="text2" w:themeFillTint="33"/>
            <w:vAlign w:val="center"/>
            <w:hideMark/>
          </w:tcPr>
          <w:p w14:paraId="6661884D" w14:textId="77777777" w:rsidR="00C354C7" w:rsidRPr="00B268FB" w:rsidRDefault="00C354C7" w:rsidP="00C354C7">
            <w:pPr>
              <w:pStyle w:val="PwCNormal"/>
              <w:numPr>
                <w:ilvl w:val="0"/>
                <w:numId w:val="2"/>
              </w:numPr>
              <w:spacing w:before="60" w:after="60"/>
              <w:rPr>
                <w:rFonts w:cstheme="minorHAnsi"/>
                <w:szCs w:val="18"/>
              </w:rPr>
            </w:pPr>
          </w:p>
        </w:tc>
        <w:tc>
          <w:tcPr>
            <w:tcW w:w="1126" w:type="pct"/>
            <w:vMerge/>
            <w:shd w:val="clear" w:color="auto" w:fill="E5E5E5" w:themeFill="text2" w:themeFillTint="33"/>
            <w:vAlign w:val="center"/>
            <w:hideMark/>
          </w:tcPr>
          <w:p w14:paraId="46B6DD7F" w14:textId="77777777" w:rsidR="00C354C7" w:rsidRPr="00B268FB" w:rsidRDefault="00C354C7" w:rsidP="00C354C7">
            <w:pPr>
              <w:pStyle w:val="PwCNormal"/>
              <w:numPr>
                <w:ilvl w:val="0"/>
                <w:numId w:val="2"/>
              </w:numPr>
              <w:spacing w:before="60" w:after="60"/>
              <w:rPr>
                <w:rFonts w:cstheme="minorHAnsi"/>
                <w:szCs w:val="18"/>
              </w:rPr>
            </w:pPr>
          </w:p>
        </w:tc>
        <w:tc>
          <w:tcPr>
            <w:tcW w:w="955" w:type="pct"/>
            <w:shd w:val="clear" w:color="auto" w:fill="E5E5E5" w:themeFill="text2" w:themeFillTint="33"/>
            <w:tcMar>
              <w:top w:w="35" w:type="dxa"/>
              <w:left w:w="35" w:type="dxa"/>
              <w:bottom w:w="35" w:type="dxa"/>
              <w:right w:w="35" w:type="dxa"/>
            </w:tcMar>
            <w:vAlign w:val="center"/>
            <w:hideMark/>
          </w:tcPr>
          <w:p w14:paraId="705C1DB6" w14:textId="77777777" w:rsidR="00C354C7" w:rsidRPr="00B268FB" w:rsidRDefault="00C354C7" w:rsidP="00C354C7">
            <w:pPr>
              <w:pStyle w:val="PwCNormal"/>
              <w:numPr>
                <w:ilvl w:val="0"/>
                <w:numId w:val="2"/>
              </w:numPr>
              <w:spacing w:before="60" w:after="60"/>
              <w:rPr>
                <w:rFonts w:cstheme="minorHAnsi"/>
                <w:szCs w:val="18"/>
              </w:rPr>
            </w:pPr>
            <w:r w:rsidRPr="00B268FB">
              <w:rPr>
                <w:rFonts w:cstheme="minorHAnsi"/>
                <w:b/>
                <w:bCs/>
                <w:szCs w:val="18"/>
                <w:lang w:val="en-GB"/>
              </w:rPr>
              <w:t>Existing Data</w:t>
            </w:r>
          </w:p>
        </w:tc>
        <w:tc>
          <w:tcPr>
            <w:tcW w:w="1037" w:type="pct"/>
            <w:shd w:val="clear" w:color="auto" w:fill="E5E5E5" w:themeFill="text2" w:themeFillTint="33"/>
            <w:tcMar>
              <w:top w:w="35" w:type="dxa"/>
              <w:left w:w="35" w:type="dxa"/>
              <w:bottom w:w="35" w:type="dxa"/>
              <w:right w:w="35" w:type="dxa"/>
            </w:tcMar>
            <w:vAlign w:val="center"/>
            <w:hideMark/>
          </w:tcPr>
          <w:p w14:paraId="18ECC163" w14:textId="77777777" w:rsidR="00C354C7" w:rsidRPr="00B268FB" w:rsidRDefault="00C354C7" w:rsidP="00C354C7">
            <w:pPr>
              <w:pStyle w:val="PwCNormal"/>
              <w:numPr>
                <w:ilvl w:val="0"/>
                <w:numId w:val="2"/>
              </w:numPr>
              <w:spacing w:before="60" w:after="60"/>
              <w:rPr>
                <w:rFonts w:cstheme="minorHAnsi"/>
                <w:szCs w:val="18"/>
              </w:rPr>
            </w:pPr>
            <w:r w:rsidRPr="00B268FB">
              <w:rPr>
                <w:rFonts w:cstheme="minorHAnsi"/>
                <w:b/>
                <w:bCs/>
                <w:szCs w:val="18"/>
                <w:lang w:val="en-GB"/>
              </w:rPr>
              <w:t>New Data</w:t>
            </w:r>
          </w:p>
        </w:tc>
      </w:tr>
      <w:tr w:rsidR="00C354C7" w:rsidRPr="00B268FB" w14:paraId="48605295" w14:textId="77777777" w:rsidTr="00B7284B">
        <w:tc>
          <w:tcPr>
            <w:tcW w:w="698" w:type="pct"/>
            <w:vMerge w:val="restart"/>
            <w:shd w:val="clear" w:color="auto" w:fill="auto"/>
            <w:tcMar>
              <w:top w:w="35" w:type="dxa"/>
              <w:left w:w="35" w:type="dxa"/>
              <w:bottom w:w="35" w:type="dxa"/>
              <w:right w:w="35" w:type="dxa"/>
            </w:tcMar>
            <w:hideMark/>
          </w:tcPr>
          <w:p w14:paraId="65DACE76" w14:textId="77777777" w:rsidR="00C354C7" w:rsidRPr="00B268FB" w:rsidRDefault="00C354C7" w:rsidP="00C354C7">
            <w:pPr>
              <w:pStyle w:val="PwCNormal"/>
              <w:numPr>
                <w:ilvl w:val="0"/>
                <w:numId w:val="2"/>
              </w:numPr>
              <w:spacing w:before="60" w:after="60"/>
              <w:rPr>
                <w:rFonts w:cstheme="minorHAnsi"/>
                <w:szCs w:val="18"/>
              </w:rPr>
            </w:pPr>
            <w:r w:rsidRPr="00B268FB">
              <w:rPr>
                <w:rFonts w:cstheme="minorHAnsi"/>
                <w:szCs w:val="18"/>
              </w:rPr>
              <w:t>1. How does the current IHC Program align with the Australian Governments' strategic policy to reform the ECEC? </w:t>
            </w:r>
          </w:p>
        </w:tc>
        <w:tc>
          <w:tcPr>
            <w:tcW w:w="1184" w:type="pct"/>
            <w:shd w:val="clear" w:color="auto" w:fill="auto"/>
            <w:tcMar>
              <w:top w:w="35" w:type="dxa"/>
              <w:left w:w="35" w:type="dxa"/>
              <w:bottom w:w="35" w:type="dxa"/>
              <w:right w:w="35" w:type="dxa"/>
            </w:tcMar>
            <w:vAlign w:val="center"/>
            <w:hideMark/>
          </w:tcPr>
          <w:p w14:paraId="162F7C61" w14:textId="77777777" w:rsidR="00C354C7" w:rsidRPr="00B268FB" w:rsidRDefault="00C354C7" w:rsidP="002F76ED">
            <w:pPr>
              <w:pStyle w:val="PwCNormal"/>
              <w:numPr>
                <w:ilvl w:val="0"/>
                <w:numId w:val="48"/>
              </w:numPr>
              <w:spacing w:before="60" w:after="60"/>
              <w:ind w:left="284" w:hanging="284"/>
              <w:rPr>
                <w:rFonts w:cstheme="minorHAnsi"/>
                <w:szCs w:val="18"/>
              </w:rPr>
            </w:pPr>
            <w:r w:rsidRPr="00B268FB">
              <w:rPr>
                <w:rFonts w:cstheme="minorHAnsi"/>
                <w:szCs w:val="18"/>
              </w:rPr>
              <w:t>In what ways do the current IHC objectives and structure align with policy reforms? Are these objectives clear and suitable?</w:t>
            </w:r>
          </w:p>
        </w:tc>
        <w:tc>
          <w:tcPr>
            <w:tcW w:w="1126" w:type="pct"/>
            <w:vMerge w:val="restart"/>
            <w:shd w:val="clear" w:color="auto" w:fill="auto"/>
            <w:tcMar>
              <w:top w:w="35" w:type="dxa"/>
              <w:left w:w="35" w:type="dxa"/>
              <w:bottom w:w="35" w:type="dxa"/>
              <w:right w:w="35" w:type="dxa"/>
            </w:tcMar>
            <w:hideMark/>
          </w:tcPr>
          <w:p w14:paraId="36C36437" w14:textId="77777777" w:rsidR="00C354C7" w:rsidRPr="00065F1E" w:rsidRDefault="00C354C7" w:rsidP="00D37C44">
            <w:pPr>
              <w:pStyle w:val="PwCNormal"/>
              <w:numPr>
                <w:ilvl w:val="0"/>
                <w:numId w:val="82"/>
              </w:numPr>
              <w:spacing w:before="60" w:after="60"/>
              <w:ind w:left="284" w:hanging="284"/>
              <w:rPr>
                <w:szCs w:val="18"/>
              </w:rPr>
            </w:pPr>
            <w:r w:rsidRPr="00065F1E">
              <w:rPr>
                <w:szCs w:val="18"/>
              </w:rPr>
              <w:t>Alignment of policy objectives to strategic objectives and priorities</w:t>
            </w:r>
          </w:p>
          <w:p w14:paraId="54F7D755" w14:textId="77777777" w:rsidR="007D7BF5" w:rsidRDefault="00C354C7" w:rsidP="00D37C44">
            <w:pPr>
              <w:pStyle w:val="PwCNormal"/>
              <w:numPr>
                <w:ilvl w:val="0"/>
                <w:numId w:val="82"/>
              </w:numPr>
              <w:spacing w:before="60" w:after="60"/>
              <w:ind w:left="284" w:hanging="284"/>
              <w:rPr>
                <w:szCs w:val="18"/>
              </w:rPr>
            </w:pPr>
            <w:r w:rsidRPr="00065F1E">
              <w:rPr>
                <w:szCs w:val="18"/>
              </w:rPr>
              <w:t>Demonstrated understanding of policy objectives across the IHC sector (Support Agencies, providers, etc)</w:t>
            </w:r>
          </w:p>
          <w:p w14:paraId="5B5AD6E0" w14:textId="77777777" w:rsidR="007D7BF5" w:rsidRDefault="00C354C7" w:rsidP="00D37C44">
            <w:pPr>
              <w:pStyle w:val="PwCNormal"/>
              <w:numPr>
                <w:ilvl w:val="0"/>
                <w:numId w:val="82"/>
              </w:numPr>
              <w:spacing w:before="60" w:after="60"/>
              <w:ind w:left="284" w:hanging="284"/>
              <w:rPr>
                <w:szCs w:val="18"/>
              </w:rPr>
            </w:pPr>
            <w:r w:rsidRPr="00065F1E">
              <w:rPr>
                <w:szCs w:val="18"/>
              </w:rPr>
              <w:t>The purpose of IHC is clear across the IHC sector and distinctions with other types of other care have been clarified (i.e. disability respite)</w:t>
            </w:r>
          </w:p>
          <w:p w14:paraId="36089997" w14:textId="430CC127" w:rsidR="00C354C7" w:rsidRPr="00065F1E" w:rsidRDefault="00C354C7" w:rsidP="00D37C44">
            <w:pPr>
              <w:pStyle w:val="PwCNormal"/>
              <w:numPr>
                <w:ilvl w:val="0"/>
                <w:numId w:val="82"/>
              </w:numPr>
              <w:spacing w:before="60" w:after="60"/>
              <w:ind w:left="284" w:hanging="284"/>
              <w:rPr>
                <w:szCs w:val="18"/>
              </w:rPr>
            </w:pPr>
            <w:r w:rsidRPr="00065F1E">
              <w:rPr>
                <w:szCs w:val="18"/>
              </w:rPr>
              <w:t>There are clear intersections between the IHC program and other relevant childcare initiatives and programs:</w:t>
            </w:r>
          </w:p>
          <w:p w14:paraId="5254FDF7" w14:textId="77777777" w:rsidR="007D7BF5" w:rsidRDefault="00C354C7" w:rsidP="00D37C44">
            <w:pPr>
              <w:pStyle w:val="PwCNormal"/>
              <w:numPr>
                <w:ilvl w:val="1"/>
                <w:numId w:val="49"/>
              </w:numPr>
              <w:spacing w:before="60" w:after="60"/>
              <w:ind w:left="568" w:hanging="284"/>
              <w:rPr>
                <w:rFonts w:cstheme="minorHAnsi"/>
                <w:szCs w:val="18"/>
              </w:rPr>
            </w:pPr>
            <w:r w:rsidRPr="00B268FB">
              <w:rPr>
                <w:rFonts w:cstheme="minorHAnsi"/>
                <w:szCs w:val="18"/>
              </w:rPr>
              <w:t>IHC families understand how to apply for and receive CCS (where eligible)</w:t>
            </w:r>
          </w:p>
          <w:p w14:paraId="2946210B" w14:textId="46F223D2" w:rsidR="00C354C7" w:rsidRPr="00B268FB" w:rsidRDefault="00C354C7" w:rsidP="00D37C44">
            <w:pPr>
              <w:pStyle w:val="PwCNormal"/>
              <w:numPr>
                <w:ilvl w:val="1"/>
                <w:numId w:val="49"/>
              </w:numPr>
              <w:spacing w:before="60" w:after="60"/>
              <w:ind w:left="568" w:hanging="284"/>
              <w:rPr>
                <w:rFonts w:cstheme="minorHAnsi"/>
                <w:szCs w:val="18"/>
              </w:rPr>
            </w:pPr>
            <w:r w:rsidRPr="00B268FB">
              <w:rPr>
                <w:rFonts w:cstheme="minorHAnsi"/>
                <w:szCs w:val="18"/>
              </w:rPr>
              <w:t>Support Agencies support families to find appropriate and available places in mainstream services</w:t>
            </w:r>
          </w:p>
          <w:p w14:paraId="07F97314" w14:textId="77777777" w:rsidR="007D7BF5" w:rsidRDefault="00C354C7" w:rsidP="00D37C44">
            <w:pPr>
              <w:pStyle w:val="PwCNormal"/>
              <w:numPr>
                <w:ilvl w:val="1"/>
                <w:numId w:val="49"/>
              </w:numPr>
              <w:spacing w:before="60" w:after="60"/>
              <w:ind w:left="568" w:hanging="284"/>
              <w:rPr>
                <w:rFonts w:cstheme="minorHAnsi"/>
                <w:szCs w:val="18"/>
              </w:rPr>
            </w:pPr>
            <w:r w:rsidRPr="00B268FB">
              <w:rPr>
                <w:rFonts w:cstheme="minorHAnsi"/>
                <w:szCs w:val="18"/>
              </w:rPr>
              <w:t>Support Agencies canvass with centre-based day care services to access ISP</w:t>
            </w:r>
          </w:p>
          <w:p w14:paraId="60932AA0" w14:textId="219FBBEF" w:rsidR="00C354C7" w:rsidRPr="00B268FB" w:rsidRDefault="00C354C7" w:rsidP="00D37C44">
            <w:pPr>
              <w:pStyle w:val="PwCNormal"/>
              <w:numPr>
                <w:ilvl w:val="1"/>
                <w:numId w:val="49"/>
              </w:numPr>
              <w:spacing w:before="60" w:after="60"/>
              <w:ind w:left="568" w:hanging="284"/>
              <w:rPr>
                <w:rFonts w:cstheme="minorHAnsi"/>
                <w:szCs w:val="18"/>
              </w:rPr>
            </w:pPr>
            <w:r w:rsidRPr="00B268FB">
              <w:rPr>
                <w:rFonts w:cstheme="minorHAnsi"/>
                <w:szCs w:val="18"/>
              </w:rPr>
              <w:t>Support Agencies ensure families are aware of the range of services available to them (i.e. disability support)</w:t>
            </w:r>
          </w:p>
          <w:p w14:paraId="08D735D1" w14:textId="77777777" w:rsidR="00C354C7" w:rsidRPr="00065F1E" w:rsidRDefault="00C354C7" w:rsidP="00D37C44">
            <w:pPr>
              <w:pStyle w:val="PwCNormal"/>
              <w:numPr>
                <w:ilvl w:val="0"/>
                <w:numId w:val="76"/>
              </w:numPr>
              <w:spacing w:before="60" w:after="60"/>
              <w:ind w:left="284" w:hanging="284"/>
              <w:rPr>
                <w:szCs w:val="18"/>
              </w:rPr>
            </w:pPr>
            <w:r w:rsidRPr="00065F1E">
              <w:rPr>
                <w:szCs w:val="18"/>
              </w:rPr>
              <w:t>Changes support IHC sector</w:t>
            </w:r>
          </w:p>
          <w:p w14:paraId="7F6FAFA8" w14:textId="77777777" w:rsidR="007D7BF5" w:rsidRDefault="00C354C7" w:rsidP="00D37C44">
            <w:pPr>
              <w:pStyle w:val="PwCNormal"/>
              <w:numPr>
                <w:ilvl w:val="0"/>
                <w:numId w:val="76"/>
              </w:numPr>
              <w:spacing w:before="60" w:after="60"/>
              <w:ind w:left="284" w:hanging="284"/>
              <w:rPr>
                <w:szCs w:val="18"/>
              </w:rPr>
            </w:pPr>
            <w:r w:rsidRPr="00065F1E">
              <w:rPr>
                <w:szCs w:val="18"/>
              </w:rPr>
              <w:t>Changes support IHC service viability</w:t>
            </w:r>
          </w:p>
          <w:p w14:paraId="5E8D6AA2" w14:textId="07C08309" w:rsidR="00C354C7" w:rsidRPr="00065F1E" w:rsidRDefault="00C354C7" w:rsidP="00D37C44">
            <w:pPr>
              <w:pStyle w:val="PwCNormal"/>
              <w:numPr>
                <w:ilvl w:val="0"/>
                <w:numId w:val="76"/>
              </w:numPr>
              <w:spacing w:before="60" w:after="60"/>
              <w:ind w:left="284" w:hanging="284"/>
              <w:rPr>
                <w:szCs w:val="18"/>
              </w:rPr>
            </w:pPr>
            <w:r w:rsidRPr="00065F1E">
              <w:rPr>
                <w:szCs w:val="18"/>
              </w:rPr>
              <w:t xml:space="preserve">Uptake of changes (program processes </w:t>
            </w:r>
            <w:r w:rsidRPr="00065F1E">
              <w:rPr>
                <w:szCs w:val="18"/>
              </w:rPr>
              <w:lastRenderedPageBreak/>
              <w:t>etc), supports policy objectives</w:t>
            </w:r>
          </w:p>
          <w:p w14:paraId="349CE588" w14:textId="77777777" w:rsidR="007D7BF5" w:rsidRDefault="00C354C7" w:rsidP="00D37C44">
            <w:pPr>
              <w:pStyle w:val="PwCNormal"/>
              <w:numPr>
                <w:ilvl w:val="0"/>
                <w:numId w:val="76"/>
              </w:numPr>
              <w:spacing w:before="60" w:after="60"/>
              <w:ind w:left="284" w:hanging="284"/>
              <w:rPr>
                <w:szCs w:val="18"/>
              </w:rPr>
            </w:pPr>
            <w:r w:rsidRPr="00065F1E">
              <w:rPr>
                <w:szCs w:val="18"/>
              </w:rPr>
              <w:t>Changes have been implemented consistently</w:t>
            </w:r>
          </w:p>
          <w:p w14:paraId="60E9E410" w14:textId="77777777" w:rsidR="007D7BF5" w:rsidRDefault="00C354C7" w:rsidP="00D37C44">
            <w:pPr>
              <w:pStyle w:val="PwCNormal"/>
              <w:numPr>
                <w:ilvl w:val="0"/>
                <w:numId w:val="76"/>
              </w:numPr>
              <w:spacing w:before="60" w:after="60"/>
              <w:ind w:left="284" w:hanging="284"/>
              <w:rPr>
                <w:szCs w:val="18"/>
              </w:rPr>
            </w:pPr>
            <w:r w:rsidRPr="00065F1E">
              <w:rPr>
                <w:szCs w:val="18"/>
              </w:rPr>
              <w:t>Changes support a nationally consistent program for all types of IHC families</w:t>
            </w:r>
          </w:p>
          <w:p w14:paraId="4A260844" w14:textId="021E5685" w:rsidR="00C354C7" w:rsidRPr="00B268FB" w:rsidRDefault="00C354C7" w:rsidP="00D37C44">
            <w:pPr>
              <w:pStyle w:val="PwCNormal"/>
              <w:numPr>
                <w:ilvl w:val="0"/>
                <w:numId w:val="76"/>
              </w:numPr>
              <w:spacing w:before="60" w:after="60"/>
              <w:ind w:left="284" w:hanging="284"/>
              <w:rPr>
                <w:rFonts w:cstheme="minorHAnsi"/>
                <w:szCs w:val="18"/>
              </w:rPr>
            </w:pPr>
            <w:r w:rsidRPr="00065F1E">
              <w:rPr>
                <w:szCs w:val="18"/>
              </w:rPr>
              <w:t>The policy setting supports delivery of the IHC program</w:t>
            </w:r>
          </w:p>
        </w:tc>
        <w:tc>
          <w:tcPr>
            <w:tcW w:w="955" w:type="pct"/>
            <w:vMerge w:val="restart"/>
            <w:shd w:val="clear" w:color="auto" w:fill="auto"/>
            <w:tcMar>
              <w:top w:w="35" w:type="dxa"/>
              <w:left w:w="35" w:type="dxa"/>
              <w:bottom w:w="35" w:type="dxa"/>
              <w:right w:w="35" w:type="dxa"/>
            </w:tcMar>
            <w:hideMark/>
          </w:tcPr>
          <w:p w14:paraId="3017FB29" w14:textId="77777777" w:rsidR="00C354C7" w:rsidRPr="00065F1E" w:rsidRDefault="00C354C7" w:rsidP="00D37C44">
            <w:pPr>
              <w:pStyle w:val="PwCNormal"/>
              <w:numPr>
                <w:ilvl w:val="0"/>
                <w:numId w:val="83"/>
              </w:numPr>
              <w:spacing w:before="60" w:after="60"/>
              <w:ind w:left="284" w:hanging="284"/>
              <w:rPr>
                <w:szCs w:val="18"/>
              </w:rPr>
            </w:pPr>
            <w:r w:rsidRPr="00065F1E">
              <w:rPr>
                <w:szCs w:val="18"/>
              </w:rPr>
              <w:lastRenderedPageBreak/>
              <w:t>Policy documents (original and current)</w:t>
            </w:r>
          </w:p>
          <w:p w14:paraId="14D0CD09" w14:textId="77777777" w:rsidR="007D7BF5" w:rsidRDefault="00C354C7" w:rsidP="00D37C44">
            <w:pPr>
              <w:pStyle w:val="PwCNormal"/>
              <w:numPr>
                <w:ilvl w:val="0"/>
                <w:numId w:val="83"/>
              </w:numPr>
              <w:spacing w:before="60" w:after="60"/>
              <w:ind w:left="284" w:hanging="284"/>
              <w:rPr>
                <w:szCs w:val="18"/>
              </w:rPr>
            </w:pPr>
            <w:r w:rsidRPr="00065F1E">
              <w:rPr>
                <w:szCs w:val="18"/>
              </w:rPr>
              <w:t>IHC Handbook</w:t>
            </w:r>
          </w:p>
          <w:p w14:paraId="776FA0E4" w14:textId="77777777" w:rsidR="007D7BF5" w:rsidRDefault="00C354C7" w:rsidP="00D37C44">
            <w:pPr>
              <w:pStyle w:val="PwCNormal"/>
              <w:numPr>
                <w:ilvl w:val="0"/>
                <w:numId w:val="83"/>
              </w:numPr>
              <w:spacing w:before="60" w:after="60"/>
              <w:ind w:left="284" w:hanging="284"/>
              <w:rPr>
                <w:szCs w:val="18"/>
              </w:rPr>
            </w:pPr>
            <w:r w:rsidRPr="00065F1E">
              <w:rPr>
                <w:szCs w:val="18"/>
              </w:rPr>
              <w:t>Timeline of key changes (inc. policy and implementation)</w:t>
            </w:r>
          </w:p>
          <w:p w14:paraId="0B76E24F" w14:textId="77777777" w:rsidR="007D7BF5" w:rsidRDefault="00C354C7" w:rsidP="00D37C44">
            <w:pPr>
              <w:pStyle w:val="PwCNormal"/>
              <w:numPr>
                <w:ilvl w:val="0"/>
                <w:numId w:val="83"/>
              </w:numPr>
              <w:spacing w:before="60" w:after="60"/>
              <w:ind w:left="284" w:hanging="284"/>
              <w:rPr>
                <w:szCs w:val="18"/>
              </w:rPr>
            </w:pPr>
            <w:r w:rsidRPr="00065F1E">
              <w:rPr>
                <w:szCs w:val="18"/>
              </w:rPr>
              <w:t>Program logic</w:t>
            </w:r>
          </w:p>
          <w:p w14:paraId="7BA538C4" w14:textId="77777777" w:rsidR="007D7BF5" w:rsidRDefault="00C354C7" w:rsidP="00D37C44">
            <w:pPr>
              <w:pStyle w:val="PwCNormal"/>
              <w:numPr>
                <w:ilvl w:val="0"/>
                <w:numId w:val="83"/>
              </w:numPr>
              <w:spacing w:before="60" w:after="60"/>
              <w:ind w:left="284" w:hanging="284"/>
              <w:rPr>
                <w:szCs w:val="18"/>
              </w:rPr>
            </w:pPr>
            <w:r w:rsidRPr="00065F1E">
              <w:rPr>
                <w:szCs w:val="18"/>
              </w:rPr>
              <w:t>Previous IHC Evaluation reports and reviews</w:t>
            </w:r>
          </w:p>
          <w:p w14:paraId="251281CD" w14:textId="6AD4AAB1" w:rsidR="00C354C7" w:rsidRPr="00B268FB" w:rsidRDefault="00C354C7" w:rsidP="00D37C44">
            <w:pPr>
              <w:pStyle w:val="PwCNormal"/>
              <w:numPr>
                <w:ilvl w:val="0"/>
                <w:numId w:val="83"/>
              </w:numPr>
              <w:spacing w:before="60" w:after="60"/>
              <w:ind w:left="284" w:hanging="284"/>
              <w:rPr>
                <w:rFonts w:cstheme="minorHAnsi"/>
                <w:szCs w:val="18"/>
              </w:rPr>
            </w:pPr>
            <w:r w:rsidRPr="00065F1E">
              <w:rPr>
                <w:szCs w:val="18"/>
              </w:rPr>
              <w:t>IHC Program operation manual (i.e. for Support Agencies)</w:t>
            </w:r>
            <w:r w:rsidRPr="00B268FB">
              <w:rPr>
                <w:rFonts w:cstheme="minorHAnsi"/>
                <w:szCs w:val="18"/>
                <w:lang w:val="en-GB"/>
              </w:rPr>
              <w:t> </w:t>
            </w:r>
          </w:p>
        </w:tc>
        <w:tc>
          <w:tcPr>
            <w:tcW w:w="1037" w:type="pct"/>
            <w:vMerge w:val="restart"/>
            <w:shd w:val="clear" w:color="auto" w:fill="auto"/>
            <w:tcMar>
              <w:top w:w="35" w:type="dxa"/>
              <w:left w:w="35" w:type="dxa"/>
              <w:bottom w:w="35" w:type="dxa"/>
              <w:right w:w="35" w:type="dxa"/>
            </w:tcMar>
            <w:hideMark/>
          </w:tcPr>
          <w:p w14:paraId="520A6379" w14:textId="77777777" w:rsidR="00C354C7" w:rsidRPr="00065F1E" w:rsidRDefault="00C354C7" w:rsidP="00D37C44">
            <w:pPr>
              <w:pStyle w:val="PwCNormal"/>
              <w:numPr>
                <w:ilvl w:val="0"/>
                <w:numId w:val="76"/>
              </w:numPr>
              <w:spacing w:before="60" w:after="60"/>
              <w:ind w:left="284" w:hanging="284"/>
              <w:rPr>
                <w:szCs w:val="18"/>
              </w:rPr>
            </w:pPr>
            <w:r w:rsidRPr="00065F1E">
              <w:rPr>
                <w:b/>
                <w:bCs/>
                <w:szCs w:val="18"/>
              </w:rPr>
              <w:t>Data collection interviews</w:t>
            </w:r>
            <w:r w:rsidRPr="00065F1E">
              <w:rPr>
                <w:szCs w:val="18"/>
              </w:rPr>
              <w:t xml:space="preserve"> with relevant key stakeholders including:</w:t>
            </w:r>
          </w:p>
          <w:p w14:paraId="7396F62A" w14:textId="77777777" w:rsidR="00C354C7" w:rsidRPr="00B268FB" w:rsidRDefault="00C354C7" w:rsidP="00D37C44">
            <w:pPr>
              <w:pStyle w:val="PwCNormal"/>
              <w:numPr>
                <w:ilvl w:val="1"/>
                <w:numId w:val="49"/>
              </w:numPr>
              <w:spacing w:before="60" w:after="60"/>
              <w:ind w:left="568" w:hanging="284"/>
              <w:rPr>
                <w:rFonts w:cstheme="minorHAnsi"/>
                <w:szCs w:val="18"/>
              </w:rPr>
            </w:pPr>
            <w:r w:rsidRPr="00B268FB">
              <w:rPr>
                <w:rFonts w:cstheme="minorHAnsi"/>
                <w:szCs w:val="18"/>
              </w:rPr>
              <w:t>The Department –Directors and operational staff</w:t>
            </w:r>
          </w:p>
          <w:p w14:paraId="18A0BA11" w14:textId="77777777" w:rsidR="007D7BF5" w:rsidRDefault="00C354C7" w:rsidP="00D37C44">
            <w:pPr>
              <w:pStyle w:val="PwCNormal"/>
              <w:numPr>
                <w:ilvl w:val="1"/>
                <w:numId w:val="49"/>
              </w:numPr>
              <w:spacing w:before="60" w:after="60"/>
              <w:ind w:left="568" w:hanging="284"/>
              <w:rPr>
                <w:rFonts w:cstheme="minorHAnsi"/>
                <w:szCs w:val="18"/>
              </w:rPr>
            </w:pPr>
            <w:r w:rsidRPr="00B268FB">
              <w:rPr>
                <w:rFonts w:cstheme="minorHAnsi"/>
                <w:szCs w:val="18"/>
              </w:rPr>
              <w:t>Policy officers (i.e. those related to family assistance law amendments and new policy/program areas)</w:t>
            </w:r>
          </w:p>
          <w:p w14:paraId="0D2E6834" w14:textId="0C7FA9C6" w:rsidR="00C354C7" w:rsidRPr="00B268FB" w:rsidRDefault="00C354C7" w:rsidP="00D37C44">
            <w:pPr>
              <w:pStyle w:val="PwCNormal"/>
              <w:numPr>
                <w:ilvl w:val="1"/>
                <w:numId w:val="49"/>
              </w:numPr>
              <w:spacing w:before="60" w:after="60"/>
              <w:ind w:left="568" w:hanging="284"/>
              <w:rPr>
                <w:rFonts w:cstheme="minorHAnsi"/>
                <w:szCs w:val="18"/>
              </w:rPr>
            </w:pPr>
            <w:r w:rsidRPr="00B268FB">
              <w:rPr>
                <w:rFonts w:cstheme="minorHAnsi"/>
                <w:b/>
                <w:szCs w:val="18"/>
              </w:rPr>
              <w:t>Survey</w:t>
            </w:r>
            <w:r w:rsidRPr="00B268FB">
              <w:rPr>
                <w:rFonts w:cstheme="minorHAnsi"/>
                <w:szCs w:val="18"/>
              </w:rPr>
              <w:t xml:space="preserve"> - a survey of targeted questions for IHC providers </w:t>
            </w:r>
          </w:p>
        </w:tc>
      </w:tr>
      <w:tr w:rsidR="00C354C7" w:rsidRPr="00B268FB" w14:paraId="38142A6D" w14:textId="77777777" w:rsidTr="00B7284B">
        <w:tc>
          <w:tcPr>
            <w:tcW w:w="698" w:type="pct"/>
            <w:vMerge/>
            <w:vAlign w:val="center"/>
            <w:hideMark/>
          </w:tcPr>
          <w:p w14:paraId="324CEC3E" w14:textId="77777777" w:rsidR="00C354C7" w:rsidRPr="00B268FB" w:rsidRDefault="00C354C7" w:rsidP="00C354C7">
            <w:pPr>
              <w:pStyle w:val="PwCNormal"/>
              <w:numPr>
                <w:ilvl w:val="0"/>
                <w:numId w:val="2"/>
              </w:numPr>
              <w:spacing w:before="60" w:after="60"/>
              <w:rPr>
                <w:rFonts w:cstheme="minorHAnsi"/>
                <w:szCs w:val="18"/>
              </w:rPr>
            </w:pPr>
          </w:p>
        </w:tc>
        <w:tc>
          <w:tcPr>
            <w:tcW w:w="1184" w:type="pct"/>
            <w:shd w:val="clear" w:color="auto" w:fill="auto"/>
            <w:tcMar>
              <w:top w:w="35" w:type="dxa"/>
              <w:left w:w="35" w:type="dxa"/>
              <w:bottom w:w="35" w:type="dxa"/>
              <w:right w:w="35" w:type="dxa"/>
            </w:tcMar>
            <w:vAlign w:val="center"/>
            <w:hideMark/>
          </w:tcPr>
          <w:p w14:paraId="4C0FDB0B" w14:textId="77777777" w:rsidR="00C354C7" w:rsidRPr="00B268FB" w:rsidRDefault="00C354C7" w:rsidP="001D262B">
            <w:pPr>
              <w:pStyle w:val="PwCNormal"/>
              <w:numPr>
                <w:ilvl w:val="0"/>
                <w:numId w:val="48"/>
              </w:numPr>
              <w:spacing w:before="60" w:after="60"/>
              <w:ind w:left="284" w:hanging="284"/>
              <w:rPr>
                <w:rFonts w:cstheme="minorHAnsi"/>
                <w:szCs w:val="18"/>
              </w:rPr>
            </w:pPr>
            <w:r w:rsidRPr="00B268FB">
              <w:rPr>
                <w:rFonts w:cstheme="minorHAnsi"/>
                <w:szCs w:val="18"/>
              </w:rPr>
              <w:t>Do changes in the ECEC or IHC sector adequately support the policy objectives?</w:t>
            </w:r>
          </w:p>
        </w:tc>
        <w:tc>
          <w:tcPr>
            <w:tcW w:w="1126" w:type="pct"/>
            <w:vMerge/>
            <w:vAlign w:val="center"/>
            <w:hideMark/>
          </w:tcPr>
          <w:p w14:paraId="17530AA4" w14:textId="77777777" w:rsidR="00C354C7" w:rsidRPr="00B268FB" w:rsidRDefault="00C354C7" w:rsidP="00C354C7">
            <w:pPr>
              <w:pStyle w:val="PwCNormal"/>
              <w:numPr>
                <w:ilvl w:val="0"/>
                <w:numId w:val="2"/>
              </w:numPr>
              <w:spacing w:before="60" w:after="60"/>
              <w:rPr>
                <w:rFonts w:cstheme="minorHAnsi"/>
                <w:szCs w:val="18"/>
              </w:rPr>
            </w:pPr>
          </w:p>
        </w:tc>
        <w:tc>
          <w:tcPr>
            <w:tcW w:w="955" w:type="pct"/>
            <w:vMerge/>
            <w:vAlign w:val="center"/>
            <w:hideMark/>
          </w:tcPr>
          <w:p w14:paraId="67CC00A7" w14:textId="77777777" w:rsidR="00C354C7" w:rsidRPr="00B268FB" w:rsidRDefault="00C354C7" w:rsidP="00C354C7">
            <w:pPr>
              <w:pStyle w:val="PwCNormal"/>
              <w:numPr>
                <w:ilvl w:val="0"/>
                <w:numId w:val="2"/>
              </w:numPr>
              <w:spacing w:before="60" w:after="60"/>
              <w:rPr>
                <w:rFonts w:cstheme="minorHAnsi"/>
                <w:szCs w:val="18"/>
              </w:rPr>
            </w:pPr>
          </w:p>
        </w:tc>
        <w:tc>
          <w:tcPr>
            <w:tcW w:w="1037" w:type="pct"/>
            <w:vMerge/>
            <w:vAlign w:val="center"/>
            <w:hideMark/>
          </w:tcPr>
          <w:p w14:paraId="18420706" w14:textId="77777777" w:rsidR="00C354C7" w:rsidRPr="00B268FB" w:rsidRDefault="00C354C7" w:rsidP="00C354C7">
            <w:pPr>
              <w:pStyle w:val="PwCNormal"/>
              <w:numPr>
                <w:ilvl w:val="0"/>
                <w:numId w:val="2"/>
              </w:numPr>
              <w:spacing w:before="60" w:after="60"/>
              <w:rPr>
                <w:rFonts w:cstheme="minorHAnsi"/>
                <w:szCs w:val="18"/>
              </w:rPr>
            </w:pPr>
          </w:p>
        </w:tc>
      </w:tr>
      <w:tr w:rsidR="00C354C7" w:rsidRPr="00B268FB" w14:paraId="7AB188F3" w14:textId="77777777" w:rsidTr="00B7284B">
        <w:tc>
          <w:tcPr>
            <w:tcW w:w="698" w:type="pct"/>
            <w:vMerge/>
            <w:vAlign w:val="center"/>
            <w:hideMark/>
          </w:tcPr>
          <w:p w14:paraId="78AC68BE" w14:textId="77777777" w:rsidR="00C354C7" w:rsidRPr="00B268FB" w:rsidRDefault="00C354C7" w:rsidP="00C354C7">
            <w:pPr>
              <w:pStyle w:val="PwCNormal"/>
              <w:numPr>
                <w:ilvl w:val="0"/>
                <w:numId w:val="2"/>
              </w:numPr>
              <w:spacing w:before="60" w:after="60"/>
              <w:rPr>
                <w:rFonts w:cstheme="minorHAnsi"/>
                <w:szCs w:val="18"/>
              </w:rPr>
            </w:pPr>
          </w:p>
        </w:tc>
        <w:tc>
          <w:tcPr>
            <w:tcW w:w="1184" w:type="pct"/>
            <w:shd w:val="clear" w:color="auto" w:fill="auto"/>
            <w:tcMar>
              <w:top w:w="35" w:type="dxa"/>
              <w:left w:w="35" w:type="dxa"/>
              <w:bottom w:w="35" w:type="dxa"/>
              <w:right w:w="35" w:type="dxa"/>
            </w:tcMar>
            <w:vAlign w:val="center"/>
            <w:hideMark/>
          </w:tcPr>
          <w:p w14:paraId="093B365D" w14:textId="77777777" w:rsidR="00C354C7" w:rsidRPr="00B268FB" w:rsidRDefault="00C354C7" w:rsidP="001D262B">
            <w:pPr>
              <w:pStyle w:val="PwCNormal"/>
              <w:numPr>
                <w:ilvl w:val="0"/>
                <w:numId w:val="48"/>
              </w:numPr>
              <w:spacing w:before="60" w:after="60"/>
              <w:ind w:left="284" w:hanging="284"/>
              <w:rPr>
                <w:rFonts w:cstheme="minorHAnsi"/>
                <w:szCs w:val="18"/>
              </w:rPr>
            </w:pPr>
            <w:r w:rsidRPr="00B268FB">
              <w:rPr>
                <w:rFonts w:cstheme="minorHAnsi"/>
                <w:szCs w:val="18"/>
              </w:rPr>
              <w:t>Are the current policy settings the most effective way of delivering ECEC to children who cannot access mainstream services? </w:t>
            </w:r>
          </w:p>
        </w:tc>
        <w:tc>
          <w:tcPr>
            <w:tcW w:w="1126" w:type="pct"/>
            <w:vMerge/>
            <w:vAlign w:val="center"/>
            <w:hideMark/>
          </w:tcPr>
          <w:p w14:paraId="3FA152A5" w14:textId="77777777" w:rsidR="00C354C7" w:rsidRPr="00B268FB" w:rsidRDefault="00C354C7" w:rsidP="00C354C7">
            <w:pPr>
              <w:pStyle w:val="PwCNormal"/>
              <w:numPr>
                <w:ilvl w:val="0"/>
                <w:numId w:val="2"/>
              </w:numPr>
              <w:spacing w:before="60" w:after="60"/>
              <w:rPr>
                <w:rFonts w:cstheme="minorHAnsi"/>
                <w:szCs w:val="18"/>
              </w:rPr>
            </w:pPr>
          </w:p>
        </w:tc>
        <w:tc>
          <w:tcPr>
            <w:tcW w:w="955" w:type="pct"/>
            <w:vMerge/>
            <w:vAlign w:val="center"/>
            <w:hideMark/>
          </w:tcPr>
          <w:p w14:paraId="2AEC5B02" w14:textId="77777777" w:rsidR="00C354C7" w:rsidRPr="00B268FB" w:rsidRDefault="00C354C7" w:rsidP="00C354C7">
            <w:pPr>
              <w:pStyle w:val="PwCNormal"/>
              <w:numPr>
                <w:ilvl w:val="0"/>
                <w:numId w:val="2"/>
              </w:numPr>
              <w:spacing w:before="60" w:after="60"/>
              <w:rPr>
                <w:rFonts w:cstheme="minorHAnsi"/>
                <w:szCs w:val="18"/>
              </w:rPr>
            </w:pPr>
          </w:p>
        </w:tc>
        <w:tc>
          <w:tcPr>
            <w:tcW w:w="1037" w:type="pct"/>
            <w:vMerge/>
            <w:vAlign w:val="center"/>
            <w:hideMark/>
          </w:tcPr>
          <w:p w14:paraId="486C381D" w14:textId="77777777" w:rsidR="00C354C7" w:rsidRPr="00B268FB" w:rsidRDefault="00C354C7" w:rsidP="00C354C7">
            <w:pPr>
              <w:pStyle w:val="PwCNormal"/>
              <w:numPr>
                <w:ilvl w:val="0"/>
                <w:numId w:val="2"/>
              </w:numPr>
              <w:spacing w:before="60" w:after="60"/>
              <w:rPr>
                <w:rFonts w:cstheme="minorHAnsi"/>
                <w:szCs w:val="18"/>
              </w:rPr>
            </w:pPr>
          </w:p>
        </w:tc>
      </w:tr>
      <w:tr w:rsidR="00C354C7" w:rsidRPr="00B268FB" w14:paraId="2F8E200E" w14:textId="77777777" w:rsidTr="00B7284B">
        <w:tc>
          <w:tcPr>
            <w:tcW w:w="698" w:type="pct"/>
            <w:vMerge/>
            <w:vAlign w:val="center"/>
            <w:hideMark/>
          </w:tcPr>
          <w:p w14:paraId="07DFB902" w14:textId="77777777" w:rsidR="00C354C7" w:rsidRPr="00B268FB" w:rsidRDefault="00C354C7" w:rsidP="00C354C7">
            <w:pPr>
              <w:pStyle w:val="PwCNormal"/>
              <w:numPr>
                <w:ilvl w:val="0"/>
                <w:numId w:val="2"/>
              </w:numPr>
              <w:spacing w:before="60" w:after="60"/>
              <w:rPr>
                <w:rFonts w:cstheme="minorHAnsi"/>
                <w:szCs w:val="18"/>
              </w:rPr>
            </w:pPr>
          </w:p>
        </w:tc>
        <w:tc>
          <w:tcPr>
            <w:tcW w:w="1184" w:type="pct"/>
            <w:shd w:val="clear" w:color="auto" w:fill="auto"/>
            <w:tcMar>
              <w:top w:w="35" w:type="dxa"/>
              <w:left w:w="35" w:type="dxa"/>
              <w:bottom w:w="35" w:type="dxa"/>
              <w:right w:w="35" w:type="dxa"/>
            </w:tcMar>
            <w:hideMark/>
          </w:tcPr>
          <w:p w14:paraId="2CC93667" w14:textId="2589BC55" w:rsidR="00C354C7" w:rsidRPr="00B268FB" w:rsidRDefault="00C354C7" w:rsidP="001D262B">
            <w:pPr>
              <w:pStyle w:val="PwCNormal"/>
              <w:numPr>
                <w:ilvl w:val="0"/>
                <w:numId w:val="48"/>
              </w:numPr>
              <w:spacing w:before="60" w:after="60"/>
              <w:ind w:left="284" w:hanging="284"/>
              <w:rPr>
                <w:rFonts w:cstheme="minorHAnsi"/>
                <w:szCs w:val="18"/>
              </w:rPr>
            </w:pPr>
            <w:r w:rsidRPr="00B268FB">
              <w:rPr>
                <w:rFonts w:cstheme="minorHAnsi"/>
                <w:szCs w:val="18"/>
              </w:rPr>
              <w:t>What are the causes of any unintended consequences, positive or negative of the IHC program?</w:t>
            </w:r>
            <w:r w:rsidR="0036642F">
              <w:rPr>
                <w:rFonts w:cstheme="minorHAnsi"/>
                <w:szCs w:val="18"/>
              </w:rPr>
              <w:t xml:space="preserve"> </w:t>
            </w:r>
          </w:p>
        </w:tc>
        <w:tc>
          <w:tcPr>
            <w:tcW w:w="1126" w:type="pct"/>
            <w:vMerge/>
            <w:vAlign w:val="center"/>
            <w:hideMark/>
          </w:tcPr>
          <w:p w14:paraId="3E38DB7E" w14:textId="77777777" w:rsidR="00C354C7" w:rsidRPr="00B268FB" w:rsidRDefault="00C354C7" w:rsidP="00C354C7">
            <w:pPr>
              <w:pStyle w:val="PwCNormal"/>
              <w:numPr>
                <w:ilvl w:val="0"/>
                <w:numId w:val="2"/>
              </w:numPr>
              <w:spacing w:before="60" w:after="60"/>
              <w:rPr>
                <w:rFonts w:cstheme="minorHAnsi"/>
                <w:szCs w:val="18"/>
              </w:rPr>
            </w:pPr>
          </w:p>
        </w:tc>
        <w:tc>
          <w:tcPr>
            <w:tcW w:w="955" w:type="pct"/>
            <w:vMerge/>
            <w:vAlign w:val="center"/>
            <w:hideMark/>
          </w:tcPr>
          <w:p w14:paraId="264954F4" w14:textId="77777777" w:rsidR="00C354C7" w:rsidRPr="00B268FB" w:rsidRDefault="00C354C7" w:rsidP="00C354C7">
            <w:pPr>
              <w:pStyle w:val="PwCNormal"/>
              <w:numPr>
                <w:ilvl w:val="0"/>
                <w:numId w:val="2"/>
              </w:numPr>
              <w:spacing w:before="60" w:after="60"/>
              <w:rPr>
                <w:rFonts w:cstheme="minorHAnsi"/>
                <w:szCs w:val="18"/>
              </w:rPr>
            </w:pPr>
          </w:p>
        </w:tc>
        <w:tc>
          <w:tcPr>
            <w:tcW w:w="1037" w:type="pct"/>
            <w:vMerge/>
            <w:vAlign w:val="center"/>
            <w:hideMark/>
          </w:tcPr>
          <w:p w14:paraId="664CE8DC" w14:textId="77777777" w:rsidR="00C354C7" w:rsidRPr="00B268FB" w:rsidRDefault="00C354C7" w:rsidP="00C354C7">
            <w:pPr>
              <w:pStyle w:val="PwCNormal"/>
              <w:numPr>
                <w:ilvl w:val="0"/>
                <w:numId w:val="2"/>
              </w:numPr>
              <w:spacing w:before="60" w:after="60"/>
              <w:rPr>
                <w:rFonts w:cstheme="minorHAnsi"/>
                <w:szCs w:val="18"/>
              </w:rPr>
            </w:pPr>
          </w:p>
        </w:tc>
      </w:tr>
    </w:tbl>
    <w:p w14:paraId="36057936" w14:textId="718EDB95" w:rsidR="00887EFD" w:rsidRDefault="00D37C44">
      <w:pPr>
        <w:spacing w:before="0" w:line="281" w:lineRule="auto"/>
      </w:pPr>
      <w:r>
        <w:tab/>
      </w:r>
    </w:p>
    <w:tbl>
      <w:tblPr>
        <w:tblW w:w="5000" w:type="pct"/>
        <w:tblBorders>
          <w:bottom w:val="single" w:sz="4" w:space="0" w:color="D04A02" w:themeColor="accent1"/>
        </w:tblBorders>
        <w:tblCellMar>
          <w:left w:w="0" w:type="dxa"/>
          <w:right w:w="0" w:type="dxa"/>
        </w:tblCellMar>
        <w:tblLook w:val="0600" w:firstRow="0" w:lastRow="0" w:firstColumn="0" w:lastColumn="0" w:noHBand="1" w:noVBand="1"/>
      </w:tblPr>
      <w:tblGrid>
        <w:gridCol w:w="1087"/>
        <w:gridCol w:w="1525"/>
        <w:gridCol w:w="2161"/>
        <w:gridCol w:w="2687"/>
        <w:gridCol w:w="2291"/>
      </w:tblGrid>
      <w:tr w:rsidR="00C354C7" w:rsidRPr="00DA13B5" w14:paraId="78547CDD" w14:textId="77777777" w:rsidTr="00A60A43">
        <w:trPr>
          <w:tblHeader/>
        </w:trPr>
        <w:tc>
          <w:tcPr>
            <w:tcW w:w="5000" w:type="pct"/>
            <w:gridSpan w:val="5"/>
            <w:shd w:val="clear" w:color="auto" w:fill="D04A02" w:themeFill="accent1"/>
            <w:tcMar>
              <w:top w:w="28" w:type="dxa"/>
              <w:left w:w="57" w:type="dxa"/>
              <w:bottom w:w="28" w:type="dxa"/>
              <w:right w:w="57" w:type="dxa"/>
            </w:tcMar>
            <w:hideMark/>
          </w:tcPr>
          <w:p w14:paraId="4BB84C50" w14:textId="77777777" w:rsidR="00C354C7" w:rsidRPr="00DA13B5" w:rsidRDefault="00C354C7" w:rsidP="00C354C7">
            <w:pPr>
              <w:pStyle w:val="PwCNormal"/>
              <w:numPr>
                <w:ilvl w:val="0"/>
                <w:numId w:val="2"/>
              </w:numPr>
              <w:spacing w:before="60" w:after="60"/>
              <w:rPr>
                <w:color w:val="FFFFFF" w:themeColor="background1"/>
                <w:szCs w:val="18"/>
              </w:rPr>
            </w:pPr>
            <w:r w:rsidRPr="00DA13B5">
              <w:rPr>
                <w:b/>
                <w:bCs/>
                <w:color w:val="FFFFFF" w:themeColor="background1"/>
                <w:szCs w:val="18"/>
                <w:lang w:val="en-US"/>
              </w:rPr>
              <w:t>Review of the IHC Program – current state analysis</w:t>
            </w:r>
          </w:p>
        </w:tc>
      </w:tr>
      <w:tr w:rsidR="00C354C7" w:rsidRPr="00DA13B5" w14:paraId="285B0B9F" w14:textId="77777777" w:rsidTr="00A60A43">
        <w:trPr>
          <w:tblHeader/>
        </w:trPr>
        <w:tc>
          <w:tcPr>
            <w:tcW w:w="557" w:type="pct"/>
            <w:vMerge w:val="restart"/>
            <w:shd w:val="clear" w:color="auto" w:fill="E5E5E5" w:themeFill="text2" w:themeFillTint="33"/>
            <w:tcMar>
              <w:top w:w="28" w:type="dxa"/>
              <w:left w:w="57" w:type="dxa"/>
              <w:bottom w:w="28" w:type="dxa"/>
              <w:right w:w="57" w:type="dxa"/>
            </w:tcMar>
            <w:vAlign w:val="center"/>
            <w:hideMark/>
          </w:tcPr>
          <w:p w14:paraId="5C472863" w14:textId="77777777" w:rsidR="00C354C7" w:rsidRPr="00DA13B5" w:rsidRDefault="00C354C7" w:rsidP="00C354C7">
            <w:pPr>
              <w:pStyle w:val="PwCNormal"/>
              <w:numPr>
                <w:ilvl w:val="0"/>
                <w:numId w:val="2"/>
              </w:numPr>
              <w:spacing w:before="60" w:after="60"/>
              <w:rPr>
                <w:szCs w:val="18"/>
              </w:rPr>
            </w:pPr>
            <w:r w:rsidRPr="00DA13B5">
              <w:rPr>
                <w:b/>
                <w:bCs/>
                <w:szCs w:val="18"/>
                <w:lang w:val="en-GB"/>
              </w:rPr>
              <w:t>Key evaluation question</w:t>
            </w:r>
          </w:p>
        </w:tc>
        <w:tc>
          <w:tcPr>
            <w:tcW w:w="782" w:type="pct"/>
            <w:vMerge w:val="restart"/>
            <w:shd w:val="clear" w:color="auto" w:fill="E5E5E5" w:themeFill="text2" w:themeFillTint="33"/>
            <w:tcMar>
              <w:top w:w="28" w:type="dxa"/>
              <w:left w:w="57" w:type="dxa"/>
              <w:bottom w:w="28" w:type="dxa"/>
              <w:right w:w="57" w:type="dxa"/>
            </w:tcMar>
            <w:vAlign w:val="center"/>
            <w:hideMark/>
          </w:tcPr>
          <w:p w14:paraId="30E552C7" w14:textId="77777777" w:rsidR="00C354C7" w:rsidRPr="00DA13B5" w:rsidRDefault="00C354C7" w:rsidP="00C354C7">
            <w:pPr>
              <w:pStyle w:val="PwCNormal"/>
              <w:numPr>
                <w:ilvl w:val="0"/>
                <w:numId w:val="2"/>
              </w:numPr>
              <w:spacing w:before="60" w:after="60"/>
              <w:rPr>
                <w:szCs w:val="18"/>
              </w:rPr>
            </w:pPr>
            <w:r w:rsidRPr="00DA13B5">
              <w:rPr>
                <w:b/>
                <w:bCs/>
                <w:szCs w:val="18"/>
                <w:lang w:val="en-US"/>
              </w:rPr>
              <w:t>Lines of Inquiry</w:t>
            </w:r>
          </w:p>
        </w:tc>
        <w:tc>
          <w:tcPr>
            <w:tcW w:w="1108" w:type="pct"/>
            <w:vMerge w:val="restart"/>
            <w:shd w:val="clear" w:color="auto" w:fill="E5E5E5" w:themeFill="text2" w:themeFillTint="33"/>
            <w:tcMar>
              <w:top w:w="28" w:type="dxa"/>
              <w:left w:w="57" w:type="dxa"/>
              <w:bottom w:w="28" w:type="dxa"/>
              <w:right w:w="57" w:type="dxa"/>
            </w:tcMar>
            <w:vAlign w:val="center"/>
            <w:hideMark/>
          </w:tcPr>
          <w:p w14:paraId="68A57CF3" w14:textId="77777777" w:rsidR="00C354C7" w:rsidRPr="00DA13B5" w:rsidRDefault="00C354C7" w:rsidP="00C354C7">
            <w:pPr>
              <w:pStyle w:val="PwCNormal"/>
              <w:numPr>
                <w:ilvl w:val="0"/>
                <w:numId w:val="2"/>
              </w:numPr>
              <w:spacing w:before="60" w:after="60"/>
              <w:rPr>
                <w:szCs w:val="18"/>
              </w:rPr>
            </w:pPr>
            <w:r w:rsidRPr="00DA13B5">
              <w:rPr>
                <w:b/>
                <w:bCs/>
                <w:szCs w:val="18"/>
                <w:lang w:val="en-GB"/>
              </w:rPr>
              <w:t>Indicators</w:t>
            </w:r>
          </w:p>
        </w:tc>
        <w:tc>
          <w:tcPr>
            <w:tcW w:w="2553" w:type="pct"/>
            <w:gridSpan w:val="2"/>
            <w:shd w:val="clear" w:color="auto" w:fill="464646" w:themeFill="accent6"/>
            <w:tcMar>
              <w:top w:w="28" w:type="dxa"/>
              <w:left w:w="57" w:type="dxa"/>
              <w:bottom w:w="28" w:type="dxa"/>
              <w:right w:w="57" w:type="dxa"/>
            </w:tcMar>
            <w:vAlign w:val="center"/>
            <w:hideMark/>
          </w:tcPr>
          <w:p w14:paraId="2FB75C42" w14:textId="77777777" w:rsidR="00C354C7" w:rsidRPr="00DA13B5" w:rsidRDefault="00C354C7" w:rsidP="00B7284B">
            <w:pPr>
              <w:pStyle w:val="PwCNormal"/>
              <w:numPr>
                <w:ilvl w:val="0"/>
                <w:numId w:val="2"/>
              </w:numPr>
              <w:spacing w:before="60" w:after="60"/>
              <w:jc w:val="center"/>
              <w:rPr>
                <w:szCs w:val="18"/>
              </w:rPr>
            </w:pPr>
            <w:r w:rsidRPr="00B7284B">
              <w:rPr>
                <w:b/>
                <w:bCs/>
                <w:color w:val="FFFFFF" w:themeColor="background1"/>
                <w:szCs w:val="18"/>
                <w:lang w:val="en-GB"/>
              </w:rPr>
              <w:t>Data Source</w:t>
            </w:r>
          </w:p>
        </w:tc>
      </w:tr>
      <w:tr w:rsidR="00C354C7" w:rsidRPr="00DA13B5" w14:paraId="3610E7B5" w14:textId="77777777" w:rsidTr="00A60A43">
        <w:trPr>
          <w:tblHeader/>
        </w:trPr>
        <w:tc>
          <w:tcPr>
            <w:tcW w:w="557" w:type="pct"/>
            <w:vMerge/>
            <w:shd w:val="clear" w:color="auto" w:fill="E5E5E5" w:themeFill="text2" w:themeFillTint="33"/>
            <w:tcMar>
              <w:top w:w="28" w:type="dxa"/>
              <w:left w:w="57" w:type="dxa"/>
              <w:bottom w:w="28" w:type="dxa"/>
              <w:right w:w="57" w:type="dxa"/>
            </w:tcMar>
            <w:vAlign w:val="center"/>
            <w:hideMark/>
          </w:tcPr>
          <w:p w14:paraId="47D99CB7" w14:textId="77777777" w:rsidR="00C354C7" w:rsidRPr="00DA13B5" w:rsidRDefault="00C354C7" w:rsidP="00C354C7">
            <w:pPr>
              <w:pStyle w:val="PwCNormal"/>
              <w:numPr>
                <w:ilvl w:val="0"/>
                <w:numId w:val="2"/>
              </w:numPr>
              <w:spacing w:before="60" w:after="60"/>
              <w:rPr>
                <w:szCs w:val="18"/>
              </w:rPr>
            </w:pPr>
          </w:p>
        </w:tc>
        <w:tc>
          <w:tcPr>
            <w:tcW w:w="782" w:type="pct"/>
            <w:vMerge/>
            <w:shd w:val="clear" w:color="auto" w:fill="E5E5E5" w:themeFill="text2" w:themeFillTint="33"/>
            <w:tcMar>
              <w:top w:w="28" w:type="dxa"/>
              <w:left w:w="57" w:type="dxa"/>
              <w:bottom w:w="28" w:type="dxa"/>
              <w:right w:w="57" w:type="dxa"/>
            </w:tcMar>
            <w:vAlign w:val="center"/>
            <w:hideMark/>
          </w:tcPr>
          <w:p w14:paraId="025DFD0A" w14:textId="77777777" w:rsidR="00C354C7" w:rsidRPr="00DA13B5" w:rsidRDefault="00C354C7" w:rsidP="00C354C7">
            <w:pPr>
              <w:pStyle w:val="PwCNormal"/>
              <w:numPr>
                <w:ilvl w:val="0"/>
                <w:numId w:val="2"/>
              </w:numPr>
              <w:spacing w:before="60" w:after="60"/>
              <w:rPr>
                <w:szCs w:val="18"/>
              </w:rPr>
            </w:pPr>
          </w:p>
        </w:tc>
        <w:tc>
          <w:tcPr>
            <w:tcW w:w="1108" w:type="pct"/>
            <w:vMerge/>
            <w:shd w:val="clear" w:color="auto" w:fill="E5E5E5" w:themeFill="text2" w:themeFillTint="33"/>
            <w:tcMar>
              <w:top w:w="28" w:type="dxa"/>
              <w:left w:w="57" w:type="dxa"/>
              <w:bottom w:w="28" w:type="dxa"/>
              <w:right w:w="57" w:type="dxa"/>
            </w:tcMar>
            <w:vAlign w:val="center"/>
            <w:hideMark/>
          </w:tcPr>
          <w:p w14:paraId="6AC112F7" w14:textId="77777777" w:rsidR="00C354C7" w:rsidRPr="00DA13B5" w:rsidRDefault="00C354C7" w:rsidP="00C354C7">
            <w:pPr>
              <w:pStyle w:val="PwCNormal"/>
              <w:numPr>
                <w:ilvl w:val="0"/>
                <w:numId w:val="2"/>
              </w:numPr>
              <w:spacing w:before="60" w:after="60"/>
              <w:rPr>
                <w:szCs w:val="18"/>
              </w:rPr>
            </w:pPr>
          </w:p>
        </w:tc>
        <w:tc>
          <w:tcPr>
            <w:tcW w:w="1378" w:type="pct"/>
            <w:shd w:val="clear" w:color="auto" w:fill="E5E5E5" w:themeFill="text2" w:themeFillTint="33"/>
            <w:tcMar>
              <w:top w:w="28" w:type="dxa"/>
              <w:left w:w="57" w:type="dxa"/>
              <w:bottom w:w="28" w:type="dxa"/>
              <w:right w:w="57" w:type="dxa"/>
            </w:tcMar>
            <w:vAlign w:val="center"/>
            <w:hideMark/>
          </w:tcPr>
          <w:p w14:paraId="0C017FA1" w14:textId="77777777" w:rsidR="00C354C7" w:rsidRPr="00DA13B5" w:rsidRDefault="00C354C7" w:rsidP="00C354C7">
            <w:pPr>
              <w:pStyle w:val="PwCNormal"/>
              <w:numPr>
                <w:ilvl w:val="0"/>
                <w:numId w:val="2"/>
              </w:numPr>
              <w:spacing w:before="60" w:after="60"/>
              <w:rPr>
                <w:szCs w:val="18"/>
              </w:rPr>
            </w:pPr>
            <w:r w:rsidRPr="00DA13B5">
              <w:rPr>
                <w:b/>
                <w:bCs/>
                <w:szCs w:val="18"/>
                <w:lang w:val="en-GB"/>
              </w:rPr>
              <w:t>Existing Data</w:t>
            </w:r>
          </w:p>
        </w:tc>
        <w:tc>
          <w:tcPr>
            <w:tcW w:w="1176" w:type="pct"/>
            <w:shd w:val="clear" w:color="auto" w:fill="E5E5E5" w:themeFill="text2" w:themeFillTint="33"/>
            <w:tcMar>
              <w:top w:w="28" w:type="dxa"/>
              <w:left w:w="57" w:type="dxa"/>
              <w:bottom w:w="28" w:type="dxa"/>
              <w:right w:w="57" w:type="dxa"/>
            </w:tcMar>
            <w:vAlign w:val="center"/>
            <w:hideMark/>
          </w:tcPr>
          <w:p w14:paraId="3089EB34" w14:textId="77777777" w:rsidR="00C354C7" w:rsidRPr="00DA13B5" w:rsidRDefault="00C354C7" w:rsidP="00C354C7">
            <w:pPr>
              <w:pStyle w:val="PwCNormal"/>
              <w:numPr>
                <w:ilvl w:val="0"/>
                <w:numId w:val="2"/>
              </w:numPr>
              <w:spacing w:before="60" w:after="60"/>
              <w:rPr>
                <w:szCs w:val="18"/>
              </w:rPr>
            </w:pPr>
            <w:r w:rsidRPr="00DA13B5">
              <w:rPr>
                <w:b/>
                <w:bCs/>
                <w:szCs w:val="18"/>
                <w:lang w:val="en-GB"/>
              </w:rPr>
              <w:t>New Data</w:t>
            </w:r>
          </w:p>
        </w:tc>
      </w:tr>
      <w:tr w:rsidR="00C354C7" w:rsidRPr="00DA13B5" w14:paraId="1FDC1E59" w14:textId="77777777" w:rsidTr="00A60A43">
        <w:tc>
          <w:tcPr>
            <w:tcW w:w="557" w:type="pct"/>
            <w:vMerge w:val="restart"/>
            <w:shd w:val="clear" w:color="auto" w:fill="auto"/>
            <w:tcMar>
              <w:top w:w="28" w:type="dxa"/>
              <w:left w:w="57" w:type="dxa"/>
              <w:bottom w:w="28" w:type="dxa"/>
              <w:right w:w="57" w:type="dxa"/>
            </w:tcMar>
            <w:hideMark/>
          </w:tcPr>
          <w:p w14:paraId="4195DEF9" w14:textId="77777777" w:rsidR="00C354C7" w:rsidRPr="00DA13B5" w:rsidRDefault="00C354C7" w:rsidP="00C354C7">
            <w:pPr>
              <w:pStyle w:val="PwCNormal"/>
              <w:numPr>
                <w:ilvl w:val="0"/>
                <w:numId w:val="2"/>
              </w:numPr>
              <w:spacing w:before="60" w:after="60"/>
              <w:rPr>
                <w:szCs w:val="18"/>
              </w:rPr>
            </w:pPr>
            <w:r w:rsidRPr="00DA13B5">
              <w:rPr>
                <w:szCs w:val="18"/>
                <w:lang w:val="en-US"/>
              </w:rPr>
              <w:t>2. What is the demand for the IHC program? </w:t>
            </w:r>
          </w:p>
        </w:tc>
        <w:tc>
          <w:tcPr>
            <w:tcW w:w="782" w:type="pct"/>
            <w:shd w:val="clear" w:color="auto" w:fill="auto"/>
            <w:tcMar>
              <w:top w:w="28" w:type="dxa"/>
              <w:left w:w="57" w:type="dxa"/>
              <w:bottom w:w="28" w:type="dxa"/>
              <w:right w:w="57" w:type="dxa"/>
            </w:tcMar>
            <w:vAlign w:val="center"/>
            <w:hideMark/>
          </w:tcPr>
          <w:p w14:paraId="2D97D697" w14:textId="77777777" w:rsidR="00C354C7" w:rsidRPr="00DA13B5" w:rsidRDefault="00C354C7" w:rsidP="001D262B">
            <w:pPr>
              <w:pStyle w:val="PwCNormal"/>
              <w:numPr>
                <w:ilvl w:val="0"/>
                <w:numId w:val="50"/>
              </w:numPr>
              <w:spacing w:before="60" w:after="60"/>
              <w:ind w:left="284" w:hanging="284"/>
              <w:rPr>
                <w:szCs w:val="18"/>
              </w:rPr>
            </w:pPr>
            <w:r w:rsidRPr="00DA13B5">
              <w:rPr>
                <w:szCs w:val="18"/>
              </w:rPr>
              <w:t>Has the demand changed since the introduction of the current IHC program? </w:t>
            </w:r>
          </w:p>
        </w:tc>
        <w:tc>
          <w:tcPr>
            <w:tcW w:w="1108" w:type="pct"/>
            <w:vMerge w:val="restart"/>
            <w:shd w:val="clear" w:color="auto" w:fill="auto"/>
            <w:tcMar>
              <w:top w:w="28" w:type="dxa"/>
              <w:left w:w="57" w:type="dxa"/>
              <w:bottom w:w="28" w:type="dxa"/>
              <w:right w:w="57" w:type="dxa"/>
            </w:tcMar>
            <w:hideMark/>
          </w:tcPr>
          <w:p w14:paraId="35103A6B" w14:textId="77777777" w:rsidR="00C354C7" w:rsidRPr="00065F1E" w:rsidRDefault="00C354C7" w:rsidP="00A60A43">
            <w:pPr>
              <w:pStyle w:val="PwCNormal"/>
              <w:numPr>
                <w:ilvl w:val="0"/>
                <w:numId w:val="76"/>
              </w:numPr>
              <w:spacing w:before="60" w:after="60"/>
              <w:ind w:left="284" w:hanging="284"/>
              <w:rPr>
                <w:szCs w:val="18"/>
              </w:rPr>
            </w:pPr>
            <w:r w:rsidRPr="00065F1E">
              <w:rPr>
                <w:szCs w:val="18"/>
              </w:rPr>
              <w:t>Demand has changed (increased or decreased) in line with introduction of the current program</w:t>
            </w:r>
          </w:p>
          <w:p w14:paraId="4A9DF35C" w14:textId="77777777" w:rsidR="00C354C7" w:rsidRPr="00065F1E" w:rsidRDefault="00C354C7" w:rsidP="00A60A43">
            <w:pPr>
              <w:pStyle w:val="PwCNormal"/>
              <w:numPr>
                <w:ilvl w:val="0"/>
                <w:numId w:val="76"/>
              </w:numPr>
              <w:spacing w:before="60" w:after="60"/>
              <w:ind w:left="284" w:hanging="284"/>
              <w:rPr>
                <w:szCs w:val="18"/>
              </w:rPr>
            </w:pPr>
            <w:r w:rsidRPr="00065F1E">
              <w:rPr>
                <w:szCs w:val="18"/>
              </w:rPr>
              <w:t>The current IHC program is meeting (or has reduced) demand for all types of IHC families</w:t>
            </w:r>
          </w:p>
          <w:p w14:paraId="7CB2759D" w14:textId="77777777" w:rsidR="007D7BF5" w:rsidRDefault="00C354C7" w:rsidP="00A60A43">
            <w:pPr>
              <w:pStyle w:val="PwCNormal"/>
              <w:numPr>
                <w:ilvl w:val="0"/>
                <w:numId w:val="76"/>
              </w:numPr>
              <w:spacing w:before="60" w:after="60"/>
              <w:ind w:left="284" w:hanging="284"/>
              <w:rPr>
                <w:szCs w:val="18"/>
              </w:rPr>
            </w:pPr>
            <w:r w:rsidRPr="00065F1E">
              <w:rPr>
                <w:szCs w:val="18"/>
              </w:rPr>
              <w:t>Future demand projections for all types of IHC families</w:t>
            </w:r>
          </w:p>
          <w:p w14:paraId="6A5A9BBD" w14:textId="690EED4C" w:rsidR="00C354C7" w:rsidRPr="00DA13B5" w:rsidRDefault="00C354C7" w:rsidP="00A60A43">
            <w:pPr>
              <w:pStyle w:val="PwCNormal"/>
              <w:numPr>
                <w:ilvl w:val="0"/>
                <w:numId w:val="76"/>
              </w:numPr>
              <w:spacing w:before="60" w:after="60"/>
              <w:ind w:left="284" w:hanging="284"/>
              <w:rPr>
                <w:szCs w:val="18"/>
              </w:rPr>
            </w:pPr>
            <w:r w:rsidRPr="00065F1E">
              <w:rPr>
                <w:szCs w:val="18"/>
              </w:rPr>
              <w:t>Broader ECEC employment trends that may drive demand and supply</w:t>
            </w:r>
          </w:p>
        </w:tc>
        <w:tc>
          <w:tcPr>
            <w:tcW w:w="1378" w:type="pct"/>
            <w:vMerge w:val="restart"/>
            <w:shd w:val="clear" w:color="auto" w:fill="auto"/>
            <w:tcMar>
              <w:top w:w="28" w:type="dxa"/>
              <w:left w:w="57" w:type="dxa"/>
              <w:bottom w:w="28" w:type="dxa"/>
              <w:right w:w="57" w:type="dxa"/>
            </w:tcMar>
            <w:hideMark/>
          </w:tcPr>
          <w:p w14:paraId="31158F82" w14:textId="77777777" w:rsidR="00C354C7" w:rsidRPr="00065F1E" w:rsidRDefault="00C354C7" w:rsidP="00A60A43">
            <w:pPr>
              <w:pStyle w:val="PwCNormal"/>
              <w:numPr>
                <w:ilvl w:val="0"/>
                <w:numId w:val="76"/>
              </w:numPr>
              <w:spacing w:before="60" w:after="60"/>
              <w:ind w:left="284" w:hanging="284"/>
              <w:rPr>
                <w:szCs w:val="18"/>
              </w:rPr>
            </w:pPr>
            <w:r w:rsidRPr="00065F1E">
              <w:rPr>
                <w:szCs w:val="18"/>
              </w:rPr>
              <w:t>Administrative data (inc. program data held by the department and IHC Support Agencies) including program financial information</w:t>
            </w:r>
          </w:p>
          <w:p w14:paraId="232F2CA5" w14:textId="77777777" w:rsidR="00C354C7" w:rsidRPr="00065F1E" w:rsidRDefault="00C354C7" w:rsidP="00A60A43">
            <w:pPr>
              <w:pStyle w:val="PwCNormal"/>
              <w:numPr>
                <w:ilvl w:val="0"/>
                <w:numId w:val="76"/>
              </w:numPr>
              <w:spacing w:before="60" w:after="60"/>
              <w:ind w:left="284" w:hanging="284"/>
              <w:rPr>
                <w:szCs w:val="18"/>
              </w:rPr>
            </w:pPr>
            <w:r w:rsidRPr="00065F1E">
              <w:rPr>
                <w:szCs w:val="18"/>
              </w:rPr>
              <w:t>IHC Services Quarterly data</w:t>
            </w:r>
          </w:p>
          <w:p w14:paraId="58E666D5" w14:textId="77777777" w:rsidR="007D7BF5" w:rsidRDefault="00C354C7" w:rsidP="00A60A43">
            <w:pPr>
              <w:pStyle w:val="PwCNormal"/>
              <w:numPr>
                <w:ilvl w:val="0"/>
                <w:numId w:val="76"/>
              </w:numPr>
              <w:spacing w:before="60" w:after="60"/>
              <w:ind w:left="284" w:hanging="284"/>
              <w:rPr>
                <w:szCs w:val="18"/>
              </w:rPr>
            </w:pPr>
            <w:r w:rsidRPr="00065F1E">
              <w:rPr>
                <w:szCs w:val="18"/>
              </w:rPr>
              <w:t>Previous IHC Evaluation reports and reviews</w:t>
            </w:r>
          </w:p>
          <w:p w14:paraId="207FF4DF" w14:textId="77777777" w:rsidR="007D7BF5" w:rsidRDefault="00C354C7" w:rsidP="00A60A43">
            <w:pPr>
              <w:pStyle w:val="PwCNormal"/>
              <w:numPr>
                <w:ilvl w:val="0"/>
                <w:numId w:val="76"/>
              </w:numPr>
              <w:spacing w:before="60" w:after="60"/>
              <w:ind w:left="284" w:hanging="284"/>
              <w:rPr>
                <w:szCs w:val="18"/>
              </w:rPr>
            </w:pPr>
            <w:r w:rsidRPr="00065F1E">
              <w:rPr>
                <w:szCs w:val="18"/>
              </w:rPr>
              <w:t>Publicly accessible reports (i.e. FIFO, industry assistance programs)</w:t>
            </w:r>
          </w:p>
          <w:p w14:paraId="714F41B8" w14:textId="1A03D7F1" w:rsidR="00C354C7" w:rsidRPr="00DA13B5" w:rsidRDefault="00C354C7" w:rsidP="00A60A43">
            <w:pPr>
              <w:pStyle w:val="PwCNormal"/>
              <w:numPr>
                <w:ilvl w:val="0"/>
                <w:numId w:val="76"/>
              </w:numPr>
              <w:spacing w:before="60" w:after="60"/>
              <w:ind w:left="284" w:hanging="284"/>
              <w:rPr>
                <w:szCs w:val="18"/>
              </w:rPr>
            </w:pPr>
            <w:r w:rsidRPr="00065F1E">
              <w:rPr>
                <w:szCs w:val="18"/>
              </w:rPr>
              <w:t>Proxy data, including ABS: population data: (i.e. population under 5 in rural areas); income data (i.e. average income in remote communities), workforce data (FIFO, emergency services, shift workers, disability data), CPI information</w:t>
            </w:r>
          </w:p>
        </w:tc>
        <w:tc>
          <w:tcPr>
            <w:tcW w:w="1176" w:type="pct"/>
            <w:vMerge w:val="restart"/>
            <w:shd w:val="clear" w:color="auto" w:fill="auto"/>
            <w:tcMar>
              <w:top w:w="28" w:type="dxa"/>
              <w:left w:w="57" w:type="dxa"/>
              <w:bottom w:w="28" w:type="dxa"/>
              <w:right w:w="57" w:type="dxa"/>
            </w:tcMar>
            <w:hideMark/>
          </w:tcPr>
          <w:p w14:paraId="5C33D877" w14:textId="77777777" w:rsidR="007D7BF5" w:rsidRDefault="00C354C7" w:rsidP="00A60A43">
            <w:pPr>
              <w:pStyle w:val="PwCNormal"/>
              <w:numPr>
                <w:ilvl w:val="0"/>
                <w:numId w:val="76"/>
              </w:numPr>
              <w:spacing w:before="60" w:after="60"/>
              <w:ind w:left="284" w:hanging="284"/>
              <w:rPr>
                <w:szCs w:val="18"/>
              </w:rPr>
            </w:pPr>
            <w:r w:rsidRPr="00DA13B5">
              <w:rPr>
                <w:b/>
                <w:bCs/>
                <w:szCs w:val="18"/>
              </w:rPr>
              <w:t xml:space="preserve">Desktop review </w:t>
            </w:r>
            <w:r w:rsidRPr="00DA13B5">
              <w:rPr>
                <w:szCs w:val="18"/>
              </w:rPr>
              <w:t>of other similar programs (in Australia and internationally)</w:t>
            </w:r>
          </w:p>
          <w:p w14:paraId="7368810F" w14:textId="67E1CAF4" w:rsidR="00C354C7" w:rsidRPr="00DA13B5" w:rsidRDefault="00C354C7" w:rsidP="00A60A43">
            <w:pPr>
              <w:pStyle w:val="PwCNormal"/>
              <w:numPr>
                <w:ilvl w:val="0"/>
                <w:numId w:val="76"/>
              </w:numPr>
              <w:spacing w:before="60" w:after="60"/>
              <w:ind w:left="284" w:hanging="284"/>
              <w:rPr>
                <w:szCs w:val="18"/>
              </w:rPr>
            </w:pPr>
            <w:r w:rsidRPr="00DA13B5">
              <w:rPr>
                <w:b/>
                <w:bCs/>
                <w:szCs w:val="18"/>
              </w:rPr>
              <w:t>Data collection interviews</w:t>
            </w:r>
            <w:r w:rsidRPr="00DA13B5">
              <w:rPr>
                <w:szCs w:val="18"/>
              </w:rPr>
              <w:t xml:space="preserve"> with relevant key stakeholders including:</w:t>
            </w:r>
          </w:p>
          <w:p w14:paraId="0B2C0940" w14:textId="77777777" w:rsidR="00C354C7" w:rsidRPr="00DA13B5" w:rsidRDefault="00C354C7" w:rsidP="00A60A43">
            <w:pPr>
              <w:pStyle w:val="PwCNormal"/>
              <w:numPr>
                <w:ilvl w:val="1"/>
                <w:numId w:val="51"/>
              </w:numPr>
              <w:spacing w:before="60" w:after="60"/>
              <w:ind w:left="568" w:hanging="284"/>
              <w:rPr>
                <w:szCs w:val="18"/>
              </w:rPr>
            </w:pPr>
            <w:r w:rsidRPr="00DA13B5">
              <w:rPr>
                <w:szCs w:val="18"/>
              </w:rPr>
              <w:t>Departmental Directors and policy officers</w:t>
            </w:r>
          </w:p>
          <w:p w14:paraId="5B3E16F4" w14:textId="77777777" w:rsidR="007D7BF5" w:rsidRDefault="00C354C7" w:rsidP="00A60A43">
            <w:pPr>
              <w:pStyle w:val="PwCNormal"/>
              <w:numPr>
                <w:ilvl w:val="1"/>
                <w:numId w:val="51"/>
              </w:numPr>
              <w:spacing w:before="60" w:after="60"/>
              <w:ind w:left="568" w:hanging="284"/>
              <w:rPr>
                <w:szCs w:val="18"/>
              </w:rPr>
            </w:pPr>
            <w:r w:rsidRPr="00DA13B5">
              <w:rPr>
                <w:szCs w:val="18"/>
              </w:rPr>
              <w:t>IHC Support Agencies and providers</w:t>
            </w:r>
          </w:p>
          <w:p w14:paraId="3EFA3550" w14:textId="4C0447AA" w:rsidR="00C354C7" w:rsidRPr="00DA13B5" w:rsidRDefault="00C354C7" w:rsidP="00A60A43">
            <w:pPr>
              <w:pStyle w:val="PwCNormal"/>
              <w:numPr>
                <w:ilvl w:val="1"/>
                <w:numId w:val="51"/>
              </w:numPr>
              <w:spacing w:before="60" w:after="60"/>
              <w:ind w:left="568" w:hanging="284"/>
              <w:rPr>
                <w:szCs w:val="18"/>
              </w:rPr>
            </w:pPr>
            <w:r w:rsidRPr="00DA13B5">
              <w:rPr>
                <w:szCs w:val="18"/>
              </w:rPr>
              <w:t>Australian Home Childcare Association (AHCA); Isolated Children’s Parent’s Association (ICPA); FDCA; Australian Multiple Birth Association </w:t>
            </w:r>
          </w:p>
        </w:tc>
      </w:tr>
      <w:tr w:rsidR="00C354C7" w:rsidRPr="00DA13B5" w14:paraId="73B89B16" w14:textId="77777777" w:rsidTr="00A60A43">
        <w:tc>
          <w:tcPr>
            <w:tcW w:w="557" w:type="pct"/>
            <w:vMerge/>
            <w:tcMar>
              <w:top w:w="28" w:type="dxa"/>
              <w:left w:w="57" w:type="dxa"/>
              <w:bottom w:w="28" w:type="dxa"/>
              <w:right w:w="57" w:type="dxa"/>
            </w:tcMar>
            <w:vAlign w:val="center"/>
            <w:hideMark/>
          </w:tcPr>
          <w:p w14:paraId="5A84FF77" w14:textId="77777777" w:rsidR="00C354C7" w:rsidRPr="00DA13B5" w:rsidRDefault="00C354C7" w:rsidP="00C354C7">
            <w:pPr>
              <w:pStyle w:val="PwCNormal"/>
              <w:numPr>
                <w:ilvl w:val="0"/>
                <w:numId w:val="2"/>
              </w:numPr>
              <w:spacing w:before="60" w:after="60"/>
              <w:rPr>
                <w:szCs w:val="18"/>
              </w:rPr>
            </w:pPr>
          </w:p>
        </w:tc>
        <w:tc>
          <w:tcPr>
            <w:tcW w:w="782" w:type="pct"/>
            <w:shd w:val="clear" w:color="auto" w:fill="auto"/>
            <w:tcMar>
              <w:top w:w="28" w:type="dxa"/>
              <w:left w:w="57" w:type="dxa"/>
              <w:bottom w:w="28" w:type="dxa"/>
              <w:right w:w="57" w:type="dxa"/>
            </w:tcMar>
            <w:vAlign w:val="center"/>
            <w:hideMark/>
          </w:tcPr>
          <w:p w14:paraId="3B496ED8" w14:textId="77777777" w:rsidR="00C354C7" w:rsidRPr="00DA13B5" w:rsidRDefault="00C354C7" w:rsidP="001D262B">
            <w:pPr>
              <w:pStyle w:val="PwCNormal"/>
              <w:numPr>
                <w:ilvl w:val="0"/>
                <w:numId w:val="50"/>
              </w:numPr>
              <w:spacing w:before="60" w:after="60"/>
              <w:ind w:left="284" w:hanging="284"/>
              <w:rPr>
                <w:szCs w:val="18"/>
              </w:rPr>
            </w:pPr>
            <w:r w:rsidRPr="00DA13B5">
              <w:rPr>
                <w:szCs w:val="18"/>
              </w:rPr>
              <w:t>How and to what extent is the IHC program addressing demand? </w:t>
            </w:r>
          </w:p>
        </w:tc>
        <w:tc>
          <w:tcPr>
            <w:tcW w:w="1108" w:type="pct"/>
            <w:vMerge/>
            <w:tcMar>
              <w:top w:w="28" w:type="dxa"/>
              <w:left w:w="57" w:type="dxa"/>
              <w:bottom w:w="28" w:type="dxa"/>
              <w:right w:w="57" w:type="dxa"/>
            </w:tcMar>
            <w:vAlign w:val="center"/>
            <w:hideMark/>
          </w:tcPr>
          <w:p w14:paraId="0B2E1C8E" w14:textId="77777777" w:rsidR="00C354C7" w:rsidRPr="00DA13B5" w:rsidRDefault="00C354C7" w:rsidP="00C354C7">
            <w:pPr>
              <w:pStyle w:val="PwCNormal"/>
              <w:numPr>
                <w:ilvl w:val="0"/>
                <w:numId w:val="2"/>
              </w:numPr>
              <w:spacing w:before="60" w:after="60"/>
              <w:ind w:left="284" w:hanging="284"/>
              <w:rPr>
                <w:szCs w:val="18"/>
              </w:rPr>
            </w:pPr>
          </w:p>
        </w:tc>
        <w:tc>
          <w:tcPr>
            <w:tcW w:w="1378" w:type="pct"/>
            <w:vMerge/>
            <w:tcMar>
              <w:top w:w="28" w:type="dxa"/>
              <w:left w:w="57" w:type="dxa"/>
              <w:bottom w:w="28" w:type="dxa"/>
              <w:right w:w="57" w:type="dxa"/>
            </w:tcMar>
            <w:vAlign w:val="center"/>
            <w:hideMark/>
          </w:tcPr>
          <w:p w14:paraId="030A1D06" w14:textId="77777777" w:rsidR="00C354C7" w:rsidRPr="00DA13B5" w:rsidRDefault="00C354C7" w:rsidP="00C354C7">
            <w:pPr>
              <w:pStyle w:val="PwCNormal"/>
              <w:numPr>
                <w:ilvl w:val="0"/>
                <w:numId w:val="2"/>
              </w:numPr>
              <w:spacing w:before="60" w:after="60"/>
              <w:ind w:left="284" w:hanging="284"/>
              <w:rPr>
                <w:szCs w:val="18"/>
              </w:rPr>
            </w:pPr>
          </w:p>
        </w:tc>
        <w:tc>
          <w:tcPr>
            <w:tcW w:w="1176" w:type="pct"/>
            <w:vMerge/>
            <w:tcMar>
              <w:top w:w="28" w:type="dxa"/>
              <w:left w:w="57" w:type="dxa"/>
              <w:bottom w:w="28" w:type="dxa"/>
              <w:right w:w="57" w:type="dxa"/>
            </w:tcMar>
            <w:vAlign w:val="center"/>
            <w:hideMark/>
          </w:tcPr>
          <w:p w14:paraId="360833D1" w14:textId="77777777" w:rsidR="00C354C7" w:rsidRPr="00DA13B5" w:rsidRDefault="00C354C7" w:rsidP="00C354C7">
            <w:pPr>
              <w:pStyle w:val="PwCNormal"/>
              <w:numPr>
                <w:ilvl w:val="0"/>
                <w:numId w:val="2"/>
              </w:numPr>
              <w:spacing w:before="60" w:after="60"/>
              <w:ind w:left="284" w:hanging="284"/>
              <w:rPr>
                <w:szCs w:val="18"/>
              </w:rPr>
            </w:pPr>
          </w:p>
        </w:tc>
      </w:tr>
      <w:tr w:rsidR="00C354C7" w:rsidRPr="00DA13B5" w14:paraId="0595A03A" w14:textId="77777777" w:rsidTr="00A60A43">
        <w:tc>
          <w:tcPr>
            <w:tcW w:w="557" w:type="pct"/>
            <w:vMerge/>
            <w:tcMar>
              <w:top w:w="28" w:type="dxa"/>
              <w:left w:w="57" w:type="dxa"/>
              <w:bottom w:w="28" w:type="dxa"/>
              <w:right w:w="57" w:type="dxa"/>
            </w:tcMar>
            <w:vAlign w:val="center"/>
            <w:hideMark/>
          </w:tcPr>
          <w:p w14:paraId="0C229AC0" w14:textId="77777777" w:rsidR="00C354C7" w:rsidRPr="00DA13B5" w:rsidRDefault="00C354C7" w:rsidP="00C354C7">
            <w:pPr>
              <w:pStyle w:val="PwCNormal"/>
              <w:numPr>
                <w:ilvl w:val="0"/>
                <w:numId w:val="2"/>
              </w:numPr>
              <w:spacing w:before="60" w:after="60"/>
              <w:rPr>
                <w:szCs w:val="18"/>
              </w:rPr>
            </w:pPr>
          </w:p>
        </w:tc>
        <w:tc>
          <w:tcPr>
            <w:tcW w:w="782" w:type="pct"/>
            <w:shd w:val="clear" w:color="auto" w:fill="auto"/>
            <w:tcMar>
              <w:top w:w="28" w:type="dxa"/>
              <w:left w:w="57" w:type="dxa"/>
              <w:bottom w:w="28" w:type="dxa"/>
              <w:right w:w="57" w:type="dxa"/>
            </w:tcMar>
            <w:hideMark/>
          </w:tcPr>
          <w:p w14:paraId="26975FB0" w14:textId="77777777" w:rsidR="00C354C7" w:rsidRPr="00DA13B5" w:rsidRDefault="00C354C7" w:rsidP="001D262B">
            <w:pPr>
              <w:pStyle w:val="PwCNormal"/>
              <w:numPr>
                <w:ilvl w:val="0"/>
                <w:numId w:val="50"/>
              </w:numPr>
              <w:spacing w:before="60" w:after="60"/>
              <w:ind w:left="284" w:hanging="284"/>
              <w:rPr>
                <w:szCs w:val="18"/>
              </w:rPr>
            </w:pPr>
            <w:r w:rsidRPr="00DA13B5">
              <w:rPr>
                <w:szCs w:val="18"/>
              </w:rPr>
              <w:t>What is likely to be the future demand for the IHC program? </w:t>
            </w:r>
          </w:p>
        </w:tc>
        <w:tc>
          <w:tcPr>
            <w:tcW w:w="1108" w:type="pct"/>
            <w:vMerge/>
            <w:tcMar>
              <w:top w:w="28" w:type="dxa"/>
              <w:left w:w="57" w:type="dxa"/>
              <w:bottom w:w="28" w:type="dxa"/>
              <w:right w:w="57" w:type="dxa"/>
            </w:tcMar>
            <w:vAlign w:val="center"/>
            <w:hideMark/>
          </w:tcPr>
          <w:p w14:paraId="183EB5A9" w14:textId="77777777" w:rsidR="00C354C7" w:rsidRPr="00DA13B5" w:rsidRDefault="00C354C7" w:rsidP="00C354C7">
            <w:pPr>
              <w:pStyle w:val="PwCNormal"/>
              <w:numPr>
                <w:ilvl w:val="0"/>
                <w:numId w:val="2"/>
              </w:numPr>
              <w:spacing w:before="60" w:after="60"/>
              <w:ind w:left="284" w:hanging="284"/>
              <w:rPr>
                <w:szCs w:val="18"/>
              </w:rPr>
            </w:pPr>
          </w:p>
        </w:tc>
        <w:tc>
          <w:tcPr>
            <w:tcW w:w="1378" w:type="pct"/>
            <w:vMerge/>
            <w:tcMar>
              <w:top w:w="28" w:type="dxa"/>
              <w:left w:w="57" w:type="dxa"/>
              <w:bottom w:w="28" w:type="dxa"/>
              <w:right w:w="57" w:type="dxa"/>
            </w:tcMar>
            <w:vAlign w:val="center"/>
            <w:hideMark/>
          </w:tcPr>
          <w:p w14:paraId="38CBDC40" w14:textId="77777777" w:rsidR="00C354C7" w:rsidRPr="00DA13B5" w:rsidRDefault="00C354C7" w:rsidP="00C354C7">
            <w:pPr>
              <w:pStyle w:val="PwCNormal"/>
              <w:numPr>
                <w:ilvl w:val="0"/>
                <w:numId w:val="2"/>
              </w:numPr>
              <w:spacing w:before="60" w:after="60"/>
              <w:ind w:left="284" w:hanging="284"/>
              <w:rPr>
                <w:szCs w:val="18"/>
              </w:rPr>
            </w:pPr>
          </w:p>
        </w:tc>
        <w:tc>
          <w:tcPr>
            <w:tcW w:w="1176" w:type="pct"/>
            <w:vMerge/>
            <w:tcMar>
              <w:top w:w="28" w:type="dxa"/>
              <w:left w:w="57" w:type="dxa"/>
              <w:bottom w:w="28" w:type="dxa"/>
              <w:right w:w="57" w:type="dxa"/>
            </w:tcMar>
            <w:vAlign w:val="center"/>
            <w:hideMark/>
          </w:tcPr>
          <w:p w14:paraId="7FCD6481" w14:textId="77777777" w:rsidR="00C354C7" w:rsidRPr="00DA13B5" w:rsidRDefault="00C354C7" w:rsidP="00C354C7">
            <w:pPr>
              <w:pStyle w:val="PwCNormal"/>
              <w:numPr>
                <w:ilvl w:val="0"/>
                <w:numId w:val="2"/>
              </w:numPr>
              <w:spacing w:before="60" w:after="60"/>
              <w:ind w:left="284" w:hanging="284"/>
              <w:rPr>
                <w:szCs w:val="18"/>
              </w:rPr>
            </w:pPr>
          </w:p>
        </w:tc>
      </w:tr>
    </w:tbl>
    <w:p w14:paraId="5172F04F" w14:textId="77777777" w:rsidR="00BD2E3F" w:rsidRDefault="00BD2E3F">
      <w:r>
        <w:br w:type="page"/>
      </w:r>
    </w:p>
    <w:tbl>
      <w:tblPr>
        <w:tblW w:w="5000" w:type="pct"/>
        <w:tblBorders>
          <w:bottom w:val="single" w:sz="4" w:space="0" w:color="D04A02" w:themeColor="accent1"/>
        </w:tblBorders>
        <w:tblCellMar>
          <w:left w:w="0" w:type="dxa"/>
          <w:right w:w="0" w:type="dxa"/>
        </w:tblCellMar>
        <w:tblLook w:val="0600" w:firstRow="0" w:lastRow="0" w:firstColumn="0" w:lastColumn="0" w:noHBand="1" w:noVBand="1"/>
      </w:tblPr>
      <w:tblGrid>
        <w:gridCol w:w="1631"/>
        <w:gridCol w:w="2631"/>
        <w:gridCol w:w="1820"/>
        <w:gridCol w:w="1625"/>
        <w:gridCol w:w="2044"/>
      </w:tblGrid>
      <w:tr w:rsidR="00772BF9" w:rsidRPr="00DA13B5" w14:paraId="62EAF85F" w14:textId="77777777" w:rsidTr="00B7284B">
        <w:trPr>
          <w:tblHeader/>
        </w:trPr>
        <w:tc>
          <w:tcPr>
            <w:tcW w:w="5000" w:type="pct"/>
            <w:gridSpan w:val="5"/>
            <w:shd w:val="clear" w:color="auto" w:fill="D04A02" w:themeFill="accent1"/>
            <w:tcMar>
              <w:top w:w="28" w:type="dxa"/>
              <w:left w:w="57" w:type="dxa"/>
              <w:bottom w:w="28" w:type="dxa"/>
              <w:right w:w="57" w:type="dxa"/>
            </w:tcMar>
            <w:hideMark/>
          </w:tcPr>
          <w:p w14:paraId="2A6E421C" w14:textId="03F4627C" w:rsidR="00772BF9" w:rsidRPr="00DA13B5" w:rsidRDefault="00772BF9" w:rsidP="00772BF9">
            <w:pPr>
              <w:pStyle w:val="PwCNormal"/>
              <w:numPr>
                <w:ilvl w:val="0"/>
                <w:numId w:val="2"/>
              </w:numPr>
              <w:spacing w:before="60" w:after="60"/>
              <w:rPr>
                <w:szCs w:val="18"/>
              </w:rPr>
            </w:pPr>
            <w:r w:rsidRPr="00DA13B5">
              <w:rPr>
                <w:b/>
                <w:bCs/>
                <w:color w:val="FFFFFF" w:themeColor="background1"/>
                <w:szCs w:val="18"/>
                <w:lang w:val="en-US"/>
              </w:rPr>
              <w:lastRenderedPageBreak/>
              <w:t xml:space="preserve">Review of the IHC Program – current state analysis </w:t>
            </w:r>
          </w:p>
        </w:tc>
      </w:tr>
      <w:tr w:rsidR="00772BF9" w:rsidRPr="00DA13B5" w14:paraId="57F792B3" w14:textId="77777777" w:rsidTr="00B7284B">
        <w:trPr>
          <w:tblHeader/>
        </w:trPr>
        <w:tc>
          <w:tcPr>
            <w:tcW w:w="837" w:type="pct"/>
            <w:vMerge w:val="restart"/>
            <w:shd w:val="clear" w:color="auto" w:fill="DEDEDE" w:themeFill="background2"/>
            <w:tcMar>
              <w:top w:w="28" w:type="dxa"/>
              <w:left w:w="57" w:type="dxa"/>
              <w:bottom w:w="28" w:type="dxa"/>
              <w:right w:w="57" w:type="dxa"/>
            </w:tcMar>
            <w:vAlign w:val="center"/>
            <w:hideMark/>
          </w:tcPr>
          <w:p w14:paraId="6B474A4C" w14:textId="77777777" w:rsidR="00772BF9" w:rsidRPr="00DA13B5" w:rsidRDefault="00772BF9" w:rsidP="00772BF9">
            <w:pPr>
              <w:pStyle w:val="PwCNormal"/>
              <w:numPr>
                <w:ilvl w:val="0"/>
                <w:numId w:val="2"/>
              </w:numPr>
              <w:spacing w:before="60" w:after="60"/>
              <w:rPr>
                <w:szCs w:val="18"/>
              </w:rPr>
            </w:pPr>
            <w:r w:rsidRPr="00DA13B5">
              <w:rPr>
                <w:b/>
                <w:bCs/>
                <w:szCs w:val="18"/>
                <w:lang w:val="en-GB"/>
              </w:rPr>
              <w:t>Key evaluation question</w:t>
            </w:r>
          </w:p>
        </w:tc>
        <w:tc>
          <w:tcPr>
            <w:tcW w:w="1349" w:type="pct"/>
            <w:vMerge w:val="restart"/>
            <w:shd w:val="clear" w:color="auto" w:fill="DEDEDE" w:themeFill="background2"/>
            <w:tcMar>
              <w:top w:w="28" w:type="dxa"/>
              <w:left w:w="57" w:type="dxa"/>
              <w:bottom w:w="28" w:type="dxa"/>
              <w:right w:w="57" w:type="dxa"/>
            </w:tcMar>
            <w:vAlign w:val="center"/>
            <w:hideMark/>
          </w:tcPr>
          <w:p w14:paraId="28FA3421" w14:textId="77777777" w:rsidR="00772BF9" w:rsidRPr="00DA13B5" w:rsidRDefault="00772BF9" w:rsidP="00772BF9">
            <w:pPr>
              <w:pStyle w:val="PwCNormal"/>
              <w:numPr>
                <w:ilvl w:val="0"/>
                <w:numId w:val="2"/>
              </w:numPr>
              <w:spacing w:before="60" w:after="60"/>
              <w:rPr>
                <w:szCs w:val="18"/>
              </w:rPr>
            </w:pPr>
            <w:r w:rsidRPr="00DA13B5">
              <w:rPr>
                <w:b/>
                <w:bCs/>
                <w:szCs w:val="18"/>
                <w:lang w:val="en-US"/>
              </w:rPr>
              <w:t>Lines of Inquiry</w:t>
            </w:r>
          </w:p>
        </w:tc>
        <w:tc>
          <w:tcPr>
            <w:tcW w:w="933" w:type="pct"/>
            <w:vMerge w:val="restart"/>
            <w:shd w:val="clear" w:color="auto" w:fill="DEDEDE" w:themeFill="background2"/>
            <w:tcMar>
              <w:top w:w="28" w:type="dxa"/>
              <w:left w:w="57" w:type="dxa"/>
              <w:bottom w:w="28" w:type="dxa"/>
              <w:right w:w="57" w:type="dxa"/>
            </w:tcMar>
            <w:vAlign w:val="center"/>
            <w:hideMark/>
          </w:tcPr>
          <w:p w14:paraId="21AEACD5" w14:textId="77777777" w:rsidR="00772BF9" w:rsidRPr="00DA13B5" w:rsidRDefault="00772BF9" w:rsidP="00772BF9">
            <w:pPr>
              <w:pStyle w:val="PwCNormal"/>
              <w:numPr>
                <w:ilvl w:val="0"/>
                <w:numId w:val="2"/>
              </w:numPr>
              <w:spacing w:before="60" w:after="60"/>
              <w:rPr>
                <w:szCs w:val="18"/>
              </w:rPr>
            </w:pPr>
            <w:r w:rsidRPr="00DA13B5">
              <w:rPr>
                <w:b/>
                <w:bCs/>
                <w:szCs w:val="18"/>
                <w:lang w:val="en-GB"/>
              </w:rPr>
              <w:t>Indicators</w:t>
            </w:r>
          </w:p>
        </w:tc>
        <w:tc>
          <w:tcPr>
            <w:tcW w:w="1881" w:type="pct"/>
            <w:gridSpan w:val="2"/>
            <w:shd w:val="clear" w:color="auto" w:fill="464646" w:themeFill="accent6"/>
            <w:tcMar>
              <w:top w:w="28" w:type="dxa"/>
              <w:left w:w="57" w:type="dxa"/>
              <w:bottom w:w="28" w:type="dxa"/>
              <w:right w:w="57" w:type="dxa"/>
            </w:tcMar>
            <w:vAlign w:val="center"/>
            <w:hideMark/>
          </w:tcPr>
          <w:p w14:paraId="45292EDC" w14:textId="77777777" w:rsidR="00772BF9" w:rsidRPr="00DA13B5" w:rsidRDefault="00772BF9" w:rsidP="00B7284B">
            <w:pPr>
              <w:pStyle w:val="PwCNormal"/>
              <w:numPr>
                <w:ilvl w:val="0"/>
                <w:numId w:val="2"/>
              </w:numPr>
              <w:spacing w:before="60" w:after="60"/>
              <w:jc w:val="center"/>
              <w:rPr>
                <w:szCs w:val="18"/>
              </w:rPr>
            </w:pPr>
            <w:r w:rsidRPr="00B7284B">
              <w:rPr>
                <w:b/>
                <w:bCs/>
                <w:color w:val="FFFFFF" w:themeColor="background1"/>
                <w:szCs w:val="18"/>
                <w:lang w:val="en-GB"/>
              </w:rPr>
              <w:t>Data Source</w:t>
            </w:r>
          </w:p>
        </w:tc>
      </w:tr>
      <w:tr w:rsidR="00772BF9" w:rsidRPr="00DA13B5" w14:paraId="7F7250D6" w14:textId="77777777" w:rsidTr="00B7284B">
        <w:trPr>
          <w:tblHeader/>
        </w:trPr>
        <w:tc>
          <w:tcPr>
            <w:tcW w:w="837" w:type="pct"/>
            <w:vMerge/>
            <w:shd w:val="clear" w:color="auto" w:fill="DEDEDE" w:themeFill="background2"/>
            <w:tcMar>
              <w:top w:w="28" w:type="dxa"/>
              <w:left w:w="57" w:type="dxa"/>
              <w:bottom w:w="28" w:type="dxa"/>
              <w:right w:w="57" w:type="dxa"/>
            </w:tcMar>
            <w:vAlign w:val="center"/>
            <w:hideMark/>
          </w:tcPr>
          <w:p w14:paraId="4FC3C2A1" w14:textId="77777777" w:rsidR="00772BF9" w:rsidRPr="00DA13B5" w:rsidRDefault="00772BF9" w:rsidP="00772BF9">
            <w:pPr>
              <w:pStyle w:val="PwCNormal"/>
              <w:numPr>
                <w:ilvl w:val="0"/>
                <w:numId w:val="2"/>
              </w:numPr>
              <w:spacing w:before="60" w:after="60"/>
              <w:rPr>
                <w:szCs w:val="18"/>
              </w:rPr>
            </w:pPr>
          </w:p>
        </w:tc>
        <w:tc>
          <w:tcPr>
            <w:tcW w:w="1349" w:type="pct"/>
            <w:vMerge/>
            <w:shd w:val="clear" w:color="auto" w:fill="DEDEDE" w:themeFill="background2"/>
            <w:tcMar>
              <w:top w:w="28" w:type="dxa"/>
              <w:left w:w="57" w:type="dxa"/>
              <w:bottom w:w="28" w:type="dxa"/>
              <w:right w:w="57" w:type="dxa"/>
            </w:tcMar>
            <w:vAlign w:val="center"/>
            <w:hideMark/>
          </w:tcPr>
          <w:p w14:paraId="240E8005" w14:textId="77777777" w:rsidR="00772BF9" w:rsidRPr="00DA13B5" w:rsidRDefault="00772BF9" w:rsidP="00772BF9">
            <w:pPr>
              <w:pStyle w:val="PwCNormal"/>
              <w:numPr>
                <w:ilvl w:val="0"/>
                <w:numId w:val="2"/>
              </w:numPr>
              <w:spacing w:before="60" w:after="60"/>
              <w:rPr>
                <w:szCs w:val="18"/>
              </w:rPr>
            </w:pPr>
          </w:p>
        </w:tc>
        <w:tc>
          <w:tcPr>
            <w:tcW w:w="933" w:type="pct"/>
            <w:vMerge/>
            <w:shd w:val="clear" w:color="auto" w:fill="DEDEDE" w:themeFill="background2"/>
            <w:tcMar>
              <w:top w:w="28" w:type="dxa"/>
              <w:left w:w="57" w:type="dxa"/>
              <w:bottom w:w="28" w:type="dxa"/>
              <w:right w:w="57" w:type="dxa"/>
            </w:tcMar>
            <w:vAlign w:val="center"/>
            <w:hideMark/>
          </w:tcPr>
          <w:p w14:paraId="5B51F803" w14:textId="77777777" w:rsidR="00772BF9" w:rsidRPr="00DA13B5" w:rsidRDefault="00772BF9" w:rsidP="00772BF9">
            <w:pPr>
              <w:pStyle w:val="PwCNormal"/>
              <w:numPr>
                <w:ilvl w:val="0"/>
                <w:numId w:val="2"/>
              </w:numPr>
              <w:spacing w:before="60" w:after="60"/>
              <w:rPr>
                <w:szCs w:val="18"/>
              </w:rPr>
            </w:pPr>
          </w:p>
        </w:tc>
        <w:tc>
          <w:tcPr>
            <w:tcW w:w="833" w:type="pct"/>
            <w:shd w:val="clear" w:color="auto" w:fill="DEDEDE" w:themeFill="background2"/>
            <w:tcMar>
              <w:top w:w="28" w:type="dxa"/>
              <w:left w:w="57" w:type="dxa"/>
              <w:bottom w:w="28" w:type="dxa"/>
              <w:right w:w="57" w:type="dxa"/>
            </w:tcMar>
            <w:vAlign w:val="center"/>
            <w:hideMark/>
          </w:tcPr>
          <w:p w14:paraId="72A46DC5" w14:textId="77777777" w:rsidR="00772BF9" w:rsidRPr="00DA13B5" w:rsidRDefault="00772BF9" w:rsidP="00772BF9">
            <w:pPr>
              <w:pStyle w:val="PwCNormal"/>
              <w:numPr>
                <w:ilvl w:val="0"/>
                <w:numId w:val="2"/>
              </w:numPr>
              <w:spacing w:before="60" w:after="60"/>
              <w:rPr>
                <w:szCs w:val="18"/>
              </w:rPr>
            </w:pPr>
            <w:r w:rsidRPr="00DA13B5">
              <w:rPr>
                <w:b/>
                <w:bCs/>
                <w:szCs w:val="18"/>
                <w:lang w:val="en-GB"/>
              </w:rPr>
              <w:t>Existing Data</w:t>
            </w:r>
          </w:p>
        </w:tc>
        <w:tc>
          <w:tcPr>
            <w:tcW w:w="1048" w:type="pct"/>
            <w:shd w:val="clear" w:color="auto" w:fill="DEDEDE" w:themeFill="background2"/>
            <w:tcMar>
              <w:top w:w="28" w:type="dxa"/>
              <w:left w:w="57" w:type="dxa"/>
              <w:bottom w:w="28" w:type="dxa"/>
              <w:right w:w="57" w:type="dxa"/>
            </w:tcMar>
            <w:vAlign w:val="center"/>
            <w:hideMark/>
          </w:tcPr>
          <w:p w14:paraId="291400E0" w14:textId="77777777" w:rsidR="00772BF9" w:rsidRPr="00DA13B5" w:rsidRDefault="00772BF9" w:rsidP="00772BF9">
            <w:pPr>
              <w:pStyle w:val="PwCNormal"/>
              <w:numPr>
                <w:ilvl w:val="0"/>
                <w:numId w:val="2"/>
              </w:numPr>
              <w:spacing w:before="60" w:after="60"/>
              <w:rPr>
                <w:szCs w:val="18"/>
              </w:rPr>
            </w:pPr>
            <w:r w:rsidRPr="00DA13B5">
              <w:rPr>
                <w:b/>
                <w:bCs/>
                <w:szCs w:val="18"/>
                <w:lang w:val="en-GB"/>
              </w:rPr>
              <w:t>New Data</w:t>
            </w:r>
          </w:p>
        </w:tc>
      </w:tr>
      <w:tr w:rsidR="00772BF9" w:rsidRPr="00DA13B5" w14:paraId="27213551" w14:textId="77777777" w:rsidTr="00B7284B">
        <w:tc>
          <w:tcPr>
            <w:tcW w:w="837" w:type="pct"/>
            <w:vMerge w:val="restart"/>
            <w:shd w:val="clear" w:color="auto" w:fill="auto"/>
            <w:tcMar>
              <w:top w:w="28" w:type="dxa"/>
              <w:left w:w="57" w:type="dxa"/>
              <w:bottom w:w="28" w:type="dxa"/>
              <w:right w:w="57" w:type="dxa"/>
            </w:tcMar>
            <w:hideMark/>
          </w:tcPr>
          <w:p w14:paraId="5F941C2C" w14:textId="77777777" w:rsidR="00772BF9" w:rsidRPr="00DA13B5" w:rsidRDefault="00772BF9" w:rsidP="00772BF9">
            <w:pPr>
              <w:pStyle w:val="PwCNormal"/>
              <w:numPr>
                <w:ilvl w:val="0"/>
                <w:numId w:val="2"/>
              </w:numPr>
              <w:spacing w:before="60" w:after="60"/>
              <w:rPr>
                <w:szCs w:val="18"/>
              </w:rPr>
            </w:pPr>
            <w:r w:rsidRPr="00DA13B5">
              <w:rPr>
                <w:szCs w:val="18"/>
              </w:rPr>
              <w:t>3. Is the current IHC model the most appropriate mechanism to meet the needs of these families?</w:t>
            </w:r>
          </w:p>
        </w:tc>
        <w:tc>
          <w:tcPr>
            <w:tcW w:w="1349" w:type="pct"/>
            <w:shd w:val="clear" w:color="auto" w:fill="auto"/>
            <w:tcMar>
              <w:top w:w="28" w:type="dxa"/>
              <w:left w:w="57" w:type="dxa"/>
              <w:bottom w:w="28" w:type="dxa"/>
              <w:right w:w="57" w:type="dxa"/>
            </w:tcMar>
            <w:vAlign w:val="center"/>
            <w:hideMark/>
          </w:tcPr>
          <w:p w14:paraId="5009BCB1" w14:textId="77777777" w:rsidR="00772BF9" w:rsidRPr="00DA13B5" w:rsidRDefault="00772BF9" w:rsidP="001D262B">
            <w:pPr>
              <w:pStyle w:val="PwCNormal"/>
              <w:numPr>
                <w:ilvl w:val="0"/>
                <w:numId w:val="52"/>
              </w:numPr>
              <w:spacing w:before="60" w:after="60"/>
              <w:ind w:left="341" w:hanging="284"/>
              <w:rPr>
                <w:szCs w:val="18"/>
              </w:rPr>
            </w:pPr>
            <w:r w:rsidRPr="00DA13B5">
              <w:rPr>
                <w:szCs w:val="18"/>
              </w:rPr>
              <w:t>Is the IHC program appropriately structured and resourced to undertake its activities? </w:t>
            </w:r>
          </w:p>
        </w:tc>
        <w:tc>
          <w:tcPr>
            <w:tcW w:w="933" w:type="pct"/>
            <w:vMerge w:val="restart"/>
            <w:shd w:val="clear" w:color="auto" w:fill="auto"/>
            <w:tcMar>
              <w:top w:w="28" w:type="dxa"/>
              <w:left w:w="57" w:type="dxa"/>
              <w:bottom w:w="28" w:type="dxa"/>
              <w:right w:w="57" w:type="dxa"/>
            </w:tcMar>
            <w:hideMark/>
          </w:tcPr>
          <w:p w14:paraId="2098C40B" w14:textId="77777777" w:rsidR="00772BF9" w:rsidRPr="00065F1E" w:rsidRDefault="00772BF9" w:rsidP="00B7284B">
            <w:pPr>
              <w:pStyle w:val="PwCNormal"/>
              <w:numPr>
                <w:ilvl w:val="0"/>
                <w:numId w:val="76"/>
              </w:numPr>
              <w:spacing w:before="60" w:after="60"/>
              <w:ind w:left="284" w:hanging="284"/>
              <w:rPr>
                <w:szCs w:val="18"/>
              </w:rPr>
            </w:pPr>
            <w:r w:rsidRPr="00065F1E">
              <w:rPr>
                <w:szCs w:val="18"/>
              </w:rPr>
              <w:t>The IHC program has effective governance arrangements in place</w:t>
            </w:r>
          </w:p>
          <w:p w14:paraId="374A5728" w14:textId="77777777" w:rsidR="007D7BF5" w:rsidRDefault="00772BF9" w:rsidP="00B7284B">
            <w:pPr>
              <w:pStyle w:val="PwCNormal"/>
              <w:numPr>
                <w:ilvl w:val="0"/>
                <w:numId w:val="76"/>
              </w:numPr>
              <w:spacing w:before="60" w:after="60"/>
              <w:ind w:left="284" w:hanging="284"/>
              <w:rPr>
                <w:szCs w:val="18"/>
              </w:rPr>
            </w:pPr>
            <w:r w:rsidRPr="00065F1E">
              <w:rPr>
                <w:szCs w:val="18"/>
              </w:rPr>
              <w:t>IHC program has the necessary resourcing to deliver its services (workforce; funding, administration systems and processes)</w:t>
            </w:r>
          </w:p>
          <w:p w14:paraId="6FE7E8D7" w14:textId="77777777" w:rsidR="007D7BF5" w:rsidRDefault="00772BF9" w:rsidP="00B7284B">
            <w:pPr>
              <w:pStyle w:val="PwCNormal"/>
              <w:numPr>
                <w:ilvl w:val="0"/>
                <w:numId w:val="76"/>
              </w:numPr>
              <w:spacing w:before="60" w:after="60"/>
              <w:ind w:left="284" w:hanging="284"/>
              <w:rPr>
                <w:szCs w:val="18"/>
              </w:rPr>
            </w:pPr>
            <w:r w:rsidRPr="00065F1E">
              <w:rPr>
                <w:szCs w:val="18"/>
              </w:rPr>
              <w:t>IHC is consistently delivered</w:t>
            </w:r>
          </w:p>
          <w:p w14:paraId="584515B5" w14:textId="77777777" w:rsidR="007D7BF5" w:rsidRDefault="00772BF9" w:rsidP="00B7284B">
            <w:pPr>
              <w:pStyle w:val="PwCNormal"/>
              <w:numPr>
                <w:ilvl w:val="0"/>
                <w:numId w:val="76"/>
              </w:numPr>
              <w:spacing w:before="60" w:after="60"/>
              <w:ind w:left="284" w:hanging="284"/>
              <w:rPr>
                <w:szCs w:val="18"/>
              </w:rPr>
            </w:pPr>
            <w:r w:rsidRPr="00065F1E">
              <w:rPr>
                <w:szCs w:val="18"/>
              </w:rPr>
              <w:t>All types of IHC families can access the program</w:t>
            </w:r>
          </w:p>
          <w:p w14:paraId="65C73810" w14:textId="77777777" w:rsidR="007D7BF5" w:rsidRDefault="00772BF9" w:rsidP="00B7284B">
            <w:pPr>
              <w:pStyle w:val="PwCNormal"/>
              <w:numPr>
                <w:ilvl w:val="0"/>
                <w:numId w:val="76"/>
              </w:numPr>
              <w:spacing w:before="60" w:after="60"/>
              <w:ind w:left="284" w:hanging="284"/>
              <w:rPr>
                <w:szCs w:val="18"/>
                <w:lang w:val="en-US"/>
              </w:rPr>
            </w:pPr>
            <w:r w:rsidRPr="00065F1E">
              <w:rPr>
                <w:szCs w:val="18"/>
              </w:rPr>
              <w:t>IHC meets the needs of the three family</w:t>
            </w:r>
            <w:r w:rsidRPr="00DA13B5">
              <w:rPr>
                <w:szCs w:val="18"/>
                <w:lang w:val="en-US"/>
              </w:rPr>
              <w:t xml:space="preserve"> types (is accessible, flexible and suitable)</w:t>
            </w:r>
          </w:p>
          <w:p w14:paraId="050321A4" w14:textId="6D5EB80A" w:rsidR="00772BF9" w:rsidRPr="00065F1E" w:rsidRDefault="00772BF9" w:rsidP="00B7284B">
            <w:pPr>
              <w:pStyle w:val="PwCNormal"/>
              <w:numPr>
                <w:ilvl w:val="0"/>
                <w:numId w:val="76"/>
              </w:numPr>
              <w:spacing w:before="60" w:after="60"/>
              <w:ind w:left="284" w:hanging="284"/>
              <w:rPr>
                <w:szCs w:val="18"/>
              </w:rPr>
            </w:pPr>
            <w:r w:rsidRPr="00065F1E">
              <w:rPr>
                <w:szCs w:val="18"/>
              </w:rPr>
              <w:t>The IHC program supports families’ ECEC requirements</w:t>
            </w:r>
          </w:p>
          <w:p w14:paraId="642E48C6" w14:textId="77777777" w:rsidR="00772BF9" w:rsidRPr="00DA13B5" w:rsidRDefault="00772BF9" w:rsidP="00B7284B">
            <w:pPr>
              <w:pStyle w:val="PwCNormal"/>
              <w:numPr>
                <w:ilvl w:val="0"/>
                <w:numId w:val="76"/>
              </w:numPr>
              <w:spacing w:before="60" w:after="60"/>
              <w:ind w:left="284" w:hanging="284"/>
              <w:rPr>
                <w:szCs w:val="18"/>
              </w:rPr>
            </w:pPr>
            <w:r w:rsidRPr="00065F1E">
              <w:rPr>
                <w:szCs w:val="18"/>
              </w:rPr>
              <w:t>The IHC program supports families’ workforce participation across all family types</w:t>
            </w:r>
            <w:r w:rsidRPr="00DA13B5">
              <w:rPr>
                <w:szCs w:val="18"/>
                <w:lang w:val="en-US"/>
              </w:rPr>
              <w:t> </w:t>
            </w:r>
          </w:p>
        </w:tc>
        <w:tc>
          <w:tcPr>
            <w:tcW w:w="833" w:type="pct"/>
            <w:vMerge w:val="restart"/>
            <w:shd w:val="clear" w:color="auto" w:fill="auto"/>
            <w:tcMar>
              <w:top w:w="28" w:type="dxa"/>
              <w:left w:w="57" w:type="dxa"/>
              <w:bottom w:w="28" w:type="dxa"/>
              <w:right w:w="57" w:type="dxa"/>
            </w:tcMar>
            <w:hideMark/>
          </w:tcPr>
          <w:p w14:paraId="7D3F0020" w14:textId="77777777" w:rsidR="007D7BF5" w:rsidRDefault="00772BF9" w:rsidP="00B7284B">
            <w:pPr>
              <w:pStyle w:val="PwCNormal"/>
              <w:numPr>
                <w:ilvl w:val="0"/>
                <w:numId w:val="76"/>
              </w:numPr>
              <w:spacing w:before="60" w:after="60"/>
              <w:ind w:left="284" w:hanging="284"/>
              <w:rPr>
                <w:szCs w:val="18"/>
              </w:rPr>
            </w:pPr>
            <w:r w:rsidRPr="00065F1E">
              <w:rPr>
                <w:szCs w:val="18"/>
              </w:rPr>
              <w:t>Previous IHC Evaluation reports and reviews</w:t>
            </w:r>
          </w:p>
          <w:p w14:paraId="6B11BA3B" w14:textId="77777777" w:rsidR="007D7BF5" w:rsidRDefault="00772BF9" w:rsidP="00B7284B">
            <w:pPr>
              <w:pStyle w:val="PwCNormal"/>
              <w:numPr>
                <w:ilvl w:val="0"/>
                <w:numId w:val="76"/>
              </w:numPr>
              <w:spacing w:before="60" w:after="60"/>
              <w:ind w:left="284" w:hanging="284"/>
              <w:rPr>
                <w:szCs w:val="18"/>
              </w:rPr>
            </w:pPr>
            <w:r w:rsidRPr="00065F1E">
              <w:rPr>
                <w:szCs w:val="18"/>
              </w:rPr>
              <w:t>Administrative data</w:t>
            </w:r>
          </w:p>
          <w:p w14:paraId="7F913CA5" w14:textId="74F4B6B2" w:rsidR="00772BF9" w:rsidRPr="00065F1E" w:rsidRDefault="00772BF9" w:rsidP="00B7284B">
            <w:pPr>
              <w:pStyle w:val="PwCNormal"/>
              <w:numPr>
                <w:ilvl w:val="0"/>
                <w:numId w:val="76"/>
              </w:numPr>
              <w:spacing w:before="60" w:after="60"/>
              <w:ind w:left="284" w:hanging="284"/>
              <w:rPr>
                <w:szCs w:val="18"/>
              </w:rPr>
            </w:pPr>
            <w:r w:rsidRPr="00065F1E">
              <w:rPr>
                <w:szCs w:val="18"/>
              </w:rPr>
              <w:t>Financial data</w:t>
            </w:r>
          </w:p>
          <w:p w14:paraId="01D08061" w14:textId="77777777" w:rsidR="00772BF9" w:rsidRPr="00065F1E" w:rsidRDefault="00772BF9" w:rsidP="00B7284B">
            <w:pPr>
              <w:pStyle w:val="PwCNormal"/>
              <w:numPr>
                <w:ilvl w:val="0"/>
                <w:numId w:val="76"/>
              </w:numPr>
              <w:spacing w:before="60" w:after="60"/>
              <w:ind w:left="284" w:hanging="284"/>
              <w:rPr>
                <w:szCs w:val="18"/>
              </w:rPr>
            </w:pPr>
            <w:r w:rsidRPr="00065F1E">
              <w:rPr>
                <w:szCs w:val="18"/>
              </w:rPr>
              <w:t>Policy documents</w:t>
            </w:r>
          </w:p>
          <w:p w14:paraId="1A27C766" w14:textId="77777777" w:rsidR="007D7BF5" w:rsidRDefault="00772BF9" w:rsidP="00B7284B">
            <w:pPr>
              <w:pStyle w:val="PwCNormal"/>
              <w:numPr>
                <w:ilvl w:val="0"/>
                <w:numId w:val="76"/>
              </w:numPr>
              <w:spacing w:before="60" w:after="60"/>
              <w:ind w:left="284" w:hanging="284"/>
              <w:rPr>
                <w:szCs w:val="18"/>
              </w:rPr>
            </w:pPr>
            <w:r w:rsidRPr="00065F1E">
              <w:rPr>
                <w:szCs w:val="18"/>
              </w:rPr>
              <w:t>Previous IHC Evaluation reports and reviews</w:t>
            </w:r>
          </w:p>
          <w:p w14:paraId="7F52361D" w14:textId="77777777" w:rsidR="007D7BF5" w:rsidRDefault="00772BF9" w:rsidP="00B7284B">
            <w:pPr>
              <w:pStyle w:val="PwCNormal"/>
              <w:numPr>
                <w:ilvl w:val="0"/>
                <w:numId w:val="76"/>
              </w:numPr>
              <w:spacing w:before="60" w:after="60"/>
              <w:ind w:left="284" w:hanging="284"/>
              <w:rPr>
                <w:szCs w:val="18"/>
              </w:rPr>
            </w:pPr>
            <w:r w:rsidRPr="00065F1E">
              <w:rPr>
                <w:szCs w:val="18"/>
              </w:rPr>
              <w:t>Administrative data</w:t>
            </w:r>
          </w:p>
          <w:p w14:paraId="73248D7E" w14:textId="03195EB0" w:rsidR="00772BF9" w:rsidRPr="00DA13B5" w:rsidRDefault="00772BF9" w:rsidP="00B7284B">
            <w:pPr>
              <w:pStyle w:val="PwCNormal"/>
              <w:numPr>
                <w:ilvl w:val="0"/>
                <w:numId w:val="76"/>
              </w:numPr>
              <w:spacing w:before="60" w:after="60"/>
              <w:ind w:left="284" w:hanging="284"/>
              <w:rPr>
                <w:szCs w:val="18"/>
              </w:rPr>
            </w:pPr>
            <w:r w:rsidRPr="00065F1E">
              <w:rPr>
                <w:szCs w:val="18"/>
              </w:rPr>
              <w:t>Governance documents</w:t>
            </w:r>
            <w:r w:rsidRPr="00DA13B5">
              <w:rPr>
                <w:szCs w:val="18"/>
                <w:lang w:val="en-GB"/>
              </w:rPr>
              <w:t> </w:t>
            </w:r>
          </w:p>
        </w:tc>
        <w:tc>
          <w:tcPr>
            <w:tcW w:w="1048" w:type="pct"/>
            <w:vMerge w:val="restart"/>
            <w:shd w:val="clear" w:color="auto" w:fill="auto"/>
            <w:tcMar>
              <w:top w:w="28" w:type="dxa"/>
              <w:left w:w="57" w:type="dxa"/>
              <w:bottom w:w="28" w:type="dxa"/>
              <w:right w:w="57" w:type="dxa"/>
            </w:tcMar>
            <w:hideMark/>
          </w:tcPr>
          <w:p w14:paraId="5C550731" w14:textId="77777777" w:rsidR="00772BF9" w:rsidRPr="00065F1E" w:rsidRDefault="00772BF9" w:rsidP="00B7284B">
            <w:pPr>
              <w:pStyle w:val="PwCNormal"/>
              <w:numPr>
                <w:ilvl w:val="0"/>
                <w:numId w:val="76"/>
              </w:numPr>
              <w:spacing w:before="60" w:after="60"/>
              <w:ind w:left="284" w:hanging="284"/>
              <w:rPr>
                <w:szCs w:val="18"/>
              </w:rPr>
            </w:pPr>
            <w:r w:rsidRPr="00065F1E">
              <w:rPr>
                <w:b/>
                <w:bCs/>
                <w:szCs w:val="18"/>
              </w:rPr>
              <w:t>Desktop review</w:t>
            </w:r>
            <w:r w:rsidRPr="00065F1E">
              <w:rPr>
                <w:szCs w:val="18"/>
              </w:rPr>
              <w:t xml:space="preserve"> of other similar programs (in Australia and internationally) including eligibility and guidelines of alternative models of care</w:t>
            </w:r>
          </w:p>
          <w:p w14:paraId="4501DCB6" w14:textId="77777777" w:rsidR="00772BF9" w:rsidRPr="00065F1E" w:rsidRDefault="00772BF9" w:rsidP="00B7284B">
            <w:pPr>
              <w:pStyle w:val="PwCNormal"/>
              <w:numPr>
                <w:ilvl w:val="0"/>
                <w:numId w:val="76"/>
              </w:numPr>
              <w:spacing w:before="60" w:after="60"/>
              <w:ind w:left="284" w:hanging="284"/>
              <w:rPr>
                <w:szCs w:val="18"/>
              </w:rPr>
            </w:pPr>
            <w:r w:rsidRPr="00065F1E">
              <w:rPr>
                <w:b/>
                <w:bCs/>
                <w:szCs w:val="18"/>
              </w:rPr>
              <w:t>Data collection interviews</w:t>
            </w:r>
            <w:r w:rsidRPr="00065F1E">
              <w:rPr>
                <w:szCs w:val="18"/>
              </w:rPr>
              <w:t xml:space="preserve"> with relevant key stakeholders including:</w:t>
            </w:r>
          </w:p>
          <w:p w14:paraId="737CF9E5" w14:textId="77777777" w:rsidR="00772BF9" w:rsidRPr="00DA13B5" w:rsidRDefault="00772BF9" w:rsidP="00B7284B">
            <w:pPr>
              <w:pStyle w:val="PwCNormal"/>
              <w:numPr>
                <w:ilvl w:val="1"/>
                <w:numId w:val="53"/>
              </w:numPr>
              <w:spacing w:before="60" w:after="60"/>
              <w:ind w:left="568" w:hanging="284"/>
              <w:rPr>
                <w:szCs w:val="18"/>
              </w:rPr>
            </w:pPr>
            <w:r w:rsidRPr="00DA13B5">
              <w:rPr>
                <w:szCs w:val="18"/>
              </w:rPr>
              <w:t>Department – Directors and operational staff</w:t>
            </w:r>
          </w:p>
          <w:p w14:paraId="75C2C6FC" w14:textId="77777777" w:rsidR="007D7BF5" w:rsidRDefault="00772BF9" w:rsidP="00B7284B">
            <w:pPr>
              <w:pStyle w:val="PwCNormal"/>
              <w:numPr>
                <w:ilvl w:val="1"/>
                <w:numId w:val="53"/>
              </w:numPr>
              <w:spacing w:before="60" w:after="60"/>
              <w:ind w:left="568" w:hanging="284"/>
              <w:rPr>
                <w:szCs w:val="18"/>
              </w:rPr>
            </w:pPr>
            <w:r w:rsidRPr="00DA13B5">
              <w:rPr>
                <w:szCs w:val="18"/>
              </w:rPr>
              <w:t>IHC Support Agencies,</w:t>
            </w:r>
          </w:p>
          <w:p w14:paraId="02E13654" w14:textId="77777777" w:rsidR="007D7BF5" w:rsidRDefault="00772BF9" w:rsidP="00B7284B">
            <w:pPr>
              <w:pStyle w:val="PwCNormal"/>
              <w:numPr>
                <w:ilvl w:val="1"/>
                <w:numId w:val="53"/>
              </w:numPr>
              <w:spacing w:before="60" w:after="60"/>
              <w:ind w:left="568" w:hanging="284"/>
              <w:rPr>
                <w:szCs w:val="18"/>
              </w:rPr>
            </w:pPr>
            <w:r w:rsidRPr="00DA13B5">
              <w:rPr>
                <w:szCs w:val="18"/>
              </w:rPr>
              <w:t>IHC providers and services</w:t>
            </w:r>
          </w:p>
          <w:p w14:paraId="0784DA75" w14:textId="77777777" w:rsidR="007D7BF5" w:rsidRDefault="00772BF9" w:rsidP="00B7284B">
            <w:pPr>
              <w:pStyle w:val="PwCNormal"/>
              <w:numPr>
                <w:ilvl w:val="1"/>
                <w:numId w:val="53"/>
              </w:numPr>
              <w:spacing w:before="60" w:after="60"/>
              <w:ind w:left="568" w:hanging="284"/>
              <w:rPr>
                <w:szCs w:val="18"/>
              </w:rPr>
            </w:pPr>
            <w:r w:rsidRPr="00DA13B5">
              <w:rPr>
                <w:szCs w:val="18"/>
              </w:rPr>
              <w:t>AHCA; ICPA; FDCA; Australian Multiple Birth Association</w:t>
            </w:r>
          </w:p>
          <w:p w14:paraId="5B364EAE" w14:textId="14EDF2B6" w:rsidR="00772BF9" w:rsidRPr="00DA13B5" w:rsidRDefault="00772BF9" w:rsidP="00B7284B">
            <w:pPr>
              <w:pStyle w:val="PwCNormal"/>
              <w:numPr>
                <w:ilvl w:val="1"/>
                <w:numId w:val="53"/>
              </w:numPr>
              <w:spacing w:before="60" w:after="60"/>
              <w:ind w:left="568" w:hanging="284"/>
              <w:rPr>
                <w:szCs w:val="18"/>
              </w:rPr>
            </w:pPr>
            <w:r w:rsidRPr="00DA13B5">
              <w:rPr>
                <w:szCs w:val="18"/>
              </w:rPr>
              <w:t>Families (tbc)</w:t>
            </w:r>
          </w:p>
          <w:p w14:paraId="4D754692" w14:textId="77777777" w:rsidR="00772BF9" w:rsidRPr="00065F1E" w:rsidRDefault="00772BF9" w:rsidP="00B7284B">
            <w:pPr>
              <w:pStyle w:val="PwCNormal"/>
              <w:numPr>
                <w:ilvl w:val="0"/>
                <w:numId w:val="76"/>
              </w:numPr>
              <w:spacing w:before="60" w:after="60"/>
              <w:ind w:left="284" w:hanging="284"/>
              <w:rPr>
                <w:szCs w:val="18"/>
              </w:rPr>
            </w:pPr>
            <w:r w:rsidRPr="00065F1E">
              <w:rPr>
                <w:szCs w:val="18"/>
              </w:rPr>
              <w:t>Survey - a survey of targeted questions for IHC providers and families (tbc)</w:t>
            </w:r>
          </w:p>
        </w:tc>
      </w:tr>
      <w:tr w:rsidR="00772BF9" w:rsidRPr="00DA13B5" w14:paraId="242D43A4" w14:textId="77777777" w:rsidTr="00B7284B">
        <w:tc>
          <w:tcPr>
            <w:tcW w:w="837" w:type="pct"/>
            <w:vMerge/>
            <w:tcMar>
              <w:top w:w="28" w:type="dxa"/>
              <w:left w:w="57" w:type="dxa"/>
              <w:bottom w:w="28" w:type="dxa"/>
              <w:right w:w="57" w:type="dxa"/>
            </w:tcMar>
            <w:vAlign w:val="center"/>
            <w:hideMark/>
          </w:tcPr>
          <w:p w14:paraId="40073BF1" w14:textId="77777777" w:rsidR="00772BF9" w:rsidRPr="00DA13B5" w:rsidRDefault="00772BF9" w:rsidP="00772BF9">
            <w:pPr>
              <w:pStyle w:val="PwCNormal"/>
              <w:numPr>
                <w:ilvl w:val="0"/>
                <w:numId w:val="2"/>
              </w:numPr>
              <w:spacing w:before="60" w:after="60"/>
              <w:rPr>
                <w:szCs w:val="18"/>
              </w:rPr>
            </w:pPr>
          </w:p>
        </w:tc>
        <w:tc>
          <w:tcPr>
            <w:tcW w:w="1349" w:type="pct"/>
            <w:shd w:val="clear" w:color="auto" w:fill="auto"/>
            <w:tcMar>
              <w:top w:w="28" w:type="dxa"/>
              <w:left w:w="57" w:type="dxa"/>
              <w:bottom w:w="28" w:type="dxa"/>
              <w:right w:w="57" w:type="dxa"/>
            </w:tcMar>
            <w:vAlign w:val="center"/>
            <w:hideMark/>
          </w:tcPr>
          <w:p w14:paraId="70936C62" w14:textId="77777777" w:rsidR="00772BF9" w:rsidRPr="00DA13B5" w:rsidRDefault="00772BF9" w:rsidP="001D262B">
            <w:pPr>
              <w:pStyle w:val="PwCNormal"/>
              <w:numPr>
                <w:ilvl w:val="0"/>
                <w:numId w:val="52"/>
              </w:numPr>
              <w:spacing w:before="60" w:after="60"/>
              <w:ind w:left="341" w:hanging="284"/>
              <w:rPr>
                <w:szCs w:val="18"/>
              </w:rPr>
            </w:pPr>
            <w:r w:rsidRPr="00DA13B5">
              <w:rPr>
                <w:szCs w:val="18"/>
              </w:rPr>
              <w:t>Does the IHC program support all types of IHC families to access suitable ECEC? </w:t>
            </w:r>
          </w:p>
        </w:tc>
        <w:tc>
          <w:tcPr>
            <w:tcW w:w="933" w:type="pct"/>
            <w:vMerge/>
            <w:tcMar>
              <w:top w:w="28" w:type="dxa"/>
              <w:left w:w="57" w:type="dxa"/>
              <w:bottom w:w="28" w:type="dxa"/>
              <w:right w:w="57" w:type="dxa"/>
            </w:tcMar>
            <w:vAlign w:val="center"/>
            <w:hideMark/>
          </w:tcPr>
          <w:p w14:paraId="62B1D1A7" w14:textId="77777777" w:rsidR="00772BF9" w:rsidRPr="00DA13B5" w:rsidRDefault="00772BF9" w:rsidP="00772BF9">
            <w:pPr>
              <w:pStyle w:val="PwCNormal"/>
              <w:numPr>
                <w:ilvl w:val="0"/>
                <w:numId w:val="2"/>
              </w:numPr>
              <w:spacing w:before="60" w:after="60"/>
              <w:ind w:left="341" w:hanging="284"/>
              <w:rPr>
                <w:szCs w:val="18"/>
              </w:rPr>
            </w:pPr>
          </w:p>
        </w:tc>
        <w:tc>
          <w:tcPr>
            <w:tcW w:w="833" w:type="pct"/>
            <w:vMerge/>
            <w:tcMar>
              <w:top w:w="28" w:type="dxa"/>
              <w:left w:w="57" w:type="dxa"/>
              <w:bottom w:w="28" w:type="dxa"/>
              <w:right w:w="57" w:type="dxa"/>
            </w:tcMar>
            <w:vAlign w:val="center"/>
            <w:hideMark/>
          </w:tcPr>
          <w:p w14:paraId="5AC4DCCB" w14:textId="77777777" w:rsidR="00772BF9" w:rsidRPr="00DA13B5" w:rsidRDefault="00772BF9" w:rsidP="00772BF9">
            <w:pPr>
              <w:pStyle w:val="PwCNormal"/>
              <w:numPr>
                <w:ilvl w:val="0"/>
                <w:numId w:val="2"/>
              </w:numPr>
              <w:spacing w:before="60" w:after="60"/>
              <w:ind w:left="341" w:hanging="284"/>
              <w:rPr>
                <w:szCs w:val="18"/>
              </w:rPr>
            </w:pPr>
          </w:p>
        </w:tc>
        <w:tc>
          <w:tcPr>
            <w:tcW w:w="1048" w:type="pct"/>
            <w:vMerge/>
            <w:tcMar>
              <w:top w:w="28" w:type="dxa"/>
              <w:left w:w="57" w:type="dxa"/>
              <w:bottom w:w="28" w:type="dxa"/>
              <w:right w:w="57" w:type="dxa"/>
            </w:tcMar>
            <w:vAlign w:val="center"/>
            <w:hideMark/>
          </w:tcPr>
          <w:p w14:paraId="4D572B84" w14:textId="77777777" w:rsidR="00772BF9" w:rsidRPr="00DA13B5" w:rsidRDefault="00772BF9" w:rsidP="00772BF9">
            <w:pPr>
              <w:pStyle w:val="PwCNormal"/>
              <w:numPr>
                <w:ilvl w:val="0"/>
                <w:numId w:val="2"/>
              </w:numPr>
              <w:spacing w:before="60" w:after="60"/>
              <w:ind w:left="341" w:hanging="284"/>
              <w:rPr>
                <w:szCs w:val="18"/>
              </w:rPr>
            </w:pPr>
          </w:p>
        </w:tc>
      </w:tr>
      <w:tr w:rsidR="00772BF9" w:rsidRPr="00DA13B5" w14:paraId="2EBB2225" w14:textId="77777777" w:rsidTr="00191A66">
        <w:tc>
          <w:tcPr>
            <w:tcW w:w="837" w:type="pct"/>
            <w:vMerge/>
            <w:tcMar>
              <w:top w:w="28" w:type="dxa"/>
              <w:left w:w="57" w:type="dxa"/>
              <w:bottom w:w="28" w:type="dxa"/>
              <w:right w:w="57" w:type="dxa"/>
            </w:tcMar>
            <w:vAlign w:val="center"/>
            <w:hideMark/>
          </w:tcPr>
          <w:p w14:paraId="7788B880" w14:textId="77777777" w:rsidR="00772BF9" w:rsidRPr="00DA13B5" w:rsidRDefault="00772BF9" w:rsidP="00772BF9">
            <w:pPr>
              <w:pStyle w:val="PwCNormal"/>
              <w:numPr>
                <w:ilvl w:val="0"/>
                <w:numId w:val="2"/>
              </w:numPr>
              <w:spacing w:before="60" w:after="60"/>
              <w:rPr>
                <w:szCs w:val="18"/>
              </w:rPr>
            </w:pPr>
          </w:p>
        </w:tc>
        <w:tc>
          <w:tcPr>
            <w:tcW w:w="1349" w:type="pct"/>
            <w:shd w:val="clear" w:color="auto" w:fill="auto"/>
            <w:tcMar>
              <w:top w:w="28" w:type="dxa"/>
              <w:left w:w="57" w:type="dxa"/>
              <w:bottom w:w="28" w:type="dxa"/>
              <w:right w:w="57" w:type="dxa"/>
            </w:tcMar>
            <w:hideMark/>
          </w:tcPr>
          <w:p w14:paraId="531B031B" w14:textId="77777777" w:rsidR="00772BF9" w:rsidRPr="00DA13B5" w:rsidRDefault="00772BF9" w:rsidP="00191A66">
            <w:pPr>
              <w:pStyle w:val="PwCNormal"/>
              <w:numPr>
                <w:ilvl w:val="0"/>
                <w:numId w:val="52"/>
              </w:numPr>
              <w:spacing w:before="60" w:after="60"/>
              <w:ind w:left="341" w:hanging="284"/>
              <w:rPr>
                <w:szCs w:val="18"/>
              </w:rPr>
            </w:pPr>
            <w:r w:rsidRPr="00DA13B5">
              <w:rPr>
                <w:szCs w:val="18"/>
              </w:rPr>
              <w:t>Does the IHC program support workforce participation for all family types? </w:t>
            </w:r>
          </w:p>
        </w:tc>
        <w:tc>
          <w:tcPr>
            <w:tcW w:w="933" w:type="pct"/>
            <w:vMerge/>
            <w:tcMar>
              <w:top w:w="28" w:type="dxa"/>
              <w:left w:w="57" w:type="dxa"/>
              <w:bottom w:w="28" w:type="dxa"/>
              <w:right w:w="57" w:type="dxa"/>
            </w:tcMar>
            <w:vAlign w:val="center"/>
            <w:hideMark/>
          </w:tcPr>
          <w:p w14:paraId="4E52FF58" w14:textId="77777777" w:rsidR="00772BF9" w:rsidRPr="00DA13B5" w:rsidRDefault="00772BF9" w:rsidP="00772BF9">
            <w:pPr>
              <w:pStyle w:val="PwCNormal"/>
              <w:numPr>
                <w:ilvl w:val="0"/>
                <w:numId w:val="2"/>
              </w:numPr>
              <w:spacing w:before="60" w:after="60"/>
              <w:ind w:left="341" w:hanging="284"/>
              <w:rPr>
                <w:szCs w:val="18"/>
              </w:rPr>
            </w:pPr>
          </w:p>
        </w:tc>
        <w:tc>
          <w:tcPr>
            <w:tcW w:w="833" w:type="pct"/>
            <w:vMerge/>
            <w:tcMar>
              <w:top w:w="28" w:type="dxa"/>
              <w:left w:w="57" w:type="dxa"/>
              <w:bottom w:w="28" w:type="dxa"/>
              <w:right w:w="57" w:type="dxa"/>
            </w:tcMar>
            <w:vAlign w:val="center"/>
            <w:hideMark/>
          </w:tcPr>
          <w:p w14:paraId="611AB952" w14:textId="77777777" w:rsidR="00772BF9" w:rsidRPr="00DA13B5" w:rsidRDefault="00772BF9" w:rsidP="00772BF9">
            <w:pPr>
              <w:pStyle w:val="PwCNormal"/>
              <w:numPr>
                <w:ilvl w:val="0"/>
                <w:numId w:val="2"/>
              </w:numPr>
              <w:spacing w:before="60" w:after="60"/>
              <w:ind w:left="341" w:hanging="284"/>
              <w:rPr>
                <w:szCs w:val="18"/>
              </w:rPr>
            </w:pPr>
          </w:p>
        </w:tc>
        <w:tc>
          <w:tcPr>
            <w:tcW w:w="1048" w:type="pct"/>
            <w:vMerge/>
            <w:tcMar>
              <w:top w:w="28" w:type="dxa"/>
              <w:left w:w="57" w:type="dxa"/>
              <w:bottom w:w="28" w:type="dxa"/>
              <w:right w:w="57" w:type="dxa"/>
            </w:tcMar>
            <w:vAlign w:val="center"/>
            <w:hideMark/>
          </w:tcPr>
          <w:p w14:paraId="59445D46" w14:textId="77777777" w:rsidR="00772BF9" w:rsidRPr="00DA13B5" w:rsidRDefault="00772BF9" w:rsidP="00772BF9">
            <w:pPr>
              <w:pStyle w:val="PwCNormal"/>
              <w:numPr>
                <w:ilvl w:val="0"/>
                <w:numId w:val="2"/>
              </w:numPr>
              <w:spacing w:before="60" w:after="60"/>
              <w:ind w:left="341" w:hanging="284"/>
              <w:rPr>
                <w:szCs w:val="18"/>
              </w:rPr>
            </w:pPr>
          </w:p>
        </w:tc>
      </w:tr>
    </w:tbl>
    <w:p w14:paraId="0C2D4529" w14:textId="77777777" w:rsidR="00772BF9" w:rsidRDefault="00772BF9">
      <w:pPr>
        <w:spacing w:before="0" w:line="281" w:lineRule="auto"/>
      </w:pPr>
    </w:p>
    <w:p w14:paraId="76AAD0A0" w14:textId="0A853832" w:rsidR="00C354C7" w:rsidRDefault="00C354C7">
      <w:pPr>
        <w:spacing w:before="0" w:line="281" w:lineRule="auto"/>
      </w:pPr>
      <w:r>
        <w:br w:type="page"/>
      </w:r>
    </w:p>
    <w:tbl>
      <w:tblPr>
        <w:tblW w:w="5000" w:type="pct"/>
        <w:tblBorders>
          <w:bottom w:val="single" w:sz="4" w:space="0" w:color="D04A02" w:themeColor="accent1"/>
        </w:tblBorders>
        <w:tblCellMar>
          <w:left w:w="0" w:type="dxa"/>
          <w:right w:w="0" w:type="dxa"/>
        </w:tblCellMar>
        <w:tblLook w:val="0600" w:firstRow="0" w:lastRow="0" w:firstColumn="0" w:lastColumn="0" w:noHBand="1" w:noVBand="1"/>
      </w:tblPr>
      <w:tblGrid>
        <w:gridCol w:w="1108"/>
        <w:gridCol w:w="1864"/>
        <w:gridCol w:w="2071"/>
        <w:gridCol w:w="2810"/>
        <w:gridCol w:w="1898"/>
      </w:tblGrid>
      <w:tr w:rsidR="00772BF9" w:rsidRPr="00BF638F" w14:paraId="0E0C5436" w14:textId="77777777" w:rsidTr="00B7284B">
        <w:tc>
          <w:tcPr>
            <w:tcW w:w="5000" w:type="pct"/>
            <w:gridSpan w:val="5"/>
            <w:shd w:val="clear" w:color="auto" w:fill="D04A02" w:themeFill="accent1"/>
            <w:tcMar>
              <w:top w:w="28" w:type="dxa"/>
              <w:left w:w="57" w:type="dxa"/>
              <w:bottom w:w="28" w:type="dxa"/>
              <w:right w:w="57" w:type="dxa"/>
            </w:tcMar>
            <w:hideMark/>
          </w:tcPr>
          <w:p w14:paraId="734A8CE6" w14:textId="77777777" w:rsidR="00772BF9" w:rsidRPr="00BF638F" w:rsidRDefault="00772BF9">
            <w:pPr>
              <w:rPr>
                <w:rFonts w:cstheme="minorHAnsi"/>
                <w:color w:val="FFFFFF" w:themeColor="background1"/>
                <w:sz w:val="18"/>
                <w:szCs w:val="18"/>
              </w:rPr>
            </w:pPr>
            <w:r w:rsidRPr="00BF638F">
              <w:rPr>
                <w:rFonts w:cstheme="minorHAnsi"/>
                <w:b/>
                <w:bCs/>
                <w:color w:val="FFFFFF" w:themeColor="background1"/>
                <w:sz w:val="18"/>
                <w:szCs w:val="18"/>
                <w:lang w:val="en-US"/>
              </w:rPr>
              <w:lastRenderedPageBreak/>
              <w:t>Review of the IHC Program – current state analysis</w:t>
            </w:r>
          </w:p>
        </w:tc>
      </w:tr>
      <w:tr w:rsidR="00772BF9" w:rsidRPr="00BF638F" w14:paraId="552A606A" w14:textId="77777777" w:rsidTr="00B7284B">
        <w:tc>
          <w:tcPr>
            <w:tcW w:w="568" w:type="pct"/>
            <w:vMerge w:val="restart"/>
            <w:shd w:val="clear" w:color="auto" w:fill="DEDEDE" w:themeFill="background2"/>
            <w:tcMar>
              <w:top w:w="28" w:type="dxa"/>
              <w:left w:w="57" w:type="dxa"/>
              <w:bottom w:w="28" w:type="dxa"/>
              <w:right w:w="57" w:type="dxa"/>
            </w:tcMar>
            <w:vAlign w:val="center"/>
            <w:hideMark/>
          </w:tcPr>
          <w:p w14:paraId="0A074A73" w14:textId="77777777" w:rsidR="00772BF9" w:rsidRPr="00BF638F" w:rsidRDefault="00772BF9">
            <w:pPr>
              <w:rPr>
                <w:rFonts w:cstheme="minorHAnsi"/>
                <w:sz w:val="18"/>
                <w:szCs w:val="18"/>
              </w:rPr>
            </w:pPr>
            <w:r w:rsidRPr="00BF638F">
              <w:rPr>
                <w:rFonts w:cstheme="minorHAnsi"/>
                <w:b/>
                <w:bCs/>
                <w:sz w:val="18"/>
                <w:szCs w:val="18"/>
              </w:rPr>
              <w:t>Key evaluation question</w:t>
            </w:r>
          </w:p>
        </w:tc>
        <w:tc>
          <w:tcPr>
            <w:tcW w:w="956" w:type="pct"/>
            <w:vMerge w:val="restart"/>
            <w:shd w:val="clear" w:color="auto" w:fill="DEDEDE" w:themeFill="background2"/>
            <w:tcMar>
              <w:top w:w="28" w:type="dxa"/>
              <w:left w:w="57" w:type="dxa"/>
              <w:bottom w:w="28" w:type="dxa"/>
              <w:right w:w="57" w:type="dxa"/>
            </w:tcMar>
            <w:vAlign w:val="center"/>
            <w:hideMark/>
          </w:tcPr>
          <w:p w14:paraId="54BFE568" w14:textId="77777777" w:rsidR="00772BF9" w:rsidRPr="00BF638F" w:rsidRDefault="00772BF9">
            <w:pPr>
              <w:rPr>
                <w:rFonts w:cstheme="minorHAnsi"/>
                <w:sz w:val="18"/>
                <w:szCs w:val="18"/>
              </w:rPr>
            </w:pPr>
            <w:r w:rsidRPr="00BF638F">
              <w:rPr>
                <w:rFonts w:cstheme="minorHAnsi"/>
                <w:b/>
                <w:bCs/>
                <w:sz w:val="18"/>
                <w:szCs w:val="18"/>
                <w:lang w:val="en-US"/>
              </w:rPr>
              <w:t>Lines of Inquiry</w:t>
            </w:r>
          </w:p>
        </w:tc>
        <w:tc>
          <w:tcPr>
            <w:tcW w:w="1062" w:type="pct"/>
            <w:vMerge w:val="restart"/>
            <w:shd w:val="clear" w:color="auto" w:fill="DEDEDE" w:themeFill="background2"/>
            <w:tcMar>
              <w:top w:w="28" w:type="dxa"/>
              <w:left w:w="57" w:type="dxa"/>
              <w:bottom w:w="28" w:type="dxa"/>
              <w:right w:w="57" w:type="dxa"/>
            </w:tcMar>
            <w:vAlign w:val="center"/>
            <w:hideMark/>
          </w:tcPr>
          <w:p w14:paraId="60D0B97F" w14:textId="77777777" w:rsidR="00772BF9" w:rsidRPr="00BF638F" w:rsidRDefault="00772BF9">
            <w:pPr>
              <w:rPr>
                <w:rFonts w:cstheme="minorHAnsi"/>
                <w:sz w:val="18"/>
                <w:szCs w:val="18"/>
              </w:rPr>
            </w:pPr>
            <w:r w:rsidRPr="00BF638F">
              <w:rPr>
                <w:rFonts w:cstheme="minorHAnsi"/>
                <w:b/>
                <w:bCs/>
                <w:sz w:val="18"/>
                <w:szCs w:val="18"/>
              </w:rPr>
              <w:t>Indicators</w:t>
            </w:r>
          </w:p>
        </w:tc>
        <w:tc>
          <w:tcPr>
            <w:tcW w:w="2414" w:type="pct"/>
            <w:gridSpan w:val="2"/>
            <w:shd w:val="clear" w:color="auto" w:fill="464646" w:themeFill="accent6"/>
            <w:tcMar>
              <w:top w:w="28" w:type="dxa"/>
              <w:left w:w="57" w:type="dxa"/>
              <w:bottom w:w="28" w:type="dxa"/>
              <w:right w:w="57" w:type="dxa"/>
            </w:tcMar>
            <w:vAlign w:val="center"/>
            <w:hideMark/>
          </w:tcPr>
          <w:p w14:paraId="42691A7F" w14:textId="77777777" w:rsidR="00772BF9" w:rsidRPr="00BF638F" w:rsidRDefault="00772BF9" w:rsidP="00B7284B">
            <w:pPr>
              <w:jc w:val="center"/>
              <w:rPr>
                <w:rFonts w:cstheme="minorHAnsi"/>
                <w:sz w:val="18"/>
                <w:szCs w:val="18"/>
              </w:rPr>
            </w:pPr>
            <w:r w:rsidRPr="00B7284B">
              <w:rPr>
                <w:rFonts w:cstheme="minorHAnsi"/>
                <w:b/>
                <w:bCs/>
                <w:color w:val="FFFFFF" w:themeColor="background1"/>
                <w:sz w:val="18"/>
                <w:szCs w:val="18"/>
              </w:rPr>
              <w:t>Data Source</w:t>
            </w:r>
          </w:p>
        </w:tc>
      </w:tr>
      <w:tr w:rsidR="00772BF9" w:rsidRPr="00BF638F" w14:paraId="6613C914" w14:textId="77777777" w:rsidTr="00B7284B">
        <w:tc>
          <w:tcPr>
            <w:tcW w:w="568" w:type="pct"/>
            <w:vMerge/>
            <w:shd w:val="clear" w:color="auto" w:fill="DEDEDE" w:themeFill="background2"/>
            <w:tcMar>
              <w:top w:w="28" w:type="dxa"/>
              <w:left w:w="57" w:type="dxa"/>
              <w:bottom w:w="28" w:type="dxa"/>
              <w:right w:w="57" w:type="dxa"/>
            </w:tcMar>
            <w:vAlign w:val="center"/>
            <w:hideMark/>
          </w:tcPr>
          <w:p w14:paraId="55C19A06" w14:textId="77777777" w:rsidR="00772BF9" w:rsidRPr="00BF638F" w:rsidRDefault="00772BF9">
            <w:pPr>
              <w:rPr>
                <w:rFonts w:cstheme="minorHAnsi"/>
                <w:sz w:val="18"/>
                <w:szCs w:val="18"/>
              </w:rPr>
            </w:pPr>
          </w:p>
        </w:tc>
        <w:tc>
          <w:tcPr>
            <w:tcW w:w="956" w:type="pct"/>
            <w:vMerge/>
            <w:shd w:val="clear" w:color="auto" w:fill="DEDEDE" w:themeFill="background2"/>
            <w:tcMar>
              <w:top w:w="28" w:type="dxa"/>
              <w:left w:w="57" w:type="dxa"/>
              <w:bottom w:w="28" w:type="dxa"/>
              <w:right w:w="57" w:type="dxa"/>
            </w:tcMar>
            <w:vAlign w:val="center"/>
            <w:hideMark/>
          </w:tcPr>
          <w:p w14:paraId="7F3EB802" w14:textId="77777777" w:rsidR="00772BF9" w:rsidRPr="00BF638F" w:rsidRDefault="00772BF9">
            <w:pPr>
              <w:rPr>
                <w:rFonts w:cstheme="minorHAnsi"/>
                <w:sz w:val="18"/>
                <w:szCs w:val="18"/>
              </w:rPr>
            </w:pPr>
          </w:p>
        </w:tc>
        <w:tc>
          <w:tcPr>
            <w:tcW w:w="1062" w:type="pct"/>
            <w:vMerge/>
            <w:shd w:val="clear" w:color="auto" w:fill="DEDEDE" w:themeFill="background2"/>
            <w:tcMar>
              <w:top w:w="28" w:type="dxa"/>
              <w:left w:w="57" w:type="dxa"/>
              <w:bottom w:w="28" w:type="dxa"/>
              <w:right w:w="57" w:type="dxa"/>
            </w:tcMar>
            <w:vAlign w:val="center"/>
            <w:hideMark/>
          </w:tcPr>
          <w:p w14:paraId="24263125" w14:textId="77777777" w:rsidR="00772BF9" w:rsidRPr="00BF638F" w:rsidRDefault="00772BF9">
            <w:pPr>
              <w:rPr>
                <w:rFonts w:cstheme="minorHAnsi"/>
                <w:sz w:val="18"/>
                <w:szCs w:val="18"/>
              </w:rPr>
            </w:pPr>
          </w:p>
        </w:tc>
        <w:tc>
          <w:tcPr>
            <w:tcW w:w="1441" w:type="pct"/>
            <w:shd w:val="clear" w:color="auto" w:fill="DEDEDE" w:themeFill="background2"/>
            <w:tcMar>
              <w:top w:w="28" w:type="dxa"/>
              <w:left w:w="57" w:type="dxa"/>
              <w:bottom w:w="28" w:type="dxa"/>
              <w:right w:w="57" w:type="dxa"/>
            </w:tcMar>
            <w:vAlign w:val="center"/>
            <w:hideMark/>
          </w:tcPr>
          <w:p w14:paraId="68381B33" w14:textId="77777777" w:rsidR="00772BF9" w:rsidRPr="00BF638F" w:rsidRDefault="00772BF9">
            <w:pPr>
              <w:rPr>
                <w:rFonts w:cstheme="minorHAnsi"/>
                <w:sz w:val="18"/>
                <w:szCs w:val="18"/>
              </w:rPr>
            </w:pPr>
            <w:r w:rsidRPr="00BF638F">
              <w:rPr>
                <w:rFonts w:cstheme="minorHAnsi"/>
                <w:b/>
                <w:bCs/>
                <w:sz w:val="18"/>
                <w:szCs w:val="18"/>
              </w:rPr>
              <w:t>Existing Data</w:t>
            </w:r>
          </w:p>
        </w:tc>
        <w:tc>
          <w:tcPr>
            <w:tcW w:w="973" w:type="pct"/>
            <w:shd w:val="clear" w:color="auto" w:fill="DEDEDE" w:themeFill="background2"/>
            <w:tcMar>
              <w:top w:w="28" w:type="dxa"/>
              <w:left w:w="57" w:type="dxa"/>
              <w:bottom w:w="28" w:type="dxa"/>
              <w:right w:w="57" w:type="dxa"/>
            </w:tcMar>
            <w:vAlign w:val="center"/>
            <w:hideMark/>
          </w:tcPr>
          <w:p w14:paraId="4B786DA9" w14:textId="77777777" w:rsidR="00772BF9" w:rsidRPr="00BF638F" w:rsidRDefault="00772BF9">
            <w:pPr>
              <w:rPr>
                <w:rFonts w:cstheme="minorHAnsi"/>
                <w:sz w:val="18"/>
                <w:szCs w:val="18"/>
              </w:rPr>
            </w:pPr>
            <w:r w:rsidRPr="00BF638F">
              <w:rPr>
                <w:rFonts w:cstheme="minorHAnsi"/>
                <w:b/>
                <w:bCs/>
                <w:sz w:val="18"/>
                <w:szCs w:val="18"/>
              </w:rPr>
              <w:t>New Data</w:t>
            </w:r>
          </w:p>
        </w:tc>
      </w:tr>
      <w:tr w:rsidR="00772BF9" w:rsidRPr="00BF638F" w14:paraId="2B09EF41" w14:textId="77777777" w:rsidTr="00B7284B">
        <w:tc>
          <w:tcPr>
            <w:tcW w:w="568" w:type="pct"/>
            <w:vMerge w:val="restart"/>
            <w:shd w:val="clear" w:color="auto" w:fill="auto"/>
            <w:tcMar>
              <w:top w:w="28" w:type="dxa"/>
              <w:left w:w="57" w:type="dxa"/>
              <w:bottom w:w="28" w:type="dxa"/>
              <w:right w:w="57" w:type="dxa"/>
            </w:tcMar>
            <w:hideMark/>
          </w:tcPr>
          <w:p w14:paraId="2015F88E" w14:textId="77777777" w:rsidR="00772BF9" w:rsidRPr="00BF638F" w:rsidRDefault="00772BF9">
            <w:pPr>
              <w:rPr>
                <w:rFonts w:cstheme="minorHAnsi"/>
                <w:sz w:val="18"/>
                <w:szCs w:val="18"/>
              </w:rPr>
            </w:pPr>
            <w:r w:rsidRPr="00BF638F">
              <w:rPr>
                <w:rFonts w:cstheme="minorHAnsi"/>
                <w:sz w:val="18"/>
                <w:szCs w:val="18"/>
              </w:rPr>
              <w:t>4. Is the IHC program cost-effective?* </w:t>
            </w:r>
          </w:p>
        </w:tc>
        <w:tc>
          <w:tcPr>
            <w:tcW w:w="956" w:type="pct"/>
            <w:shd w:val="clear" w:color="auto" w:fill="auto"/>
            <w:tcMar>
              <w:top w:w="28" w:type="dxa"/>
              <w:left w:w="57" w:type="dxa"/>
              <w:bottom w:w="28" w:type="dxa"/>
              <w:right w:w="57" w:type="dxa"/>
            </w:tcMar>
            <w:vAlign w:val="center"/>
            <w:hideMark/>
          </w:tcPr>
          <w:p w14:paraId="05ED35D5" w14:textId="77777777" w:rsidR="00772BF9" w:rsidRPr="00BF638F" w:rsidRDefault="00772BF9" w:rsidP="001D262B">
            <w:pPr>
              <w:numPr>
                <w:ilvl w:val="0"/>
                <w:numId w:val="54"/>
              </w:numPr>
              <w:spacing w:before="60" w:after="60"/>
              <w:ind w:left="284" w:hanging="284"/>
              <w:rPr>
                <w:rFonts w:cstheme="minorHAnsi"/>
                <w:sz w:val="18"/>
                <w:szCs w:val="18"/>
              </w:rPr>
            </w:pPr>
            <w:r w:rsidRPr="00BF638F">
              <w:rPr>
                <w:rFonts w:cstheme="minorHAnsi"/>
                <w:sz w:val="18"/>
                <w:szCs w:val="18"/>
              </w:rPr>
              <w:t>What is the current and future costs of the IHC program?</w:t>
            </w:r>
          </w:p>
        </w:tc>
        <w:tc>
          <w:tcPr>
            <w:tcW w:w="1062" w:type="pct"/>
            <w:vMerge w:val="restart"/>
            <w:shd w:val="clear" w:color="auto" w:fill="auto"/>
            <w:tcMar>
              <w:top w:w="28" w:type="dxa"/>
              <w:left w:w="57" w:type="dxa"/>
              <w:bottom w:w="28" w:type="dxa"/>
              <w:right w:w="57" w:type="dxa"/>
            </w:tcMar>
            <w:hideMark/>
          </w:tcPr>
          <w:p w14:paraId="157E78DB" w14:textId="77777777" w:rsidR="007D7BF5" w:rsidRDefault="00772BF9" w:rsidP="00B7284B">
            <w:pPr>
              <w:pStyle w:val="PwCNormal"/>
              <w:numPr>
                <w:ilvl w:val="0"/>
                <w:numId w:val="76"/>
              </w:numPr>
              <w:spacing w:before="60" w:after="60"/>
              <w:ind w:left="284" w:hanging="284"/>
              <w:rPr>
                <w:szCs w:val="18"/>
              </w:rPr>
            </w:pPr>
            <w:r w:rsidRPr="00065F1E">
              <w:rPr>
                <w:szCs w:val="18"/>
              </w:rPr>
              <w:t>Current cost and projected cost</w:t>
            </w:r>
          </w:p>
          <w:p w14:paraId="0641D107" w14:textId="77777777" w:rsidR="007D7BF5" w:rsidRDefault="00772BF9" w:rsidP="00B7284B">
            <w:pPr>
              <w:pStyle w:val="PwCNormal"/>
              <w:numPr>
                <w:ilvl w:val="0"/>
                <w:numId w:val="76"/>
              </w:numPr>
              <w:spacing w:before="60" w:after="60"/>
              <w:ind w:left="284" w:hanging="284"/>
              <w:rPr>
                <w:szCs w:val="18"/>
              </w:rPr>
            </w:pPr>
            <w:r w:rsidRPr="00065F1E">
              <w:rPr>
                <w:szCs w:val="18"/>
              </w:rPr>
              <w:t>Program benefits justify the costs</w:t>
            </w:r>
          </w:p>
          <w:p w14:paraId="696F6B85" w14:textId="77777777" w:rsidR="007D7BF5" w:rsidRDefault="00772BF9" w:rsidP="00B7284B">
            <w:pPr>
              <w:pStyle w:val="PwCNormal"/>
              <w:numPr>
                <w:ilvl w:val="0"/>
                <w:numId w:val="76"/>
              </w:numPr>
              <w:spacing w:before="60" w:after="60"/>
              <w:ind w:left="284" w:hanging="284"/>
              <w:rPr>
                <w:szCs w:val="18"/>
              </w:rPr>
            </w:pPr>
            <w:r w:rsidRPr="00065F1E">
              <w:rPr>
                <w:szCs w:val="18"/>
              </w:rPr>
              <w:t>The cost of IHC is comparable to other programs</w:t>
            </w:r>
          </w:p>
          <w:p w14:paraId="38050314" w14:textId="77777777" w:rsidR="007D7BF5" w:rsidRDefault="00772BF9" w:rsidP="00B7284B">
            <w:pPr>
              <w:pStyle w:val="PwCNormal"/>
              <w:numPr>
                <w:ilvl w:val="0"/>
                <w:numId w:val="76"/>
              </w:numPr>
              <w:spacing w:before="60" w:after="60"/>
              <w:ind w:left="284" w:hanging="284"/>
              <w:rPr>
                <w:szCs w:val="18"/>
              </w:rPr>
            </w:pPr>
            <w:r w:rsidRPr="00065F1E">
              <w:rPr>
                <w:szCs w:val="18"/>
              </w:rPr>
              <w:t>IHC services providers are</w:t>
            </w:r>
            <w:r w:rsidR="0036642F">
              <w:rPr>
                <w:szCs w:val="18"/>
              </w:rPr>
              <w:t xml:space="preserve"> </w:t>
            </w:r>
            <w:r w:rsidRPr="00065F1E">
              <w:rPr>
                <w:szCs w:val="18"/>
              </w:rPr>
              <w:t>financially sustainable</w:t>
            </w:r>
          </w:p>
          <w:p w14:paraId="328BB762" w14:textId="77777777" w:rsidR="007D7BF5" w:rsidRDefault="00772BF9" w:rsidP="00B7284B">
            <w:pPr>
              <w:pStyle w:val="PwCNormal"/>
              <w:numPr>
                <w:ilvl w:val="0"/>
                <w:numId w:val="76"/>
              </w:numPr>
              <w:spacing w:before="60" w:after="60"/>
              <w:ind w:left="284" w:hanging="284"/>
              <w:rPr>
                <w:szCs w:val="18"/>
              </w:rPr>
            </w:pPr>
            <w:r w:rsidRPr="00065F1E">
              <w:rPr>
                <w:szCs w:val="18"/>
              </w:rPr>
              <w:t>The IHC Program is sufficiently resourced</w:t>
            </w:r>
          </w:p>
          <w:p w14:paraId="6811826E" w14:textId="77777777" w:rsidR="007D7BF5" w:rsidRDefault="00772BF9" w:rsidP="00B7284B">
            <w:pPr>
              <w:pStyle w:val="PwCNormal"/>
              <w:numPr>
                <w:ilvl w:val="0"/>
                <w:numId w:val="76"/>
              </w:numPr>
              <w:spacing w:before="60" w:after="60"/>
              <w:ind w:left="284" w:hanging="284"/>
              <w:rPr>
                <w:szCs w:val="18"/>
              </w:rPr>
            </w:pPr>
            <w:r w:rsidRPr="00065F1E">
              <w:rPr>
                <w:szCs w:val="18"/>
              </w:rPr>
              <w:t>Total cost of IHC (direct/indirect) is affordable for all families and more cost-effective than other ECEC (i.e. FDC)</w:t>
            </w:r>
          </w:p>
          <w:p w14:paraId="2D9B419D" w14:textId="3506FC80" w:rsidR="00772BF9" w:rsidRPr="00065F1E" w:rsidRDefault="00772BF9" w:rsidP="00B7284B">
            <w:pPr>
              <w:pStyle w:val="PwCNormal"/>
              <w:numPr>
                <w:ilvl w:val="0"/>
                <w:numId w:val="76"/>
              </w:numPr>
              <w:spacing w:before="60" w:after="60"/>
              <w:ind w:left="284" w:hanging="284"/>
              <w:rPr>
                <w:szCs w:val="18"/>
              </w:rPr>
            </w:pPr>
            <w:r w:rsidRPr="00065F1E">
              <w:rPr>
                <w:szCs w:val="18"/>
              </w:rPr>
              <w:t>Families can afford IHC program (including direct/indirect costs) </w:t>
            </w:r>
          </w:p>
        </w:tc>
        <w:tc>
          <w:tcPr>
            <w:tcW w:w="1441" w:type="pct"/>
            <w:vMerge w:val="restart"/>
            <w:shd w:val="clear" w:color="auto" w:fill="auto"/>
            <w:tcMar>
              <w:top w:w="28" w:type="dxa"/>
              <w:left w:w="57" w:type="dxa"/>
              <w:bottom w:w="28" w:type="dxa"/>
              <w:right w:w="57" w:type="dxa"/>
            </w:tcMar>
            <w:hideMark/>
          </w:tcPr>
          <w:p w14:paraId="72526450" w14:textId="77777777" w:rsidR="007D7BF5" w:rsidRDefault="00772BF9" w:rsidP="00B7284B">
            <w:pPr>
              <w:pStyle w:val="PwCNormal"/>
              <w:numPr>
                <w:ilvl w:val="0"/>
                <w:numId w:val="76"/>
              </w:numPr>
              <w:spacing w:before="60" w:after="60"/>
              <w:ind w:left="284" w:hanging="284"/>
              <w:rPr>
                <w:szCs w:val="18"/>
              </w:rPr>
            </w:pPr>
            <w:r w:rsidRPr="00065F1E">
              <w:rPr>
                <w:szCs w:val="18"/>
              </w:rPr>
              <w:t>Financial data</w:t>
            </w:r>
          </w:p>
          <w:p w14:paraId="45BFC324" w14:textId="02C59E31" w:rsidR="00772BF9" w:rsidRPr="00065F1E" w:rsidRDefault="00772BF9" w:rsidP="00B7284B">
            <w:pPr>
              <w:pStyle w:val="PwCNormal"/>
              <w:numPr>
                <w:ilvl w:val="0"/>
                <w:numId w:val="76"/>
              </w:numPr>
              <w:spacing w:before="60" w:after="60"/>
              <w:ind w:left="284" w:hanging="284"/>
              <w:rPr>
                <w:szCs w:val="18"/>
              </w:rPr>
            </w:pPr>
            <w:r w:rsidRPr="00065F1E">
              <w:rPr>
                <w:szCs w:val="18"/>
              </w:rPr>
              <w:t>Previous IHC Evaluation reports and reviews to identify program benefits</w:t>
            </w:r>
            <w:r w:rsidR="0036642F">
              <w:rPr>
                <w:szCs w:val="18"/>
              </w:rPr>
              <w:t>/</w:t>
            </w:r>
            <w:r w:rsidRPr="00065F1E">
              <w:rPr>
                <w:szCs w:val="18"/>
              </w:rPr>
              <w:t>impacts</w:t>
            </w:r>
          </w:p>
          <w:p w14:paraId="57947089" w14:textId="77777777" w:rsidR="007D7BF5" w:rsidRDefault="00772BF9" w:rsidP="00B7284B">
            <w:pPr>
              <w:pStyle w:val="PwCNormal"/>
              <w:numPr>
                <w:ilvl w:val="0"/>
                <w:numId w:val="76"/>
              </w:numPr>
              <w:spacing w:before="60" w:after="60"/>
              <w:ind w:left="284" w:hanging="284"/>
              <w:rPr>
                <w:szCs w:val="18"/>
              </w:rPr>
            </w:pPr>
            <w:r w:rsidRPr="00065F1E">
              <w:rPr>
                <w:szCs w:val="18"/>
              </w:rPr>
              <w:t>Cost data (i.e. IHC fees, registration/onboarding fees)</w:t>
            </w:r>
          </w:p>
          <w:p w14:paraId="781BBA98" w14:textId="5DDF38D7" w:rsidR="00772BF9" w:rsidRPr="00065F1E" w:rsidRDefault="00772BF9" w:rsidP="00B7284B">
            <w:pPr>
              <w:pStyle w:val="PwCNormal"/>
              <w:numPr>
                <w:ilvl w:val="0"/>
                <w:numId w:val="76"/>
              </w:numPr>
              <w:spacing w:before="60" w:after="60"/>
              <w:ind w:left="284" w:hanging="284"/>
              <w:rPr>
                <w:szCs w:val="18"/>
              </w:rPr>
            </w:pPr>
            <w:r w:rsidRPr="00065F1E">
              <w:rPr>
                <w:szCs w:val="18"/>
              </w:rPr>
              <w:t>IHC Services Quarterly Data</w:t>
            </w:r>
          </w:p>
          <w:p w14:paraId="5AD24F61" w14:textId="77777777" w:rsidR="00772BF9" w:rsidRPr="00065F1E" w:rsidRDefault="00772BF9" w:rsidP="00B7284B">
            <w:pPr>
              <w:pStyle w:val="PwCNormal"/>
              <w:numPr>
                <w:ilvl w:val="0"/>
                <w:numId w:val="76"/>
              </w:numPr>
              <w:spacing w:before="60" w:after="60"/>
              <w:ind w:left="284" w:hanging="284"/>
              <w:rPr>
                <w:szCs w:val="18"/>
              </w:rPr>
            </w:pPr>
            <w:r w:rsidRPr="00065F1E">
              <w:rPr>
                <w:szCs w:val="18"/>
              </w:rPr>
              <w:t xml:space="preserve">Publicly available social data (unemployment, cost of lower education, GDP cost of unemployment) to calculate cost of unrealised benefit </w:t>
            </w:r>
          </w:p>
        </w:tc>
        <w:tc>
          <w:tcPr>
            <w:tcW w:w="973" w:type="pct"/>
            <w:vMerge w:val="restart"/>
            <w:shd w:val="clear" w:color="auto" w:fill="auto"/>
            <w:tcMar>
              <w:top w:w="28" w:type="dxa"/>
              <w:left w:w="57" w:type="dxa"/>
              <w:bottom w:w="28" w:type="dxa"/>
              <w:right w:w="57" w:type="dxa"/>
            </w:tcMar>
            <w:hideMark/>
          </w:tcPr>
          <w:p w14:paraId="513C274F" w14:textId="77777777" w:rsidR="00772BF9" w:rsidRPr="00065F1E" w:rsidRDefault="00772BF9" w:rsidP="00B7284B">
            <w:pPr>
              <w:pStyle w:val="PwCNormal"/>
              <w:numPr>
                <w:ilvl w:val="0"/>
                <w:numId w:val="76"/>
              </w:numPr>
              <w:spacing w:before="60" w:after="60"/>
              <w:ind w:left="284" w:hanging="284"/>
              <w:rPr>
                <w:szCs w:val="18"/>
              </w:rPr>
            </w:pPr>
            <w:r w:rsidRPr="00065F1E">
              <w:rPr>
                <w:b/>
                <w:bCs/>
                <w:szCs w:val="18"/>
              </w:rPr>
              <w:t>Desktop review</w:t>
            </w:r>
            <w:r w:rsidRPr="00065F1E">
              <w:rPr>
                <w:szCs w:val="18"/>
              </w:rPr>
              <w:t xml:space="preserve"> of other similar programs (in Australia and internationally)</w:t>
            </w:r>
          </w:p>
          <w:p w14:paraId="0BBCF132" w14:textId="77777777" w:rsidR="00772BF9" w:rsidRPr="00065F1E" w:rsidRDefault="00772BF9" w:rsidP="00B7284B">
            <w:pPr>
              <w:pStyle w:val="PwCNormal"/>
              <w:numPr>
                <w:ilvl w:val="0"/>
                <w:numId w:val="76"/>
              </w:numPr>
              <w:spacing w:before="60" w:after="60"/>
              <w:ind w:left="284" w:hanging="284"/>
              <w:rPr>
                <w:szCs w:val="18"/>
              </w:rPr>
            </w:pPr>
            <w:r w:rsidRPr="00065F1E">
              <w:rPr>
                <w:b/>
                <w:bCs/>
                <w:szCs w:val="18"/>
              </w:rPr>
              <w:t>Data collection interviews</w:t>
            </w:r>
            <w:r w:rsidRPr="00065F1E">
              <w:rPr>
                <w:szCs w:val="18"/>
              </w:rPr>
              <w:t xml:space="preserve"> with relevant key stakeholders including:</w:t>
            </w:r>
          </w:p>
          <w:p w14:paraId="5955CC42" w14:textId="77777777" w:rsidR="007D7BF5" w:rsidRPr="00F54AAC" w:rsidRDefault="00772BF9" w:rsidP="00B7284B">
            <w:pPr>
              <w:pStyle w:val="PwCNormal"/>
              <w:numPr>
                <w:ilvl w:val="1"/>
                <w:numId w:val="53"/>
              </w:numPr>
              <w:spacing w:before="60" w:after="60"/>
              <w:ind w:left="568" w:hanging="284"/>
              <w:rPr>
                <w:szCs w:val="18"/>
              </w:rPr>
            </w:pPr>
            <w:r w:rsidRPr="00F54AAC">
              <w:rPr>
                <w:szCs w:val="18"/>
              </w:rPr>
              <w:t>Department</w:t>
            </w:r>
          </w:p>
          <w:p w14:paraId="05AC139D" w14:textId="77777777" w:rsidR="007D7BF5" w:rsidRPr="00F54AAC" w:rsidRDefault="00772BF9" w:rsidP="00B7284B">
            <w:pPr>
              <w:pStyle w:val="PwCNormal"/>
              <w:numPr>
                <w:ilvl w:val="1"/>
                <w:numId w:val="53"/>
              </w:numPr>
              <w:spacing w:before="60" w:after="60"/>
              <w:ind w:left="568" w:hanging="284"/>
              <w:rPr>
                <w:szCs w:val="18"/>
              </w:rPr>
            </w:pPr>
            <w:r w:rsidRPr="00F54AAC">
              <w:rPr>
                <w:szCs w:val="18"/>
              </w:rPr>
              <w:t>IHC Support Agencies,</w:t>
            </w:r>
          </w:p>
          <w:p w14:paraId="048E5EAD" w14:textId="77777777" w:rsidR="007D7BF5" w:rsidRPr="00F54AAC" w:rsidRDefault="00772BF9" w:rsidP="00B7284B">
            <w:pPr>
              <w:pStyle w:val="PwCNormal"/>
              <w:numPr>
                <w:ilvl w:val="1"/>
                <w:numId w:val="53"/>
              </w:numPr>
              <w:spacing w:before="60" w:after="60"/>
              <w:ind w:left="568" w:hanging="284"/>
              <w:rPr>
                <w:szCs w:val="18"/>
              </w:rPr>
            </w:pPr>
            <w:r w:rsidRPr="00F54AAC">
              <w:rPr>
                <w:szCs w:val="18"/>
              </w:rPr>
              <w:t>IHC providers and services</w:t>
            </w:r>
          </w:p>
          <w:p w14:paraId="53AB3213" w14:textId="35792BB4" w:rsidR="00772BF9" w:rsidRPr="00F54AAC" w:rsidRDefault="00772BF9" w:rsidP="00B7284B">
            <w:pPr>
              <w:pStyle w:val="PwCNormal"/>
              <w:numPr>
                <w:ilvl w:val="1"/>
                <w:numId w:val="53"/>
              </w:numPr>
              <w:spacing w:before="60" w:after="60"/>
              <w:ind w:left="568" w:hanging="284"/>
              <w:rPr>
                <w:szCs w:val="18"/>
              </w:rPr>
            </w:pPr>
            <w:r w:rsidRPr="00F54AAC">
              <w:rPr>
                <w:szCs w:val="18"/>
              </w:rPr>
              <w:t>families</w:t>
            </w:r>
          </w:p>
          <w:p w14:paraId="69ACF398" w14:textId="77777777" w:rsidR="00772BF9" w:rsidRPr="00BF638F" w:rsidRDefault="00772BF9" w:rsidP="00B7284B">
            <w:pPr>
              <w:pStyle w:val="PwCNormal"/>
              <w:numPr>
                <w:ilvl w:val="0"/>
                <w:numId w:val="76"/>
              </w:numPr>
              <w:spacing w:before="60" w:after="60"/>
              <w:ind w:left="284" w:hanging="284"/>
              <w:rPr>
                <w:rFonts w:cstheme="minorHAnsi"/>
                <w:szCs w:val="18"/>
              </w:rPr>
            </w:pPr>
            <w:r w:rsidRPr="00BF638F">
              <w:rPr>
                <w:rFonts w:cstheme="minorHAnsi"/>
                <w:b/>
                <w:bCs/>
                <w:szCs w:val="18"/>
              </w:rPr>
              <w:t>Survey</w:t>
            </w:r>
            <w:r w:rsidRPr="00BF638F">
              <w:rPr>
                <w:rFonts w:cstheme="minorHAnsi"/>
                <w:szCs w:val="18"/>
              </w:rPr>
              <w:t xml:space="preserve"> - a survey of targeted questions </w:t>
            </w:r>
            <w:r w:rsidRPr="00F54AAC">
              <w:rPr>
                <w:b/>
                <w:bCs/>
                <w:szCs w:val="18"/>
              </w:rPr>
              <w:t>for</w:t>
            </w:r>
            <w:r w:rsidRPr="00BF638F">
              <w:rPr>
                <w:rFonts w:cstheme="minorHAnsi"/>
                <w:szCs w:val="18"/>
              </w:rPr>
              <w:t xml:space="preserve"> IHC providers and families</w:t>
            </w:r>
          </w:p>
        </w:tc>
      </w:tr>
      <w:tr w:rsidR="00772BF9" w:rsidRPr="00BF638F" w14:paraId="17E9F08B" w14:textId="77777777" w:rsidTr="00B7284B">
        <w:tc>
          <w:tcPr>
            <w:tcW w:w="568" w:type="pct"/>
            <w:vMerge/>
            <w:tcMar>
              <w:top w:w="28" w:type="dxa"/>
              <w:left w:w="57" w:type="dxa"/>
              <w:bottom w:w="28" w:type="dxa"/>
              <w:right w:w="57" w:type="dxa"/>
            </w:tcMar>
            <w:vAlign w:val="center"/>
            <w:hideMark/>
          </w:tcPr>
          <w:p w14:paraId="372C4CB5" w14:textId="77777777" w:rsidR="00772BF9" w:rsidRPr="00BF638F" w:rsidRDefault="00772BF9">
            <w:pPr>
              <w:rPr>
                <w:rFonts w:cstheme="minorHAnsi"/>
                <w:sz w:val="18"/>
                <w:szCs w:val="18"/>
              </w:rPr>
            </w:pPr>
          </w:p>
        </w:tc>
        <w:tc>
          <w:tcPr>
            <w:tcW w:w="956" w:type="pct"/>
            <w:shd w:val="clear" w:color="auto" w:fill="auto"/>
            <w:tcMar>
              <w:top w:w="28" w:type="dxa"/>
              <w:left w:w="57" w:type="dxa"/>
              <w:bottom w:w="28" w:type="dxa"/>
              <w:right w:w="57" w:type="dxa"/>
            </w:tcMar>
            <w:vAlign w:val="center"/>
            <w:hideMark/>
          </w:tcPr>
          <w:p w14:paraId="39878928" w14:textId="77777777" w:rsidR="00772BF9" w:rsidRPr="00BF638F" w:rsidRDefault="00772BF9" w:rsidP="00F54AAC">
            <w:pPr>
              <w:numPr>
                <w:ilvl w:val="0"/>
                <w:numId w:val="55"/>
              </w:numPr>
              <w:spacing w:before="60" w:after="60"/>
              <w:ind w:left="284" w:hanging="284"/>
              <w:rPr>
                <w:rFonts w:cstheme="minorHAnsi"/>
                <w:sz w:val="18"/>
                <w:szCs w:val="18"/>
              </w:rPr>
            </w:pPr>
            <w:r w:rsidRPr="00BF638F">
              <w:rPr>
                <w:rFonts w:cstheme="minorHAnsi"/>
                <w:sz w:val="18"/>
                <w:szCs w:val="18"/>
              </w:rPr>
              <w:t>Is the IHC comparable to other child care services in relation to cost, access, quality and safety? </w:t>
            </w:r>
          </w:p>
        </w:tc>
        <w:tc>
          <w:tcPr>
            <w:tcW w:w="1062" w:type="pct"/>
            <w:vMerge/>
            <w:tcMar>
              <w:top w:w="28" w:type="dxa"/>
              <w:left w:w="57" w:type="dxa"/>
              <w:bottom w:w="28" w:type="dxa"/>
              <w:right w:w="57" w:type="dxa"/>
            </w:tcMar>
            <w:vAlign w:val="center"/>
            <w:hideMark/>
          </w:tcPr>
          <w:p w14:paraId="1FA58F5C" w14:textId="77777777" w:rsidR="00772BF9" w:rsidRPr="00BF638F" w:rsidRDefault="00772BF9">
            <w:pPr>
              <w:spacing w:before="60" w:after="60"/>
              <w:ind w:left="284" w:hanging="284"/>
              <w:rPr>
                <w:rFonts w:cstheme="minorHAnsi"/>
                <w:sz w:val="18"/>
                <w:szCs w:val="18"/>
              </w:rPr>
            </w:pPr>
          </w:p>
        </w:tc>
        <w:tc>
          <w:tcPr>
            <w:tcW w:w="1441" w:type="pct"/>
            <w:vMerge/>
            <w:tcMar>
              <w:top w:w="28" w:type="dxa"/>
              <w:left w:w="57" w:type="dxa"/>
              <w:bottom w:w="28" w:type="dxa"/>
              <w:right w:w="57" w:type="dxa"/>
            </w:tcMar>
            <w:vAlign w:val="center"/>
            <w:hideMark/>
          </w:tcPr>
          <w:p w14:paraId="2D798F5E" w14:textId="77777777" w:rsidR="00772BF9" w:rsidRPr="00BF638F" w:rsidRDefault="00772BF9">
            <w:pPr>
              <w:spacing w:before="60" w:after="60"/>
              <w:ind w:left="284" w:hanging="284"/>
              <w:rPr>
                <w:rFonts w:cstheme="minorHAnsi"/>
                <w:sz w:val="18"/>
                <w:szCs w:val="18"/>
              </w:rPr>
            </w:pPr>
          </w:p>
        </w:tc>
        <w:tc>
          <w:tcPr>
            <w:tcW w:w="973" w:type="pct"/>
            <w:vMerge/>
            <w:tcMar>
              <w:top w:w="28" w:type="dxa"/>
              <w:left w:w="57" w:type="dxa"/>
              <w:bottom w:w="28" w:type="dxa"/>
              <w:right w:w="57" w:type="dxa"/>
            </w:tcMar>
            <w:vAlign w:val="center"/>
            <w:hideMark/>
          </w:tcPr>
          <w:p w14:paraId="2B7DE5E9" w14:textId="77777777" w:rsidR="00772BF9" w:rsidRPr="00BF638F" w:rsidRDefault="00772BF9">
            <w:pPr>
              <w:spacing w:before="60" w:after="60"/>
              <w:ind w:left="284" w:hanging="284"/>
              <w:rPr>
                <w:rFonts w:cstheme="minorHAnsi"/>
                <w:sz w:val="18"/>
                <w:szCs w:val="18"/>
              </w:rPr>
            </w:pPr>
          </w:p>
        </w:tc>
      </w:tr>
      <w:tr w:rsidR="00772BF9" w:rsidRPr="00BF638F" w14:paraId="13C00AF2" w14:textId="77777777" w:rsidTr="00B7284B">
        <w:tc>
          <w:tcPr>
            <w:tcW w:w="568" w:type="pct"/>
            <w:vMerge/>
            <w:tcMar>
              <w:top w:w="28" w:type="dxa"/>
              <w:left w:w="57" w:type="dxa"/>
              <w:bottom w:w="28" w:type="dxa"/>
              <w:right w:w="57" w:type="dxa"/>
            </w:tcMar>
            <w:vAlign w:val="center"/>
            <w:hideMark/>
          </w:tcPr>
          <w:p w14:paraId="04BDB042" w14:textId="77777777" w:rsidR="00772BF9" w:rsidRPr="00BF638F" w:rsidRDefault="00772BF9">
            <w:pPr>
              <w:rPr>
                <w:rFonts w:cstheme="minorHAnsi"/>
                <w:sz w:val="18"/>
                <w:szCs w:val="18"/>
              </w:rPr>
            </w:pPr>
          </w:p>
        </w:tc>
        <w:tc>
          <w:tcPr>
            <w:tcW w:w="956" w:type="pct"/>
            <w:shd w:val="clear" w:color="auto" w:fill="auto"/>
            <w:tcMar>
              <w:top w:w="28" w:type="dxa"/>
              <w:left w:w="57" w:type="dxa"/>
              <w:bottom w:w="28" w:type="dxa"/>
              <w:right w:w="57" w:type="dxa"/>
            </w:tcMar>
            <w:vAlign w:val="center"/>
            <w:hideMark/>
          </w:tcPr>
          <w:p w14:paraId="7C1F8A72" w14:textId="77777777" w:rsidR="00772BF9" w:rsidRPr="00BF638F" w:rsidRDefault="00772BF9" w:rsidP="00F54AAC">
            <w:pPr>
              <w:numPr>
                <w:ilvl w:val="0"/>
                <w:numId w:val="56"/>
              </w:numPr>
              <w:spacing w:before="60" w:after="60"/>
              <w:ind w:left="284" w:hanging="284"/>
              <w:rPr>
                <w:rFonts w:cstheme="minorHAnsi"/>
                <w:sz w:val="18"/>
                <w:szCs w:val="18"/>
              </w:rPr>
            </w:pPr>
            <w:r w:rsidRPr="00BF638F">
              <w:rPr>
                <w:rFonts w:cstheme="minorHAnsi"/>
                <w:sz w:val="18"/>
                <w:szCs w:val="18"/>
              </w:rPr>
              <w:t>Are IHC service providers financially viable? </w:t>
            </w:r>
          </w:p>
        </w:tc>
        <w:tc>
          <w:tcPr>
            <w:tcW w:w="1062" w:type="pct"/>
            <w:vMerge/>
            <w:tcMar>
              <w:top w:w="28" w:type="dxa"/>
              <w:left w:w="57" w:type="dxa"/>
              <w:bottom w:w="28" w:type="dxa"/>
              <w:right w:w="57" w:type="dxa"/>
            </w:tcMar>
            <w:vAlign w:val="center"/>
            <w:hideMark/>
          </w:tcPr>
          <w:p w14:paraId="610F39A3" w14:textId="77777777" w:rsidR="00772BF9" w:rsidRPr="00BF638F" w:rsidRDefault="00772BF9">
            <w:pPr>
              <w:spacing w:before="60" w:after="60"/>
              <w:ind w:left="284" w:hanging="284"/>
              <w:rPr>
                <w:rFonts w:cstheme="minorHAnsi"/>
                <w:sz w:val="18"/>
                <w:szCs w:val="18"/>
              </w:rPr>
            </w:pPr>
          </w:p>
        </w:tc>
        <w:tc>
          <w:tcPr>
            <w:tcW w:w="1441" w:type="pct"/>
            <w:vMerge/>
            <w:tcMar>
              <w:top w:w="28" w:type="dxa"/>
              <w:left w:w="57" w:type="dxa"/>
              <w:bottom w:w="28" w:type="dxa"/>
              <w:right w:w="57" w:type="dxa"/>
            </w:tcMar>
            <w:vAlign w:val="center"/>
            <w:hideMark/>
          </w:tcPr>
          <w:p w14:paraId="202316BB" w14:textId="77777777" w:rsidR="00772BF9" w:rsidRPr="00BF638F" w:rsidRDefault="00772BF9">
            <w:pPr>
              <w:spacing w:before="60" w:after="60"/>
              <w:ind w:left="284" w:hanging="284"/>
              <w:rPr>
                <w:rFonts w:cstheme="minorHAnsi"/>
                <w:sz w:val="18"/>
                <w:szCs w:val="18"/>
              </w:rPr>
            </w:pPr>
          </w:p>
        </w:tc>
        <w:tc>
          <w:tcPr>
            <w:tcW w:w="973" w:type="pct"/>
            <w:vMerge/>
            <w:tcMar>
              <w:top w:w="28" w:type="dxa"/>
              <w:left w:w="57" w:type="dxa"/>
              <w:bottom w:w="28" w:type="dxa"/>
              <w:right w:w="57" w:type="dxa"/>
            </w:tcMar>
            <w:vAlign w:val="center"/>
            <w:hideMark/>
          </w:tcPr>
          <w:p w14:paraId="7D2BC8B7" w14:textId="77777777" w:rsidR="00772BF9" w:rsidRPr="00BF638F" w:rsidRDefault="00772BF9">
            <w:pPr>
              <w:spacing w:before="60" w:after="60"/>
              <w:ind w:left="284" w:hanging="284"/>
              <w:rPr>
                <w:rFonts w:cstheme="minorHAnsi"/>
                <w:sz w:val="18"/>
                <w:szCs w:val="18"/>
              </w:rPr>
            </w:pPr>
          </w:p>
        </w:tc>
      </w:tr>
      <w:tr w:rsidR="00772BF9" w:rsidRPr="00BF638F" w14:paraId="26E2B861" w14:textId="77777777" w:rsidTr="00B7284B">
        <w:tc>
          <w:tcPr>
            <w:tcW w:w="568" w:type="pct"/>
            <w:vMerge/>
            <w:tcMar>
              <w:top w:w="28" w:type="dxa"/>
              <w:left w:w="57" w:type="dxa"/>
              <w:bottom w:w="28" w:type="dxa"/>
              <w:right w:w="57" w:type="dxa"/>
            </w:tcMar>
            <w:vAlign w:val="center"/>
            <w:hideMark/>
          </w:tcPr>
          <w:p w14:paraId="4970A022" w14:textId="77777777" w:rsidR="00772BF9" w:rsidRPr="00BF638F" w:rsidRDefault="00772BF9">
            <w:pPr>
              <w:rPr>
                <w:rFonts w:cstheme="minorHAnsi"/>
                <w:sz w:val="18"/>
                <w:szCs w:val="18"/>
              </w:rPr>
            </w:pPr>
          </w:p>
        </w:tc>
        <w:tc>
          <w:tcPr>
            <w:tcW w:w="956" w:type="pct"/>
            <w:shd w:val="clear" w:color="auto" w:fill="auto"/>
            <w:tcMar>
              <w:top w:w="28" w:type="dxa"/>
              <w:left w:w="57" w:type="dxa"/>
              <w:bottom w:w="28" w:type="dxa"/>
              <w:right w:w="57" w:type="dxa"/>
            </w:tcMar>
            <w:hideMark/>
          </w:tcPr>
          <w:p w14:paraId="00BC175D" w14:textId="77777777" w:rsidR="00772BF9" w:rsidRPr="00BF638F" w:rsidRDefault="00772BF9" w:rsidP="00F54AAC">
            <w:pPr>
              <w:numPr>
                <w:ilvl w:val="0"/>
                <w:numId w:val="57"/>
              </w:numPr>
              <w:spacing w:before="60" w:after="60"/>
              <w:ind w:left="284" w:hanging="284"/>
              <w:rPr>
                <w:rFonts w:cstheme="minorHAnsi"/>
                <w:sz w:val="18"/>
                <w:szCs w:val="18"/>
              </w:rPr>
            </w:pPr>
            <w:r w:rsidRPr="00BF638F">
              <w:rPr>
                <w:rFonts w:cstheme="minorHAnsi"/>
                <w:sz w:val="18"/>
                <w:szCs w:val="18"/>
              </w:rPr>
              <w:t>Is IHC affordable for the different types of families? </w:t>
            </w:r>
          </w:p>
        </w:tc>
        <w:tc>
          <w:tcPr>
            <w:tcW w:w="1062" w:type="pct"/>
            <w:vMerge/>
            <w:tcMar>
              <w:top w:w="28" w:type="dxa"/>
              <w:left w:w="57" w:type="dxa"/>
              <w:bottom w:w="28" w:type="dxa"/>
              <w:right w:w="57" w:type="dxa"/>
            </w:tcMar>
            <w:vAlign w:val="center"/>
            <w:hideMark/>
          </w:tcPr>
          <w:p w14:paraId="4AD90A8C" w14:textId="77777777" w:rsidR="00772BF9" w:rsidRPr="00BF638F" w:rsidRDefault="00772BF9">
            <w:pPr>
              <w:spacing w:before="60" w:after="60"/>
              <w:ind w:left="284" w:hanging="284"/>
              <w:rPr>
                <w:rFonts w:cstheme="minorHAnsi"/>
                <w:sz w:val="18"/>
                <w:szCs w:val="18"/>
              </w:rPr>
            </w:pPr>
          </w:p>
        </w:tc>
        <w:tc>
          <w:tcPr>
            <w:tcW w:w="1441" w:type="pct"/>
            <w:vMerge/>
            <w:tcMar>
              <w:top w:w="28" w:type="dxa"/>
              <w:left w:w="57" w:type="dxa"/>
              <w:bottom w:w="28" w:type="dxa"/>
              <w:right w:w="57" w:type="dxa"/>
            </w:tcMar>
            <w:vAlign w:val="center"/>
            <w:hideMark/>
          </w:tcPr>
          <w:p w14:paraId="03768CCF" w14:textId="77777777" w:rsidR="00772BF9" w:rsidRPr="00BF638F" w:rsidRDefault="00772BF9">
            <w:pPr>
              <w:spacing w:before="60" w:after="60"/>
              <w:ind w:left="284" w:hanging="284"/>
              <w:rPr>
                <w:rFonts w:cstheme="minorHAnsi"/>
                <w:sz w:val="18"/>
                <w:szCs w:val="18"/>
              </w:rPr>
            </w:pPr>
          </w:p>
        </w:tc>
        <w:tc>
          <w:tcPr>
            <w:tcW w:w="973" w:type="pct"/>
            <w:vMerge/>
            <w:tcMar>
              <w:top w:w="28" w:type="dxa"/>
              <w:left w:w="57" w:type="dxa"/>
              <w:bottom w:w="28" w:type="dxa"/>
              <w:right w:w="57" w:type="dxa"/>
            </w:tcMar>
            <w:vAlign w:val="center"/>
            <w:hideMark/>
          </w:tcPr>
          <w:p w14:paraId="76048802" w14:textId="77777777" w:rsidR="00772BF9" w:rsidRPr="00BF638F" w:rsidRDefault="00772BF9">
            <w:pPr>
              <w:spacing w:before="60" w:after="60"/>
              <w:ind w:left="284" w:hanging="284"/>
              <w:rPr>
                <w:rFonts w:cstheme="minorHAnsi"/>
                <w:sz w:val="18"/>
                <w:szCs w:val="18"/>
              </w:rPr>
            </w:pPr>
          </w:p>
        </w:tc>
      </w:tr>
    </w:tbl>
    <w:p w14:paraId="72E856DD" w14:textId="2493E331" w:rsidR="00772BF9" w:rsidRDefault="00772BF9">
      <w:pPr>
        <w:spacing w:before="0" w:line="281" w:lineRule="auto"/>
      </w:pPr>
      <w:r>
        <w:br w:type="page"/>
      </w:r>
    </w:p>
    <w:tbl>
      <w:tblPr>
        <w:tblW w:w="5000" w:type="pct"/>
        <w:tblBorders>
          <w:bottom w:val="single" w:sz="4" w:space="0" w:color="D04A02" w:themeColor="accent1"/>
        </w:tblBorders>
        <w:tblCellMar>
          <w:left w:w="0" w:type="dxa"/>
          <w:right w:w="0" w:type="dxa"/>
        </w:tblCellMar>
        <w:tblLook w:val="0600" w:firstRow="0" w:lastRow="0" w:firstColumn="0" w:lastColumn="0" w:noHBand="1" w:noVBand="1"/>
      </w:tblPr>
      <w:tblGrid>
        <w:gridCol w:w="1274"/>
        <w:gridCol w:w="2067"/>
        <w:gridCol w:w="2114"/>
        <w:gridCol w:w="2063"/>
        <w:gridCol w:w="2233"/>
      </w:tblGrid>
      <w:tr w:rsidR="00772BF9" w:rsidRPr="00BF638F" w14:paraId="36758F27" w14:textId="77777777" w:rsidTr="00B7284B">
        <w:trPr>
          <w:tblHeader/>
        </w:trPr>
        <w:tc>
          <w:tcPr>
            <w:tcW w:w="5000" w:type="pct"/>
            <w:gridSpan w:val="5"/>
            <w:shd w:val="clear" w:color="auto" w:fill="D04A02" w:themeFill="accent1"/>
            <w:tcMar>
              <w:top w:w="28" w:type="dxa"/>
              <w:left w:w="57" w:type="dxa"/>
              <w:bottom w:w="28" w:type="dxa"/>
              <w:right w:w="57" w:type="dxa"/>
            </w:tcMar>
            <w:hideMark/>
          </w:tcPr>
          <w:p w14:paraId="0F792B0F" w14:textId="77777777" w:rsidR="00772BF9" w:rsidRPr="00BF638F" w:rsidRDefault="00772BF9">
            <w:pPr>
              <w:rPr>
                <w:rFonts w:cstheme="minorHAnsi"/>
                <w:color w:val="FFFFFF" w:themeColor="background1"/>
                <w:sz w:val="18"/>
                <w:szCs w:val="18"/>
              </w:rPr>
            </w:pPr>
            <w:r w:rsidRPr="00BF638F">
              <w:rPr>
                <w:rFonts w:cstheme="minorHAnsi"/>
                <w:b/>
                <w:bCs/>
                <w:color w:val="FFFFFF" w:themeColor="background1"/>
                <w:sz w:val="18"/>
                <w:szCs w:val="18"/>
                <w:lang w:val="en-US"/>
              </w:rPr>
              <w:lastRenderedPageBreak/>
              <w:t>Review of the IHC Program – future design considerations</w:t>
            </w:r>
          </w:p>
        </w:tc>
      </w:tr>
      <w:tr w:rsidR="00772BF9" w:rsidRPr="00BF638F" w14:paraId="04AF4DC0" w14:textId="77777777" w:rsidTr="00B7284B">
        <w:trPr>
          <w:tblHeader/>
        </w:trPr>
        <w:tc>
          <w:tcPr>
            <w:tcW w:w="653" w:type="pct"/>
            <w:vMerge w:val="restart"/>
            <w:shd w:val="clear" w:color="auto" w:fill="DEDEDE" w:themeFill="background2"/>
            <w:tcMar>
              <w:top w:w="57" w:type="dxa"/>
              <w:left w:w="57" w:type="dxa"/>
              <w:bottom w:w="57" w:type="dxa"/>
              <w:right w:w="57" w:type="dxa"/>
            </w:tcMar>
            <w:vAlign w:val="center"/>
            <w:hideMark/>
          </w:tcPr>
          <w:p w14:paraId="5701A78E" w14:textId="77777777" w:rsidR="00772BF9" w:rsidRPr="00BF638F" w:rsidRDefault="00772BF9" w:rsidP="00B7284B">
            <w:pPr>
              <w:spacing w:before="0" w:after="0"/>
              <w:rPr>
                <w:rFonts w:cstheme="minorHAnsi"/>
                <w:sz w:val="18"/>
                <w:szCs w:val="18"/>
              </w:rPr>
            </w:pPr>
            <w:r w:rsidRPr="00BF638F">
              <w:rPr>
                <w:rFonts w:cstheme="minorHAnsi"/>
                <w:b/>
                <w:bCs/>
                <w:sz w:val="18"/>
                <w:szCs w:val="18"/>
              </w:rPr>
              <w:t>Key evaluation question</w:t>
            </w:r>
          </w:p>
        </w:tc>
        <w:tc>
          <w:tcPr>
            <w:tcW w:w="1060" w:type="pct"/>
            <w:vMerge w:val="restart"/>
            <w:shd w:val="clear" w:color="auto" w:fill="DEDEDE" w:themeFill="background2"/>
            <w:tcMar>
              <w:top w:w="57" w:type="dxa"/>
              <w:left w:w="57" w:type="dxa"/>
              <w:bottom w:w="57" w:type="dxa"/>
              <w:right w:w="57" w:type="dxa"/>
            </w:tcMar>
            <w:vAlign w:val="center"/>
            <w:hideMark/>
          </w:tcPr>
          <w:p w14:paraId="7585CB00" w14:textId="77777777" w:rsidR="00772BF9" w:rsidRPr="00BF638F" w:rsidRDefault="00772BF9" w:rsidP="00B7284B">
            <w:pPr>
              <w:spacing w:before="0" w:after="0"/>
              <w:rPr>
                <w:rFonts w:cstheme="minorHAnsi"/>
                <w:sz w:val="18"/>
                <w:szCs w:val="18"/>
              </w:rPr>
            </w:pPr>
            <w:r w:rsidRPr="00BF638F">
              <w:rPr>
                <w:rFonts w:cstheme="minorHAnsi"/>
                <w:b/>
                <w:bCs/>
                <w:sz w:val="18"/>
                <w:szCs w:val="18"/>
                <w:lang w:val="en-US"/>
              </w:rPr>
              <w:t>Lines of Inquiry</w:t>
            </w:r>
          </w:p>
        </w:tc>
        <w:tc>
          <w:tcPr>
            <w:tcW w:w="1084" w:type="pct"/>
            <w:vMerge w:val="restart"/>
            <w:shd w:val="clear" w:color="auto" w:fill="DEDEDE" w:themeFill="background2"/>
            <w:tcMar>
              <w:top w:w="57" w:type="dxa"/>
              <w:left w:w="57" w:type="dxa"/>
              <w:bottom w:w="57" w:type="dxa"/>
              <w:right w:w="57" w:type="dxa"/>
            </w:tcMar>
            <w:vAlign w:val="center"/>
            <w:hideMark/>
          </w:tcPr>
          <w:p w14:paraId="28C9A5BA" w14:textId="77777777" w:rsidR="00772BF9" w:rsidRPr="00BF638F" w:rsidRDefault="00772BF9" w:rsidP="00B7284B">
            <w:pPr>
              <w:spacing w:before="0" w:after="0"/>
              <w:rPr>
                <w:rFonts w:cstheme="minorHAnsi"/>
                <w:sz w:val="18"/>
                <w:szCs w:val="18"/>
              </w:rPr>
            </w:pPr>
            <w:r w:rsidRPr="00BF638F">
              <w:rPr>
                <w:rFonts w:cstheme="minorHAnsi"/>
                <w:b/>
                <w:bCs/>
                <w:sz w:val="18"/>
                <w:szCs w:val="18"/>
              </w:rPr>
              <w:t>Indicators</w:t>
            </w:r>
          </w:p>
        </w:tc>
        <w:tc>
          <w:tcPr>
            <w:tcW w:w="2203" w:type="pct"/>
            <w:gridSpan w:val="2"/>
            <w:shd w:val="clear" w:color="auto" w:fill="464646" w:themeFill="accent6"/>
            <w:tcMar>
              <w:top w:w="57" w:type="dxa"/>
              <w:left w:w="57" w:type="dxa"/>
              <w:bottom w:w="57" w:type="dxa"/>
              <w:right w:w="57" w:type="dxa"/>
            </w:tcMar>
            <w:vAlign w:val="center"/>
            <w:hideMark/>
          </w:tcPr>
          <w:p w14:paraId="5AE7AB9B" w14:textId="77777777" w:rsidR="00772BF9" w:rsidRPr="00BF638F" w:rsidRDefault="00772BF9" w:rsidP="00B7284B">
            <w:pPr>
              <w:spacing w:before="0" w:after="0"/>
              <w:jc w:val="center"/>
              <w:rPr>
                <w:rFonts w:cstheme="minorHAnsi"/>
                <w:sz w:val="18"/>
                <w:szCs w:val="18"/>
              </w:rPr>
            </w:pPr>
            <w:r w:rsidRPr="00B7284B">
              <w:rPr>
                <w:rFonts w:cstheme="minorHAnsi"/>
                <w:b/>
                <w:bCs/>
                <w:color w:val="FFFFFF" w:themeColor="background1"/>
                <w:sz w:val="18"/>
                <w:szCs w:val="18"/>
              </w:rPr>
              <w:t>Data Source</w:t>
            </w:r>
          </w:p>
        </w:tc>
      </w:tr>
      <w:tr w:rsidR="00772BF9" w:rsidRPr="00BF638F" w14:paraId="03025DCB" w14:textId="77777777" w:rsidTr="00B7284B">
        <w:trPr>
          <w:tblHeader/>
        </w:trPr>
        <w:tc>
          <w:tcPr>
            <w:tcW w:w="653" w:type="pct"/>
            <w:vMerge/>
            <w:shd w:val="clear" w:color="auto" w:fill="DEDEDE" w:themeFill="background2"/>
            <w:tcMar>
              <w:top w:w="57" w:type="dxa"/>
              <w:left w:w="57" w:type="dxa"/>
              <w:bottom w:w="57" w:type="dxa"/>
              <w:right w:w="57" w:type="dxa"/>
            </w:tcMar>
            <w:vAlign w:val="center"/>
            <w:hideMark/>
          </w:tcPr>
          <w:p w14:paraId="54467C91" w14:textId="77777777" w:rsidR="00772BF9" w:rsidRPr="00BF638F" w:rsidRDefault="00772BF9" w:rsidP="00B7284B">
            <w:pPr>
              <w:spacing w:before="0" w:after="0"/>
              <w:rPr>
                <w:rFonts w:cstheme="minorHAnsi"/>
                <w:sz w:val="18"/>
                <w:szCs w:val="18"/>
              </w:rPr>
            </w:pPr>
          </w:p>
        </w:tc>
        <w:tc>
          <w:tcPr>
            <w:tcW w:w="1060" w:type="pct"/>
            <w:vMerge/>
            <w:shd w:val="clear" w:color="auto" w:fill="DEDEDE" w:themeFill="background2"/>
            <w:tcMar>
              <w:top w:w="57" w:type="dxa"/>
              <w:left w:w="57" w:type="dxa"/>
              <w:bottom w:w="57" w:type="dxa"/>
              <w:right w:w="57" w:type="dxa"/>
            </w:tcMar>
            <w:vAlign w:val="center"/>
            <w:hideMark/>
          </w:tcPr>
          <w:p w14:paraId="2F259AE6" w14:textId="77777777" w:rsidR="00772BF9" w:rsidRPr="00BF638F" w:rsidRDefault="00772BF9" w:rsidP="00B7284B">
            <w:pPr>
              <w:spacing w:before="0" w:after="0"/>
              <w:rPr>
                <w:rFonts w:cstheme="minorHAnsi"/>
                <w:sz w:val="18"/>
                <w:szCs w:val="18"/>
              </w:rPr>
            </w:pPr>
          </w:p>
        </w:tc>
        <w:tc>
          <w:tcPr>
            <w:tcW w:w="1084" w:type="pct"/>
            <w:vMerge/>
            <w:shd w:val="clear" w:color="auto" w:fill="DEDEDE" w:themeFill="background2"/>
            <w:tcMar>
              <w:top w:w="57" w:type="dxa"/>
              <w:left w:w="57" w:type="dxa"/>
              <w:bottom w:w="57" w:type="dxa"/>
              <w:right w:w="57" w:type="dxa"/>
            </w:tcMar>
            <w:vAlign w:val="center"/>
            <w:hideMark/>
          </w:tcPr>
          <w:p w14:paraId="50B42353" w14:textId="77777777" w:rsidR="00772BF9" w:rsidRPr="00BF638F" w:rsidRDefault="00772BF9" w:rsidP="00B7284B">
            <w:pPr>
              <w:spacing w:before="0" w:after="0"/>
              <w:rPr>
                <w:rFonts w:cstheme="minorHAnsi"/>
                <w:sz w:val="18"/>
                <w:szCs w:val="18"/>
              </w:rPr>
            </w:pPr>
          </w:p>
        </w:tc>
        <w:tc>
          <w:tcPr>
            <w:tcW w:w="1058" w:type="pct"/>
            <w:shd w:val="clear" w:color="auto" w:fill="DEDEDE" w:themeFill="background2"/>
            <w:tcMar>
              <w:top w:w="57" w:type="dxa"/>
              <w:left w:w="57" w:type="dxa"/>
              <w:bottom w:w="57" w:type="dxa"/>
              <w:right w:w="57" w:type="dxa"/>
            </w:tcMar>
            <w:vAlign w:val="center"/>
            <w:hideMark/>
          </w:tcPr>
          <w:p w14:paraId="29BC02B7" w14:textId="77777777" w:rsidR="00772BF9" w:rsidRPr="00BF638F" w:rsidRDefault="00772BF9" w:rsidP="00B7284B">
            <w:pPr>
              <w:spacing w:before="0" w:after="0"/>
              <w:rPr>
                <w:rFonts w:cstheme="minorHAnsi"/>
                <w:sz w:val="18"/>
                <w:szCs w:val="18"/>
              </w:rPr>
            </w:pPr>
            <w:r w:rsidRPr="00BF638F">
              <w:rPr>
                <w:rFonts w:cstheme="minorHAnsi"/>
                <w:b/>
                <w:bCs/>
                <w:sz w:val="18"/>
                <w:szCs w:val="18"/>
              </w:rPr>
              <w:t>Existing Data</w:t>
            </w:r>
          </w:p>
        </w:tc>
        <w:tc>
          <w:tcPr>
            <w:tcW w:w="1145" w:type="pct"/>
            <w:shd w:val="clear" w:color="auto" w:fill="DEDEDE" w:themeFill="background2"/>
            <w:tcMar>
              <w:top w:w="57" w:type="dxa"/>
              <w:left w:w="57" w:type="dxa"/>
              <w:bottom w:w="57" w:type="dxa"/>
              <w:right w:w="57" w:type="dxa"/>
            </w:tcMar>
            <w:vAlign w:val="center"/>
            <w:hideMark/>
          </w:tcPr>
          <w:p w14:paraId="2CC0FEF9" w14:textId="77777777" w:rsidR="00772BF9" w:rsidRPr="00BF638F" w:rsidRDefault="00772BF9" w:rsidP="00B7284B">
            <w:pPr>
              <w:spacing w:before="0" w:after="0"/>
              <w:rPr>
                <w:rFonts w:cstheme="minorHAnsi"/>
                <w:sz w:val="18"/>
                <w:szCs w:val="18"/>
              </w:rPr>
            </w:pPr>
            <w:r w:rsidRPr="00BF638F">
              <w:rPr>
                <w:rFonts w:cstheme="minorHAnsi"/>
                <w:b/>
                <w:bCs/>
                <w:sz w:val="18"/>
                <w:szCs w:val="18"/>
              </w:rPr>
              <w:t>New Data</w:t>
            </w:r>
          </w:p>
        </w:tc>
      </w:tr>
      <w:tr w:rsidR="00772BF9" w:rsidRPr="00BF638F" w14:paraId="57086803" w14:textId="77777777" w:rsidTr="00B7284B">
        <w:tc>
          <w:tcPr>
            <w:tcW w:w="653" w:type="pct"/>
            <w:vMerge w:val="restart"/>
            <w:shd w:val="clear" w:color="auto" w:fill="auto"/>
            <w:tcMar>
              <w:top w:w="28" w:type="dxa"/>
              <w:left w:w="57" w:type="dxa"/>
              <w:bottom w:w="28" w:type="dxa"/>
              <w:right w:w="57" w:type="dxa"/>
            </w:tcMar>
            <w:hideMark/>
          </w:tcPr>
          <w:p w14:paraId="0CD4E53A" w14:textId="77777777" w:rsidR="00772BF9" w:rsidRPr="00BF638F" w:rsidRDefault="00772BF9">
            <w:pPr>
              <w:rPr>
                <w:rFonts w:cstheme="minorHAnsi"/>
                <w:sz w:val="18"/>
                <w:szCs w:val="18"/>
              </w:rPr>
            </w:pPr>
            <w:r w:rsidRPr="00BF638F">
              <w:rPr>
                <w:rFonts w:cstheme="minorHAnsi"/>
                <w:sz w:val="18"/>
                <w:szCs w:val="18"/>
              </w:rPr>
              <w:t xml:space="preserve">5. What could the future program look like to achieve the intended outcomes? </w:t>
            </w:r>
          </w:p>
        </w:tc>
        <w:tc>
          <w:tcPr>
            <w:tcW w:w="1060" w:type="pct"/>
            <w:shd w:val="clear" w:color="auto" w:fill="auto"/>
            <w:tcMar>
              <w:top w:w="28" w:type="dxa"/>
              <w:left w:w="57" w:type="dxa"/>
              <w:bottom w:w="28" w:type="dxa"/>
              <w:right w:w="57" w:type="dxa"/>
            </w:tcMar>
            <w:vAlign w:val="center"/>
            <w:hideMark/>
          </w:tcPr>
          <w:p w14:paraId="5E6AA98D" w14:textId="77777777" w:rsidR="00772BF9" w:rsidRPr="00BF638F" w:rsidRDefault="00772BF9" w:rsidP="00F54AAC">
            <w:pPr>
              <w:numPr>
                <w:ilvl w:val="0"/>
                <w:numId w:val="58"/>
              </w:numPr>
              <w:spacing w:before="0" w:after="0"/>
              <w:ind w:left="284" w:hanging="284"/>
              <w:rPr>
                <w:rFonts w:cstheme="minorHAnsi"/>
                <w:sz w:val="18"/>
                <w:szCs w:val="18"/>
              </w:rPr>
            </w:pPr>
            <w:r w:rsidRPr="00BF638F">
              <w:rPr>
                <w:rFonts w:cstheme="minorHAnsi"/>
                <w:sz w:val="18"/>
                <w:szCs w:val="18"/>
                <w:lang w:val="en-US"/>
              </w:rPr>
              <w:t xml:space="preserve">Are there alternative ways to support families to access ECEC in a timely and cost-effective manner? </w:t>
            </w:r>
          </w:p>
        </w:tc>
        <w:tc>
          <w:tcPr>
            <w:tcW w:w="1084" w:type="pct"/>
            <w:vMerge w:val="restart"/>
            <w:shd w:val="clear" w:color="auto" w:fill="auto"/>
            <w:tcMar>
              <w:top w:w="28" w:type="dxa"/>
              <w:left w:w="57" w:type="dxa"/>
              <w:bottom w:w="28" w:type="dxa"/>
              <w:right w:w="57" w:type="dxa"/>
            </w:tcMar>
            <w:hideMark/>
          </w:tcPr>
          <w:p w14:paraId="073CD6BD" w14:textId="77777777" w:rsidR="007D7BF5" w:rsidRDefault="00772BF9" w:rsidP="00B7284B">
            <w:pPr>
              <w:pStyle w:val="PwCNormal"/>
              <w:numPr>
                <w:ilvl w:val="0"/>
                <w:numId w:val="76"/>
              </w:numPr>
              <w:spacing w:before="60" w:after="60"/>
              <w:ind w:left="284" w:hanging="284"/>
              <w:rPr>
                <w:rFonts w:cstheme="minorHAnsi"/>
                <w:szCs w:val="18"/>
              </w:rPr>
            </w:pPr>
            <w:r w:rsidRPr="00BF638F">
              <w:rPr>
                <w:rFonts w:cstheme="minorHAnsi"/>
                <w:szCs w:val="18"/>
              </w:rPr>
              <w:t>Alternative mechanisms or approaches are identified that:</w:t>
            </w:r>
          </w:p>
          <w:p w14:paraId="5379BA8F" w14:textId="77777777" w:rsidR="007D7BF5" w:rsidRPr="00F54AAC" w:rsidRDefault="00772BF9" w:rsidP="00B7284B">
            <w:pPr>
              <w:pStyle w:val="PwCNormal"/>
              <w:numPr>
                <w:ilvl w:val="1"/>
                <w:numId w:val="53"/>
              </w:numPr>
              <w:spacing w:before="60" w:after="60"/>
              <w:ind w:left="568" w:hanging="284"/>
              <w:rPr>
                <w:szCs w:val="18"/>
              </w:rPr>
            </w:pPr>
            <w:r w:rsidRPr="00BF638F">
              <w:rPr>
                <w:rFonts w:cstheme="minorHAnsi"/>
                <w:szCs w:val="18"/>
              </w:rPr>
              <w:t xml:space="preserve">meet the needs of each type of </w:t>
            </w:r>
            <w:r w:rsidRPr="00F54AAC">
              <w:rPr>
                <w:szCs w:val="18"/>
              </w:rPr>
              <w:t>family</w:t>
            </w:r>
          </w:p>
          <w:p w14:paraId="3B0B37B2" w14:textId="77777777" w:rsidR="007D7BF5" w:rsidRPr="00F54AAC" w:rsidRDefault="00772BF9" w:rsidP="00B7284B">
            <w:pPr>
              <w:pStyle w:val="PwCNormal"/>
              <w:numPr>
                <w:ilvl w:val="1"/>
                <w:numId w:val="53"/>
              </w:numPr>
              <w:spacing w:before="60" w:after="60"/>
              <w:ind w:left="568" w:hanging="284"/>
              <w:rPr>
                <w:szCs w:val="18"/>
              </w:rPr>
            </w:pPr>
            <w:r w:rsidRPr="00F54AAC">
              <w:rPr>
                <w:szCs w:val="18"/>
              </w:rPr>
              <w:t>reduce program cost</w:t>
            </w:r>
          </w:p>
          <w:p w14:paraId="1384962F" w14:textId="7FF6D30B" w:rsidR="00772BF9" w:rsidRPr="00F54AAC" w:rsidRDefault="00772BF9" w:rsidP="00B7284B">
            <w:pPr>
              <w:pStyle w:val="PwCNormal"/>
              <w:numPr>
                <w:ilvl w:val="1"/>
                <w:numId w:val="53"/>
              </w:numPr>
              <w:spacing w:before="60" w:after="60"/>
              <w:ind w:left="568" w:hanging="284"/>
              <w:rPr>
                <w:szCs w:val="18"/>
              </w:rPr>
            </w:pPr>
            <w:r w:rsidRPr="00F54AAC">
              <w:rPr>
                <w:szCs w:val="18"/>
              </w:rPr>
              <w:t>reduce cost to families</w:t>
            </w:r>
          </w:p>
          <w:p w14:paraId="60824CA8" w14:textId="77777777" w:rsidR="00772BF9" w:rsidRPr="00F54AAC" w:rsidRDefault="00772BF9" w:rsidP="00B7284B">
            <w:pPr>
              <w:pStyle w:val="PwCNormal"/>
              <w:numPr>
                <w:ilvl w:val="1"/>
                <w:numId w:val="53"/>
              </w:numPr>
              <w:spacing w:before="60" w:after="60"/>
              <w:ind w:left="568" w:hanging="284"/>
              <w:rPr>
                <w:szCs w:val="18"/>
              </w:rPr>
            </w:pPr>
            <w:r w:rsidRPr="00F54AAC">
              <w:rPr>
                <w:szCs w:val="18"/>
              </w:rPr>
              <w:t>reduce demand or increase workforce supply (such as relaxation of educator requirements)</w:t>
            </w:r>
          </w:p>
          <w:p w14:paraId="01C3C318" w14:textId="77777777" w:rsidR="00772BF9" w:rsidRPr="00F54AAC" w:rsidRDefault="00772BF9" w:rsidP="00B7284B">
            <w:pPr>
              <w:pStyle w:val="PwCNormal"/>
              <w:numPr>
                <w:ilvl w:val="1"/>
                <w:numId w:val="53"/>
              </w:numPr>
              <w:spacing w:before="60" w:after="60"/>
              <w:ind w:left="568" w:hanging="284"/>
              <w:rPr>
                <w:szCs w:val="18"/>
              </w:rPr>
            </w:pPr>
            <w:r w:rsidRPr="00F54AAC">
              <w:rPr>
                <w:szCs w:val="18"/>
              </w:rPr>
              <w:t>reduce waitlists</w:t>
            </w:r>
          </w:p>
          <w:p w14:paraId="00CF1A4D" w14:textId="77777777" w:rsidR="007D7BF5" w:rsidRDefault="00772BF9" w:rsidP="00B7284B">
            <w:pPr>
              <w:pStyle w:val="PwCNormal"/>
              <w:numPr>
                <w:ilvl w:val="1"/>
                <w:numId w:val="53"/>
              </w:numPr>
              <w:spacing w:before="60" w:after="60"/>
              <w:ind w:left="568" w:hanging="284"/>
              <w:rPr>
                <w:rFonts w:cstheme="minorHAnsi"/>
                <w:szCs w:val="18"/>
              </w:rPr>
            </w:pPr>
            <w:r w:rsidRPr="00F54AAC">
              <w:rPr>
                <w:szCs w:val="18"/>
              </w:rPr>
              <w:t>reduce unfilled places</w:t>
            </w:r>
            <w:r w:rsidRPr="00BF638F">
              <w:rPr>
                <w:rFonts w:cstheme="minorHAnsi"/>
                <w:szCs w:val="18"/>
              </w:rPr>
              <w:t xml:space="preserve"> (effective allocation)</w:t>
            </w:r>
          </w:p>
          <w:p w14:paraId="4154EDF4" w14:textId="38647451" w:rsidR="00772BF9" w:rsidRPr="00BF638F" w:rsidRDefault="00772BF9" w:rsidP="00B7284B">
            <w:pPr>
              <w:pStyle w:val="PwCNormal"/>
              <w:numPr>
                <w:ilvl w:val="0"/>
                <w:numId w:val="76"/>
              </w:numPr>
              <w:spacing w:before="60" w:after="60"/>
              <w:ind w:left="284" w:hanging="284"/>
              <w:rPr>
                <w:rFonts w:cstheme="minorHAnsi"/>
                <w:szCs w:val="18"/>
              </w:rPr>
            </w:pPr>
            <w:r w:rsidRPr="00BF638F">
              <w:rPr>
                <w:rFonts w:cstheme="minorHAnsi"/>
                <w:szCs w:val="18"/>
              </w:rPr>
              <w:t>Examples of other programs (nationally or internationally) that effectively manage demand</w:t>
            </w:r>
          </w:p>
        </w:tc>
        <w:tc>
          <w:tcPr>
            <w:tcW w:w="1058" w:type="pct"/>
            <w:vMerge w:val="restart"/>
            <w:shd w:val="clear" w:color="auto" w:fill="auto"/>
            <w:tcMar>
              <w:top w:w="28" w:type="dxa"/>
              <w:left w:w="57" w:type="dxa"/>
              <w:bottom w:w="28" w:type="dxa"/>
              <w:right w:w="57" w:type="dxa"/>
            </w:tcMar>
            <w:hideMark/>
          </w:tcPr>
          <w:p w14:paraId="72397025" w14:textId="77777777" w:rsidR="00772BF9" w:rsidRPr="00BF638F" w:rsidRDefault="00772BF9" w:rsidP="00B7284B">
            <w:pPr>
              <w:pStyle w:val="PwCNormal"/>
              <w:numPr>
                <w:ilvl w:val="0"/>
                <w:numId w:val="76"/>
              </w:numPr>
              <w:spacing w:before="60" w:after="60"/>
              <w:ind w:left="284" w:hanging="284"/>
              <w:rPr>
                <w:rFonts w:cstheme="minorHAnsi"/>
                <w:szCs w:val="18"/>
              </w:rPr>
            </w:pPr>
            <w:r w:rsidRPr="00BF638F">
              <w:rPr>
                <w:rFonts w:cstheme="minorHAnsi"/>
                <w:szCs w:val="18"/>
              </w:rPr>
              <w:t xml:space="preserve">Previous IHC Evaluation report </w:t>
            </w:r>
            <w:r w:rsidRPr="00BF638F">
              <w:rPr>
                <w:rFonts w:cstheme="minorHAnsi"/>
                <w:szCs w:val="18"/>
                <w:lang w:val="en-US"/>
              </w:rPr>
              <w:t>recommendations</w:t>
            </w:r>
          </w:p>
          <w:p w14:paraId="7A2C676E" w14:textId="77777777" w:rsidR="007D7BF5" w:rsidRDefault="00772BF9" w:rsidP="00B7284B">
            <w:pPr>
              <w:pStyle w:val="PwCNormal"/>
              <w:numPr>
                <w:ilvl w:val="0"/>
                <w:numId w:val="76"/>
              </w:numPr>
              <w:spacing w:before="60" w:after="60"/>
              <w:ind w:left="284" w:hanging="284"/>
              <w:rPr>
                <w:rFonts w:cstheme="minorHAnsi"/>
                <w:szCs w:val="18"/>
                <w:lang w:val="en-US"/>
              </w:rPr>
            </w:pPr>
            <w:r w:rsidRPr="00F54AAC">
              <w:rPr>
                <w:rFonts w:cstheme="minorHAnsi"/>
                <w:szCs w:val="18"/>
              </w:rPr>
              <w:t>Administrative</w:t>
            </w:r>
            <w:r w:rsidRPr="00BF638F">
              <w:rPr>
                <w:rFonts w:cstheme="minorHAnsi"/>
                <w:szCs w:val="18"/>
                <w:lang w:val="en-US"/>
              </w:rPr>
              <w:t xml:space="preserve"> data (i.e. workforce numbers, attendance records)</w:t>
            </w:r>
          </w:p>
          <w:p w14:paraId="57DCDFA8" w14:textId="2430AB67" w:rsidR="00772BF9" w:rsidRPr="00BF638F" w:rsidRDefault="00772BF9" w:rsidP="00B7284B">
            <w:pPr>
              <w:pStyle w:val="PwCNormal"/>
              <w:numPr>
                <w:ilvl w:val="0"/>
                <w:numId w:val="76"/>
              </w:numPr>
              <w:spacing w:before="60" w:after="60"/>
              <w:ind w:left="284" w:hanging="284"/>
              <w:rPr>
                <w:rFonts w:cstheme="minorHAnsi"/>
                <w:szCs w:val="18"/>
              </w:rPr>
            </w:pPr>
            <w:r w:rsidRPr="00BF638F">
              <w:rPr>
                <w:rFonts w:cstheme="minorHAnsi"/>
                <w:szCs w:val="18"/>
                <w:lang w:val="en-US"/>
              </w:rPr>
              <w:t xml:space="preserve">Publicly accessible </w:t>
            </w:r>
            <w:r w:rsidRPr="00F54AAC">
              <w:rPr>
                <w:rFonts w:cstheme="minorHAnsi"/>
                <w:szCs w:val="18"/>
              </w:rPr>
              <w:t>reports</w:t>
            </w:r>
            <w:r w:rsidRPr="00BF638F">
              <w:rPr>
                <w:rFonts w:cstheme="minorHAnsi"/>
                <w:szCs w:val="18"/>
                <w:lang w:val="en-US"/>
              </w:rPr>
              <w:t xml:space="preserve"> (i.e. FIFO workers, industry assistance programs) </w:t>
            </w:r>
          </w:p>
        </w:tc>
        <w:tc>
          <w:tcPr>
            <w:tcW w:w="1145" w:type="pct"/>
            <w:vMerge w:val="restart"/>
            <w:shd w:val="clear" w:color="auto" w:fill="auto"/>
            <w:tcMar>
              <w:top w:w="28" w:type="dxa"/>
              <w:left w:w="57" w:type="dxa"/>
              <w:bottom w:w="28" w:type="dxa"/>
              <w:right w:w="57" w:type="dxa"/>
            </w:tcMar>
            <w:hideMark/>
          </w:tcPr>
          <w:p w14:paraId="639BD228" w14:textId="77777777" w:rsidR="007D7BF5" w:rsidRDefault="00772BF9" w:rsidP="00B7284B">
            <w:pPr>
              <w:pStyle w:val="PwCNormal"/>
              <w:numPr>
                <w:ilvl w:val="0"/>
                <w:numId w:val="76"/>
              </w:numPr>
              <w:spacing w:before="60" w:after="60"/>
              <w:ind w:left="284" w:hanging="284"/>
              <w:rPr>
                <w:rFonts w:cstheme="minorHAnsi"/>
                <w:szCs w:val="18"/>
              </w:rPr>
            </w:pPr>
            <w:r w:rsidRPr="0079378B">
              <w:rPr>
                <w:b/>
                <w:bCs/>
                <w:szCs w:val="18"/>
              </w:rPr>
              <w:t>Desktop review</w:t>
            </w:r>
            <w:r w:rsidRPr="00BF638F">
              <w:rPr>
                <w:rFonts w:cstheme="minorHAnsi"/>
                <w:b/>
                <w:szCs w:val="18"/>
              </w:rPr>
              <w:t xml:space="preserve"> </w:t>
            </w:r>
            <w:r w:rsidRPr="00BF638F">
              <w:rPr>
                <w:rFonts w:cstheme="minorHAnsi"/>
                <w:szCs w:val="18"/>
              </w:rPr>
              <w:t>of other similar programs (in Australia and internationally) that manage demand</w:t>
            </w:r>
          </w:p>
          <w:p w14:paraId="0BF615EB" w14:textId="1488EA93" w:rsidR="00772BF9" w:rsidRPr="00BF638F" w:rsidRDefault="00772BF9" w:rsidP="00B7284B">
            <w:pPr>
              <w:pStyle w:val="PwCNormal"/>
              <w:numPr>
                <w:ilvl w:val="0"/>
                <w:numId w:val="76"/>
              </w:numPr>
              <w:spacing w:before="60" w:after="60"/>
              <w:ind w:left="284" w:hanging="284"/>
              <w:rPr>
                <w:rFonts w:cstheme="minorHAnsi"/>
                <w:szCs w:val="18"/>
              </w:rPr>
            </w:pPr>
            <w:r w:rsidRPr="0079378B">
              <w:rPr>
                <w:b/>
                <w:bCs/>
                <w:szCs w:val="18"/>
              </w:rPr>
              <w:t>Desktop review</w:t>
            </w:r>
            <w:r w:rsidRPr="00BF638F">
              <w:rPr>
                <w:rFonts w:cstheme="minorHAnsi"/>
                <w:b/>
                <w:szCs w:val="18"/>
              </w:rPr>
              <w:t xml:space="preserve"> </w:t>
            </w:r>
            <w:r w:rsidRPr="00BF638F">
              <w:rPr>
                <w:rFonts w:cstheme="minorHAnsi"/>
                <w:szCs w:val="18"/>
              </w:rPr>
              <w:t>– other sectors to overcome similar challenges (i.e. workforce supply, regulation)</w:t>
            </w:r>
          </w:p>
          <w:p w14:paraId="7AB39403" w14:textId="1F0C1DE9" w:rsidR="00772BF9" w:rsidRPr="00BF638F" w:rsidRDefault="00772BF9" w:rsidP="00B7284B">
            <w:pPr>
              <w:pStyle w:val="PwCNormal"/>
              <w:numPr>
                <w:ilvl w:val="0"/>
                <w:numId w:val="76"/>
              </w:numPr>
              <w:spacing w:before="60" w:after="60"/>
              <w:ind w:left="284" w:hanging="284"/>
              <w:rPr>
                <w:rFonts w:cstheme="minorHAnsi"/>
                <w:szCs w:val="18"/>
              </w:rPr>
            </w:pPr>
            <w:r w:rsidRPr="0079378B">
              <w:rPr>
                <w:b/>
                <w:bCs/>
                <w:szCs w:val="18"/>
              </w:rPr>
              <w:t>Desktop review</w:t>
            </w:r>
            <w:r w:rsidRPr="00BF638F">
              <w:rPr>
                <w:rFonts w:cstheme="minorHAnsi"/>
                <w:b/>
                <w:szCs w:val="18"/>
              </w:rPr>
              <w:t xml:space="preserve"> </w:t>
            </w:r>
            <w:r w:rsidRPr="00BF638F">
              <w:rPr>
                <w:rFonts w:cstheme="minorHAnsi"/>
                <w:szCs w:val="18"/>
              </w:rPr>
              <w:t>to identify proxy data (to inform mapping exercise</w:t>
            </w:r>
            <w:r w:rsidR="0036642F">
              <w:rPr>
                <w:rFonts w:cstheme="minorHAnsi"/>
                <w:szCs w:val="18"/>
              </w:rPr>
              <w:t>/</w:t>
            </w:r>
            <w:r w:rsidRPr="00BF638F">
              <w:rPr>
                <w:rFonts w:cstheme="minorHAnsi"/>
                <w:szCs w:val="18"/>
              </w:rPr>
              <w:t>policy lever adjustments</w:t>
            </w:r>
          </w:p>
          <w:p w14:paraId="56422768" w14:textId="77777777" w:rsidR="00772BF9" w:rsidRPr="00BF638F" w:rsidRDefault="00772BF9" w:rsidP="00B7284B">
            <w:pPr>
              <w:pStyle w:val="PwCNormal"/>
              <w:numPr>
                <w:ilvl w:val="0"/>
                <w:numId w:val="76"/>
              </w:numPr>
              <w:spacing w:before="60" w:after="60"/>
              <w:ind w:left="284" w:hanging="284"/>
              <w:rPr>
                <w:rFonts w:cstheme="minorHAnsi"/>
                <w:szCs w:val="18"/>
              </w:rPr>
            </w:pPr>
            <w:r w:rsidRPr="0079378B">
              <w:rPr>
                <w:b/>
                <w:bCs/>
                <w:szCs w:val="18"/>
              </w:rPr>
              <w:t>Data collection interviews</w:t>
            </w:r>
            <w:r w:rsidRPr="00BF638F">
              <w:rPr>
                <w:rFonts w:cstheme="minorHAnsi"/>
                <w:b/>
                <w:szCs w:val="18"/>
              </w:rPr>
              <w:t xml:space="preserve"> </w:t>
            </w:r>
            <w:r w:rsidRPr="00BF638F">
              <w:rPr>
                <w:rFonts w:cstheme="minorHAnsi"/>
                <w:szCs w:val="18"/>
              </w:rPr>
              <w:t>with relevant key stakeholders including:</w:t>
            </w:r>
          </w:p>
          <w:p w14:paraId="42EEA569" w14:textId="77777777" w:rsidR="00772BF9" w:rsidRPr="00F54AAC" w:rsidRDefault="00772BF9" w:rsidP="00B7284B">
            <w:pPr>
              <w:pStyle w:val="PwCNormal"/>
              <w:numPr>
                <w:ilvl w:val="1"/>
                <w:numId w:val="53"/>
              </w:numPr>
              <w:spacing w:before="60" w:after="60"/>
              <w:ind w:left="568" w:hanging="284"/>
              <w:rPr>
                <w:szCs w:val="18"/>
              </w:rPr>
            </w:pPr>
            <w:r w:rsidRPr="00F54AAC">
              <w:rPr>
                <w:szCs w:val="18"/>
              </w:rPr>
              <w:t>Department – Directors and operational staff</w:t>
            </w:r>
          </w:p>
          <w:p w14:paraId="2C8A6F7C" w14:textId="77777777" w:rsidR="007D7BF5" w:rsidRPr="00F54AAC" w:rsidRDefault="00772BF9" w:rsidP="00B7284B">
            <w:pPr>
              <w:pStyle w:val="PwCNormal"/>
              <w:numPr>
                <w:ilvl w:val="1"/>
                <w:numId w:val="53"/>
              </w:numPr>
              <w:spacing w:before="60" w:after="60"/>
              <w:ind w:left="568" w:hanging="284"/>
              <w:rPr>
                <w:szCs w:val="18"/>
              </w:rPr>
            </w:pPr>
            <w:r w:rsidRPr="00F54AAC">
              <w:rPr>
                <w:szCs w:val="18"/>
              </w:rPr>
              <w:t>Policy officers (i.e. those related to family assistance law amendments and new policy/program areas)</w:t>
            </w:r>
          </w:p>
          <w:p w14:paraId="1A89D60F" w14:textId="77777777" w:rsidR="007D7BF5" w:rsidRDefault="00772BF9" w:rsidP="00B7284B">
            <w:pPr>
              <w:pStyle w:val="PwCNormal"/>
              <w:numPr>
                <w:ilvl w:val="1"/>
                <w:numId w:val="53"/>
              </w:numPr>
              <w:spacing w:before="60" w:after="60"/>
              <w:ind w:left="568" w:hanging="284"/>
              <w:rPr>
                <w:rFonts w:cstheme="minorHAnsi"/>
                <w:szCs w:val="18"/>
              </w:rPr>
            </w:pPr>
            <w:r w:rsidRPr="00F54AAC">
              <w:rPr>
                <w:szCs w:val="18"/>
              </w:rPr>
              <w:t>IHC</w:t>
            </w:r>
            <w:r w:rsidRPr="00BF638F">
              <w:rPr>
                <w:rFonts w:cstheme="minorHAnsi"/>
                <w:szCs w:val="18"/>
              </w:rPr>
              <w:t xml:space="preserve"> Support Agencies, ECEC providers and services</w:t>
            </w:r>
          </w:p>
          <w:p w14:paraId="6AB5C649" w14:textId="77777777" w:rsidR="007D7BF5" w:rsidRDefault="00772BF9" w:rsidP="00B7284B">
            <w:pPr>
              <w:pStyle w:val="PwCNormal"/>
              <w:numPr>
                <w:ilvl w:val="1"/>
                <w:numId w:val="53"/>
              </w:numPr>
              <w:spacing w:before="60" w:after="60"/>
              <w:ind w:left="568" w:hanging="284"/>
              <w:rPr>
                <w:rFonts w:cstheme="minorHAnsi"/>
                <w:szCs w:val="18"/>
              </w:rPr>
            </w:pPr>
            <w:r w:rsidRPr="00BF638F">
              <w:rPr>
                <w:rFonts w:cstheme="minorHAnsi"/>
                <w:szCs w:val="18"/>
              </w:rPr>
              <w:t xml:space="preserve">AHCA; ICPA; FDCA; Australian </w:t>
            </w:r>
            <w:r w:rsidRPr="00F54AAC">
              <w:rPr>
                <w:szCs w:val="18"/>
              </w:rPr>
              <w:t>Multiple</w:t>
            </w:r>
            <w:r w:rsidRPr="00BF638F">
              <w:rPr>
                <w:rFonts w:cstheme="minorHAnsi"/>
                <w:szCs w:val="18"/>
              </w:rPr>
              <w:t xml:space="preserve"> Birth Association</w:t>
            </w:r>
          </w:p>
          <w:p w14:paraId="3308976B" w14:textId="77777777" w:rsidR="007D7BF5" w:rsidRDefault="00772BF9" w:rsidP="00B7284B">
            <w:pPr>
              <w:pStyle w:val="PwCNormal"/>
              <w:numPr>
                <w:ilvl w:val="1"/>
                <w:numId w:val="53"/>
              </w:numPr>
              <w:spacing w:before="60" w:after="60"/>
              <w:ind w:left="568" w:hanging="284"/>
              <w:rPr>
                <w:rFonts w:cstheme="minorHAnsi"/>
                <w:szCs w:val="18"/>
              </w:rPr>
            </w:pPr>
            <w:r w:rsidRPr="00F54AAC">
              <w:rPr>
                <w:szCs w:val="18"/>
              </w:rPr>
              <w:t>Families</w:t>
            </w:r>
          </w:p>
          <w:p w14:paraId="3E6580BB" w14:textId="5A84C864" w:rsidR="00772BF9" w:rsidRPr="00BF638F" w:rsidRDefault="00772BF9" w:rsidP="00B7284B">
            <w:pPr>
              <w:pStyle w:val="PwCNormal"/>
              <w:numPr>
                <w:ilvl w:val="0"/>
                <w:numId w:val="76"/>
              </w:numPr>
              <w:spacing w:before="60" w:after="60"/>
              <w:ind w:left="284" w:hanging="284"/>
              <w:rPr>
                <w:rFonts w:cstheme="minorHAnsi"/>
                <w:szCs w:val="18"/>
              </w:rPr>
            </w:pPr>
            <w:r w:rsidRPr="0079378B">
              <w:rPr>
                <w:b/>
                <w:bCs/>
                <w:szCs w:val="18"/>
              </w:rPr>
              <w:t xml:space="preserve">Survey </w:t>
            </w:r>
            <w:r w:rsidRPr="00BD2E3F">
              <w:rPr>
                <w:szCs w:val="18"/>
              </w:rPr>
              <w:t>- a survey of targeted questions for IHC provider and families</w:t>
            </w:r>
          </w:p>
        </w:tc>
      </w:tr>
      <w:tr w:rsidR="00772BF9" w:rsidRPr="00BF638F" w14:paraId="698A23C6" w14:textId="77777777" w:rsidTr="00B7284B">
        <w:tc>
          <w:tcPr>
            <w:tcW w:w="653" w:type="pct"/>
            <w:vMerge/>
            <w:tcMar>
              <w:top w:w="28" w:type="dxa"/>
              <w:left w:w="57" w:type="dxa"/>
              <w:bottom w:w="28" w:type="dxa"/>
              <w:right w:w="57" w:type="dxa"/>
            </w:tcMar>
            <w:vAlign w:val="center"/>
            <w:hideMark/>
          </w:tcPr>
          <w:p w14:paraId="788B325F" w14:textId="77777777" w:rsidR="00772BF9" w:rsidRPr="00BF638F" w:rsidRDefault="00772BF9">
            <w:pPr>
              <w:rPr>
                <w:rFonts w:cstheme="minorHAnsi"/>
                <w:sz w:val="18"/>
                <w:szCs w:val="18"/>
              </w:rPr>
            </w:pPr>
          </w:p>
        </w:tc>
        <w:tc>
          <w:tcPr>
            <w:tcW w:w="1060" w:type="pct"/>
            <w:shd w:val="clear" w:color="auto" w:fill="auto"/>
            <w:tcMar>
              <w:top w:w="28" w:type="dxa"/>
              <w:left w:w="57" w:type="dxa"/>
              <w:bottom w:w="28" w:type="dxa"/>
              <w:right w:w="57" w:type="dxa"/>
            </w:tcMar>
            <w:vAlign w:val="center"/>
            <w:hideMark/>
          </w:tcPr>
          <w:p w14:paraId="0F186D50" w14:textId="77777777" w:rsidR="00772BF9" w:rsidRPr="00BF638F" w:rsidRDefault="00772BF9" w:rsidP="00F54AAC">
            <w:pPr>
              <w:numPr>
                <w:ilvl w:val="0"/>
                <w:numId w:val="59"/>
              </w:numPr>
              <w:spacing w:before="0" w:after="0"/>
              <w:ind w:left="284" w:hanging="284"/>
              <w:rPr>
                <w:rFonts w:cstheme="minorHAnsi"/>
                <w:sz w:val="18"/>
                <w:szCs w:val="18"/>
              </w:rPr>
            </w:pPr>
            <w:r w:rsidRPr="00BF638F">
              <w:rPr>
                <w:rFonts w:cstheme="minorHAnsi"/>
                <w:sz w:val="18"/>
                <w:szCs w:val="18"/>
              </w:rPr>
              <w:t>Could adjustments to the program and policy levers enable a more effective response to IHC program demand?</w:t>
            </w:r>
          </w:p>
        </w:tc>
        <w:tc>
          <w:tcPr>
            <w:tcW w:w="1084" w:type="pct"/>
            <w:vMerge/>
            <w:tcMar>
              <w:top w:w="28" w:type="dxa"/>
              <w:left w:w="57" w:type="dxa"/>
              <w:bottom w:w="28" w:type="dxa"/>
              <w:right w:w="57" w:type="dxa"/>
            </w:tcMar>
            <w:vAlign w:val="center"/>
            <w:hideMark/>
          </w:tcPr>
          <w:p w14:paraId="372640D9" w14:textId="77777777" w:rsidR="00772BF9" w:rsidRPr="00BF638F" w:rsidRDefault="00772BF9">
            <w:pPr>
              <w:ind w:left="284" w:hanging="284"/>
              <w:rPr>
                <w:rFonts w:cstheme="minorHAnsi"/>
                <w:sz w:val="18"/>
                <w:szCs w:val="18"/>
              </w:rPr>
            </w:pPr>
          </w:p>
        </w:tc>
        <w:tc>
          <w:tcPr>
            <w:tcW w:w="1058" w:type="pct"/>
            <w:vMerge/>
            <w:tcMar>
              <w:top w:w="28" w:type="dxa"/>
              <w:left w:w="57" w:type="dxa"/>
              <w:bottom w:w="28" w:type="dxa"/>
              <w:right w:w="57" w:type="dxa"/>
            </w:tcMar>
            <w:vAlign w:val="center"/>
            <w:hideMark/>
          </w:tcPr>
          <w:p w14:paraId="519293CE" w14:textId="77777777" w:rsidR="00772BF9" w:rsidRPr="00BF638F" w:rsidRDefault="00772BF9">
            <w:pPr>
              <w:ind w:left="284" w:hanging="284"/>
              <w:rPr>
                <w:rFonts w:cstheme="minorHAnsi"/>
                <w:sz w:val="18"/>
                <w:szCs w:val="18"/>
              </w:rPr>
            </w:pPr>
          </w:p>
        </w:tc>
        <w:tc>
          <w:tcPr>
            <w:tcW w:w="1145" w:type="pct"/>
            <w:vMerge/>
            <w:tcMar>
              <w:top w:w="28" w:type="dxa"/>
              <w:left w:w="57" w:type="dxa"/>
              <w:bottom w:w="28" w:type="dxa"/>
              <w:right w:w="57" w:type="dxa"/>
            </w:tcMar>
            <w:vAlign w:val="center"/>
            <w:hideMark/>
          </w:tcPr>
          <w:p w14:paraId="7F3D30E8" w14:textId="77777777" w:rsidR="00772BF9" w:rsidRPr="00BF638F" w:rsidRDefault="00772BF9">
            <w:pPr>
              <w:ind w:left="284" w:hanging="284"/>
              <w:rPr>
                <w:rFonts w:cstheme="minorHAnsi"/>
                <w:sz w:val="18"/>
                <w:szCs w:val="18"/>
              </w:rPr>
            </w:pPr>
          </w:p>
        </w:tc>
      </w:tr>
      <w:tr w:rsidR="00772BF9" w:rsidRPr="00BF638F" w14:paraId="28E82651" w14:textId="77777777" w:rsidTr="00B7284B">
        <w:tc>
          <w:tcPr>
            <w:tcW w:w="653" w:type="pct"/>
            <w:vMerge/>
            <w:tcMar>
              <w:top w:w="28" w:type="dxa"/>
              <w:left w:w="57" w:type="dxa"/>
              <w:bottom w:w="28" w:type="dxa"/>
              <w:right w:w="57" w:type="dxa"/>
            </w:tcMar>
            <w:vAlign w:val="center"/>
            <w:hideMark/>
          </w:tcPr>
          <w:p w14:paraId="738B478E" w14:textId="77777777" w:rsidR="00772BF9" w:rsidRPr="00BF638F" w:rsidRDefault="00772BF9">
            <w:pPr>
              <w:rPr>
                <w:rFonts w:cstheme="minorHAnsi"/>
                <w:sz w:val="18"/>
                <w:szCs w:val="18"/>
              </w:rPr>
            </w:pPr>
          </w:p>
        </w:tc>
        <w:tc>
          <w:tcPr>
            <w:tcW w:w="1060" w:type="pct"/>
            <w:shd w:val="clear" w:color="auto" w:fill="auto"/>
            <w:tcMar>
              <w:top w:w="28" w:type="dxa"/>
              <w:left w:w="57" w:type="dxa"/>
              <w:bottom w:w="28" w:type="dxa"/>
              <w:right w:w="57" w:type="dxa"/>
            </w:tcMar>
            <w:vAlign w:val="center"/>
            <w:hideMark/>
          </w:tcPr>
          <w:p w14:paraId="4145109E" w14:textId="77777777" w:rsidR="00772BF9" w:rsidRPr="00BF638F" w:rsidRDefault="00772BF9" w:rsidP="00F54AAC">
            <w:pPr>
              <w:numPr>
                <w:ilvl w:val="0"/>
                <w:numId w:val="60"/>
              </w:numPr>
              <w:spacing w:before="0" w:after="0"/>
              <w:ind w:left="284" w:hanging="284"/>
              <w:rPr>
                <w:rFonts w:cstheme="minorHAnsi"/>
                <w:sz w:val="18"/>
                <w:szCs w:val="18"/>
              </w:rPr>
            </w:pPr>
            <w:r w:rsidRPr="00BF638F">
              <w:rPr>
                <w:rFonts w:cstheme="minorHAnsi"/>
                <w:sz w:val="18"/>
                <w:szCs w:val="18"/>
                <w:lang w:val="en-US"/>
              </w:rPr>
              <w:t xml:space="preserve">How can quality and safety of IHC be strengthened? </w:t>
            </w:r>
          </w:p>
        </w:tc>
        <w:tc>
          <w:tcPr>
            <w:tcW w:w="1084" w:type="pct"/>
            <w:vMerge/>
            <w:tcMar>
              <w:top w:w="28" w:type="dxa"/>
              <w:left w:w="57" w:type="dxa"/>
              <w:bottom w:w="28" w:type="dxa"/>
              <w:right w:w="57" w:type="dxa"/>
            </w:tcMar>
            <w:vAlign w:val="center"/>
            <w:hideMark/>
          </w:tcPr>
          <w:p w14:paraId="119B44F5" w14:textId="77777777" w:rsidR="00772BF9" w:rsidRPr="00BF638F" w:rsidRDefault="00772BF9">
            <w:pPr>
              <w:ind w:left="284" w:hanging="284"/>
              <w:rPr>
                <w:rFonts w:cstheme="minorHAnsi"/>
                <w:sz w:val="18"/>
                <w:szCs w:val="18"/>
              </w:rPr>
            </w:pPr>
          </w:p>
        </w:tc>
        <w:tc>
          <w:tcPr>
            <w:tcW w:w="1058" w:type="pct"/>
            <w:vMerge/>
            <w:tcMar>
              <w:top w:w="28" w:type="dxa"/>
              <w:left w:w="57" w:type="dxa"/>
              <w:bottom w:w="28" w:type="dxa"/>
              <w:right w:w="57" w:type="dxa"/>
            </w:tcMar>
            <w:vAlign w:val="center"/>
            <w:hideMark/>
          </w:tcPr>
          <w:p w14:paraId="0CB13064" w14:textId="77777777" w:rsidR="00772BF9" w:rsidRPr="00BF638F" w:rsidRDefault="00772BF9">
            <w:pPr>
              <w:ind w:left="284" w:hanging="284"/>
              <w:rPr>
                <w:rFonts w:cstheme="minorHAnsi"/>
                <w:sz w:val="18"/>
                <w:szCs w:val="18"/>
              </w:rPr>
            </w:pPr>
          </w:p>
        </w:tc>
        <w:tc>
          <w:tcPr>
            <w:tcW w:w="1145" w:type="pct"/>
            <w:vMerge/>
            <w:tcMar>
              <w:top w:w="28" w:type="dxa"/>
              <w:left w:w="57" w:type="dxa"/>
              <w:bottom w:w="28" w:type="dxa"/>
              <w:right w:w="57" w:type="dxa"/>
            </w:tcMar>
            <w:vAlign w:val="center"/>
            <w:hideMark/>
          </w:tcPr>
          <w:p w14:paraId="049A2773" w14:textId="77777777" w:rsidR="00772BF9" w:rsidRPr="00BF638F" w:rsidRDefault="00772BF9">
            <w:pPr>
              <w:ind w:left="284" w:hanging="284"/>
              <w:rPr>
                <w:rFonts w:cstheme="minorHAnsi"/>
                <w:sz w:val="18"/>
                <w:szCs w:val="18"/>
              </w:rPr>
            </w:pPr>
          </w:p>
        </w:tc>
      </w:tr>
      <w:tr w:rsidR="00772BF9" w:rsidRPr="00BF638F" w14:paraId="1E3CE1DE" w14:textId="77777777" w:rsidTr="00B7284B">
        <w:tc>
          <w:tcPr>
            <w:tcW w:w="653" w:type="pct"/>
            <w:vMerge/>
            <w:tcMar>
              <w:top w:w="28" w:type="dxa"/>
              <w:left w:w="57" w:type="dxa"/>
              <w:bottom w:w="28" w:type="dxa"/>
              <w:right w:w="57" w:type="dxa"/>
            </w:tcMar>
            <w:vAlign w:val="center"/>
            <w:hideMark/>
          </w:tcPr>
          <w:p w14:paraId="6D12CC76" w14:textId="77777777" w:rsidR="00772BF9" w:rsidRPr="00BF638F" w:rsidRDefault="00772BF9">
            <w:pPr>
              <w:rPr>
                <w:rFonts w:cstheme="minorHAnsi"/>
                <w:sz w:val="18"/>
                <w:szCs w:val="18"/>
              </w:rPr>
            </w:pPr>
          </w:p>
        </w:tc>
        <w:tc>
          <w:tcPr>
            <w:tcW w:w="1060" w:type="pct"/>
            <w:shd w:val="clear" w:color="auto" w:fill="auto"/>
            <w:tcMar>
              <w:top w:w="28" w:type="dxa"/>
              <w:left w:w="57" w:type="dxa"/>
              <w:bottom w:w="28" w:type="dxa"/>
              <w:right w:w="57" w:type="dxa"/>
            </w:tcMar>
            <w:vAlign w:val="center"/>
            <w:hideMark/>
          </w:tcPr>
          <w:p w14:paraId="053ABF4F" w14:textId="77777777" w:rsidR="00772BF9" w:rsidRPr="00BF638F" w:rsidRDefault="00772BF9" w:rsidP="00F54AAC">
            <w:pPr>
              <w:numPr>
                <w:ilvl w:val="0"/>
                <w:numId w:val="61"/>
              </w:numPr>
              <w:spacing w:before="0" w:after="0"/>
              <w:ind w:left="284" w:hanging="284"/>
              <w:rPr>
                <w:rFonts w:cstheme="minorHAnsi"/>
                <w:sz w:val="18"/>
                <w:szCs w:val="18"/>
              </w:rPr>
            </w:pPr>
            <w:r w:rsidRPr="00BF638F">
              <w:rPr>
                <w:rFonts w:cstheme="minorHAnsi"/>
                <w:sz w:val="18"/>
                <w:szCs w:val="18"/>
                <w:lang w:val="en-US"/>
              </w:rPr>
              <w:t xml:space="preserve">What changes are required to address workforce challenges? </w:t>
            </w:r>
          </w:p>
        </w:tc>
        <w:tc>
          <w:tcPr>
            <w:tcW w:w="1084" w:type="pct"/>
            <w:vMerge/>
            <w:tcMar>
              <w:top w:w="28" w:type="dxa"/>
              <w:left w:w="57" w:type="dxa"/>
              <w:bottom w:w="28" w:type="dxa"/>
              <w:right w:w="57" w:type="dxa"/>
            </w:tcMar>
            <w:vAlign w:val="center"/>
            <w:hideMark/>
          </w:tcPr>
          <w:p w14:paraId="39C9F7AA" w14:textId="77777777" w:rsidR="00772BF9" w:rsidRPr="00BF638F" w:rsidRDefault="00772BF9">
            <w:pPr>
              <w:ind w:left="284" w:hanging="284"/>
              <w:rPr>
                <w:rFonts w:cstheme="minorHAnsi"/>
                <w:sz w:val="18"/>
                <w:szCs w:val="18"/>
              </w:rPr>
            </w:pPr>
          </w:p>
        </w:tc>
        <w:tc>
          <w:tcPr>
            <w:tcW w:w="1058" w:type="pct"/>
            <w:vMerge/>
            <w:tcMar>
              <w:top w:w="28" w:type="dxa"/>
              <w:left w:w="57" w:type="dxa"/>
              <w:bottom w:w="28" w:type="dxa"/>
              <w:right w:w="57" w:type="dxa"/>
            </w:tcMar>
            <w:vAlign w:val="center"/>
            <w:hideMark/>
          </w:tcPr>
          <w:p w14:paraId="142F16EB" w14:textId="77777777" w:rsidR="00772BF9" w:rsidRPr="00BF638F" w:rsidRDefault="00772BF9">
            <w:pPr>
              <w:ind w:left="284" w:hanging="284"/>
              <w:rPr>
                <w:rFonts w:cstheme="minorHAnsi"/>
                <w:sz w:val="18"/>
                <w:szCs w:val="18"/>
              </w:rPr>
            </w:pPr>
          </w:p>
        </w:tc>
        <w:tc>
          <w:tcPr>
            <w:tcW w:w="1145" w:type="pct"/>
            <w:vMerge/>
            <w:tcMar>
              <w:top w:w="28" w:type="dxa"/>
              <w:left w:w="57" w:type="dxa"/>
              <w:bottom w:w="28" w:type="dxa"/>
              <w:right w:w="57" w:type="dxa"/>
            </w:tcMar>
            <w:vAlign w:val="center"/>
            <w:hideMark/>
          </w:tcPr>
          <w:p w14:paraId="6D8EE6E5" w14:textId="77777777" w:rsidR="00772BF9" w:rsidRPr="00BF638F" w:rsidRDefault="00772BF9">
            <w:pPr>
              <w:ind w:left="284" w:hanging="284"/>
              <w:rPr>
                <w:rFonts w:cstheme="minorHAnsi"/>
                <w:sz w:val="18"/>
                <w:szCs w:val="18"/>
              </w:rPr>
            </w:pPr>
          </w:p>
        </w:tc>
      </w:tr>
      <w:tr w:rsidR="00772BF9" w:rsidRPr="00BF638F" w14:paraId="7E6CAE34" w14:textId="77777777" w:rsidTr="00B7284B">
        <w:tc>
          <w:tcPr>
            <w:tcW w:w="653" w:type="pct"/>
            <w:vMerge/>
            <w:tcMar>
              <w:top w:w="28" w:type="dxa"/>
              <w:left w:w="57" w:type="dxa"/>
              <w:bottom w:w="28" w:type="dxa"/>
              <w:right w:w="57" w:type="dxa"/>
            </w:tcMar>
            <w:vAlign w:val="center"/>
            <w:hideMark/>
          </w:tcPr>
          <w:p w14:paraId="20B1D319" w14:textId="77777777" w:rsidR="00772BF9" w:rsidRPr="00BF638F" w:rsidRDefault="00772BF9">
            <w:pPr>
              <w:rPr>
                <w:rFonts w:cstheme="minorHAnsi"/>
                <w:sz w:val="18"/>
                <w:szCs w:val="18"/>
              </w:rPr>
            </w:pPr>
          </w:p>
        </w:tc>
        <w:tc>
          <w:tcPr>
            <w:tcW w:w="1060" w:type="pct"/>
            <w:shd w:val="clear" w:color="auto" w:fill="auto"/>
            <w:tcMar>
              <w:top w:w="28" w:type="dxa"/>
              <w:left w:w="57" w:type="dxa"/>
              <w:bottom w:w="28" w:type="dxa"/>
              <w:right w:w="57" w:type="dxa"/>
            </w:tcMar>
            <w:vAlign w:val="center"/>
            <w:hideMark/>
          </w:tcPr>
          <w:p w14:paraId="60FC2A91" w14:textId="77777777" w:rsidR="00772BF9" w:rsidRPr="00BF638F" w:rsidRDefault="00772BF9" w:rsidP="00F54AAC">
            <w:pPr>
              <w:numPr>
                <w:ilvl w:val="0"/>
                <w:numId w:val="62"/>
              </w:numPr>
              <w:spacing w:before="0" w:after="0"/>
              <w:ind w:left="284" w:hanging="284"/>
              <w:rPr>
                <w:rFonts w:cstheme="minorHAnsi"/>
                <w:sz w:val="18"/>
                <w:szCs w:val="18"/>
              </w:rPr>
            </w:pPr>
            <w:r w:rsidRPr="00BF638F">
              <w:rPr>
                <w:rFonts w:cstheme="minorHAnsi"/>
                <w:sz w:val="18"/>
                <w:szCs w:val="18"/>
              </w:rPr>
              <w:t>What changes are required to support timely and accurate program data? </w:t>
            </w:r>
          </w:p>
        </w:tc>
        <w:tc>
          <w:tcPr>
            <w:tcW w:w="1084" w:type="pct"/>
            <w:vMerge/>
            <w:tcMar>
              <w:top w:w="28" w:type="dxa"/>
              <w:left w:w="57" w:type="dxa"/>
              <w:bottom w:w="28" w:type="dxa"/>
              <w:right w:w="57" w:type="dxa"/>
            </w:tcMar>
            <w:vAlign w:val="center"/>
            <w:hideMark/>
          </w:tcPr>
          <w:p w14:paraId="44F9D744" w14:textId="77777777" w:rsidR="00772BF9" w:rsidRPr="00BF638F" w:rsidRDefault="00772BF9">
            <w:pPr>
              <w:ind w:left="284" w:hanging="284"/>
              <w:rPr>
                <w:rFonts w:cstheme="minorHAnsi"/>
                <w:sz w:val="18"/>
                <w:szCs w:val="18"/>
              </w:rPr>
            </w:pPr>
          </w:p>
        </w:tc>
        <w:tc>
          <w:tcPr>
            <w:tcW w:w="1058" w:type="pct"/>
            <w:vMerge/>
            <w:tcMar>
              <w:top w:w="28" w:type="dxa"/>
              <w:left w:w="57" w:type="dxa"/>
              <w:bottom w:w="28" w:type="dxa"/>
              <w:right w:w="57" w:type="dxa"/>
            </w:tcMar>
            <w:vAlign w:val="center"/>
            <w:hideMark/>
          </w:tcPr>
          <w:p w14:paraId="3FC41655" w14:textId="77777777" w:rsidR="00772BF9" w:rsidRPr="00BF638F" w:rsidRDefault="00772BF9">
            <w:pPr>
              <w:ind w:left="284" w:hanging="284"/>
              <w:rPr>
                <w:rFonts w:cstheme="minorHAnsi"/>
                <w:sz w:val="18"/>
                <w:szCs w:val="18"/>
              </w:rPr>
            </w:pPr>
          </w:p>
        </w:tc>
        <w:tc>
          <w:tcPr>
            <w:tcW w:w="1145" w:type="pct"/>
            <w:vMerge/>
            <w:tcMar>
              <w:top w:w="28" w:type="dxa"/>
              <w:left w:w="57" w:type="dxa"/>
              <w:bottom w:w="28" w:type="dxa"/>
              <w:right w:w="57" w:type="dxa"/>
            </w:tcMar>
            <w:vAlign w:val="center"/>
            <w:hideMark/>
          </w:tcPr>
          <w:p w14:paraId="6099916B" w14:textId="77777777" w:rsidR="00772BF9" w:rsidRPr="00BF638F" w:rsidRDefault="00772BF9">
            <w:pPr>
              <w:ind w:left="284" w:hanging="284"/>
              <w:rPr>
                <w:rFonts w:cstheme="minorHAnsi"/>
                <w:sz w:val="18"/>
                <w:szCs w:val="18"/>
              </w:rPr>
            </w:pPr>
          </w:p>
        </w:tc>
      </w:tr>
      <w:tr w:rsidR="00772BF9" w:rsidRPr="00BF638F" w14:paraId="1F5D4741" w14:textId="77777777" w:rsidTr="00B7284B">
        <w:tc>
          <w:tcPr>
            <w:tcW w:w="653" w:type="pct"/>
            <w:vMerge/>
            <w:tcMar>
              <w:top w:w="28" w:type="dxa"/>
              <w:left w:w="57" w:type="dxa"/>
              <w:bottom w:w="28" w:type="dxa"/>
              <w:right w:w="57" w:type="dxa"/>
            </w:tcMar>
            <w:vAlign w:val="center"/>
            <w:hideMark/>
          </w:tcPr>
          <w:p w14:paraId="2A63F628" w14:textId="77777777" w:rsidR="00772BF9" w:rsidRPr="00BF638F" w:rsidRDefault="00772BF9">
            <w:pPr>
              <w:rPr>
                <w:rFonts w:cstheme="minorHAnsi"/>
                <w:sz w:val="18"/>
                <w:szCs w:val="18"/>
              </w:rPr>
            </w:pPr>
          </w:p>
        </w:tc>
        <w:tc>
          <w:tcPr>
            <w:tcW w:w="1060" w:type="pct"/>
            <w:shd w:val="clear" w:color="auto" w:fill="auto"/>
            <w:tcMar>
              <w:top w:w="28" w:type="dxa"/>
              <w:left w:w="57" w:type="dxa"/>
              <w:bottom w:w="28" w:type="dxa"/>
              <w:right w:w="57" w:type="dxa"/>
            </w:tcMar>
            <w:hideMark/>
          </w:tcPr>
          <w:p w14:paraId="57E71A59" w14:textId="77777777" w:rsidR="00772BF9" w:rsidRPr="00BF638F" w:rsidRDefault="00772BF9" w:rsidP="00F54AAC">
            <w:pPr>
              <w:numPr>
                <w:ilvl w:val="0"/>
                <w:numId w:val="63"/>
              </w:numPr>
              <w:spacing w:before="0" w:after="0"/>
              <w:ind w:left="284" w:hanging="284"/>
              <w:rPr>
                <w:rFonts w:cstheme="minorHAnsi"/>
                <w:sz w:val="18"/>
                <w:szCs w:val="18"/>
              </w:rPr>
            </w:pPr>
            <w:r w:rsidRPr="00BF638F">
              <w:rPr>
                <w:rFonts w:cstheme="minorHAnsi"/>
                <w:sz w:val="18"/>
                <w:szCs w:val="18"/>
              </w:rPr>
              <w:t>What administrational improvements are required to support program operations?</w:t>
            </w:r>
          </w:p>
        </w:tc>
        <w:tc>
          <w:tcPr>
            <w:tcW w:w="1084" w:type="pct"/>
            <w:vMerge/>
            <w:tcMar>
              <w:top w:w="28" w:type="dxa"/>
              <w:left w:w="57" w:type="dxa"/>
              <w:bottom w:w="28" w:type="dxa"/>
              <w:right w:w="57" w:type="dxa"/>
            </w:tcMar>
            <w:vAlign w:val="center"/>
            <w:hideMark/>
          </w:tcPr>
          <w:p w14:paraId="57EA9C8D" w14:textId="77777777" w:rsidR="00772BF9" w:rsidRPr="00BF638F" w:rsidRDefault="00772BF9">
            <w:pPr>
              <w:ind w:left="284" w:hanging="284"/>
              <w:rPr>
                <w:rFonts w:cstheme="minorHAnsi"/>
                <w:sz w:val="18"/>
                <w:szCs w:val="18"/>
              </w:rPr>
            </w:pPr>
          </w:p>
        </w:tc>
        <w:tc>
          <w:tcPr>
            <w:tcW w:w="1058" w:type="pct"/>
            <w:vMerge/>
            <w:tcMar>
              <w:top w:w="28" w:type="dxa"/>
              <w:left w:w="57" w:type="dxa"/>
              <w:bottom w:w="28" w:type="dxa"/>
              <w:right w:w="57" w:type="dxa"/>
            </w:tcMar>
            <w:vAlign w:val="center"/>
            <w:hideMark/>
          </w:tcPr>
          <w:p w14:paraId="5E84AD5B" w14:textId="77777777" w:rsidR="00772BF9" w:rsidRPr="00BF638F" w:rsidRDefault="00772BF9">
            <w:pPr>
              <w:ind w:left="284" w:hanging="284"/>
              <w:rPr>
                <w:rFonts w:cstheme="minorHAnsi"/>
                <w:sz w:val="18"/>
                <w:szCs w:val="18"/>
              </w:rPr>
            </w:pPr>
          </w:p>
        </w:tc>
        <w:tc>
          <w:tcPr>
            <w:tcW w:w="1145" w:type="pct"/>
            <w:vMerge/>
            <w:tcMar>
              <w:top w:w="28" w:type="dxa"/>
              <w:left w:w="57" w:type="dxa"/>
              <w:bottom w:w="28" w:type="dxa"/>
              <w:right w:w="57" w:type="dxa"/>
            </w:tcMar>
            <w:vAlign w:val="center"/>
            <w:hideMark/>
          </w:tcPr>
          <w:p w14:paraId="22FB57A0" w14:textId="77777777" w:rsidR="00772BF9" w:rsidRPr="00BF638F" w:rsidRDefault="00772BF9">
            <w:pPr>
              <w:ind w:left="284" w:hanging="284"/>
              <w:rPr>
                <w:rFonts w:cstheme="minorHAnsi"/>
                <w:sz w:val="18"/>
                <w:szCs w:val="18"/>
              </w:rPr>
            </w:pPr>
          </w:p>
        </w:tc>
      </w:tr>
    </w:tbl>
    <w:p w14:paraId="1A18BFB4" w14:textId="3368D86C" w:rsidR="00BF638F" w:rsidRDefault="00BF638F" w:rsidP="00F54AAC">
      <w:pPr>
        <w:pStyle w:val="DocBodyText"/>
      </w:pPr>
    </w:p>
    <w:p w14:paraId="55504D13" w14:textId="485904C4" w:rsidR="00772BF9" w:rsidRDefault="00772BF9" w:rsidP="00772BF9">
      <w:pPr>
        <w:pStyle w:val="DocHeading01"/>
      </w:pPr>
      <w:bookmarkStart w:id="98" w:name="_Toc140148423"/>
      <w:bookmarkStart w:id="99" w:name="_Toc140149921"/>
      <w:r>
        <w:lastRenderedPageBreak/>
        <w:t>Appendix C: MCA framework</w:t>
      </w:r>
      <w:bookmarkEnd w:id="98"/>
      <w:bookmarkEnd w:id="99"/>
    </w:p>
    <w:p w14:paraId="60C6C4B2" w14:textId="4CA97772" w:rsidR="00772BF9" w:rsidRPr="00B6071A" w:rsidRDefault="00772BF9" w:rsidP="00772BF9">
      <w:pPr>
        <w:pStyle w:val="DocBodyText"/>
      </w:pPr>
      <w:r w:rsidRPr="005369C6">
        <w:t>An</w:t>
      </w:r>
      <w:r w:rsidRPr="005369C6">
        <w:rPr>
          <w:b/>
        </w:rPr>
        <w:t xml:space="preserve"> </w:t>
      </w:r>
      <w:r w:rsidRPr="005369C6">
        <w:t>MCA was co-designed with the Department of Education to assess, compare and prioritise future-state options. The MCA is divided into two key categories of criteria: outcomes and implementation risks (</w:t>
      </w:r>
      <w:r w:rsidRPr="005369C6">
        <w:fldChar w:fldCharType="begin"/>
      </w:r>
      <w:r w:rsidRPr="005369C6">
        <w:instrText xml:space="preserve"> REF _Ref137728755 \h  \* MERGEFORMAT </w:instrText>
      </w:r>
      <w:r w:rsidRPr="005369C6">
        <w:fldChar w:fldCharType="separate"/>
      </w:r>
      <w:r w:rsidR="00943DE9">
        <w:rPr>
          <w:b/>
          <w:bCs/>
          <w:lang w:val="en-US"/>
        </w:rPr>
        <w:t>Error! Reference source not found.</w:t>
      </w:r>
      <w:r w:rsidRPr="005369C6">
        <w:fldChar w:fldCharType="end"/>
      </w:r>
      <w:r w:rsidRPr="005369C6">
        <w:t xml:space="preserve">). Outcomes criteria assess the impact and alignment of each option against the principles of the </w:t>
      </w:r>
      <w:r w:rsidRPr="005369C6">
        <w:rPr>
          <w:i/>
        </w:rPr>
        <w:t>National Vision for ECEC</w:t>
      </w:r>
      <w:r w:rsidRPr="005369C6">
        <w:t>. Implementation risks criteria assess the challenges and barriers to implementing each option.</w:t>
      </w:r>
      <w:r w:rsidRPr="00B6071A">
        <w:t xml:space="preserve"> </w:t>
      </w:r>
    </w:p>
    <w:tbl>
      <w:tblPr>
        <w:tblW w:w="5043" w:type="pct"/>
        <w:tblCellMar>
          <w:left w:w="0" w:type="dxa"/>
          <w:right w:w="0" w:type="dxa"/>
        </w:tblCellMar>
        <w:tblLook w:val="0420" w:firstRow="1" w:lastRow="0" w:firstColumn="0" w:lastColumn="0" w:noHBand="0" w:noVBand="1"/>
      </w:tblPr>
      <w:tblGrid>
        <w:gridCol w:w="2054"/>
        <w:gridCol w:w="7781"/>
      </w:tblGrid>
      <w:tr w:rsidR="00772BF9" w:rsidRPr="00E56985" w14:paraId="5C907E56" w14:textId="77777777" w:rsidTr="00E56985">
        <w:tc>
          <w:tcPr>
            <w:tcW w:w="1044" w:type="pct"/>
            <w:shd w:val="clear" w:color="auto" w:fill="D04A02" w:themeFill="accent1"/>
            <w:tcMar>
              <w:top w:w="72" w:type="dxa"/>
              <w:left w:w="144" w:type="dxa"/>
              <w:bottom w:w="72" w:type="dxa"/>
              <w:right w:w="144" w:type="dxa"/>
            </w:tcMar>
            <w:hideMark/>
          </w:tcPr>
          <w:p w14:paraId="46BE1A21" w14:textId="77777777" w:rsidR="00772BF9" w:rsidRPr="00E56985" w:rsidRDefault="00772BF9" w:rsidP="00F54AAC">
            <w:pPr>
              <w:pStyle w:val="PwCNormal"/>
              <w:numPr>
                <w:ilvl w:val="0"/>
                <w:numId w:val="2"/>
              </w:numPr>
              <w:spacing w:before="60" w:after="60"/>
              <w:rPr>
                <w:rFonts w:cstheme="minorHAnsi"/>
                <w:color w:val="FFFFFF" w:themeColor="background1"/>
                <w:sz w:val="20"/>
              </w:rPr>
            </w:pPr>
            <w:r w:rsidRPr="00E56985">
              <w:rPr>
                <w:rFonts w:cstheme="minorBidi"/>
                <w:b/>
                <w:bCs/>
                <w:color w:val="FFFFFF" w:themeColor="background1"/>
                <w:sz w:val="20"/>
              </w:rPr>
              <w:t>Outcomes</w:t>
            </w:r>
          </w:p>
        </w:tc>
        <w:tc>
          <w:tcPr>
            <w:tcW w:w="3956" w:type="pct"/>
            <w:shd w:val="clear" w:color="auto" w:fill="D04A02" w:themeFill="accent1"/>
            <w:tcMar>
              <w:top w:w="72" w:type="dxa"/>
              <w:left w:w="144" w:type="dxa"/>
              <w:bottom w:w="72" w:type="dxa"/>
              <w:right w:w="144" w:type="dxa"/>
            </w:tcMar>
            <w:hideMark/>
          </w:tcPr>
          <w:p w14:paraId="05FD2C13" w14:textId="77777777" w:rsidR="00772BF9" w:rsidRPr="00E56985" w:rsidRDefault="00772BF9" w:rsidP="00F54AAC">
            <w:pPr>
              <w:pStyle w:val="PwCNormal"/>
              <w:numPr>
                <w:ilvl w:val="0"/>
                <w:numId w:val="2"/>
              </w:numPr>
              <w:spacing w:before="60" w:after="60"/>
              <w:rPr>
                <w:rFonts w:cstheme="minorHAnsi"/>
                <w:color w:val="FFFFFF" w:themeColor="background1"/>
                <w:sz w:val="20"/>
              </w:rPr>
            </w:pPr>
            <w:r w:rsidRPr="00E56985">
              <w:rPr>
                <w:rFonts w:cstheme="minorBidi"/>
                <w:b/>
                <w:bCs/>
                <w:color w:val="FFFFFF" w:themeColor="background1"/>
                <w:sz w:val="20"/>
              </w:rPr>
              <w:t>Considerations</w:t>
            </w:r>
          </w:p>
        </w:tc>
      </w:tr>
      <w:tr w:rsidR="00772BF9" w:rsidRPr="00E56985" w14:paraId="498CB253" w14:textId="77777777" w:rsidTr="00E56985">
        <w:tc>
          <w:tcPr>
            <w:tcW w:w="1044" w:type="pct"/>
            <w:tcBorders>
              <w:bottom w:val="single" w:sz="4" w:space="0" w:color="7D7D7D" w:themeColor="text2"/>
            </w:tcBorders>
            <w:shd w:val="clear" w:color="auto" w:fill="DEDEDE" w:themeFill="background2"/>
            <w:tcMar>
              <w:top w:w="72" w:type="dxa"/>
              <w:left w:w="144" w:type="dxa"/>
              <w:bottom w:w="72" w:type="dxa"/>
              <w:right w:w="144" w:type="dxa"/>
            </w:tcMar>
            <w:hideMark/>
          </w:tcPr>
          <w:p w14:paraId="2E4B943E" w14:textId="77777777" w:rsidR="00772BF9" w:rsidRPr="00E56985" w:rsidRDefault="00772BF9" w:rsidP="00F54AAC">
            <w:pPr>
              <w:pStyle w:val="PwCNormal"/>
              <w:numPr>
                <w:ilvl w:val="0"/>
                <w:numId w:val="2"/>
              </w:numPr>
              <w:spacing w:before="60" w:after="60"/>
              <w:rPr>
                <w:rFonts w:cstheme="minorHAnsi"/>
                <w:b/>
                <w:sz w:val="20"/>
              </w:rPr>
            </w:pPr>
            <w:r w:rsidRPr="00E56985">
              <w:rPr>
                <w:rFonts w:cstheme="minorBidi"/>
                <w:b/>
                <w:bCs/>
                <w:sz w:val="20"/>
              </w:rPr>
              <w:t>Equity</w:t>
            </w:r>
          </w:p>
        </w:tc>
        <w:tc>
          <w:tcPr>
            <w:tcW w:w="3956" w:type="pct"/>
            <w:tcBorders>
              <w:bottom w:val="single" w:sz="4" w:space="0" w:color="7D7D7D" w:themeColor="text2"/>
            </w:tcBorders>
            <w:shd w:val="clear" w:color="auto" w:fill="auto"/>
            <w:tcMar>
              <w:top w:w="72" w:type="dxa"/>
              <w:left w:w="144" w:type="dxa"/>
              <w:bottom w:w="72" w:type="dxa"/>
              <w:right w:w="144" w:type="dxa"/>
            </w:tcMar>
            <w:hideMark/>
          </w:tcPr>
          <w:p w14:paraId="2482D0B0" w14:textId="77777777" w:rsidR="00772BF9" w:rsidRPr="00E56985" w:rsidRDefault="00772BF9" w:rsidP="00F54AAC">
            <w:pPr>
              <w:pStyle w:val="PwCNormal"/>
              <w:numPr>
                <w:ilvl w:val="0"/>
                <w:numId w:val="2"/>
              </w:numPr>
              <w:spacing w:before="60" w:after="60"/>
              <w:rPr>
                <w:rFonts w:cstheme="minorHAnsi"/>
                <w:sz w:val="20"/>
              </w:rPr>
            </w:pPr>
            <w:r w:rsidRPr="00E56985">
              <w:rPr>
                <w:rFonts w:cstheme="minorBidi"/>
                <w:sz w:val="20"/>
                <w:lang w:val="en-US"/>
              </w:rPr>
              <w:t>What impact do changes have on equitable access and outcomes for families?</w:t>
            </w:r>
          </w:p>
        </w:tc>
      </w:tr>
      <w:tr w:rsidR="00772BF9" w:rsidRPr="00E56985" w14:paraId="5E479505" w14:textId="77777777" w:rsidTr="00E56985">
        <w:tc>
          <w:tcPr>
            <w:tcW w:w="1044" w:type="pct"/>
            <w:tcBorders>
              <w:top w:val="single" w:sz="4" w:space="0" w:color="7D7D7D" w:themeColor="text2"/>
              <w:bottom w:val="single" w:sz="4" w:space="0" w:color="7D7D7D" w:themeColor="text2"/>
            </w:tcBorders>
            <w:shd w:val="clear" w:color="auto" w:fill="DEDEDE" w:themeFill="background2"/>
            <w:tcMar>
              <w:top w:w="72" w:type="dxa"/>
              <w:left w:w="144" w:type="dxa"/>
              <w:bottom w:w="72" w:type="dxa"/>
              <w:right w:w="144" w:type="dxa"/>
            </w:tcMar>
            <w:hideMark/>
          </w:tcPr>
          <w:p w14:paraId="35A1F172" w14:textId="77777777" w:rsidR="00772BF9" w:rsidRPr="00E56985" w:rsidRDefault="00772BF9" w:rsidP="00F54AAC">
            <w:pPr>
              <w:pStyle w:val="PwCNormal"/>
              <w:numPr>
                <w:ilvl w:val="0"/>
                <w:numId w:val="2"/>
              </w:numPr>
              <w:spacing w:before="60" w:after="60"/>
              <w:rPr>
                <w:rFonts w:cstheme="minorHAnsi"/>
                <w:b/>
                <w:sz w:val="20"/>
              </w:rPr>
            </w:pPr>
            <w:r w:rsidRPr="00E56985">
              <w:rPr>
                <w:rFonts w:cstheme="minorBidi"/>
                <w:b/>
                <w:bCs/>
                <w:sz w:val="20"/>
              </w:rPr>
              <w:t>Affordability</w:t>
            </w:r>
          </w:p>
        </w:tc>
        <w:tc>
          <w:tcPr>
            <w:tcW w:w="3956" w:type="pct"/>
            <w:tcBorders>
              <w:top w:val="single" w:sz="4" w:space="0" w:color="7D7D7D" w:themeColor="text2"/>
              <w:bottom w:val="single" w:sz="4" w:space="0" w:color="7D7D7D" w:themeColor="text2"/>
            </w:tcBorders>
            <w:shd w:val="clear" w:color="auto" w:fill="auto"/>
            <w:tcMar>
              <w:top w:w="72" w:type="dxa"/>
              <w:left w:w="144" w:type="dxa"/>
              <w:bottom w:w="72" w:type="dxa"/>
              <w:right w:w="144" w:type="dxa"/>
            </w:tcMar>
            <w:hideMark/>
          </w:tcPr>
          <w:p w14:paraId="20B86D58" w14:textId="77777777" w:rsidR="00772BF9" w:rsidRPr="00E56985" w:rsidRDefault="00772BF9" w:rsidP="00F54AAC">
            <w:pPr>
              <w:pStyle w:val="PwCNormal"/>
              <w:numPr>
                <w:ilvl w:val="0"/>
                <w:numId w:val="2"/>
              </w:numPr>
              <w:spacing w:before="60" w:after="60"/>
              <w:rPr>
                <w:rFonts w:cstheme="minorHAnsi"/>
                <w:sz w:val="20"/>
              </w:rPr>
            </w:pPr>
            <w:r w:rsidRPr="00E56985">
              <w:rPr>
                <w:rFonts w:cstheme="minorBidi"/>
                <w:sz w:val="20"/>
                <w:lang w:val="en-US"/>
              </w:rPr>
              <w:t>What impact do changes have to affordability to families and the financial viability of IHC providers?</w:t>
            </w:r>
          </w:p>
        </w:tc>
      </w:tr>
      <w:tr w:rsidR="00772BF9" w:rsidRPr="00E56985" w14:paraId="2A887C69" w14:textId="77777777" w:rsidTr="00E56985">
        <w:tc>
          <w:tcPr>
            <w:tcW w:w="1044" w:type="pct"/>
            <w:tcBorders>
              <w:top w:val="single" w:sz="4" w:space="0" w:color="7D7D7D" w:themeColor="text2"/>
              <w:bottom w:val="single" w:sz="4" w:space="0" w:color="7D7D7D" w:themeColor="text2"/>
            </w:tcBorders>
            <w:shd w:val="clear" w:color="auto" w:fill="DEDEDE" w:themeFill="background2"/>
            <w:tcMar>
              <w:top w:w="72" w:type="dxa"/>
              <w:left w:w="144" w:type="dxa"/>
              <w:bottom w:w="72" w:type="dxa"/>
              <w:right w:w="144" w:type="dxa"/>
            </w:tcMar>
            <w:hideMark/>
          </w:tcPr>
          <w:p w14:paraId="7B2CC8AA" w14:textId="77777777" w:rsidR="00772BF9" w:rsidRPr="00E56985" w:rsidRDefault="00772BF9" w:rsidP="00F54AAC">
            <w:pPr>
              <w:pStyle w:val="PwCNormal"/>
              <w:numPr>
                <w:ilvl w:val="0"/>
                <w:numId w:val="2"/>
              </w:numPr>
              <w:spacing w:before="60" w:after="60"/>
              <w:rPr>
                <w:rFonts w:cstheme="minorHAnsi"/>
                <w:b/>
                <w:sz w:val="20"/>
              </w:rPr>
            </w:pPr>
            <w:r w:rsidRPr="00E56985">
              <w:rPr>
                <w:rFonts w:cstheme="minorBidi"/>
                <w:b/>
                <w:bCs/>
                <w:sz w:val="20"/>
              </w:rPr>
              <w:t>Accessibility</w:t>
            </w:r>
          </w:p>
        </w:tc>
        <w:tc>
          <w:tcPr>
            <w:tcW w:w="3956" w:type="pct"/>
            <w:tcBorders>
              <w:top w:val="single" w:sz="4" w:space="0" w:color="7D7D7D" w:themeColor="text2"/>
              <w:bottom w:val="single" w:sz="4" w:space="0" w:color="7D7D7D" w:themeColor="text2"/>
            </w:tcBorders>
            <w:shd w:val="clear" w:color="auto" w:fill="auto"/>
            <w:tcMar>
              <w:top w:w="72" w:type="dxa"/>
              <w:left w:w="144" w:type="dxa"/>
              <w:bottom w:w="72" w:type="dxa"/>
              <w:right w:w="144" w:type="dxa"/>
            </w:tcMar>
            <w:hideMark/>
          </w:tcPr>
          <w:p w14:paraId="001B1886" w14:textId="77777777" w:rsidR="00772BF9" w:rsidRPr="00E56985" w:rsidRDefault="00772BF9" w:rsidP="00F54AAC">
            <w:pPr>
              <w:pStyle w:val="PwCNormal"/>
              <w:numPr>
                <w:ilvl w:val="0"/>
                <w:numId w:val="2"/>
              </w:numPr>
              <w:spacing w:before="60" w:after="60"/>
              <w:rPr>
                <w:rFonts w:cstheme="minorHAnsi"/>
                <w:sz w:val="20"/>
              </w:rPr>
            </w:pPr>
            <w:r w:rsidRPr="00E56985">
              <w:rPr>
                <w:rFonts w:cstheme="minorBidi"/>
                <w:sz w:val="20"/>
                <w:lang w:val="en-US"/>
              </w:rPr>
              <w:t>What impact do changes have to accessibility of IHC (or mainstream ECEC) for families and communities? Will changes be targeted in nature?</w:t>
            </w:r>
          </w:p>
        </w:tc>
      </w:tr>
      <w:tr w:rsidR="00772BF9" w:rsidRPr="00E56985" w14:paraId="2D2F396A" w14:textId="77777777" w:rsidTr="00E56985">
        <w:tc>
          <w:tcPr>
            <w:tcW w:w="1044" w:type="pct"/>
            <w:tcBorders>
              <w:top w:val="single" w:sz="4" w:space="0" w:color="7D7D7D" w:themeColor="text2"/>
              <w:bottom w:val="single" w:sz="4" w:space="0" w:color="7D7D7D" w:themeColor="text2"/>
            </w:tcBorders>
            <w:shd w:val="clear" w:color="auto" w:fill="DEDEDE" w:themeFill="background2"/>
            <w:tcMar>
              <w:top w:w="72" w:type="dxa"/>
              <w:left w:w="144" w:type="dxa"/>
              <w:bottom w:w="72" w:type="dxa"/>
              <w:right w:w="144" w:type="dxa"/>
            </w:tcMar>
            <w:hideMark/>
          </w:tcPr>
          <w:p w14:paraId="511996AC" w14:textId="77777777" w:rsidR="00772BF9" w:rsidRPr="00E56985" w:rsidRDefault="00772BF9" w:rsidP="00F54AAC">
            <w:pPr>
              <w:pStyle w:val="PwCNormal"/>
              <w:numPr>
                <w:ilvl w:val="0"/>
                <w:numId w:val="2"/>
              </w:numPr>
              <w:spacing w:before="60" w:after="60"/>
              <w:rPr>
                <w:rFonts w:cstheme="minorHAnsi"/>
                <w:b/>
                <w:sz w:val="20"/>
              </w:rPr>
            </w:pPr>
            <w:r w:rsidRPr="00E56985">
              <w:rPr>
                <w:rFonts w:cstheme="minorBidi"/>
                <w:b/>
                <w:bCs/>
                <w:sz w:val="20"/>
              </w:rPr>
              <w:t>Quality</w:t>
            </w:r>
          </w:p>
        </w:tc>
        <w:tc>
          <w:tcPr>
            <w:tcW w:w="3956" w:type="pct"/>
            <w:tcBorders>
              <w:top w:val="single" w:sz="4" w:space="0" w:color="7D7D7D" w:themeColor="text2"/>
              <w:bottom w:val="single" w:sz="4" w:space="0" w:color="7D7D7D" w:themeColor="text2"/>
            </w:tcBorders>
            <w:shd w:val="clear" w:color="auto" w:fill="auto"/>
            <w:tcMar>
              <w:top w:w="72" w:type="dxa"/>
              <w:left w:w="144" w:type="dxa"/>
              <w:bottom w:w="72" w:type="dxa"/>
              <w:right w:w="144" w:type="dxa"/>
            </w:tcMar>
            <w:hideMark/>
          </w:tcPr>
          <w:p w14:paraId="5DB61422" w14:textId="77777777" w:rsidR="00772BF9" w:rsidRPr="00E56985" w:rsidRDefault="00772BF9" w:rsidP="00F54AAC">
            <w:pPr>
              <w:pStyle w:val="PwCNormal"/>
              <w:numPr>
                <w:ilvl w:val="0"/>
                <w:numId w:val="2"/>
              </w:numPr>
              <w:spacing w:before="60" w:after="60"/>
              <w:rPr>
                <w:rFonts w:cstheme="minorHAnsi"/>
                <w:sz w:val="20"/>
              </w:rPr>
            </w:pPr>
            <w:r w:rsidRPr="00E56985">
              <w:rPr>
                <w:rFonts w:cstheme="minorBidi"/>
                <w:sz w:val="20"/>
                <w:lang w:val="en-US"/>
              </w:rPr>
              <w:t>What impact do changes have to quality and safety of IHC? Does this impact on the programs integrity?</w:t>
            </w:r>
          </w:p>
        </w:tc>
      </w:tr>
      <w:tr w:rsidR="00772BF9" w:rsidRPr="00E56985" w14:paraId="1EA40B47" w14:textId="77777777" w:rsidTr="00E56985">
        <w:tc>
          <w:tcPr>
            <w:tcW w:w="1044" w:type="pct"/>
            <w:tcBorders>
              <w:top w:val="single" w:sz="4" w:space="0" w:color="7D7D7D" w:themeColor="text2"/>
              <w:bottom w:val="single" w:sz="4" w:space="0" w:color="D04A02" w:themeColor="accent1"/>
            </w:tcBorders>
            <w:shd w:val="clear" w:color="auto" w:fill="DEDEDE" w:themeFill="background2"/>
            <w:tcMar>
              <w:top w:w="72" w:type="dxa"/>
              <w:left w:w="144" w:type="dxa"/>
              <w:bottom w:w="72" w:type="dxa"/>
              <w:right w:w="144" w:type="dxa"/>
            </w:tcMar>
            <w:hideMark/>
          </w:tcPr>
          <w:p w14:paraId="07BA61EA" w14:textId="77777777" w:rsidR="00772BF9" w:rsidRPr="00E56985" w:rsidRDefault="00772BF9" w:rsidP="00F54AAC">
            <w:pPr>
              <w:pStyle w:val="PwCNormal"/>
              <w:numPr>
                <w:ilvl w:val="0"/>
                <w:numId w:val="2"/>
              </w:numPr>
              <w:spacing w:before="60" w:after="60"/>
              <w:rPr>
                <w:rFonts w:cstheme="minorHAnsi"/>
                <w:b/>
                <w:sz w:val="20"/>
              </w:rPr>
            </w:pPr>
            <w:r w:rsidRPr="00E56985">
              <w:rPr>
                <w:rFonts w:cstheme="minorBidi"/>
                <w:b/>
                <w:bCs/>
                <w:sz w:val="20"/>
              </w:rPr>
              <w:t>Sustainability</w:t>
            </w:r>
          </w:p>
        </w:tc>
        <w:tc>
          <w:tcPr>
            <w:tcW w:w="3956" w:type="pct"/>
            <w:tcBorders>
              <w:top w:val="single" w:sz="4" w:space="0" w:color="7D7D7D" w:themeColor="text2"/>
              <w:bottom w:val="single" w:sz="4" w:space="0" w:color="D04A02" w:themeColor="accent1"/>
            </w:tcBorders>
            <w:shd w:val="clear" w:color="auto" w:fill="auto"/>
            <w:tcMar>
              <w:top w:w="72" w:type="dxa"/>
              <w:left w:w="144" w:type="dxa"/>
              <w:bottom w:w="72" w:type="dxa"/>
              <w:right w:w="144" w:type="dxa"/>
            </w:tcMar>
            <w:hideMark/>
          </w:tcPr>
          <w:p w14:paraId="144B0FA6" w14:textId="77777777" w:rsidR="00772BF9" w:rsidRPr="00E56985" w:rsidRDefault="00772BF9" w:rsidP="00F54AAC">
            <w:pPr>
              <w:pStyle w:val="PwCNormal"/>
              <w:numPr>
                <w:ilvl w:val="0"/>
                <w:numId w:val="2"/>
              </w:numPr>
              <w:spacing w:before="60" w:after="60"/>
              <w:rPr>
                <w:rFonts w:cstheme="minorHAnsi"/>
                <w:sz w:val="20"/>
              </w:rPr>
            </w:pPr>
            <w:r w:rsidRPr="00E56985">
              <w:rPr>
                <w:rFonts w:cstheme="minorBidi"/>
                <w:sz w:val="20"/>
                <w:lang w:val="en-US"/>
              </w:rPr>
              <w:t>What impact do changes have on the viability of the program? Will changes make the program more viable to providers or government?</w:t>
            </w:r>
          </w:p>
        </w:tc>
      </w:tr>
    </w:tbl>
    <w:p w14:paraId="48F04B1B" w14:textId="77777777" w:rsidR="00E56985" w:rsidRDefault="00E56985"/>
    <w:tbl>
      <w:tblPr>
        <w:tblW w:w="5043" w:type="pct"/>
        <w:tblCellMar>
          <w:left w:w="0" w:type="dxa"/>
          <w:right w:w="0" w:type="dxa"/>
        </w:tblCellMar>
        <w:tblLook w:val="0420" w:firstRow="1" w:lastRow="0" w:firstColumn="0" w:lastColumn="0" w:noHBand="0" w:noVBand="1"/>
      </w:tblPr>
      <w:tblGrid>
        <w:gridCol w:w="2054"/>
        <w:gridCol w:w="7781"/>
      </w:tblGrid>
      <w:tr w:rsidR="00772BF9" w:rsidRPr="00E56985" w14:paraId="516869AC" w14:textId="77777777" w:rsidTr="00E56985">
        <w:tc>
          <w:tcPr>
            <w:tcW w:w="1044" w:type="pct"/>
            <w:shd w:val="clear" w:color="auto" w:fill="D04A02" w:themeFill="accent1"/>
            <w:tcMar>
              <w:top w:w="72" w:type="dxa"/>
              <w:left w:w="144" w:type="dxa"/>
              <w:bottom w:w="72" w:type="dxa"/>
              <w:right w:w="144" w:type="dxa"/>
            </w:tcMar>
            <w:hideMark/>
          </w:tcPr>
          <w:p w14:paraId="16517092" w14:textId="77777777" w:rsidR="00772BF9" w:rsidRPr="00E56985" w:rsidRDefault="00772BF9" w:rsidP="00F54AAC">
            <w:pPr>
              <w:pStyle w:val="PwCNormal"/>
              <w:numPr>
                <w:ilvl w:val="0"/>
                <w:numId w:val="2"/>
              </w:numPr>
              <w:spacing w:before="60" w:after="60"/>
              <w:rPr>
                <w:rFonts w:cstheme="minorHAnsi"/>
                <w:color w:val="FFFFFF" w:themeColor="background1"/>
                <w:sz w:val="20"/>
              </w:rPr>
            </w:pPr>
            <w:r w:rsidRPr="00E56985">
              <w:rPr>
                <w:rFonts w:cstheme="minorBidi"/>
                <w:b/>
                <w:bCs/>
                <w:color w:val="FFFFFF" w:themeColor="background1"/>
                <w:sz w:val="20"/>
              </w:rPr>
              <w:t>Implementation Risks</w:t>
            </w:r>
          </w:p>
        </w:tc>
        <w:tc>
          <w:tcPr>
            <w:tcW w:w="3956" w:type="pct"/>
            <w:shd w:val="clear" w:color="auto" w:fill="D04A02" w:themeFill="accent1"/>
            <w:tcMar>
              <w:top w:w="72" w:type="dxa"/>
              <w:left w:w="144" w:type="dxa"/>
              <w:bottom w:w="72" w:type="dxa"/>
              <w:right w:w="144" w:type="dxa"/>
            </w:tcMar>
            <w:hideMark/>
          </w:tcPr>
          <w:p w14:paraId="4D585958" w14:textId="77777777" w:rsidR="00772BF9" w:rsidRPr="00E56985" w:rsidRDefault="00772BF9" w:rsidP="00F54AAC">
            <w:pPr>
              <w:pStyle w:val="PwCNormal"/>
              <w:numPr>
                <w:ilvl w:val="0"/>
                <w:numId w:val="2"/>
              </w:numPr>
              <w:spacing w:before="60" w:after="60"/>
              <w:rPr>
                <w:rFonts w:cstheme="minorHAnsi"/>
                <w:color w:val="FFFFFF" w:themeColor="background1"/>
                <w:sz w:val="20"/>
              </w:rPr>
            </w:pPr>
            <w:r w:rsidRPr="00E56985">
              <w:rPr>
                <w:rFonts w:cstheme="minorBidi"/>
                <w:b/>
                <w:bCs/>
                <w:color w:val="FFFFFF" w:themeColor="background1"/>
                <w:sz w:val="20"/>
              </w:rPr>
              <w:t>Considerations</w:t>
            </w:r>
          </w:p>
        </w:tc>
      </w:tr>
      <w:tr w:rsidR="00772BF9" w:rsidRPr="00E56985" w14:paraId="2E1F3B0C" w14:textId="77777777" w:rsidTr="00E56985">
        <w:tc>
          <w:tcPr>
            <w:tcW w:w="1044" w:type="pct"/>
            <w:tcBorders>
              <w:bottom w:val="single" w:sz="4" w:space="0" w:color="7D7D7D" w:themeColor="text2"/>
            </w:tcBorders>
            <w:shd w:val="clear" w:color="auto" w:fill="DEDEDE" w:themeFill="background2"/>
            <w:tcMar>
              <w:top w:w="72" w:type="dxa"/>
              <w:left w:w="144" w:type="dxa"/>
              <w:bottom w:w="72" w:type="dxa"/>
              <w:right w:w="144" w:type="dxa"/>
            </w:tcMar>
            <w:hideMark/>
          </w:tcPr>
          <w:p w14:paraId="2DAACA1F" w14:textId="77777777" w:rsidR="00772BF9" w:rsidRPr="00E56985" w:rsidRDefault="00772BF9" w:rsidP="00F54AAC">
            <w:pPr>
              <w:pStyle w:val="PwCNormal"/>
              <w:numPr>
                <w:ilvl w:val="0"/>
                <w:numId w:val="2"/>
              </w:numPr>
              <w:spacing w:before="60" w:after="60"/>
              <w:rPr>
                <w:rFonts w:cstheme="minorHAnsi"/>
                <w:b/>
                <w:sz w:val="20"/>
              </w:rPr>
            </w:pPr>
            <w:r w:rsidRPr="00E56985">
              <w:rPr>
                <w:rFonts w:cstheme="minorBidi"/>
                <w:b/>
                <w:bCs/>
                <w:sz w:val="20"/>
              </w:rPr>
              <w:t>Legislative changes</w:t>
            </w:r>
          </w:p>
        </w:tc>
        <w:tc>
          <w:tcPr>
            <w:tcW w:w="3956" w:type="pct"/>
            <w:tcBorders>
              <w:bottom w:val="single" w:sz="4" w:space="0" w:color="7D7D7D" w:themeColor="text2"/>
            </w:tcBorders>
            <w:shd w:val="clear" w:color="auto" w:fill="auto"/>
            <w:tcMar>
              <w:top w:w="72" w:type="dxa"/>
              <w:left w:w="144" w:type="dxa"/>
              <w:bottom w:w="72" w:type="dxa"/>
              <w:right w:w="144" w:type="dxa"/>
            </w:tcMar>
            <w:hideMark/>
          </w:tcPr>
          <w:p w14:paraId="0C18CA8D" w14:textId="036CCE8A" w:rsidR="00772BF9" w:rsidRPr="00E56985" w:rsidRDefault="00772BF9" w:rsidP="00F54AAC">
            <w:pPr>
              <w:pStyle w:val="PwCNormal"/>
              <w:numPr>
                <w:ilvl w:val="0"/>
                <w:numId w:val="2"/>
              </w:numPr>
              <w:spacing w:before="60" w:after="60"/>
              <w:rPr>
                <w:rFonts w:cstheme="minorHAnsi"/>
                <w:sz w:val="20"/>
              </w:rPr>
            </w:pPr>
            <w:r w:rsidRPr="00E56985">
              <w:rPr>
                <w:rFonts w:cstheme="minorBidi"/>
                <w:sz w:val="20"/>
                <w:lang w:val="en-US"/>
              </w:rPr>
              <w:t>Do the proposed changes face any legislative barriers</w:t>
            </w:r>
            <w:r w:rsidR="0036642F" w:rsidRPr="00E56985">
              <w:rPr>
                <w:rFonts w:cstheme="minorBidi"/>
                <w:sz w:val="20"/>
                <w:lang w:val="en-US"/>
              </w:rPr>
              <w:t>/</w:t>
            </w:r>
            <w:r w:rsidRPr="00E56985">
              <w:rPr>
                <w:rFonts w:cstheme="minorBidi"/>
                <w:sz w:val="20"/>
                <w:lang w:val="en-US"/>
              </w:rPr>
              <w:t>require legislative change?</w:t>
            </w:r>
          </w:p>
        </w:tc>
      </w:tr>
      <w:tr w:rsidR="00772BF9" w:rsidRPr="00E56985" w14:paraId="585850EE" w14:textId="77777777" w:rsidTr="00E56985">
        <w:tc>
          <w:tcPr>
            <w:tcW w:w="1044" w:type="pct"/>
            <w:tcBorders>
              <w:top w:val="single" w:sz="4" w:space="0" w:color="7D7D7D" w:themeColor="text2"/>
              <w:bottom w:val="single" w:sz="4" w:space="0" w:color="7D7D7D" w:themeColor="text2"/>
            </w:tcBorders>
            <w:shd w:val="clear" w:color="auto" w:fill="DEDEDE" w:themeFill="background2"/>
            <w:tcMar>
              <w:top w:w="72" w:type="dxa"/>
              <w:left w:w="144" w:type="dxa"/>
              <w:bottom w:w="72" w:type="dxa"/>
              <w:right w:w="144" w:type="dxa"/>
            </w:tcMar>
            <w:hideMark/>
          </w:tcPr>
          <w:p w14:paraId="7F28FB32" w14:textId="77777777" w:rsidR="00772BF9" w:rsidRPr="00E56985" w:rsidRDefault="00772BF9" w:rsidP="00F54AAC">
            <w:pPr>
              <w:pStyle w:val="PwCNormal"/>
              <w:numPr>
                <w:ilvl w:val="0"/>
                <w:numId w:val="2"/>
              </w:numPr>
              <w:spacing w:before="60" w:after="60"/>
              <w:rPr>
                <w:rFonts w:cstheme="minorHAnsi"/>
                <w:b/>
                <w:sz w:val="20"/>
              </w:rPr>
            </w:pPr>
            <w:r w:rsidRPr="00E56985">
              <w:rPr>
                <w:rFonts w:cstheme="minorBidi"/>
                <w:b/>
                <w:bCs/>
                <w:sz w:val="20"/>
              </w:rPr>
              <w:t>Regulatory changes</w:t>
            </w:r>
          </w:p>
        </w:tc>
        <w:tc>
          <w:tcPr>
            <w:tcW w:w="3956" w:type="pct"/>
            <w:tcBorders>
              <w:top w:val="single" w:sz="4" w:space="0" w:color="7D7D7D" w:themeColor="text2"/>
              <w:bottom w:val="single" w:sz="4" w:space="0" w:color="7D7D7D" w:themeColor="text2"/>
            </w:tcBorders>
            <w:shd w:val="clear" w:color="auto" w:fill="auto"/>
            <w:tcMar>
              <w:top w:w="72" w:type="dxa"/>
              <w:left w:w="144" w:type="dxa"/>
              <w:bottom w:w="72" w:type="dxa"/>
              <w:right w:w="144" w:type="dxa"/>
            </w:tcMar>
            <w:hideMark/>
          </w:tcPr>
          <w:p w14:paraId="6239A413" w14:textId="2076359F" w:rsidR="00772BF9" w:rsidRPr="00E56985" w:rsidRDefault="00772BF9" w:rsidP="00F54AAC">
            <w:pPr>
              <w:pStyle w:val="PwCNormal"/>
              <w:numPr>
                <w:ilvl w:val="0"/>
                <w:numId w:val="2"/>
              </w:numPr>
              <w:spacing w:before="60" w:after="60"/>
              <w:rPr>
                <w:rFonts w:cstheme="minorHAnsi"/>
                <w:sz w:val="20"/>
              </w:rPr>
            </w:pPr>
            <w:r w:rsidRPr="00E56985">
              <w:rPr>
                <w:rFonts w:cstheme="minorBidi"/>
                <w:sz w:val="20"/>
                <w:lang w:val="en-US"/>
              </w:rPr>
              <w:t>Do the proposed changes face any regulatory barriers</w:t>
            </w:r>
            <w:r w:rsidR="0036642F" w:rsidRPr="00E56985">
              <w:rPr>
                <w:rFonts w:cstheme="minorBidi"/>
                <w:sz w:val="20"/>
                <w:lang w:val="en-US"/>
              </w:rPr>
              <w:t>/</w:t>
            </w:r>
            <w:r w:rsidRPr="00E56985">
              <w:rPr>
                <w:rFonts w:cstheme="minorBidi"/>
                <w:sz w:val="20"/>
                <w:lang w:val="en-US"/>
              </w:rPr>
              <w:t>require regulatory change?</w:t>
            </w:r>
          </w:p>
        </w:tc>
      </w:tr>
      <w:tr w:rsidR="00772BF9" w:rsidRPr="00E56985" w14:paraId="7E4FA8E2" w14:textId="77777777" w:rsidTr="00E56985">
        <w:tc>
          <w:tcPr>
            <w:tcW w:w="1044" w:type="pct"/>
            <w:tcBorders>
              <w:top w:val="single" w:sz="4" w:space="0" w:color="7D7D7D" w:themeColor="text2"/>
              <w:bottom w:val="single" w:sz="4" w:space="0" w:color="7D7D7D" w:themeColor="text2"/>
            </w:tcBorders>
            <w:shd w:val="clear" w:color="auto" w:fill="DEDEDE" w:themeFill="background2"/>
            <w:tcMar>
              <w:top w:w="72" w:type="dxa"/>
              <w:left w:w="144" w:type="dxa"/>
              <w:bottom w:w="72" w:type="dxa"/>
              <w:right w:w="144" w:type="dxa"/>
            </w:tcMar>
            <w:hideMark/>
          </w:tcPr>
          <w:p w14:paraId="4F25A71B" w14:textId="77777777" w:rsidR="00772BF9" w:rsidRPr="00E56985" w:rsidRDefault="00772BF9" w:rsidP="00F54AAC">
            <w:pPr>
              <w:pStyle w:val="PwCNormal"/>
              <w:numPr>
                <w:ilvl w:val="0"/>
                <w:numId w:val="2"/>
              </w:numPr>
              <w:spacing w:before="60" w:after="60"/>
              <w:rPr>
                <w:rFonts w:cstheme="minorHAnsi"/>
                <w:b/>
                <w:sz w:val="20"/>
              </w:rPr>
            </w:pPr>
            <w:r w:rsidRPr="00E56985">
              <w:rPr>
                <w:rFonts w:cstheme="minorBidi"/>
                <w:b/>
                <w:bCs/>
                <w:sz w:val="20"/>
              </w:rPr>
              <w:t>Fiscal changes</w:t>
            </w:r>
          </w:p>
        </w:tc>
        <w:tc>
          <w:tcPr>
            <w:tcW w:w="3956" w:type="pct"/>
            <w:tcBorders>
              <w:top w:val="single" w:sz="4" w:space="0" w:color="7D7D7D" w:themeColor="text2"/>
              <w:bottom w:val="single" w:sz="4" w:space="0" w:color="7D7D7D" w:themeColor="text2"/>
            </w:tcBorders>
            <w:shd w:val="clear" w:color="auto" w:fill="auto"/>
            <w:tcMar>
              <w:top w:w="72" w:type="dxa"/>
              <w:left w:w="144" w:type="dxa"/>
              <w:bottom w:w="72" w:type="dxa"/>
              <w:right w:w="144" w:type="dxa"/>
            </w:tcMar>
            <w:hideMark/>
          </w:tcPr>
          <w:p w14:paraId="72889F2E" w14:textId="77777777" w:rsidR="00772BF9" w:rsidRPr="00E56985" w:rsidRDefault="00772BF9" w:rsidP="00F54AAC">
            <w:pPr>
              <w:pStyle w:val="PwCNormal"/>
              <w:numPr>
                <w:ilvl w:val="0"/>
                <w:numId w:val="2"/>
              </w:numPr>
              <w:spacing w:before="60" w:after="60"/>
              <w:rPr>
                <w:rFonts w:cstheme="minorHAnsi"/>
                <w:sz w:val="20"/>
              </w:rPr>
            </w:pPr>
            <w:r w:rsidRPr="00E56985">
              <w:rPr>
                <w:rFonts w:cstheme="minorBidi"/>
                <w:sz w:val="20"/>
                <w:lang w:val="en-US"/>
              </w:rPr>
              <w:t>What are the fiscal and funding implications to government of any changes?</w:t>
            </w:r>
          </w:p>
        </w:tc>
      </w:tr>
      <w:tr w:rsidR="00772BF9" w:rsidRPr="00E56985" w14:paraId="11AB45AE" w14:textId="77777777" w:rsidTr="00E56985">
        <w:tc>
          <w:tcPr>
            <w:tcW w:w="1044" w:type="pct"/>
            <w:tcBorders>
              <w:top w:val="single" w:sz="4" w:space="0" w:color="7D7D7D" w:themeColor="text2"/>
              <w:bottom w:val="single" w:sz="4" w:space="0" w:color="7D7D7D" w:themeColor="text2"/>
            </w:tcBorders>
            <w:shd w:val="clear" w:color="auto" w:fill="DEDEDE" w:themeFill="background2"/>
            <w:tcMar>
              <w:top w:w="72" w:type="dxa"/>
              <w:left w:w="144" w:type="dxa"/>
              <w:bottom w:w="72" w:type="dxa"/>
              <w:right w:w="144" w:type="dxa"/>
            </w:tcMar>
            <w:hideMark/>
          </w:tcPr>
          <w:p w14:paraId="510EEBFF" w14:textId="77777777" w:rsidR="00772BF9" w:rsidRPr="00E56985" w:rsidRDefault="00772BF9" w:rsidP="00F54AAC">
            <w:pPr>
              <w:pStyle w:val="PwCNormal"/>
              <w:numPr>
                <w:ilvl w:val="0"/>
                <w:numId w:val="2"/>
              </w:numPr>
              <w:spacing w:before="60" w:after="60"/>
              <w:rPr>
                <w:rFonts w:cstheme="minorHAnsi"/>
                <w:b/>
                <w:sz w:val="20"/>
              </w:rPr>
            </w:pPr>
            <w:r w:rsidRPr="00E56985">
              <w:rPr>
                <w:rFonts w:cstheme="minorBidi"/>
                <w:b/>
                <w:bCs/>
                <w:sz w:val="20"/>
              </w:rPr>
              <w:t>Operational changes</w:t>
            </w:r>
          </w:p>
        </w:tc>
        <w:tc>
          <w:tcPr>
            <w:tcW w:w="3956" w:type="pct"/>
            <w:tcBorders>
              <w:top w:val="single" w:sz="4" w:space="0" w:color="7D7D7D" w:themeColor="text2"/>
              <w:bottom w:val="single" w:sz="4" w:space="0" w:color="7D7D7D" w:themeColor="text2"/>
            </w:tcBorders>
            <w:shd w:val="clear" w:color="auto" w:fill="auto"/>
            <w:tcMar>
              <w:top w:w="72" w:type="dxa"/>
              <w:left w:w="144" w:type="dxa"/>
              <w:bottom w:w="72" w:type="dxa"/>
              <w:right w:w="144" w:type="dxa"/>
            </w:tcMar>
            <w:hideMark/>
          </w:tcPr>
          <w:p w14:paraId="44808641" w14:textId="77777777" w:rsidR="00772BF9" w:rsidRPr="00E56985" w:rsidRDefault="00772BF9" w:rsidP="00F54AAC">
            <w:pPr>
              <w:pStyle w:val="PwCNormal"/>
              <w:numPr>
                <w:ilvl w:val="0"/>
                <w:numId w:val="2"/>
              </w:numPr>
              <w:spacing w:before="60" w:after="60"/>
              <w:rPr>
                <w:rFonts w:cstheme="minorHAnsi"/>
                <w:sz w:val="20"/>
              </w:rPr>
            </w:pPr>
            <w:r w:rsidRPr="00E56985">
              <w:rPr>
                <w:rFonts w:cstheme="minorBidi"/>
                <w:sz w:val="20"/>
                <w:lang w:val="en-US"/>
              </w:rPr>
              <w:t>What impact will changes have, and to what degree, on the operations of government, IHCSAs and providers?</w:t>
            </w:r>
          </w:p>
        </w:tc>
      </w:tr>
      <w:tr w:rsidR="00772BF9" w:rsidRPr="00E56985" w14:paraId="3549277A" w14:textId="77777777" w:rsidTr="00E56985">
        <w:tc>
          <w:tcPr>
            <w:tcW w:w="1044" w:type="pct"/>
            <w:tcBorders>
              <w:top w:val="single" w:sz="4" w:space="0" w:color="7D7D7D" w:themeColor="text2"/>
              <w:bottom w:val="single" w:sz="4" w:space="0" w:color="7D7D7D" w:themeColor="text2"/>
            </w:tcBorders>
            <w:shd w:val="clear" w:color="auto" w:fill="DEDEDE" w:themeFill="background2"/>
            <w:tcMar>
              <w:top w:w="72" w:type="dxa"/>
              <w:left w:w="144" w:type="dxa"/>
              <w:bottom w:w="72" w:type="dxa"/>
              <w:right w:w="144" w:type="dxa"/>
            </w:tcMar>
            <w:hideMark/>
          </w:tcPr>
          <w:p w14:paraId="729CE46C" w14:textId="77777777" w:rsidR="00772BF9" w:rsidRPr="00E56985" w:rsidRDefault="00772BF9" w:rsidP="00F54AAC">
            <w:pPr>
              <w:pStyle w:val="PwCNormal"/>
              <w:numPr>
                <w:ilvl w:val="0"/>
                <w:numId w:val="2"/>
              </w:numPr>
              <w:spacing w:before="60" w:after="60"/>
              <w:rPr>
                <w:rFonts w:cstheme="minorHAnsi"/>
                <w:b/>
                <w:sz w:val="20"/>
              </w:rPr>
            </w:pPr>
            <w:r w:rsidRPr="00E56985">
              <w:rPr>
                <w:rFonts w:cstheme="minorBidi"/>
                <w:b/>
                <w:bCs/>
                <w:sz w:val="20"/>
              </w:rPr>
              <w:t>Timeline</w:t>
            </w:r>
          </w:p>
        </w:tc>
        <w:tc>
          <w:tcPr>
            <w:tcW w:w="3956" w:type="pct"/>
            <w:tcBorders>
              <w:top w:val="single" w:sz="4" w:space="0" w:color="7D7D7D" w:themeColor="text2"/>
              <w:bottom w:val="single" w:sz="4" w:space="0" w:color="7D7D7D" w:themeColor="text2"/>
            </w:tcBorders>
            <w:shd w:val="clear" w:color="auto" w:fill="auto"/>
            <w:tcMar>
              <w:top w:w="72" w:type="dxa"/>
              <w:left w:w="144" w:type="dxa"/>
              <w:bottom w:w="72" w:type="dxa"/>
              <w:right w:w="144" w:type="dxa"/>
            </w:tcMar>
            <w:hideMark/>
          </w:tcPr>
          <w:p w14:paraId="07F3F6A1" w14:textId="77777777" w:rsidR="00772BF9" w:rsidRPr="00E56985" w:rsidRDefault="00772BF9" w:rsidP="00F54AAC">
            <w:pPr>
              <w:pStyle w:val="PwCNormal"/>
              <w:numPr>
                <w:ilvl w:val="0"/>
                <w:numId w:val="2"/>
              </w:numPr>
              <w:spacing w:before="60" w:after="60"/>
              <w:rPr>
                <w:rFonts w:cstheme="minorHAnsi"/>
                <w:sz w:val="20"/>
              </w:rPr>
            </w:pPr>
            <w:r w:rsidRPr="00E56985">
              <w:rPr>
                <w:rFonts w:cstheme="minorBidi"/>
                <w:sz w:val="20"/>
                <w:lang w:val="en-US"/>
              </w:rPr>
              <w:t>How long will it take to implement any proposed changes?</w:t>
            </w:r>
          </w:p>
        </w:tc>
      </w:tr>
      <w:tr w:rsidR="00772BF9" w:rsidRPr="00E56985" w14:paraId="047D510B" w14:textId="77777777" w:rsidTr="00E56985">
        <w:tc>
          <w:tcPr>
            <w:tcW w:w="1044" w:type="pct"/>
            <w:tcBorders>
              <w:top w:val="single" w:sz="4" w:space="0" w:color="7D7D7D" w:themeColor="text2"/>
              <w:bottom w:val="single" w:sz="4" w:space="0" w:color="D04A02" w:themeColor="accent1"/>
            </w:tcBorders>
            <w:shd w:val="clear" w:color="auto" w:fill="DEDEDE" w:themeFill="background2"/>
            <w:tcMar>
              <w:top w:w="72" w:type="dxa"/>
              <w:left w:w="144" w:type="dxa"/>
              <w:bottom w:w="72" w:type="dxa"/>
              <w:right w:w="144" w:type="dxa"/>
            </w:tcMar>
            <w:hideMark/>
          </w:tcPr>
          <w:p w14:paraId="527C3482" w14:textId="77777777" w:rsidR="00772BF9" w:rsidRPr="00E56985" w:rsidRDefault="00772BF9" w:rsidP="00F54AAC">
            <w:pPr>
              <w:pStyle w:val="PwCNormal"/>
              <w:numPr>
                <w:ilvl w:val="0"/>
                <w:numId w:val="2"/>
              </w:numPr>
              <w:spacing w:before="60" w:after="60"/>
              <w:rPr>
                <w:rFonts w:cstheme="minorHAnsi"/>
                <w:b/>
                <w:sz w:val="20"/>
              </w:rPr>
            </w:pPr>
            <w:r w:rsidRPr="00E56985">
              <w:rPr>
                <w:rFonts w:cstheme="minorBidi"/>
                <w:b/>
                <w:bCs/>
                <w:sz w:val="20"/>
              </w:rPr>
              <w:t>Interdependency</w:t>
            </w:r>
          </w:p>
        </w:tc>
        <w:tc>
          <w:tcPr>
            <w:tcW w:w="3956" w:type="pct"/>
            <w:tcBorders>
              <w:top w:val="single" w:sz="4" w:space="0" w:color="7D7D7D" w:themeColor="text2"/>
              <w:bottom w:val="single" w:sz="4" w:space="0" w:color="D04A02" w:themeColor="accent1"/>
            </w:tcBorders>
            <w:shd w:val="clear" w:color="auto" w:fill="auto"/>
            <w:tcMar>
              <w:top w:w="72" w:type="dxa"/>
              <w:left w:w="144" w:type="dxa"/>
              <w:bottom w:w="72" w:type="dxa"/>
              <w:right w:w="144" w:type="dxa"/>
            </w:tcMar>
            <w:hideMark/>
          </w:tcPr>
          <w:p w14:paraId="01F73A1E" w14:textId="77777777" w:rsidR="00772BF9" w:rsidRPr="00E56985" w:rsidRDefault="00772BF9" w:rsidP="00F54AAC">
            <w:pPr>
              <w:pStyle w:val="PwCNormal"/>
              <w:numPr>
                <w:ilvl w:val="0"/>
                <w:numId w:val="2"/>
              </w:numPr>
              <w:spacing w:before="60" w:after="60"/>
              <w:rPr>
                <w:rFonts w:cstheme="minorHAnsi"/>
                <w:sz w:val="20"/>
              </w:rPr>
            </w:pPr>
            <w:r w:rsidRPr="00E56985">
              <w:rPr>
                <w:rFonts w:cstheme="minorBidi"/>
                <w:sz w:val="20"/>
                <w:lang w:val="en-US"/>
              </w:rPr>
              <w:t>How can changes be sequenced? Can we align changes with other reviews?</w:t>
            </w:r>
          </w:p>
        </w:tc>
      </w:tr>
    </w:tbl>
    <w:p w14:paraId="092D33FB" w14:textId="77777777" w:rsidR="00772BF9" w:rsidRDefault="00772BF9">
      <w:pPr>
        <w:spacing w:before="0" w:line="281" w:lineRule="auto"/>
      </w:pPr>
    </w:p>
    <w:p w14:paraId="16F5231A" w14:textId="761882FC" w:rsidR="00772BF9" w:rsidRDefault="00772BF9" w:rsidP="00772BF9">
      <w:pPr>
        <w:pStyle w:val="DocHeading01"/>
      </w:pPr>
      <w:bookmarkStart w:id="100" w:name="_Toc140148424"/>
      <w:bookmarkStart w:id="101" w:name="_Toc140149922"/>
      <w:r>
        <w:lastRenderedPageBreak/>
        <w:t>Appendix D: Summary of additional sector research</w:t>
      </w:r>
      <w:bookmarkEnd w:id="100"/>
      <w:bookmarkEnd w:id="101"/>
    </w:p>
    <w:p w14:paraId="3D2256BE" w14:textId="5F93C055" w:rsidR="00C658F6" w:rsidRDefault="00772BF9" w:rsidP="007A4F6B">
      <w:pPr>
        <w:pStyle w:val="DocBodyText"/>
      </w:pPr>
      <w:r w:rsidRPr="00B12CCD">
        <w:t>The challenges facing the IHC in relation to the three cohorts of families are familiar to many government programs. We have analysed how other Commonwealth funded programs address the needs of the three cohorts and described over the following pages, how each program deals with the specific challenges of providing services in rural and remote areas, outside of standard business hours and for people with complex needs. ​</w:t>
      </w:r>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C658F6" w:rsidRPr="00E56985" w14:paraId="1D1873BF" w14:textId="77777777" w:rsidTr="00E56985">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736" w:type="dxa"/>
            <w:shd w:val="clear" w:color="auto" w:fill="D04A02" w:themeFill="accent1"/>
          </w:tcPr>
          <w:p w14:paraId="69668565" w14:textId="63966F69" w:rsidR="00C658F6" w:rsidRPr="00E56985" w:rsidRDefault="004A14AC" w:rsidP="00C658F6">
            <w:pPr>
              <w:pStyle w:val="PwCNormal"/>
              <w:numPr>
                <w:ilvl w:val="0"/>
                <w:numId w:val="2"/>
              </w:numPr>
              <w:spacing w:before="120" w:after="120"/>
              <w:rPr>
                <w:rFonts w:asciiTheme="minorHAnsi" w:hAnsiTheme="minorHAnsi" w:cstheme="minorHAnsi"/>
                <w:b/>
                <w:bCs/>
                <w:sz w:val="20"/>
              </w:rPr>
            </w:pPr>
            <w:r w:rsidRPr="00E56985">
              <w:rPr>
                <w:rFonts w:asciiTheme="minorHAnsi" w:hAnsiTheme="minorHAnsi" w:cstheme="minorHAnsi"/>
                <w:b/>
                <w:bCs/>
                <w:color w:val="FFFFFF" w:themeColor="background1"/>
                <w:sz w:val="20"/>
              </w:rPr>
              <w:t xml:space="preserve">Mechanisms </w:t>
            </w:r>
            <w:r w:rsidR="000E213C" w:rsidRPr="00E56985">
              <w:rPr>
                <w:rFonts w:asciiTheme="minorHAnsi" w:hAnsiTheme="minorHAnsi" w:cstheme="minorHAnsi"/>
                <w:b/>
                <w:bCs/>
                <w:color w:val="FFFFFF" w:themeColor="background1"/>
                <w:sz w:val="20"/>
              </w:rPr>
              <w:t>to</w:t>
            </w:r>
            <w:r w:rsidR="007A4F6B" w:rsidRPr="00E56985">
              <w:rPr>
                <w:rFonts w:asciiTheme="minorHAnsi" w:hAnsiTheme="minorHAnsi" w:cstheme="minorHAnsi"/>
                <w:b/>
                <w:bCs/>
                <w:color w:val="FFFFFF" w:themeColor="background1"/>
                <w:sz w:val="20"/>
              </w:rPr>
              <w:t xml:space="preserve"> address </w:t>
            </w:r>
            <w:r w:rsidR="000E213C" w:rsidRPr="00E56985">
              <w:rPr>
                <w:rFonts w:asciiTheme="minorHAnsi" w:hAnsiTheme="minorHAnsi" w:cstheme="minorHAnsi"/>
                <w:b/>
                <w:bCs/>
                <w:color w:val="FFFFFF" w:themeColor="background1"/>
                <w:sz w:val="20"/>
              </w:rPr>
              <w:t xml:space="preserve">the </w:t>
            </w:r>
            <w:r w:rsidR="007A4F6B" w:rsidRPr="00E56985">
              <w:rPr>
                <w:rFonts w:asciiTheme="minorHAnsi" w:hAnsiTheme="minorHAnsi" w:cstheme="minorHAnsi"/>
                <w:b/>
                <w:bCs/>
                <w:color w:val="FFFFFF" w:themeColor="background1"/>
                <w:sz w:val="20"/>
              </w:rPr>
              <w:t xml:space="preserve">needs of </w:t>
            </w:r>
            <w:r w:rsidR="000E213C" w:rsidRPr="00E56985">
              <w:rPr>
                <w:rFonts w:asciiTheme="minorHAnsi" w:hAnsiTheme="minorHAnsi" w:cstheme="minorHAnsi"/>
                <w:b/>
                <w:bCs/>
                <w:color w:val="FFFFFF" w:themeColor="background1"/>
                <w:sz w:val="20"/>
              </w:rPr>
              <w:t xml:space="preserve">non-standard hours </w:t>
            </w:r>
            <w:r w:rsidR="007A4F6B" w:rsidRPr="00E56985">
              <w:rPr>
                <w:rFonts w:asciiTheme="minorHAnsi" w:hAnsiTheme="minorHAnsi" w:cstheme="minorHAnsi"/>
                <w:b/>
                <w:bCs/>
                <w:color w:val="FFFFFF" w:themeColor="background1"/>
                <w:sz w:val="20"/>
              </w:rPr>
              <w:t xml:space="preserve">families in </w:t>
            </w:r>
            <w:r w:rsidR="0086105C" w:rsidRPr="00E56985">
              <w:rPr>
                <w:rFonts w:asciiTheme="minorHAnsi" w:hAnsiTheme="minorHAnsi" w:cstheme="minorHAnsi"/>
                <w:b/>
                <w:bCs/>
                <w:color w:val="FFFFFF" w:themeColor="background1"/>
                <w:sz w:val="20"/>
              </w:rPr>
              <w:t>government programs</w:t>
            </w:r>
          </w:p>
        </w:tc>
      </w:tr>
      <w:tr w:rsidR="00C658F6" w:rsidRPr="00E56985" w14:paraId="03BE4A8C" w14:textId="77777777" w:rsidTr="00E56985">
        <w:tc>
          <w:tcPr>
            <w:tcW w:w="9736" w:type="dxa"/>
          </w:tcPr>
          <w:p w14:paraId="4E1D2A1F" w14:textId="77777777" w:rsidR="00C658F6" w:rsidRPr="00E56985" w:rsidRDefault="00C658F6" w:rsidP="00E56985">
            <w:pPr>
              <w:pStyle w:val="ListParagraph"/>
              <w:numPr>
                <w:ilvl w:val="0"/>
                <w:numId w:val="81"/>
              </w:numPr>
              <w:kinsoku w:val="0"/>
              <w:overflowPunct w:val="0"/>
              <w:autoSpaceDE w:val="0"/>
              <w:autoSpaceDN w:val="0"/>
              <w:adjustRightInd w:val="0"/>
              <w:snapToGrid w:val="0"/>
              <w:ind w:left="284" w:hanging="284"/>
              <w:contextualSpacing w:val="0"/>
              <w:rPr>
                <w:rFonts w:asciiTheme="minorHAnsi" w:hAnsiTheme="minorHAnsi" w:cstheme="minorHAnsi"/>
              </w:rPr>
            </w:pPr>
            <w:r w:rsidRPr="00E56985">
              <w:rPr>
                <w:rFonts w:asciiTheme="minorHAnsi" w:hAnsiTheme="minorHAnsi" w:cstheme="minorHAnsi"/>
              </w:rPr>
              <w:t>There are specific MBS subsidies to cater for out-of-standard hours costs. This would support covering the additional costs of providing services at these times. Furthermore, the Approved Medical Deputising Services Program is also available, where non-vocationally recognised doctors can access Medicare benefits for providing after-hours services on behalf of other doctors. After the introduction of the urgent after-hours items, in the five years between 2010-11 and 2015-16, there has been substantial growth in the number of services and benefits paid for the urgent after-hours items. Considerations should be made into whether the families accessing IHC for out-of-standard hours care actually require the ECEC support during this time, or whether the parents/carers are specifically choosing out-of-standard hours shifts over standard hours shifts. If this is the case, then the issue would be a matter of choice, and IHC may not be, for them, a program of last resort, since they can choose mainstream ECEC if they work standard hours.</w:t>
            </w:r>
          </w:p>
          <w:p w14:paraId="4FE5C8E5" w14:textId="77777777" w:rsidR="00C658F6" w:rsidRPr="00E56985" w:rsidRDefault="00C658F6" w:rsidP="00E56985">
            <w:pPr>
              <w:pStyle w:val="ListParagraph"/>
              <w:numPr>
                <w:ilvl w:val="0"/>
                <w:numId w:val="81"/>
              </w:numPr>
              <w:kinsoku w:val="0"/>
              <w:overflowPunct w:val="0"/>
              <w:autoSpaceDE w:val="0"/>
              <w:autoSpaceDN w:val="0"/>
              <w:adjustRightInd w:val="0"/>
              <w:snapToGrid w:val="0"/>
              <w:ind w:left="284" w:hanging="284"/>
              <w:contextualSpacing w:val="0"/>
              <w:rPr>
                <w:rFonts w:asciiTheme="minorHAnsi" w:hAnsiTheme="minorHAnsi" w:cstheme="minorHAnsi"/>
              </w:rPr>
            </w:pPr>
            <w:r w:rsidRPr="00E56985">
              <w:rPr>
                <w:rFonts w:asciiTheme="minorHAnsi" w:hAnsiTheme="minorHAnsi" w:cstheme="minorHAnsi"/>
              </w:rPr>
              <w:t>Grants are available jurisdictionally for schools to establish out-of-school hours programs. For example, in NSW, grants have been designed to allow providers to deliver affordable, flexible and quality care before and after school for every NSW primary school child who requires it. An evaluation conducted by Deloitte for NSW OSHC programs found that OSHC delivers an important ECEC service offering. More than a quarter of survey respondents indicated that they are reliant on before school, after school and vacation care simultaneously, and with one third of parents and carers accessing multiple OSHC providers to secure the level of service provision they require. Furthermore, 80% (364 of 455) of parents and carers indicated they would increase their hours of work if their OSHC requirements could be met. OSHC provides out-of-standard hours care through the school system. While OSHC is unlikely to provide evening and overnight caring, OSHC accommodates times before school (e.g. 6:30am-9:30am), after school (e.g. 2:30pm-6:30pm), which may duplicate with IHC services.</w:t>
            </w:r>
          </w:p>
          <w:p w14:paraId="3D58C6AB" w14:textId="77777777" w:rsidR="00C658F6" w:rsidRPr="00E56985" w:rsidRDefault="00C658F6" w:rsidP="00E56985">
            <w:pPr>
              <w:pStyle w:val="ListParagraph"/>
              <w:numPr>
                <w:ilvl w:val="0"/>
                <w:numId w:val="81"/>
              </w:numPr>
              <w:kinsoku w:val="0"/>
              <w:overflowPunct w:val="0"/>
              <w:autoSpaceDE w:val="0"/>
              <w:autoSpaceDN w:val="0"/>
              <w:adjustRightInd w:val="0"/>
              <w:snapToGrid w:val="0"/>
              <w:ind w:left="284" w:hanging="284"/>
              <w:contextualSpacing w:val="0"/>
              <w:rPr>
                <w:rFonts w:asciiTheme="minorHAnsi" w:hAnsiTheme="minorHAnsi" w:cstheme="minorHAnsi"/>
              </w:rPr>
            </w:pPr>
            <w:r w:rsidRPr="00E56985">
              <w:rPr>
                <w:rFonts w:asciiTheme="minorHAnsi" w:hAnsiTheme="minorHAnsi" w:cstheme="minorHAnsi"/>
              </w:rPr>
              <w:t>GPs are provided Medicare Benefit Schedule (MBS) subsidies to see patients and there are subsidies for specific services that they provide. The scheme has subsidies for patients with complex needs or disability, including:</w:t>
            </w:r>
          </w:p>
          <w:p w14:paraId="11CA60EC" w14:textId="77777777" w:rsidR="00C658F6" w:rsidRPr="00E56985" w:rsidRDefault="00C658F6" w:rsidP="00E56985">
            <w:pPr>
              <w:pStyle w:val="ListParagraph"/>
              <w:numPr>
                <w:ilvl w:val="1"/>
                <w:numId w:val="64"/>
              </w:numPr>
              <w:kinsoku w:val="0"/>
              <w:overflowPunct w:val="0"/>
              <w:autoSpaceDE w:val="0"/>
              <w:autoSpaceDN w:val="0"/>
              <w:adjustRightInd w:val="0"/>
              <w:snapToGrid w:val="0"/>
              <w:spacing w:after="120"/>
              <w:ind w:left="568" w:hanging="284"/>
              <w:contextualSpacing w:val="0"/>
              <w:rPr>
                <w:rFonts w:asciiTheme="minorHAnsi" w:hAnsiTheme="minorHAnsi" w:cstheme="minorHAnsi"/>
              </w:rPr>
            </w:pPr>
            <w:r w:rsidRPr="00E56985">
              <w:rPr>
                <w:rFonts w:asciiTheme="minorHAnsi" w:hAnsiTheme="minorHAnsi" w:cstheme="minorHAnsi"/>
              </w:rPr>
              <w:t>MBS items based on length of consultation</w:t>
            </w:r>
          </w:p>
          <w:p w14:paraId="1BF4E633" w14:textId="77777777" w:rsidR="00C658F6" w:rsidRPr="00E56985" w:rsidRDefault="00C658F6" w:rsidP="00E56985">
            <w:pPr>
              <w:pStyle w:val="ListParagraph"/>
              <w:numPr>
                <w:ilvl w:val="1"/>
                <w:numId w:val="64"/>
              </w:numPr>
              <w:kinsoku w:val="0"/>
              <w:overflowPunct w:val="0"/>
              <w:autoSpaceDE w:val="0"/>
              <w:autoSpaceDN w:val="0"/>
              <w:adjustRightInd w:val="0"/>
              <w:snapToGrid w:val="0"/>
              <w:spacing w:after="120"/>
              <w:ind w:left="568" w:hanging="284"/>
              <w:contextualSpacing w:val="0"/>
              <w:rPr>
                <w:rFonts w:asciiTheme="minorHAnsi" w:hAnsiTheme="minorHAnsi" w:cstheme="minorHAnsi"/>
              </w:rPr>
            </w:pPr>
            <w:r w:rsidRPr="00E56985">
              <w:rPr>
                <w:rFonts w:asciiTheme="minorHAnsi" w:hAnsiTheme="minorHAnsi" w:cstheme="minorHAnsi"/>
              </w:rPr>
              <w:t>MBS items for practitioners with specific skills (e.g. obstetrics)</w:t>
            </w:r>
          </w:p>
          <w:p w14:paraId="1D2FE94D" w14:textId="77777777" w:rsidR="00C658F6" w:rsidRPr="00E56985" w:rsidRDefault="00C658F6" w:rsidP="00E56985">
            <w:pPr>
              <w:pStyle w:val="ListParagraph"/>
              <w:numPr>
                <w:ilvl w:val="1"/>
                <w:numId w:val="64"/>
              </w:numPr>
              <w:kinsoku w:val="0"/>
              <w:overflowPunct w:val="0"/>
              <w:autoSpaceDE w:val="0"/>
              <w:autoSpaceDN w:val="0"/>
              <w:adjustRightInd w:val="0"/>
              <w:snapToGrid w:val="0"/>
              <w:spacing w:after="120"/>
              <w:ind w:left="568" w:hanging="284"/>
              <w:contextualSpacing w:val="0"/>
              <w:rPr>
                <w:rFonts w:asciiTheme="minorHAnsi" w:hAnsiTheme="minorHAnsi" w:cstheme="minorHAnsi"/>
              </w:rPr>
            </w:pPr>
            <w:r w:rsidRPr="00E56985">
              <w:rPr>
                <w:rFonts w:asciiTheme="minorHAnsi" w:hAnsiTheme="minorHAnsi" w:cstheme="minorHAnsi"/>
              </w:rPr>
              <w:t>MBS items for procedures of complexity</w:t>
            </w:r>
          </w:p>
          <w:p w14:paraId="506BC0CA" w14:textId="549CDFFC" w:rsidR="007D7BF5" w:rsidRDefault="00C658F6" w:rsidP="00E56985">
            <w:pPr>
              <w:pStyle w:val="ListParagraph"/>
              <w:numPr>
                <w:ilvl w:val="1"/>
                <w:numId w:val="64"/>
              </w:numPr>
              <w:kinsoku w:val="0"/>
              <w:overflowPunct w:val="0"/>
              <w:autoSpaceDE w:val="0"/>
              <w:autoSpaceDN w:val="0"/>
              <w:adjustRightInd w:val="0"/>
              <w:snapToGrid w:val="0"/>
              <w:spacing w:after="120"/>
              <w:ind w:left="568" w:hanging="284"/>
              <w:contextualSpacing w:val="0"/>
              <w:rPr>
                <w:rFonts w:asciiTheme="minorHAnsi" w:hAnsiTheme="minorHAnsi" w:cstheme="minorHAnsi"/>
              </w:rPr>
            </w:pPr>
            <w:r w:rsidRPr="00E56985">
              <w:rPr>
                <w:rFonts w:asciiTheme="minorHAnsi" w:hAnsiTheme="minorHAnsi" w:cstheme="minorHAnsi"/>
              </w:rPr>
              <w:t>MBS items for health care services (e.g. mental health &amp; chronic disease plans).</w:t>
            </w:r>
          </w:p>
          <w:p w14:paraId="311813D9" w14:textId="6BA5BDB5" w:rsidR="00C658F6" w:rsidRPr="00E56985" w:rsidRDefault="00C658F6" w:rsidP="00E56985">
            <w:pPr>
              <w:pStyle w:val="ListParagraph"/>
              <w:numPr>
                <w:ilvl w:val="0"/>
                <w:numId w:val="0"/>
              </w:numPr>
              <w:spacing w:after="120"/>
              <w:ind w:left="284"/>
              <w:rPr>
                <w:rFonts w:asciiTheme="minorHAnsi" w:eastAsia="Georgia" w:hAnsiTheme="minorHAnsi" w:cstheme="minorHAnsi"/>
              </w:rPr>
            </w:pPr>
            <w:r w:rsidRPr="00E56985">
              <w:rPr>
                <w:rFonts w:asciiTheme="minorHAnsi" w:eastAsia="Georgia" w:hAnsiTheme="minorHAnsi" w:cstheme="minorHAnsi"/>
              </w:rPr>
              <w:t>The MBS is a program that has continuously changing items in response to need and the healthcare environment. The Medicare Benefits Schedule was reviewed 2020, which identified that some policy changes relating the MBS have benefited consumers.</w:t>
            </w:r>
          </w:p>
        </w:tc>
      </w:tr>
    </w:tbl>
    <w:p w14:paraId="16EB9F68" w14:textId="69D50F9C" w:rsidR="00E56985" w:rsidRDefault="00E56985" w:rsidP="00E56985">
      <w:pPr>
        <w:pStyle w:val="DocParagraphHeading"/>
        <w:spacing w:before="120" w:after="120"/>
      </w:pPr>
    </w:p>
    <w:p w14:paraId="2DC4CA96" w14:textId="77777777" w:rsidR="00E56985" w:rsidRDefault="00E56985">
      <w:pPr>
        <w:spacing w:before="0" w:line="281" w:lineRule="auto"/>
        <w:rPr>
          <w:b/>
          <w:bCs/>
          <w:sz w:val="24"/>
          <w:szCs w:val="22"/>
        </w:rPr>
      </w:pPr>
      <w:r>
        <w:br w:type="page"/>
      </w:r>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45259E" w:rsidRPr="00E56985" w14:paraId="47E8CF7A" w14:textId="77777777" w:rsidTr="00E56985">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736" w:type="dxa"/>
            <w:shd w:val="clear" w:color="auto" w:fill="D04A02" w:themeFill="accent1"/>
          </w:tcPr>
          <w:p w14:paraId="33290670" w14:textId="63E30D55" w:rsidR="0045259E" w:rsidRPr="00E56985" w:rsidRDefault="004362F5" w:rsidP="0045259E">
            <w:pPr>
              <w:pStyle w:val="PwCNormal"/>
              <w:numPr>
                <w:ilvl w:val="0"/>
                <w:numId w:val="2"/>
              </w:numPr>
              <w:spacing w:before="120" w:after="120"/>
              <w:rPr>
                <w:rFonts w:asciiTheme="minorHAnsi" w:hAnsiTheme="minorHAnsi" w:cstheme="minorHAnsi"/>
                <w:b/>
                <w:bCs/>
                <w:sz w:val="20"/>
              </w:rPr>
            </w:pPr>
            <w:r w:rsidRPr="00E56985">
              <w:rPr>
                <w:rFonts w:asciiTheme="minorHAnsi" w:hAnsiTheme="minorHAnsi" w:cstheme="minorHAnsi"/>
                <w:b/>
                <w:bCs/>
                <w:color w:val="FFFFFF" w:themeColor="background1"/>
                <w:sz w:val="20"/>
              </w:rPr>
              <w:lastRenderedPageBreak/>
              <w:t>Mechanisms</w:t>
            </w:r>
            <w:r w:rsidR="0045259E" w:rsidRPr="00E56985">
              <w:rPr>
                <w:rFonts w:asciiTheme="minorHAnsi" w:hAnsiTheme="minorHAnsi" w:cstheme="minorHAnsi"/>
                <w:b/>
                <w:bCs/>
                <w:color w:val="FFFFFF" w:themeColor="background1"/>
                <w:sz w:val="20"/>
              </w:rPr>
              <w:t xml:space="preserve"> that address needs of</w:t>
            </w:r>
            <w:r w:rsidR="00974F93" w:rsidRPr="00E56985">
              <w:rPr>
                <w:rFonts w:asciiTheme="minorHAnsi" w:hAnsiTheme="minorHAnsi" w:cstheme="minorHAnsi"/>
                <w:b/>
                <w:bCs/>
                <w:color w:val="FFFFFF" w:themeColor="background1"/>
                <w:sz w:val="20"/>
              </w:rPr>
              <w:t xml:space="preserve"> complex needs</w:t>
            </w:r>
            <w:r w:rsidR="0045259E" w:rsidRPr="00E56985">
              <w:rPr>
                <w:rFonts w:asciiTheme="minorHAnsi" w:hAnsiTheme="minorHAnsi" w:cstheme="minorHAnsi"/>
                <w:b/>
                <w:bCs/>
                <w:color w:val="FFFFFF" w:themeColor="background1"/>
                <w:sz w:val="20"/>
              </w:rPr>
              <w:t xml:space="preserve"> families within other </w:t>
            </w:r>
            <w:r w:rsidR="00974F93" w:rsidRPr="00E56985">
              <w:rPr>
                <w:rFonts w:asciiTheme="minorHAnsi" w:hAnsiTheme="minorHAnsi" w:cstheme="minorHAnsi"/>
                <w:b/>
                <w:bCs/>
                <w:color w:val="FFFFFF" w:themeColor="background1"/>
                <w:sz w:val="20"/>
              </w:rPr>
              <w:t>government programs</w:t>
            </w:r>
          </w:p>
        </w:tc>
      </w:tr>
      <w:tr w:rsidR="0045259E" w:rsidRPr="00E56985" w14:paraId="1A452008" w14:textId="77777777" w:rsidTr="00E56985">
        <w:tc>
          <w:tcPr>
            <w:tcW w:w="9736" w:type="dxa"/>
          </w:tcPr>
          <w:p w14:paraId="09FD9345" w14:textId="77777777" w:rsidR="0045259E" w:rsidRPr="00E56985" w:rsidRDefault="0045259E" w:rsidP="00E56985">
            <w:pPr>
              <w:pStyle w:val="ListParagraph"/>
              <w:numPr>
                <w:ilvl w:val="0"/>
                <w:numId w:val="80"/>
              </w:numPr>
              <w:kinsoku w:val="0"/>
              <w:overflowPunct w:val="0"/>
              <w:autoSpaceDE w:val="0"/>
              <w:autoSpaceDN w:val="0"/>
              <w:adjustRightInd w:val="0"/>
              <w:snapToGrid w:val="0"/>
              <w:spacing w:after="120"/>
              <w:ind w:left="284" w:hanging="284"/>
              <w:contextualSpacing w:val="0"/>
              <w:rPr>
                <w:rFonts w:asciiTheme="minorHAnsi" w:hAnsiTheme="minorHAnsi" w:cstheme="minorHAnsi"/>
              </w:rPr>
            </w:pPr>
            <w:r w:rsidRPr="00E56985">
              <w:rPr>
                <w:rFonts w:asciiTheme="minorHAnsi" w:hAnsiTheme="minorHAnsi" w:cstheme="minorHAnsi"/>
              </w:rPr>
              <w:t>NDIS participants receive individualised funding depending on their needs to obtain services themselves. The more complex the needs of an individual, the higher the needs, and the greater the funding in their NDIS package. The funding allows people with disability to access services that they would like, ensuring that they can choose services they would like and supporting greater independence over their care. The 2018 evaluation of the NDIS found that 64 per cent of all NDIS participants reported that they accessed more disability supports under the NDIS than previously. 20 per cent of participants had the same number of supports and 15 per cent had fewer supports.</w:t>
            </w:r>
          </w:p>
          <w:p w14:paraId="7BF5C4AE" w14:textId="3DA8CA4D" w:rsidR="0045259E" w:rsidRPr="00E56985" w:rsidRDefault="0045259E" w:rsidP="00E56985">
            <w:pPr>
              <w:pStyle w:val="ListParagraph"/>
              <w:numPr>
                <w:ilvl w:val="0"/>
                <w:numId w:val="80"/>
              </w:numPr>
              <w:kinsoku w:val="0"/>
              <w:overflowPunct w:val="0"/>
              <w:autoSpaceDE w:val="0"/>
              <w:autoSpaceDN w:val="0"/>
              <w:adjustRightInd w:val="0"/>
              <w:snapToGrid w:val="0"/>
              <w:spacing w:after="120"/>
              <w:ind w:left="284" w:hanging="284"/>
              <w:contextualSpacing w:val="0"/>
              <w:rPr>
                <w:rFonts w:asciiTheme="minorHAnsi" w:hAnsiTheme="minorHAnsi" w:cstheme="minorHAnsi"/>
              </w:rPr>
            </w:pPr>
            <w:r w:rsidRPr="00E56985">
              <w:rPr>
                <w:rFonts w:asciiTheme="minorHAnsi" w:hAnsiTheme="minorHAnsi" w:cstheme="minorHAnsi"/>
              </w:rPr>
              <w:t>Disability Standards for Education (2005) were developed so that principals and teachers have legal obligations to ensure that every student can participate in the Australian education curriculum on the same basis as their peers. This can be achieved through making reasonable adjustments to suit each individual student’s education needs.</w:t>
            </w:r>
            <w:r w:rsidR="0036642F" w:rsidRPr="00E56985">
              <w:rPr>
                <w:rFonts w:asciiTheme="minorHAnsi" w:hAnsiTheme="minorHAnsi" w:cstheme="minorHAnsi"/>
              </w:rPr>
              <w:t xml:space="preserve"> </w:t>
            </w:r>
            <w:r w:rsidRPr="00E56985">
              <w:rPr>
                <w:rFonts w:asciiTheme="minorHAnsi" w:hAnsiTheme="minorHAnsi" w:cstheme="minorHAnsi"/>
              </w:rPr>
              <w:t>With the proposal for IHC to be included within the NQF, considerations should be made into how the ECEC program offered under IHC for children with challenging and complex needs aligns with the Standards, and whether adjustments need to be made.</w:t>
            </w:r>
          </w:p>
          <w:p w14:paraId="2FA9DDE0" w14:textId="1E875308" w:rsidR="0045259E" w:rsidRPr="00E56985" w:rsidRDefault="0045259E" w:rsidP="00E56985">
            <w:pPr>
              <w:pStyle w:val="ListParagraph"/>
              <w:numPr>
                <w:ilvl w:val="0"/>
                <w:numId w:val="80"/>
              </w:numPr>
              <w:kinsoku w:val="0"/>
              <w:overflowPunct w:val="0"/>
              <w:autoSpaceDE w:val="0"/>
              <w:autoSpaceDN w:val="0"/>
              <w:adjustRightInd w:val="0"/>
              <w:snapToGrid w:val="0"/>
              <w:spacing w:after="120"/>
              <w:ind w:left="284" w:hanging="284"/>
              <w:contextualSpacing w:val="0"/>
              <w:rPr>
                <w:rFonts w:asciiTheme="minorHAnsi" w:hAnsiTheme="minorHAnsi" w:cstheme="minorHAnsi"/>
              </w:rPr>
            </w:pPr>
            <w:r w:rsidRPr="00E56985">
              <w:rPr>
                <w:rFonts w:asciiTheme="minorHAnsi" w:hAnsiTheme="minorHAnsi" w:cstheme="minorHAnsi"/>
              </w:rPr>
              <w:t>NDIS Quality and Safeguards Commission was established for quality control, and responds to concerns, complaints and reportable incidents, registers and regulates NDIS providers, monitors compliance against the NDIS Code of Conduct and NDIS Practice Standards, monitors the use of restrictive practices within the NDIS, and supports the implementation of a national NDIS Worker Screening Check. The Annual Pricing Review 2021-22 found that the introduction of the NDIS Quality and Safeguards Commission improved the quality of support flowing from its measures. While a Commission may not be the most appropriate option for IHC given the small size of the program, considerations could be made into how they regulate and monitor safety, manage complaints, and how Standards were developed.</w:t>
            </w:r>
          </w:p>
          <w:p w14:paraId="181788E4" w14:textId="77777777" w:rsidR="0045259E" w:rsidRPr="00E56985" w:rsidRDefault="0045259E" w:rsidP="00E56985">
            <w:pPr>
              <w:pStyle w:val="ListParagraph"/>
              <w:numPr>
                <w:ilvl w:val="0"/>
                <w:numId w:val="80"/>
              </w:numPr>
              <w:kinsoku w:val="0"/>
              <w:overflowPunct w:val="0"/>
              <w:autoSpaceDE w:val="0"/>
              <w:autoSpaceDN w:val="0"/>
              <w:adjustRightInd w:val="0"/>
              <w:snapToGrid w:val="0"/>
              <w:spacing w:after="120"/>
              <w:ind w:left="284" w:hanging="284"/>
              <w:contextualSpacing w:val="0"/>
              <w:rPr>
                <w:rFonts w:asciiTheme="minorHAnsi" w:hAnsiTheme="minorHAnsi" w:cstheme="minorHAnsi"/>
              </w:rPr>
            </w:pPr>
            <w:r w:rsidRPr="00E56985">
              <w:rPr>
                <w:rFonts w:asciiTheme="minorHAnsi" w:hAnsiTheme="minorHAnsi" w:cstheme="minorHAnsi"/>
              </w:rPr>
              <w:t>The Australian Curriculum is an inclusive curriculum for all students, with states and territories required to develop inclusive practices, and make reasonable adjustments to allow for the education of students with disability. Research has identified that providing educational staff with training on inclusive education and disability allowed them to be more aware of the needs of students with disabilities, and to be better-trained and better-informed in relation to disability.</w:t>
            </w:r>
          </w:p>
          <w:p w14:paraId="59EB5716" w14:textId="3DFDA9BF" w:rsidR="0045259E" w:rsidRPr="00E56985" w:rsidRDefault="0045259E" w:rsidP="00E56985">
            <w:pPr>
              <w:pStyle w:val="ListParagraph"/>
              <w:numPr>
                <w:ilvl w:val="0"/>
                <w:numId w:val="80"/>
              </w:numPr>
              <w:kinsoku w:val="0"/>
              <w:overflowPunct w:val="0"/>
              <w:autoSpaceDE w:val="0"/>
              <w:autoSpaceDN w:val="0"/>
              <w:adjustRightInd w:val="0"/>
              <w:snapToGrid w:val="0"/>
              <w:spacing w:after="120"/>
              <w:ind w:left="284" w:hanging="284"/>
              <w:contextualSpacing w:val="0"/>
              <w:rPr>
                <w:rFonts w:asciiTheme="minorHAnsi" w:hAnsiTheme="minorHAnsi" w:cstheme="minorHAnsi"/>
              </w:rPr>
            </w:pPr>
            <w:r w:rsidRPr="00E56985">
              <w:rPr>
                <w:rFonts w:asciiTheme="minorHAnsi" w:hAnsiTheme="minorHAnsi" w:cstheme="minorHAnsi"/>
              </w:rPr>
              <w:t>In order to provide inclusion and support educational outcomes, additional studies such as CPD and post graduate qualifications can be accessed to help build on baseline skills obtained as apart of Bachelor studies. In the IHC sector, this can be applied through additional training for inclusion for educators. Each school is also provided additional funding in the form of the Students with Disability Loading, depending on the complexity needs of the child. For IHC, this can be applied through a similar loading based on an assessment of the child’</w:t>
            </w:r>
            <w:r w:rsidRPr="00E56985">
              <w:rPr>
                <w:rFonts w:asciiTheme="minorHAnsi" w:eastAsia="Georgia" w:hAnsiTheme="minorHAnsi" w:cstheme="minorHAnsi"/>
              </w:rPr>
              <w:t>s</w:t>
            </w:r>
            <w:r w:rsidRPr="00E56985">
              <w:rPr>
                <w:rFonts w:asciiTheme="minorHAnsi" w:hAnsiTheme="minorHAnsi" w:cstheme="minorHAnsi"/>
              </w:rPr>
              <w:t xml:space="preserve"> complexity.</w:t>
            </w:r>
          </w:p>
          <w:p w14:paraId="60077CA1" w14:textId="0242D1C1" w:rsidR="0045259E" w:rsidRPr="00E56985" w:rsidRDefault="0045259E" w:rsidP="00E56985">
            <w:pPr>
              <w:pStyle w:val="ListParagraph"/>
              <w:numPr>
                <w:ilvl w:val="0"/>
                <w:numId w:val="80"/>
              </w:numPr>
              <w:kinsoku w:val="0"/>
              <w:overflowPunct w:val="0"/>
              <w:autoSpaceDE w:val="0"/>
              <w:autoSpaceDN w:val="0"/>
              <w:adjustRightInd w:val="0"/>
              <w:snapToGrid w:val="0"/>
              <w:spacing w:after="120"/>
              <w:ind w:left="284" w:hanging="284"/>
              <w:contextualSpacing w:val="0"/>
              <w:rPr>
                <w:rFonts w:asciiTheme="minorHAnsi" w:eastAsia="Georgia" w:hAnsiTheme="minorHAnsi" w:cstheme="minorHAnsi"/>
              </w:rPr>
            </w:pPr>
            <w:r w:rsidRPr="00E56985">
              <w:rPr>
                <w:rFonts w:asciiTheme="minorHAnsi" w:hAnsiTheme="minorHAnsi" w:cstheme="minorHAnsi"/>
              </w:rPr>
              <w:t>Students with Disability Loading is additional funding depending on complexity of need of each student provided to schools. This loading provides additional assistance to allow students with disability to access and participate in education on the same basis as other students. Funding allocation is based on the Nationally Consistent Collection of Data on School Students with Disability (NCCD). Having sufficient funding to fund students with disability in schools is essential to allow for reasonable adjustments. Proposed changes with costing have resulted in concerns that the real value of the loading may change and impact the quality provision of education, indicating the importance of providing funding to support schools.</w:t>
            </w:r>
          </w:p>
        </w:tc>
      </w:tr>
    </w:tbl>
    <w:p w14:paraId="1CE52779" w14:textId="04D76043" w:rsidR="00E56985" w:rsidRDefault="00E56985"/>
    <w:p w14:paraId="55949640" w14:textId="77777777" w:rsidR="00E56985" w:rsidRDefault="00E56985">
      <w:pPr>
        <w:spacing w:before="0" w:line="281" w:lineRule="auto"/>
      </w:pPr>
      <w:r>
        <w:br w:type="page"/>
      </w:r>
    </w:p>
    <w:tbl>
      <w:tblPr>
        <w:tblStyle w:val="PwCColou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2F02D6" w:rsidRPr="00E56985" w14:paraId="52F20A43" w14:textId="77777777" w:rsidTr="00E56985">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9736" w:type="dxa"/>
            <w:shd w:val="clear" w:color="auto" w:fill="D04A02" w:themeFill="accent1"/>
          </w:tcPr>
          <w:p w14:paraId="336208A2" w14:textId="0E8194E7" w:rsidR="002F02D6" w:rsidRPr="00E56985" w:rsidRDefault="00974F93" w:rsidP="002F02D6">
            <w:pPr>
              <w:pStyle w:val="PwCNormal"/>
              <w:numPr>
                <w:ilvl w:val="0"/>
                <w:numId w:val="2"/>
              </w:numPr>
              <w:spacing w:before="120" w:after="120"/>
              <w:rPr>
                <w:rFonts w:asciiTheme="minorHAnsi" w:hAnsiTheme="minorHAnsi" w:cstheme="minorHAnsi"/>
                <w:b/>
                <w:bCs/>
                <w:sz w:val="20"/>
              </w:rPr>
            </w:pPr>
            <w:r w:rsidRPr="00E56985">
              <w:rPr>
                <w:rFonts w:asciiTheme="minorHAnsi" w:hAnsiTheme="minorHAnsi" w:cstheme="minorHAnsi"/>
                <w:b/>
                <w:bCs/>
                <w:color w:val="FFFFFF" w:themeColor="background1"/>
                <w:sz w:val="20"/>
              </w:rPr>
              <w:lastRenderedPageBreak/>
              <w:t>Mechanisms to address the needs of geographically isolated families in government programs</w:t>
            </w:r>
          </w:p>
        </w:tc>
      </w:tr>
      <w:tr w:rsidR="00772BF9" w:rsidRPr="00E56985" w14:paraId="43BF6D7F" w14:textId="77777777" w:rsidTr="00E56985">
        <w:tc>
          <w:tcPr>
            <w:tcW w:w="9736" w:type="dxa"/>
          </w:tcPr>
          <w:p w14:paraId="2F8179E8" w14:textId="77777777" w:rsidR="00772BF9" w:rsidRPr="00E56985" w:rsidRDefault="00772BF9" w:rsidP="00E56985">
            <w:pPr>
              <w:pStyle w:val="ListParagraph"/>
              <w:numPr>
                <w:ilvl w:val="0"/>
                <w:numId w:val="79"/>
              </w:numPr>
              <w:kinsoku w:val="0"/>
              <w:overflowPunct w:val="0"/>
              <w:autoSpaceDE w:val="0"/>
              <w:autoSpaceDN w:val="0"/>
              <w:adjustRightInd w:val="0"/>
              <w:snapToGrid w:val="0"/>
              <w:ind w:left="284" w:hanging="284"/>
              <w:contextualSpacing w:val="0"/>
              <w:rPr>
                <w:rFonts w:asciiTheme="minorHAnsi" w:hAnsiTheme="minorHAnsi" w:cstheme="minorHAnsi"/>
              </w:rPr>
            </w:pPr>
            <w:r w:rsidRPr="00E56985">
              <w:rPr>
                <w:rFonts w:asciiTheme="minorHAnsi" w:hAnsiTheme="minorHAnsi" w:cstheme="minorHAnsi"/>
              </w:rPr>
              <w:t>A remote accord for remote and very remote areas is made up of a group of employers and experts delivering aged care services in remote and very remote areas of Australia. The accord includes opportunities in designing training and education and supporting the safety of the aged care workforce. Multi-Purpose Services (MPS) were also developed that combine health and aged care services for some rural and remote communities, with some MPS services delivering care in the home. A 2019 report on the MPS program found that individuals achieved access to a mix of services in most instances through the program. The report also found that the delivery of aged care services through the MPS is a sound model. Within the limits of the terms of reference and information provided to the study, the research concluded that MPS delivered integrated health and aged care services that flexibly met the needs of individual rural and remote communities. Offering services in remote and rural communities collaboratively with other services can address service provision shortages in these areas. IHC could consider collaborating with other programs such as FDC or CBDC to consider whether there are some cohorts that can be serviced through these other programs</w:t>
            </w:r>
          </w:p>
          <w:p w14:paraId="44DA0DEB" w14:textId="77777777" w:rsidR="00FC18B3" w:rsidRPr="00E56985" w:rsidRDefault="00FC18B3" w:rsidP="00E56985">
            <w:pPr>
              <w:pStyle w:val="ListParagraph"/>
              <w:numPr>
                <w:ilvl w:val="0"/>
                <w:numId w:val="79"/>
              </w:numPr>
              <w:kinsoku w:val="0"/>
              <w:overflowPunct w:val="0"/>
              <w:autoSpaceDE w:val="0"/>
              <w:autoSpaceDN w:val="0"/>
              <w:adjustRightInd w:val="0"/>
              <w:snapToGrid w:val="0"/>
              <w:ind w:left="284" w:hanging="284"/>
              <w:contextualSpacing w:val="0"/>
              <w:rPr>
                <w:rFonts w:asciiTheme="minorHAnsi" w:hAnsiTheme="minorHAnsi" w:cstheme="minorHAnsi"/>
              </w:rPr>
            </w:pPr>
            <w:r w:rsidRPr="00E56985">
              <w:rPr>
                <w:rFonts w:asciiTheme="minorHAnsi" w:hAnsiTheme="minorHAnsi" w:cstheme="minorHAnsi"/>
              </w:rPr>
              <w:t>Specific programs are available for GPs operating in remote and regional areas. The Rural Bulk Billing Incentive pays higher benefits to regional, rural and remote doctors to bulk bill children and people with a concession card. The Workforce Incentive Program (formerly known as General Practice Rural Incentives Program (GPRIP)) provides doctors financial incentives to practise in regional, rural and remote communities. Under the program, a policy reform of providing financial incentives to certain locations that were eligible for GPRIP increased the entry of newly-qualified GPs to newly eligible locations but had no effect on the entry and exit of other GPs. Therefore, the impact of location incentives is primarily on newly qualified GPs.</w:t>
            </w:r>
          </w:p>
          <w:p w14:paraId="3366D64C" w14:textId="39DDB8C8" w:rsidR="00FF41A4" w:rsidRPr="00E56985" w:rsidRDefault="00FF41A4" w:rsidP="00E56985">
            <w:pPr>
              <w:pStyle w:val="ListParagraph"/>
              <w:numPr>
                <w:ilvl w:val="0"/>
                <w:numId w:val="79"/>
              </w:numPr>
              <w:kinsoku w:val="0"/>
              <w:overflowPunct w:val="0"/>
              <w:autoSpaceDE w:val="0"/>
              <w:autoSpaceDN w:val="0"/>
              <w:adjustRightInd w:val="0"/>
              <w:snapToGrid w:val="0"/>
              <w:ind w:left="284" w:hanging="284"/>
              <w:contextualSpacing w:val="0"/>
              <w:rPr>
                <w:rFonts w:asciiTheme="minorHAnsi" w:eastAsia="Georgia" w:hAnsiTheme="minorHAnsi" w:cstheme="minorHAnsi"/>
              </w:rPr>
            </w:pPr>
            <w:r w:rsidRPr="00E56985">
              <w:rPr>
                <w:rFonts w:asciiTheme="minorHAnsi" w:hAnsiTheme="minorHAnsi" w:cstheme="minorHAnsi"/>
              </w:rPr>
              <w:t>Workforce strategies specific for remote and regional areas (2021-24 Rural and Remote Education Strategy, Aged Care Rural Locum Assistance Program) have assisted other areas in enhancing workforce capability and capacity, in turn creating channels for access. A rural locum assistance program in South East Arnhem has enabled more than 7,000 placements to be filled across rural and remote Australia since its 2011 inception.</w:t>
            </w:r>
          </w:p>
          <w:p w14:paraId="7C54CB68" w14:textId="77777777" w:rsidR="00FC18B3" w:rsidRPr="00E56985" w:rsidRDefault="00FC18B3" w:rsidP="00E56985">
            <w:pPr>
              <w:pStyle w:val="ListParagraph"/>
              <w:numPr>
                <w:ilvl w:val="0"/>
                <w:numId w:val="79"/>
              </w:numPr>
              <w:kinsoku w:val="0"/>
              <w:overflowPunct w:val="0"/>
              <w:autoSpaceDE w:val="0"/>
              <w:autoSpaceDN w:val="0"/>
              <w:adjustRightInd w:val="0"/>
              <w:snapToGrid w:val="0"/>
              <w:ind w:left="284" w:hanging="284"/>
              <w:contextualSpacing w:val="0"/>
              <w:rPr>
                <w:rFonts w:asciiTheme="minorHAnsi" w:hAnsiTheme="minorHAnsi" w:cstheme="minorHAnsi"/>
              </w:rPr>
            </w:pPr>
            <w:r w:rsidRPr="00E56985">
              <w:rPr>
                <w:rFonts w:asciiTheme="minorHAnsi" w:hAnsiTheme="minorHAnsi" w:cstheme="minorHAnsi"/>
              </w:rPr>
              <w:t>Loadings and incentives assist in providing NDIS services in remote areas, including</w:t>
            </w:r>
          </w:p>
          <w:p w14:paraId="5C0C4938" w14:textId="77777777" w:rsidR="00FC18B3" w:rsidRPr="00E56985" w:rsidRDefault="00FC18B3" w:rsidP="00E56985">
            <w:pPr>
              <w:pStyle w:val="ListParagraph"/>
              <w:numPr>
                <w:ilvl w:val="1"/>
                <w:numId w:val="79"/>
              </w:numPr>
              <w:kinsoku w:val="0"/>
              <w:overflowPunct w:val="0"/>
              <w:autoSpaceDE w:val="0"/>
              <w:autoSpaceDN w:val="0"/>
              <w:adjustRightInd w:val="0"/>
              <w:snapToGrid w:val="0"/>
              <w:ind w:left="568" w:hanging="284"/>
              <w:contextualSpacing w:val="0"/>
              <w:rPr>
                <w:rFonts w:asciiTheme="minorHAnsi" w:hAnsiTheme="minorHAnsi" w:cstheme="minorHAnsi"/>
              </w:rPr>
            </w:pPr>
            <w:r w:rsidRPr="00E56985">
              <w:rPr>
                <w:rFonts w:asciiTheme="minorHAnsi" w:hAnsiTheme="minorHAnsi" w:cstheme="minorHAnsi"/>
              </w:rPr>
              <w:t>NDIS higher price limits (price limits 40% higher in Remote areas and 50% higher in Very Remote areas under the Modified Monash Model (MMM))</w:t>
            </w:r>
          </w:p>
          <w:p w14:paraId="5E61CDAC" w14:textId="77777777" w:rsidR="00FC18B3" w:rsidRPr="00E56985" w:rsidRDefault="00FC18B3" w:rsidP="00E56985">
            <w:pPr>
              <w:pStyle w:val="ListParagraph"/>
              <w:numPr>
                <w:ilvl w:val="1"/>
                <w:numId w:val="79"/>
              </w:numPr>
              <w:kinsoku w:val="0"/>
              <w:overflowPunct w:val="0"/>
              <w:autoSpaceDE w:val="0"/>
              <w:autoSpaceDN w:val="0"/>
              <w:adjustRightInd w:val="0"/>
              <w:snapToGrid w:val="0"/>
              <w:ind w:left="568" w:hanging="284"/>
              <w:contextualSpacing w:val="0"/>
              <w:rPr>
                <w:rFonts w:asciiTheme="minorHAnsi" w:hAnsiTheme="minorHAnsi" w:cstheme="minorHAnsi"/>
              </w:rPr>
            </w:pPr>
            <w:r w:rsidRPr="00E56985">
              <w:rPr>
                <w:rFonts w:asciiTheme="minorHAnsi" w:hAnsiTheme="minorHAnsi" w:cstheme="minorHAnsi"/>
              </w:rPr>
              <w:t>Travel allowances</w:t>
            </w:r>
          </w:p>
          <w:p w14:paraId="3A312375" w14:textId="1E1A6799" w:rsidR="00FF41A4" w:rsidRPr="00E56985" w:rsidRDefault="00FC18B3" w:rsidP="00E56985">
            <w:pPr>
              <w:pStyle w:val="ListParagraph"/>
              <w:numPr>
                <w:ilvl w:val="0"/>
                <w:numId w:val="79"/>
              </w:numPr>
              <w:kinsoku w:val="0"/>
              <w:overflowPunct w:val="0"/>
              <w:autoSpaceDE w:val="0"/>
              <w:autoSpaceDN w:val="0"/>
              <w:adjustRightInd w:val="0"/>
              <w:snapToGrid w:val="0"/>
              <w:ind w:left="284" w:hanging="284"/>
              <w:contextualSpacing w:val="0"/>
              <w:rPr>
                <w:rFonts w:asciiTheme="minorHAnsi" w:eastAsia="Georgia" w:hAnsiTheme="minorHAnsi" w:cstheme="minorHAnsi"/>
              </w:rPr>
            </w:pPr>
            <w:r w:rsidRPr="00E56985">
              <w:rPr>
                <w:rFonts w:asciiTheme="minorHAnsi" w:hAnsiTheme="minorHAnsi" w:cstheme="minorHAnsi"/>
              </w:rPr>
              <w:t>The Annual Pricing Review 2021-22 found that in regional, remote and very remote supports, there was some support of higher costs in these areas, but that these issues were either sufficiently addressed by the current higher price limits for remote and very remote supports; or were similar to the challenges faced by providers around the country. Therefore, higher price limits are sufficiently able to cover the higher costs of providing services in these areas. Costs for providing services in regional and remote areas are higher, which can be accommodated through higher price limits. As one of the key cohorts of the IHC program is families in remote and regional areas, a higher subsidy rate or similar initiatives could be considered to address the costs of servicing such areas and families.</w:t>
            </w:r>
          </w:p>
          <w:p w14:paraId="42E2D092" w14:textId="1268390C" w:rsidR="00FF41A4" w:rsidRPr="00E56985" w:rsidRDefault="00FF41A4" w:rsidP="00E56985">
            <w:pPr>
              <w:pStyle w:val="ListParagraph"/>
              <w:numPr>
                <w:ilvl w:val="0"/>
                <w:numId w:val="79"/>
              </w:numPr>
              <w:kinsoku w:val="0"/>
              <w:overflowPunct w:val="0"/>
              <w:autoSpaceDE w:val="0"/>
              <w:autoSpaceDN w:val="0"/>
              <w:adjustRightInd w:val="0"/>
              <w:snapToGrid w:val="0"/>
              <w:ind w:left="284" w:hanging="284"/>
              <w:contextualSpacing w:val="0"/>
              <w:rPr>
                <w:rFonts w:asciiTheme="minorHAnsi" w:hAnsiTheme="minorHAnsi" w:cstheme="minorHAnsi"/>
              </w:rPr>
            </w:pPr>
            <w:r w:rsidRPr="00E56985">
              <w:rPr>
                <w:rFonts w:asciiTheme="minorHAnsi" w:hAnsiTheme="minorHAnsi" w:cstheme="minorHAnsi"/>
              </w:rPr>
              <w:t>Different levels of funding based on need (NDIS package and Commonwealth Home Care Packages). NDIS Price Guide for remote communities provides additional loading of 40% for participants. 2020 changes also allowed for providers to claim other non-labour travel costs. This lead to an increase of participation by 15% in remote areas in FY23</w:t>
            </w:r>
          </w:p>
          <w:p w14:paraId="31CF053F" w14:textId="18FD278B" w:rsidR="00FF41A4" w:rsidRPr="00E56985" w:rsidRDefault="00FF41A4" w:rsidP="00E56985">
            <w:pPr>
              <w:pStyle w:val="ListParagraph"/>
              <w:numPr>
                <w:ilvl w:val="0"/>
                <w:numId w:val="79"/>
              </w:numPr>
              <w:kinsoku w:val="0"/>
              <w:overflowPunct w:val="0"/>
              <w:autoSpaceDE w:val="0"/>
              <w:autoSpaceDN w:val="0"/>
              <w:adjustRightInd w:val="0"/>
              <w:snapToGrid w:val="0"/>
              <w:ind w:left="284" w:hanging="284"/>
              <w:contextualSpacing w:val="0"/>
              <w:rPr>
                <w:rFonts w:asciiTheme="minorHAnsi" w:hAnsiTheme="minorHAnsi" w:cstheme="minorHAnsi"/>
              </w:rPr>
            </w:pPr>
            <w:r w:rsidRPr="00E56985">
              <w:rPr>
                <w:rFonts w:asciiTheme="minorHAnsi" w:hAnsiTheme="minorHAnsi" w:cstheme="minorHAnsi"/>
              </w:rPr>
              <w:t>Support such as reduced Higher Education Loan Program debts for teachers in very remote areas, promotional campaigns, teacher education programs specifically for remote/regional areas, and incentives such as salary loading, cost of living adjustments, availability of housing, rental assistance and accelerated promotion are designed to attract and retain teachers. Research has identified that providing government incentives, financial or otherwise, can encourage appointment to rural and remote location teaching. Furthermore, promotional campaigns and programs through universities such as placements can create positive attitudinal changes, which can encourage future educators to apply for rural and remote placements after graduation.</w:t>
            </w:r>
          </w:p>
          <w:p w14:paraId="3242B250" w14:textId="6E0921B8" w:rsidR="00FF41A4" w:rsidRPr="00E56985" w:rsidRDefault="00FF41A4" w:rsidP="00E56985">
            <w:pPr>
              <w:pStyle w:val="ListParagraph"/>
              <w:keepNext/>
              <w:keepLines/>
              <w:pageBreakBefore/>
              <w:numPr>
                <w:ilvl w:val="0"/>
                <w:numId w:val="79"/>
              </w:numPr>
              <w:kinsoku w:val="0"/>
              <w:overflowPunct w:val="0"/>
              <w:autoSpaceDE w:val="0"/>
              <w:autoSpaceDN w:val="0"/>
              <w:adjustRightInd w:val="0"/>
              <w:snapToGrid w:val="0"/>
              <w:ind w:left="284" w:hanging="284"/>
              <w:contextualSpacing w:val="0"/>
              <w:rPr>
                <w:rFonts w:asciiTheme="minorHAnsi" w:eastAsia="Georgia" w:hAnsiTheme="minorHAnsi" w:cstheme="minorHAnsi"/>
              </w:rPr>
            </w:pPr>
            <w:r w:rsidRPr="00E56985">
              <w:rPr>
                <w:rFonts w:asciiTheme="minorHAnsi" w:hAnsiTheme="minorHAnsi" w:cstheme="minorHAnsi"/>
              </w:rPr>
              <w:lastRenderedPageBreak/>
              <w:t>Remote Vocational Training Scheme offers structured distance education and supervision to doctors while they provide general medical services in a remote or isolated community. The program runs for three to four years. It offers an alternative way into Fellowship of the Royal Australian College of General Practitioners and/or the Australian College of Rural and Remote Medicine. The program has demonstrated that GP and Rural Generalist medical education and training can support the retention of doctors in rural, remote, and First Nations communities across Australia. The program also provides workforce stability for the medical practice, career progression, and continuity of care for patients in their communities. Incentive structures for career progression should be considered for IHC educators in rural and remote communities, such as providing fast-tracking for certifications, to encourage educators to work in geographically-isolated communities.</w:t>
            </w:r>
          </w:p>
        </w:tc>
      </w:tr>
      <w:tr w:rsidR="00FF41A4" w:rsidRPr="00E56985" w14:paraId="3E9E1551" w14:textId="77777777" w:rsidTr="00E56985">
        <w:tc>
          <w:tcPr>
            <w:tcW w:w="9736" w:type="dxa"/>
          </w:tcPr>
          <w:p w14:paraId="68812CBC" w14:textId="13ABFA53" w:rsidR="00FF41A4" w:rsidRPr="00E56985" w:rsidRDefault="00FF41A4" w:rsidP="00E56985">
            <w:pPr>
              <w:pStyle w:val="ListParagraph"/>
              <w:numPr>
                <w:ilvl w:val="0"/>
                <w:numId w:val="79"/>
              </w:numPr>
              <w:kinsoku w:val="0"/>
              <w:overflowPunct w:val="0"/>
              <w:autoSpaceDE w:val="0"/>
              <w:autoSpaceDN w:val="0"/>
              <w:adjustRightInd w:val="0"/>
              <w:snapToGrid w:val="0"/>
              <w:ind w:left="284" w:hanging="284"/>
              <w:contextualSpacing w:val="0"/>
              <w:rPr>
                <w:rFonts w:asciiTheme="minorHAnsi" w:eastAsia="Georgia" w:hAnsiTheme="minorHAnsi" w:cstheme="minorHAnsi"/>
              </w:rPr>
            </w:pPr>
            <w:r w:rsidRPr="00E56985">
              <w:rPr>
                <w:rFonts w:asciiTheme="minorHAnsi" w:hAnsiTheme="minorHAnsi" w:cstheme="minorHAnsi"/>
              </w:rPr>
              <w:lastRenderedPageBreak/>
              <w:t>Funding through loadings and incentives, including the Assistance for Isolated Children Scheme which is a group of payments for parents and carers of children who cannot attend a local state school due to factors such as geographical isolation have been used to tackle thin market challenges. Reviews into rural and remote education have identified the importance of providing additional loading and funding to schools in remote and regional areas. A Review of the Regional Schooling Resource Standard Loadings is being conducted, and the paper will be released assessing the current settings for the loadings. To address thin markets in rural and remote areas, additional funding is provided to support provision of services in these geographically isolated areas, where it generally costs more to offer education. Similar loadings could be considered for IHC for families in remote and regional areas.</w:t>
            </w:r>
          </w:p>
        </w:tc>
      </w:tr>
    </w:tbl>
    <w:p w14:paraId="6F16BFC9" w14:textId="7933E19F" w:rsidR="00887EFD" w:rsidRDefault="00887EFD">
      <w:pPr>
        <w:spacing w:before="0" w:line="281" w:lineRule="auto"/>
        <w:rPr>
          <w:sz w:val="22"/>
          <w:szCs w:val="22"/>
        </w:rPr>
      </w:pPr>
    </w:p>
    <w:p w14:paraId="632CA868" w14:textId="57EBF3B4" w:rsidR="00335BB7" w:rsidRDefault="00335BB7" w:rsidP="00C859A3">
      <w:pPr>
        <w:spacing w:before="240"/>
        <w:sectPr w:rsidR="00335BB7" w:rsidSect="008549AA">
          <w:pgSz w:w="11906" w:h="16838" w:code="9"/>
          <w:pgMar w:top="1247" w:right="737" w:bottom="1247" w:left="1418" w:header="720" w:footer="720" w:gutter="0"/>
          <w:cols w:space="284"/>
          <w:docGrid w:linePitch="360"/>
        </w:sectPr>
      </w:pPr>
    </w:p>
    <w:p w14:paraId="6BF9986B" w14:textId="68879805" w:rsidR="00C47362" w:rsidRPr="00E56985" w:rsidRDefault="00D55647" w:rsidP="00E56985">
      <w:pPr>
        <w:pStyle w:val="DocSpecalText"/>
        <w:rPr>
          <w:rFonts w:cstheme="minorHAnsi"/>
          <w:bCs/>
          <w:color w:val="FFFFFF" w:themeColor="background1"/>
          <w:sz w:val="24"/>
          <w:szCs w:val="24"/>
        </w:rPr>
      </w:pPr>
      <w:r w:rsidRPr="00E56985">
        <w:rPr>
          <w:rFonts w:cstheme="minorHAnsi"/>
          <w:bCs/>
          <w:color w:val="FFFFFF" w:themeColor="background1"/>
          <w:sz w:val="24"/>
          <w:szCs w:val="24"/>
        </w:rPr>
        <w:lastRenderedPageBreak/>
        <w:t>www.pwc.com.au</w:t>
      </w:r>
    </w:p>
    <w:sectPr w:rsidR="00C47362" w:rsidRPr="00E56985" w:rsidSect="00191A66">
      <w:headerReference w:type="default" r:id="rId67"/>
      <w:footerReference w:type="default" r:id="rId68"/>
      <w:pgSz w:w="11906" w:h="16838" w:code="9"/>
      <w:pgMar w:top="1080" w:right="720" w:bottom="1440" w:left="1418" w:header="619" w:footer="1152"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20FE8" w14:textId="77777777" w:rsidR="00FA6C5B" w:rsidRDefault="00FA6C5B" w:rsidP="004B07EA">
      <w:pPr>
        <w:spacing w:after="0"/>
      </w:pPr>
      <w:r>
        <w:separator/>
      </w:r>
    </w:p>
  </w:endnote>
  <w:endnote w:type="continuationSeparator" w:id="0">
    <w:p w14:paraId="17411E3F" w14:textId="77777777" w:rsidR="00FA6C5B" w:rsidRDefault="00FA6C5B" w:rsidP="004B07EA">
      <w:pPr>
        <w:spacing w:after="0"/>
      </w:pPr>
      <w:r>
        <w:continuationSeparator/>
      </w:r>
    </w:p>
  </w:endnote>
  <w:endnote w:type="continuationNotice" w:id="1">
    <w:p w14:paraId="74459220" w14:textId="77777777" w:rsidR="00FA6C5B" w:rsidRDefault="00FA6C5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
    <w:altName w:val="Arial"/>
    <w:panose1 w:val="00000000000000000000"/>
    <w:charset w:val="00"/>
    <w:family w:val="auto"/>
    <w:notTrueType/>
    <w:pitch w:val="variable"/>
    <w:sig w:usb0="E50002FF" w:usb1="500079DB" w:usb2="0000001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auto"/>
    <w:pitch w:val="variable"/>
    <w:sig w:usb0="E50002FF" w:usb1="500079DB" w:usb2="00001010" w:usb3="00000000" w:csb0="00000001" w:csb1="00000000"/>
  </w:font>
  <w:font w:name="Wingdings">
    <w:panose1 w:val="05000000000000000000"/>
    <w:charset w:val="02"/>
    <w:family w:val="auto"/>
    <w:pitch w:val="variable"/>
    <w:sig w:usb0="00000000" w:usb1="10000000" w:usb2="00000000" w:usb3="00000000" w:csb0="80000000" w:csb1="00000000"/>
  </w:font>
  <w:font w:name="minorBid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CD292" w14:textId="77777777" w:rsidR="0036642F" w:rsidRDefault="0036642F">
    <w:pPr>
      <w:pStyle w:val="Footer"/>
    </w:pPr>
    <w:r>
      <w:rPr>
        <w:noProof w:val="0"/>
      </w:rPr>
      <w:fldChar w:fldCharType="begin"/>
    </w:r>
    <w:r>
      <w:instrText xml:space="preserve"> PAGE  \* MERGEFORMAT </w:instrText>
    </w:r>
    <w:r>
      <w:rPr>
        <w:noProof w:val="0"/>
      </w:rPr>
      <w:fldChar w:fldCharType="separate"/>
    </w:r>
    <w:r>
      <w:t>2</w:t>
    </w:r>
    <w:r>
      <w:fldChar w:fldCharType="end"/>
    </w:r>
    <w:r>
      <w:t xml:space="preserve"> of </w:t>
    </w:r>
    <w:fldSimple w:instr=" NUMPAGES  \* MERGEFORMAT ">
      <w:r>
        <w:t>16</w:t>
      </w:r>
    </w:fldSimple>
  </w:p>
  <w:p w14:paraId="7826F3CB" w14:textId="77777777" w:rsidR="0036642F" w:rsidRDefault="003664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200767"/>
      <w:docPartObj>
        <w:docPartGallery w:val="Page Numbers (Bottom of Page)"/>
        <w:docPartUnique/>
      </w:docPartObj>
    </w:sdtPr>
    <w:sdtContent>
      <w:sdt>
        <w:sdtPr>
          <w:id w:val="-787506692"/>
          <w:docPartObj>
            <w:docPartGallery w:val="Page Numbers (Top of Page)"/>
            <w:docPartUnique/>
          </w:docPartObj>
        </w:sdtPr>
        <w:sdtContent>
          <w:p w14:paraId="4D3A2F9D" w14:textId="77777777" w:rsidR="0036642F" w:rsidRDefault="0036642F">
            <w:pPr>
              <w:pStyle w:val="Footer"/>
            </w:pPr>
            <w:r>
              <w:t xml:space="preserve">Page </w:t>
            </w:r>
            <w:r>
              <w:rPr>
                <w:noProof w:val="0"/>
              </w:rPr>
              <w:fldChar w:fldCharType="begin"/>
            </w:r>
            <w:r>
              <w:instrText xml:space="preserve"> PAGE </w:instrText>
            </w:r>
            <w:r>
              <w:rPr>
                <w:noProof w:val="0"/>
              </w:rPr>
              <w:fldChar w:fldCharType="separate"/>
            </w:r>
            <w:r>
              <w:t>2</w:t>
            </w:r>
            <w:r>
              <w:fldChar w:fldCharType="end"/>
            </w:r>
            <w:r>
              <w:t xml:space="preserve"> of </w:t>
            </w:r>
            <w:r>
              <w:fldChar w:fldCharType="begin"/>
            </w:r>
            <w:r>
              <w:instrText xml:space="preserve"> NUMPAGES  </w:instrText>
            </w:r>
            <w:r>
              <w:fldChar w:fldCharType="separate"/>
            </w:r>
            <w:r>
              <w:t>16</w:t>
            </w:r>
            <w:r>
              <w:fldChar w:fldCharType="end"/>
            </w:r>
          </w:p>
        </w:sdtContent>
      </w:sdt>
    </w:sdtContent>
  </w:sdt>
  <w:p w14:paraId="4C416D81" w14:textId="77777777" w:rsidR="0036642F" w:rsidRDefault="0036642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B8635" w14:textId="77777777" w:rsidR="0036642F" w:rsidRPr="00191A66" w:rsidRDefault="0036642F">
    <w:pPr>
      <w:pStyle w:val="Footer"/>
      <w:jc w:val="right"/>
      <w:rPr>
        <w:sz w:val="22"/>
        <w:szCs w:val="22"/>
      </w:rPr>
    </w:pPr>
    <w:r w:rsidRPr="00191A66">
      <w:rPr>
        <w:sz w:val="22"/>
        <w:szCs w:val="22"/>
      </w:rPr>
      <w:t>Strictly private and confidential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DF0C3" w14:textId="77777777" w:rsidR="00E92B20" w:rsidRPr="00786063" w:rsidRDefault="00E92B20" w:rsidP="00786063">
    <w:pPr>
      <w:pStyle w:val="Footer"/>
      <w:tabs>
        <w:tab w:val="clear" w:pos="9026"/>
        <w:tab w:val="right" w:pos="9720"/>
      </w:tabs>
      <w:spacing w:before="0"/>
      <w:rPr>
        <w:b w:val="0"/>
        <w:bCs/>
        <w:sz w:val="16"/>
        <w:szCs w:val="16"/>
      </w:rPr>
    </w:pPr>
    <w:r w:rsidRPr="00786063">
      <w:rPr>
        <w:b w:val="0"/>
        <w:bCs/>
        <w:sz w:val="16"/>
        <w:szCs w:val="16"/>
      </w:rPr>
      <w:t>PwC</w:t>
    </w:r>
    <w:r>
      <w:rPr>
        <w:b w:val="0"/>
        <w:bCs/>
        <w:sz w:val="16"/>
        <w:szCs w:val="16"/>
      </w:rPr>
      <w:t xml:space="preserve"> | </w:t>
    </w:r>
    <w:r w:rsidRPr="00786063">
      <w:rPr>
        <w:b w:val="0"/>
        <w:bCs/>
        <w:sz w:val="16"/>
        <w:szCs w:val="16"/>
      </w:rPr>
      <w:t>Department of Education</w:t>
    </w:r>
    <w:r w:rsidRPr="00786063">
      <w:rPr>
        <w:b w:val="0"/>
        <w:bCs/>
        <w:sz w:val="16"/>
        <w:szCs w:val="16"/>
      </w:rPr>
      <w:tab/>
    </w:r>
    <w:r w:rsidRPr="00786063">
      <w:rPr>
        <w:b w:val="0"/>
        <w:bCs/>
        <w:sz w:val="16"/>
        <w:szCs w:val="16"/>
      </w:rPr>
      <w:fldChar w:fldCharType="begin"/>
    </w:r>
    <w:r w:rsidRPr="00786063">
      <w:rPr>
        <w:b w:val="0"/>
        <w:bCs/>
        <w:sz w:val="16"/>
        <w:szCs w:val="16"/>
      </w:rPr>
      <w:instrText xml:space="preserve"> PAGE   \* MERGEFORMAT </w:instrText>
    </w:r>
    <w:r w:rsidRPr="00786063">
      <w:rPr>
        <w:b w:val="0"/>
        <w:bCs/>
        <w:sz w:val="16"/>
        <w:szCs w:val="16"/>
      </w:rPr>
      <w:fldChar w:fldCharType="separate"/>
    </w:r>
    <w:r w:rsidRPr="00786063">
      <w:rPr>
        <w:b w:val="0"/>
        <w:bCs/>
        <w:sz w:val="16"/>
        <w:szCs w:val="16"/>
      </w:rPr>
      <w:t>4</w:t>
    </w:r>
    <w:r w:rsidRPr="00786063">
      <w:rPr>
        <w:b w:val="0"/>
        <w:bCs/>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91276" w14:textId="47E65C6B" w:rsidR="000256E7" w:rsidRPr="00786063" w:rsidRDefault="00786063" w:rsidP="00786063">
    <w:pPr>
      <w:pStyle w:val="Footer"/>
      <w:tabs>
        <w:tab w:val="clear" w:pos="9026"/>
        <w:tab w:val="right" w:pos="9720"/>
      </w:tabs>
      <w:spacing w:before="0"/>
      <w:rPr>
        <w:b w:val="0"/>
        <w:bCs/>
        <w:sz w:val="16"/>
        <w:szCs w:val="16"/>
      </w:rPr>
    </w:pPr>
    <w:r w:rsidRPr="00786063">
      <w:rPr>
        <w:b w:val="0"/>
        <w:bCs/>
        <w:sz w:val="16"/>
        <w:szCs w:val="16"/>
      </w:rPr>
      <w:t>PwC</w:t>
    </w:r>
    <w:r w:rsidR="00FE00DB">
      <w:rPr>
        <w:b w:val="0"/>
        <w:bCs/>
        <w:sz w:val="16"/>
        <w:szCs w:val="16"/>
      </w:rPr>
      <w:t xml:space="preserve"> | </w:t>
    </w:r>
    <w:r w:rsidR="00FE00DB" w:rsidRPr="00786063">
      <w:rPr>
        <w:b w:val="0"/>
        <w:bCs/>
        <w:sz w:val="16"/>
        <w:szCs w:val="16"/>
      </w:rPr>
      <w:t>Department of Education</w:t>
    </w:r>
    <w:r w:rsidRPr="00786063">
      <w:rPr>
        <w:b w:val="0"/>
        <w:bCs/>
        <w:sz w:val="16"/>
        <w:szCs w:val="16"/>
      </w:rPr>
      <w:tab/>
    </w:r>
    <w:r w:rsidR="00B40F2D" w:rsidRPr="00786063">
      <w:rPr>
        <w:b w:val="0"/>
        <w:bCs/>
        <w:sz w:val="16"/>
        <w:szCs w:val="16"/>
      </w:rPr>
      <w:fldChar w:fldCharType="begin"/>
    </w:r>
    <w:r w:rsidR="00B40F2D" w:rsidRPr="00786063">
      <w:rPr>
        <w:b w:val="0"/>
        <w:bCs/>
        <w:sz w:val="16"/>
        <w:szCs w:val="16"/>
      </w:rPr>
      <w:instrText xml:space="preserve"> PAGE   \* MERGEFORMAT </w:instrText>
    </w:r>
    <w:r w:rsidR="00B40F2D" w:rsidRPr="00786063">
      <w:rPr>
        <w:b w:val="0"/>
        <w:bCs/>
        <w:sz w:val="16"/>
        <w:szCs w:val="16"/>
      </w:rPr>
      <w:fldChar w:fldCharType="separate"/>
    </w:r>
    <w:r w:rsidR="00DB0B51" w:rsidRPr="00786063">
      <w:rPr>
        <w:b w:val="0"/>
        <w:bCs/>
        <w:sz w:val="16"/>
        <w:szCs w:val="16"/>
      </w:rPr>
      <w:t>4</w:t>
    </w:r>
    <w:r w:rsidR="00B40F2D" w:rsidRPr="00786063">
      <w:rPr>
        <w:b w:val="0"/>
        <w:bCs/>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69E32" w14:textId="77C4D491" w:rsidR="003C7577" w:rsidRPr="00394017" w:rsidRDefault="00394017" w:rsidP="00191A66">
    <w:pPr>
      <w:pStyle w:val="Footer"/>
      <w:rPr>
        <w:b w:val="0"/>
        <w:bCs/>
        <w:color w:val="FFFFFF" w:themeColor="background1"/>
        <w:sz w:val="15"/>
        <w:szCs w:val="15"/>
      </w:rPr>
    </w:pPr>
    <w:r w:rsidRPr="00394017">
      <w:rPr>
        <w:b w:val="0"/>
        <w:bCs/>
        <w:color w:val="FFFFFF" w:themeColor="background1"/>
        <w:sz w:val="15"/>
        <w:szCs w:val="15"/>
      </w:rPr>
      <mc:AlternateContent>
        <mc:Choice Requires="wps">
          <w:drawing>
            <wp:anchor distT="0" distB="0" distL="114300" distR="114300" simplePos="0" relativeHeight="251654656" behindDoc="1" locked="0" layoutInCell="1" allowOverlap="1" wp14:anchorId="4AE7C080" wp14:editId="551BA853">
              <wp:simplePos x="0" y="0"/>
              <wp:positionH relativeFrom="column">
                <wp:posOffset>-890715</wp:posOffset>
              </wp:positionH>
              <wp:positionV relativeFrom="paragraph">
                <wp:posOffset>-374015</wp:posOffset>
              </wp:positionV>
              <wp:extent cx="7547610" cy="2173832"/>
              <wp:effectExtent l="0" t="0" r="0" b="0"/>
              <wp:wrapNone/>
              <wp:docPr id="207" name="Rectangle 207"/>
              <wp:cNvGraphicFramePr/>
              <a:graphic xmlns:a="http://schemas.openxmlformats.org/drawingml/2006/main">
                <a:graphicData uri="http://schemas.microsoft.com/office/word/2010/wordprocessingShape">
                  <wps:wsp>
                    <wps:cNvSpPr/>
                    <wps:spPr>
                      <a:xfrm>
                        <a:off x="0" y="0"/>
                        <a:ext cx="7547610" cy="217383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4EFA1" id="Rectangle 207" o:spid="_x0000_s1026" style="position:absolute;margin-left:-70.15pt;margin-top:-29.45pt;width:594.3pt;height:17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KUZaAIAACwFAAAOAAAAZHJzL2Uyb0RvYy54bWysVFFP2zAQfp+0/2D5faQphbKKFFUgpkkI&#10;0GDi2Tg2ieT4vLPbtPv1O9tpigDtYVoeHNt3993583c+v9h2hm0U+hZsxcujCWfKSqhb+1Lxn4/X&#10;X84480HYWhiwquI75fnF8vOn894t1BQaMLVCRiDWL3pX8SYEtygKLxvVCX8ETlkyasBOBFriS1Gj&#10;6Am9M8V0MjktesDaIUjlPe1eZSNfJnytlQx3WnsVmKk41RbSiGl8jmOxPBeLFxSuaeVQhviHKjrR&#10;Wko6Ql2JINga23dQXSsRPOhwJKErQOtWqnQGOk05eXOah0Y4lc5C5Hg30uT/H6y83Ty4eyQaeucX&#10;nqbxFFuNXfxTfWybyNqNZKltYJI25yez+WlJnEqyTcv58dnxNNJZHMId+vBNQcfipOJIt5FIEpsb&#10;H7Lr3iVmMzaOFq5bY7I17hSHwtIs7IzK3j+UZm1NpUwTatKMujTINoJuW0ipbCizqRG1ytsnE/qG&#10;OseIVLWxBBiRNeUfsQeAqMf32LnKwT+GqiS5MXjyt8Jy8BiRMoMNY3DXWsCPAAydasic/fckZWoi&#10;S89Q7+6RIWTBeyevW7qDG+HDvUBSON0bdW24o0Eb6CsOw4yzBvD3R/vRn4RHVs566piK+19rgYoz&#10;892SJL+Ws1lssbSYncyntMDXlufXFrvuLoGuqaT3wck0jf7B7KcaoXui5l7FrGQSVlLuisuA+8Vl&#10;yJ1Mz4NUq1Vyo7ZyItzYBycjeGQ1auxx+yTQDUIMpOFb2HeXWLzRY/aNkRZW6wC6TWI98DrwTS2Z&#10;hDM8H7HnX6+T1+GRW/4BAAD//wMAUEsDBBQABgAIAAAAIQCfYJOt4wAAAA0BAAAPAAAAZHJzL2Rv&#10;d25yZXYueG1sTI89T8MwEIZ3JP6DdUhsrd0mQBriVFWlLgghEejQzY2POBCfo9hNA78ed4LtPh69&#10;91yxnmzHRhx860jCYi6AIdVOt9RIeH/bzTJgPijSqnOEEr7Rw7q8vipUrt2ZXnGsQsNiCPlcSTAh&#10;9DnnvjZolZ+7HinuPtxgVYjt0HA9qHMMtx1fCnHPrWopXjCqx63B+qs6WQlPnw9JZcbN+JO84N64&#10;/fNht/VS3t5Mm0dgAafwB8NFP6pDGZ2O7kTas07CbJGKJLKxustWwC6ISLM4OkpYZkkKvCz4/y/K&#10;XwAAAP//AwBQSwECLQAUAAYACAAAACEAtoM4kv4AAADhAQAAEwAAAAAAAAAAAAAAAAAAAAAAW0Nv&#10;bnRlbnRfVHlwZXNdLnhtbFBLAQItABQABgAIAAAAIQA4/SH/1gAAAJQBAAALAAAAAAAAAAAAAAAA&#10;AC8BAABfcmVscy8ucmVsc1BLAQItABQABgAIAAAAIQDAvKUZaAIAACwFAAAOAAAAAAAAAAAAAAAA&#10;AC4CAABkcnMvZTJvRG9jLnhtbFBLAQItABQABgAIAAAAIQCfYJOt4wAAAA0BAAAPAAAAAAAAAAAA&#10;AAAAAMIEAABkcnMvZG93bnJldi54bWxQSwUGAAAAAAQABADzAAAA0gUAAAAA&#10;" fillcolor="#d04a02 [3204]" stroked="f" strokeweight="1pt"/>
          </w:pict>
        </mc:Fallback>
      </mc:AlternateContent>
    </w:r>
    <w:r w:rsidR="002E258C" w:rsidRPr="00394017">
      <w:rPr>
        <w:b w:val="0"/>
        <w:bCs/>
        <w:color w:val="FFFFFF" w:themeColor="background1"/>
        <w:sz w:val="15"/>
        <w:szCs w:val="15"/>
      </w:rPr>
      <w:t>© 2023 PwC. All rights reserved. Not for further distribution without the permission of PwC. “PwC” refers to the network of member firms of PricewaterhouseCoopers International Limited (PwCIL), or, as the context requires, individual member firms of the PwC network. Each member firm is a separate legal entity and does not act as agent of PwCIL or any other member firm. PwCIL does not provide any services to clients. PwCIL is not responsible or liable for the acts or omissions of any of its member firms nor can it control the exercise of their professional judgment or bind them in any way. No member firm is responsible or liable for the acts or omissions of any other member firm nor can it control the exercise of another member firm’s professional judgment or bind another member firm or PwCIL in any way.</w:t>
    </w:r>
  </w:p>
  <w:p w14:paraId="27C866DA" w14:textId="6281192F" w:rsidR="002E258C" w:rsidRPr="00394017" w:rsidRDefault="002E258C" w:rsidP="00191A66">
    <w:pPr>
      <w:pStyle w:val="Footer"/>
      <w:rPr>
        <w:rStyle w:val="Bold"/>
        <w:color w:val="FFFFFF" w:themeColor="background1"/>
        <w:sz w:val="15"/>
        <w:szCs w:val="15"/>
      </w:rPr>
    </w:pPr>
    <w:r w:rsidRPr="00394017">
      <w:rPr>
        <w:rStyle w:val="Bold"/>
        <w:color w:val="FFFFFF" w:themeColor="background1"/>
        <w:sz w:val="15"/>
        <w:szCs w:val="15"/>
      </w:rPr>
      <w:t>PWC200767283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A5700" w14:textId="77777777" w:rsidR="00FA6C5B" w:rsidRDefault="00FA6C5B" w:rsidP="00B14A1C">
      <w:pPr>
        <w:spacing w:before="0"/>
      </w:pPr>
      <w:r>
        <w:separator/>
      </w:r>
    </w:p>
  </w:footnote>
  <w:footnote w:type="continuationSeparator" w:id="0">
    <w:p w14:paraId="2535B8A5" w14:textId="77777777" w:rsidR="00FA6C5B" w:rsidRDefault="00FA6C5B" w:rsidP="004B07EA">
      <w:pPr>
        <w:spacing w:after="0"/>
      </w:pPr>
      <w:r>
        <w:continuationSeparator/>
      </w:r>
    </w:p>
  </w:footnote>
  <w:footnote w:type="continuationNotice" w:id="1">
    <w:p w14:paraId="2DFA2AC5" w14:textId="77777777" w:rsidR="00FA6C5B" w:rsidRDefault="00FA6C5B">
      <w:pPr>
        <w:spacing w:before="0" w:after="0"/>
      </w:pPr>
    </w:p>
  </w:footnote>
  <w:footnote w:id="2">
    <w:p w14:paraId="3AB1AA92" w14:textId="5AB52ABB" w:rsidR="00DD6F72" w:rsidRPr="009B5510" w:rsidRDefault="00DD6F72" w:rsidP="00817865">
      <w:pPr>
        <w:pStyle w:val="FootnoteText"/>
      </w:pPr>
      <w:r>
        <w:rPr>
          <w:rStyle w:val="FootnoteReference"/>
        </w:rPr>
        <w:footnoteRef/>
      </w:r>
      <w:r>
        <w:t xml:space="preserve"> ORIMA Research and Department of Education administrative data</w:t>
      </w:r>
    </w:p>
  </w:footnote>
  <w:footnote w:id="3">
    <w:p w14:paraId="497E2C0C" w14:textId="01462C81" w:rsidR="00225AA3" w:rsidRPr="002C0B69" w:rsidRDefault="00225AA3" w:rsidP="00817865">
      <w:pPr>
        <w:pStyle w:val="FootnoteText"/>
        <w:rPr>
          <w:lang w:val="en-US"/>
        </w:rPr>
      </w:pPr>
      <w:r w:rsidRPr="00BB2FC2">
        <w:rPr>
          <w:rStyle w:val="FootnoteReference"/>
        </w:rPr>
        <w:footnoteRef/>
      </w:r>
      <w:r w:rsidRPr="00BB2FC2">
        <w:t xml:space="preserve"> The ACCC </w:t>
      </w:r>
      <w:r w:rsidR="00562AA9">
        <w:t>(2023)</w:t>
      </w:r>
      <w:r w:rsidR="009B5510">
        <w:t xml:space="preserve"> </w:t>
      </w:r>
      <w:r w:rsidRPr="00BB2FC2">
        <w:t xml:space="preserve">report identifies an average out of pocket cost of $60.69 per family per day. </w:t>
      </w:r>
      <w:r w:rsidR="00562AA9">
        <w:t>The</w:t>
      </w:r>
      <w:r w:rsidRPr="00BB2FC2">
        <w:t xml:space="preserve"> ACCC report utilises December 2022 quarterly data, whereas </w:t>
      </w:r>
      <w:r w:rsidR="00562AA9">
        <w:t>we used</w:t>
      </w:r>
      <w:r w:rsidRPr="00BB2FC2">
        <w:t xml:space="preserve"> </w:t>
      </w:r>
      <w:r w:rsidRPr="00BB2FC2">
        <w:rPr>
          <w:lang w:val="en-US"/>
        </w:rPr>
        <w:t xml:space="preserve">IHC </w:t>
      </w:r>
      <w:r w:rsidR="00562AA9">
        <w:rPr>
          <w:lang w:val="en-US"/>
        </w:rPr>
        <w:t>d</w:t>
      </w:r>
      <w:r w:rsidRPr="00BB2FC2">
        <w:rPr>
          <w:lang w:val="en-US"/>
        </w:rPr>
        <w:t>ata sourced from ORIMA and Department of Education administrative data from July 2022 to May 2023. The ACCC report does not also specify session length.</w:t>
      </w:r>
      <w:r w:rsidR="00562AA9">
        <w:rPr>
          <w:lang w:val="en-US"/>
        </w:rPr>
        <w:t xml:space="preserve"> These are the likely reasons for differences in </w:t>
      </w:r>
      <w:r w:rsidR="00502136">
        <w:rPr>
          <w:lang w:val="en-US"/>
        </w:rPr>
        <w:t>out-of-pocket</w:t>
      </w:r>
      <w:r w:rsidR="00562AA9">
        <w:rPr>
          <w:lang w:val="en-US"/>
        </w:rPr>
        <w:t xml:space="preserve"> costs reported.</w:t>
      </w:r>
    </w:p>
  </w:footnote>
  <w:footnote w:id="4">
    <w:p w14:paraId="4440EB00" w14:textId="2EC5B6F8" w:rsidR="00F564E7" w:rsidRPr="00F564E7" w:rsidRDefault="00F564E7" w:rsidP="00817865">
      <w:pPr>
        <w:pStyle w:val="FootnoteText"/>
      </w:pPr>
      <w:r>
        <w:rPr>
          <w:rStyle w:val="FootnoteReference"/>
        </w:rPr>
        <w:footnoteRef/>
      </w:r>
      <w:r>
        <w:t xml:space="preserve"> </w:t>
      </w:r>
      <w:r w:rsidR="00876C5D">
        <w:t>Of the total survey respondents</w:t>
      </w:r>
      <w:r>
        <w:t xml:space="preserve"> </w:t>
      </w:r>
      <w:r w:rsidR="00EB4812" w:rsidRPr="00DF1C87">
        <w:t>which includes those that are on the waitlist, accessing and have previously accessed the program</w:t>
      </w:r>
      <w:r w:rsidR="006F537B" w:rsidRPr="00DF1C87">
        <w:t xml:space="preserve">, </w:t>
      </w:r>
      <w:r w:rsidR="00FE2447" w:rsidRPr="00DF1C87">
        <w:t xml:space="preserve">18 per cent </w:t>
      </w:r>
      <w:r w:rsidR="006F537B" w:rsidRPr="00DF1C87">
        <w:t xml:space="preserve">reported that cost was a factor when considering </w:t>
      </w:r>
      <w:r w:rsidR="003C20F5" w:rsidRPr="00DF1C87">
        <w:t>access to IHC</w:t>
      </w:r>
      <w:r w:rsidR="00EB4812" w:rsidRPr="00DF1C87">
        <w:t>.</w:t>
      </w:r>
      <w:r w:rsidR="00C35AD3" w:rsidRPr="00DF1C87">
        <w:t xml:space="preserve"> </w:t>
      </w:r>
      <w:r w:rsidR="00FE2447" w:rsidRPr="00DF1C87">
        <w:t xml:space="preserve">However, not all respondents completed this </w:t>
      </w:r>
      <w:r w:rsidR="00224E4B" w:rsidRPr="00DF1C87">
        <w:t xml:space="preserve">question. </w:t>
      </w:r>
      <w:r w:rsidR="00EE12B6" w:rsidRPr="00DF1C87">
        <w:t xml:space="preserve">Of those that did </w:t>
      </w:r>
      <w:r w:rsidR="001C1408" w:rsidRPr="00DF1C87">
        <w:t>re</w:t>
      </w:r>
      <w:r w:rsidR="009D14A6" w:rsidRPr="00DF1C87">
        <w:t>s</w:t>
      </w:r>
      <w:r w:rsidR="001C1408" w:rsidRPr="00DF1C87">
        <w:t>pond</w:t>
      </w:r>
      <w:r w:rsidR="009D14A6" w:rsidRPr="00DF1C87">
        <w:t xml:space="preserve"> 52 per cent </w:t>
      </w:r>
      <w:r w:rsidR="00DF1C87" w:rsidRPr="00DF1C87">
        <w:t>reported cost as a factor.</w:t>
      </w:r>
    </w:p>
  </w:footnote>
  <w:footnote w:id="5">
    <w:p w14:paraId="4CED354D" w14:textId="5EFB4606" w:rsidR="00225AA3" w:rsidRPr="00107CF5" w:rsidRDefault="00225AA3" w:rsidP="00817865">
      <w:pPr>
        <w:pStyle w:val="FootnoteText"/>
      </w:pPr>
      <w:r>
        <w:rPr>
          <w:rStyle w:val="FootnoteReference"/>
        </w:rPr>
        <w:footnoteRef/>
      </w:r>
      <w:r>
        <w:t xml:space="preserve"> IHCSA and IHC provider consultations</w:t>
      </w:r>
      <w:r w:rsidR="00536C87">
        <w:t xml:space="preserve"> data</w:t>
      </w:r>
    </w:p>
  </w:footnote>
  <w:footnote w:id="6">
    <w:p w14:paraId="0EC83270" w14:textId="77777777" w:rsidR="00B100FD" w:rsidRPr="00FF6E42" w:rsidRDefault="00B100FD" w:rsidP="00817865">
      <w:pPr>
        <w:pStyle w:val="FootnoteText"/>
      </w:pPr>
      <w:r>
        <w:rPr>
          <w:rStyle w:val="FootnoteReference"/>
        </w:rPr>
        <w:footnoteRef/>
      </w:r>
      <w:r>
        <w:t xml:space="preserve"> IHC quarterly reports</w:t>
      </w:r>
    </w:p>
  </w:footnote>
  <w:footnote w:id="7">
    <w:p w14:paraId="30E5C346" w14:textId="77777777" w:rsidR="00A31915" w:rsidRPr="001D541A" w:rsidRDefault="00A31915" w:rsidP="00817865">
      <w:pPr>
        <w:pStyle w:val="FootnoteText"/>
      </w:pPr>
      <w:r>
        <w:rPr>
          <w:rStyle w:val="FootnoteReference"/>
        </w:rPr>
        <w:footnoteRef/>
      </w:r>
      <w:r>
        <w:t xml:space="preserve"> Peak body consultation</w:t>
      </w:r>
    </w:p>
  </w:footnote>
  <w:footnote w:id="8">
    <w:p w14:paraId="7D30506C" w14:textId="77777777" w:rsidR="00A03790" w:rsidRPr="00454957" w:rsidRDefault="00A03790" w:rsidP="00817865">
      <w:pPr>
        <w:pStyle w:val="FootnoteText"/>
      </w:pPr>
      <w:r>
        <w:rPr>
          <w:rStyle w:val="FootnoteReference"/>
        </w:rPr>
        <w:footnoteRef/>
      </w:r>
      <w:r>
        <w:t xml:space="preserve"> Family survey, verified by ORIMA data</w:t>
      </w:r>
    </w:p>
  </w:footnote>
  <w:footnote w:id="9">
    <w:p w14:paraId="7EDD44B9" w14:textId="77777777" w:rsidR="00817865" w:rsidRPr="002735C1" w:rsidRDefault="00817865" w:rsidP="00817865">
      <w:pPr>
        <w:pStyle w:val="FootnoteText"/>
        <w:rPr>
          <w:lang w:val="en-US"/>
        </w:rPr>
      </w:pPr>
      <w:r>
        <w:rPr>
          <w:rStyle w:val="FootnoteReference"/>
        </w:rPr>
        <w:footnoteRef/>
      </w:r>
      <w:r>
        <w:t xml:space="preserve"> A</w:t>
      </w:r>
      <w:r w:rsidRPr="003554A3">
        <w:t xml:space="preserve"> Professional Development Subsidy is available via ECEC services to help qualified staff to complete training that adds to their skills as of 1 July 2023.</w:t>
      </w:r>
      <w:r>
        <w:t xml:space="preserve"> </w:t>
      </w:r>
      <w:r w:rsidRPr="003554A3">
        <w:t>However, this is initially only available to services and staff in regional, remote and very remote locations, and First Nations services and educators.</w:t>
      </w:r>
    </w:p>
  </w:footnote>
  <w:footnote w:id="10">
    <w:p w14:paraId="18FF820A" w14:textId="77777777" w:rsidR="00817865" w:rsidRPr="00A10187" w:rsidRDefault="00817865" w:rsidP="00817865">
      <w:pPr>
        <w:pStyle w:val="FootnoteText"/>
      </w:pPr>
      <w:r>
        <w:rPr>
          <w:rStyle w:val="FootnoteReference"/>
        </w:rPr>
        <w:footnoteRef/>
      </w:r>
      <w:r>
        <w:t xml:space="preserve"> </w:t>
      </w:r>
      <w:r w:rsidRPr="001B1872">
        <w:t>The Department of Education have recently commenced a project to progress and formali</w:t>
      </w:r>
      <w:r>
        <w:t>s</w:t>
      </w:r>
      <w:r w:rsidRPr="001B1872">
        <w:t>e these arrangements. This is expected to occur throughout FY24.</w:t>
      </w:r>
    </w:p>
  </w:footnote>
  <w:footnote w:id="11">
    <w:p w14:paraId="7E28B908" w14:textId="77777777" w:rsidR="009B581C" w:rsidRPr="004F0357" w:rsidRDefault="009B581C" w:rsidP="00817865">
      <w:pPr>
        <w:pStyle w:val="FootnoteText"/>
        <w:rPr>
          <w:lang w:val="en-US"/>
        </w:rPr>
      </w:pPr>
      <w:r w:rsidRPr="00D96E68">
        <w:rPr>
          <w:rStyle w:val="FootnoteReference"/>
        </w:rPr>
        <w:footnoteRef/>
      </w:r>
      <w:r w:rsidRPr="00D96E68">
        <w:t xml:space="preserve"> Child Care Package Evaluation 2021</w:t>
      </w:r>
    </w:p>
  </w:footnote>
  <w:footnote w:id="12">
    <w:p w14:paraId="7B4F6BDA" w14:textId="77777777" w:rsidR="009B581C" w:rsidRPr="0087035E" w:rsidRDefault="009B581C" w:rsidP="00817865">
      <w:pPr>
        <w:pStyle w:val="FootnoteText"/>
      </w:pPr>
      <w:r w:rsidRPr="004A42AD">
        <w:rPr>
          <w:rStyle w:val="FootnoteReference"/>
        </w:rPr>
        <w:footnoteRef/>
      </w:r>
      <w:r w:rsidRPr="004A42AD">
        <w:t xml:space="preserve"> An activity test is used to determine the amount of subsidised care available under the CCS. Depending on the combined hours of work, training, study, voluntary work or other recognised activity undertaken, a family can receive up to 100 hours of subsidy per fortnight per child. Department of Education, Skills and Employment, 2023, </w:t>
      </w:r>
      <w:r w:rsidRPr="004A42AD">
        <w:rPr>
          <w:i/>
        </w:rPr>
        <w:t>Child Care Provider Handbook</w:t>
      </w:r>
      <w:r w:rsidRPr="004A42AD">
        <w:t>, https://www.dese.gov.au/child-care-package/child-care-provider-handbook/appendix-child-care-subsidy/determining-child-care-subsidy</w:t>
      </w:r>
    </w:p>
  </w:footnote>
  <w:footnote w:id="13">
    <w:p w14:paraId="30E98574" w14:textId="77777777" w:rsidR="009B581C" w:rsidRPr="009A2B69" w:rsidRDefault="009B581C" w:rsidP="00817865">
      <w:pPr>
        <w:pStyle w:val="FootnoteText"/>
        <w:rPr>
          <w:lang w:val="en-US"/>
        </w:rPr>
      </w:pPr>
      <w:r>
        <w:rPr>
          <w:rStyle w:val="FootnoteReference"/>
        </w:rPr>
        <w:footnoteRef/>
      </w:r>
      <w:r>
        <w:t xml:space="preserve"> Commonwealth Department of Social Services - Early Years Strategy</w:t>
      </w:r>
    </w:p>
  </w:footnote>
  <w:footnote w:id="14">
    <w:p w14:paraId="65781450" w14:textId="77777777" w:rsidR="00764AC1" w:rsidRPr="00C36282" w:rsidRDefault="00764AC1" w:rsidP="00764AC1">
      <w:pPr>
        <w:pStyle w:val="FootnoteText"/>
      </w:pPr>
      <w:r>
        <w:rPr>
          <w:rStyle w:val="FootnoteReference"/>
        </w:rPr>
        <w:footnoteRef/>
      </w:r>
      <w:r>
        <w:t xml:space="preserve"> Productivity Commission – Early Childhood Education and Care</w:t>
      </w:r>
    </w:p>
  </w:footnote>
  <w:footnote w:id="15">
    <w:p w14:paraId="4AB03427" w14:textId="77777777" w:rsidR="00764AC1" w:rsidRPr="009A078A" w:rsidRDefault="00764AC1" w:rsidP="00764AC1">
      <w:pPr>
        <w:pStyle w:val="FootnoteText"/>
      </w:pPr>
      <w:r>
        <w:rPr>
          <w:rStyle w:val="FootnoteReference"/>
        </w:rPr>
        <w:footnoteRef/>
      </w:r>
      <w:r>
        <w:t xml:space="preserve"> Australian Competition &amp; Consumer Commission – Childcare inquiry 2023 Project overview</w:t>
      </w:r>
    </w:p>
  </w:footnote>
  <w:footnote w:id="16">
    <w:p w14:paraId="6536EA34" w14:textId="3A9F1C18" w:rsidR="00A108B2" w:rsidRPr="006A3CB9" w:rsidRDefault="00A108B2" w:rsidP="00817865">
      <w:pPr>
        <w:pStyle w:val="FootnoteText"/>
        <w:rPr>
          <w:lang w:val="en-US"/>
        </w:rPr>
      </w:pPr>
      <w:r>
        <w:rPr>
          <w:rStyle w:val="FootnoteReference"/>
        </w:rPr>
        <w:footnoteRef/>
      </w:r>
      <w:r>
        <w:t xml:space="preserve"> </w:t>
      </w:r>
      <w:r w:rsidRPr="00AC7B1F">
        <w:t>As of 2018 all educators must be undertaking, at minimum, studies associated with achieving a Certificate III in ECEC. Other recognised qualifications include a Diploma or Bachelor degree in ECEC and primary school teaching qualifications registered with state-based Teacher Regulatory Authorities.</w:t>
      </w:r>
    </w:p>
  </w:footnote>
  <w:footnote w:id="17">
    <w:p w14:paraId="1D56C292" w14:textId="4714B09E" w:rsidR="00661475" w:rsidRPr="00661475" w:rsidRDefault="00661475" w:rsidP="00817865">
      <w:pPr>
        <w:pStyle w:val="FootnoteText"/>
        <w:rPr>
          <w:lang w:val="en-US"/>
        </w:rPr>
      </w:pPr>
      <w:r>
        <w:rPr>
          <w:rStyle w:val="FootnoteReference"/>
        </w:rPr>
        <w:footnoteRef/>
      </w:r>
      <w:r>
        <w:t xml:space="preserve"> </w:t>
      </w:r>
      <w:r w:rsidR="000F1663">
        <w:t>IHC provider consultations</w:t>
      </w:r>
    </w:p>
  </w:footnote>
  <w:footnote w:id="18">
    <w:p w14:paraId="2106A140" w14:textId="77777777" w:rsidR="00A3195E" w:rsidRPr="00A74088" w:rsidRDefault="00A3195E" w:rsidP="00817865">
      <w:pPr>
        <w:pStyle w:val="FootnoteText"/>
      </w:pPr>
      <w:r>
        <w:rPr>
          <w:rStyle w:val="FootnoteReference"/>
        </w:rPr>
        <w:footnoteRef/>
      </w:r>
      <w:r>
        <w:t xml:space="preserve"> IHCSA and IHC provider consultations</w:t>
      </w:r>
    </w:p>
  </w:footnote>
  <w:footnote w:id="19">
    <w:p w14:paraId="15604FC7" w14:textId="77777777" w:rsidR="00386B81" w:rsidRPr="0035104F" w:rsidRDefault="00386B81" w:rsidP="00817865">
      <w:pPr>
        <w:pStyle w:val="FootnoteText"/>
      </w:pPr>
      <w:r>
        <w:rPr>
          <w:rStyle w:val="FootnoteReference"/>
        </w:rPr>
        <w:footnoteRef/>
      </w:r>
      <w:r>
        <w:t xml:space="preserve"> NDIS 2021-22 Annual Pricing Review – Final Report</w:t>
      </w:r>
    </w:p>
  </w:footnote>
  <w:footnote w:id="20">
    <w:p w14:paraId="7FCB51FA" w14:textId="0868ECD8" w:rsidR="007F364D" w:rsidRPr="007F364D" w:rsidRDefault="007F364D" w:rsidP="00817865">
      <w:pPr>
        <w:pStyle w:val="FootnoteText"/>
      </w:pPr>
      <w:r>
        <w:rPr>
          <w:rStyle w:val="FootnoteReference"/>
        </w:rPr>
        <w:footnoteRef/>
      </w:r>
      <w:r>
        <w:t xml:space="preserve"> IHC provider consultations</w:t>
      </w:r>
    </w:p>
  </w:footnote>
  <w:footnote w:id="21">
    <w:p w14:paraId="0FC4D464" w14:textId="14A49DEF" w:rsidR="008E29AE" w:rsidRPr="008E29AE" w:rsidRDefault="008E29AE" w:rsidP="00817865">
      <w:pPr>
        <w:pStyle w:val="FootnoteText"/>
      </w:pPr>
      <w:r>
        <w:rPr>
          <w:rStyle w:val="FootnoteReference"/>
        </w:rPr>
        <w:footnoteRef/>
      </w:r>
      <w:r>
        <w:t xml:space="preserve"> </w:t>
      </w:r>
      <w:r w:rsidR="00EE0138">
        <w:t>Family surveys</w:t>
      </w:r>
    </w:p>
  </w:footnote>
  <w:footnote w:id="22">
    <w:p w14:paraId="44C2E6C6" w14:textId="22AD30BF" w:rsidR="001E071E" w:rsidRPr="001E071E" w:rsidRDefault="001E071E" w:rsidP="00817865">
      <w:pPr>
        <w:pStyle w:val="FootnoteText"/>
      </w:pPr>
      <w:r>
        <w:rPr>
          <w:rStyle w:val="FootnoteReference"/>
        </w:rPr>
        <w:footnoteRef/>
      </w:r>
      <w:r>
        <w:t xml:space="preserve"> Family surveys</w:t>
      </w:r>
    </w:p>
  </w:footnote>
  <w:footnote w:id="23">
    <w:p w14:paraId="36E9C09A" w14:textId="6BDF18DA" w:rsidR="001E071E" w:rsidRPr="001E071E" w:rsidRDefault="001E071E" w:rsidP="00817865">
      <w:pPr>
        <w:pStyle w:val="FootnoteText"/>
      </w:pPr>
      <w:r>
        <w:rPr>
          <w:rStyle w:val="FootnoteReference"/>
        </w:rPr>
        <w:footnoteRef/>
      </w:r>
      <w:r>
        <w:t xml:space="preserve"> Ibid</w:t>
      </w:r>
      <w:r w:rsidR="00983238">
        <w:t>.</w:t>
      </w:r>
    </w:p>
  </w:footnote>
  <w:footnote w:id="24">
    <w:p w14:paraId="4DA1B104" w14:textId="68C94666" w:rsidR="001E071E" w:rsidRPr="001E071E" w:rsidRDefault="001E071E" w:rsidP="00817865">
      <w:pPr>
        <w:pStyle w:val="FootnoteText"/>
      </w:pPr>
      <w:r>
        <w:rPr>
          <w:rStyle w:val="FootnoteReference"/>
        </w:rPr>
        <w:footnoteRef/>
      </w:r>
      <w:r>
        <w:t xml:space="preserve"> Ibid</w:t>
      </w:r>
      <w:r w:rsidR="00983238">
        <w:t>.</w:t>
      </w:r>
    </w:p>
  </w:footnote>
  <w:footnote w:id="25">
    <w:p w14:paraId="29DCCEBC" w14:textId="5E264D59" w:rsidR="008C3383" w:rsidRPr="008C3383" w:rsidRDefault="008C3383" w:rsidP="00817865">
      <w:pPr>
        <w:pStyle w:val="FootnoteText"/>
      </w:pPr>
      <w:r>
        <w:rPr>
          <w:rStyle w:val="FootnoteReference"/>
        </w:rPr>
        <w:footnoteRef/>
      </w:r>
      <w:r>
        <w:t xml:space="preserve"> IHCSA consultations</w:t>
      </w:r>
    </w:p>
  </w:footnote>
  <w:footnote w:id="26">
    <w:p w14:paraId="34DDAA03" w14:textId="77777777" w:rsidR="00A108B2" w:rsidRPr="007377EB" w:rsidRDefault="00A108B2" w:rsidP="00817865">
      <w:pPr>
        <w:pStyle w:val="FootnoteText"/>
      </w:pPr>
      <w:r>
        <w:rPr>
          <w:rStyle w:val="FootnoteReference"/>
        </w:rPr>
        <w:footnoteRef/>
      </w:r>
      <w:r>
        <w:t xml:space="preserve"> ORIMA Data Research – total accessed hours of IHC</w:t>
      </w:r>
    </w:p>
  </w:footnote>
  <w:footnote w:id="27">
    <w:p w14:paraId="36CFFB4C" w14:textId="77777777" w:rsidR="00A108B2" w:rsidRPr="00C35995" w:rsidRDefault="00A108B2" w:rsidP="00817865">
      <w:pPr>
        <w:pStyle w:val="FootnoteText"/>
      </w:pPr>
      <w:r>
        <w:rPr>
          <w:rStyle w:val="FootnoteReference"/>
        </w:rPr>
        <w:footnoteRef/>
      </w:r>
      <w:r>
        <w:t xml:space="preserve"> Nanny Pilot Program Evaluation (2017).</w:t>
      </w:r>
    </w:p>
  </w:footnote>
  <w:footnote w:id="28">
    <w:p w14:paraId="0A92D900" w14:textId="33A3B8C2" w:rsidR="00AA0E98" w:rsidRPr="00AA0E98" w:rsidRDefault="00AA0E98" w:rsidP="00817865">
      <w:pPr>
        <w:pStyle w:val="FootnoteText"/>
      </w:pPr>
      <w:r>
        <w:rPr>
          <w:rStyle w:val="FootnoteReference"/>
        </w:rPr>
        <w:footnoteRef/>
      </w:r>
      <w:r>
        <w:t xml:space="preserve"> IHC quarterly data</w:t>
      </w:r>
    </w:p>
  </w:footnote>
  <w:footnote w:id="29">
    <w:p w14:paraId="78DF80A5" w14:textId="58951F50" w:rsidR="00981720" w:rsidRPr="00981720" w:rsidRDefault="00981720" w:rsidP="00817865">
      <w:pPr>
        <w:pStyle w:val="FootnoteText"/>
      </w:pPr>
      <w:r>
        <w:rPr>
          <w:rStyle w:val="FootnoteReference"/>
        </w:rPr>
        <w:footnoteRef/>
      </w:r>
      <w:r>
        <w:t xml:space="preserve"> Ibid</w:t>
      </w:r>
      <w:r w:rsidR="00983238">
        <w:t>.</w:t>
      </w:r>
    </w:p>
  </w:footnote>
  <w:footnote w:id="30">
    <w:p w14:paraId="5E89F12E" w14:textId="44129CBB" w:rsidR="00A32772" w:rsidRPr="00A32772" w:rsidRDefault="00A32772" w:rsidP="00817865">
      <w:pPr>
        <w:pStyle w:val="FootnoteText"/>
      </w:pPr>
      <w:r>
        <w:rPr>
          <w:rStyle w:val="FootnoteReference"/>
        </w:rPr>
        <w:footnoteRef/>
      </w:r>
      <w:r>
        <w:t xml:space="preserve"> IHC Quarterly data</w:t>
      </w:r>
      <w:r w:rsidR="00DA43A8">
        <w:t>, December 2022.</w:t>
      </w:r>
    </w:p>
  </w:footnote>
  <w:footnote w:id="31">
    <w:p w14:paraId="2BBC68A5" w14:textId="5365DF74" w:rsidR="0071034F" w:rsidRPr="0071034F" w:rsidRDefault="0071034F" w:rsidP="00817865">
      <w:pPr>
        <w:pStyle w:val="FootnoteText"/>
      </w:pPr>
      <w:r>
        <w:rPr>
          <w:rStyle w:val="FootnoteReference"/>
        </w:rPr>
        <w:footnoteRef/>
      </w:r>
      <w:r>
        <w:t xml:space="preserve"> </w:t>
      </w:r>
      <w:r w:rsidR="009D2896">
        <w:t>IHC provider</w:t>
      </w:r>
      <w:r w:rsidR="004D58D2">
        <w:t xml:space="preserve"> consultation, IHC provider surveys and Family surveys</w:t>
      </w:r>
    </w:p>
  </w:footnote>
  <w:footnote w:id="32">
    <w:p w14:paraId="62F69D3A" w14:textId="2F2F1E07" w:rsidR="00680A2A" w:rsidRPr="00680A2A" w:rsidRDefault="00680A2A" w:rsidP="00817865">
      <w:pPr>
        <w:pStyle w:val="FootnoteText"/>
      </w:pPr>
      <w:r>
        <w:rPr>
          <w:rStyle w:val="FootnoteReference"/>
        </w:rPr>
        <w:footnoteRef/>
      </w:r>
      <w:r>
        <w:t xml:space="preserve"> IHC provider</w:t>
      </w:r>
      <w:r w:rsidR="00F57E81">
        <w:t xml:space="preserve"> consultations</w:t>
      </w:r>
    </w:p>
  </w:footnote>
  <w:footnote w:id="33">
    <w:p w14:paraId="34F80E37" w14:textId="45C1B171" w:rsidR="00F57E81" w:rsidRPr="00F57E81" w:rsidRDefault="00F57E81" w:rsidP="00817865">
      <w:pPr>
        <w:pStyle w:val="FootnoteText"/>
      </w:pPr>
      <w:r>
        <w:rPr>
          <w:rStyle w:val="FootnoteReference"/>
        </w:rPr>
        <w:footnoteRef/>
      </w:r>
      <w:r>
        <w:t xml:space="preserve"> Family surveys</w:t>
      </w:r>
    </w:p>
  </w:footnote>
  <w:footnote w:id="34">
    <w:p w14:paraId="349F9B6F" w14:textId="5ACAF4C8" w:rsidR="00F57E81" w:rsidRPr="00F57E81" w:rsidRDefault="00F57E81" w:rsidP="00817865">
      <w:pPr>
        <w:pStyle w:val="FootnoteText"/>
      </w:pPr>
      <w:r>
        <w:rPr>
          <w:rStyle w:val="FootnoteReference"/>
        </w:rPr>
        <w:footnoteRef/>
      </w:r>
      <w:r>
        <w:t xml:space="preserve"> IHC provider consultation</w:t>
      </w:r>
    </w:p>
  </w:footnote>
  <w:footnote w:id="35">
    <w:p w14:paraId="0B49FF7A" w14:textId="40CD7F8F" w:rsidR="00C47B5D" w:rsidRPr="00C47B5D" w:rsidRDefault="00C47B5D" w:rsidP="00817865">
      <w:pPr>
        <w:pStyle w:val="FootnoteText"/>
      </w:pPr>
      <w:r>
        <w:rPr>
          <w:rStyle w:val="FootnoteReference"/>
        </w:rPr>
        <w:footnoteRef/>
      </w:r>
      <w:r>
        <w:t xml:space="preserve"> Submission by IHCSA</w:t>
      </w:r>
    </w:p>
  </w:footnote>
  <w:footnote w:id="36">
    <w:p w14:paraId="163C610B" w14:textId="7C6164D4" w:rsidR="00E96F41" w:rsidRPr="00E96F41" w:rsidRDefault="00E96F41" w:rsidP="00817865">
      <w:pPr>
        <w:pStyle w:val="FootnoteText"/>
      </w:pPr>
      <w:r>
        <w:rPr>
          <w:rStyle w:val="FootnoteReference"/>
        </w:rPr>
        <w:footnoteRef/>
      </w:r>
      <w:r>
        <w:t xml:space="preserve"> Family survey</w:t>
      </w:r>
    </w:p>
  </w:footnote>
  <w:footnote w:id="37">
    <w:p w14:paraId="480B0BE2" w14:textId="5E4D5A7C" w:rsidR="00E96F41" w:rsidRPr="00E96F41" w:rsidRDefault="00E96F41" w:rsidP="00817865">
      <w:pPr>
        <w:pStyle w:val="FootnoteText"/>
      </w:pPr>
      <w:r>
        <w:rPr>
          <w:rStyle w:val="FootnoteReference"/>
        </w:rPr>
        <w:footnoteRef/>
      </w:r>
      <w:r>
        <w:t xml:space="preserve"> Ibid</w:t>
      </w:r>
      <w:r w:rsidR="00983238">
        <w:t>.</w:t>
      </w:r>
    </w:p>
  </w:footnote>
  <w:footnote w:id="38">
    <w:p w14:paraId="4240DF51" w14:textId="27E7B108" w:rsidR="00E96F41" w:rsidRPr="00E96F41" w:rsidRDefault="00E96F41" w:rsidP="00817865">
      <w:pPr>
        <w:pStyle w:val="FootnoteText"/>
      </w:pPr>
      <w:r>
        <w:rPr>
          <w:rStyle w:val="FootnoteReference"/>
        </w:rPr>
        <w:footnoteRef/>
      </w:r>
      <w:r>
        <w:t xml:space="preserve"> </w:t>
      </w:r>
      <w:r w:rsidR="00A44737">
        <w:t>ORIMA Research</w:t>
      </w:r>
    </w:p>
  </w:footnote>
  <w:footnote w:id="39">
    <w:p w14:paraId="3DA42AEE" w14:textId="1CB03F62" w:rsidR="00CE1D8B" w:rsidRPr="00EE6135" w:rsidRDefault="00CE1D8B" w:rsidP="00817865">
      <w:pPr>
        <w:pStyle w:val="FootnoteText"/>
        <w:rPr>
          <w:lang w:val="en-US"/>
        </w:rPr>
      </w:pPr>
      <w:r>
        <w:rPr>
          <w:rStyle w:val="FootnoteReference"/>
        </w:rPr>
        <w:footnoteRef/>
      </w:r>
      <w:r>
        <w:t xml:space="preserve"> </w:t>
      </w:r>
      <w:r w:rsidR="00FD2456" w:rsidRPr="0055177E">
        <w:t xml:space="preserve">Kartagener syndrome is a rare genetic disorder that causes chronic </w:t>
      </w:r>
      <w:r w:rsidR="00B52A47" w:rsidRPr="0055177E">
        <w:t xml:space="preserve">and </w:t>
      </w:r>
      <w:r w:rsidR="00FD2456" w:rsidRPr="0055177E">
        <w:t xml:space="preserve">recurrent </w:t>
      </w:r>
      <w:r w:rsidR="007A29C6" w:rsidRPr="0055177E">
        <w:t xml:space="preserve">respiratory </w:t>
      </w:r>
      <w:r w:rsidR="0055177E" w:rsidRPr="0055177E">
        <w:t>infections</w:t>
      </w:r>
      <w:r w:rsidR="00FD2456" w:rsidRPr="0055177E">
        <w:t xml:space="preserve"> and </w:t>
      </w:r>
      <w:r w:rsidR="0055177E" w:rsidRPr="0055177E">
        <w:t>illnesses.</w:t>
      </w:r>
    </w:p>
  </w:footnote>
  <w:footnote w:id="40">
    <w:p w14:paraId="728C7521" w14:textId="6275C29D" w:rsidR="00A44737" w:rsidRPr="00A44737" w:rsidRDefault="00A44737" w:rsidP="00817865">
      <w:pPr>
        <w:pStyle w:val="FootnoteText"/>
      </w:pPr>
      <w:r>
        <w:rPr>
          <w:rStyle w:val="FootnoteReference"/>
        </w:rPr>
        <w:footnoteRef/>
      </w:r>
      <w:r>
        <w:t xml:space="preserve"> Submission by IHCSA</w:t>
      </w:r>
    </w:p>
  </w:footnote>
  <w:footnote w:id="41">
    <w:p w14:paraId="1652B341" w14:textId="69661688" w:rsidR="00FE0006" w:rsidRPr="00FE0006" w:rsidRDefault="00FE0006" w:rsidP="00817865">
      <w:pPr>
        <w:pStyle w:val="FootnoteText"/>
      </w:pPr>
      <w:r>
        <w:rPr>
          <w:rStyle w:val="FootnoteReference"/>
        </w:rPr>
        <w:footnoteRef/>
      </w:r>
      <w:r>
        <w:t xml:space="preserve"> IHC provider consultation</w:t>
      </w:r>
    </w:p>
  </w:footnote>
  <w:footnote w:id="42">
    <w:p w14:paraId="473DBC44" w14:textId="4F2C7959" w:rsidR="00D74ED6" w:rsidRPr="00D74ED6" w:rsidRDefault="00D74ED6" w:rsidP="00817865">
      <w:pPr>
        <w:pStyle w:val="FootnoteText"/>
      </w:pPr>
      <w:r>
        <w:rPr>
          <w:rStyle w:val="FootnoteReference"/>
        </w:rPr>
        <w:footnoteRef/>
      </w:r>
      <w:r>
        <w:t xml:space="preserve"> ORIMA Research of Departmental administration data</w:t>
      </w:r>
    </w:p>
  </w:footnote>
  <w:footnote w:id="43">
    <w:p w14:paraId="618ED878" w14:textId="77777777" w:rsidR="00634B6A" w:rsidRPr="00B43384" w:rsidRDefault="00634B6A" w:rsidP="00817865">
      <w:pPr>
        <w:pStyle w:val="FootnoteText"/>
        <w:rPr>
          <w:lang w:val="en-US"/>
        </w:rPr>
      </w:pPr>
      <w:r>
        <w:rPr>
          <w:rStyle w:val="FootnoteReference"/>
        </w:rPr>
        <w:footnoteRef/>
      </w:r>
      <w:r>
        <w:t xml:space="preserve"> As at 21 May 2023</w:t>
      </w:r>
    </w:p>
  </w:footnote>
  <w:footnote w:id="44">
    <w:p w14:paraId="686C4FF2" w14:textId="7851B3FC" w:rsidR="000143B2" w:rsidRPr="000143B2" w:rsidRDefault="000143B2" w:rsidP="00817865">
      <w:pPr>
        <w:pStyle w:val="FootnoteText"/>
      </w:pPr>
      <w:r>
        <w:rPr>
          <w:rStyle w:val="FootnoteReference"/>
        </w:rPr>
        <w:footnoteRef/>
      </w:r>
      <w:r>
        <w:t xml:space="preserve"> DoE administrative data</w:t>
      </w:r>
    </w:p>
  </w:footnote>
  <w:footnote w:id="45">
    <w:p w14:paraId="0DBB81EE" w14:textId="7C31D0CA" w:rsidR="000143B2" w:rsidRPr="000143B2" w:rsidRDefault="000143B2" w:rsidP="00817865">
      <w:pPr>
        <w:pStyle w:val="FootnoteText"/>
      </w:pPr>
      <w:r>
        <w:rPr>
          <w:rStyle w:val="FootnoteReference"/>
        </w:rPr>
        <w:footnoteRef/>
      </w:r>
      <w:r>
        <w:t xml:space="preserve"> Ibid.</w:t>
      </w:r>
    </w:p>
  </w:footnote>
  <w:footnote w:id="46">
    <w:p w14:paraId="6063C633" w14:textId="64BDA2B2" w:rsidR="000143B2" w:rsidRPr="000143B2" w:rsidRDefault="000143B2" w:rsidP="00817865">
      <w:pPr>
        <w:pStyle w:val="FootnoteText"/>
      </w:pPr>
      <w:r>
        <w:rPr>
          <w:rStyle w:val="FootnoteReference"/>
        </w:rPr>
        <w:footnoteRef/>
      </w:r>
      <w:r>
        <w:t xml:space="preserve"> IHC provider consultations</w:t>
      </w:r>
    </w:p>
  </w:footnote>
  <w:footnote w:id="47">
    <w:p w14:paraId="007DE99C" w14:textId="3D25AFAA" w:rsidR="000143B2" w:rsidRPr="000143B2" w:rsidRDefault="000143B2" w:rsidP="00817865">
      <w:pPr>
        <w:pStyle w:val="FootnoteText"/>
      </w:pPr>
      <w:r>
        <w:rPr>
          <w:rStyle w:val="FootnoteReference"/>
        </w:rPr>
        <w:footnoteRef/>
      </w:r>
      <w:r>
        <w:t xml:space="preserve"> Ibid</w:t>
      </w:r>
      <w:r w:rsidR="00604C27">
        <w:t>.</w:t>
      </w:r>
    </w:p>
  </w:footnote>
  <w:footnote w:id="48">
    <w:p w14:paraId="23311827" w14:textId="6A7167E7" w:rsidR="000143B2" w:rsidRPr="000143B2" w:rsidRDefault="000143B2" w:rsidP="00817865">
      <w:pPr>
        <w:pStyle w:val="FootnoteText"/>
      </w:pPr>
      <w:r>
        <w:rPr>
          <w:rStyle w:val="FootnoteReference"/>
        </w:rPr>
        <w:footnoteRef/>
      </w:r>
      <w:r>
        <w:t xml:space="preserve"> IHCSA</w:t>
      </w:r>
      <w:r w:rsidR="00604C27">
        <w:t xml:space="preserve"> consultations</w:t>
      </w:r>
    </w:p>
  </w:footnote>
  <w:footnote w:id="49">
    <w:p w14:paraId="7A855A8E" w14:textId="061906DE" w:rsidR="00CC6937" w:rsidRPr="002D36A8" w:rsidRDefault="00CC6937" w:rsidP="00817865">
      <w:pPr>
        <w:pStyle w:val="FootnoteText"/>
        <w:rPr>
          <w:lang w:val="en-US"/>
        </w:rPr>
      </w:pPr>
      <w:r>
        <w:rPr>
          <w:rStyle w:val="FootnoteReference"/>
        </w:rPr>
        <w:footnoteRef/>
      </w:r>
      <w:r>
        <w:t xml:space="preserve"> </w:t>
      </w:r>
      <w:r w:rsidR="008628F1">
        <w:t>Queensland Department of Child Safety, Seniors and Disability Services</w:t>
      </w:r>
    </w:p>
  </w:footnote>
  <w:footnote w:id="50">
    <w:p w14:paraId="5B75611F" w14:textId="3D1A1F85" w:rsidR="00CF106A" w:rsidRPr="002D36A8" w:rsidRDefault="00CF106A" w:rsidP="00817865">
      <w:pPr>
        <w:pStyle w:val="FootnoteText"/>
      </w:pPr>
      <w:r>
        <w:rPr>
          <w:rStyle w:val="FootnoteReference"/>
        </w:rPr>
        <w:footnoteRef/>
      </w:r>
      <w:r>
        <w:t xml:space="preserve"> ORIMA Research and DoE administrative data</w:t>
      </w:r>
    </w:p>
  </w:footnote>
  <w:footnote w:id="51">
    <w:p w14:paraId="49600DC6" w14:textId="42EF063D" w:rsidR="00A844AD" w:rsidRPr="00A844AD" w:rsidRDefault="00A844AD" w:rsidP="00817865">
      <w:pPr>
        <w:pStyle w:val="FootnoteText"/>
      </w:pPr>
      <w:r>
        <w:rPr>
          <w:rStyle w:val="FootnoteReference"/>
        </w:rPr>
        <w:footnoteRef/>
      </w:r>
      <w:r>
        <w:t xml:space="preserve"> </w:t>
      </w:r>
      <w:r w:rsidR="002A6829">
        <w:t>Family surveys</w:t>
      </w:r>
    </w:p>
  </w:footnote>
  <w:footnote w:id="52">
    <w:p w14:paraId="0D31EE9D" w14:textId="480D499D" w:rsidR="00E85B0B" w:rsidRPr="00E85B0B" w:rsidRDefault="00E85B0B" w:rsidP="00817865">
      <w:pPr>
        <w:pStyle w:val="FootnoteText"/>
      </w:pPr>
      <w:r>
        <w:rPr>
          <w:rStyle w:val="FootnoteReference"/>
        </w:rPr>
        <w:footnoteRef/>
      </w:r>
      <w:r>
        <w:t xml:space="preserve"> Family surveys</w:t>
      </w:r>
    </w:p>
  </w:footnote>
  <w:footnote w:id="53">
    <w:p w14:paraId="05424CEC" w14:textId="3A423982" w:rsidR="00405A9D" w:rsidRPr="00405A9D" w:rsidRDefault="00405A9D" w:rsidP="00817865">
      <w:pPr>
        <w:pStyle w:val="FootnoteText"/>
      </w:pPr>
      <w:r>
        <w:rPr>
          <w:rStyle w:val="FootnoteReference"/>
        </w:rPr>
        <w:footnoteRef/>
      </w:r>
      <w:r>
        <w:t xml:space="preserve"> </w:t>
      </w:r>
      <w:r w:rsidR="001052F4">
        <w:t>Family survey</w:t>
      </w:r>
    </w:p>
  </w:footnote>
  <w:footnote w:id="54">
    <w:p w14:paraId="3C42C605" w14:textId="1407CDD4" w:rsidR="00487B6A" w:rsidRPr="00487B6A" w:rsidRDefault="00487B6A" w:rsidP="00817865">
      <w:pPr>
        <w:pStyle w:val="FootnoteText"/>
      </w:pPr>
      <w:r>
        <w:rPr>
          <w:rStyle w:val="FootnoteReference"/>
        </w:rPr>
        <w:footnoteRef/>
      </w:r>
      <w:r>
        <w:t xml:space="preserve"> IHC provider </w:t>
      </w:r>
      <w:r w:rsidR="00405A9D">
        <w:t>consultations</w:t>
      </w:r>
    </w:p>
  </w:footnote>
  <w:footnote w:id="55">
    <w:p w14:paraId="5A4FF465" w14:textId="411784A8" w:rsidR="00731FFB" w:rsidRPr="00211760" w:rsidRDefault="00731FFB" w:rsidP="00817865">
      <w:pPr>
        <w:pStyle w:val="FootnoteText"/>
      </w:pPr>
      <w:r>
        <w:rPr>
          <w:rStyle w:val="FootnoteReference"/>
        </w:rPr>
        <w:footnoteRef/>
      </w:r>
      <w:r>
        <w:t xml:space="preserve"> Connected Beginnings is an Australian Government place-based grants program </w:t>
      </w:r>
      <w:r w:rsidRPr="00F95893">
        <w:t xml:space="preserve">to increase Aboriginal and Torres Strait Islander children’s and families’ engagement with health and </w:t>
      </w:r>
      <w:r>
        <w:t xml:space="preserve">ECEC. </w:t>
      </w:r>
      <w:r w:rsidRPr="005F620C">
        <w:t>Funding is used to integrate local support services so children and families can access culturally appropriate support services</w:t>
      </w:r>
      <w:r>
        <w:t>.</w:t>
      </w:r>
      <w:r w:rsidRPr="005F620C">
        <w:t xml:space="preserve"> </w:t>
      </w:r>
      <w:hyperlink r:id="rId1" w:history="1">
        <w:r w:rsidRPr="001700C7">
          <w:rPr>
            <w:rStyle w:val="Hyperlink"/>
            <w:lang w:val="en-US"/>
          </w:rPr>
          <w:t>www.education.gov.au/early-childhood/community-child-care-fund/connected-beginnings</w:t>
        </w:r>
      </w:hyperlink>
      <w:r>
        <w:t xml:space="preserve"> </w:t>
      </w:r>
    </w:p>
  </w:footnote>
  <w:footnote w:id="56">
    <w:p w14:paraId="6D8B00C4" w14:textId="7855AB42" w:rsidR="002B49BB" w:rsidRPr="00245EFD" w:rsidRDefault="002B49BB" w:rsidP="00817865">
      <w:pPr>
        <w:pStyle w:val="FootnoteText"/>
      </w:pPr>
      <w:r>
        <w:rPr>
          <w:rStyle w:val="FootnoteReference"/>
        </w:rPr>
        <w:footnoteRef/>
      </w:r>
      <w:r>
        <w:t xml:space="preserve"> Drat National Care and Support Economy Strategy 2023</w:t>
      </w:r>
    </w:p>
  </w:footnote>
  <w:footnote w:id="57">
    <w:p w14:paraId="24A9B604" w14:textId="77777777" w:rsidR="005632EB" w:rsidRPr="00C63388" w:rsidRDefault="005632EB" w:rsidP="00817865">
      <w:pPr>
        <w:pStyle w:val="FootnoteText"/>
        <w:rPr>
          <w:lang w:val="en-US"/>
        </w:rPr>
      </w:pPr>
      <w:r>
        <w:rPr>
          <w:rStyle w:val="FootnoteReference"/>
        </w:rPr>
        <w:footnoteRef/>
      </w:r>
      <w:r>
        <w:t xml:space="preserve"> </w:t>
      </w:r>
      <w:r w:rsidRPr="00EB4CBB">
        <w:t>www.education.gov.au/early-childhood/early-childhood-workforce/professional-development-opportunities</w:t>
      </w:r>
    </w:p>
  </w:footnote>
  <w:footnote w:id="58">
    <w:p w14:paraId="43D33078" w14:textId="77777777" w:rsidR="002B744D" w:rsidRPr="00245EFD" w:rsidRDefault="002B744D" w:rsidP="00817865">
      <w:pPr>
        <w:pStyle w:val="FootnoteText"/>
      </w:pPr>
      <w:r>
        <w:rPr>
          <w:rStyle w:val="FootnoteReference"/>
        </w:rPr>
        <w:footnoteRef/>
      </w:r>
      <w:r>
        <w:t xml:space="preserve"> Drat National Care and Support Economy Strategy 2023</w:t>
      </w:r>
    </w:p>
    <w:p w14:paraId="7C75236A" w14:textId="17F75432" w:rsidR="002B744D" w:rsidRPr="002B744D" w:rsidRDefault="002B744D" w:rsidP="0081786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A34A" w14:textId="77777777" w:rsidR="0036642F" w:rsidRDefault="0036642F">
    <w:pPr>
      <w:pStyle w:val="Header"/>
    </w:pPr>
    <w:r>
      <w:rPr>
        <w:lang w:val="en-AU" w:eastAsia="en-AU"/>
      </w:rPr>
      <w:drawing>
        <wp:anchor distT="0" distB="0" distL="114300" distR="114300" simplePos="0" relativeHeight="251657728" behindDoc="0" locked="1" layoutInCell="1" allowOverlap="1" wp14:anchorId="21D98C12" wp14:editId="31DF4430">
          <wp:simplePos x="0" y="0"/>
          <wp:positionH relativeFrom="page">
            <wp:posOffset>428625</wp:posOffset>
          </wp:positionH>
          <wp:positionV relativeFrom="page">
            <wp:posOffset>542925</wp:posOffset>
          </wp:positionV>
          <wp:extent cx="1409700" cy="1190625"/>
          <wp:effectExtent l="0" t="0" r="0" b="0"/>
          <wp:wrapNone/>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09700" cy="1190625"/>
                  </a:xfrm>
                  <a:prstGeom prst="rect">
                    <a:avLst/>
                  </a:prstGeom>
                </pic:spPr>
              </pic:pic>
            </a:graphicData>
          </a:graphic>
        </wp:anchor>
      </w:drawing>
    </w:r>
  </w:p>
  <w:p w14:paraId="5F140554" w14:textId="77777777" w:rsidR="0036642F" w:rsidRDefault="0036642F">
    <w:pPr>
      <w:pStyle w:val="Header"/>
    </w:pPr>
  </w:p>
  <w:p w14:paraId="1E1D513E" w14:textId="77777777" w:rsidR="0036642F" w:rsidRDefault="0036642F"/>
  <w:p w14:paraId="65C27650" w14:textId="77777777" w:rsidR="0036642F" w:rsidRDefault="0036642F">
    <w:r>
      <w:rPr>
        <w:noProof/>
        <w:lang w:val="en-AU" w:eastAsia="en-AU"/>
      </w:rPr>
      <w:drawing>
        <wp:anchor distT="0" distB="0" distL="114300" distR="114300" simplePos="0" relativeHeight="251658752" behindDoc="0" locked="1" layoutInCell="1" allowOverlap="1" wp14:anchorId="5D47C160" wp14:editId="24D254D8">
          <wp:simplePos x="0" y="0"/>
          <wp:positionH relativeFrom="page">
            <wp:posOffset>431165</wp:posOffset>
          </wp:positionH>
          <wp:positionV relativeFrom="page">
            <wp:posOffset>490855</wp:posOffset>
          </wp:positionV>
          <wp:extent cx="1410969" cy="1268730"/>
          <wp:effectExtent l="0" t="0" r="0" b="0"/>
          <wp:wrapNone/>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410969" cy="126873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2055E" w14:textId="77777777" w:rsidR="0036642F" w:rsidRDefault="0036642F">
    <w:pPr>
      <w:pStyle w:val="Header"/>
    </w:pPr>
    <w:r>
      <w:rPr>
        <w:lang w:val="en-AU" w:eastAsia="en-AU"/>
      </w:rPr>
      <w:drawing>
        <wp:anchor distT="0" distB="0" distL="114300" distR="114300" simplePos="0" relativeHeight="251659776" behindDoc="0" locked="1" layoutInCell="1" allowOverlap="1" wp14:anchorId="340DBB8F" wp14:editId="0DE135AB">
          <wp:simplePos x="0" y="0"/>
          <wp:positionH relativeFrom="page">
            <wp:posOffset>431165</wp:posOffset>
          </wp:positionH>
          <wp:positionV relativeFrom="page">
            <wp:posOffset>490855</wp:posOffset>
          </wp:positionV>
          <wp:extent cx="1410969" cy="1268730"/>
          <wp:effectExtent l="0" t="0" r="0" b="0"/>
          <wp:wrapNone/>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10969" cy="1268730"/>
                  </a:xfrm>
                  <a:prstGeom prst="rect">
                    <a:avLst/>
                  </a:prstGeom>
                </pic:spPr>
              </pic:pic>
            </a:graphicData>
          </a:graphic>
        </wp:anchor>
      </w:drawing>
    </w:r>
  </w:p>
  <w:p w14:paraId="5994A137" w14:textId="77777777" w:rsidR="0036642F" w:rsidRDefault="0036642F">
    <w:pPr>
      <w:pStyle w:val="Header"/>
    </w:pPr>
  </w:p>
  <w:p w14:paraId="35F9B26B" w14:textId="77777777" w:rsidR="0036642F" w:rsidRDefault="0036642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3BF0B" w14:textId="392A280C" w:rsidR="0036642F" w:rsidRPr="00991A91" w:rsidRDefault="00000000">
    <w:pPr>
      <w:rPr>
        <w:color w:val="FFFFFF" w:themeColor="background1"/>
      </w:rPr>
    </w:pPr>
    <w:r>
      <w:rPr>
        <w:noProof/>
      </w:rPr>
      <w:object w:dxaOrig="1440" w:dyaOrig="1440" w14:anchorId="6DEF7F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1.1pt;width:595pt;height:839.95pt;z-index:-251655680;mso-position-horizontal-relative:page;mso-position-vertical-relative:page">
          <v:imagedata r:id="rId1" o:title=""/>
          <w10:wrap anchorx="page" anchory="page"/>
        </v:shape>
        <o:OLEObject Type="Embed" ProgID="PowerPoint.Slide.12" ShapeID="_x0000_s1026" DrawAspect="Content" ObjectID="_1761144021" r:id="rId2"/>
      </w:object>
    </w:r>
    <w:r w:rsidR="0036642F" w:rsidRPr="006E1657">
      <w:t xml:space="preserve"> </w:t>
    </w:r>
    <w:r w:rsidR="0036642F" w:rsidRPr="006E1657">
      <w:rPr>
        <w:color w:val="FFFFFF" w:themeColor="background1"/>
      </w:rPr>
      <w:t>www.pwc.com.au</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D636A" w14:textId="77777777" w:rsidR="00E92B20" w:rsidRPr="006E0E33" w:rsidRDefault="00E92B20" w:rsidP="006E0E33">
    <w:pPr>
      <w:pStyle w:val="Header"/>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A0F2F" w14:textId="5D37E32F" w:rsidR="00FE676A" w:rsidRPr="006E0E33" w:rsidRDefault="00FE676A" w:rsidP="006E0E33">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CE4EA" w14:textId="27069D81" w:rsidR="00D51DAC" w:rsidRPr="006E0E33" w:rsidRDefault="00D51DAC" w:rsidP="006E0E33">
    <w:pPr>
      <w:pStyle w:val="Header"/>
      <w:rPr>
        <w:sz w:val="20"/>
        <w:szCs w:val="20"/>
      </w:rPr>
    </w:pPr>
    <w:r>
      <w:rPr>
        <w:sz w:val="20"/>
        <w:szCs w:val="20"/>
      </w:rPr>
      <mc:AlternateContent>
        <mc:Choice Requires="wps">
          <w:drawing>
            <wp:anchor distT="0" distB="0" distL="114300" distR="114300" simplePos="0" relativeHeight="251656704" behindDoc="0" locked="0" layoutInCell="1" allowOverlap="1" wp14:anchorId="43D5360E" wp14:editId="3E214E24">
              <wp:simplePos x="0" y="0"/>
              <wp:positionH relativeFrom="page">
                <wp:align>left</wp:align>
              </wp:positionH>
              <wp:positionV relativeFrom="paragraph">
                <wp:posOffset>-445135</wp:posOffset>
              </wp:positionV>
              <wp:extent cx="769810" cy="11285621"/>
              <wp:effectExtent l="0" t="0" r="0" b="0"/>
              <wp:wrapNone/>
              <wp:docPr id="25" name="Rectangle 25"/>
              <wp:cNvGraphicFramePr/>
              <a:graphic xmlns:a="http://schemas.openxmlformats.org/drawingml/2006/main">
                <a:graphicData uri="http://schemas.microsoft.com/office/word/2010/wordprocessingShape">
                  <wps:wsp>
                    <wps:cNvSpPr/>
                    <wps:spPr>
                      <a:xfrm>
                        <a:off x="0" y="0"/>
                        <a:ext cx="769810" cy="11285621"/>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ECDBDD" id="Rectangle 25" o:spid="_x0000_s1026" style="position:absolute;margin-left:0;margin-top:-35.05pt;width:60.6pt;height:888.65pt;z-index:251658242;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ir6cQIAAGMFAAAOAAAAZHJzL2Uyb0RvYy54bWysVG1P2zAQ/j5p/8Hy95Gm4rVqiioQ0yQE&#10;CJj4bBybWHJ83tlt2v36nZ00ZYA2aVo+OLbvubfHdzc/37SWrRUGA67i5cGEM+Uk1Ma9VPz749WX&#10;U85CFK4WFpyq+FYFfr74/Gne+ZmaQgO2VsjIiAuzzle8idHPiiLIRrUiHIBXjoQasBWRjvhS1Cg6&#10;st7aYjqZHBcdYO0RpAqBbi97IV9k+1orGW+1DioyW3GKLeYV8/qc1mIxF7MXFL4xcghD/EMUrTCO&#10;nI6mLkUUbIXmnanWSIQAOh5IaAvQ2kiVc6BsysmbbB4a4VXOhcgJfqQp/D+z8mb94O+QaOh8mAXa&#10;piw2Gtv0p/jYJpO1HclSm8gkXZ4cn52WRKkkUVlOT4+Op2Wis9irewzxq4KWpU3FkV4jkyTW1yH2&#10;0B0keQtgTX1lrM2HVAHqwiJbC3o7IaVycefgN6R1Ce8gafZG002xzyfv4taqhLPuXmlmaspgmoPJ&#10;pfbeUY6hEbXq/R9N6BvSGzVystlgQmvyP9ou/2S7j3LAJ1WVK3VUnvxdedTInsHFUbk1DvAjA3ak&#10;T/f4HUk9NYmlZ6i3d8gQ+j4JXl4ZerprEeKdQGoMem9q9nhLi7bQVRyGHWcN4M+P7hOe6pWknHXU&#10;aBUPP1YCFWf2m6NKPisPD1Nn5sPh0cmUDvha8vxa4lbtBVA9lDRWvMzbhI92t9UI7RPNhGXySiLh&#10;JPmuuIy4O1zEfgDQVJFqucww6kYv4rV78DIZT6ym0nzcPAn0Q/1GKv0b2DWlmL0p4x6bNB0sVxG0&#10;yTW+53Xgmzo5F84wddKoeH3OqP1sXPwCAAD//wMAUEsDBBQABgAIAAAAIQC4nDdv4AAAAAkBAAAP&#10;AAAAZHJzL2Rvd25yZXYueG1sTI/BasMwEETvhfyD2EBviWQH6uJaDiGQSyiFus2hN8XaWE6slbEU&#10;x+3XVzm1t1lmmXlTrCfbsREH3zqSkCwFMKTa6ZYaCZ8fu8UzMB8UadU5Qgnf6GFdzh4KlWt3o3cc&#10;q9CwGEI+VxJMCH3Oua8NWuWXrkeK3skNVoV4Dg3Xg7rFcNvxVIgnblVLscGoHrcG60t1tRL252xV&#10;mXEz/qze8GDc4fVrt/VSPs6nzQuwgFP4e4Y7fkSHMjId3ZW0Z52EOCRIWGQiAXa30yQFdowiE1kK&#10;vCz4/wXlLwAAAP//AwBQSwECLQAUAAYACAAAACEAtoM4kv4AAADhAQAAEwAAAAAAAAAAAAAAAAAA&#10;AAAAW0NvbnRlbnRfVHlwZXNdLnhtbFBLAQItABQABgAIAAAAIQA4/SH/1gAAAJQBAAALAAAAAAAA&#10;AAAAAAAAAC8BAABfcmVscy8ucmVsc1BLAQItABQABgAIAAAAIQCPqir6cQIAAGMFAAAOAAAAAAAA&#10;AAAAAAAAAC4CAABkcnMvZTJvRG9jLnhtbFBLAQItABQABgAIAAAAIQC4nDdv4AAAAAkBAAAPAAAA&#10;AAAAAAAAAAAAAMsEAABkcnMvZG93bnJldi54bWxQSwUGAAAAAAQABADzAAAA2AUAAAAA&#10;" fillcolor="#d04a02 [3204]" stroked="f" strokeweight="1pt">
              <w10:wrap anchorx="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AFCE7" w14:textId="57AB04CC" w:rsidR="00D51DAC" w:rsidRPr="006E0E33" w:rsidRDefault="00D51DAC" w:rsidP="006E0E33">
    <w:pPr>
      <w:pStyle w:val="Header"/>
      <w:rPr>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2ABC" w14:textId="46D0C9FF" w:rsidR="003C7577" w:rsidRPr="00BB5E83" w:rsidRDefault="00CD1449" w:rsidP="00120788">
    <w:pPr>
      <w:pStyle w:val="Header"/>
    </w:pPr>
    <w:r w:rsidRPr="00394017">
      <w:rPr>
        <w:b w:val="0"/>
        <w:bCs/>
        <w:color w:val="FFFFFF" w:themeColor="background1"/>
        <w:sz w:val="15"/>
        <w:szCs w:val="15"/>
      </w:rPr>
      <mc:AlternateContent>
        <mc:Choice Requires="wps">
          <w:drawing>
            <wp:anchor distT="0" distB="0" distL="114300" distR="114300" simplePos="0" relativeHeight="251655680" behindDoc="1" locked="0" layoutInCell="1" allowOverlap="1" wp14:anchorId="41200C28" wp14:editId="10C4BF1A">
              <wp:simplePos x="0" y="0"/>
              <wp:positionH relativeFrom="column">
                <wp:posOffset>-1316066</wp:posOffset>
              </wp:positionH>
              <wp:positionV relativeFrom="paragraph">
                <wp:posOffset>-381190</wp:posOffset>
              </wp:positionV>
              <wp:extent cx="8302371" cy="8748585"/>
              <wp:effectExtent l="0" t="0" r="3810" b="0"/>
              <wp:wrapNone/>
              <wp:docPr id="209" name="Rectangle 209"/>
              <wp:cNvGraphicFramePr/>
              <a:graphic xmlns:a="http://schemas.openxmlformats.org/drawingml/2006/main">
                <a:graphicData uri="http://schemas.microsoft.com/office/word/2010/wordprocessingShape">
                  <wps:wsp>
                    <wps:cNvSpPr/>
                    <wps:spPr>
                      <a:xfrm>
                        <a:off x="0" y="0"/>
                        <a:ext cx="8302371" cy="8748585"/>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B90B9" id="Rectangle 209" o:spid="_x0000_s1026" style="position:absolute;margin-left:-103.65pt;margin-top:-30pt;width:653.75pt;height:688.8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sBegIAAGMFAAAOAAAAZHJzL2Uyb0RvYy54bWysVE1v2zAMvQ/YfxB0X+2kSZsFdYqgRYcB&#10;RVusHXpWZak2IIsapcTJfv0o+SNZV+wwLAdFEslH8vlRF5e7xrCtQl+DLfjkJOdMWQllbV8L/v3p&#10;5tOCMx+ELYUBqwq+V55frj5+uGjdUk2hAlMqZARi/bJ1Ba9CcMss87JSjfAn4JQlowZsRKAjvmYl&#10;ipbQG5NN8/wsawFLhyCV93R73Rn5KuFrrWS419qrwEzBqbaQVkzrS1yz1YVYvqJwVS37MsQ/VNGI&#10;2lLSEepaBME2WP8B1dQSwYMOJxKaDLSupUo9UDeT/E03j5VwKvVC5Hg30uT/H6y82z66ByQaWueX&#10;nraxi53GJv5TfWyXyNqPZKldYJIuF6f59PR8wpkk2+J8tpgv5pHO7BDu0IcvChoWNwVH+hqJJLG9&#10;9aFzHVxiNg+mLm9qY9IhKkBdGWRbQd9OSKlsOOsT/OZpbPS3ECM70HiTHfpJu7A3KvoZ+01pVpfU&#10;wTQVk6T2NtGkM1WiVF3+eU6/IftQWmo2AUZkTflH7B5g8DxuYtLD9P4xVCWljsH53wrrWhwjUmaw&#10;YQxuagv4HoAJY+bOfyCpoyay9ALl/gEZQjcn3smbmj7drfDhQSANBo0QDXu4p0UbaAsO/Y6zCvDn&#10;e/fRn/RKVs5aGrSC+x8bgYoz89WSkj9PZrM4mekwm59P6YDHlpdji900V0B6IN1RdWkb/YMZthqh&#10;eaY3YR2zkklYSbkLLgMOh6vQPQD0qki1Xic3mkYnwq19dDKCR1ajNJ92zwJdr99A0r+DYSjF8o2M&#10;O98YaWG9CaDrpPEDrz3fNMlJOP2rE5+K43PyOryNq18AAAD//wMAUEsDBBQABgAIAAAAIQDnj4pA&#10;4QAAAA4BAAAPAAAAZHJzL2Rvd25yZXYueG1sTI/NasMwEITvhb6D2EIvJZHsQBxcy6EUCqUX0/Qn&#10;V1naWqaWZCwldt++m1N7m2WHmW+q/eIGdsYp9sFLyNYCGHodTO87Ce9vT6sdsJiUN2oIHiX8YIR9&#10;fX1VqdKE2b/i+ZA6RiE+lkqCTWksOY/aolNxHUb09PsKk1OJzqnjZlIzhbuB50JsuVO9pwarRny0&#10;qL8PJ0cl+nP+aPDY2kXh80uz6Lu50VLe3iwP98ASLunPDBd8QoeamNpw8iayQcIqF8WGvKS2glZd&#10;LJkQObCW1CYrCuB1xf/PqH8BAAD//wMAUEsBAi0AFAAGAAgAAAAhALaDOJL+AAAA4QEAABMAAAAA&#10;AAAAAAAAAAAAAAAAAFtDb250ZW50X1R5cGVzXS54bWxQSwECLQAUAAYACAAAACEAOP0h/9YAAACU&#10;AQAACwAAAAAAAAAAAAAAAAAvAQAAX3JlbHMvLnJlbHNQSwECLQAUAAYACAAAACEAE5L7AXoCAABj&#10;BQAADgAAAAAAAAAAAAAAAAAuAgAAZHJzL2Uyb0RvYy54bWxQSwECLQAUAAYACAAAACEA54+KQOEA&#10;AAAOAQAADwAAAAAAAAAAAAAAAADUBAAAZHJzL2Rvd25yZXYueG1sUEsFBgAAAAAEAAQA8wAAAOIF&#10;AAAAAA==&#10;" fillcolor="#464646 [3209]"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E0C"/>
    <w:multiLevelType w:val="multilevel"/>
    <w:tmpl w:val="BD8EA30A"/>
    <w:styleLink w:val="StyleNumbered9ptLeft025Hanging025"/>
    <w:lvl w:ilvl="0">
      <w:start w:val="1"/>
      <w:numFmt w:val="decimal"/>
      <w:lvlText w:val="%1."/>
      <w:lvlJc w:val="left"/>
      <w:pPr>
        <w:tabs>
          <w:tab w:val="num" w:pos="720"/>
        </w:tabs>
        <w:ind w:left="720" w:hanging="360"/>
      </w:pPr>
      <w:rPr>
        <w:rFonts w:ascii="Arial" w:hAnsi="Arial"/>
        <w:sz w:val="18"/>
      </w:rPr>
    </w:lvl>
    <w:lvl w:ilvl="1">
      <w:start w:val="1"/>
      <w:numFmt w:val="bullet"/>
      <w:lvlText w:val=""/>
      <w:lvlJc w:val="left"/>
      <w:pPr>
        <w:ind w:left="720" w:hanging="360"/>
      </w:pPr>
      <w:rPr>
        <w:rFonts w:ascii="HelveticaNeue" w:hAnsi="HelveticaNeue" w:hint="default"/>
      </w:rPr>
    </w:lvl>
    <w:lvl w:ilvl="2">
      <w:start w:val="1"/>
      <w:numFmt w:val="bullet"/>
      <w:lvlText w:val=""/>
      <w:lvlJc w:val="left"/>
      <w:pPr>
        <w:ind w:left="720" w:hanging="360"/>
      </w:pPr>
      <w:rPr>
        <w:rFonts w:ascii="HelveticaNeue" w:hAnsi="HelveticaNeue"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700DFC"/>
    <w:multiLevelType w:val="hybridMultilevel"/>
    <w:tmpl w:val="C28879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AC0DFC"/>
    <w:multiLevelType w:val="hybridMultilevel"/>
    <w:tmpl w:val="C28879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D4100B"/>
    <w:multiLevelType w:val="hybridMultilevel"/>
    <w:tmpl w:val="63F2A2AA"/>
    <w:lvl w:ilvl="0" w:tplc="0C090001">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 w15:restartNumberingAfterBreak="0">
    <w:nsid w:val="06B45353"/>
    <w:multiLevelType w:val="hybridMultilevel"/>
    <w:tmpl w:val="84A42096"/>
    <w:lvl w:ilvl="0" w:tplc="8882798C">
      <w:start w:val="1"/>
      <w:numFmt w:val="bullet"/>
      <w:pStyle w:val="DocBullet1"/>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5" w15:restartNumberingAfterBreak="0">
    <w:nsid w:val="070879EB"/>
    <w:multiLevelType w:val="hybridMultilevel"/>
    <w:tmpl w:val="17AEBE0E"/>
    <w:lvl w:ilvl="0" w:tplc="BE60191C">
      <w:start w:val="1"/>
      <w:numFmt w:val="bullet"/>
      <w:lvlText w:val=""/>
      <w:lvlJc w:val="left"/>
      <w:pPr>
        <w:ind w:left="720" w:hanging="360"/>
      </w:pPr>
      <w:rPr>
        <w:rFonts w:ascii="Helvetica Neue" w:hAnsi="Helvetica Neue"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6" w15:restartNumberingAfterBreak="0">
    <w:nsid w:val="07870219"/>
    <w:multiLevelType w:val="hybridMultilevel"/>
    <w:tmpl w:val="D284948C"/>
    <w:lvl w:ilvl="0" w:tplc="60CE5246">
      <w:start w:val="1"/>
      <w:numFmt w:val="bullet"/>
      <w:pStyle w:val="TabBullet1"/>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7" w15:restartNumberingAfterBreak="0">
    <w:nsid w:val="0984408E"/>
    <w:multiLevelType w:val="multilevel"/>
    <w:tmpl w:val="1546630C"/>
    <w:styleLink w:val="PwCListNumbers1"/>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A290071"/>
    <w:multiLevelType w:val="hybridMultilevel"/>
    <w:tmpl w:val="31421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AF182E"/>
    <w:multiLevelType w:val="multilevel"/>
    <w:tmpl w:val="4D9848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9223EC"/>
    <w:multiLevelType w:val="hybridMultilevel"/>
    <w:tmpl w:val="8A021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8329E3"/>
    <w:multiLevelType w:val="hybridMultilevel"/>
    <w:tmpl w:val="C28879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CC16B4E"/>
    <w:multiLevelType w:val="hybridMultilevel"/>
    <w:tmpl w:val="176876CC"/>
    <w:lvl w:ilvl="0" w:tplc="0C090001">
      <w:start w:val="1"/>
      <w:numFmt w:val="bullet"/>
      <w:lvlText w:val=""/>
      <w:lvlJc w:val="left"/>
      <w:pPr>
        <w:ind w:left="720" w:hanging="360"/>
      </w:pPr>
      <w:rPr>
        <w:rFonts w:ascii="HelveticaNeue" w:hAnsi="HelveticaNeue" w:hint="default"/>
      </w:rPr>
    </w:lvl>
    <w:lvl w:ilvl="1" w:tplc="C4E055F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Courier New" w:hAnsi="Courier New" w:hint="default"/>
      </w:rPr>
    </w:lvl>
    <w:lvl w:ilvl="3" w:tplc="0C090001" w:tentative="1">
      <w:start w:val="1"/>
      <w:numFmt w:val="bullet"/>
      <w:lvlText w:val=""/>
      <w:lvlJc w:val="left"/>
      <w:pPr>
        <w:ind w:left="2880" w:hanging="360"/>
      </w:pPr>
      <w:rPr>
        <w:rFonts w:ascii="HelveticaNeue" w:hAnsi="HelveticaNeue" w:hint="default"/>
      </w:rPr>
    </w:lvl>
    <w:lvl w:ilvl="4" w:tplc="0C090003" w:tentative="1">
      <w:start w:val="1"/>
      <w:numFmt w:val="bullet"/>
      <w:lvlText w:val="o"/>
      <w:lvlJc w:val="left"/>
      <w:pPr>
        <w:ind w:left="3600" w:hanging="360"/>
      </w:pPr>
      <w:rPr>
        <w:rFonts w:ascii="Symbol" w:hAnsi="Symbol" w:cs="Symbol" w:hint="default"/>
      </w:rPr>
    </w:lvl>
    <w:lvl w:ilvl="5" w:tplc="0C090005" w:tentative="1">
      <w:start w:val="1"/>
      <w:numFmt w:val="bullet"/>
      <w:lvlText w:val=""/>
      <w:lvlJc w:val="left"/>
      <w:pPr>
        <w:ind w:left="4320" w:hanging="360"/>
      </w:pPr>
      <w:rPr>
        <w:rFonts w:ascii="Courier New" w:hAnsi="Courier New" w:hint="default"/>
      </w:rPr>
    </w:lvl>
    <w:lvl w:ilvl="6" w:tplc="0C090001" w:tentative="1">
      <w:start w:val="1"/>
      <w:numFmt w:val="bullet"/>
      <w:lvlText w:val=""/>
      <w:lvlJc w:val="left"/>
      <w:pPr>
        <w:ind w:left="5040" w:hanging="360"/>
      </w:pPr>
      <w:rPr>
        <w:rFonts w:ascii="HelveticaNeue" w:hAnsi="HelveticaNeue" w:hint="default"/>
      </w:rPr>
    </w:lvl>
    <w:lvl w:ilvl="7" w:tplc="0C090003" w:tentative="1">
      <w:start w:val="1"/>
      <w:numFmt w:val="bullet"/>
      <w:lvlText w:val="o"/>
      <w:lvlJc w:val="left"/>
      <w:pPr>
        <w:ind w:left="5760" w:hanging="360"/>
      </w:pPr>
      <w:rPr>
        <w:rFonts w:ascii="Symbol" w:hAnsi="Symbol" w:cs="Symbol" w:hint="default"/>
      </w:rPr>
    </w:lvl>
    <w:lvl w:ilvl="8" w:tplc="0C090005" w:tentative="1">
      <w:start w:val="1"/>
      <w:numFmt w:val="bullet"/>
      <w:lvlText w:val=""/>
      <w:lvlJc w:val="left"/>
      <w:pPr>
        <w:ind w:left="6480" w:hanging="360"/>
      </w:pPr>
      <w:rPr>
        <w:rFonts w:ascii="Courier New" w:hAnsi="Courier New" w:hint="default"/>
      </w:rPr>
    </w:lvl>
  </w:abstractNum>
  <w:abstractNum w:abstractNumId="13" w15:restartNumberingAfterBreak="0">
    <w:nsid w:val="0E480671"/>
    <w:multiLevelType w:val="multilevel"/>
    <w:tmpl w:val="45540BFE"/>
    <w:lvl w:ilvl="0">
      <w:start w:val="1"/>
      <w:numFmt w:val="lowerLetter"/>
      <w:lvlText w:val="%1)"/>
      <w:lvlJc w:val="left"/>
      <w:pPr>
        <w:ind w:left="0" w:firstLine="0"/>
      </w:pPr>
      <w:rPr>
        <w:rFonts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568" w:firstLine="0"/>
      </w:pPr>
      <w:rPr>
        <w:rFonts w:hint="default"/>
      </w:rPr>
    </w:lvl>
    <w:lvl w:ilvl="3">
      <w:start w:val="1"/>
      <w:numFmt w:val="none"/>
      <w:suff w:val="nothing"/>
      <w:lvlText w:val=""/>
      <w:lvlJc w:val="left"/>
      <w:pPr>
        <w:ind w:left="852" w:firstLine="0"/>
      </w:pPr>
      <w:rPr>
        <w:rFonts w:hint="default"/>
      </w:rPr>
    </w:lvl>
    <w:lvl w:ilvl="4">
      <w:start w:val="1"/>
      <w:numFmt w:val="none"/>
      <w:suff w:val="nothing"/>
      <w:lvlText w:val=""/>
      <w:lvlJc w:val="left"/>
      <w:pPr>
        <w:ind w:left="1136" w:firstLine="0"/>
      </w:pPr>
      <w:rPr>
        <w:rFonts w:hint="default"/>
      </w:rPr>
    </w:lvl>
    <w:lvl w:ilvl="5">
      <w:start w:val="1"/>
      <w:numFmt w:val="none"/>
      <w:suff w:val="nothing"/>
      <w:lvlText w:val=""/>
      <w:lvlJc w:val="left"/>
      <w:pPr>
        <w:ind w:left="1420" w:firstLine="0"/>
      </w:pPr>
      <w:rPr>
        <w:rFonts w:hint="default"/>
      </w:rPr>
    </w:lvl>
    <w:lvl w:ilvl="6">
      <w:start w:val="1"/>
      <w:numFmt w:val="none"/>
      <w:suff w:val="nothing"/>
      <w:lvlText w:val=""/>
      <w:lvlJc w:val="left"/>
      <w:pPr>
        <w:ind w:left="1704" w:firstLine="0"/>
      </w:pPr>
      <w:rPr>
        <w:rFonts w:hint="default"/>
      </w:rPr>
    </w:lvl>
    <w:lvl w:ilvl="7">
      <w:start w:val="1"/>
      <w:numFmt w:val="none"/>
      <w:suff w:val="nothing"/>
      <w:lvlText w:val=""/>
      <w:lvlJc w:val="left"/>
      <w:pPr>
        <w:ind w:left="1988" w:firstLine="0"/>
      </w:pPr>
      <w:rPr>
        <w:rFonts w:hint="default"/>
      </w:rPr>
    </w:lvl>
    <w:lvl w:ilvl="8">
      <w:start w:val="1"/>
      <w:numFmt w:val="none"/>
      <w:suff w:val="nothing"/>
      <w:lvlText w:val=""/>
      <w:lvlJc w:val="left"/>
      <w:pPr>
        <w:ind w:left="2272" w:firstLine="0"/>
      </w:pPr>
      <w:rPr>
        <w:rFonts w:hint="default"/>
      </w:rPr>
    </w:lvl>
  </w:abstractNum>
  <w:abstractNum w:abstractNumId="14" w15:restartNumberingAfterBreak="0">
    <w:nsid w:val="0E922B42"/>
    <w:multiLevelType w:val="hybridMultilevel"/>
    <w:tmpl w:val="D1A89C62"/>
    <w:lvl w:ilvl="0" w:tplc="0C090001">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5" w15:restartNumberingAfterBreak="0">
    <w:nsid w:val="0F0C6F6B"/>
    <w:multiLevelType w:val="hybridMultilevel"/>
    <w:tmpl w:val="4D54DD8C"/>
    <w:lvl w:ilvl="0" w:tplc="06B6E1AC">
      <w:start w:val="4"/>
      <w:numFmt w:val="lowerLetter"/>
      <w:lvlText w:val="%1)"/>
      <w:lvlJc w:val="left"/>
      <w:pPr>
        <w:tabs>
          <w:tab w:val="num" w:pos="720"/>
        </w:tabs>
        <w:ind w:left="720" w:hanging="360"/>
      </w:pPr>
    </w:lvl>
    <w:lvl w:ilvl="1" w:tplc="298AEE06" w:tentative="1">
      <w:start w:val="1"/>
      <w:numFmt w:val="lowerLetter"/>
      <w:lvlText w:val="%2)"/>
      <w:lvlJc w:val="left"/>
      <w:pPr>
        <w:tabs>
          <w:tab w:val="num" w:pos="1440"/>
        </w:tabs>
        <w:ind w:left="1440" w:hanging="360"/>
      </w:pPr>
    </w:lvl>
    <w:lvl w:ilvl="2" w:tplc="FD845940" w:tentative="1">
      <w:start w:val="1"/>
      <w:numFmt w:val="lowerLetter"/>
      <w:lvlText w:val="%3)"/>
      <w:lvlJc w:val="left"/>
      <w:pPr>
        <w:tabs>
          <w:tab w:val="num" w:pos="2160"/>
        </w:tabs>
        <w:ind w:left="2160" w:hanging="360"/>
      </w:pPr>
    </w:lvl>
    <w:lvl w:ilvl="3" w:tplc="54D03A64" w:tentative="1">
      <w:start w:val="1"/>
      <w:numFmt w:val="lowerLetter"/>
      <w:lvlText w:val="%4)"/>
      <w:lvlJc w:val="left"/>
      <w:pPr>
        <w:tabs>
          <w:tab w:val="num" w:pos="2880"/>
        </w:tabs>
        <w:ind w:left="2880" w:hanging="360"/>
      </w:pPr>
    </w:lvl>
    <w:lvl w:ilvl="4" w:tplc="6B064432" w:tentative="1">
      <w:start w:val="1"/>
      <w:numFmt w:val="lowerLetter"/>
      <w:lvlText w:val="%5)"/>
      <w:lvlJc w:val="left"/>
      <w:pPr>
        <w:tabs>
          <w:tab w:val="num" w:pos="3600"/>
        </w:tabs>
        <w:ind w:left="3600" w:hanging="360"/>
      </w:pPr>
    </w:lvl>
    <w:lvl w:ilvl="5" w:tplc="7FB8252C" w:tentative="1">
      <w:start w:val="1"/>
      <w:numFmt w:val="lowerLetter"/>
      <w:lvlText w:val="%6)"/>
      <w:lvlJc w:val="left"/>
      <w:pPr>
        <w:tabs>
          <w:tab w:val="num" w:pos="4320"/>
        </w:tabs>
        <w:ind w:left="4320" w:hanging="360"/>
      </w:pPr>
    </w:lvl>
    <w:lvl w:ilvl="6" w:tplc="5CD02626" w:tentative="1">
      <w:start w:val="1"/>
      <w:numFmt w:val="lowerLetter"/>
      <w:lvlText w:val="%7)"/>
      <w:lvlJc w:val="left"/>
      <w:pPr>
        <w:tabs>
          <w:tab w:val="num" w:pos="5040"/>
        </w:tabs>
        <w:ind w:left="5040" w:hanging="360"/>
      </w:pPr>
    </w:lvl>
    <w:lvl w:ilvl="7" w:tplc="D9342824" w:tentative="1">
      <w:start w:val="1"/>
      <w:numFmt w:val="lowerLetter"/>
      <w:lvlText w:val="%8)"/>
      <w:lvlJc w:val="left"/>
      <w:pPr>
        <w:tabs>
          <w:tab w:val="num" w:pos="5760"/>
        </w:tabs>
        <w:ind w:left="5760" w:hanging="360"/>
      </w:pPr>
    </w:lvl>
    <w:lvl w:ilvl="8" w:tplc="5A4224F6" w:tentative="1">
      <w:start w:val="1"/>
      <w:numFmt w:val="lowerLetter"/>
      <w:lvlText w:val="%9)"/>
      <w:lvlJc w:val="left"/>
      <w:pPr>
        <w:tabs>
          <w:tab w:val="num" w:pos="6480"/>
        </w:tabs>
        <w:ind w:left="6480" w:hanging="360"/>
      </w:pPr>
    </w:lvl>
  </w:abstractNum>
  <w:abstractNum w:abstractNumId="16" w15:restartNumberingAfterBreak="0">
    <w:nsid w:val="0F113709"/>
    <w:multiLevelType w:val="hybridMultilevel"/>
    <w:tmpl w:val="25662DF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0D32A12"/>
    <w:multiLevelType w:val="hybridMultilevel"/>
    <w:tmpl w:val="C28879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18A0260"/>
    <w:multiLevelType w:val="multilevel"/>
    <w:tmpl w:val="2DA20B6C"/>
    <w:lvl w:ilvl="0">
      <w:start w:val="1"/>
      <w:numFmt w:val="lowerLetter"/>
      <w:lvlText w:val="%1)"/>
      <w:lvlJc w:val="left"/>
      <w:pPr>
        <w:ind w:left="0" w:firstLine="0"/>
      </w:pPr>
      <w:rPr>
        <w:rFonts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568" w:firstLine="0"/>
      </w:pPr>
      <w:rPr>
        <w:rFonts w:hint="default"/>
      </w:rPr>
    </w:lvl>
    <w:lvl w:ilvl="3">
      <w:start w:val="1"/>
      <w:numFmt w:val="none"/>
      <w:suff w:val="nothing"/>
      <w:lvlText w:val=""/>
      <w:lvlJc w:val="left"/>
      <w:pPr>
        <w:ind w:left="852" w:firstLine="0"/>
      </w:pPr>
      <w:rPr>
        <w:rFonts w:hint="default"/>
      </w:rPr>
    </w:lvl>
    <w:lvl w:ilvl="4">
      <w:start w:val="1"/>
      <w:numFmt w:val="none"/>
      <w:suff w:val="nothing"/>
      <w:lvlText w:val=""/>
      <w:lvlJc w:val="left"/>
      <w:pPr>
        <w:ind w:left="1136" w:firstLine="0"/>
      </w:pPr>
      <w:rPr>
        <w:rFonts w:hint="default"/>
      </w:rPr>
    </w:lvl>
    <w:lvl w:ilvl="5">
      <w:start w:val="1"/>
      <w:numFmt w:val="none"/>
      <w:suff w:val="nothing"/>
      <w:lvlText w:val=""/>
      <w:lvlJc w:val="left"/>
      <w:pPr>
        <w:ind w:left="1420" w:firstLine="0"/>
      </w:pPr>
      <w:rPr>
        <w:rFonts w:hint="default"/>
      </w:rPr>
    </w:lvl>
    <w:lvl w:ilvl="6">
      <w:start w:val="1"/>
      <w:numFmt w:val="none"/>
      <w:suff w:val="nothing"/>
      <w:lvlText w:val=""/>
      <w:lvlJc w:val="left"/>
      <w:pPr>
        <w:ind w:left="1704" w:firstLine="0"/>
      </w:pPr>
      <w:rPr>
        <w:rFonts w:hint="default"/>
      </w:rPr>
    </w:lvl>
    <w:lvl w:ilvl="7">
      <w:start w:val="1"/>
      <w:numFmt w:val="none"/>
      <w:suff w:val="nothing"/>
      <w:lvlText w:val=""/>
      <w:lvlJc w:val="left"/>
      <w:pPr>
        <w:ind w:left="1988" w:firstLine="0"/>
      </w:pPr>
      <w:rPr>
        <w:rFonts w:hint="default"/>
      </w:rPr>
    </w:lvl>
    <w:lvl w:ilvl="8">
      <w:start w:val="1"/>
      <w:numFmt w:val="none"/>
      <w:suff w:val="nothing"/>
      <w:lvlText w:val=""/>
      <w:lvlJc w:val="left"/>
      <w:pPr>
        <w:ind w:left="2272" w:firstLine="0"/>
      </w:pPr>
      <w:rPr>
        <w:rFonts w:hint="default"/>
      </w:rPr>
    </w:lvl>
  </w:abstractNum>
  <w:abstractNum w:abstractNumId="19" w15:restartNumberingAfterBreak="0">
    <w:nsid w:val="130B3C15"/>
    <w:multiLevelType w:val="hybridMultilevel"/>
    <w:tmpl w:val="7FE4ECF4"/>
    <w:lvl w:ilvl="0" w:tplc="0C090001">
      <w:start w:val="1"/>
      <w:numFmt w:val="bullet"/>
      <w:lvlText w:val=""/>
      <w:lvlJc w:val="left"/>
      <w:pPr>
        <w:ind w:left="720" w:hanging="360"/>
      </w:pPr>
      <w:rPr>
        <w:rFonts w:ascii="HelveticaNeue" w:hAnsi="HelveticaNeue" w:hint="default"/>
      </w:rPr>
    </w:lvl>
    <w:lvl w:ilvl="1" w:tplc="C4E055F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Courier New" w:hAnsi="Courier New" w:hint="default"/>
      </w:rPr>
    </w:lvl>
    <w:lvl w:ilvl="3" w:tplc="0C090001" w:tentative="1">
      <w:start w:val="1"/>
      <w:numFmt w:val="bullet"/>
      <w:lvlText w:val=""/>
      <w:lvlJc w:val="left"/>
      <w:pPr>
        <w:ind w:left="2880" w:hanging="360"/>
      </w:pPr>
      <w:rPr>
        <w:rFonts w:ascii="HelveticaNeue" w:hAnsi="HelveticaNeue" w:hint="default"/>
      </w:rPr>
    </w:lvl>
    <w:lvl w:ilvl="4" w:tplc="0C090003" w:tentative="1">
      <w:start w:val="1"/>
      <w:numFmt w:val="bullet"/>
      <w:lvlText w:val="o"/>
      <w:lvlJc w:val="left"/>
      <w:pPr>
        <w:ind w:left="3600" w:hanging="360"/>
      </w:pPr>
      <w:rPr>
        <w:rFonts w:ascii="Symbol" w:hAnsi="Symbol" w:cs="Symbol" w:hint="default"/>
      </w:rPr>
    </w:lvl>
    <w:lvl w:ilvl="5" w:tplc="0C090005" w:tentative="1">
      <w:start w:val="1"/>
      <w:numFmt w:val="bullet"/>
      <w:lvlText w:val=""/>
      <w:lvlJc w:val="left"/>
      <w:pPr>
        <w:ind w:left="4320" w:hanging="360"/>
      </w:pPr>
      <w:rPr>
        <w:rFonts w:ascii="Courier New" w:hAnsi="Courier New" w:hint="default"/>
      </w:rPr>
    </w:lvl>
    <w:lvl w:ilvl="6" w:tplc="0C090001" w:tentative="1">
      <w:start w:val="1"/>
      <w:numFmt w:val="bullet"/>
      <w:lvlText w:val=""/>
      <w:lvlJc w:val="left"/>
      <w:pPr>
        <w:ind w:left="5040" w:hanging="360"/>
      </w:pPr>
      <w:rPr>
        <w:rFonts w:ascii="HelveticaNeue" w:hAnsi="HelveticaNeue" w:hint="default"/>
      </w:rPr>
    </w:lvl>
    <w:lvl w:ilvl="7" w:tplc="0C090003" w:tentative="1">
      <w:start w:val="1"/>
      <w:numFmt w:val="bullet"/>
      <w:lvlText w:val="o"/>
      <w:lvlJc w:val="left"/>
      <w:pPr>
        <w:ind w:left="5760" w:hanging="360"/>
      </w:pPr>
      <w:rPr>
        <w:rFonts w:ascii="Symbol" w:hAnsi="Symbol" w:cs="Symbol" w:hint="default"/>
      </w:rPr>
    </w:lvl>
    <w:lvl w:ilvl="8" w:tplc="0C090005" w:tentative="1">
      <w:start w:val="1"/>
      <w:numFmt w:val="bullet"/>
      <w:lvlText w:val=""/>
      <w:lvlJc w:val="left"/>
      <w:pPr>
        <w:ind w:left="6480" w:hanging="360"/>
      </w:pPr>
      <w:rPr>
        <w:rFonts w:ascii="Courier New" w:hAnsi="Courier New" w:hint="default"/>
      </w:rPr>
    </w:lvl>
  </w:abstractNum>
  <w:abstractNum w:abstractNumId="20" w15:restartNumberingAfterBreak="0">
    <w:nsid w:val="16F15A10"/>
    <w:multiLevelType w:val="hybridMultilevel"/>
    <w:tmpl w:val="C402222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21" w15:restartNumberingAfterBreak="0">
    <w:nsid w:val="16FF6402"/>
    <w:multiLevelType w:val="multilevel"/>
    <w:tmpl w:val="BB2065F0"/>
    <w:styleLink w:val="QPSequence"/>
    <w:lvl w:ilvl="0">
      <w:start w:val="1"/>
      <w:numFmt w:val="decimal"/>
      <w:pStyle w:val="ListNumber"/>
      <w:lvlText w:val="%1.0"/>
      <w:lvlJc w:val="left"/>
      <w:pPr>
        <w:ind w:left="360" w:hanging="360"/>
      </w:pPr>
      <w:rPr>
        <w:rFonts w:ascii="Arial" w:hAnsi="Arial" w:cs="minorBidi"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isLgl/>
      <w:lvlText w:val="3.1"/>
      <w:lvlJc w:val="left"/>
      <w:pPr>
        <w:tabs>
          <w:tab w:val="num" w:pos="720"/>
        </w:tabs>
        <w:ind w:left="720" w:hanging="720"/>
      </w:pPr>
      <w:rPr>
        <w:rFonts w:ascii="Arial" w:hAnsi="Arial" w:hint="default"/>
        <w:b/>
        <w:sz w:val="24"/>
      </w:rPr>
    </w:lvl>
    <w:lvl w:ilvl="2">
      <w:start w:val="1"/>
      <w:numFmt w:val="decimal"/>
      <w:isLgl/>
      <w:lvlText w:val="%1.1%2.%3"/>
      <w:lvlJc w:val="left"/>
      <w:pPr>
        <w:tabs>
          <w:tab w:val="num" w:pos="720"/>
        </w:tabs>
        <w:ind w:left="720" w:hanging="720"/>
      </w:pPr>
      <w:rPr>
        <w:rFonts w:ascii="Arial" w:hAnsi="Arial" w:hint="default"/>
        <w:b/>
        <w:sz w:val="24"/>
      </w:rPr>
    </w:lvl>
    <w:lvl w:ilvl="3">
      <w:start w:val="1"/>
      <w:numFmt w:val="decimal"/>
      <w:isLgl/>
      <w:lvlText w:val="%1.1%2.%3.%4"/>
      <w:lvlJc w:val="left"/>
      <w:pPr>
        <w:tabs>
          <w:tab w:val="num" w:pos="1080"/>
        </w:tabs>
        <w:ind w:left="1080" w:hanging="1080"/>
      </w:pPr>
      <w:rPr>
        <w:rFonts w:ascii="Arial" w:hAnsi="Arial" w:hint="default"/>
        <w:b/>
        <w:sz w:val="24"/>
      </w:rPr>
    </w:lvl>
    <w:lvl w:ilvl="4">
      <w:start w:val="1"/>
      <w:numFmt w:val="decimal"/>
      <w:isLgl/>
      <w:lvlText w:val="%1.1.%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2" w15:restartNumberingAfterBreak="0">
    <w:nsid w:val="17670B7E"/>
    <w:multiLevelType w:val="hybridMultilevel"/>
    <w:tmpl w:val="28B40A7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23" w15:restartNumberingAfterBreak="0">
    <w:nsid w:val="17EC638B"/>
    <w:multiLevelType w:val="hybridMultilevel"/>
    <w:tmpl w:val="C1BA868E"/>
    <w:lvl w:ilvl="0" w:tplc="5F026B36">
      <w:start w:val="1"/>
      <w:numFmt w:val="lowerLetter"/>
      <w:pStyle w:val="DOCa"/>
      <w:lvlText w:val="%1."/>
      <w:lvlJc w:val="left"/>
      <w:pPr>
        <w:ind w:left="1368" w:hanging="360"/>
      </w:p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4" w15:restartNumberingAfterBreak="0">
    <w:nsid w:val="190331AD"/>
    <w:multiLevelType w:val="hybridMultilevel"/>
    <w:tmpl w:val="E348CF14"/>
    <w:lvl w:ilvl="0" w:tplc="0C090001">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5" w15:restartNumberingAfterBreak="0">
    <w:nsid w:val="19EA522D"/>
    <w:multiLevelType w:val="multilevel"/>
    <w:tmpl w:val="BD8EA30A"/>
    <w:styleLink w:val="StyleNumbered9ptText1Left025Hanging0251"/>
    <w:lvl w:ilvl="0">
      <w:start w:val="1"/>
      <w:numFmt w:val="decimal"/>
      <w:lvlText w:val="%1."/>
      <w:lvlJc w:val="left"/>
      <w:pPr>
        <w:tabs>
          <w:tab w:val="num" w:pos="720"/>
        </w:tabs>
        <w:ind w:left="720" w:hanging="360"/>
      </w:pPr>
      <w:rPr>
        <w:rFonts w:ascii="Arial" w:hAnsi="Arial"/>
        <w:color w:val="000000" w:themeColor="text1"/>
        <w:sz w:val="18"/>
      </w:rPr>
    </w:lvl>
    <w:lvl w:ilvl="1">
      <w:start w:val="1"/>
      <w:numFmt w:val="bullet"/>
      <w:lvlText w:val=""/>
      <w:lvlJc w:val="left"/>
      <w:pPr>
        <w:ind w:left="720" w:hanging="360"/>
      </w:pPr>
      <w:rPr>
        <w:rFonts w:ascii="HelveticaNeue" w:hAnsi="HelveticaNeue" w:hint="default"/>
      </w:rPr>
    </w:lvl>
    <w:lvl w:ilvl="2">
      <w:start w:val="1"/>
      <w:numFmt w:val="bullet"/>
      <w:lvlText w:val=""/>
      <w:lvlJc w:val="left"/>
      <w:pPr>
        <w:ind w:left="720" w:hanging="360"/>
      </w:pPr>
      <w:rPr>
        <w:rFonts w:ascii="HelveticaNeue" w:hAnsi="HelveticaNeue"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1A5308EE"/>
    <w:multiLevelType w:val="hybridMultilevel"/>
    <w:tmpl w:val="6928BA48"/>
    <w:lvl w:ilvl="0" w:tplc="F9DE44D2">
      <w:start w:val="1"/>
      <w:numFmt w:val="bullet"/>
      <w:lvlText w:val=""/>
      <w:lvlJc w:val="left"/>
      <w:pPr>
        <w:ind w:left="720" w:hanging="360"/>
      </w:pPr>
      <w:rPr>
        <w:rFonts w:ascii="Symbol" w:hAnsi="Symbol" w:hint="default"/>
        <w:color w:val="auto"/>
        <w:sz w:val="40"/>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05874F7"/>
    <w:multiLevelType w:val="hybridMultilevel"/>
    <w:tmpl w:val="F8F8062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28" w15:restartNumberingAfterBreak="0">
    <w:nsid w:val="20DB3091"/>
    <w:multiLevelType w:val="hybridMultilevel"/>
    <w:tmpl w:val="F3A21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4145E1D"/>
    <w:multiLevelType w:val="hybridMultilevel"/>
    <w:tmpl w:val="EA94CFF4"/>
    <w:lvl w:ilvl="0" w:tplc="0C090001">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0" w15:restartNumberingAfterBreak="0">
    <w:nsid w:val="24534BEC"/>
    <w:multiLevelType w:val="hybridMultilevel"/>
    <w:tmpl w:val="CE18F9E2"/>
    <w:lvl w:ilvl="0" w:tplc="FFFFFFFF">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85A31AA"/>
    <w:multiLevelType w:val="hybridMultilevel"/>
    <w:tmpl w:val="F45CF9E2"/>
    <w:lvl w:ilvl="0" w:tplc="00E80EF4">
      <w:start w:val="4"/>
      <w:numFmt w:val="lowerLetter"/>
      <w:lvlText w:val="%1)"/>
      <w:lvlJc w:val="left"/>
      <w:pPr>
        <w:tabs>
          <w:tab w:val="num" w:pos="720"/>
        </w:tabs>
        <w:ind w:left="720" w:hanging="360"/>
      </w:pPr>
    </w:lvl>
    <w:lvl w:ilvl="1" w:tplc="FF449328" w:tentative="1">
      <w:start w:val="1"/>
      <w:numFmt w:val="lowerLetter"/>
      <w:lvlText w:val="%2)"/>
      <w:lvlJc w:val="left"/>
      <w:pPr>
        <w:tabs>
          <w:tab w:val="num" w:pos="1440"/>
        </w:tabs>
        <w:ind w:left="1440" w:hanging="360"/>
      </w:pPr>
    </w:lvl>
    <w:lvl w:ilvl="2" w:tplc="10365D5C" w:tentative="1">
      <w:start w:val="1"/>
      <w:numFmt w:val="lowerLetter"/>
      <w:lvlText w:val="%3)"/>
      <w:lvlJc w:val="left"/>
      <w:pPr>
        <w:tabs>
          <w:tab w:val="num" w:pos="2160"/>
        </w:tabs>
        <w:ind w:left="2160" w:hanging="360"/>
      </w:pPr>
    </w:lvl>
    <w:lvl w:ilvl="3" w:tplc="1F240ACA" w:tentative="1">
      <w:start w:val="1"/>
      <w:numFmt w:val="lowerLetter"/>
      <w:lvlText w:val="%4)"/>
      <w:lvlJc w:val="left"/>
      <w:pPr>
        <w:tabs>
          <w:tab w:val="num" w:pos="2880"/>
        </w:tabs>
        <w:ind w:left="2880" w:hanging="360"/>
      </w:pPr>
    </w:lvl>
    <w:lvl w:ilvl="4" w:tplc="43C8CE1A" w:tentative="1">
      <w:start w:val="1"/>
      <w:numFmt w:val="lowerLetter"/>
      <w:lvlText w:val="%5)"/>
      <w:lvlJc w:val="left"/>
      <w:pPr>
        <w:tabs>
          <w:tab w:val="num" w:pos="3600"/>
        </w:tabs>
        <w:ind w:left="3600" w:hanging="360"/>
      </w:pPr>
    </w:lvl>
    <w:lvl w:ilvl="5" w:tplc="3714669C" w:tentative="1">
      <w:start w:val="1"/>
      <w:numFmt w:val="lowerLetter"/>
      <w:lvlText w:val="%6)"/>
      <w:lvlJc w:val="left"/>
      <w:pPr>
        <w:tabs>
          <w:tab w:val="num" w:pos="4320"/>
        </w:tabs>
        <w:ind w:left="4320" w:hanging="360"/>
      </w:pPr>
    </w:lvl>
    <w:lvl w:ilvl="6" w:tplc="CDC21FF8" w:tentative="1">
      <w:start w:val="1"/>
      <w:numFmt w:val="lowerLetter"/>
      <w:lvlText w:val="%7)"/>
      <w:lvlJc w:val="left"/>
      <w:pPr>
        <w:tabs>
          <w:tab w:val="num" w:pos="5040"/>
        </w:tabs>
        <w:ind w:left="5040" w:hanging="360"/>
      </w:pPr>
    </w:lvl>
    <w:lvl w:ilvl="7" w:tplc="B016A982" w:tentative="1">
      <w:start w:val="1"/>
      <w:numFmt w:val="lowerLetter"/>
      <w:lvlText w:val="%8)"/>
      <w:lvlJc w:val="left"/>
      <w:pPr>
        <w:tabs>
          <w:tab w:val="num" w:pos="5760"/>
        </w:tabs>
        <w:ind w:left="5760" w:hanging="360"/>
      </w:pPr>
    </w:lvl>
    <w:lvl w:ilvl="8" w:tplc="8766E6F0" w:tentative="1">
      <w:start w:val="1"/>
      <w:numFmt w:val="lowerLetter"/>
      <w:lvlText w:val="%9)"/>
      <w:lvlJc w:val="left"/>
      <w:pPr>
        <w:tabs>
          <w:tab w:val="num" w:pos="6480"/>
        </w:tabs>
        <w:ind w:left="6480" w:hanging="360"/>
      </w:pPr>
    </w:lvl>
  </w:abstractNum>
  <w:abstractNum w:abstractNumId="32" w15:restartNumberingAfterBreak="0">
    <w:nsid w:val="2AE42142"/>
    <w:multiLevelType w:val="multilevel"/>
    <w:tmpl w:val="65E69DC2"/>
    <w:lvl w:ilvl="0">
      <w:start w:val="1"/>
      <w:numFmt w:val="bullet"/>
      <w:pStyle w:val="ListBullet"/>
      <w:lvlText w:val=""/>
      <w:lvlJc w:val="left"/>
      <w:pPr>
        <w:ind w:left="360" w:hanging="360"/>
      </w:pPr>
      <w:rPr>
        <w:rFonts w:ascii="HelveticaNeue" w:hAnsi="HelveticaNeue"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B6D39D8"/>
    <w:multiLevelType w:val="hybridMultilevel"/>
    <w:tmpl w:val="CAFE2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C7F4AE9"/>
    <w:multiLevelType w:val="hybridMultilevel"/>
    <w:tmpl w:val="E792545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35" w15:restartNumberingAfterBreak="0">
    <w:nsid w:val="2FAA5A94"/>
    <w:multiLevelType w:val="hybridMultilevel"/>
    <w:tmpl w:val="C28879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07E06FA"/>
    <w:multiLevelType w:val="multilevel"/>
    <w:tmpl w:val="0C09001D"/>
    <w:styleLink w:val="ArticleSection"/>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31A414B4"/>
    <w:multiLevelType w:val="hybridMultilevel"/>
    <w:tmpl w:val="04D846B8"/>
    <w:lvl w:ilvl="0" w:tplc="75B4F62A">
      <w:start w:val="1"/>
      <w:numFmt w:val="lowerLetter"/>
      <w:lvlText w:val="%1)"/>
      <w:lvlJc w:val="left"/>
      <w:pPr>
        <w:tabs>
          <w:tab w:val="num" w:pos="720"/>
        </w:tabs>
        <w:ind w:left="720" w:hanging="360"/>
      </w:pPr>
    </w:lvl>
    <w:lvl w:ilvl="1" w:tplc="6C8257AE" w:tentative="1">
      <w:start w:val="1"/>
      <w:numFmt w:val="lowerLetter"/>
      <w:lvlText w:val="%2)"/>
      <w:lvlJc w:val="left"/>
      <w:pPr>
        <w:tabs>
          <w:tab w:val="num" w:pos="1440"/>
        </w:tabs>
        <w:ind w:left="1440" w:hanging="360"/>
      </w:pPr>
    </w:lvl>
    <w:lvl w:ilvl="2" w:tplc="3D8ED718" w:tentative="1">
      <w:start w:val="1"/>
      <w:numFmt w:val="lowerLetter"/>
      <w:lvlText w:val="%3)"/>
      <w:lvlJc w:val="left"/>
      <w:pPr>
        <w:tabs>
          <w:tab w:val="num" w:pos="2160"/>
        </w:tabs>
        <w:ind w:left="2160" w:hanging="360"/>
      </w:pPr>
    </w:lvl>
    <w:lvl w:ilvl="3" w:tplc="3E8AC586" w:tentative="1">
      <w:start w:val="1"/>
      <w:numFmt w:val="lowerLetter"/>
      <w:lvlText w:val="%4)"/>
      <w:lvlJc w:val="left"/>
      <w:pPr>
        <w:tabs>
          <w:tab w:val="num" w:pos="2880"/>
        </w:tabs>
        <w:ind w:left="2880" w:hanging="360"/>
      </w:pPr>
    </w:lvl>
    <w:lvl w:ilvl="4" w:tplc="3AFC4292" w:tentative="1">
      <w:start w:val="1"/>
      <w:numFmt w:val="lowerLetter"/>
      <w:lvlText w:val="%5)"/>
      <w:lvlJc w:val="left"/>
      <w:pPr>
        <w:tabs>
          <w:tab w:val="num" w:pos="3600"/>
        </w:tabs>
        <w:ind w:left="3600" w:hanging="360"/>
      </w:pPr>
    </w:lvl>
    <w:lvl w:ilvl="5" w:tplc="394A5F02" w:tentative="1">
      <w:start w:val="1"/>
      <w:numFmt w:val="lowerLetter"/>
      <w:lvlText w:val="%6)"/>
      <w:lvlJc w:val="left"/>
      <w:pPr>
        <w:tabs>
          <w:tab w:val="num" w:pos="4320"/>
        </w:tabs>
        <w:ind w:left="4320" w:hanging="360"/>
      </w:pPr>
    </w:lvl>
    <w:lvl w:ilvl="6" w:tplc="2C981174" w:tentative="1">
      <w:start w:val="1"/>
      <w:numFmt w:val="lowerLetter"/>
      <w:lvlText w:val="%7)"/>
      <w:lvlJc w:val="left"/>
      <w:pPr>
        <w:tabs>
          <w:tab w:val="num" w:pos="5040"/>
        </w:tabs>
        <w:ind w:left="5040" w:hanging="360"/>
      </w:pPr>
    </w:lvl>
    <w:lvl w:ilvl="7" w:tplc="DCBA606A" w:tentative="1">
      <w:start w:val="1"/>
      <w:numFmt w:val="lowerLetter"/>
      <w:lvlText w:val="%8)"/>
      <w:lvlJc w:val="left"/>
      <w:pPr>
        <w:tabs>
          <w:tab w:val="num" w:pos="5760"/>
        </w:tabs>
        <w:ind w:left="5760" w:hanging="360"/>
      </w:pPr>
    </w:lvl>
    <w:lvl w:ilvl="8" w:tplc="201674EE" w:tentative="1">
      <w:start w:val="1"/>
      <w:numFmt w:val="lowerLetter"/>
      <w:lvlText w:val="%9)"/>
      <w:lvlJc w:val="left"/>
      <w:pPr>
        <w:tabs>
          <w:tab w:val="num" w:pos="6480"/>
        </w:tabs>
        <w:ind w:left="6480" w:hanging="360"/>
      </w:pPr>
    </w:lvl>
  </w:abstractNum>
  <w:abstractNum w:abstractNumId="38" w15:restartNumberingAfterBreak="0">
    <w:nsid w:val="32982D31"/>
    <w:multiLevelType w:val="multilevel"/>
    <w:tmpl w:val="FD7ABD08"/>
    <w:styleLink w:val="StyleNumbered9ptText1Left025Hanging0252"/>
    <w:lvl w:ilvl="0">
      <w:start w:val="1"/>
      <w:numFmt w:val="decimal"/>
      <w:lvlText w:val="%1."/>
      <w:lvlJc w:val="left"/>
      <w:pPr>
        <w:tabs>
          <w:tab w:val="num" w:pos="1437"/>
        </w:tabs>
        <w:ind w:left="1437" w:hanging="360"/>
      </w:pPr>
      <w:rPr>
        <w:rFonts w:ascii="Arial" w:hAnsi="Arial"/>
        <w:color w:val="000000" w:themeColor="text1"/>
        <w:sz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32D7125E"/>
    <w:multiLevelType w:val="multilevel"/>
    <w:tmpl w:val="585065D6"/>
    <w:styleLink w:val="CVBullets"/>
    <w:lvl w:ilvl="0">
      <w:start w:val="1"/>
      <w:numFmt w:val="bullet"/>
      <w:pStyle w:val="CVBullet1"/>
      <w:lvlText w:val=""/>
      <w:lvlJc w:val="left"/>
      <w:pPr>
        <w:ind w:left="227" w:hanging="227"/>
      </w:pPr>
      <w:rPr>
        <w:rFonts w:ascii="HelveticaNeue" w:hAnsi="HelveticaNeue" w:hint="default"/>
        <w:color w:val="auto"/>
      </w:rPr>
    </w:lvl>
    <w:lvl w:ilvl="1">
      <w:start w:val="1"/>
      <w:numFmt w:val="bullet"/>
      <w:pStyle w:val="CVBullet2"/>
      <w:lvlText w:val="–"/>
      <w:lvlJc w:val="left"/>
      <w:pPr>
        <w:ind w:left="454" w:hanging="227"/>
      </w:pPr>
      <w:rPr>
        <w:rFonts w:ascii="Arial" w:hAnsi="Aria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6523759"/>
    <w:multiLevelType w:val="hybridMultilevel"/>
    <w:tmpl w:val="E592BC0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41" w15:restartNumberingAfterBreak="0">
    <w:nsid w:val="37B96F5B"/>
    <w:multiLevelType w:val="hybridMultilevel"/>
    <w:tmpl w:val="82DCCD4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42" w15:restartNumberingAfterBreak="0">
    <w:nsid w:val="3ACA07EE"/>
    <w:multiLevelType w:val="hybridMultilevel"/>
    <w:tmpl w:val="DFC88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AD71CF0"/>
    <w:multiLevelType w:val="hybridMultilevel"/>
    <w:tmpl w:val="B2004532"/>
    <w:lvl w:ilvl="0" w:tplc="0C090001">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4" w15:restartNumberingAfterBreak="0">
    <w:nsid w:val="3D2A41F4"/>
    <w:multiLevelType w:val="multilevel"/>
    <w:tmpl w:val="64C67160"/>
    <w:lvl w:ilvl="0">
      <w:start w:val="1"/>
      <w:numFmt w:val="lowerLetter"/>
      <w:lvlText w:val="%1)"/>
      <w:lvlJc w:val="left"/>
      <w:pPr>
        <w:ind w:left="0" w:firstLine="0"/>
      </w:pPr>
      <w:rPr>
        <w:rFonts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568" w:firstLine="0"/>
      </w:pPr>
      <w:rPr>
        <w:rFonts w:hint="default"/>
      </w:rPr>
    </w:lvl>
    <w:lvl w:ilvl="3">
      <w:start w:val="1"/>
      <w:numFmt w:val="none"/>
      <w:suff w:val="nothing"/>
      <w:lvlText w:val=""/>
      <w:lvlJc w:val="left"/>
      <w:pPr>
        <w:ind w:left="852" w:firstLine="0"/>
      </w:pPr>
      <w:rPr>
        <w:rFonts w:hint="default"/>
      </w:rPr>
    </w:lvl>
    <w:lvl w:ilvl="4">
      <w:start w:val="1"/>
      <w:numFmt w:val="none"/>
      <w:suff w:val="nothing"/>
      <w:lvlText w:val=""/>
      <w:lvlJc w:val="left"/>
      <w:pPr>
        <w:ind w:left="1136" w:firstLine="0"/>
      </w:pPr>
      <w:rPr>
        <w:rFonts w:hint="default"/>
      </w:rPr>
    </w:lvl>
    <w:lvl w:ilvl="5">
      <w:start w:val="1"/>
      <w:numFmt w:val="none"/>
      <w:suff w:val="nothing"/>
      <w:lvlText w:val=""/>
      <w:lvlJc w:val="left"/>
      <w:pPr>
        <w:ind w:left="1420" w:firstLine="0"/>
      </w:pPr>
      <w:rPr>
        <w:rFonts w:hint="default"/>
      </w:rPr>
    </w:lvl>
    <w:lvl w:ilvl="6">
      <w:start w:val="1"/>
      <w:numFmt w:val="none"/>
      <w:suff w:val="nothing"/>
      <w:lvlText w:val=""/>
      <w:lvlJc w:val="left"/>
      <w:pPr>
        <w:ind w:left="1704" w:firstLine="0"/>
      </w:pPr>
      <w:rPr>
        <w:rFonts w:hint="default"/>
      </w:rPr>
    </w:lvl>
    <w:lvl w:ilvl="7">
      <w:start w:val="1"/>
      <w:numFmt w:val="none"/>
      <w:suff w:val="nothing"/>
      <w:lvlText w:val=""/>
      <w:lvlJc w:val="left"/>
      <w:pPr>
        <w:ind w:left="1988" w:firstLine="0"/>
      </w:pPr>
      <w:rPr>
        <w:rFonts w:hint="default"/>
      </w:rPr>
    </w:lvl>
    <w:lvl w:ilvl="8">
      <w:start w:val="1"/>
      <w:numFmt w:val="none"/>
      <w:suff w:val="nothing"/>
      <w:lvlText w:val=""/>
      <w:lvlJc w:val="left"/>
      <w:pPr>
        <w:ind w:left="2272" w:firstLine="0"/>
      </w:pPr>
      <w:rPr>
        <w:rFonts w:hint="default"/>
      </w:rPr>
    </w:lvl>
  </w:abstractNum>
  <w:abstractNum w:abstractNumId="45" w15:restartNumberingAfterBreak="0">
    <w:nsid w:val="3E7000B8"/>
    <w:multiLevelType w:val="hybridMultilevel"/>
    <w:tmpl w:val="BFF822D0"/>
    <w:lvl w:ilvl="0" w:tplc="04090003">
      <w:start w:val="1"/>
      <w:numFmt w:val="bullet"/>
      <w:pStyle w:val="PwCNormal"/>
      <w:lvlText w:val="o"/>
      <w:lvlJc w:val="left"/>
      <w:pPr>
        <w:ind w:left="1074" w:hanging="360"/>
      </w:pPr>
      <w:rPr>
        <w:rFonts w:ascii="Symbol" w:hAnsi="Symbol" w:cs="Symbol" w:hint="default"/>
      </w:rPr>
    </w:lvl>
    <w:lvl w:ilvl="1" w:tplc="FFFFFFFF" w:tentative="1">
      <w:start w:val="1"/>
      <w:numFmt w:val="bullet"/>
      <w:pStyle w:val="Indent1"/>
      <w:lvlText w:val="o"/>
      <w:lvlJc w:val="left"/>
      <w:pPr>
        <w:ind w:left="1794" w:hanging="360"/>
      </w:pPr>
      <w:rPr>
        <w:rFonts w:ascii="Symbol" w:hAnsi="Symbol" w:cs="Symbol" w:hint="default"/>
      </w:rPr>
    </w:lvl>
    <w:lvl w:ilvl="2" w:tplc="FFFFFFFF" w:tentative="1">
      <w:start w:val="1"/>
      <w:numFmt w:val="bullet"/>
      <w:pStyle w:val="Indent2"/>
      <w:lvlText w:val=""/>
      <w:lvlJc w:val="left"/>
      <w:pPr>
        <w:ind w:left="2514" w:hanging="360"/>
      </w:pPr>
      <w:rPr>
        <w:rFonts w:ascii="Courier New" w:hAnsi="Courier New" w:hint="default"/>
      </w:rPr>
    </w:lvl>
    <w:lvl w:ilvl="3" w:tplc="FFFFFFFF" w:tentative="1">
      <w:start w:val="1"/>
      <w:numFmt w:val="bullet"/>
      <w:pStyle w:val="Indent3"/>
      <w:lvlText w:val=""/>
      <w:lvlJc w:val="left"/>
      <w:pPr>
        <w:ind w:left="3234" w:hanging="360"/>
      </w:pPr>
      <w:rPr>
        <w:rFonts w:ascii="HelveticaNeue" w:hAnsi="HelveticaNeue" w:hint="default"/>
      </w:rPr>
    </w:lvl>
    <w:lvl w:ilvl="4" w:tplc="FFFFFFFF" w:tentative="1">
      <w:start w:val="1"/>
      <w:numFmt w:val="bullet"/>
      <w:pStyle w:val="Indent4"/>
      <w:lvlText w:val="o"/>
      <w:lvlJc w:val="left"/>
      <w:pPr>
        <w:ind w:left="3954" w:hanging="360"/>
      </w:pPr>
      <w:rPr>
        <w:rFonts w:ascii="Symbol" w:hAnsi="Symbol" w:cs="Symbol" w:hint="default"/>
      </w:rPr>
    </w:lvl>
    <w:lvl w:ilvl="5" w:tplc="FFFFFFFF" w:tentative="1">
      <w:start w:val="1"/>
      <w:numFmt w:val="bullet"/>
      <w:pStyle w:val="Indent5"/>
      <w:lvlText w:val=""/>
      <w:lvlJc w:val="left"/>
      <w:pPr>
        <w:ind w:left="4674" w:hanging="360"/>
      </w:pPr>
      <w:rPr>
        <w:rFonts w:ascii="Courier New" w:hAnsi="Courier New" w:hint="default"/>
      </w:rPr>
    </w:lvl>
    <w:lvl w:ilvl="6" w:tplc="FFFFFFFF" w:tentative="1">
      <w:start w:val="1"/>
      <w:numFmt w:val="bullet"/>
      <w:pStyle w:val="Indent6"/>
      <w:lvlText w:val=""/>
      <w:lvlJc w:val="left"/>
      <w:pPr>
        <w:ind w:left="5394" w:hanging="360"/>
      </w:pPr>
      <w:rPr>
        <w:rFonts w:ascii="HelveticaNeue" w:hAnsi="HelveticaNeue" w:hint="default"/>
      </w:rPr>
    </w:lvl>
    <w:lvl w:ilvl="7" w:tplc="FFFFFFFF" w:tentative="1">
      <w:start w:val="1"/>
      <w:numFmt w:val="bullet"/>
      <w:pStyle w:val="Indent7"/>
      <w:lvlText w:val="o"/>
      <w:lvlJc w:val="left"/>
      <w:pPr>
        <w:ind w:left="6114" w:hanging="360"/>
      </w:pPr>
      <w:rPr>
        <w:rFonts w:ascii="Symbol" w:hAnsi="Symbol" w:cs="Symbol" w:hint="default"/>
      </w:rPr>
    </w:lvl>
    <w:lvl w:ilvl="8" w:tplc="FFFFFFFF" w:tentative="1">
      <w:start w:val="1"/>
      <w:numFmt w:val="bullet"/>
      <w:pStyle w:val="Indent8"/>
      <w:lvlText w:val=""/>
      <w:lvlJc w:val="left"/>
      <w:pPr>
        <w:ind w:left="6834" w:hanging="360"/>
      </w:pPr>
      <w:rPr>
        <w:rFonts w:ascii="Courier New" w:hAnsi="Courier New" w:hint="default"/>
      </w:rPr>
    </w:lvl>
  </w:abstractNum>
  <w:abstractNum w:abstractNumId="46" w15:restartNumberingAfterBreak="0">
    <w:nsid w:val="3F7E0594"/>
    <w:multiLevelType w:val="hybridMultilevel"/>
    <w:tmpl w:val="65E45DB0"/>
    <w:lvl w:ilvl="0" w:tplc="8200B14A">
      <w:start w:val="5"/>
      <w:numFmt w:val="lowerLetter"/>
      <w:lvlText w:val="%1)"/>
      <w:lvlJc w:val="left"/>
      <w:pPr>
        <w:tabs>
          <w:tab w:val="num" w:pos="720"/>
        </w:tabs>
        <w:ind w:left="720" w:hanging="360"/>
      </w:pPr>
    </w:lvl>
    <w:lvl w:ilvl="1" w:tplc="E2461CAE" w:tentative="1">
      <w:start w:val="1"/>
      <w:numFmt w:val="lowerLetter"/>
      <w:lvlText w:val="%2)"/>
      <w:lvlJc w:val="left"/>
      <w:pPr>
        <w:tabs>
          <w:tab w:val="num" w:pos="1440"/>
        </w:tabs>
        <w:ind w:left="1440" w:hanging="360"/>
      </w:pPr>
    </w:lvl>
    <w:lvl w:ilvl="2" w:tplc="A13E4F6E" w:tentative="1">
      <w:start w:val="1"/>
      <w:numFmt w:val="lowerLetter"/>
      <w:lvlText w:val="%3)"/>
      <w:lvlJc w:val="left"/>
      <w:pPr>
        <w:tabs>
          <w:tab w:val="num" w:pos="2160"/>
        </w:tabs>
        <w:ind w:left="2160" w:hanging="360"/>
      </w:pPr>
    </w:lvl>
    <w:lvl w:ilvl="3" w:tplc="8B7CBB6A" w:tentative="1">
      <w:start w:val="1"/>
      <w:numFmt w:val="lowerLetter"/>
      <w:lvlText w:val="%4)"/>
      <w:lvlJc w:val="left"/>
      <w:pPr>
        <w:tabs>
          <w:tab w:val="num" w:pos="2880"/>
        </w:tabs>
        <w:ind w:left="2880" w:hanging="360"/>
      </w:pPr>
    </w:lvl>
    <w:lvl w:ilvl="4" w:tplc="70B2EA80" w:tentative="1">
      <w:start w:val="1"/>
      <w:numFmt w:val="lowerLetter"/>
      <w:lvlText w:val="%5)"/>
      <w:lvlJc w:val="left"/>
      <w:pPr>
        <w:tabs>
          <w:tab w:val="num" w:pos="3600"/>
        </w:tabs>
        <w:ind w:left="3600" w:hanging="360"/>
      </w:pPr>
    </w:lvl>
    <w:lvl w:ilvl="5" w:tplc="EEDADD30" w:tentative="1">
      <w:start w:val="1"/>
      <w:numFmt w:val="lowerLetter"/>
      <w:lvlText w:val="%6)"/>
      <w:lvlJc w:val="left"/>
      <w:pPr>
        <w:tabs>
          <w:tab w:val="num" w:pos="4320"/>
        </w:tabs>
        <w:ind w:left="4320" w:hanging="360"/>
      </w:pPr>
    </w:lvl>
    <w:lvl w:ilvl="6" w:tplc="23108702" w:tentative="1">
      <w:start w:val="1"/>
      <w:numFmt w:val="lowerLetter"/>
      <w:lvlText w:val="%7)"/>
      <w:lvlJc w:val="left"/>
      <w:pPr>
        <w:tabs>
          <w:tab w:val="num" w:pos="5040"/>
        </w:tabs>
        <w:ind w:left="5040" w:hanging="360"/>
      </w:pPr>
    </w:lvl>
    <w:lvl w:ilvl="7" w:tplc="F38A8288" w:tentative="1">
      <w:start w:val="1"/>
      <w:numFmt w:val="lowerLetter"/>
      <w:lvlText w:val="%8)"/>
      <w:lvlJc w:val="left"/>
      <w:pPr>
        <w:tabs>
          <w:tab w:val="num" w:pos="5760"/>
        </w:tabs>
        <w:ind w:left="5760" w:hanging="360"/>
      </w:pPr>
    </w:lvl>
    <w:lvl w:ilvl="8" w:tplc="348C4406" w:tentative="1">
      <w:start w:val="1"/>
      <w:numFmt w:val="lowerLetter"/>
      <w:lvlText w:val="%9)"/>
      <w:lvlJc w:val="left"/>
      <w:pPr>
        <w:tabs>
          <w:tab w:val="num" w:pos="6480"/>
        </w:tabs>
        <w:ind w:left="6480" w:hanging="360"/>
      </w:pPr>
    </w:lvl>
  </w:abstractNum>
  <w:abstractNum w:abstractNumId="47" w15:restartNumberingAfterBreak="0">
    <w:nsid w:val="40E54528"/>
    <w:multiLevelType w:val="hybridMultilevel"/>
    <w:tmpl w:val="21AAD20A"/>
    <w:styleLink w:val="Chapternumberinglist"/>
    <w:lvl w:ilvl="0" w:tplc="0C090001">
      <w:start w:val="1"/>
      <w:numFmt w:val="bullet"/>
      <w:lvlText w:val=""/>
      <w:lvlJc w:val="left"/>
      <w:pPr>
        <w:ind w:left="720" w:hanging="360"/>
      </w:pPr>
      <w:rPr>
        <w:rFonts w:ascii="HelveticaNeue" w:hAnsi="HelveticaNeue" w:hint="default"/>
      </w:rPr>
    </w:lvl>
    <w:lvl w:ilvl="1" w:tplc="0C090003" w:tentative="1">
      <w:start w:val="1"/>
      <w:numFmt w:val="bullet"/>
      <w:lvlText w:val="o"/>
      <w:lvlJc w:val="left"/>
      <w:pPr>
        <w:ind w:left="1440" w:hanging="360"/>
      </w:pPr>
      <w:rPr>
        <w:rFonts w:ascii="Symbol" w:hAnsi="Symbol" w:cs="Symbol" w:hint="default"/>
      </w:rPr>
    </w:lvl>
    <w:lvl w:ilvl="2" w:tplc="0C090005" w:tentative="1">
      <w:start w:val="1"/>
      <w:numFmt w:val="bullet"/>
      <w:lvlText w:val=""/>
      <w:lvlJc w:val="left"/>
      <w:pPr>
        <w:ind w:left="2160" w:hanging="360"/>
      </w:pPr>
      <w:rPr>
        <w:rFonts w:ascii="Courier New" w:hAnsi="Courier New" w:hint="default"/>
      </w:rPr>
    </w:lvl>
    <w:lvl w:ilvl="3" w:tplc="0C090001" w:tentative="1">
      <w:start w:val="1"/>
      <w:numFmt w:val="bullet"/>
      <w:lvlText w:val=""/>
      <w:lvlJc w:val="left"/>
      <w:pPr>
        <w:ind w:left="2880" w:hanging="360"/>
      </w:pPr>
      <w:rPr>
        <w:rFonts w:ascii="HelveticaNeue" w:hAnsi="HelveticaNeue" w:hint="default"/>
      </w:rPr>
    </w:lvl>
    <w:lvl w:ilvl="4" w:tplc="0C090003" w:tentative="1">
      <w:start w:val="1"/>
      <w:numFmt w:val="bullet"/>
      <w:lvlText w:val="o"/>
      <w:lvlJc w:val="left"/>
      <w:pPr>
        <w:ind w:left="3600" w:hanging="360"/>
      </w:pPr>
      <w:rPr>
        <w:rFonts w:ascii="Symbol" w:hAnsi="Symbol" w:cs="Symbol" w:hint="default"/>
      </w:rPr>
    </w:lvl>
    <w:lvl w:ilvl="5" w:tplc="0C090005" w:tentative="1">
      <w:start w:val="1"/>
      <w:numFmt w:val="bullet"/>
      <w:lvlText w:val=""/>
      <w:lvlJc w:val="left"/>
      <w:pPr>
        <w:ind w:left="4320" w:hanging="360"/>
      </w:pPr>
      <w:rPr>
        <w:rFonts w:ascii="Courier New" w:hAnsi="Courier New" w:hint="default"/>
      </w:rPr>
    </w:lvl>
    <w:lvl w:ilvl="6" w:tplc="0C090001" w:tentative="1">
      <w:start w:val="1"/>
      <w:numFmt w:val="bullet"/>
      <w:lvlText w:val=""/>
      <w:lvlJc w:val="left"/>
      <w:pPr>
        <w:ind w:left="5040" w:hanging="360"/>
      </w:pPr>
      <w:rPr>
        <w:rFonts w:ascii="HelveticaNeue" w:hAnsi="HelveticaNeue" w:hint="default"/>
      </w:rPr>
    </w:lvl>
    <w:lvl w:ilvl="7" w:tplc="0C090003" w:tentative="1">
      <w:start w:val="1"/>
      <w:numFmt w:val="bullet"/>
      <w:lvlText w:val="o"/>
      <w:lvlJc w:val="left"/>
      <w:pPr>
        <w:ind w:left="5760" w:hanging="360"/>
      </w:pPr>
      <w:rPr>
        <w:rFonts w:ascii="Symbol" w:hAnsi="Symbol" w:cs="Symbol" w:hint="default"/>
      </w:rPr>
    </w:lvl>
    <w:lvl w:ilvl="8" w:tplc="0C090005" w:tentative="1">
      <w:start w:val="1"/>
      <w:numFmt w:val="bullet"/>
      <w:lvlText w:val=""/>
      <w:lvlJc w:val="left"/>
      <w:pPr>
        <w:ind w:left="6480" w:hanging="360"/>
      </w:pPr>
      <w:rPr>
        <w:rFonts w:ascii="Courier New" w:hAnsi="Courier New" w:hint="default"/>
      </w:rPr>
    </w:lvl>
  </w:abstractNum>
  <w:abstractNum w:abstractNumId="48" w15:restartNumberingAfterBreak="0">
    <w:nsid w:val="41C84DB2"/>
    <w:multiLevelType w:val="hybridMultilevel"/>
    <w:tmpl w:val="CB563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7CB0128"/>
    <w:multiLevelType w:val="hybridMultilevel"/>
    <w:tmpl w:val="20D888E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50" w15:restartNumberingAfterBreak="0">
    <w:nsid w:val="48EE04EA"/>
    <w:multiLevelType w:val="hybridMultilevel"/>
    <w:tmpl w:val="787A5C00"/>
    <w:lvl w:ilvl="0" w:tplc="0916E08C">
      <w:start w:val="2"/>
      <w:numFmt w:val="lowerLetter"/>
      <w:lvlText w:val="%1)"/>
      <w:lvlJc w:val="left"/>
      <w:pPr>
        <w:tabs>
          <w:tab w:val="num" w:pos="720"/>
        </w:tabs>
        <w:ind w:left="720" w:hanging="360"/>
      </w:pPr>
    </w:lvl>
    <w:lvl w:ilvl="1" w:tplc="F822D974" w:tentative="1">
      <w:start w:val="1"/>
      <w:numFmt w:val="lowerLetter"/>
      <w:lvlText w:val="%2)"/>
      <w:lvlJc w:val="left"/>
      <w:pPr>
        <w:tabs>
          <w:tab w:val="num" w:pos="1440"/>
        </w:tabs>
        <w:ind w:left="1440" w:hanging="360"/>
      </w:pPr>
    </w:lvl>
    <w:lvl w:ilvl="2" w:tplc="EC60A986" w:tentative="1">
      <w:start w:val="1"/>
      <w:numFmt w:val="lowerLetter"/>
      <w:lvlText w:val="%3)"/>
      <w:lvlJc w:val="left"/>
      <w:pPr>
        <w:tabs>
          <w:tab w:val="num" w:pos="2160"/>
        </w:tabs>
        <w:ind w:left="2160" w:hanging="360"/>
      </w:pPr>
    </w:lvl>
    <w:lvl w:ilvl="3" w:tplc="035A176C" w:tentative="1">
      <w:start w:val="1"/>
      <w:numFmt w:val="lowerLetter"/>
      <w:lvlText w:val="%4)"/>
      <w:lvlJc w:val="left"/>
      <w:pPr>
        <w:tabs>
          <w:tab w:val="num" w:pos="2880"/>
        </w:tabs>
        <w:ind w:left="2880" w:hanging="360"/>
      </w:pPr>
    </w:lvl>
    <w:lvl w:ilvl="4" w:tplc="DE9CB502" w:tentative="1">
      <w:start w:val="1"/>
      <w:numFmt w:val="lowerLetter"/>
      <w:lvlText w:val="%5)"/>
      <w:lvlJc w:val="left"/>
      <w:pPr>
        <w:tabs>
          <w:tab w:val="num" w:pos="3600"/>
        </w:tabs>
        <w:ind w:left="3600" w:hanging="360"/>
      </w:pPr>
    </w:lvl>
    <w:lvl w:ilvl="5" w:tplc="91C6D68C" w:tentative="1">
      <w:start w:val="1"/>
      <w:numFmt w:val="lowerLetter"/>
      <w:lvlText w:val="%6)"/>
      <w:lvlJc w:val="left"/>
      <w:pPr>
        <w:tabs>
          <w:tab w:val="num" w:pos="4320"/>
        </w:tabs>
        <w:ind w:left="4320" w:hanging="360"/>
      </w:pPr>
    </w:lvl>
    <w:lvl w:ilvl="6" w:tplc="4EC2DD9C" w:tentative="1">
      <w:start w:val="1"/>
      <w:numFmt w:val="lowerLetter"/>
      <w:lvlText w:val="%7)"/>
      <w:lvlJc w:val="left"/>
      <w:pPr>
        <w:tabs>
          <w:tab w:val="num" w:pos="5040"/>
        </w:tabs>
        <w:ind w:left="5040" w:hanging="360"/>
      </w:pPr>
    </w:lvl>
    <w:lvl w:ilvl="7" w:tplc="42C8668A" w:tentative="1">
      <w:start w:val="1"/>
      <w:numFmt w:val="lowerLetter"/>
      <w:lvlText w:val="%8)"/>
      <w:lvlJc w:val="left"/>
      <w:pPr>
        <w:tabs>
          <w:tab w:val="num" w:pos="5760"/>
        </w:tabs>
        <w:ind w:left="5760" w:hanging="360"/>
      </w:pPr>
    </w:lvl>
    <w:lvl w:ilvl="8" w:tplc="4380110A" w:tentative="1">
      <w:start w:val="1"/>
      <w:numFmt w:val="lowerLetter"/>
      <w:lvlText w:val="%9)"/>
      <w:lvlJc w:val="left"/>
      <w:pPr>
        <w:tabs>
          <w:tab w:val="num" w:pos="6480"/>
        </w:tabs>
        <w:ind w:left="6480" w:hanging="360"/>
      </w:pPr>
    </w:lvl>
  </w:abstractNum>
  <w:abstractNum w:abstractNumId="51" w15:restartNumberingAfterBreak="0">
    <w:nsid w:val="4D49395B"/>
    <w:multiLevelType w:val="hybridMultilevel"/>
    <w:tmpl w:val="1394951A"/>
    <w:lvl w:ilvl="0" w:tplc="97C4A26C">
      <w:start w:val="2"/>
      <w:numFmt w:val="lowerLetter"/>
      <w:lvlText w:val="%1)"/>
      <w:lvlJc w:val="left"/>
      <w:pPr>
        <w:tabs>
          <w:tab w:val="num" w:pos="720"/>
        </w:tabs>
        <w:ind w:left="720" w:hanging="360"/>
      </w:pPr>
    </w:lvl>
    <w:lvl w:ilvl="1" w:tplc="838ACD34" w:tentative="1">
      <w:start w:val="1"/>
      <w:numFmt w:val="lowerLetter"/>
      <w:lvlText w:val="%2)"/>
      <w:lvlJc w:val="left"/>
      <w:pPr>
        <w:tabs>
          <w:tab w:val="num" w:pos="1440"/>
        </w:tabs>
        <w:ind w:left="1440" w:hanging="360"/>
      </w:pPr>
    </w:lvl>
    <w:lvl w:ilvl="2" w:tplc="FCC49688" w:tentative="1">
      <w:start w:val="1"/>
      <w:numFmt w:val="lowerLetter"/>
      <w:lvlText w:val="%3)"/>
      <w:lvlJc w:val="left"/>
      <w:pPr>
        <w:tabs>
          <w:tab w:val="num" w:pos="2160"/>
        </w:tabs>
        <w:ind w:left="2160" w:hanging="360"/>
      </w:pPr>
    </w:lvl>
    <w:lvl w:ilvl="3" w:tplc="6EE493BC" w:tentative="1">
      <w:start w:val="1"/>
      <w:numFmt w:val="lowerLetter"/>
      <w:lvlText w:val="%4)"/>
      <w:lvlJc w:val="left"/>
      <w:pPr>
        <w:tabs>
          <w:tab w:val="num" w:pos="2880"/>
        </w:tabs>
        <w:ind w:left="2880" w:hanging="360"/>
      </w:pPr>
    </w:lvl>
    <w:lvl w:ilvl="4" w:tplc="3376A028" w:tentative="1">
      <w:start w:val="1"/>
      <w:numFmt w:val="lowerLetter"/>
      <w:lvlText w:val="%5)"/>
      <w:lvlJc w:val="left"/>
      <w:pPr>
        <w:tabs>
          <w:tab w:val="num" w:pos="3600"/>
        </w:tabs>
        <w:ind w:left="3600" w:hanging="360"/>
      </w:pPr>
    </w:lvl>
    <w:lvl w:ilvl="5" w:tplc="BA62DB70" w:tentative="1">
      <w:start w:val="1"/>
      <w:numFmt w:val="lowerLetter"/>
      <w:lvlText w:val="%6)"/>
      <w:lvlJc w:val="left"/>
      <w:pPr>
        <w:tabs>
          <w:tab w:val="num" w:pos="4320"/>
        </w:tabs>
        <w:ind w:left="4320" w:hanging="360"/>
      </w:pPr>
    </w:lvl>
    <w:lvl w:ilvl="6" w:tplc="1484872A" w:tentative="1">
      <w:start w:val="1"/>
      <w:numFmt w:val="lowerLetter"/>
      <w:lvlText w:val="%7)"/>
      <w:lvlJc w:val="left"/>
      <w:pPr>
        <w:tabs>
          <w:tab w:val="num" w:pos="5040"/>
        </w:tabs>
        <w:ind w:left="5040" w:hanging="360"/>
      </w:pPr>
    </w:lvl>
    <w:lvl w:ilvl="7" w:tplc="C75EEDFE" w:tentative="1">
      <w:start w:val="1"/>
      <w:numFmt w:val="lowerLetter"/>
      <w:lvlText w:val="%8)"/>
      <w:lvlJc w:val="left"/>
      <w:pPr>
        <w:tabs>
          <w:tab w:val="num" w:pos="5760"/>
        </w:tabs>
        <w:ind w:left="5760" w:hanging="360"/>
      </w:pPr>
    </w:lvl>
    <w:lvl w:ilvl="8" w:tplc="ECD2DA00" w:tentative="1">
      <w:start w:val="1"/>
      <w:numFmt w:val="lowerLetter"/>
      <w:lvlText w:val="%9)"/>
      <w:lvlJc w:val="left"/>
      <w:pPr>
        <w:tabs>
          <w:tab w:val="num" w:pos="6480"/>
        </w:tabs>
        <w:ind w:left="6480" w:hanging="360"/>
      </w:pPr>
    </w:lvl>
  </w:abstractNum>
  <w:abstractNum w:abstractNumId="52" w15:restartNumberingAfterBreak="0">
    <w:nsid w:val="4DC13632"/>
    <w:multiLevelType w:val="hybridMultilevel"/>
    <w:tmpl w:val="C28879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E334CEE"/>
    <w:multiLevelType w:val="multilevel"/>
    <w:tmpl w:val="7DCA3B2C"/>
    <w:styleLink w:val="StyleNumbered9ptText1Left025Hanging025"/>
    <w:lvl w:ilvl="0">
      <w:start w:val="1"/>
      <w:numFmt w:val="decimal"/>
      <w:lvlText w:val="%1."/>
      <w:lvlJc w:val="left"/>
      <w:pPr>
        <w:tabs>
          <w:tab w:val="num" w:pos="720"/>
        </w:tabs>
        <w:ind w:left="720" w:hanging="360"/>
      </w:pPr>
      <w:rPr>
        <w:rFonts w:ascii="Arial" w:hAnsi="Arial"/>
        <w:color w:val="000000" w:themeColor="text1"/>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4EA25EB0"/>
    <w:multiLevelType w:val="hybridMultilevel"/>
    <w:tmpl w:val="2E5021F6"/>
    <w:lvl w:ilvl="0" w:tplc="0C090001">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5" w15:restartNumberingAfterBreak="0">
    <w:nsid w:val="4EAB40B1"/>
    <w:multiLevelType w:val="hybridMultilevel"/>
    <w:tmpl w:val="FD203EB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56" w15:restartNumberingAfterBreak="0">
    <w:nsid w:val="4EFD1258"/>
    <w:multiLevelType w:val="hybridMultilevel"/>
    <w:tmpl w:val="CEA8A18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57" w15:restartNumberingAfterBreak="0">
    <w:nsid w:val="51487FDE"/>
    <w:multiLevelType w:val="hybridMultilevel"/>
    <w:tmpl w:val="7B803D8C"/>
    <w:lvl w:ilvl="0" w:tplc="B3F2DE94">
      <w:start w:val="3"/>
      <w:numFmt w:val="lowerLetter"/>
      <w:lvlText w:val="%1)"/>
      <w:lvlJc w:val="left"/>
      <w:pPr>
        <w:tabs>
          <w:tab w:val="num" w:pos="720"/>
        </w:tabs>
        <w:ind w:left="720" w:hanging="360"/>
      </w:pPr>
    </w:lvl>
    <w:lvl w:ilvl="1" w:tplc="8612C0BE" w:tentative="1">
      <w:start w:val="1"/>
      <w:numFmt w:val="lowerLetter"/>
      <w:lvlText w:val="%2)"/>
      <w:lvlJc w:val="left"/>
      <w:pPr>
        <w:tabs>
          <w:tab w:val="num" w:pos="1440"/>
        </w:tabs>
        <w:ind w:left="1440" w:hanging="360"/>
      </w:pPr>
    </w:lvl>
    <w:lvl w:ilvl="2" w:tplc="EF0409E6" w:tentative="1">
      <w:start w:val="1"/>
      <w:numFmt w:val="lowerLetter"/>
      <w:lvlText w:val="%3)"/>
      <w:lvlJc w:val="left"/>
      <w:pPr>
        <w:tabs>
          <w:tab w:val="num" w:pos="2160"/>
        </w:tabs>
        <w:ind w:left="2160" w:hanging="360"/>
      </w:pPr>
    </w:lvl>
    <w:lvl w:ilvl="3" w:tplc="0F06A324" w:tentative="1">
      <w:start w:val="1"/>
      <w:numFmt w:val="lowerLetter"/>
      <w:lvlText w:val="%4)"/>
      <w:lvlJc w:val="left"/>
      <w:pPr>
        <w:tabs>
          <w:tab w:val="num" w:pos="2880"/>
        </w:tabs>
        <w:ind w:left="2880" w:hanging="360"/>
      </w:pPr>
    </w:lvl>
    <w:lvl w:ilvl="4" w:tplc="37FC2BB2" w:tentative="1">
      <w:start w:val="1"/>
      <w:numFmt w:val="lowerLetter"/>
      <w:lvlText w:val="%5)"/>
      <w:lvlJc w:val="left"/>
      <w:pPr>
        <w:tabs>
          <w:tab w:val="num" w:pos="3600"/>
        </w:tabs>
        <w:ind w:left="3600" w:hanging="360"/>
      </w:pPr>
    </w:lvl>
    <w:lvl w:ilvl="5" w:tplc="C9124F20" w:tentative="1">
      <w:start w:val="1"/>
      <w:numFmt w:val="lowerLetter"/>
      <w:lvlText w:val="%6)"/>
      <w:lvlJc w:val="left"/>
      <w:pPr>
        <w:tabs>
          <w:tab w:val="num" w:pos="4320"/>
        </w:tabs>
        <w:ind w:left="4320" w:hanging="360"/>
      </w:pPr>
    </w:lvl>
    <w:lvl w:ilvl="6" w:tplc="0242E91A" w:tentative="1">
      <w:start w:val="1"/>
      <w:numFmt w:val="lowerLetter"/>
      <w:lvlText w:val="%7)"/>
      <w:lvlJc w:val="left"/>
      <w:pPr>
        <w:tabs>
          <w:tab w:val="num" w:pos="5040"/>
        </w:tabs>
        <w:ind w:left="5040" w:hanging="360"/>
      </w:pPr>
    </w:lvl>
    <w:lvl w:ilvl="7" w:tplc="4F6A0E66" w:tentative="1">
      <w:start w:val="1"/>
      <w:numFmt w:val="lowerLetter"/>
      <w:lvlText w:val="%8)"/>
      <w:lvlJc w:val="left"/>
      <w:pPr>
        <w:tabs>
          <w:tab w:val="num" w:pos="5760"/>
        </w:tabs>
        <w:ind w:left="5760" w:hanging="360"/>
      </w:pPr>
    </w:lvl>
    <w:lvl w:ilvl="8" w:tplc="9F14605E" w:tentative="1">
      <w:start w:val="1"/>
      <w:numFmt w:val="lowerLetter"/>
      <w:lvlText w:val="%9)"/>
      <w:lvlJc w:val="left"/>
      <w:pPr>
        <w:tabs>
          <w:tab w:val="num" w:pos="6480"/>
        </w:tabs>
        <w:ind w:left="6480" w:hanging="360"/>
      </w:pPr>
    </w:lvl>
  </w:abstractNum>
  <w:abstractNum w:abstractNumId="58" w15:restartNumberingAfterBreak="0">
    <w:nsid w:val="518C39C9"/>
    <w:multiLevelType w:val="multilevel"/>
    <w:tmpl w:val="EE12AE72"/>
    <w:styleLink w:val="Style1"/>
    <w:lvl w:ilvl="0">
      <w:start w:val="1"/>
      <w:numFmt w:val="upperLetter"/>
      <w:pStyle w:val="ListBullet3"/>
      <w:lvlText w:val="Appendix %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23A4DEA"/>
    <w:multiLevelType w:val="hybridMultilevel"/>
    <w:tmpl w:val="95A20ECC"/>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ymbol" w:hAnsi="Symbol" w:cs="Symbol" w:hint="default"/>
      </w:rPr>
    </w:lvl>
    <w:lvl w:ilvl="2" w:tplc="FFFFFFFF" w:tentative="1">
      <w:start w:val="1"/>
      <w:numFmt w:val="bullet"/>
      <w:lvlText w:val=""/>
      <w:lvlJc w:val="left"/>
      <w:pPr>
        <w:ind w:left="1800" w:hanging="360"/>
      </w:pPr>
      <w:rPr>
        <w:rFonts w:ascii="Courier New" w:hAnsi="Courier New" w:hint="default"/>
      </w:rPr>
    </w:lvl>
    <w:lvl w:ilvl="3" w:tplc="FFFFFFFF" w:tentative="1">
      <w:start w:val="1"/>
      <w:numFmt w:val="bullet"/>
      <w:lvlText w:val=""/>
      <w:lvlJc w:val="left"/>
      <w:pPr>
        <w:ind w:left="2520" w:hanging="360"/>
      </w:pPr>
      <w:rPr>
        <w:rFonts w:ascii="HelveticaNeue" w:hAnsi="HelveticaNeue" w:hint="default"/>
      </w:rPr>
    </w:lvl>
    <w:lvl w:ilvl="4" w:tplc="FFFFFFFF" w:tentative="1">
      <w:start w:val="1"/>
      <w:numFmt w:val="bullet"/>
      <w:lvlText w:val="o"/>
      <w:lvlJc w:val="left"/>
      <w:pPr>
        <w:ind w:left="3240" w:hanging="360"/>
      </w:pPr>
      <w:rPr>
        <w:rFonts w:ascii="Symbol" w:hAnsi="Symbol" w:cs="Symbol" w:hint="default"/>
      </w:rPr>
    </w:lvl>
    <w:lvl w:ilvl="5" w:tplc="FFFFFFFF" w:tentative="1">
      <w:start w:val="1"/>
      <w:numFmt w:val="bullet"/>
      <w:lvlText w:val=""/>
      <w:lvlJc w:val="left"/>
      <w:pPr>
        <w:ind w:left="3960" w:hanging="360"/>
      </w:pPr>
      <w:rPr>
        <w:rFonts w:ascii="Courier New" w:hAnsi="Courier New" w:hint="default"/>
      </w:rPr>
    </w:lvl>
    <w:lvl w:ilvl="6" w:tplc="FFFFFFFF" w:tentative="1">
      <w:start w:val="1"/>
      <w:numFmt w:val="bullet"/>
      <w:lvlText w:val=""/>
      <w:lvlJc w:val="left"/>
      <w:pPr>
        <w:ind w:left="4680" w:hanging="360"/>
      </w:pPr>
      <w:rPr>
        <w:rFonts w:ascii="HelveticaNeue" w:hAnsi="HelveticaNeue" w:hint="default"/>
      </w:rPr>
    </w:lvl>
    <w:lvl w:ilvl="7" w:tplc="FFFFFFFF" w:tentative="1">
      <w:start w:val="1"/>
      <w:numFmt w:val="bullet"/>
      <w:lvlText w:val="o"/>
      <w:lvlJc w:val="left"/>
      <w:pPr>
        <w:ind w:left="5400" w:hanging="360"/>
      </w:pPr>
      <w:rPr>
        <w:rFonts w:ascii="Symbol" w:hAnsi="Symbol" w:cs="Symbol" w:hint="default"/>
      </w:rPr>
    </w:lvl>
    <w:lvl w:ilvl="8" w:tplc="FFFFFFFF" w:tentative="1">
      <w:start w:val="1"/>
      <w:numFmt w:val="bullet"/>
      <w:lvlText w:val=""/>
      <w:lvlJc w:val="left"/>
      <w:pPr>
        <w:ind w:left="6120" w:hanging="360"/>
      </w:pPr>
      <w:rPr>
        <w:rFonts w:ascii="Courier New" w:hAnsi="Courier New" w:hint="default"/>
      </w:rPr>
    </w:lvl>
  </w:abstractNum>
  <w:abstractNum w:abstractNumId="60" w15:restartNumberingAfterBreak="0">
    <w:nsid w:val="53732F42"/>
    <w:multiLevelType w:val="hybridMultilevel"/>
    <w:tmpl w:val="D6948D48"/>
    <w:lvl w:ilvl="0" w:tplc="0C090001">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61" w15:restartNumberingAfterBreak="0">
    <w:nsid w:val="558E7263"/>
    <w:multiLevelType w:val="hybridMultilevel"/>
    <w:tmpl w:val="FCF4D3A6"/>
    <w:lvl w:ilvl="0" w:tplc="3A4855DC">
      <w:start w:val="6"/>
      <w:numFmt w:val="lowerLetter"/>
      <w:lvlText w:val="%1)"/>
      <w:lvlJc w:val="left"/>
      <w:pPr>
        <w:tabs>
          <w:tab w:val="num" w:pos="720"/>
        </w:tabs>
        <w:ind w:left="720" w:hanging="360"/>
      </w:pPr>
    </w:lvl>
    <w:lvl w:ilvl="1" w:tplc="71727DD2" w:tentative="1">
      <w:start w:val="1"/>
      <w:numFmt w:val="lowerLetter"/>
      <w:lvlText w:val="%2)"/>
      <w:lvlJc w:val="left"/>
      <w:pPr>
        <w:tabs>
          <w:tab w:val="num" w:pos="1440"/>
        </w:tabs>
        <w:ind w:left="1440" w:hanging="360"/>
      </w:pPr>
    </w:lvl>
    <w:lvl w:ilvl="2" w:tplc="5F1664C8" w:tentative="1">
      <w:start w:val="1"/>
      <w:numFmt w:val="lowerLetter"/>
      <w:lvlText w:val="%3)"/>
      <w:lvlJc w:val="left"/>
      <w:pPr>
        <w:tabs>
          <w:tab w:val="num" w:pos="2160"/>
        </w:tabs>
        <w:ind w:left="2160" w:hanging="360"/>
      </w:pPr>
    </w:lvl>
    <w:lvl w:ilvl="3" w:tplc="CF9071FA" w:tentative="1">
      <w:start w:val="1"/>
      <w:numFmt w:val="lowerLetter"/>
      <w:lvlText w:val="%4)"/>
      <w:lvlJc w:val="left"/>
      <w:pPr>
        <w:tabs>
          <w:tab w:val="num" w:pos="2880"/>
        </w:tabs>
        <w:ind w:left="2880" w:hanging="360"/>
      </w:pPr>
    </w:lvl>
    <w:lvl w:ilvl="4" w:tplc="DECCD290" w:tentative="1">
      <w:start w:val="1"/>
      <w:numFmt w:val="lowerLetter"/>
      <w:lvlText w:val="%5)"/>
      <w:lvlJc w:val="left"/>
      <w:pPr>
        <w:tabs>
          <w:tab w:val="num" w:pos="3600"/>
        </w:tabs>
        <w:ind w:left="3600" w:hanging="360"/>
      </w:pPr>
    </w:lvl>
    <w:lvl w:ilvl="5" w:tplc="6D34001E" w:tentative="1">
      <w:start w:val="1"/>
      <w:numFmt w:val="lowerLetter"/>
      <w:lvlText w:val="%6)"/>
      <w:lvlJc w:val="left"/>
      <w:pPr>
        <w:tabs>
          <w:tab w:val="num" w:pos="4320"/>
        </w:tabs>
        <w:ind w:left="4320" w:hanging="360"/>
      </w:pPr>
    </w:lvl>
    <w:lvl w:ilvl="6" w:tplc="D20CB5D6" w:tentative="1">
      <w:start w:val="1"/>
      <w:numFmt w:val="lowerLetter"/>
      <w:lvlText w:val="%7)"/>
      <w:lvlJc w:val="left"/>
      <w:pPr>
        <w:tabs>
          <w:tab w:val="num" w:pos="5040"/>
        </w:tabs>
        <w:ind w:left="5040" w:hanging="360"/>
      </w:pPr>
    </w:lvl>
    <w:lvl w:ilvl="7" w:tplc="41C0C1FA" w:tentative="1">
      <w:start w:val="1"/>
      <w:numFmt w:val="lowerLetter"/>
      <w:lvlText w:val="%8)"/>
      <w:lvlJc w:val="left"/>
      <w:pPr>
        <w:tabs>
          <w:tab w:val="num" w:pos="5760"/>
        </w:tabs>
        <w:ind w:left="5760" w:hanging="360"/>
      </w:pPr>
    </w:lvl>
    <w:lvl w:ilvl="8" w:tplc="2CB6CE9C" w:tentative="1">
      <w:start w:val="1"/>
      <w:numFmt w:val="lowerLetter"/>
      <w:lvlText w:val="%9)"/>
      <w:lvlJc w:val="left"/>
      <w:pPr>
        <w:tabs>
          <w:tab w:val="num" w:pos="6480"/>
        </w:tabs>
        <w:ind w:left="6480" w:hanging="360"/>
      </w:pPr>
    </w:lvl>
  </w:abstractNum>
  <w:abstractNum w:abstractNumId="62" w15:restartNumberingAfterBreak="0">
    <w:nsid w:val="56927739"/>
    <w:multiLevelType w:val="hybridMultilevel"/>
    <w:tmpl w:val="71CC18C4"/>
    <w:lvl w:ilvl="0" w:tplc="04090003">
      <w:start w:val="1"/>
      <w:numFmt w:val="bullet"/>
      <w:pStyle w:val="Appendix"/>
      <w:lvlText w:val="o"/>
      <w:lvlJc w:val="left"/>
      <w:pPr>
        <w:ind w:left="1074" w:hanging="360"/>
      </w:pPr>
      <w:rPr>
        <w:rFonts w:ascii="Symbol" w:hAnsi="Symbol" w:cs="Symbol" w:hint="default"/>
      </w:rPr>
    </w:lvl>
    <w:lvl w:ilvl="1" w:tplc="FFFFFFFF" w:tentative="1">
      <w:start w:val="1"/>
      <w:numFmt w:val="bullet"/>
      <w:lvlText w:val="o"/>
      <w:lvlJc w:val="left"/>
      <w:pPr>
        <w:ind w:left="1794" w:hanging="360"/>
      </w:pPr>
      <w:rPr>
        <w:rFonts w:ascii="Symbol" w:hAnsi="Symbol" w:cs="Symbol" w:hint="default"/>
      </w:rPr>
    </w:lvl>
    <w:lvl w:ilvl="2" w:tplc="FFFFFFFF" w:tentative="1">
      <w:start w:val="1"/>
      <w:numFmt w:val="bullet"/>
      <w:lvlText w:val=""/>
      <w:lvlJc w:val="left"/>
      <w:pPr>
        <w:ind w:left="2514" w:hanging="360"/>
      </w:pPr>
      <w:rPr>
        <w:rFonts w:ascii="Courier New" w:hAnsi="Courier New" w:hint="default"/>
      </w:rPr>
    </w:lvl>
    <w:lvl w:ilvl="3" w:tplc="FFFFFFFF" w:tentative="1">
      <w:start w:val="1"/>
      <w:numFmt w:val="bullet"/>
      <w:lvlText w:val=""/>
      <w:lvlJc w:val="left"/>
      <w:pPr>
        <w:ind w:left="3234" w:hanging="360"/>
      </w:pPr>
      <w:rPr>
        <w:rFonts w:ascii="HelveticaNeue" w:hAnsi="HelveticaNeue" w:hint="default"/>
      </w:rPr>
    </w:lvl>
    <w:lvl w:ilvl="4" w:tplc="FFFFFFFF" w:tentative="1">
      <w:start w:val="1"/>
      <w:numFmt w:val="bullet"/>
      <w:lvlText w:val="o"/>
      <w:lvlJc w:val="left"/>
      <w:pPr>
        <w:ind w:left="3954" w:hanging="360"/>
      </w:pPr>
      <w:rPr>
        <w:rFonts w:ascii="Symbol" w:hAnsi="Symbol" w:cs="Symbol" w:hint="default"/>
      </w:rPr>
    </w:lvl>
    <w:lvl w:ilvl="5" w:tplc="FFFFFFFF" w:tentative="1">
      <w:start w:val="1"/>
      <w:numFmt w:val="bullet"/>
      <w:lvlText w:val=""/>
      <w:lvlJc w:val="left"/>
      <w:pPr>
        <w:ind w:left="4674" w:hanging="360"/>
      </w:pPr>
      <w:rPr>
        <w:rFonts w:ascii="Courier New" w:hAnsi="Courier New" w:hint="default"/>
      </w:rPr>
    </w:lvl>
    <w:lvl w:ilvl="6" w:tplc="FFFFFFFF" w:tentative="1">
      <w:start w:val="1"/>
      <w:numFmt w:val="bullet"/>
      <w:lvlText w:val=""/>
      <w:lvlJc w:val="left"/>
      <w:pPr>
        <w:ind w:left="5394" w:hanging="360"/>
      </w:pPr>
      <w:rPr>
        <w:rFonts w:ascii="HelveticaNeue" w:hAnsi="HelveticaNeue" w:hint="default"/>
      </w:rPr>
    </w:lvl>
    <w:lvl w:ilvl="7" w:tplc="FFFFFFFF" w:tentative="1">
      <w:start w:val="1"/>
      <w:numFmt w:val="bullet"/>
      <w:lvlText w:val="o"/>
      <w:lvlJc w:val="left"/>
      <w:pPr>
        <w:ind w:left="6114" w:hanging="360"/>
      </w:pPr>
      <w:rPr>
        <w:rFonts w:ascii="Symbol" w:hAnsi="Symbol" w:cs="Symbol" w:hint="default"/>
      </w:rPr>
    </w:lvl>
    <w:lvl w:ilvl="8" w:tplc="FFFFFFFF" w:tentative="1">
      <w:start w:val="1"/>
      <w:numFmt w:val="bullet"/>
      <w:lvlText w:val=""/>
      <w:lvlJc w:val="left"/>
      <w:pPr>
        <w:ind w:left="6834" w:hanging="360"/>
      </w:pPr>
      <w:rPr>
        <w:rFonts w:ascii="Courier New" w:hAnsi="Courier New" w:hint="default"/>
      </w:rPr>
    </w:lvl>
  </w:abstractNum>
  <w:abstractNum w:abstractNumId="63" w15:restartNumberingAfterBreak="0">
    <w:nsid w:val="569D7B1F"/>
    <w:multiLevelType w:val="hybridMultilevel"/>
    <w:tmpl w:val="8C8C72A2"/>
    <w:lvl w:ilvl="0" w:tplc="0C090001">
      <w:start w:val="1"/>
      <w:numFmt w:val="bullet"/>
      <w:lvlText w:val=""/>
      <w:lvlJc w:val="left"/>
      <w:pPr>
        <w:ind w:left="720" w:hanging="360"/>
      </w:pPr>
      <w:rPr>
        <w:rFonts w:ascii="HelveticaNeue" w:hAnsi="HelveticaNeue" w:hint="default"/>
      </w:rPr>
    </w:lvl>
    <w:lvl w:ilvl="1" w:tplc="C4E055F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Courier New" w:hAnsi="Courier New" w:hint="default"/>
      </w:rPr>
    </w:lvl>
    <w:lvl w:ilvl="3" w:tplc="0C090001" w:tentative="1">
      <w:start w:val="1"/>
      <w:numFmt w:val="bullet"/>
      <w:lvlText w:val=""/>
      <w:lvlJc w:val="left"/>
      <w:pPr>
        <w:ind w:left="2880" w:hanging="360"/>
      </w:pPr>
      <w:rPr>
        <w:rFonts w:ascii="HelveticaNeue" w:hAnsi="HelveticaNeue" w:hint="default"/>
      </w:rPr>
    </w:lvl>
    <w:lvl w:ilvl="4" w:tplc="0C090003" w:tentative="1">
      <w:start w:val="1"/>
      <w:numFmt w:val="bullet"/>
      <w:lvlText w:val="o"/>
      <w:lvlJc w:val="left"/>
      <w:pPr>
        <w:ind w:left="3600" w:hanging="360"/>
      </w:pPr>
      <w:rPr>
        <w:rFonts w:ascii="Symbol" w:hAnsi="Symbol" w:cs="Symbol" w:hint="default"/>
      </w:rPr>
    </w:lvl>
    <w:lvl w:ilvl="5" w:tplc="0C090005" w:tentative="1">
      <w:start w:val="1"/>
      <w:numFmt w:val="bullet"/>
      <w:lvlText w:val=""/>
      <w:lvlJc w:val="left"/>
      <w:pPr>
        <w:ind w:left="4320" w:hanging="360"/>
      </w:pPr>
      <w:rPr>
        <w:rFonts w:ascii="Courier New" w:hAnsi="Courier New" w:hint="default"/>
      </w:rPr>
    </w:lvl>
    <w:lvl w:ilvl="6" w:tplc="0C090001" w:tentative="1">
      <w:start w:val="1"/>
      <w:numFmt w:val="bullet"/>
      <w:lvlText w:val=""/>
      <w:lvlJc w:val="left"/>
      <w:pPr>
        <w:ind w:left="5040" w:hanging="360"/>
      </w:pPr>
      <w:rPr>
        <w:rFonts w:ascii="HelveticaNeue" w:hAnsi="HelveticaNeue" w:hint="default"/>
      </w:rPr>
    </w:lvl>
    <w:lvl w:ilvl="7" w:tplc="0C090003" w:tentative="1">
      <w:start w:val="1"/>
      <w:numFmt w:val="bullet"/>
      <w:lvlText w:val="o"/>
      <w:lvlJc w:val="left"/>
      <w:pPr>
        <w:ind w:left="5760" w:hanging="360"/>
      </w:pPr>
      <w:rPr>
        <w:rFonts w:ascii="Symbol" w:hAnsi="Symbol" w:cs="Symbol" w:hint="default"/>
      </w:rPr>
    </w:lvl>
    <w:lvl w:ilvl="8" w:tplc="0C090005" w:tentative="1">
      <w:start w:val="1"/>
      <w:numFmt w:val="bullet"/>
      <w:lvlText w:val=""/>
      <w:lvlJc w:val="left"/>
      <w:pPr>
        <w:ind w:left="6480" w:hanging="360"/>
      </w:pPr>
      <w:rPr>
        <w:rFonts w:ascii="Courier New" w:hAnsi="Courier New" w:hint="default"/>
      </w:rPr>
    </w:lvl>
  </w:abstractNum>
  <w:abstractNum w:abstractNumId="64" w15:restartNumberingAfterBreak="0">
    <w:nsid w:val="59E85E6C"/>
    <w:multiLevelType w:val="hybridMultilevel"/>
    <w:tmpl w:val="F588FEA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65" w15:restartNumberingAfterBreak="0">
    <w:nsid w:val="5BB201F0"/>
    <w:multiLevelType w:val="hybridMultilevel"/>
    <w:tmpl w:val="FF56417A"/>
    <w:lvl w:ilvl="0" w:tplc="51A213EA">
      <w:start w:val="1"/>
      <w:numFmt w:val="lowerLetter"/>
      <w:lvlText w:val="%1)"/>
      <w:lvlJc w:val="left"/>
      <w:pPr>
        <w:tabs>
          <w:tab w:val="num" w:pos="720"/>
        </w:tabs>
        <w:ind w:left="720" w:hanging="360"/>
      </w:pPr>
    </w:lvl>
    <w:lvl w:ilvl="1" w:tplc="79DA335C" w:tentative="1">
      <w:start w:val="1"/>
      <w:numFmt w:val="lowerLetter"/>
      <w:lvlText w:val="%2)"/>
      <w:lvlJc w:val="left"/>
      <w:pPr>
        <w:tabs>
          <w:tab w:val="num" w:pos="1440"/>
        </w:tabs>
        <w:ind w:left="1440" w:hanging="360"/>
      </w:pPr>
    </w:lvl>
    <w:lvl w:ilvl="2" w:tplc="BFA6F7B6" w:tentative="1">
      <w:start w:val="1"/>
      <w:numFmt w:val="lowerLetter"/>
      <w:lvlText w:val="%3)"/>
      <w:lvlJc w:val="left"/>
      <w:pPr>
        <w:tabs>
          <w:tab w:val="num" w:pos="2160"/>
        </w:tabs>
        <w:ind w:left="2160" w:hanging="360"/>
      </w:pPr>
    </w:lvl>
    <w:lvl w:ilvl="3" w:tplc="C0D2DFA0" w:tentative="1">
      <w:start w:val="1"/>
      <w:numFmt w:val="lowerLetter"/>
      <w:lvlText w:val="%4)"/>
      <w:lvlJc w:val="left"/>
      <w:pPr>
        <w:tabs>
          <w:tab w:val="num" w:pos="2880"/>
        </w:tabs>
        <w:ind w:left="2880" w:hanging="360"/>
      </w:pPr>
    </w:lvl>
    <w:lvl w:ilvl="4" w:tplc="9B942148" w:tentative="1">
      <w:start w:val="1"/>
      <w:numFmt w:val="lowerLetter"/>
      <w:lvlText w:val="%5)"/>
      <w:lvlJc w:val="left"/>
      <w:pPr>
        <w:tabs>
          <w:tab w:val="num" w:pos="3600"/>
        </w:tabs>
        <w:ind w:left="3600" w:hanging="360"/>
      </w:pPr>
    </w:lvl>
    <w:lvl w:ilvl="5" w:tplc="1AC20406" w:tentative="1">
      <w:start w:val="1"/>
      <w:numFmt w:val="lowerLetter"/>
      <w:lvlText w:val="%6)"/>
      <w:lvlJc w:val="left"/>
      <w:pPr>
        <w:tabs>
          <w:tab w:val="num" w:pos="4320"/>
        </w:tabs>
        <w:ind w:left="4320" w:hanging="360"/>
      </w:pPr>
    </w:lvl>
    <w:lvl w:ilvl="6" w:tplc="C81205B2" w:tentative="1">
      <w:start w:val="1"/>
      <w:numFmt w:val="lowerLetter"/>
      <w:lvlText w:val="%7)"/>
      <w:lvlJc w:val="left"/>
      <w:pPr>
        <w:tabs>
          <w:tab w:val="num" w:pos="5040"/>
        </w:tabs>
        <w:ind w:left="5040" w:hanging="360"/>
      </w:pPr>
    </w:lvl>
    <w:lvl w:ilvl="7" w:tplc="DBD04DCC" w:tentative="1">
      <w:start w:val="1"/>
      <w:numFmt w:val="lowerLetter"/>
      <w:lvlText w:val="%8)"/>
      <w:lvlJc w:val="left"/>
      <w:pPr>
        <w:tabs>
          <w:tab w:val="num" w:pos="5760"/>
        </w:tabs>
        <w:ind w:left="5760" w:hanging="360"/>
      </w:pPr>
    </w:lvl>
    <w:lvl w:ilvl="8" w:tplc="D96EF5C2" w:tentative="1">
      <w:start w:val="1"/>
      <w:numFmt w:val="lowerLetter"/>
      <w:lvlText w:val="%9)"/>
      <w:lvlJc w:val="left"/>
      <w:pPr>
        <w:tabs>
          <w:tab w:val="num" w:pos="6480"/>
        </w:tabs>
        <w:ind w:left="6480" w:hanging="360"/>
      </w:pPr>
    </w:lvl>
  </w:abstractNum>
  <w:abstractNum w:abstractNumId="66" w15:restartNumberingAfterBreak="0">
    <w:nsid w:val="5CB308F3"/>
    <w:multiLevelType w:val="hybridMultilevel"/>
    <w:tmpl w:val="6632195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67" w15:restartNumberingAfterBreak="0">
    <w:nsid w:val="5EB46BB1"/>
    <w:multiLevelType w:val="hybridMultilevel"/>
    <w:tmpl w:val="C472C9F8"/>
    <w:lvl w:ilvl="0" w:tplc="B96E459E">
      <w:start w:val="1"/>
      <w:numFmt w:val="decimal"/>
      <w:pStyle w:val="Style2"/>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8" w15:restartNumberingAfterBreak="0">
    <w:nsid w:val="63917BB9"/>
    <w:multiLevelType w:val="multilevel"/>
    <w:tmpl w:val="C63A1C26"/>
    <w:lvl w:ilvl="0">
      <w:start w:val="1"/>
      <w:numFmt w:val="none"/>
      <w:pStyle w:val="ListParagraph"/>
      <w:suff w:val="nothing"/>
      <w:lvlText w:val=""/>
      <w:lvlJc w:val="left"/>
      <w:pPr>
        <w:ind w:left="0" w:firstLine="0"/>
      </w:pPr>
      <w:rPr>
        <w:rFonts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568" w:firstLine="0"/>
      </w:pPr>
      <w:rPr>
        <w:rFonts w:hint="default"/>
      </w:rPr>
    </w:lvl>
    <w:lvl w:ilvl="3">
      <w:start w:val="1"/>
      <w:numFmt w:val="none"/>
      <w:suff w:val="nothing"/>
      <w:lvlText w:val=""/>
      <w:lvlJc w:val="left"/>
      <w:pPr>
        <w:ind w:left="852" w:firstLine="0"/>
      </w:pPr>
      <w:rPr>
        <w:rFonts w:hint="default"/>
      </w:rPr>
    </w:lvl>
    <w:lvl w:ilvl="4">
      <w:start w:val="1"/>
      <w:numFmt w:val="none"/>
      <w:suff w:val="nothing"/>
      <w:lvlText w:val=""/>
      <w:lvlJc w:val="left"/>
      <w:pPr>
        <w:ind w:left="1136" w:firstLine="0"/>
      </w:pPr>
      <w:rPr>
        <w:rFonts w:hint="default"/>
      </w:rPr>
    </w:lvl>
    <w:lvl w:ilvl="5">
      <w:start w:val="1"/>
      <w:numFmt w:val="none"/>
      <w:suff w:val="nothing"/>
      <w:lvlText w:val=""/>
      <w:lvlJc w:val="left"/>
      <w:pPr>
        <w:ind w:left="1420" w:firstLine="0"/>
      </w:pPr>
      <w:rPr>
        <w:rFonts w:hint="default"/>
      </w:rPr>
    </w:lvl>
    <w:lvl w:ilvl="6">
      <w:start w:val="1"/>
      <w:numFmt w:val="none"/>
      <w:suff w:val="nothing"/>
      <w:lvlText w:val=""/>
      <w:lvlJc w:val="left"/>
      <w:pPr>
        <w:ind w:left="1704" w:firstLine="0"/>
      </w:pPr>
      <w:rPr>
        <w:rFonts w:hint="default"/>
      </w:rPr>
    </w:lvl>
    <w:lvl w:ilvl="7">
      <w:start w:val="1"/>
      <w:numFmt w:val="none"/>
      <w:suff w:val="nothing"/>
      <w:lvlText w:val=""/>
      <w:lvlJc w:val="left"/>
      <w:pPr>
        <w:ind w:left="1988" w:firstLine="0"/>
      </w:pPr>
      <w:rPr>
        <w:rFonts w:hint="default"/>
      </w:rPr>
    </w:lvl>
    <w:lvl w:ilvl="8">
      <w:start w:val="1"/>
      <w:numFmt w:val="none"/>
      <w:suff w:val="nothing"/>
      <w:lvlText w:val=""/>
      <w:lvlJc w:val="left"/>
      <w:pPr>
        <w:ind w:left="2272" w:firstLine="0"/>
      </w:pPr>
      <w:rPr>
        <w:rFonts w:hint="default"/>
      </w:rPr>
    </w:lvl>
  </w:abstractNum>
  <w:abstractNum w:abstractNumId="69" w15:restartNumberingAfterBreak="0">
    <w:nsid w:val="652C0298"/>
    <w:multiLevelType w:val="hybridMultilevel"/>
    <w:tmpl w:val="82767D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59856A0"/>
    <w:multiLevelType w:val="hybridMultilevel"/>
    <w:tmpl w:val="06821A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5C0413F"/>
    <w:multiLevelType w:val="hybridMultilevel"/>
    <w:tmpl w:val="5F56BB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72" w15:restartNumberingAfterBreak="0">
    <w:nsid w:val="66DD0C83"/>
    <w:multiLevelType w:val="hybridMultilevel"/>
    <w:tmpl w:val="628C1CEC"/>
    <w:lvl w:ilvl="0" w:tplc="E78A332E">
      <w:start w:val="3"/>
      <w:numFmt w:val="lowerLetter"/>
      <w:lvlText w:val="%1)"/>
      <w:lvlJc w:val="left"/>
      <w:pPr>
        <w:tabs>
          <w:tab w:val="num" w:pos="720"/>
        </w:tabs>
        <w:ind w:left="720" w:hanging="360"/>
      </w:pPr>
    </w:lvl>
    <w:lvl w:ilvl="1" w:tplc="C6BC937A" w:tentative="1">
      <w:start w:val="1"/>
      <w:numFmt w:val="lowerLetter"/>
      <w:lvlText w:val="%2)"/>
      <w:lvlJc w:val="left"/>
      <w:pPr>
        <w:tabs>
          <w:tab w:val="num" w:pos="1440"/>
        </w:tabs>
        <w:ind w:left="1440" w:hanging="360"/>
      </w:pPr>
    </w:lvl>
    <w:lvl w:ilvl="2" w:tplc="4926AE02" w:tentative="1">
      <w:start w:val="1"/>
      <w:numFmt w:val="lowerLetter"/>
      <w:lvlText w:val="%3)"/>
      <w:lvlJc w:val="left"/>
      <w:pPr>
        <w:tabs>
          <w:tab w:val="num" w:pos="2160"/>
        </w:tabs>
        <w:ind w:left="2160" w:hanging="360"/>
      </w:pPr>
    </w:lvl>
    <w:lvl w:ilvl="3" w:tplc="F796C084" w:tentative="1">
      <w:start w:val="1"/>
      <w:numFmt w:val="lowerLetter"/>
      <w:lvlText w:val="%4)"/>
      <w:lvlJc w:val="left"/>
      <w:pPr>
        <w:tabs>
          <w:tab w:val="num" w:pos="2880"/>
        </w:tabs>
        <w:ind w:left="2880" w:hanging="360"/>
      </w:pPr>
    </w:lvl>
    <w:lvl w:ilvl="4" w:tplc="33967308" w:tentative="1">
      <w:start w:val="1"/>
      <w:numFmt w:val="lowerLetter"/>
      <w:lvlText w:val="%5)"/>
      <w:lvlJc w:val="left"/>
      <w:pPr>
        <w:tabs>
          <w:tab w:val="num" w:pos="3600"/>
        </w:tabs>
        <w:ind w:left="3600" w:hanging="360"/>
      </w:pPr>
    </w:lvl>
    <w:lvl w:ilvl="5" w:tplc="75385978" w:tentative="1">
      <w:start w:val="1"/>
      <w:numFmt w:val="lowerLetter"/>
      <w:lvlText w:val="%6)"/>
      <w:lvlJc w:val="left"/>
      <w:pPr>
        <w:tabs>
          <w:tab w:val="num" w:pos="4320"/>
        </w:tabs>
        <w:ind w:left="4320" w:hanging="360"/>
      </w:pPr>
    </w:lvl>
    <w:lvl w:ilvl="6" w:tplc="C9D21732" w:tentative="1">
      <w:start w:val="1"/>
      <w:numFmt w:val="lowerLetter"/>
      <w:lvlText w:val="%7)"/>
      <w:lvlJc w:val="left"/>
      <w:pPr>
        <w:tabs>
          <w:tab w:val="num" w:pos="5040"/>
        </w:tabs>
        <w:ind w:left="5040" w:hanging="360"/>
      </w:pPr>
    </w:lvl>
    <w:lvl w:ilvl="7" w:tplc="3E84B0E8" w:tentative="1">
      <w:start w:val="1"/>
      <w:numFmt w:val="lowerLetter"/>
      <w:lvlText w:val="%8)"/>
      <w:lvlJc w:val="left"/>
      <w:pPr>
        <w:tabs>
          <w:tab w:val="num" w:pos="5760"/>
        </w:tabs>
        <w:ind w:left="5760" w:hanging="360"/>
      </w:pPr>
    </w:lvl>
    <w:lvl w:ilvl="8" w:tplc="60143424" w:tentative="1">
      <w:start w:val="1"/>
      <w:numFmt w:val="lowerLetter"/>
      <w:lvlText w:val="%9)"/>
      <w:lvlJc w:val="left"/>
      <w:pPr>
        <w:tabs>
          <w:tab w:val="num" w:pos="6480"/>
        </w:tabs>
        <w:ind w:left="6480" w:hanging="360"/>
      </w:pPr>
    </w:lvl>
  </w:abstractNum>
  <w:abstractNum w:abstractNumId="73" w15:restartNumberingAfterBreak="0">
    <w:nsid w:val="675F7F81"/>
    <w:multiLevelType w:val="hybridMultilevel"/>
    <w:tmpl w:val="06821A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7A32775"/>
    <w:multiLevelType w:val="hybridMultilevel"/>
    <w:tmpl w:val="A8AA0BC6"/>
    <w:lvl w:ilvl="0" w:tplc="0C090001">
      <w:start w:val="1"/>
      <w:numFmt w:val="bullet"/>
      <w:lvlText w:val=""/>
      <w:lvlJc w:val="left"/>
      <w:pPr>
        <w:ind w:left="720" w:hanging="360"/>
      </w:pPr>
      <w:rPr>
        <w:rFonts w:ascii="Symbol" w:hAnsi="Symbol" w:hint="default"/>
      </w:rPr>
    </w:lvl>
    <w:lvl w:ilvl="1" w:tplc="C4E055F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7D4772A"/>
    <w:multiLevelType w:val="hybridMultilevel"/>
    <w:tmpl w:val="C28879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8E32CE8"/>
    <w:multiLevelType w:val="hybridMultilevel"/>
    <w:tmpl w:val="F2624DC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77" w15:restartNumberingAfterBreak="0">
    <w:nsid w:val="6C8A32D2"/>
    <w:multiLevelType w:val="multilevel"/>
    <w:tmpl w:val="6E008996"/>
    <w:styleLink w:val="TableBulletNormalList"/>
    <w:lvl w:ilvl="0">
      <w:start w:val="1"/>
      <w:numFmt w:val="bullet"/>
      <w:lvlRestart w:val="0"/>
      <w:pStyle w:val="TableBullet1Normal"/>
      <w:lvlText w:val=""/>
      <w:lvlJc w:val="left"/>
      <w:pPr>
        <w:tabs>
          <w:tab w:val="num" w:pos="283"/>
        </w:tabs>
        <w:ind w:left="284" w:hanging="284"/>
      </w:pPr>
      <w:rPr>
        <w:rFonts w:ascii="HelveticaNeue" w:hAnsi="HelveticaNeue" w:hint="default"/>
        <w:b w:val="0"/>
        <w:i w:val="0"/>
        <w:color w:val="auto"/>
      </w:rPr>
    </w:lvl>
    <w:lvl w:ilvl="1">
      <w:start w:val="1"/>
      <w:numFmt w:val="bullet"/>
      <w:lvlRestart w:val="0"/>
      <w:pStyle w:val="TableBullet2Normal"/>
      <w:lvlText w:val="–"/>
      <w:lvlJc w:val="left"/>
      <w:pPr>
        <w:tabs>
          <w:tab w:val="num" w:pos="567"/>
        </w:tabs>
        <w:ind w:left="567" w:hanging="283"/>
      </w:pPr>
      <w:rPr>
        <w:rFonts w:ascii="Arial" w:hAnsi="Arial" w:hint="default"/>
        <w:b w:val="0"/>
        <w:i w:val="0"/>
        <w:color w:val="auto"/>
        <w:szCs w:val="10"/>
      </w:rPr>
    </w:lvl>
    <w:lvl w:ilvl="2">
      <w:start w:val="1"/>
      <w:numFmt w:val="bullet"/>
      <w:lvlRestart w:val="0"/>
      <w:pStyle w:val="TableBullet3Normal"/>
      <w:lvlText w:val="o"/>
      <w:lvlJc w:val="left"/>
      <w:pPr>
        <w:tabs>
          <w:tab w:val="num" w:pos="851"/>
        </w:tabs>
        <w:ind w:left="851" w:hanging="284"/>
      </w:pPr>
      <w:rPr>
        <w:rFonts w:ascii="Arial" w:hAnsi="Arial" w:hint="default"/>
        <w:b w:val="0"/>
        <w:i w:val="0"/>
        <w:color w:val="auto"/>
        <w:sz w:val="10"/>
        <w:szCs w:val="10"/>
      </w:rPr>
    </w:lvl>
    <w:lvl w:ilvl="3">
      <w:start w:val="1"/>
      <w:numFmt w:val="none"/>
      <w:lvlRestart w:val="0"/>
      <w:lvlText w:val=""/>
      <w:lvlJc w:val="left"/>
      <w:pPr>
        <w:tabs>
          <w:tab w:val="num" w:pos="0"/>
        </w:tabs>
        <w:ind w:left="0" w:firstLine="0"/>
      </w:pPr>
      <w:rPr>
        <w:rFonts w:hint="default"/>
        <w:color w:val="auto"/>
        <w:sz w:val="10"/>
        <w:szCs w:val="10"/>
      </w:rPr>
    </w:lvl>
    <w:lvl w:ilvl="4">
      <w:start w:val="1"/>
      <w:numFmt w:val="none"/>
      <w:lvlText w:val="%5"/>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78" w15:restartNumberingAfterBreak="0">
    <w:nsid w:val="6F501799"/>
    <w:multiLevelType w:val="multilevel"/>
    <w:tmpl w:val="BB2065F0"/>
    <w:name w:val="12"/>
    <w:numStyleLink w:val="QPSequence"/>
  </w:abstractNum>
  <w:abstractNum w:abstractNumId="79" w15:restartNumberingAfterBreak="0">
    <w:nsid w:val="7253367E"/>
    <w:multiLevelType w:val="hybridMultilevel"/>
    <w:tmpl w:val="60447070"/>
    <w:lvl w:ilvl="0" w:tplc="0C090001">
      <w:start w:val="1"/>
      <w:numFmt w:val="bullet"/>
      <w:lvlText w:val=""/>
      <w:lvlJc w:val="left"/>
      <w:pPr>
        <w:ind w:left="720" w:hanging="360"/>
      </w:pPr>
      <w:rPr>
        <w:rFonts w:ascii="HelveticaNeue" w:hAnsi="HelveticaNeue" w:hint="default"/>
      </w:rPr>
    </w:lvl>
    <w:lvl w:ilvl="1" w:tplc="C4E055F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Courier New" w:hAnsi="Courier New" w:hint="default"/>
      </w:rPr>
    </w:lvl>
    <w:lvl w:ilvl="3" w:tplc="0C090001" w:tentative="1">
      <w:start w:val="1"/>
      <w:numFmt w:val="bullet"/>
      <w:lvlText w:val=""/>
      <w:lvlJc w:val="left"/>
      <w:pPr>
        <w:ind w:left="2880" w:hanging="360"/>
      </w:pPr>
      <w:rPr>
        <w:rFonts w:ascii="HelveticaNeue" w:hAnsi="HelveticaNeue" w:hint="default"/>
      </w:rPr>
    </w:lvl>
    <w:lvl w:ilvl="4" w:tplc="0C090003" w:tentative="1">
      <w:start w:val="1"/>
      <w:numFmt w:val="bullet"/>
      <w:lvlText w:val="o"/>
      <w:lvlJc w:val="left"/>
      <w:pPr>
        <w:ind w:left="3600" w:hanging="360"/>
      </w:pPr>
      <w:rPr>
        <w:rFonts w:ascii="Symbol" w:hAnsi="Symbol" w:cs="Symbol" w:hint="default"/>
      </w:rPr>
    </w:lvl>
    <w:lvl w:ilvl="5" w:tplc="0C090005" w:tentative="1">
      <w:start w:val="1"/>
      <w:numFmt w:val="bullet"/>
      <w:lvlText w:val=""/>
      <w:lvlJc w:val="left"/>
      <w:pPr>
        <w:ind w:left="4320" w:hanging="360"/>
      </w:pPr>
      <w:rPr>
        <w:rFonts w:ascii="Courier New" w:hAnsi="Courier New" w:hint="default"/>
      </w:rPr>
    </w:lvl>
    <w:lvl w:ilvl="6" w:tplc="0C090001" w:tentative="1">
      <w:start w:val="1"/>
      <w:numFmt w:val="bullet"/>
      <w:lvlText w:val=""/>
      <w:lvlJc w:val="left"/>
      <w:pPr>
        <w:ind w:left="5040" w:hanging="360"/>
      </w:pPr>
      <w:rPr>
        <w:rFonts w:ascii="HelveticaNeue" w:hAnsi="HelveticaNeue" w:hint="default"/>
      </w:rPr>
    </w:lvl>
    <w:lvl w:ilvl="7" w:tplc="0C090003" w:tentative="1">
      <w:start w:val="1"/>
      <w:numFmt w:val="bullet"/>
      <w:lvlText w:val="o"/>
      <w:lvlJc w:val="left"/>
      <w:pPr>
        <w:ind w:left="5760" w:hanging="360"/>
      </w:pPr>
      <w:rPr>
        <w:rFonts w:ascii="Symbol" w:hAnsi="Symbol" w:cs="Symbol" w:hint="default"/>
      </w:rPr>
    </w:lvl>
    <w:lvl w:ilvl="8" w:tplc="0C090005" w:tentative="1">
      <w:start w:val="1"/>
      <w:numFmt w:val="bullet"/>
      <w:lvlText w:val=""/>
      <w:lvlJc w:val="left"/>
      <w:pPr>
        <w:ind w:left="6480" w:hanging="360"/>
      </w:pPr>
      <w:rPr>
        <w:rFonts w:ascii="Courier New" w:hAnsi="Courier New" w:hint="default"/>
      </w:rPr>
    </w:lvl>
  </w:abstractNum>
  <w:abstractNum w:abstractNumId="80" w15:restartNumberingAfterBreak="0">
    <w:nsid w:val="7291057A"/>
    <w:multiLevelType w:val="hybridMultilevel"/>
    <w:tmpl w:val="2FD8013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81" w15:restartNumberingAfterBreak="0">
    <w:nsid w:val="72FD1EE3"/>
    <w:multiLevelType w:val="hybridMultilevel"/>
    <w:tmpl w:val="58182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3E0194C"/>
    <w:multiLevelType w:val="hybridMultilevel"/>
    <w:tmpl w:val="C28879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5CC7439"/>
    <w:multiLevelType w:val="hybridMultilevel"/>
    <w:tmpl w:val="FBD008B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75F4750A"/>
    <w:multiLevelType w:val="hybridMultilevel"/>
    <w:tmpl w:val="9308343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85" w15:restartNumberingAfterBreak="0">
    <w:nsid w:val="77E979C3"/>
    <w:multiLevelType w:val="hybridMultilevel"/>
    <w:tmpl w:val="FEE6626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HelveticaNeue" w:hAnsi="HelveticaNeue"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Courier New" w:hAnsi="Courier New" w:hint="default"/>
      </w:rPr>
    </w:lvl>
    <w:lvl w:ilvl="6" w:tplc="FFFFFFFF" w:tentative="1">
      <w:start w:val="1"/>
      <w:numFmt w:val="bullet"/>
      <w:lvlText w:val=""/>
      <w:lvlJc w:val="left"/>
      <w:pPr>
        <w:ind w:left="5040" w:hanging="360"/>
      </w:pPr>
      <w:rPr>
        <w:rFonts w:ascii="HelveticaNeue" w:hAnsi="HelveticaNeue"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Courier New" w:hAnsi="Courier New" w:hint="default"/>
      </w:rPr>
    </w:lvl>
  </w:abstractNum>
  <w:abstractNum w:abstractNumId="86" w15:restartNumberingAfterBreak="0">
    <w:nsid w:val="786174D0"/>
    <w:multiLevelType w:val="hybridMultilevel"/>
    <w:tmpl w:val="BD806D4C"/>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ymbol" w:hAnsi="Symbol" w:cs="Symbol" w:hint="default"/>
      </w:rPr>
    </w:lvl>
    <w:lvl w:ilvl="2" w:tplc="FFFFFFFF" w:tentative="1">
      <w:start w:val="1"/>
      <w:numFmt w:val="bullet"/>
      <w:lvlText w:val=""/>
      <w:lvlJc w:val="left"/>
      <w:pPr>
        <w:ind w:left="1800" w:hanging="360"/>
      </w:pPr>
      <w:rPr>
        <w:rFonts w:ascii="Courier New" w:hAnsi="Courier New" w:hint="default"/>
      </w:rPr>
    </w:lvl>
    <w:lvl w:ilvl="3" w:tplc="FFFFFFFF" w:tentative="1">
      <w:start w:val="1"/>
      <w:numFmt w:val="bullet"/>
      <w:lvlText w:val=""/>
      <w:lvlJc w:val="left"/>
      <w:pPr>
        <w:ind w:left="2520" w:hanging="360"/>
      </w:pPr>
      <w:rPr>
        <w:rFonts w:ascii="HelveticaNeue" w:hAnsi="HelveticaNeue" w:hint="default"/>
      </w:rPr>
    </w:lvl>
    <w:lvl w:ilvl="4" w:tplc="FFFFFFFF" w:tentative="1">
      <w:start w:val="1"/>
      <w:numFmt w:val="bullet"/>
      <w:lvlText w:val="o"/>
      <w:lvlJc w:val="left"/>
      <w:pPr>
        <w:ind w:left="3240" w:hanging="360"/>
      </w:pPr>
      <w:rPr>
        <w:rFonts w:ascii="Symbol" w:hAnsi="Symbol" w:cs="Symbol" w:hint="default"/>
      </w:rPr>
    </w:lvl>
    <w:lvl w:ilvl="5" w:tplc="FFFFFFFF" w:tentative="1">
      <w:start w:val="1"/>
      <w:numFmt w:val="bullet"/>
      <w:lvlText w:val=""/>
      <w:lvlJc w:val="left"/>
      <w:pPr>
        <w:ind w:left="3960" w:hanging="360"/>
      </w:pPr>
      <w:rPr>
        <w:rFonts w:ascii="Courier New" w:hAnsi="Courier New" w:hint="default"/>
      </w:rPr>
    </w:lvl>
    <w:lvl w:ilvl="6" w:tplc="FFFFFFFF" w:tentative="1">
      <w:start w:val="1"/>
      <w:numFmt w:val="bullet"/>
      <w:lvlText w:val=""/>
      <w:lvlJc w:val="left"/>
      <w:pPr>
        <w:ind w:left="4680" w:hanging="360"/>
      </w:pPr>
      <w:rPr>
        <w:rFonts w:ascii="HelveticaNeue" w:hAnsi="HelveticaNeue" w:hint="default"/>
      </w:rPr>
    </w:lvl>
    <w:lvl w:ilvl="7" w:tplc="FFFFFFFF" w:tentative="1">
      <w:start w:val="1"/>
      <w:numFmt w:val="bullet"/>
      <w:lvlText w:val="o"/>
      <w:lvlJc w:val="left"/>
      <w:pPr>
        <w:ind w:left="5400" w:hanging="360"/>
      </w:pPr>
      <w:rPr>
        <w:rFonts w:ascii="Symbol" w:hAnsi="Symbol" w:cs="Symbol" w:hint="default"/>
      </w:rPr>
    </w:lvl>
    <w:lvl w:ilvl="8" w:tplc="FFFFFFFF" w:tentative="1">
      <w:start w:val="1"/>
      <w:numFmt w:val="bullet"/>
      <w:lvlText w:val=""/>
      <w:lvlJc w:val="left"/>
      <w:pPr>
        <w:ind w:left="6120" w:hanging="360"/>
      </w:pPr>
      <w:rPr>
        <w:rFonts w:ascii="Courier New" w:hAnsi="Courier New" w:hint="default"/>
      </w:rPr>
    </w:lvl>
  </w:abstractNum>
  <w:abstractNum w:abstractNumId="87" w15:restartNumberingAfterBreak="0">
    <w:nsid w:val="78E37C29"/>
    <w:multiLevelType w:val="hybridMultilevel"/>
    <w:tmpl w:val="C28879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9B60092"/>
    <w:multiLevelType w:val="hybridMultilevel"/>
    <w:tmpl w:val="295AD74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7C063C48"/>
    <w:multiLevelType w:val="hybridMultilevel"/>
    <w:tmpl w:val="A892829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7C8D1227"/>
    <w:multiLevelType w:val="multilevel"/>
    <w:tmpl w:val="2328F9C4"/>
    <w:lvl w:ilvl="0">
      <w:start w:val="6"/>
      <w:numFmt w:val="decimal"/>
      <w:pStyle w:val="ListBullet5"/>
      <w:lvlText w:val="%1.0"/>
      <w:lvlJc w:val="left"/>
      <w:pPr>
        <w:tabs>
          <w:tab w:val="num" w:pos="720"/>
        </w:tabs>
        <w:ind w:left="720" w:hanging="720"/>
      </w:pPr>
      <w:rPr>
        <w:rFonts w:hint="default"/>
        <w:u w:val="none"/>
      </w:rPr>
    </w:lvl>
    <w:lvl w:ilvl="1">
      <w:start w:val="1"/>
      <w:numFmt w:val="none"/>
      <w:lvlText w:val="3.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3240"/>
        </w:tabs>
        <w:ind w:left="3240" w:hanging="108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920"/>
        </w:tabs>
        <w:ind w:left="7920" w:hanging="2160"/>
      </w:pPr>
      <w:rPr>
        <w:rFonts w:hint="default"/>
        <w:u w:val="none"/>
      </w:rPr>
    </w:lvl>
  </w:abstractNum>
  <w:abstractNum w:abstractNumId="91" w15:restartNumberingAfterBreak="0">
    <w:nsid w:val="7CAD4670"/>
    <w:multiLevelType w:val="hybridMultilevel"/>
    <w:tmpl w:val="6C2A2104"/>
    <w:lvl w:ilvl="0" w:tplc="0C090001">
      <w:start w:val="1"/>
      <w:numFmt w:val="bullet"/>
      <w:pStyle w:val="Heading1"/>
      <w:lvlText w:val=""/>
      <w:lvlJc w:val="left"/>
      <w:pPr>
        <w:tabs>
          <w:tab w:val="num" w:pos="720"/>
        </w:tabs>
        <w:ind w:left="720" w:hanging="360"/>
      </w:pPr>
      <w:rPr>
        <w:rFonts w:ascii="HelveticaNeue" w:hAnsi="HelveticaNeue" w:hint="default"/>
      </w:rPr>
    </w:lvl>
    <w:lvl w:ilvl="1" w:tplc="FFFFFFFF">
      <w:start w:val="1"/>
      <w:numFmt w:val="decimal"/>
      <w:pStyle w:val="Heading2"/>
      <w:lvlText w:val="%2."/>
      <w:lvlJc w:val="left"/>
      <w:pPr>
        <w:tabs>
          <w:tab w:val="num" w:pos="1440"/>
        </w:tabs>
        <w:ind w:left="1440" w:hanging="360"/>
      </w:pPr>
    </w:lvl>
    <w:lvl w:ilvl="2" w:tplc="FFFFFFFF" w:tentative="1">
      <w:start w:val="1"/>
      <w:numFmt w:val="decimal"/>
      <w:pStyle w:val="Heading3"/>
      <w:lvlText w:val="%3."/>
      <w:lvlJc w:val="left"/>
      <w:pPr>
        <w:tabs>
          <w:tab w:val="num" w:pos="2160"/>
        </w:tabs>
        <w:ind w:left="2160" w:hanging="360"/>
      </w:pPr>
    </w:lvl>
    <w:lvl w:ilvl="3" w:tplc="FFFFFFFF" w:tentative="1">
      <w:start w:val="1"/>
      <w:numFmt w:val="decimal"/>
      <w:pStyle w:val="Heading4"/>
      <w:lvlText w:val="%4."/>
      <w:lvlJc w:val="left"/>
      <w:pPr>
        <w:tabs>
          <w:tab w:val="num" w:pos="2880"/>
        </w:tabs>
        <w:ind w:left="2880" w:hanging="360"/>
      </w:pPr>
    </w:lvl>
    <w:lvl w:ilvl="4" w:tplc="FFFFFFFF" w:tentative="1">
      <w:start w:val="1"/>
      <w:numFmt w:val="decimal"/>
      <w:pStyle w:val="Heading5"/>
      <w:lvlText w:val="%5."/>
      <w:lvlJc w:val="left"/>
      <w:pPr>
        <w:tabs>
          <w:tab w:val="num" w:pos="3600"/>
        </w:tabs>
        <w:ind w:left="3600" w:hanging="360"/>
      </w:pPr>
    </w:lvl>
    <w:lvl w:ilvl="5" w:tplc="FFFFFFFF">
      <w:start w:val="1"/>
      <w:numFmt w:val="decimal"/>
      <w:pStyle w:val="Heading6"/>
      <w:lvlText w:val="%6."/>
      <w:lvlJc w:val="left"/>
      <w:pPr>
        <w:tabs>
          <w:tab w:val="num" w:pos="4320"/>
        </w:tabs>
        <w:ind w:left="4320" w:hanging="360"/>
      </w:pPr>
    </w:lvl>
    <w:lvl w:ilvl="6" w:tplc="FFFFFFFF" w:tentative="1">
      <w:start w:val="1"/>
      <w:numFmt w:val="decimal"/>
      <w:pStyle w:val="Heading7"/>
      <w:lvlText w:val="%7."/>
      <w:lvlJc w:val="left"/>
      <w:pPr>
        <w:tabs>
          <w:tab w:val="num" w:pos="5040"/>
        </w:tabs>
        <w:ind w:left="5040" w:hanging="360"/>
      </w:pPr>
    </w:lvl>
    <w:lvl w:ilvl="7" w:tplc="FFFFFFFF" w:tentative="1">
      <w:start w:val="1"/>
      <w:numFmt w:val="decimal"/>
      <w:pStyle w:val="Heading8"/>
      <w:lvlText w:val="%8."/>
      <w:lvlJc w:val="left"/>
      <w:pPr>
        <w:tabs>
          <w:tab w:val="num" w:pos="5760"/>
        </w:tabs>
        <w:ind w:left="5760" w:hanging="360"/>
      </w:pPr>
    </w:lvl>
    <w:lvl w:ilvl="8" w:tplc="FFFFFFFF" w:tentative="1">
      <w:start w:val="1"/>
      <w:numFmt w:val="decimal"/>
      <w:pStyle w:val="Heading9"/>
      <w:lvlText w:val="%9."/>
      <w:lvlJc w:val="left"/>
      <w:pPr>
        <w:tabs>
          <w:tab w:val="num" w:pos="6480"/>
        </w:tabs>
        <w:ind w:left="6480" w:hanging="360"/>
      </w:pPr>
    </w:lvl>
  </w:abstractNum>
  <w:abstractNum w:abstractNumId="92" w15:restartNumberingAfterBreak="0">
    <w:nsid w:val="7D9D4ADF"/>
    <w:multiLevelType w:val="hybridMultilevel"/>
    <w:tmpl w:val="286AB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379480">
    <w:abstractNumId w:val="36"/>
  </w:num>
  <w:num w:numId="2" w16cid:durableId="863058401">
    <w:abstractNumId w:val="68"/>
  </w:num>
  <w:num w:numId="3" w16cid:durableId="531069175">
    <w:abstractNumId w:val="58"/>
  </w:num>
  <w:num w:numId="4" w16cid:durableId="749156824">
    <w:abstractNumId w:val="32"/>
  </w:num>
  <w:num w:numId="5" w16cid:durableId="385422475">
    <w:abstractNumId w:val="90"/>
  </w:num>
  <w:num w:numId="6" w16cid:durableId="2034257607">
    <w:abstractNumId w:val="21"/>
  </w:num>
  <w:num w:numId="7" w16cid:durableId="744306466">
    <w:abstractNumId w:val="78"/>
  </w:num>
  <w:num w:numId="8" w16cid:durableId="367410820">
    <w:abstractNumId w:val="77"/>
  </w:num>
  <w:num w:numId="9" w16cid:durableId="1808817822">
    <w:abstractNumId w:val="47"/>
  </w:num>
  <w:num w:numId="10" w16cid:durableId="1169953282">
    <w:abstractNumId w:val="53"/>
  </w:num>
  <w:num w:numId="11" w16cid:durableId="2017147558">
    <w:abstractNumId w:val="45"/>
  </w:num>
  <w:num w:numId="12" w16cid:durableId="1689674937">
    <w:abstractNumId w:val="62"/>
  </w:num>
  <w:num w:numId="13" w16cid:durableId="1976446497">
    <w:abstractNumId w:val="91"/>
  </w:num>
  <w:num w:numId="14" w16cid:durableId="385298818">
    <w:abstractNumId w:val="0"/>
  </w:num>
  <w:num w:numId="15" w16cid:durableId="727219177">
    <w:abstractNumId w:val="25"/>
  </w:num>
  <w:num w:numId="16" w16cid:durableId="843207188">
    <w:abstractNumId w:val="38"/>
  </w:num>
  <w:num w:numId="17" w16cid:durableId="271132746">
    <w:abstractNumId w:val="67"/>
  </w:num>
  <w:num w:numId="18" w16cid:durableId="763960468">
    <w:abstractNumId w:val="67"/>
    <w:lvlOverride w:ilvl="0">
      <w:startOverride w:val="1"/>
    </w:lvlOverride>
  </w:num>
  <w:num w:numId="19" w16cid:durableId="1214778697">
    <w:abstractNumId w:val="23"/>
  </w:num>
  <w:num w:numId="20" w16cid:durableId="950819465">
    <w:abstractNumId w:val="23"/>
    <w:lvlOverride w:ilvl="0">
      <w:startOverride w:val="1"/>
    </w:lvlOverride>
  </w:num>
  <w:num w:numId="21" w16cid:durableId="2142989200">
    <w:abstractNumId w:val="23"/>
    <w:lvlOverride w:ilvl="0">
      <w:startOverride w:val="1"/>
    </w:lvlOverride>
  </w:num>
  <w:num w:numId="22" w16cid:durableId="583876577">
    <w:abstractNumId w:val="23"/>
    <w:lvlOverride w:ilvl="0">
      <w:startOverride w:val="1"/>
    </w:lvlOverride>
  </w:num>
  <w:num w:numId="23" w16cid:durableId="2007173679">
    <w:abstractNumId w:val="7"/>
  </w:num>
  <w:num w:numId="24" w16cid:durableId="1995374699">
    <w:abstractNumId w:val="39"/>
  </w:num>
  <w:num w:numId="25" w16cid:durableId="1114397422">
    <w:abstractNumId w:val="2"/>
  </w:num>
  <w:num w:numId="26" w16cid:durableId="1150244799">
    <w:abstractNumId w:val="52"/>
  </w:num>
  <w:num w:numId="27" w16cid:durableId="302395273">
    <w:abstractNumId w:val="11"/>
  </w:num>
  <w:num w:numId="28" w16cid:durableId="990713268">
    <w:abstractNumId w:val="89"/>
  </w:num>
  <w:num w:numId="29" w16cid:durableId="761413765">
    <w:abstractNumId w:val="83"/>
  </w:num>
  <w:num w:numId="30" w16cid:durableId="846941441">
    <w:abstractNumId w:val="16"/>
  </w:num>
  <w:num w:numId="31" w16cid:durableId="1628852535">
    <w:abstractNumId w:val="88"/>
  </w:num>
  <w:num w:numId="32" w16cid:durableId="898787082">
    <w:abstractNumId w:val="75"/>
  </w:num>
  <w:num w:numId="33" w16cid:durableId="606473973">
    <w:abstractNumId w:val="30"/>
  </w:num>
  <w:num w:numId="34" w16cid:durableId="1394499709">
    <w:abstractNumId w:val="35"/>
  </w:num>
  <w:num w:numId="35" w16cid:durableId="1267271864">
    <w:abstractNumId w:val="1"/>
  </w:num>
  <w:num w:numId="36" w16cid:durableId="1407070002">
    <w:abstractNumId w:val="87"/>
  </w:num>
  <w:num w:numId="37" w16cid:durableId="127674899">
    <w:abstractNumId w:val="82"/>
  </w:num>
  <w:num w:numId="38" w16cid:durableId="1924026111">
    <w:abstractNumId w:val="17"/>
  </w:num>
  <w:num w:numId="39" w16cid:durableId="1522889562">
    <w:abstractNumId w:val="42"/>
  </w:num>
  <w:num w:numId="40" w16cid:durableId="39399443">
    <w:abstractNumId w:val="92"/>
  </w:num>
  <w:num w:numId="41" w16cid:durableId="1652784534">
    <w:abstractNumId w:val="70"/>
  </w:num>
  <w:num w:numId="42" w16cid:durableId="783888452">
    <w:abstractNumId w:val="73"/>
  </w:num>
  <w:num w:numId="43" w16cid:durableId="190385449">
    <w:abstractNumId w:val="28"/>
  </w:num>
  <w:num w:numId="44" w16cid:durableId="2045211023">
    <w:abstractNumId w:val="48"/>
  </w:num>
  <w:num w:numId="45" w16cid:durableId="708338076">
    <w:abstractNumId w:val="81"/>
  </w:num>
  <w:num w:numId="46" w16cid:durableId="206261299">
    <w:abstractNumId w:val="10"/>
  </w:num>
  <w:num w:numId="47" w16cid:durableId="340930891">
    <w:abstractNumId w:val="67"/>
    <w:lvlOverride w:ilvl="0">
      <w:startOverride w:val="1"/>
    </w:lvlOverride>
  </w:num>
  <w:num w:numId="48" w16cid:durableId="154877411">
    <w:abstractNumId w:val="44"/>
  </w:num>
  <w:num w:numId="49" w16cid:durableId="247471322">
    <w:abstractNumId w:val="63"/>
  </w:num>
  <w:num w:numId="50" w16cid:durableId="1145316226">
    <w:abstractNumId w:val="13"/>
  </w:num>
  <w:num w:numId="51" w16cid:durableId="911548380">
    <w:abstractNumId w:val="12"/>
  </w:num>
  <w:num w:numId="52" w16cid:durableId="2141418486">
    <w:abstractNumId w:val="18"/>
  </w:num>
  <w:num w:numId="53" w16cid:durableId="1564028660">
    <w:abstractNumId w:val="79"/>
  </w:num>
  <w:num w:numId="54" w16cid:durableId="310521146">
    <w:abstractNumId w:val="65"/>
  </w:num>
  <w:num w:numId="55" w16cid:durableId="2054424538">
    <w:abstractNumId w:val="50"/>
  </w:num>
  <w:num w:numId="56" w16cid:durableId="1642691248">
    <w:abstractNumId w:val="57"/>
  </w:num>
  <w:num w:numId="57" w16cid:durableId="1125544629">
    <w:abstractNumId w:val="31"/>
  </w:num>
  <w:num w:numId="58" w16cid:durableId="1136291897">
    <w:abstractNumId w:val="37"/>
  </w:num>
  <w:num w:numId="59" w16cid:durableId="1307323834">
    <w:abstractNumId w:val="51"/>
  </w:num>
  <w:num w:numId="60" w16cid:durableId="2056153818">
    <w:abstractNumId w:val="72"/>
  </w:num>
  <w:num w:numId="61" w16cid:durableId="559947826">
    <w:abstractNumId w:val="15"/>
  </w:num>
  <w:num w:numId="62" w16cid:durableId="126363416">
    <w:abstractNumId w:val="46"/>
  </w:num>
  <w:num w:numId="63" w16cid:durableId="1473213128">
    <w:abstractNumId w:val="61"/>
  </w:num>
  <w:num w:numId="64" w16cid:durableId="1750274839">
    <w:abstractNumId w:val="19"/>
  </w:num>
  <w:num w:numId="65" w16cid:durableId="780800546">
    <w:abstractNumId w:val="6"/>
  </w:num>
  <w:num w:numId="66" w16cid:durableId="1741294217">
    <w:abstractNumId w:val="34"/>
  </w:num>
  <w:num w:numId="67" w16cid:durableId="829445147">
    <w:abstractNumId w:val="41"/>
  </w:num>
  <w:num w:numId="68" w16cid:durableId="2081823005">
    <w:abstractNumId w:val="85"/>
  </w:num>
  <w:num w:numId="69" w16cid:durableId="568662037">
    <w:abstractNumId w:val="24"/>
  </w:num>
  <w:num w:numId="70" w16cid:durableId="650791581">
    <w:abstractNumId w:val="60"/>
  </w:num>
  <w:num w:numId="71" w16cid:durableId="1865706611">
    <w:abstractNumId w:val="14"/>
  </w:num>
  <w:num w:numId="72" w16cid:durableId="2074963278">
    <w:abstractNumId w:val="43"/>
  </w:num>
  <w:num w:numId="73" w16cid:durableId="1640963689">
    <w:abstractNumId w:val="29"/>
  </w:num>
  <w:num w:numId="74" w16cid:durableId="831868232">
    <w:abstractNumId w:val="54"/>
  </w:num>
  <w:num w:numId="75" w16cid:durableId="230577883">
    <w:abstractNumId w:val="3"/>
  </w:num>
  <w:num w:numId="76" w16cid:durableId="125316465">
    <w:abstractNumId w:val="56"/>
  </w:num>
  <w:num w:numId="77" w16cid:durableId="1129517176">
    <w:abstractNumId w:val="5"/>
  </w:num>
  <w:num w:numId="78" w16cid:durableId="1198196545">
    <w:abstractNumId w:val="26"/>
  </w:num>
  <w:num w:numId="79" w16cid:durableId="1135636156">
    <w:abstractNumId w:val="74"/>
  </w:num>
  <w:num w:numId="80" w16cid:durableId="589196207">
    <w:abstractNumId w:val="69"/>
  </w:num>
  <w:num w:numId="81" w16cid:durableId="324476702">
    <w:abstractNumId w:val="8"/>
  </w:num>
  <w:num w:numId="82" w16cid:durableId="1603302432">
    <w:abstractNumId w:val="59"/>
  </w:num>
  <w:num w:numId="83" w16cid:durableId="742340657">
    <w:abstractNumId w:val="86"/>
  </w:num>
  <w:num w:numId="84" w16cid:durableId="564073156">
    <w:abstractNumId w:val="33"/>
  </w:num>
  <w:num w:numId="85" w16cid:durableId="1160578708">
    <w:abstractNumId w:val="80"/>
  </w:num>
  <w:num w:numId="86" w16cid:durableId="308753702">
    <w:abstractNumId w:val="66"/>
  </w:num>
  <w:num w:numId="87" w16cid:durableId="124082624">
    <w:abstractNumId w:val="40"/>
  </w:num>
  <w:num w:numId="88" w16cid:durableId="247354029">
    <w:abstractNumId w:val="49"/>
  </w:num>
  <w:num w:numId="89" w16cid:durableId="211619573">
    <w:abstractNumId w:val="76"/>
  </w:num>
  <w:num w:numId="90" w16cid:durableId="368454548">
    <w:abstractNumId w:val="22"/>
  </w:num>
  <w:num w:numId="91" w16cid:durableId="1960530638">
    <w:abstractNumId w:val="27"/>
  </w:num>
  <w:num w:numId="92" w16cid:durableId="851529422">
    <w:abstractNumId w:val="64"/>
  </w:num>
  <w:num w:numId="93" w16cid:durableId="1673991995">
    <w:abstractNumId w:val="20"/>
  </w:num>
  <w:num w:numId="94" w16cid:durableId="2119136316">
    <w:abstractNumId w:val="55"/>
  </w:num>
  <w:num w:numId="95" w16cid:durableId="1688630381">
    <w:abstractNumId w:val="4"/>
  </w:num>
  <w:num w:numId="96" w16cid:durableId="1614481809">
    <w:abstractNumId w:val="71"/>
  </w:num>
  <w:num w:numId="97" w16cid:durableId="1264924793">
    <w:abstractNumId w:val="84"/>
  </w:num>
  <w:num w:numId="98" w16cid:durableId="316493344">
    <w:abstractNumId w:val="67"/>
    <w:lvlOverride w:ilvl="0">
      <w:startOverride w:val="1"/>
    </w:lvlOverride>
  </w:num>
  <w:num w:numId="99" w16cid:durableId="164639447">
    <w:abstractNumId w:val="67"/>
    <w:lvlOverride w:ilvl="0">
      <w:startOverride w:val="1"/>
    </w:lvlOverride>
  </w:num>
  <w:num w:numId="100" w16cid:durableId="1665088110">
    <w:abstractNumId w:val="67"/>
    <w:lvlOverride w:ilvl="0">
      <w:startOverride w:val="1"/>
    </w:lvlOverride>
  </w:num>
  <w:num w:numId="101" w16cid:durableId="961183135">
    <w:abstractNumId w:val="67"/>
  </w:num>
  <w:num w:numId="102" w16cid:durableId="250478910">
    <w:abstractNumId w:val="67"/>
    <w:lvlOverride w:ilvl="0">
      <w:startOverride w:val="1"/>
    </w:lvlOverride>
  </w:num>
  <w:num w:numId="103" w16cid:durableId="770781684">
    <w:abstractNumId w:val="67"/>
    <w:lvlOverride w:ilvl="0">
      <w:startOverride w:val="1"/>
    </w:lvlOverride>
  </w:num>
  <w:num w:numId="104" w16cid:durableId="284317251">
    <w:abstractNumId w:val="9"/>
  </w:num>
  <w:num w:numId="105" w16cid:durableId="139083389">
    <w:abstractNumId w:val="67"/>
  </w:num>
  <w:num w:numId="106" w16cid:durableId="1732145437">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7"/>
  <w:drawingGridVerticalSpacing w:val="187"/>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7EA"/>
    <w:rsid w:val="0000008F"/>
    <w:rsid w:val="000008E2"/>
    <w:rsid w:val="00000CD0"/>
    <w:rsid w:val="000025BB"/>
    <w:rsid w:val="00002F98"/>
    <w:rsid w:val="00003AAD"/>
    <w:rsid w:val="00007611"/>
    <w:rsid w:val="000109A8"/>
    <w:rsid w:val="00010BAC"/>
    <w:rsid w:val="00011C78"/>
    <w:rsid w:val="000123A2"/>
    <w:rsid w:val="00012E2E"/>
    <w:rsid w:val="000142FE"/>
    <w:rsid w:val="000143B2"/>
    <w:rsid w:val="000145C2"/>
    <w:rsid w:val="0001579C"/>
    <w:rsid w:val="00015FD4"/>
    <w:rsid w:val="000165D9"/>
    <w:rsid w:val="000165DD"/>
    <w:rsid w:val="00016C10"/>
    <w:rsid w:val="00016CC3"/>
    <w:rsid w:val="0002067E"/>
    <w:rsid w:val="00021BA6"/>
    <w:rsid w:val="00022720"/>
    <w:rsid w:val="00023015"/>
    <w:rsid w:val="00023426"/>
    <w:rsid w:val="000256E7"/>
    <w:rsid w:val="00025EB0"/>
    <w:rsid w:val="0002747F"/>
    <w:rsid w:val="00027C7F"/>
    <w:rsid w:val="000328D1"/>
    <w:rsid w:val="0003382C"/>
    <w:rsid w:val="00033A4C"/>
    <w:rsid w:val="000347A1"/>
    <w:rsid w:val="000364A9"/>
    <w:rsid w:val="00037933"/>
    <w:rsid w:val="00037A87"/>
    <w:rsid w:val="0004038F"/>
    <w:rsid w:val="00040A3D"/>
    <w:rsid w:val="00040F91"/>
    <w:rsid w:val="00041005"/>
    <w:rsid w:val="0004126E"/>
    <w:rsid w:val="00041B9E"/>
    <w:rsid w:val="00041C27"/>
    <w:rsid w:val="000449F4"/>
    <w:rsid w:val="00045C25"/>
    <w:rsid w:val="00046265"/>
    <w:rsid w:val="0004714F"/>
    <w:rsid w:val="000472E0"/>
    <w:rsid w:val="00050321"/>
    <w:rsid w:val="00050434"/>
    <w:rsid w:val="00051E4D"/>
    <w:rsid w:val="00053DAD"/>
    <w:rsid w:val="0005480B"/>
    <w:rsid w:val="00054BBC"/>
    <w:rsid w:val="00055920"/>
    <w:rsid w:val="0005606B"/>
    <w:rsid w:val="00057339"/>
    <w:rsid w:val="00057D61"/>
    <w:rsid w:val="0006017F"/>
    <w:rsid w:val="0006074C"/>
    <w:rsid w:val="00060840"/>
    <w:rsid w:val="00061013"/>
    <w:rsid w:val="0006254D"/>
    <w:rsid w:val="00062CEA"/>
    <w:rsid w:val="000633B1"/>
    <w:rsid w:val="00063506"/>
    <w:rsid w:val="0006368B"/>
    <w:rsid w:val="000638C3"/>
    <w:rsid w:val="000652DB"/>
    <w:rsid w:val="00065B56"/>
    <w:rsid w:val="00065F1E"/>
    <w:rsid w:val="00066B88"/>
    <w:rsid w:val="000672C7"/>
    <w:rsid w:val="000705A0"/>
    <w:rsid w:val="00070B07"/>
    <w:rsid w:val="00072001"/>
    <w:rsid w:val="000723D2"/>
    <w:rsid w:val="000724F4"/>
    <w:rsid w:val="000729DF"/>
    <w:rsid w:val="00073072"/>
    <w:rsid w:val="00074B74"/>
    <w:rsid w:val="000750EF"/>
    <w:rsid w:val="000753C2"/>
    <w:rsid w:val="00076C90"/>
    <w:rsid w:val="000778C5"/>
    <w:rsid w:val="0008283C"/>
    <w:rsid w:val="00084555"/>
    <w:rsid w:val="0008464D"/>
    <w:rsid w:val="00085486"/>
    <w:rsid w:val="00086475"/>
    <w:rsid w:val="00087DC6"/>
    <w:rsid w:val="0009128E"/>
    <w:rsid w:val="000916BD"/>
    <w:rsid w:val="00091B43"/>
    <w:rsid w:val="00092E2E"/>
    <w:rsid w:val="000949DB"/>
    <w:rsid w:val="000954B3"/>
    <w:rsid w:val="000966E6"/>
    <w:rsid w:val="00096853"/>
    <w:rsid w:val="00097468"/>
    <w:rsid w:val="00097531"/>
    <w:rsid w:val="000A072A"/>
    <w:rsid w:val="000A10C0"/>
    <w:rsid w:val="000A2366"/>
    <w:rsid w:val="000A23E0"/>
    <w:rsid w:val="000A2CA3"/>
    <w:rsid w:val="000A3162"/>
    <w:rsid w:val="000A44CB"/>
    <w:rsid w:val="000A5316"/>
    <w:rsid w:val="000A5AEB"/>
    <w:rsid w:val="000B05D3"/>
    <w:rsid w:val="000B1381"/>
    <w:rsid w:val="000B15FC"/>
    <w:rsid w:val="000B162F"/>
    <w:rsid w:val="000B216C"/>
    <w:rsid w:val="000B25DE"/>
    <w:rsid w:val="000B27B5"/>
    <w:rsid w:val="000B3329"/>
    <w:rsid w:val="000B48F0"/>
    <w:rsid w:val="000C0E89"/>
    <w:rsid w:val="000C1052"/>
    <w:rsid w:val="000C22C6"/>
    <w:rsid w:val="000C2A9C"/>
    <w:rsid w:val="000C4630"/>
    <w:rsid w:val="000C472A"/>
    <w:rsid w:val="000C4E59"/>
    <w:rsid w:val="000C63F7"/>
    <w:rsid w:val="000C7529"/>
    <w:rsid w:val="000C7772"/>
    <w:rsid w:val="000D19C0"/>
    <w:rsid w:val="000D2406"/>
    <w:rsid w:val="000D2C71"/>
    <w:rsid w:val="000D4515"/>
    <w:rsid w:val="000D51D7"/>
    <w:rsid w:val="000D5446"/>
    <w:rsid w:val="000D61F9"/>
    <w:rsid w:val="000D6D44"/>
    <w:rsid w:val="000D7109"/>
    <w:rsid w:val="000E0F57"/>
    <w:rsid w:val="000E0F8F"/>
    <w:rsid w:val="000E14C9"/>
    <w:rsid w:val="000E1EE0"/>
    <w:rsid w:val="000E213C"/>
    <w:rsid w:val="000E2A39"/>
    <w:rsid w:val="000E2E54"/>
    <w:rsid w:val="000E4E57"/>
    <w:rsid w:val="000E548F"/>
    <w:rsid w:val="000E5B44"/>
    <w:rsid w:val="000E706E"/>
    <w:rsid w:val="000E7589"/>
    <w:rsid w:val="000E79B7"/>
    <w:rsid w:val="000F0378"/>
    <w:rsid w:val="000F117F"/>
    <w:rsid w:val="000F1663"/>
    <w:rsid w:val="000F29FB"/>
    <w:rsid w:val="000F309C"/>
    <w:rsid w:val="000F5240"/>
    <w:rsid w:val="000F5347"/>
    <w:rsid w:val="000F79BE"/>
    <w:rsid w:val="000F7B14"/>
    <w:rsid w:val="0010050E"/>
    <w:rsid w:val="00101D06"/>
    <w:rsid w:val="00102BA5"/>
    <w:rsid w:val="00103E4C"/>
    <w:rsid w:val="00103F5F"/>
    <w:rsid w:val="00105240"/>
    <w:rsid w:val="001052F4"/>
    <w:rsid w:val="00107CF5"/>
    <w:rsid w:val="00110644"/>
    <w:rsid w:val="001114A2"/>
    <w:rsid w:val="00113710"/>
    <w:rsid w:val="001138D4"/>
    <w:rsid w:val="00116908"/>
    <w:rsid w:val="00117493"/>
    <w:rsid w:val="001175AA"/>
    <w:rsid w:val="0012038B"/>
    <w:rsid w:val="00120788"/>
    <w:rsid w:val="001207A6"/>
    <w:rsid w:val="001208E3"/>
    <w:rsid w:val="0012185F"/>
    <w:rsid w:val="00121A0B"/>
    <w:rsid w:val="00122039"/>
    <w:rsid w:val="00122774"/>
    <w:rsid w:val="0012342F"/>
    <w:rsid w:val="00123BCC"/>
    <w:rsid w:val="00124B1A"/>
    <w:rsid w:val="0012694E"/>
    <w:rsid w:val="00126AC9"/>
    <w:rsid w:val="00127C6B"/>
    <w:rsid w:val="00131854"/>
    <w:rsid w:val="00133A12"/>
    <w:rsid w:val="00134BAF"/>
    <w:rsid w:val="0013614D"/>
    <w:rsid w:val="0013743F"/>
    <w:rsid w:val="00142285"/>
    <w:rsid w:val="001430CF"/>
    <w:rsid w:val="00143BAC"/>
    <w:rsid w:val="00143E3F"/>
    <w:rsid w:val="00147F72"/>
    <w:rsid w:val="00152ED1"/>
    <w:rsid w:val="0015361E"/>
    <w:rsid w:val="001537AF"/>
    <w:rsid w:val="0015490B"/>
    <w:rsid w:val="001553D3"/>
    <w:rsid w:val="00155624"/>
    <w:rsid w:val="00161ACE"/>
    <w:rsid w:val="0016386D"/>
    <w:rsid w:val="00163B71"/>
    <w:rsid w:val="00163B84"/>
    <w:rsid w:val="00163BF0"/>
    <w:rsid w:val="00165492"/>
    <w:rsid w:val="00165FF6"/>
    <w:rsid w:val="00166A91"/>
    <w:rsid w:val="00166F70"/>
    <w:rsid w:val="001675D0"/>
    <w:rsid w:val="00170F78"/>
    <w:rsid w:val="0017297F"/>
    <w:rsid w:val="00172FD1"/>
    <w:rsid w:val="00172FE6"/>
    <w:rsid w:val="00173006"/>
    <w:rsid w:val="00173144"/>
    <w:rsid w:val="001752F1"/>
    <w:rsid w:val="00175AB2"/>
    <w:rsid w:val="001774DE"/>
    <w:rsid w:val="001815F7"/>
    <w:rsid w:val="0018453F"/>
    <w:rsid w:val="0018515E"/>
    <w:rsid w:val="00185746"/>
    <w:rsid w:val="00186D89"/>
    <w:rsid w:val="00187499"/>
    <w:rsid w:val="00190B70"/>
    <w:rsid w:val="0019136B"/>
    <w:rsid w:val="00191A66"/>
    <w:rsid w:val="00191FD4"/>
    <w:rsid w:val="00192A95"/>
    <w:rsid w:val="00192DA9"/>
    <w:rsid w:val="0019462C"/>
    <w:rsid w:val="00195384"/>
    <w:rsid w:val="0019550F"/>
    <w:rsid w:val="00196234"/>
    <w:rsid w:val="001968BC"/>
    <w:rsid w:val="00196C6A"/>
    <w:rsid w:val="0019705D"/>
    <w:rsid w:val="001A04FF"/>
    <w:rsid w:val="001A071C"/>
    <w:rsid w:val="001A08DA"/>
    <w:rsid w:val="001A17F1"/>
    <w:rsid w:val="001A1C0A"/>
    <w:rsid w:val="001A27C4"/>
    <w:rsid w:val="001A32CB"/>
    <w:rsid w:val="001A5C5C"/>
    <w:rsid w:val="001A6030"/>
    <w:rsid w:val="001A6307"/>
    <w:rsid w:val="001B012D"/>
    <w:rsid w:val="001B1872"/>
    <w:rsid w:val="001B1EF1"/>
    <w:rsid w:val="001B20B9"/>
    <w:rsid w:val="001B3357"/>
    <w:rsid w:val="001B39DF"/>
    <w:rsid w:val="001B39E5"/>
    <w:rsid w:val="001B4B49"/>
    <w:rsid w:val="001B5005"/>
    <w:rsid w:val="001B6233"/>
    <w:rsid w:val="001B6906"/>
    <w:rsid w:val="001C07F0"/>
    <w:rsid w:val="001C0B3D"/>
    <w:rsid w:val="001C1408"/>
    <w:rsid w:val="001C34C5"/>
    <w:rsid w:val="001C4B56"/>
    <w:rsid w:val="001C4DDA"/>
    <w:rsid w:val="001C50E1"/>
    <w:rsid w:val="001C5128"/>
    <w:rsid w:val="001C59C1"/>
    <w:rsid w:val="001C7003"/>
    <w:rsid w:val="001C708C"/>
    <w:rsid w:val="001C7BC1"/>
    <w:rsid w:val="001C7DC7"/>
    <w:rsid w:val="001D018E"/>
    <w:rsid w:val="001D262B"/>
    <w:rsid w:val="001D3618"/>
    <w:rsid w:val="001D364E"/>
    <w:rsid w:val="001D541A"/>
    <w:rsid w:val="001D68BB"/>
    <w:rsid w:val="001D75AE"/>
    <w:rsid w:val="001D7AB0"/>
    <w:rsid w:val="001E071E"/>
    <w:rsid w:val="001E0C07"/>
    <w:rsid w:val="001E0ED7"/>
    <w:rsid w:val="001E17B1"/>
    <w:rsid w:val="001E219B"/>
    <w:rsid w:val="001E3F9A"/>
    <w:rsid w:val="001E4BF7"/>
    <w:rsid w:val="001E5B30"/>
    <w:rsid w:val="001E684E"/>
    <w:rsid w:val="001E68F2"/>
    <w:rsid w:val="001E6DD2"/>
    <w:rsid w:val="001E6F5F"/>
    <w:rsid w:val="001F0C1E"/>
    <w:rsid w:val="001F0E1F"/>
    <w:rsid w:val="001F28EF"/>
    <w:rsid w:val="001F2DDA"/>
    <w:rsid w:val="001F33AA"/>
    <w:rsid w:val="001F470C"/>
    <w:rsid w:val="001F49ED"/>
    <w:rsid w:val="001F4A3F"/>
    <w:rsid w:val="001F5B33"/>
    <w:rsid w:val="001F765B"/>
    <w:rsid w:val="001F7888"/>
    <w:rsid w:val="001F7D9D"/>
    <w:rsid w:val="0020260A"/>
    <w:rsid w:val="002036CA"/>
    <w:rsid w:val="002045D5"/>
    <w:rsid w:val="002052A5"/>
    <w:rsid w:val="002077AA"/>
    <w:rsid w:val="00207FF0"/>
    <w:rsid w:val="002104FA"/>
    <w:rsid w:val="00210603"/>
    <w:rsid w:val="00211CCD"/>
    <w:rsid w:val="002126F4"/>
    <w:rsid w:val="00212BE6"/>
    <w:rsid w:val="00212EF7"/>
    <w:rsid w:val="002130BC"/>
    <w:rsid w:val="00213DFA"/>
    <w:rsid w:val="00214148"/>
    <w:rsid w:val="00215F1C"/>
    <w:rsid w:val="002167A0"/>
    <w:rsid w:val="002167B0"/>
    <w:rsid w:val="002168B6"/>
    <w:rsid w:val="002174A1"/>
    <w:rsid w:val="002204CB"/>
    <w:rsid w:val="002209F9"/>
    <w:rsid w:val="00220C30"/>
    <w:rsid w:val="00220CDE"/>
    <w:rsid w:val="002213A3"/>
    <w:rsid w:val="0022203A"/>
    <w:rsid w:val="00222DED"/>
    <w:rsid w:val="00223050"/>
    <w:rsid w:val="002236AB"/>
    <w:rsid w:val="00223EFA"/>
    <w:rsid w:val="0022439F"/>
    <w:rsid w:val="002243D0"/>
    <w:rsid w:val="002245D2"/>
    <w:rsid w:val="00224E4B"/>
    <w:rsid w:val="00224FF5"/>
    <w:rsid w:val="00225AA3"/>
    <w:rsid w:val="00225B5C"/>
    <w:rsid w:val="00226B25"/>
    <w:rsid w:val="00226ED1"/>
    <w:rsid w:val="002313AF"/>
    <w:rsid w:val="00233528"/>
    <w:rsid w:val="00233E9D"/>
    <w:rsid w:val="002346A8"/>
    <w:rsid w:val="00234C7B"/>
    <w:rsid w:val="002350EF"/>
    <w:rsid w:val="00236AAC"/>
    <w:rsid w:val="002401CA"/>
    <w:rsid w:val="00240238"/>
    <w:rsid w:val="002404F4"/>
    <w:rsid w:val="00241764"/>
    <w:rsid w:val="0024380C"/>
    <w:rsid w:val="00244151"/>
    <w:rsid w:val="00244449"/>
    <w:rsid w:val="00244A33"/>
    <w:rsid w:val="00244FDC"/>
    <w:rsid w:val="002453A5"/>
    <w:rsid w:val="00245EFD"/>
    <w:rsid w:val="00246232"/>
    <w:rsid w:val="00246549"/>
    <w:rsid w:val="002501C2"/>
    <w:rsid w:val="002504B9"/>
    <w:rsid w:val="00251B59"/>
    <w:rsid w:val="002522DA"/>
    <w:rsid w:val="002522F1"/>
    <w:rsid w:val="00253681"/>
    <w:rsid w:val="00254084"/>
    <w:rsid w:val="00256608"/>
    <w:rsid w:val="002570D1"/>
    <w:rsid w:val="002572F7"/>
    <w:rsid w:val="002579CD"/>
    <w:rsid w:val="002605D9"/>
    <w:rsid w:val="00260666"/>
    <w:rsid w:val="00260C66"/>
    <w:rsid w:val="00260E00"/>
    <w:rsid w:val="00261D25"/>
    <w:rsid w:val="00261F11"/>
    <w:rsid w:val="0026393B"/>
    <w:rsid w:val="0026671B"/>
    <w:rsid w:val="00266D31"/>
    <w:rsid w:val="00266E5E"/>
    <w:rsid w:val="002714D1"/>
    <w:rsid w:val="00271923"/>
    <w:rsid w:val="002729BF"/>
    <w:rsid w:val="002731DB"/>
    <w:rsid w:val="002735C1"/>
    <w:rsid w:val="00274DF2"/>
    <w:rsid w:val="00274F0E"/>
    <w:rsid w:val="0027552B"/>
    <w:rsid w:val="00276D80"/>
    <w:rsid w:val="002772A7"/>
    <w:rsid w:val="00277E25"/>
    <w:rsid w:val="00281A8A"/>
    <w:rsid w:val="002820F2"/>
    <w:rsid w:val="00283B9A"/>
    <w:rsid w:val="00285A9D"/>
    <w:rsid w:val="00285EC8"/>
    <w:rsid w:val="00285F71"/>
    <w:rsid w:val="00286E02"/>
    <w:rsid w:val="0028729B"/>
    <w:rsid w:val="002877F7"/>
    <w:rsid w:val="00290113"/>
    <w:rsid w:val="0029030C"/>
    <w:rsid w:val="002914BB"/>
    <w:rsid w:val="00292DEA"/>
    <w:rsid w:val="0029361A"/>
    <w:rsid w:val="00293E28"/>
    <w:rsid w:val="00294284"/>
    <w:rsid w:val="002948FF"/>
    <w:rsid w:val="002954D3"/>
    <w:rsid w:val="00295DFF"/>
    <w:rsid w:val="00295E9D"/>
    <w:rsid w:val="002967D5"/>
    <w:rsid w:val="0029784C"/>
    <w:rsid w:val="002A04E0"/>
    <w:rsid w:val="002A16DB"/>
    <w:rsid w:val="002A1AEB"/>
    <w:rsid w:val="002A3266"/>
    <w:rsid w:val="002A3E1B"/>
    <w:rsid w:val="002A44B4"/>
    <w:rsid w:val="002A5284"/>
    <w:rsid w:val="002A5B5D"/>
    <w:rsid w:val="002A60BB"/>
    <w:rsid w:val="002A6829"/>
    <w:rsid w:val="002A6DC3"/>
    <w:rsid w:val="002A73FD"/>
    <w:rsid w:val="002B1164"/>
    <w:rsid w:val="002B1460"/>
    <w:rsid w:val="002B1D43"/>
    <w:rsid w:val="002B2CDC"/>
    <w:rsid w:val="002B2F14"/>
    <w:rsid w:val="002B3242"/>
    <w:rsid w:val="002B3A0D"/>
    <w:rsid w:val="002B49BB"/>
    <w:rsid w:val="002B533F"/>
    <w:rsid w:val="002B547C"/>
    <w:rsid w:val="002B55C0"/>
    <w:rsid w:val="002B5A16"/>
    <w:rsid w:val="002B744D"/>
    <w:rsid w:val="002C099D"/>
    <w:rsid w:val="002C0B69"/>
    <w:rsid w:val="002C22C0"/>
    <w:rsid w:val="002C294B"/>
    <w:rsid w:val="002C3046"/>
    <w:rsid w:val="002C3AD6"/>
    <w:rsid w:val="002C3E80"/>
    <w:rsid w:val="002C6490"/>
    <w:rsid w:val="002C7305"/>
    <w:rsid w:val="002C7B9D"/>
    <w:rsid w:val="002D0878"/>
    <w:rsid w:val="002D1530"/>
    <w:rsid w:val="002D25CF"/>
    <w:rsid w:val="002D300A"/>
    <w:rsid w:val="002D36A8"/>
    <w:rsid w:val="002D491C"/>
    <w:rsid w:val="002D4A3D"/>
    <w:rsid w:val="002D59A4"/>
    <w:rsid w:val="002D6895"/>
    <w:rsid w:val="002D7E19"/>
    <w:rsid w:val="002E0980"/>
    <w:rsid w:val="002E1871"/>
    <w:rsid w:val="002E1AE4"/>
    <w:rsid w:val="002E258C"/>
    <w:rsid w:val="002E2616"/>
    <w:rsid w:val="002E27A5"/>
    <w:rsid w:val="002E411A"/>
    <w:rsid w:val="002E51FE"/>
    <w:rsid w:val="002E581F"/>
    <w:rsid w:val="002E5B50"/>
    <w:rsid w:val="002E6040"/>
    <w:rsid w:val="002E6883"/>
    <w:rsid w:val="002E6892"/>
    <w:rsid w:val="002E77B1"/>
    <w:rsid w:val="002E7C03"/>
    <w:rsid w:val="002F02D6"/>
    <w:rsid w:val="002F0BEF"/>
    <w:rsid w:val="002F1B76"/>
    <w:rsid w:val="002F27DA"/>
    <w:rsid w:val="002F2C04"/>
    <w:rsid w:val="002F44EE"/>
    <w:rsid w:val="002F49B5"/>
    <w:rsid w:val="002F5B07"/>
    <w:rsid w:val="002F76ED"/>
    <w:rsid w:val="002F7C99"/>
    <w:rsid w:val="003009C8"/>
    <w:rsid w:val="003026AF"/>
    <w:rsid w:val="003032D2"/>
    <w:rsid w:val="003051B2"/>
    <w:rsid w:val="003068D0"/>
    <w:rsid w:val="00307F56"/>
    <w:rsid w:val="0031014B"/>
    <w:rsid w:val="0031459E"/>
    <w:rsid w:val="00314E8B"/>
    <w:rsid w:val="003151A4"/>
    <w:rsid w:val="003174C4"/>
    <w:rsid w:val="00317A7F"/>
    <w:rsid w:val="00317C5B"/>
    <w:rsid w:val="003209D2"/>
    <w:rsid w:val="00321538"/>
    <w:rsid w:val="0032157D"/>
    <w:rsid w:val="00321A2C"/>
    <w:rsid w:val="003227D7"/>
    <w:rsid w:val="003228D7"/>
    <w:rsid w:val="003238C1"/>
    <w:rsid w:val="00324933"/>
    <w:rsid w:val="003256F0"/>
    <w:rsid w:val="00326E78"/>
    <w:rsid w:val="00330577"/>
    <w:rsid w:val="00331415"/>
    <w:rsid w:val="00331E99"/>
    <w:rsid w:val="003341A4"/>
    <w:rsid w:val="00335BB7"/>
    <w:rsid w:val="00335DBB"/>
    <w:rsid w:val="00335F16"/>
    <w:rsid w:val="0033602A"/>
    <w:rsid w:val="003364FB"/>
    <w:rsid w:val="003365F4"/>
    <w:rsid w:val="00341CD8"/>
    <w:rsid w:val="003428F2"/>
    <w:rsid w:val="00342D0A"/>
    <w:rsid w:val="00343572"/>
    <w:rsid w:val="0034387D"/>
    <w:rsid w:val="003440DF"/>
    <w:rsid w:val="00346D4C"/>
    <w:rsid w:val="0034707B"/>
    <w:rsid w:val="003479A7"/>
    <w:rsid w:val="003509EE"/>
    <w:rsid w:val="00353D1E"/>
    <w:rsid w:val="00353D48"/>
    <w:rsid w:val="003554A3"/>
    <w:rsid w:val="00356885"/>
    <w:rsid w:val="00356C22"/>
    <w:rsid w:val="0035743E"/>
    <w:rsid w:val="00357CDB"/>
    <w:rsid w:val="00360246"/>
    <w:rsid w:val="00360C3C"/>
    <w:rsid w:val="00360E36"/>
    <w:rsid w:val="00361874"/>
    <w:rsid w:val="0036292A"/>
    <w:rsid w:val="003629E0"/>
    <w:rsid w:val="00362B61"/>
    <w:rsid w:val="00363657"/>
    <w:rsid w:val="003639AB"/>
    <w:rsid w:val="00365828"/>
    <w:rsid w:val="00365A1C"/>
    <w:rsid w:val="00365A88"/>
    <w:rsid w:val="00366039"/>
    <w:rsid w:val="0036642F"/>
    <w:rsid w:val="00366E91"/>
    <w:rsid w:val="003715C8"/>
    <w:rsid w:val="003727B3"/>
    <w:rsid w:val="00372979"/>
    <w:rsid w:val="0037436F"/>
    <w:rsid w:val="0037458A"/>
    <w:rsid w:val="00375B8F"/>
    <w:rsid w:val="00375F53"/>
    <w:rsid w:val="00376ED8"/>
    <w:rsid w:val="003774D6"/>
    <w:rsid w:val="00380638"/>
    <w:rsid w:val="0038133A"/>
    <w:rsid w:val="003819F1"/>
    <w:rsid w:val="00381D48"/>
    <w:rsid w:val="00382D39"/>
    <w:rsid w:val="003841E7"/>
    <w:rsid w:val="003847EB"/>
    <w:rsid w:val="003848AE"/>
    <w:rsid w:val="00384C3D"/>
    <w:rsid w:val="0038513E"/>
    <w:rsid w:val="003851E1"/>
    <w:rsid w:val="00386B81"/>
    <w:rsid w:val="00390D61"/>
    <w:rsid w:val="00394017"/>
    <w:rsid w:val="003941C2"/>
    <w:rsid w:val="0039442C"/>
    <w:rsid w:val="00394A9E"/>
    <w:rsid w:val="00397517"/>
    <w:rsid w:val="003A1326"/>
    <w:rsid w:val="003A1F69"/>
    <w:rsid w:val="003A2139"/>
    <w:rsid w:val="003A26DA"/>
    <w:rsid w:val="003A2EC4"/>
    <w:rsid w:val="003A3595"/>
    <w:rsid w:val="003A380A"/>
    <w:rsid w:val="003A3BC4"/>
    <w:rsid w:val="003A3D05"/>
    <w:rsid w:val="003A42C1"/>
    <w:rsid w:val="003A5BA2"/>
    <w:rsid w:val="003A6328"/>
    <w:rsid w:val="003A7CDB"/>
    <w:rsid w:val="003B03F9"/>
    <w:rsid w:val="003B04F6"/>
    <w:rsid w:val="003B0FA4"/>
    <w:rsid w:val="003B1964"/>
    <w:rsid w:val="003B1D93"/>
    <w:rsid w:val="003B28EB"/>
    <w:rsid w:val="003B2A46"/>
    <w:rsid w:val="003B36E8"/>
    <w:rsid w:val="003B38BB"/>
    <w:rsid w:val="003B5237"/>
    <w:rsid w:val="003B53B2"/>
    <w:rsid w:val="003B643A"/>
    <w:rsid w:val="003B6A53"/>
    <w:rsid w:val="003B73AA"/>
    <w:rsid w:val="003C10AA"/>
    <w:rsid w:val="003C20F5"/>
    <w:rsid w:val="003C2A02"/>
    <w:rsid w:val="003C3A56"/>
    <w:rsid w:val="003C4197"/>
    <w:rsid w:val="003C4E60"/>
    <w:rsid w:val="003C5118"/>
    <w:rsid w:val="003C52AB"/>
    <w:rsid w:val="003C6231"/>
    <w:rsid w:val="003C6B3B"/>
    <w:rsid w:val="003C6FA1"/>
    <w:rsid w:val="003C7577"/>
    <w:rsid w:val="003C7DC2"/>
    <w:rsid w:val="003D0D3E"/>
    <w:rsid w:val="003D0FB2"/>
    <w:rsid w:val="003D11B5"/>
    <w:rsid w:val="003D3B19"/>
    <w:rsid w:val="003D4B38"/>
    <w:rsid w:val="003D6A5F"/>
    <w:rsid w:val="003D7F2F"/>
    <w:rsid w:val="003E004C"/>
    <w:rsid w:val="003E08E9"/>
    <w:rsid w:val="003E0D19"/>
    <w:rsid w:val="003E0D8B"/>
    <w:rsid w:val="003E0F3F"/>
    <w:rsid w:val="003E1645"/>
    <w:rsid w:val="003E3242"/>
    <w:rsid w:val="003E44CF"/>
    <w:rsid w:val="003E4A00"/>
    <w:rsid w:val="003E5094"/>
    <w:rsid w:val="003E5517"/>
    <w:rsid w:val="003F0199"/>
    <w:rsid w:val="003F1376"/>
    <w:rsid w:val="003F253D"/>
    <w:rsid w:val="003F38AD"/>
    <w:rsid w:val="003F4954"/>
    <w:rsid w:val="003F4C24"/>
    <w:rsid w:val="00402190"/>
    <w:rsid w:val="004026C4"/>
    <w:rsid w:val="00402EDA"/>
    <w:rsid w:val="004033F9"/>
    <w:rsid w:val="00404A23"/>
    <w:rsid w:val="004050C5"/>
    <w:rsid w:val="00405A2B"/>
    <w:rsid w:val="00405A9D"/>
    <w:rsid w:val="00405F68"/>
    <w:rsid w:val="00406D54"/>
    <w:rsid w:val="00407233"/>
    <w:rsid w:val="004078A7"/>
    <w:rsid w:val="00407F79"/>
    <w:rsid w:val="00410E67"/>
    <w:rsid w:val="00416129"/>
    <w:rsid w:val="00416DD4"/>
    <w:rsid w:val="00424557"/>
    <w:rsid w:val="00424990"/>
    <w:rsid w:val="00424DC9"/>
    <w:rsid w:val="004313D2"/>
    <w:rsid w:val="00432C21"/>
    <w:rsid w:val="00432EFB"/>
    <w:rsid w:val="00433334"/>
    <w:rsid w:val="00435036"/>
    <w:rsid w:val="00436137"/>
    <w:rsid w:val="004362F5"/>
    <w:rsid w:val="00436C13"/>
    <w:rsid w:val="00437990"/>
    <w:rsid w:val="0044076B"/>
    <w:rsid w:val="00440DAA"/>
    <w:rsid w:val="00440FA3"/>
    <w:rsid w:val="004414CC"/>
    <w:rsid w:val="00441732"/>
    <w:rsid w:val="00441892"/>
    <w:rsid w:val="00441B4C"/>
    <w:rsid w:val="00443298"/>
    <w:rsid w:val="004434F2"/>
    <w:rsid w:val="0044358E"/>
    <w:rsid w:val="004454E9"/>
    <w:rsid w:val="004458DB"/>
    <w:rsid w:val="00445E95"/>
    <w:rsid w:val="004464D1"/>
    <w:rsid w:val="00446A22"/>
    <w:rsid w:val="00446B48"/>
    <w:rsid w:val="004472E1"/>
    <w:rsid w:val="00447B33"/>
    <w:rsid w:val="0045014B"/>
    <w:rsid w:val="004501CA"/>
    <w:rsid w:val="00450B5F"/>
    <w:rsid w:val="00450C14"/>
    <w:rsid w:val="0045199D"/>
    <w:rsid w:val="0045259E"/>
    <w:rsid w:val="004526C4"/>
    <w:rsid w:val="00453075"/>
    <w:rsid w:val="00453502"/>
    <w:rsid w:val="004536B2"/>
    <w:rsid w:val="00454957"/>
    <w:rsid w:val="004554A5"/>
    <w:rsid w:val="004554FD"/>
    <w:rsid w:val="00455D85"/>
    <w:rsid w:val="00456654"/>
    <w:rsid w:val="0045681D"/>
    <w:rsid w:val="00457D16"/>
    <w:rsid w:val="0046020D"/>
    <w:rsid w:val="0046029E"/>
    <w:rsid w:val="004605DD"/>
    <w:rsid w:val="0046141B"/>
    <w:rsid w:val="00462E75"/>
    <w:rsid w:val="0046369B"/>
    <w:rsid w:val="00463986"/>
    <w:rsid w:val="00464A06"/>
    <w:rsid w:val="00467ACF"/>
    <w:rsid w:val="00471418"/>
    <w:rsid w:val="004717E0"/>
    <w:rsid w:val="00471DE1"/>
    <w:rsid w:val="00471E8D"/>
    <w:rsid w:val="00472AFC"/>
    <w:rsid w:val="00474129"/>
    <w:rsid w:val="00474294"/>
    <w:rsid w:val="00474D3B"/>
    <w:rsid w:val="00475E0C"/>
    <w:rsid w:val="00476471"/>
    <w:rsid w:val="0047703B"/>
    <w:rsid w:val="00477589"/>
    <w:rsid w:val="00477941"/>
    <w:rsid w:val="00477E7A"/>
    <w:rsid w:val="00480501"/>
    <w:rsid w:val="00480686"/>
    <w:rsid w:val="00481309"/>
    <w:rsid w:val="0048234F"/>
    <w:rsid w:val="00482FF8"/>
    <w:rsid w:val="00486319"/>
    <w:rsid w:val="004870BF"/>
    <w:rsid w:val="00487410"/>
    <w:rsid w:val="00487B6A"/>
    <w:rsid w:val="00487FAA"/>
    <w:rsid w:val="00490906"/>
    <w:rsid w:val="00490C15"/>
    <w:rsid w:val="00491FC3"/>
    <w:rsid w:val="00492801"/>
    <w:rsid w:val="0049514C"/>
    <w:rsid w:val="004975C5"/>
    <w:rsid w:val="004A0A02"/>
    <w:rsid w:val="004A0D5C"/>
    <w:rsid w:val="004A1159"/>
    <w:rsid w:val="004A14AC"/>
    <w:rsid w:val="004A1CBA"/>
    <w:rsid w:val="004A1D00"/>
    <w:rsid w:val="004A1E3D"/>
    <w:rsid w:val="004A252C"/>
    <w:rsid w:val="004A33D0"/>
    <w:rsid w:val="004A56DA"/>
    <w:rsid w:val="004A633E"/>
    <w:rsid w:val="004A6DEB"/>
    <w:rsid w:val="004A715F"/>
    <w:rsid w:val="004A76C6"/>
    <w:rsid w:val="004A7F5F"/>
    <w:rsid w:val="004B00F1"/>
    <w:rsid w:val="004B04AE"/>
    <w:rsid w:val="004B0609"/>
    <w:rsid w:val="004B0624"/>
    <w:rsid w:val="004B07EA"/>
    <w:rsid w:val="004B094B"/>
    <w:rsid w:val="004B19B3"/>
    <w:rsid w:val="004B1CAC"/>
    <w:rsid w:val="004B32B7"/>
    <w:rsid w:val="004B5081"/>
    <w:rsid w:val="004B6E2A"/>
    <w:rsid w:val="004B76D9"/>
    <w:rsid w:val="004B779F"/>
    <w:rsid w:val="004B7A8D"/>
    <w:rsid w:val="004B7B79"/>
    <w:rsid w:val="004C2AD8"/>
    <w:rsid w:val="004C4A5B"/>
    <w:rsid w:val="004C5E80"/>
    <w:rsid w:val="004C60BB"/>
    <w:rsid w:val="004C7548"/>
    <w:rsid w:val="004D05F2"/>
    <w:rsid w:val="004D0E26"/>
    <w:rsid w:val="004D1164"/>
    <w:rsid w:val="004D2ABA"/>
    <w:rsid w:val="004D2EEB"/>
    <w:rsid w:val="004D58D2"/>
    <w:rsid w:val="004D59A0"/>
    <w:rsid w:val="004D7AB7"/>
    <w:rsid w:val="004D7FC2"/>
    <w:rsid w:val="004E0C23"/>
    <w:rsid w:val="004E1317"/>
    <w:rsid w:val="004E1B65"/>
    <w:rsid w:val="004E1CA8"/>
    <w:rsid w:val="004E2E1C"/>
    <w:rsid w:val="004E2EE2"/>
    <w:rsid w:val="004E5C7F"/>
    <w:rsid w:val="004E676D"/>
    <w:rsid w:val="004E6B8A"/>
    <w:rsid w:val="004E7C97"/>
    <w:rsid w:val="004E7EF2"/>
    <w:rsid w:val="004F0F92"/>
    <w:rsid w:val="004F1582"/>
    <w:rsid w:val="004F16AB"/>
    <w:rsid w:val="004F28E8"/>
    <w:rsid w:val="004F352E"/>
    <w:rsid w:val="004F3C03"/>
    <w:rsid w:val="004F4C7C"/>
    <w:rsid w:val="004F4D32"/>
    <w:rsid w:val="004F54C9"/>
    <w:rsid w:val="004F6161"/>
    <w:rsid w:val="004F646D"/>
    <w:rsid w:val="004F6511"/>
    <w:rsid w:val="004F68DF"/>
    <w:rsid w:val="004F6E9A"/>
    <w:rsid w:val="004F7803"/>
    <w:rsid w:val="0050033A"/>
    <w:rsid w:val="00500721"/>
    <w:rsid w:val="00501D65"/>
    <w:rsid w:val="00502136"/>
    <w:rsid w:val="0050241A"/>
    <w:rsid w:val="00503500"/>
    <w:rsid w:val="005054F8"/>
    <w:rsid w:val="0050566F"/>
    <w:rsid w:val="00506D19"/>
    <w:rsid w:val="00506FFA"/>
    <w:rsid w:val="0050708A"/>
    <w:rsid w:val="00507425"/>
    <w:rsid w:val="00507BF9"/>
    <w:rsid w:val="00510F21"/>
    <w:rsid w:val="00511143"/>
    <w:rsid w:val="00511485"/>
    <w:rsid w:val="00511621"/>
    <w:rsid w:val="00513C25"/>
    <w:rsid w:val="00514947"/>
    <w:rsid w:val="00514F4A"/>
    <w:rsid w:val="00516BA3"/>
    <w:rsid w:val="00520408"/>
    <w:rsid w:val="00522076"/>
    <w:rsid w:val="0052318A"/>
    <w:rsid w:val="00523BDD"/>
    <w:rsid w:val="00523BF8"/>
    <w:rsid w:val="0052433D"/>
    <w:rsid w:val="00524825"/>
    <w:rsid w:val="00524F1A"/>
    <w:rsid w:val="00524F69"/>
    <w:rsid w:val="00526ABA"/>
    <w:rsid w:val="00527014"/>
    <w:rsid w:val="00527FF3"/>
    <w:rsid w:val="00530CD5"/>
    <w:rsid w:val="00530E52"/>
    <w:rsid w:val="00531541"/>
    <w:rsid w:val="00531E2C"/>
    <w:rsid w:val="00532383"/>
    <w:rsid w:val="00533775"/>
    <w:rsid w:val="00534131"/>
    <w:rsid w:val="00534A38"/>
    <w:rsid w:val="005358E6"/>
    <w:rsid w:val="005368BF"/>
    <w:rsid w:val="00536C87"/>
    <w:rsid w:val="00537CF5"/>
    <w:rsid w:val="00537FC9"/>
    <w:rsid w:val="0054008D"/>
    <w:rsid w:val="00540DCE"/>
    <w:rsid w:val="00541B4C"/>
    <w:rsid w:val="00541E89"/>
    <w:rsid w:val="005421F5"/>
    <w:rsid w:val="00542E50"/>
    <w:rsid w:val="00544FFA"/>
    <w:rsid w:val="00545284"/>
    <w:rsid w:val="005453CE"/>
    <w:rsid w:val="00545B64"/>
    <w:rsid w:val="00547274"/>
    <w:rsid w:val="00547FE8"/>
    <w:rsid w:val="005504A8"/>
    <w:rsid w:val="005509C4"/>
    <w:rsid w:val="005510DD"/>
    <w:rsid w:val="005514D6"/>
    <w:rsid w:val="0055177E"/>
    <w:rsid w:val="00551A06"/>
    <w:rsid w:val="00551C48"/>
    <w:rsid w:val="005524C3"/>
    <w:rsid w:val="00552E33"/>
    <w:rsid w:val="00553509"/>
    <w:rsid w:val="0055358F"/>
    <w:rsid w:val="00553B48"/>
    <w:rsid w:val="00553C7F"/>
    <w:rsid w:val="005542A5"/>
    <w:rsid w:val="00555160"/>
    <w:rsid w:val="0055583B"/>
    <w:rsid w:val="00555EEB"/>
    <w:rsid w:val="00556D00"/>
    <w:rsid w:val="00562AA9"/>
    <w:rsid w:val="005630D1"/>
    <w:rsid w:val="005632EB"/>
    <w:rsid w:val="005644BC"/>
    <w:rsid w:val="005659C4"/>
    <w:rsid w:val="005677D1"/>
    <w:rsid w:val="00570BD4"/>
    <w:rsid w:val="0057223B"/>
    <w:rsid w:val="00572743"/>
    <w:rsid w:val="00573CA6"/>
    <w:rsid w:val="00574FD9"/>
    <w:rsid w:val="00575246"/>
    <w:rsid w:val="00575460"/>
    <w:rsid w:val="0057594B"/>
    <w:rsid w:val="00576E1B"/>
    <w:rsid w:val="005773C2"/>
    <w:rsid w:val="00577D6F"/>
    <w:rsid w:val="00577F28"/>
    <w:rsid w:val="005802C9"/>
    <w:rsid w:val="0058203E"/>
    <w:rsid w:val="00582491"/>
    <w:rsid w:val="0058255A"/>
    <w:rsid w:val="00582F4E"/>
    <w:rsid w:val="005835C9"/>
    <w:rsid w:val="00583C5E"/>
    <w:rsid w:val="0058400D"/>
    <w:rsid w:val="005842EB"/>
    <w:rsid w:val="0058445A"/>
    <w:rsid w:val="00585123"/>
    <w:rsid w:val="005851A7"/>
    <w:rsid w:val="00585A84"/>
    <w:rsid w:val="00585D65"/>
    <w:rsid w:val="0058752D"/>
    <w:rsid w:val="005909A6"/>
    <w:rsid w:val="00590A7D"/>
    <w:rsid w:val="00590F4F"/>
    <w:rsid w:val="0059179F"/>
    <w:rsid w:val="005923CF"/>
    <w:rsid w:val="00592797"/>
    <w:rsid w:val="00593245"/>
    <w:rsid w:val="00594606"/>
    <w:rsid w:val="00594D19"/>
    <w:rsid w:val="00595843"/>
    <w:rsid w:val="00597F74"/>
    <w:rsid w:val="005A244E"/>
    <w:rsid w:val="005A2C4F"/>
    <w:rsid w:val="005A3196"/>
    <w:rsid w:val="005A3CB6"/>
    <w:rsid w:val="005A4CA2"/>
    <w:rsid w:val="005A5575"/>
    <w:rsid w:val="005A55F4"/>
    <w:rsid w:val="005A5B7A"/>
    <w:rsid w:val="005B0E50"/>
    <w:rsid w:val="005B0E9B"/>
    <w:rsid w:val="005B1302"/>
    <w:rsid w:val="005B1671"/>
    <w:rsid w:val="005B26F4"/>
    <w:rsid w:val="005B3816"/>
    <w:rsid w:val="005B4B81"/>
    <w:rsid w:val="005B4BFB"/>
    <w:rsid w:val="005B56A7"/>
    <w:rsid w:val="005B5FE2"/>
    <w:rsid w:val="005B7010"/>
    <w:rsid w:val="005B76D1"/>
    <w:rsid w:val="005B7ED9"/>
    <w:rsid w:val="005C0E2C"/>
    <w:rsid w:val="005C1754"/>
    <w:rsid w:val="005C2A4E"/>
    <w:rsid w:val="005C3D5A"/>
    <w:rsid w:val="005C49E0"/>
    <w:rsid w:val="005C6372"/>
    <w:rsid w:val="005C6AA6"/>
    <w:rsid w:val="005C6C1C"/>
    <w:rsid w:val="005C7F69"/>
    <w:rsid w:val="005D0850"/>
    <w:rsid w:val="005D2111"/>
    <w:rsid w:val="005D239A"/>
    <w:rsid w:val="005D2425"/>
    <w:rsid w:val="005D2CE6"/>
    <w:rsid w:val="005D3013"/>
    <w:rsid w:val="005D4FA0"/>
    <w:rsid w:val="005D561C"/>
    <w:rsid w:val="005D5813"/>
    <w:rsid w:val="005D7E6A"/>
    <w:rsid w:val="005E00E5"/>
    <w:rsid w:val="005E0335"/>
    <w:rsid w:val="005E0766"/>
    <w:rsid w:val="005E1341"/>
    <w:rsid w:val="005E2172"/>
    <w:rsid w:val="005E2A02"/>
    <w:rsid w:val="005E36E4"/>
    <w:rsid w:val="005E471A"/>
    <w:rsid w:val="005E47A3"/>
    <w:rsid w:val="005E4B0F"/>
    <w:rsid w:val="005E510C"/>
    <w:rsid w:val="005E6B00"/>
    <w:rsid w:val="005E782E"/>
    <w:rsid w:val="005F0AAA"/>
    <w:rsid w:val="005F14AB"/>
    <w:rsid w:val="005F20F4"/>
    <w:rsid w:val="005F2C0D"/>
    <w:rsid w:val="005F2FB8"/>
    <w:rsid w:val="005F33F5"/>
    <w:rsid w:val="005F3D5E"/>
    <w:rsid w:val="005F4E4E"/>
    <w:rsid w:val="005F4F75"/>
    <w:rsid w:val="005F5257"/>
    <w:rsid w:val="005F57BF"/>
    <w:rsid w:val="005F58AF"/>
    <w:rsid w:val="005F592C"/>
    <w:rsid w:val="005F5BA1"/>
    <w:rsid w:val="005F6050"/>
    <w:rsid w:val="005F73B4"/>
    <w:rsid w:val="00600198"/>
    <w:rsid w:val="00600351"/>
    <w:rsid w:val="00601892"/>
    <w:rsid w:val="00601DE3"/>
    <w:rsid w:val="0060411C"/>
    <w:rsid w:val="00604C27"/>
    <w:rsid w:val="00604DFD"/>
    <w:rsid w:val="0060520F"/>
    <w:rsid w:val="00605D76"/>
    <w:rsid w:val="006067DE"/>
    <w:rsid w:val="0060683E"/>
    <w:rsid w:val="00606FEE"/>
    <w:rsid w:val="0060709F"/>
    <w:rsid w:val="00607E2B"/>
    <w:rsid w:val="006105EC"/>
    <w:rsid w:val="00612DB2"/>
    <w:rsid w:val="00612DE1"/>
    <w:rsid w:val="00614483"/>
    <w:rsid w:val="006146B9"/>
    <w:rsid w:val="00614784"/>
    <w:rsid w:val="00615AF1"/>
    <w:rsid w:val="00621223"/>
    <w:rsid w:val="00622193"/>
    <w:rsid w:val="00622B15"/>
    <w:rsid w:val="006237CD"/>
    <w:rsid w:val="00623860"/>
    <w:rsid w:val="00623A9C"/>
    <w:rsid w:val="00623AB9"/>
    <w:rsid w:val="006240D4"/>
    <w:rsid w:val="006241C9"/>
    <w:rsid w:val="00624BF8"/>
    <w:rsid w:val="00626403"/>
    <w:rsid w:val="00627250"/>
    <w:rsid w:val="006277AB"/>
    <w:rsid w:val="00627B8D"/>
    <w:rsid w:val="00632815"/>
    <w:rsid w:val="00632928"/>
    <w:rsid w:val="0063491F"/>
    <w:rsid w:val="00634B6A"/>
    <w:rsid w:val="0063753C"/>
    <w:rsid w:val="00637CED"/>
    <w:rsid w:val="00640820"/>
    <w:rsid w:val="00640B6A"/>
    <w:rsid w:val="00641250"/>
    <w:rsid w:val="00641C04"/>
    <w:rsid w:val="00643BFC"/>
    <w:rsid w:val="00645338"/>
    <w:rsid w:val="006456E1"/>
    <w:rsid w:val="006460F4"/>
    <w:rsid w:val="0064726D"/>
    <w:rsid w:val="006502D0"/>
    <w:rsid w:val="0065045A"/>
    <w:rsid w:val="0065056F"/>
    <w:rsid w:val="00651E92"/>
    <w:rsid w:val="00653133"/>
    <w:rsid w:val="00653380"/>
    <w:rsid w:val="00653686"/>
    <w:rsid w:val="0065424A"/>
    <w:rsid w:val="00654A70"/>
    <w:rsid w:val="00655C8E"/>
    <w:rsid w:val="00655F3F"/>
    <w:rsid w:val="00656976"/>
    <w:rsid w:val="006570D4"/>
    <w:rsid w:val="00657E86"/>
    <w:rsid w:val="00661475"/>
    <w:rsid w:val="00662D57"/>
    <w:rsid w:val="00663001"/>
    <w:rsid w:val="00663F65"/>
    <w:rsid w:val="006642D9"/>
    <w:rsid w:val="00664357"/>
    <w:rsid w:val="00664F39"/>
    <w:rsid w:val="00665063"/>
    <w:rsid w:val="00665BA1"/>
    <w:rsid w:val="00665D0C"/>
    <w:rsid w:val="00666185"/>
    <w:rsid w:val="0067176A"/>
    <w:rsid w:val="00671CD9"/>
    <w:rsid w:val="006723D8"/>
    <w:rsid w:val="00673542"/>
    <w:rsid w:val="00674971"/>
    <w:rsid w:val="00674E39"/>
    <w:rsid w:val="006750B6"/>
    <w:rsid w:val="006754BC"/>
    <w:rsid w:val="006778B4"/>
    <w:rsid w:val="00680A2A"/>
    <w:rsid w:val="00681DFB"/>
    <w:rsid w:val="00682D98"/>
    <w:rsid w:val="006842CE"/>
    <w:rsid w:val="00684570"/>
    <w:rsid w:val="00686C4D"/>
    <w:rsid w:val="0069011F"/>
    <w:rsid w:val="006901A3"/>
    <w:rsid w:val="00691718"/>
    <w:rsid w:val="00691E71"/>
    <w:rsid w:val="00692409"/>
    <w:rsid w:val="00692BB0"/>
    <w:rsid w:val="00695B52"/>
    <w:rsid w:val="006A060B"/>
    <w:rsid w:val="006A1EAF"/>
    <w:rsid w:val="006A2943"/>
    <w:rsid w:val="006A4274"/>
    <w:rsid w:val="006A4BD4"/>
    <w:rsid w:val="006A52BD"/>
    <w:rsid w:val="006A55DA"/>
    <w:rsid w:val="006A635B"/>
    <w:rsid w:val="006B074F"/>
    <w:rsid w:val="006B07A3"/>
    <w:rsid w:val="006B0E27"/>
    <w:rsid w:val="006B1B81"/>
    <w:rsid w:val="006B28E9"/>
    <w:rsid w:val="006B3604"/>
    <w:rsid w:val="006B3716"/>
    <w:rsid w:val="006B37C9"/>
    <w:rsid w:val="006B4FC5"/>
    <w:rsid w:val="006B50E0"/>
    <w:rsid w:val="006B5395"/>
    <w:rsid w:val="006B5964"/>
    <w:rsid w:val="006B621A"/>
    <w:rsid w:val="006B77B4"/>
    <w:rsid w:val="006C009B"/>
    <w:rsid w:val="006C0BA4"/>
    <w:rsid w:val="006C2F8B"/>
    <w:rsid w:val="006C3B1C"/>
    <w:rsid w:val="006C433F"/>
    <w:rsid w:val="006C4366"/>
    <w:rsid w:val="006C4788"/>
    <w:rsid w:val="006D1504"/>
    <w:rsid w:val="006D1864"/>
    <w:rsid w:val="006D1993"/>
    <w:rsid w:val="006D1ACE"/>
    <w:rsid w:val="006D1CA0"/>
    <w:rsid w:val="006D2281"/>
    <w:rsid w:val="006D24B7"/>
    <w:rsid w:val="006D309F"/>
    <w:rsid w:val="006D3DA8"/>
    <w:rsid w:val="006D3EF9"/>
    <w:rsid w:val="006D4830"/>
    <w:rsid w:val="006D5795"/>
    <w:rsid w:val="006D7F95"/>
    <w:rsid w:val="006E0AED"/>
    <w:rsid w:val="006E0D7A"/>
    <w:rsid w:val="006E0E33"/>
    <w:rsid w:val="006E0E4B"/>
    <w:rsid w:val="006E11C4"/>
    <w:rsid w:val="006E1418"/>
    <w:rsid w:val="006E1FD5"/>
    <w:rsid w:val="006E32AF"/>
    <w:rsid w:val="006E4497"/>
    <w:rsid w:val="006E4593"/>
    <w:rsid w:val="006E4F40"/>
    <w:rsid w:val="006E5BCC"/>
    <w:rsid w:val="006F1266"/>
    <w:rsid w:val="006F27CA"/>
    <w:rsid w:val="006F2C7D"/>
    <w:rsid w:val="006F396A"/>
    <w:rsid w:val="006F4154"/>
    <w:rsid w:val="006F4205"/>
    <w:rsid w:val="006F442E"/>
    <w:rsid w:val="006F537B"/>
    <w:rsid w:val="006F7CAC"/>
    <w:rsid w:val="00701DE5"/>
    <w:rsid w:val="00701F20"/>
    <w:rsid w:val="007036CC"/>
    <w:rsid w:val="00703C78"/>
    <w:rsid w:val="00703EFE"/>
    <w:rsid w:val="00704B11"/>
    <w:rsid w:val="00705250"/>
    <w:rsid w:val="0070647E"/>
    <w:rsid w:val="007064F6"/>
    <w:rsid w:val="00706B39"/>
    <w:rsid w:val="007078F6"/>
    <w:rsid w:val="00710140"/>
    <w:rsid w:val="00710146"/>
    <w:rsid w:val="0071034F"/>
    <w:rsid w:val="007104BF"/>
    <w:rsid w:val="00711332"/>
    <w:rsid w:val="00713E0B"/>
    <w:rsid w:val="00713F01"/>
    <w:rsid w:val="007143B3"/>
    <w:rsid w:val="00714505"/>
    <w:rsid w:val="007148B6"/>
    <w:rsid w:val="00714FC6"/>
    <w:rsid w:val="00715631"/>
    <w:rsid w:val="007165CD"/>
    <w:rsid w:val="0071765D"/>
    <w:rsid w:val="00717868"/>
    <w:rsid w:val="007203B5"/>
    <w:rsid w:val="00720628"/>
    <w:rsid w:val="00722279"/>
    <w:rsid w:val="00722E35"/>
    <w:rsid w:val="007232AF"/>
    <w:rsid w:val="00723789"/>
    <w:rsid w:val="00723E74"/>
    <w:rsid w:val="00724917"/>
    <w:rsid w:val="00724CAB"/>
    <w:rsid w:val="00725690"/>
    <w:rsid w:val="007262A2"/>
    <w:rsid w:val="007268D6"/>
    <w:rsid w:val="0072747A"/>
    <w:rsid w:val="007274E5"/>
    <w:rsid w:val="00727EC6"/>
    <w:rsid w:val="0073017E"/>
    <w:rsid w:val="00730903"/>
    <w:rsid w:val="0073101E"/>
    <w:rsid w:val="007312D4"/>
    <w:rsid w:val="00731356"/>
    <w:rsid w:val="00731DE9"/>
    <w:rsid w:val="00731FFB"/>
    <w:rsid w:val="00732E15"/>
    <w:rsid w:val="00734AAA"/>
    <w:rsid w:val="00734D80"/>
    <w:rsid w:val="007358F2"/>
    <w:rsid w:val="007359EF"/>
    <w:rsid w:val="0073694A"/>
    <w:rsid w:val="00737136"/>
    <w:rsid w:val="00740291"/>
    <w:rsid w:val="00740584"/>
    <w:rsid w:val="0074084E"/>
    <w:rsid w:val="00740F86"/>
    <w:rsid w:val="007425CF"/>
    <w:rsid w:val="00743EB3"/>
    <w:rsid w:val="00744CA5"/>
    <w:rsid w:val="007451E0"/>
    <w:rsid w:val="007464B7"/>
    <w:rsid w:val="0075055E"/>
    <w:rsid w:val="0075083A"/>
    <w:rsid w:val="007508E1"/>
    <w:rsid w:val="00750999"/>
    <w:rsid w:val="0075128C"/>
    <w:rsid w:val="00754D84"/>
    <w:rsid w:val="00755CA1"/>
    <w:rsid w:val="0075600D"/>
    <w:rsid w:val="007607C4"/>
    <w:rsid w:val="00761A07"/>
    <w:rsid w:val="00761D2A"/>
    <w:rsid w:val="00761DAD"/>
    <w:rsid w:val="00764252"/>
    <w:rsid w:val="00764404"/>
    <w:rsid w:val="00764AC1"/>
    <w:rsid w:val="00764C8D"/>
    <w:rsid w:val="00765529"/>
    <w:rsid w:val="007664D1"/>
    <w:rsid w:val="007665FF"/>
    <w:rsid w:val="007666E6"/>
    <w:rsid w:val="00766C6A"/>
    <w:rsid w:val="007675EE"/>
    <w:rsid w:val="007711F1"/>
    <w:rsid w:val="00771DB2"/>
    <w:rsid w:val="00772469"/>
    <w:rsid w:val="00772BF9"/>
    <w:rsid w:val="00772DF8"/>
    <w:rsid w:val="00773DB6"/>
    <w:rsid w:val="00774A01"/>
    <w:rsid w:val="0077549F"/>
    <w:rsid w:val="0077617D"/>
    <w:rsid w:val="00776327"/>
    <w:rsid w:val="007766D9"/>
    <w:rsid w:val="0077672C"/>
    <w:rsid w:val="00776E76"/>
    <w:rsid w:val="00777EAD"/>
    <w:rsid w:val="0078069F"/>
    <w:rsid w:val="00780C8C"/>
    <w:rsid w:val="00780E78"/>
    <w:rsid w:val="00781F9A"/>
    <w:rsid w:val="0078293D"/>
    <w:rsid w:val="00783F47"/>
    <w:rsid w:val="007849AC"/>
    <w:rsid w:val="00785488"/>
    <w:rsid w:val="00785975"/>
    <w:rsid w:val="00786063"/>
    <w:rsid w:val="00786963"/>
    <w:rsid w:val="00786C7F"/>
    <w:rsid w:val="00786D16"/>
    <w:rsid w:val="00786FD5"/>
    <w:rsid w:val="00787D77"/>
    <w:rsid w:val="007923B2"/>
    <w:rsid w:val="0079378B"/>
    <w:rsid w:val="00794D53"/>
    <w:rsid w:val="00796B02"/>
    <w:rsid w:val="0079773B"/>
    <w:rsid w:val="007977A6"/>
    <w:rsid w:val="007A08A4"/>
    <w:rsid w:val="007A16C1"/>
    <w:rsid w:val="007A191B"/>
    <w:rsid w:val="007A197B"/>
    <w:rsid w:val="007A1BC8"/>
    <w:rsid w:val="007A201D"/>
    <w:rsid w:val="007A2349"/>
    <w:rsid w:val="007A29C6"/>
    <w:rsid w:val="007A2B81"/>
    <w:rsid w:val="007A4F6B"/>
    <w:rsid w:val="007A516F"/>
    <w:rsid w:val="007A73EA"/>
    <w:rsid w:val="007A7461"/>
    <w:rsid w:val="007A7E0E"/>
    <w:rsid w:val="007B0561"/>
    <w:rsid w:val="007B0D13"/>
    <w:rsid w:val="007B2654"/>
    <w:rsid w:val="007B3BD6"/>
    <w:rsid w:val="007B419C"/>
    <w:rsid w:val="007B56ED"/>
    <w:rsid w:val="007B61B7"/>
    <w:rsid w:val="007B66EF"/>
    <w:rsid w:val="007B6851"/>
    <w:rsid w:val="007B72E5"/>
    <w:rsid w:val="007B7728"/>
    <w:rsid w:val="007B7A66"/>
    <w:rsid w:val="007C0056"/>
    <w:rsid w:val="007C08A3"/>
    <w:rsid w:val="007C1966"/>
    <w:rsid w:val="007C23A5"/>
    <w:rsid w:val="007C2A74"/>
    <w:rsid w:val="007C315E"/>
    <w:rsid w:val="007C3600"/>
    <w:rsid w:val="007C3769"/>
    <w:rsid w:val="007C432A"/>
    <w:rsid w:val="007C552C"/>
    <w:rsid w:val="007C6D0E"/>
    <w:rsid w:val="007C72E0"/>
    <w:rsid w:val="007D1954"/>
    <w:rsid w:val="007D1976"/>
    <w:rsid w:val="007D25E8"/>
    <w:rsid w:val="007D30B5"/>
    <w:rsid w:val="007D3227"/>
    <w:rsid w:val="007D3F1A"/>
    <w:rsid w:val="007D4388"/>
    <w:rsid w:val="007D559D"/>
    <w:rsid w:val="007D5752"/>
    <w:rsid w:val="007D5EC2"/>
    <w:rsid w:val="007D5F76"/>
    <w:rsid w:val="007D692A"/>
    <w:rsid w:val="007D71A2"/>
    <w:rsid w:val="007D7414"/>
    <w:rsid w:val="007D7BF5"/>
    <w:rsid w:val="007D7FBF"/>
    <w:rsid w:val="007E02D9"/>
    <w:rsid w:val="007E0909"/>
    <w:rsid w:val="007E0A5B"/>
    <w:rsid w:val="007E1468"/>
    <w:rsid w:val="007E25C1"/>
    <w:rsid w:val="007E390A"/>
    <w:rsid w:val="007E4268"/>
    <w:rsid w:val="007E5177"/>
    <w:rsid w:val="007E5A41"/>
    <w:rsid w:val="007E5B7F"/>
    <w:rsid w:val="007F0EAB"/>
    <w:rsid w:val="007F364D"/>
    <w:rsid w:val="007F3799"/>
    <w:rsid w:val="007F3931"/>
    <w:rsid w:val="007F4988"/>
    <w:rsid w:val="007F6DAF"/>
    <w:rsid w:val="00801852"/>
    <w:rsid w:val="00803857"/>
    <w:rsid w:val="00804442"/>
    <w:rsid w:val="0080468F"/>
    <w:rsid w:val="00804B60"/>
    <w:rsid w:val="00805AFF"/>
    <w:rsid w:val="00806EFC"/>
    <w:rsid w:val="0081005D"/>
    <w:rsid w:val="0081276C"/>
    <w:rsid w:val="00813E9E"/>
    <w:rsid w:val="00813EF5"/>
    <w:rsid w:val="00814CC1"/>
    <w:rsid w:val="008155BD"/>
    <w:rsid w:val="008159E4"/>
    <w:rsid w:val="00815ED4"/>
    <w:rsid w:val="008162DA"/>
    <w:rsid w:val="0081683A"/>
    <w:rsid w:val="00816DFD"/>
    <w:rsid w:val="00816F8D"/>
    <w:rsid w:val="0081708D"/>
    <w:rsid w:val="00817865"/>
    <w:rsid w:val="00817DC3"/>
    <w:rsid w:val="00820D6A"/>
    <w:rsid w:val="008221DC"/>
    <w:rsid w:val="008235AE"/>
    <w:rsid w:val="00823DCE"/>
    <w:rsid w:val="00823E7D"/>
    <w:rsid w:val="0082440E"/>
    <w:rsid w:val="00826C82"/>
    <w:rsid w:val="00830043"/>
    <w:rsid w:val="00832794"/>
    <w:rsid w:val="00832D64"/>
    <w:rsid w:val="00833B30"/>
    <w:rsid w:val="00835072"/>
    <w:rsid w:val="0083539D"/>
    <w:rsid w:val="00837E16"/>
    <w:rsid w:val="00840AC3"/>
    <w:rsid w:val="00841500"/>
    <w:rsid w:val="00841A7D"/>
    <w:rsid w:val="00842463"/>
    <w:rsid w:val="008435A5"/>
    <w:rsid w:val="00844FA2"/>
    <w:rsid w:val="008477F2"/>
    <w:rsid w:val="00847E86"/>
    <w:rsid w:val="00851232"/>
    <w:rsid w:val="00851B76"/>
    <w:rsid w:val="00851D68"/>
    <w:rsid w:val="008530C4"/>
    <w:rsid w:val="008531DB"/>
    <w:rsid w:val="00853238"/>
    <w:rsid w:val="008538C4"/>
    <w:rsid w:val="008538F1"/>
    <w:rsid w:val="008549AA"/>
    <w:rsid w:val="00855798"/>
    <w:rsid w:val="00855833"/>
    <w:rsid w:val="00855867"/>
    <w:rsid w:val="00855917"/>
    <w:rsid w:val="008566AA"/>
    <w:rsid w:val="0086105C"/>
    <w:rsid w:val="008619E5"/>
    <w:rsid w:val="00861CD4"/>
    <w:rsid w:val="00861D87"/>
    <w:rsid w:val="008628F1"/>
    <w:rsid w:val="0086382E"/>
    <w:rsid w:val="00863BF7"/>
    <w:rsid w:val="00863D1C"/>
    <w:rsid w:val="00864BED"/>
    <w:rsid w:val="00864F22"/>
    <w:rsid w:val="008650F7"/>
    <w:rsid w:val="00865594"/>
    <w:rsid w:val="008655E6"/>
    <w:rsid w:val="00865644"/>
    <w:rsid w:val="00865B22"/>
    <w:rsid w:val="00865CC0"/>
    <w:rsid w:val="00866440"/>
    <w:rsid w:val="00866479"/>
    <w:rsid w:val="00866C98"/>
    <w:rsid w:val="00871641"/>
    <w:rsid w:val="00871E76"/>
    <w:rsid w:val="00872340"/>
    <w:rsid w:val="00872FB9"/>
    <w:rsid w:val="00873EBA"/>
    <w:rsid w:val="00874CE9"/>
    <w:rsid w:val="0087509E"/>
    <w:rsid w:val="00875D15"/>
    <w:rsid w:val="00875F8B"/>
    <w:rsid w:val="00876170"/>
    <w:rsid w:val="00876C5D"/>
    <w:rsid w:val="008776D3"/>
    <w:rsid w:val="00880685"/>
    <w:rsid w:val="0088080D"/>
    <w:rsid w:val="0088155C"/>
    <w:rsid w:val="008815A2"/>
    <w:rsid w:val="00883B0A"/>
    <w:rsid w:val="008841D8"/>
    <w:rsid w:val="008846B1"/>
    <w:rsid w:val="00884EC1"/>
    <w:rsid w:val="0088592A"/>
    <w:rsid w:val="00885F8D"/>
    <w:rsid w:val="00886C3A"/>
    <w:rsid w:val="00887548"/>
    <w:rsid w:val="008879FB"/>
    <w:rsid w:val="00887EFD"/>
    <w:rsid w:val="008905D7"/>
    <w:rsid w:val="00890697"/>
    <w:rsid w:val="00890A74"/>
    <w:rsid w:val="00891B3A"/>
    <w:rsid w:val="00892B76"/>
    <w:rsid w:val="00892FB0"/>
    <w:rsid w:val="00893995"/>
    <w:rsid w:val="00894FA4"/>
    <w:rsid w:val="0089537E"/>
    <w:rsid w:val="00896FE1"/>
    <w:rsid w:val="00897E3F"/>
    <w:rsid w:val="00897EAE"/>
    <w:rsid w:val="008A0366"/>
    <w:rsid w:val="008A15D3"/>
    <w:rsid w:val="008A2A28"/>
    <w:rsid w:val="008A3B85"/>
    <w:rsid w:val="008A41AB"/>
    <w:rsid w:val="008B1207"/>
    <w:rsid w:val="008B2856"/>
    <w:rsid w:val="008B3F62"/>
    <w:rsid w:val="008B41AD"/>
    <w:rsid w:val="008B45D4"/>
    <w:rsid w:val="008B4782"/>
    <w:rsid w:val="008B47E8"/>
    <w:rsid w:val="008B5340"/>
    <w:rsid w:val="008C11C2"/>
    <w:rsid w:val="008C3383"/>
    <w:rsid w:val="008C384F"/>
    <w:rsid w:val="008C4CAB"/>
    <w:rsid w:val="008C51F7"/>
    <w:rsid w:val="008C576B"/>
    <w:rsid w:val="008C5AA4"/>
    <w:rsid w:val="008C67A8"/>
    <w:rsid w:val="008C78DC"/>
    <w:rsid w:val="008D0E0F"/>
    <w:rsid w:val="008D2E06"/>
    <w:rsid w:val="008D78B6"/>
    <w:rsid w:val="008E0816"/>
    <w:rsid w:val="008E155C"/>
    <w:rsid w:val="008E2948"/>
    <w:rsid w:val="008E29AE"/>
    <w:rsid w:val="008E3236"/>
    <w:rsid w:val="008E3E93"/>
    <w:rsid w:val="008E4752"/>
    <w:rsid w:val="008E513F"/>
    <w:rsid w:val="008E53B7"/>
    <w:rsid w:val="008E606D"/>
    <w:rsid w:val="008E6316"/>
    <w:rsid w:val="008E7582"/>
    <w:rsid w:val="008E7D71"/>
    <w:rsid w:val="008F09C2"/>
    <w:rsid w:val="008F1853"/>
    <w:rsid w:val="008F19AC"/>
    <w:rsid w:val="008F2162"/>
    <w:rsid w:val="008F2DCE"/>
    <w:rsid w:val="008F36CF"/>
    <w:rsid w:val="008F4148"/>
    <w:rsid w:val="008F486F"/>
    <w:rsid w:val="008F532F"/>
    <w:rsid w:val="008F59DB"/>
    <w:rsid w:val="008F5C33"/>
    <w:rsid w:val="008F6392"/>
    <w:rsid w:val="008F7650"/>
    <w:rsid w:val="008F79C7"/>
    <w:rsid w:val="0090036A"/>
    <w:rsid w:val="009005E2"/>
    <w:rsid w:val="00901688"/>
    <w:rsid w:val="00901B48"/>
    <w:rsid w:val="00903448"/>
    <w:rsid w:val="00903A2C"/>
    <w:rsid w:val="00903A40"/>
    <w:rsid w:val="00904424"/>
    <w:rsid w:val="00905912"/>
    <w:rsid w:val="00905F47"/>
    <w:rsid w:val="0090600E"/>
    <w:rsid w:val="00907040"/>
    <w:rsid w:val="009076A6"/>
    <w:rsid w:val="00910F8C"/>
    <w:rsid w:val="009113C8"/>
    <w:rsid w:val="00911A40"/>
    <w:rsid w:val="00911D4F"/>
    <w:rsid w:val="00911EA4"/>
    <w:rsid w:val="009142D1"/>
    <w:rsid w:val="009148B4"/>
    <w:rsid w:val="00916FC2"/>
    <w:rsid w:val="0091736E"/>
    <w:rsid w:val="00920710"/>
    <w:rsid w:val="0092097C"/>
    <w:rsid w:val="00921426"/>
    <w:rsid w:val="00921A4F"/>
    <w:rsid w:val="00925311"/>
    <w:rsid w:val="009258E5"/>
    <w:rsid w:val="009261E3"/>
    <w:rsid w:val="00930B3D"/>
    <w:rsid w:val="009326C6"/>
    <w:rsid w:val="00932840"/>
    <w:rsid w:val="009328F2"/>
    <w:rsid w:val="00932D6A"/>
    <w:rsid w:val="00932DBF"/>
    <w:rsid w:val="00933CAF"/>
    <w:rsid w:val="00933EEB"/>
    <w:rsid w:val="00935C87"/>
    <w:rsid w:val="00936301"/>
    <w:rsid w:val="00937344"/>
    <w:rsid w:val="00937B83"/>
    <w:rsid w:val="00937D5A"/>
    <w:rsid w:val="00940C92"/>
    <w:rsid w:val="0094112F"/>
    <w:rsid w:val="009435AE"/>
    <w:rsid w:val="00943A21"/>
    <w:rsid w:val="00943DE9"/>
    <w:rsid w:val="00944F30"/>
    <w:rsid w:val="009451DA"/>
    <w:rsid w:val="009452B6"/>
    <w:rsid w:val="00947FEB"/>
    <w:rsid w:val="00950E42"/>
    <w:rsid w:val="009526E7"/>
    <w:rsid w:val="00953E55"/>
    <w:rsid w:val="009544D0"/>
    <w:rsid w:val="009545F7"/>
    <w:rsid w:val="0095466C"/>
    <w:rsid w:val="00954F6A"/>
    <w:rsid w:val="00955496"/>
    <w:rsid w:val="00955823"/>
    <w:rsid w:val="0095583D"/>
    <w:rsid w:val="009564C7"/>
    <w:rsid w:val="00956525"/>
    <w:rsid w:val="00956952"/>
    <w:rsid w:val="00956FF0"/>
    <w:rsid w:val="00957333"/>
    <w:rsid w:val="00957D16"/>
    <w:rsid w:val="00960160"/>
    <w:rsid w:val="009614A9"/>
    <w:rsid w:val="00961DEC"/>
    <w:rsid w:val="009638DD"/>
    <w:rsid w:val="009640F5"/>
    <w:rsid w:val="00964B18"/>
    <w:rsid w:val="00964B74"/>
    <w:rsid w:val="00965090"/>
    <w:rsid w:val="0096550B"/>
    <w:rsid w:val="009657E1"/>
    <w:rsid w:val="00965D63"/>
    <w:rsid w:val="00965F2C"/>
    <w:rsid w:val="00972977"/>
    <w:rsid w:val="00972C22"/>
    <w:rsid w:val="00973DF8"/>
    <w:rsid w:val="00974042"/>
    <w:rsid w:val="009741A4"/>
    <w:rsid w:val="00974A8F"/>
    <w:rsid w:val="00974F93"/>
    <w:rsid w:val="009761D5"/>
    <w:rsid w:val="00977488"/>
    <w:rsid w:val="009808D7"/>
    <w:rsid w:val="00981720"/>
    <w:rsid w:val="00982A92"/>
    <w:rsid w:val="00983238"/>
    <w:rsid w:val="00983E8A"/>
    <w:rsid w:val="009841B9"/>
    <w:rsid w:val="00984345"/>
    <w:rsid w:val="00985450"/>
    <w:rsid w:val="00985FE5"/>
    <w:rsid w:val="0098662A"/>
    <w:rsid w:val="0098771A"/>
    <w:rsid w:val="00992658"/>
    <w:rsid w:val="00993EED"/>
    <w:rsid w:val="00994006"/>
    <w:rsid w:val="00994988"/>
    <w:rsid w:val="00994B49"/>
    <w:rsid w:val="00995C20"/>
    <w:rsid w:val="00995EDE"/>
    <w:rsid w:val="00995F56"/>
    <w:rsid w:val="009A04A0"/>
    <w:rsid w:val="009A0F0C"/>
    <w:rsid w:val="009A1FA8"/>
    <w:rsid w:val="009A22E0"/>
    <w:rsid w:val="009A2E9D"/>
    <w:rsid w:val="009A46A8"/>
    <w:rsid w:val="009A6E2F"/>
    <w:rsid w:val="009A7CB8"/>
    <w:rsid w:val="009B0277"/>
    <w:rsid w:val="009B0D46"/>
    <w:rsid w:val="009B43C6"/>
    <w:rsid w:val="009B5510"/>
    <w:rsid w:val="009B581C"/>
    <w:rsid w:val="009B6088"/>
    <w:rsid w:val="009B62D6"/>
    <w:rsid w:val="009B6E76"/>
    <w:rsid w:val="009C0BDF"/>
    <w:rsid w:val="009C1365"/>
    <w:rsid w:val="009C152C"/>
    <w:rsid w:val="009C2447"/>
    <w:rsid w:val="009C284C"/>
    <w:rsid w:val="009C2A1D"/>
    <w:rsid w:val="009C2BA3"/>
    <w:rsid w:val="009C2CA5"/>
    <w:rsid w:val="009C300F"/>
    <w:rsid w:val="009C34B6"/>
    <w:rsid w:val="009C39FF"/>
    <w:rsid w:val="009C40E4"/>
    <w:rsid w:val="009C41F6"/>
    <w:rsid w:val="009C4C49"/>
    <w:rsid w:val="009C739A"/>
    <w:rsid w:val="009C7674"/>
    <w:rsid w:val="009C7C1D"/>
    <w:rsid w:val="009D02BD"/>
    <w:rsid w:val="009D0705"/>
    <w:rsid w:val="009D14A6"/>
    <w:rsid w:val="009D1A2E"/>
    <w:rsid w:val="009D2896"/>
    <w:rsid w:val="009D29B6"/>
    <w:rsid w:val="009D2BDA"/>
    <w:rsid w:val="009D3704"/>
    <w:rsid w:val="009D47D3"/>
    <w:rsid w:val="009D5118"/>
    <w:rsid w:val="009D522D"/>
    <w:rsid w:val="009D6139"/>
    <w:rsid w:val="009D643D"/>
    <w:rsid w:val="009D7065"/>
    <w:rsid w:val="009D789B"/>
    <w:rsid w:val="009D7B01"/>
    <w:rsid w:val="009E0041"/>
    <w:rsid w:val="009E2E76"/>
    <w:rsid w:val="009E356D"/>
    <w:rsid w:val="009E4350"/>
    <w:rsid w:val="009E5167"/>
    <w:rsid w:val="009E5713"/>
    <w:rsid w:val="009E6503"/>
    <w:rsid w:val="009E6C8F"/>
    <w:rsid w:val="009E7AD5"/>
    <w:rsid w:val="009E7BEC"/>
    <w:rsid w:val="009E7C97"/>
    <w:rsid w:val="009F2A8A"/>
    <w:rsid w:val="009F3269"/>
    <w:rsid w:val="009F4EB0"/>
    <w:rsid w:val="009F5C3E"/>
    <w:rsid w:val="009F6049"/>
    <w:rsid w:val="009F7300"/>
    <w:rsid w:val="009F7756"/>
    <w:rsid w:val="009F7776"/>
    <w:rsid w:val="009F79F9"/>
    <w:rsid w:val="00A00CE9"/>
    <w:rsid w:val="00A00F51"/>
    <w:rsid w:val="00A034F1"/>
    <w:rsid w:val="00A03790"/>
    <w:rsid w:val="00A03BD7"/>
    <w:rsid w:val="00A045CC"/>
    <w:rsid w:val="00A05653"/>
    <w:rsid w:val="00A05DBB"/>
    <w:rsid w:val="00A05F9D"/>
    <w:rsid w:val="00A06406"/>
    <w:rsid w:val="00A0669D"/>
    <w:rsid w:val="00A1016E"/>
    <w:rsid w:val="00A10187"/>
    <w:rsid w:val="00A104A9"/>
    <w:rsid w:val="00A108B2"/>
    <w:rsid w:val="00A12FF5"/>
    <w:rsid w:val="00A143C4"/>
    <w:rsid w:val="00A1591C"/>
    <w:rsid w:val="00A15A21"/>
    <w:rsid w:val="00A16274"/>
    <w:rsid w:val="00A16FBE"/>
    <w:rsid w:val="00A20011"/>
    <w:rsid w:val="00A20D05"/>
    <w:rsid w:val="00A20D12"/>
    <w:rsid w:val="00A218D5"/>
    <w:rsid w:val="00A218E9"/>
    <w:rsid w:val="00A22963"/>
    <w:rsid w:val="00A2317E"/>
    <w:rsid w:val="00A23CF3"/>
    <w:rsid w:val="00A259B5"/>
    <w:rsid w:val="00A25DCC"/>
    <w:rsid w:val="00A26031"/>
    <w:rsid w:val="00A262CA"/>
    <w:rsid w:val="00A267F0"/>
    <w:rsid w:val="00A26C6B"/>
    <w:rsid w:val="00A26DE8"/>
    <w:rsid w:val="00A27087"/>
    <w:rsid w:val="00A31915"/>
    <w:rsid w:val="00A3195E"/>
    <w:rsid w:val="00A326C5"/>
    <w:rsid w:val="00A32721"/>
    <w:rsid w:val="00A32772"/>
    <w:rsid w:val="00A34B25"/>
    <w:rsid w:val="00A36095"/>
    <w:rsid w:val="00A379B9"/>
    <w:rsid w:val="00A40EE2"/>
    <w:rsid w:val="00A41B1E"/>
    <w:rsid w:val="00A42076"/>
    <w:rsid w:val="00A434B1"/>
    <w:rsid w:val="00A44194"/>
    <w:rsid w:val="00A44462"/>
    <w:rsid w:val="00A44699"/>
    <w:rsid w:val="00A44737"/>
    <w:rsid w:val="00A447F3"/>
    <w:rsid w:val="00A4503A"/>
    <w:rsid w:val="00A453C5"/>
    <w:rsid w:val="00A45403"/>
    <w:rsid w:val="00A45BD4"/>
    <w:rsid w:val="00A46EC2"/>
    <w:rsid w:val="00A50033"/>
    <w:rsid w:val="00A50551"/>
    <w:rsid w:val="00A513DB"/>
    <w:rsid w:val="00A52279"/>
    <w:rsid w:val="00A53104"/>
    <w:rsid w:val="00A54535"/>
    <w:rsid w:val="00A55102"/>
    <w:rsid w:val="00A55CF8"/>
    <w:rsid w:val="00A55DA7"/>
    <w:rsid w:val="00A564DF"/>
    <w:rsid w:val="00A6093E"/>
    <w:rsid w:val="00A60A43"/>
    <w:rsid w:val="00A61A92"/>
    <w:rsid w:val="00A61B3C"/>
    <w:rsid w:val="00A62964"/>
    <w:rsid w:val="00A62E10"/>
    <w:rsid w:val="00A63129"/>
    <w:rsid w:val="00A63A0C"/>
    <w:rsid w:val="00A6468C"/>
    <w:rsid w:val="00A64F6F"/>
    <w:rsid w:val="00A6528A"/>
    <w:rsid w:val="00A65C1E"/>
    <w:rsid w:val="00A669A4"/>
    <w:rsid w:val="00A67E53"/>
    <w:rsid w:val="00A67FC9"/>
    <w:rsid w:val="00A7022E"/>
    <w:rsid w:val="00A70301"/>
    <w:rsid w:val="00A71B7E"/>
    <w:rsid w:val="00A73377"/>
    <w:rsid w:val="00A73419"/>
    <w:rsid w:val="00A74088"/>
    <w:rsid w:val="00A7517A"/>
    <w:rsid w:val="00A755BD"/>
    <w:rsid w:val="00A75E66"/>
    <w:rsid w:val="00A76577"/>
    <w:rsid w:val="00A76730"/>
    <w:rsid w:val="00A77072"/>
    <w:rsid w:val="00A771B2"/>
    <w:rsid w:val="00A777BC"/>
    <w:rsid w:val="00A8051F"/>
    <w:rsid w:val="00A80831"/>
    <w:rsid w:val="00A80F61"/>
    <w:rsid w:val="00A81604"/>
    <w:rsid w:val="00A81AEC"/>
    <w:rsid w:val="00A834C8"/>
    <w:rsid w:val="00A84056"/>
    <w:rsid w:val="00A843CE"/>
    <w:rsid w:val="00A844AD"/>
    <w:rsid w:val="00A84ADF"/>
    <w:rsid w:val="00A84DD6"/>
    <w:rsid w:val="00A854E7"/>
    <w:rsid w:val="00A85CB9"/>
    <w:rsid w:val="00A86452"/>
    <w:rsid w:val="00A86AE4"/>
    <w:rsid w:val="00A878CB"/>
    <w:rsid w:val="00A904FC"/>
    <w:rsid w:val="00A909C5"/>
    <w:rsid w:val="00A91AA1"/>
    <w:rsid w:val="00A91E1E"/>
    <w:rsid w:val="00A91F0B"/>
    <w:rsid w:val="00A93197"/>
    <w:rsid w:val="00A93911"/>
    <w:rsid w:val="00A94FC0"/>
    <w:rsid w:val="00A951EA"/>
    <w:rsid w:val="00A95A63"/>
    <w:rsid w:val="00A96973"/>
    <w:rsid w:val="00A97300"/>
    <w:rsid w:val="00AA02EE"/>
    <w:rsid w:val="00AA0E98"/>
    <w:rsid w:val="00AA16A5"/>
    <w:rsid w:val="00AA2569"/>
    <w:rsid w:val="00AA330D"/>
    <w:rsid w:val="00AA54F0"/>
    <w:rsid w:val="00AA60A5"/>
    <w:rsid w:val="00AA6A61"/>
    <w:rsid w:val="00AA7230"/>
    <w:rsid w:val="00AA7AD0"/>
    <w:rsid w:val="00AA7CE8"/>
    <w:rsid w:val="00AA7D44"/>
    <w:rsid w:val="00AB05D7"/>
    <w:rsid w:val="00AB0949"/>
    <w:rsid w:val="00AB0D9E"/>
    <w:rsid w:val="00AB28CD"/>
    <w:rsid w:val="00AB3469"/>
    <w:rsid w:val="00AB3984"/>
    <w:rsid w:val="00AB58C2"/>
    <w:rsid w:val="00AB6728"/>
    <w:rsid w:val="00AB7789"/>
    <w:rsid w:val="00AB7873"/>
    <w:rsid w:val="00AB7FBE"/>
    <w:rsid w:val="00AC0106"/>
    <w:rsid w:val="00AC013E"/>
    <w:rsid w:val="00AC213C"/>
    <w:rsid w:val="00AC3538"/>
    <w:rsid w:val="00AC40AC"/>
    <w:rsid w:val="00AC4D96"/>
    <w:rsid w:val="00AC62DC"/>
    <w:rsid w:val="00AC7B1F"/>
    <w:rsid w:val="00AD0468"/>
    <w:rsid w:val="00AD06DA"/>
    <w:rsid w:val="00AD06DC"/>
    <w:rsid w:val="00AD0B3E"/>
    <w:rsid w:val="00AD0EC1"/>
    <w:rsid w:val="00AD13F5"/>
    <w:rsid w:val="00AD2802"/>
    <w:rsid w:val="00AD2956"/>
    <w:rsid w:val="00AD2BC3"/>
    <w:rsid w:val="00AD3FB3"/>
    <w:rsid w:val="00AD54A6"/>
    <w:rsid w:val="00AD6300"/>
    <w:rsid w:val="00AD6821"/>
    <w:rsid w:val="00AE1020"/>
    <w:rsid w:val="00AE24F1"/>
    <w:rsid w:val="00AE2A5C"/>
    <w:rsid w:val="00AE2FE1"/>
    <w:rsid w:val="00AE360A"/>
    <w:rsid w:val="00AE446A"/>
    <w:rsid w:val="00AE5E93"/>
    <w:rsid w:val="00AE5E96"/>
    <w:rsid w:val="00AE6121"/>
    <w:rsid w:val="00AE7DBC"/>
    <w:rsid w:val="00AF1D78"/>
    <w:rsid w:val="00AF2D2F"/>
    <w:rsid w:val="00AF2EB7"/>
    <w:rsid w:val="00AF3059"/>
    <w:rsid w:val="00AF3850"/>
    <w:rsid w:val="00AF3D25"/>
    <w:rsid w:val="00AF5A76"/>
    <w:rsid w:val="00AF613C"/>
    <w:rsid w:val="00AF6BBE"/>
    <w:rsid w:val="00B00319"/>
    <w:rsid w:val="00B0040A"/>
    <w:rsid w:val="00B01278"/>
    <w:rsid w:val="00B01349"/>
    <w:rsid w:val="00B01386"/>
    <w:rsid w:val="00B0369A"/>
    <w:rsid w:val="00B03C98"/>
    <w:rsid w:val="00B04717"/>
    <w:rsid w:val="00B05FA8"/>
    <w:rsid w:val="00B060E4"/>
    <w:rsid w:val="00B065F5"/>
    <w:rsid w:val="00B06CA6"/>
    <w:rsid w:val="00B07B25"/>
    <w:rsid w:val="00B100FD"/>
    <w:rsid w:val="00B113BB"/>
    <w:rsid w:val="00B125A1"/>
    <w:rsid w:val="00B12727"/>
    <w:rsid w:val="00B1288E"/>
    <w:rsid w:val="00B14A1C"/>
    <w:rsid w:val="00B14B66"/>
    <w:rsid w:val="00B1546E"/>
    <w:rsid w:val="00B1701E"/>
    <w:rsid w:val="00B17748"/>
    <w:rsid w:val="00B17A10"/>
    <w:rsid w:val="00B21E08"/>
    <w:rsid w:val="00B22ED5"/>
    <w:rsid w:val="00B246D0"/>
    <w:rsid w:val="00B255A9"/>
    <w:rsid w:val="00B25AB0"/>
    <w:rsid w:val="00B268FB"/>
    <w:rsid w:val="00B27302"/>
    <w:rsid w:val="00B27494"/>
    <w:rsid w:val="00B27EEC"/>
    <w:rsid w:val="00B313B0"/>
    <w:rsid w:val="00B3207A"/>
    <w:rsid w:val="00B32434"/>
    <w:rsid w:val="00B3269F"/>
    <w:rsid w:val="00B327B3"/>
    <w:rsid w:val="00B332AA"/>
    <w:rsid w:val="00B337DA"/>
    <w:rsid w:val="00B34678"/>
    <w:rsid w:val="00B352A0"/>
    <w:rsid w:val="00B35DDD"/>
    <w:rsid w:val="00B35FB0"/>
    <w:rsid w:val="00B407A4"/>
    <w:rsid w:val="00B40E1A"/>
    <w:rsid w:val="00B40E66"/>
    <w:rsid w:val="00B40F2D"/>
    <w:rsid w:val="00B42446"/>
    <w:rsid w:val="00B425D6"/>
    <w:rsid w:val="00B43445"/>
    <w:rsid w:val="00B448CF"/>
    <w:rsid w:val="00B44CA0"/>
    <w:rsid w:val="00B455E7"/>
    <w:rsid w:val="00B47173"/>
    <w:rsid w:val="00B47527"/>
    <w:rsid w:val="00B5155B"/>
    <w:rsid w:val="00B51CFD"/>
    <w:rsid w:val="00B52A47"/>
    <w:rsid w:val="00B568C1"/>
    <w:rsid w:val="00B56C0C"/>
    <w:rsid w:val="00B57A22"/>
    <w:rsid w:val="00B57D9B"/>
    <w:rsid w:val="00B57DEB"/>
    <w:rsid w:val="00B6005F"/>
    <w:rsid w:val="00B6075A"/>
    <w:rsid w:val="00B60942"/>
    <w:rsid w:val="00B62037"/>
    <w:rsid w:val="00B62697"/>
    <w:rsid w:val="00B63FF9"/>
    <w:rsid w:val="00B65DB9"/>
    <w:rsid w:val="00B66123"/>
    <w:rsid w:val="00B6631C"/>
    <w:rsid w:val="00B66FC0"/>
    <w:rsid w:val="00B67868"/>
    <w:rsid w:val="00B67F57"/>
    <w:rsid w:val="00B70D98"/>
    <w:rsid w:val="00B70F45"/>
    <w:rsid w:val="00B71A90"/>
    <w:rsid w:val="00B71BC9"/>
    <w:rsid w:val="00B7284B"/>
    <w:rsid w:val="00B736FE"/>
    <w:rsid w:val="00B739AC"/>
    <w:rsid w:val="00B73D8C"/>
    <w:rsid w:val="00B7654A"/>
    <w:rsid w:val="00B77AEF"/>
    <w:rsid w:val="00B80D34"/>
    <w:rsid w:val="00B80ED1"/>
    <w:rsid w:val="00B811CF"/>
    <w:rsid w:val="00B81861"/>
    <w:rsid w:val="00B825C9"/>
    <w:rsid w:val="00B833E3"/>
    <w:rsid w:val="00B8353E"/>
    <w:rsid w:val="00B83929"/>
    <w:rsid w:val="00B845F4"/>
    <w:rsid w:val="00B849F1"/>
    <w:rsid w:val="00B84F9B"/>
    <w:rsid w:val="00B85456"/>
    <w:rsid w:val="00B87092"/>
    <w:rsid w:val="00B923E1"/>
    <w:rsid w:val="00B93E02"/>
    <w:rsid w:val="00B94328"/>
    <w:rsid w:val="00B94D8C"/>
    <w:rsid w:val="00B9509A"/>
    <w:rsid w:val="00B95110"/>
    <w:rsid w:val="00B95B8D"/>
    <w:rsid w:val="00B963CF"/>
    <w:rsid w:val="00B96687"/>
    <w:rsid w:val="00BA2323"/>
    <w:rsid w:val="00BA34DF"/>
    <w:rsid w:val="00BA3724"/>
    <w:rsid w:val="00BA5569"/>
    <w:rsid w:val="00BA6983"/>
    <w:rsid w:val="00BA73E1"/>
    <w:rsid w:val="00BB2187"/>
    <w:rsid w:val="00BB2648"/>
    <w:rsid w:val="00BB2904"/>
    <w:rsid w:val="00BB2FC2"/>
    <w:rsid w:val="00BB452A"/>
    <w:rsid w:val="00BB4A38"/>
    <w:rsid w:val="00BB4B2B"/>
    <w:rsid w:val="00BB5AA7"/>
    <w:rsid w:val="00BB5E83"/>
    <w:rsid w:val="00BB671C"/>
    <w:rsid w:val="00BB7267"/>
    <w:rsid w:val="00BB7C3B"/>
    <w:rsid w:val="00BB7FDA"/>
    <w:rsid w:val="00BC39AF"/>
    <w:rsid w:val="00BC3AEE"/>
    <w:rsid w:val="00BC4B57"/>
    <w:rsid w:val="00BC4E5A"/>
    <w:rsid w:val="00BC5BF7"/>
    <w:rsid w:val="00BC7315"/>
    <w:rsid w:val="00BD187C"/>
    <w:rsid w:val="00BD2A5C"/>
    <w:rsid w:val="00BD2E3F"/>
    <w:rsid w:val="00BD3E3F"/>
    <w:rsid w:val="00BD5609"/>
    <w:rsid w:val="00BD619B"/>
    <w:rsid w:val="00BD6C6C"/>
    <w:rsid w:val="00BD6F56"/>
    <w:rsid w:val="00BE033B"/>
    <w:rsid w:val="00BE0C76"/>
    <w:rsid w:val="00BE1111"/>
    <w:rsid w:val="00BE1B56"/>
    <w:rsid w:val="00BE1E4B"/>
    <w:rsid w:val="00BE228C"/>
    <w:rsid w:val="00BE29A8"/>
    <w:rsid w:val="00BE3521"/>
    <w:rsid w:val="00BE3930"/>
    <w:rsid w:val="00BE405B"/>
    <w:rsid w:val="00BE41D3"/>
    <w:rsid w:val="00BE4AD8"/>
    <w:rsid w:val="00BE6242"/>
    <w:rsid w:val="00BE6FC6"/>
    <w:rsid w:val="00BE778D"/>
    <w:rsid w:val="00BF1622"/>
    <w:rsid w:val="00BF16F2"/>
    <w:rsid w:val="00BF2230"/>
    <w:rsid w:val="00BF37CF"/>
    <w:rsid w:val="00BF4264"/>
    <w:rsid w:val="00BF4A9C"/>
    <w:rsid w:val="00BF4D7C"/>
    <w:rsid w:val="00BF4FE9"/>
    <w:rsid w:val="00BF52E7"/>
    <w:rsid w:val="00BF54B2"/>
    <w:rsid w:val="00BF56FC"/>
    <w:rsid w:val="00BF5D29"/>
    <w:rsid w:val="00BF638F"/>
    <w:rsid w:val="00BF6698"/>
    <w:rsid w:val="00BF775A"/>
    <w:rsid w:val="00C002FE"/>
    <w:rsid w:val="00C00B4A"/>
    <w:rsid w:val="00C0227C"/>
    <w:rsid w:val="00C023DD"/>
    <w:rsid w:val="00C046CA"/>
    <w:rsid w:val="00C0509E"/>
    <w:rsid w:val="00C060BB"/>
    <w:rsid w:val="00C06C4F"/>
    <w:rsid w:val="00C06DBE"/>
    <w:rsid w:val="00C07BC2"/>
    <w:rsid w:val="00C117D8"/>
    <w:rsid w:val="00C1233F"/>
    <w:rsid w:val="00C12654"/>
    <w:rsid w:val="00C131A5"/>
    <w:rsid w:val="00C1322C"/>
    <w:rsid w:val="00C13AC9"/>
    <w:rsid w:val="00C14211"/>
    <w:rsid w:val="00C14F8B"/>
    <w:rsid w:val="00C1548D"/>
    <w:rsid w:val="00C1588E"/>
    <w:rsid w:val="00C16709"/>
    <w:rsid w:val="00C173FD"/>
    <w:rsid w:val="00C17414"/>
    <w:rsid w:val="00C174C9"/>
    <w:rsid w:val="00C20B77"/>
    <w:rsid w:val="00C212B6"/>
    <w:rsid w:val="00C22515"/>
    <w:rsid w:val="00C228C9"/>
    <w:rsid w:val="00C22A34"/>
    <w:rsid w:val="00C24133"/>
    <w:rsid w:val="00C248EE"/>
    <w:rsid w:val="00C24F19"/>
    <w:rsid w:val="00C25A2E"/>
    <w:rsid w:val="00C26687"/>
    <w:rsid w:val="00C2697B"/>
    <w:rsid w:val="00C26A88"/>
    <w:rsid w:val="00C300DA"/>
    <w:rsid w:val="00C31534"/>
    <w:rsid w:val="00C32168"/>
    <w:rsid w:val="00C32FF0"/>
    <w:rsid w:val="00C33734"/>
    <w:rsid w:val="00C33C13"/>
    <w:rsid w:val="00C35492"/>
    <w:rsid w:val="00C354C7"/>
    <w:rsid w:val="00C35AD3"/>
    <w:rsid w:val="00C368FE"/>
    <w:rsid w:val="00C36976"/>
    <w:rsid w:val="00C36BEA"/>
    <w:rsid w:val="00C379F8"/>
    <w:rsid w:val="00C4006C"/>
    <w:rsid w:val="00C423A8"/>
    <w:rsid w:val="00C43648"/>
    <w:rsid w:val="00C45142"/>
    <w:rsid w:val="00C45405"/>
    <w:rsid w:val="00C47362"/>
    <w:rsid w:val="00C47B5D"/>
    <w:rsid w:val="00C47CB5"/>
    <w:rsid w:val="00C50639"/>
    <w:rsid w:val="00C50903"/>
    <w:rsid w:val="00C51C0E"/>
    <w:rsid w:val="00C52243"/>
    <w:rsid w:val="00C52BE0"/>
    <w:rsid w:val="00C53EFF"/>
    <w:rsid w:val="00C546B7"/>
    <w:rsid w:val="00C55555"/>
    <w:rsid w:val="00C560C3"/>
    <w:rsid w:val="00C565DA"/>
    <w:rsid w:val="00C56AC7"/>
    <w:rsid w:val="00C56EB6"/>
    <w:rsid w:val="00C5747B"/>
    <w:rsid w:val="00C57557"/>
    <w:rsid w:val="00C57E75"/>
    <w:rsid w:val="00C60BAB"/>
    <w:rsid w:val="00C60DBE"/>
    <w:rsid w:val="00C6129D"/>
    <w:rsid w:val="00C634E1"/>
    <w:rsid w:val="00C63A25"/>
    <w:rsid w:val="00C64EFA"/>
    <w:rsid w:val="00C658F6"/>
    <w:rsid w:val="00C65ADD"/>
    <w:rsid w:val="00C65B66"/>
    <w:rsid w:val="00C66433"/>
    <w:rsid w:val="00C6647C"/>
    <w:rsid w:val="00C6655F"/>
    <w:rsid w:val="00C66B35"/>
    <w:rsid w:val="00C66B5F"/>
    <w:rsid w:val="00C678E9"/>
    <w:rsid w:val="00C743BA"/>
    <w:rsid w:val="00C75609"/>
    <w:rsid w:val="00C7623F"/>
    <w:rsid w:val="00C763BC"/>
    <w:rsid w:val="00C808E7"/>
    <w:rsid w:val="00C809DB"/>
    <w:rsid w:val="00C83988"/>
    <w:rsid w:val="00C840A7"/>
    <w:rsid w:val="00C84BB3"/>
    <w:rsid w:val="00C85057"/>
    <w:rsid w:val="00C859A3"/>
    <w:rsid w:val="00C86AE3"/>
    <w:rsid w:val="00C90AD4"/>
    <w:rsid w:val="00C91676"/>
    <w:rsid w:val="00C91855"/>
    <w:rsid w:val="00C91D59"/>
    <w:rsid w:val="00C921B5"/>
    <w:rsid w:val="00C92902"/>
    <w:rsid w:val="00C92C6E"/>
    <w:rsid w:val="00C93FA9"/>
    <w:rsid w:val="00C94798"/>
    <w:rsid w:val="00C96ED0"/>
    <w:rsid w:val="00CA5E04"/>
    <w:rsid w:val="00CA65C9"/>
    <w:rsid w:val="00CB007B"/>
    <w:rsid w:val="00CB094F"/>
    <w:rsid w:val="00CB396A"/>
    <w:rsid w:val="00CB3E9A"/>
    <w:rsid w:val="00CB4582"/>
    <w:rsid w:val="00CB5708"/>
    <w:rsid w:val="00CB7B95"/>
    <w:rsid w:val="00CC02B5"/>
    <w:rsid w:val="00CC1068"/>
    <w:rsid w:val="00CC223B"/>
    <w:rsid w:val="00CC3965"/>
    <w:rsid w:val="00CC3C9C"/>
    <w:rsid w:val="00CC6015"/>
    <w:rsid w:val="00CC6937"/>
    <w:rsid w:val="00CC70AB"/>
    <w:rsid w:val="00CC73B6"/>
    <w:rsid w:val="00CC751C"/>
    <w:rsid w:val="00CC78BD"/>
    <w:rsid w:val="00CC7F3C"/>
    <w:rsid w:val="00CD1307"/>
    <w:rsid w:val="00CD1449"/>
    <w:rsid w:val="00CD1FB3"/>
    <w:rsid w:val="00CD3A79"/>
    <w:rsid w:val="00CD3C5C"/>
    <w:rsid w:val="00CD3FD3"/>
    <w:rsid w:val="00CD48AB"/>
    <w:rsid w:val="00CD72B5"/>
    <w:rsid w:val="00CE1D8B"/>
    <w:rsid w:val="00CE39E3"/>
    <w:rsid w:val="00CE540B"/>
    <w:rsid w:val="00CE6452"/>
    <w:rsid w:val="00CE64EB"/>
    <w:rsid w:val="00CE6A1B"/>
    <w:rsid w:val="00CE6CA5"/>
    <w:rsid w:val="00CE7832"/>
    <w:rsid w:val="00CE7E58"/>
    <w:rsid w:val="00CE7EB7"/>
    <w:rsid w:val="00CF03C9"/>
    <w:rsid w:val="00CF106A"/>
    <w:rsid w:val="00CF1DEA"/>
    <w:rsid w:val="00CF213C"/>
    <w:rsid w:val="00CF22C7"/>
    <w:rsid w:val="00CF2DAD"/>
    <w:rsid w:val="00CF31AA"/>
    <w:rsid w:val="00CF3A20"/>
    <w:rsid w:val="00CF49D0"/>
    <w:rsid w:val="00CF4CF5"/>
    <w:rsid w:val="00CF5795"/>
    <w:rsid w:val="00CF669C"/>
    <w:rsid w:val="00CF6EB4"/>
    <w:rsid w:val="00CF7F4B"/>
    <w:rsid w:val="00D00106"/>
    <w:rsid w:val="00D01796"/>
    <w:rsid w:val="00D0191D"/>
    <w:rsid w:val="00D01B7B"/>
    <w:rsid w:val="00D027F1"/>
    <w:rsid w:val="00D04E6A"/>
    <w:rsid w:val="00D059AA"/>
    <w:rsid w:val="00D05E73"/>
    <w:rsid w:val="00D07332"/>
    <w:rsid w:val="00D07523"/>
    <w:rsid w:val="00D10117"/>
    <w:rsid w:val="00D10D22"/>
    <w:rsid w:val="00D115EE"/>
    <w:rsid w:val="00D12DC1"/>
    <w:rsid w:val="00D14200"/>
    <w:rsid w:val="00D14A01"/>
    <w:rsid w:val="00D15532"/>
    <w:rsid w:val="00D16156"/>
    <w:rsid w:val="00D16598"/>
    <w:rsid w:val="00D168BC"/>
    <w:rsid w:val="00D176BF"/>
    <w:rsid w:val="00D178A0"/>
    <w:rsid w:val="00D21145"/>
    <w:rsid w:val="00D21354"/>
    <w:rsid w:val="00D22214"/>
    <w:rsid w:val="00D236F7"/>
    <w:rsid w:val="00D2403D"/>
    <w:rsid w:val="00D27359"/>
    <w:rsid w:val="00D31644"/>
    <w:rsid w:val="00D31972"/>
    <w:rsid w:val="00D319C8"/>
    <w:rsid w:val="00D32439"/>
    <w:rsid w:val="00D32693"/>
    <w:rsid w:val="00D339B4"/>
    <w:rsid w:val="00D34030"/>
    <w:rsid w:val="00D34491"/>
    <w:rsid w:val="00D34E40"/>
    <w:rsid w:val="00D365F2"/>
    <w:rsid w:val="00D367B6"/>
    <w:rsid w:val="00D3684E"/>
    <w:rsid w:val="00D37C44"/>
    <w:rsid w:val="00D411C9"/>
    <w:rsid w:val="00D416BC"/>
    <w:rsid w:val="00D42A40"/>
    <w:rsid w:val="00D43A6D"/>
    <w:rsid w:val="00D44209"/>
    <w:rsid w:val="00D44F8A"/>
    <w:rsid w:val="00D4564A"/>
    <w:rsid w:val="00D45FCA"/>
    <w:rsid w:val="00D463C3"/>
    <w:rsid w:val="00D47679"/>
    <w:rsid w:val="00D47F07"/>
    <w:rsid w:val="00D50CAF"/>
    <w:rsid w:val="00D51DAC"/>
    <w:rsid w:val="00D5247B"/>
    <w:rsid w:val="00D52BB7"/>
    <w:rsid w:val="00D52BED"/>
    <w:rsid w:val="00D54A49"/>
    <w:rsid w:val="00D554D2"/>
    <w:rsid w:val="00D55647"/>
    <w:rsid w:val="00D616D4"/>
    <w:rsid w:val="00D62027"/>
    <w:rsid w:val="00D62C53"/>
    <w:rsid w:val="00D62E7B"/>
    <w:rsid w:val="00D64113"/>
    <w:rsid w:val="00D6432C"/>
    <w:rsid w:val="00D64660"/>
    <w:rsid w:val="00D6587B"/>
    <w:rsid w:val="00D65A29"/>
    <w:rsid w:val="00D65ECE"/>
    <w:rsid w:val="00D669C2"/>
    <w:rsid w:val="00D705EA"/>
    <w:rsid w:val="00D7133E"/>
    <w:rsid w:val="00D715B0"/>
    <w:rsid w:val="00D71D31"/>
    <w:rsid w:val="00D72A74"/>
    <w:rsid w:val="00D72FC2"/>
    <w:rsid w:val="00D74960"/>
    <w:rsid w:val="00D74ED6"/>
    <w:rsid w:val="00D755DE"/>
    <w:rsid w:val="00D76862"/>
    <w:rsid w:val="00D76BE3"/>
    <w:rsid w:val="00D825EA"/>
    <w:rsid w:val="00D82D36"/>
    <w:rsid w:val="00D83DFF"/>
    <w:rsid w:val="00D844E6"/>
    <w:rsid w:val="00D85738"/>
    <w:rsid w:val="00D85CAB"/>
    <w:rsid w:val="00D86B89"/>
    <w:rsid w:val="00D86BF8"/>
    <w:rsid w:val="00D878A8"/>
    <w:rsid w:val="00D9053D"/>
    <w:rsid w:val="00D91AE6"/>
    <w:rsid w:val="00D93B5A"/>
    <w:rsid w:val="00D95B1E"/>
    <w:rsid w:val="00D96EF2"/>
    <w:rsid w:val="00D96F01"/>
    <w:rsid w:val="00D97D97"/>
    <w:rsid w:val="00DA00C9"/>
    <w:rsid w:val="00DA0A2F"/>
    <w:rsid w:val="00DA13B5"/>
    <w:rsid w:val="00DA3280"/>
    <w:rsid w:val="00DA43A8"/>
    <w:rsid w:val="00DA45B1"/>
    <w:rsid w:val="00DA4C3D"/>
    <w:rsid w:val="00DA5E54"/>
    <w:rsid w:val="00DA6E5D"/>
    <w:rsid w:val="00DA6E8A"/>
    <w:rsid w:val="00DA7361"/>
    <w:rsid w:val="00DA7B03"/>
    <w:rsid w:val="00DB0B51"/>
    <w:rsid w:val="00DB6820"/>
    <w:rsid w:val="00DB7025"/>
    <w:rsid w:val="00DB7449"/>
    <w:rsid w:val="00DB7503"/>
    <w:rsid w:val="00DB7C8B"/>
    <w:rsid w:val="00DC01DC"/>
    <w:rsid w:val="00DC0C0D"/>
    <w:rsid w:val="00DC1391"/>
    <w:rsid w:val="00DC145C"/>
    <w:rsid w:val="00DC19DE"/>
    <w:rsid w:val="00DC2DAA"/>
    <w:rsid w:val="00DC34AF"/>
    <w:rsid w:val="00DC5EE0"/>
    <w:rsid w:val="00DC7076"/>
    <w:rsid w:val="00DD0463"/>
    <w:rsid w:val="00DD19BF"/>
    <w:rsid w:val="00DD25D2"/>
    <w:rsid w:val="00DD25F4"/>
    <w:rsid w:val="00DD462C"/>
    <w:rsid w:val="00DD4AAC"/>
    <w:rsid w:val="00DD4C32"/>
    <w:rsid w:val="00DD53C7"/>
    <w:rsid w:val="00DD6F72"/>
    <w:rsid w:val="00DD7A7E"/>
    <w:rsid w:val="00DE13E9"/>
    <w:rsid w:val="00DE2266"/>
    <w:rsid w:val="00DE426D"/>
    <w:rsid w:val="00DE4456"/>
    <w:rsid w:val="00DE46D7"/>
    <w:rsid w:val="00DE4EF3"/>
    <w:rsid w:val="00DE5962"/>
    <w:rsid w:val="00DE5D5A"/>
    <w:rsid w:val="00DE5D7A"/>
    <w:rsid w:val="00DE66D5"/>
    <w:rsid w:val="00DE6D64"/>
    <w:rsid w:val="00DF0A9B"/>
    <w:rsid w:val="00DF0B72"/>
    <w:rsid w:val="00DF1346"/>
    <w:rsid w:val="00DF1940"/>
    <w:rsid w:val="00DF1C87"/>
    <w:rsid w:val="00DF30AB"/>
    <w:rsid w:val="00DF30DE"/>
    <w:rsid w:val="00DF3BA8"/>
    <w:rsid w:val="00DF5420"/>
    <w:rsid w:val="00DF5696"/>
    <w:rsid w:val="00DF5DBE"/>
    <w:rsid w:val="00DF5F78"/>
    <w:rsid w:val="00DF6B67"/>
    <w:rsid w:val="00DF76B4"/>
    <w:rsid w:val="00DF7752"/>
    <w:rsid w:val="00E00C6E"/>
    <w:rsid w:val="00E01314"/>
    <w:rsid w:val="00E014BA"/>
    <w:rsid w:val="00E0161D"/>
    <w:rsid w:val="00E017B9"/>
    <w:rsid w:val="00E02FFE"/>
    <w:rsid w:val="00E0569D"/>
    <w:rsid w:val="00E05A2A"/>
    <w:rsid w:val="00E06845"/>
    <w:rsid w:val="00E06942"/>
    <w:rsid w:val="00E10294"/>
    <w:rsid w:val="00E10410"/>
    <w:rsid w:val="00E10F2E"/>
    <w:rsid w:val="00E11820"/>
    <w:rsid w:val="00E1198B"/>
    <w:rsid w:val="00E12D56"/>
    <w:rsid w:val="00E12E79"/>
    <w:rsid w:val="00E1464A"/>
    <w:rsid w:val="00E148F3"/>
    <w:rsid w:val="00E1558C"/>
    <w:rsid w:val="00E17428"/>
    <w:rsid w:val="00E17A67"/>
    <w:rsid w:val="00E2130C"/>
    <w:rsid w:val="00E21507"/>
    <w:rsid w:val="00E21DC8"/>
    <w:rsid w:val="00E22564"/>
    <w:rsid w:val="00E228E6"/>
    <w:rsid w:val="00E22C47"/>
    <w:rsid w:val="00E237AB"/>
    <w:rsid w:val="00E239DF"/>
    <w:rsid w:val="00E24082"/>
    <w:rsid w:val="00E24CD8"/>
    <w:rsid w:val="00E26153"/>
    <w:rsid w:val="00E2680A"/>
    <w:rsid w:val="00E27D72"/>
    <w:rsid w:val="00E30BE0"/>
    <w:rsid w:val="00E31384"/>
    <w:rsid w:val="00E31A79"/>
    <w:rsid w:val="00E32CAB"/>
    <w:rsid w:val="00E34476"/>
    <w:rsid w:val="00E349B4"/>
    <w:rsid w:val="00E34F5C"/>
    <w:rsid w:val="00E35364"/>
    <w:rsid w:val="00E364EA"/>
    <w:rsid w:val="00E36DFD"/>
    <w:rsid w:val="00E4054E"/>
    <w:rsid w:val="00E409FC"/>
    <w:rsid w:val="00E40D80"/>
    <w:rsid w:val="00E41564"/>
    <w:rsid w:val="00E423AD"/>
    <w:rsid w:val="00E429C4"/>
    <w:rsid w:val="00E42A85"/>
    <w:rsid w:val="00E43388"/>
    <w:rsid w:val="00E436BD"/>
    <w:rsid w:val="00E456E3"/>
    <w:rsid w:val="00E45F39"/>
    <w:rsid w:val="00E46391"/>
    <w:rsid w:val="00E4670E"/>
    <w:rsid w:val="00E47555"/>
    <w:rsid w:val="00E478FE"/>
    <w:rsid w:val="00E50763"/>
    <w:rsid w:val="00E50A7F"/>
    <w:rsid w:val="00E52119"/>
    <w:rsid w:val="00E52E0B"/>
    <w:rsid w:val="00E5332E"/>
    <w:rsid w:val="00E53BA5"/>
    <w:rsid w:val="00E54D4A"/>
    <w:rsid w:val="00E553F6"/>
    <w:rsid w:val="00E557CE"/>
    <w:rsid w:val="00E55B88"/>
    <w:rsid w:val="00E56985"/>
    <w:rsid w:val="00E56B3D"/>
    <w:rsid w:val="00E574F6"/>
    <w:rsid w:val="00E57A47"/>
    <w:rsid w:val="00E606E9"/>
    <w:rsid w:val="00E60D5A"/>
    <w:rsid w:val="00E6156D"/>
    <w:rsid w:val="00E6194D"/>
    <w:rsid w:val="00E627AD"/>
    <w:rsid w:val="00E62824"/>
    <w:rsid w:val="00E6351A"/>
    <w:rsid w:val="00E63736"/>
    <w:rsid w:val="00E64554"/>
    <w:rsid w:val="00E645B8"/>
    <w:rsid w:val="00E64B86"/>
    <w:rsid w:val="00E64B9D"/>
    <w:rsid w:val="00E65630"/>
    <w:rsid w:val="00E6586F"/>
    <w:rsid w:val="00E6593E"/>
    <w:rsid w:val="00E7031D"/>
    <w:rsid w:val="00E717A4"/>
    <w:rsid w:val="00E74D40"/>
    <w:rsid w:val="00E75135"/>
    <w:rsid w:val="00E769AD"/>
    <w:rsid w:val="00E801C5"/>
    <w:rsid w:val="00E8036B"/>
    <w:rsid w:val="00E80A4B"/>
    <w:rsid w:val="00E81180"/>
    <w:rsid w:val="00E81DD4"/>
    <w:rsid w:val="00E8235C"/>
    <w:rsid w:val="00E827FC"/>
    <w:rsid w:val="00E82A42"/>
    <w:rsid w:val="00E83E5B"/>
    <w:rsid w:val="00E83FD8"/>
    <w:rsid w:val="00E84168"/>
    <w:rsid w:val="00E84C69"/>
    <w:rsid w:val="00E852B9"/>
    <w:rsid w:val="00E853B5"/>
    <w:rsid w:val="00E85B0B"/>
    <w:rsid w:val="00E864AC"/>
    <w:rsid w:val="00E87D9D"/>
    <w:rsid w:val="00E9271C"/>
    <w:rsid w:val="00E92B20"/>
    <w:rsid w:val="00E9412E"/>
    <w:rsid w:val="00E941EA"/>
    <w:rsid w:val="00E946CF"/>
    <w:rsid w:val="00E95950"/>
    <w:rsid w:val="00E95CE5"/>
    <w:rsid w:val="00E9609E"/>
    <w:rsid w:val="00E96F40"/>
    <w:rsid w:val="00E96F41"/>
    <w:rsid w:val="00E97F92"/>
    <w:rsid w:val="00EA001F"/>
    <w:rsid w:val="00EA0C99"/>
    <w:rsid w:val="00EA16A5"/>
    <w:rsid w:val="00EA183B"/>
    <w:rsid w:val="00EA1DAA"/>
    <w:rsid w:val="00EA2682"/>
    <w:rsid w:val="00EA2DD6"/>
    <w:rsid w:val="00EA66BD"/>
    <w:rsid w:val="00EA764B"/>
    <w:rsid w:val="00EB0BDF"/>
    <w:rsid w:val="00EB0CD3"/>
    <w:rsid w:val="00EB18DD"/>
    <w:rsid w:val="00EB3585"/>
    <w:rsid w:val="00EB3DF0"/>
    <w:rsid w:val="00EB4812"/>
    <w:rsid w:val="00EB4E3D"/>
    <w:rsid w:val="00EB52FB"/>
    <w:rsid w:val="00EB5D71"/>
    <w:rsid w:val="00EB7276"/>
    <w:rsid w:val="00EB762F"/>
    <w:rsid w:val="00EB7A3D"/>
    <w:rsid w:val="00EB7AB1"/>
    <w:rsid w:val="00EC0FC7"/>
    <w:rsid w:val="00EC1493"/>
    <w:rsid w:val="00EC39A4"/>
    <w:rsid w:val="00EC3DE6"/>
    <w:rsid w:val="00EC3EA6"/>
    <w:rsid w:val="00EC49CE"/>
    <w:rsid w:val="00EC4BBE"/>
    <w:rsid w:val="00EC5909"/>
    <w:rsid w:val="00EC5EDE"/>
    <w:rsid w:val="00EC6C09"/>
    <w:rsid w:val="00EC6ECF"/>
    <w:rsid w:val="00EC7037"/>
    <w:rsid w:val="00ED017D"/>
    <w:rsid w:val="00ED094C"/>
    <w:rsid w:val="00ED0A50"/>
    <w:rsid w:val="00ED1CF0"/>
    <w:rsid w:val="00ED1E68"/>
    <w:rsid w:val="00ED2715"/>
    <w:rsid w:val="00ED30A4"/>
    <w:rsid w:val="00ED4BD3"/>
    <w:rsid w:val="00ED4C1E"/>
    <w:rsid w:val="00ED5B92"/>
    <w:rsid w:val="00ED6F07"/>
    <w:rsid w:val="00ED7329"/>
    <w:rsid w:val="00EE0138"/>
    <w:rsid w:val="00EE0186"/>
    <w:rsid w:val="00EE0FA4"/>
    <w:rsid w:val="00EE12B6"/>
    <w:rsid w:val="00EE2270"/>
    <w:rsid w:val="00EE274F"/>
    <w:rsid w:val="00EE2797"/>
    <w:rsid w:val="00EE2BE5"/>
    <w:rsid w:val="00EE2F22"/>
    <w:rsid w:val="00EE5A1D"/>
    <w:rsid w:val="00EE6073"/>
    <w:rsid w:val="00EE6135"/>
    <w:rsid w:val="00EF0064"/>
    <w:rsid w:val="00EF05DD"/>
    <w:rsid w:val="00EF0D0F"/>
    <w:rsid w:val="00EF5697"/>
    <w:rsid w:val="00EF5AB7"/>
    <w:rsid w:val="00EF5FB9"/>
    <w:rsid w:val="00EF6F51"/>
    <w:rsid w:val="00EF7488"/>
    <w:rsid w:val="00EF7501"/>
    <w:rsid w:val="00EF7797"/>
    <w:rsid w:val="00EF799C"/>
    <w:rsid w:val="00EF7B71"/>
    <w:rsid w:val="00F00881"/>
    <w:rsid w:val="00F00884"/>
    <w:rsid w:val="00F00B32"/>
    <w:rsid w:val="00F01B00"/>
    <w:rsid w:val="00F01E44"/>
    <w:rsid w:val="00F04C85"/>
    <w:rsid w:val="00F05044"/>
    <w:rsid w:val="00F06D1E"/>
    <w:rsid w:val="00F10211"/>
    <w:rsid w:val="00F10BF0"/>
    <w:rsid w:val="00F117FD"/>
    <w:rsid w:val="00F1294E"/>
    <w:rsid w:val="00F12C7B"/>
    <w:rsid w:val="00F12F4D"/>
    <w:rsid w:val="00F214C6"/>
    <w:rsid w:val="00F21755"/>
    <w:rsid w:val="00F21B1F"/>
    <w:rsid w:val="00F224FA"/>
    <w:rsid w:val="00F22B69"/>
    <w:rsid w:val="00F22B9C"/>
    <w:rsid w:val="00F234FB"/>
    <w:rsid w:val="00F23685"/>
    <w:rsid w:val="00F24574"/>
    <w:rsid w:val="00F24686"/>
    <w:rsid w:val="00F25446"/>
    <w:rsid w:val="00F26422"/>
    <w:rsid w:val="00F27C6B"/>
    <w:rsid w:val="00F30B44"/>
    <w:rsid w:val="00F320F7"/>
    <w:rsid w:val="00F3268F"/>
    <w:rsid w:val="00F32E9F"/>
    <w:rsid w:val="00F3358C"/>
    <w:rsid w:val="00F3383A"/>
    <w:rsid w:val="00F351B3"/>
    <w:rsid w:val="00F35812"/>
    <w:rsid w:val="00F360FD"/>
    <w:rsid w:val="00F361B6"/>
    <w:rsid w:val="00F36F69"/>
    <w:rsid w:val="00F37245"/>
    <w:rsid w:val="00F3794E"/>
    <w:rsid w:val="00F40754"/>
    <w:rsid w:val="00F4082E"/>
    <w:rsid w:val="00F41B42"/>
    <w:rsid w:val="00F4225E"/>
    <w:rsid w:val="00F42DBC"/>
    <w:rsid w:val="00F4334C"/>
    <w:rsid w:val="00F449D8"/>
    <w:rsid w:val="00F44DCF"/>
    <w:rsid w:val="00F45D5B"/>
    <w:rsid w:val="00F46106"/>
    <w:rsid w:val="00F4665C"/>
    <w:rsid w:val="00F471DD"/>
    <w:rsid w:val="00F50026"/>
    <w:rsid w:val="00F50CEB"/>
    <w:rsid w:val="00F51450"/>
    <w:rsid w:val="00F51B79"/>
    <w:rsid w:val="00F52D3F"/>
    <w:rsid w:val="00F5469D"/>
    <w:rsid w:val="00F54AAC"/>
    <w:rsid w:val="00F564E7"/>
    <w:rsid w:val="00F570D1"/>
    <w:rsid w:val="00F57E81"/>
    <w:rsid w:val="00F605F0"/>
    <w:rsid w:val="00F6075F"/>
    <w:rsid w:val="00F621AF"/>
    <w:rsid w:val="00F62F29"/>
    <w:rsid w:val="00F63CFF"/>
    <w:rsid w:val="00F642FA"/>
    <w:rsid w:val="00F64A93"/>
    <w:rsid w:val="00F661CB"/>
    <w:rsid w:val="00F7052B"/>
    <w:rsid w:val="00F7112A"/>
    <w:rsid w:val="00F71748"/>
    <w:rsid w:val="00F7174C"/>
    <w:rsid w:val="00F71FF0"/>
    <w:rsid w:val="00F720A5"/>
    <w:rsid w:val="00F72E47"/>
    <w:rsid w:val="00F73678"/>
    <w:rsid w:val="00F7384A"/>
    <w:rsid w:val="00F73B7E"/>
    <w:rsid w:val="00F74D63"/>
    <w:rsid w:val="00F75004"/>
    <w:rsid w:val="00F753A4"/>
    <w:rsid w:val="00F76F51"/>
    <w:rsid w:val="00F77667"/>
    <w:rsid w:val="00F77845"/>
    <w:rsid w:val="00F77E51"/>
    <w:rsid w:val="00F812BD"/>
    <w:rsid w:val="00F81F93"/>
    <w:rsid w:val="00F8367B"/>
    <w:rsid w:val="00F84671"/>
    <w:rsid w:val="00F856E8"/>
    <w:rsid w:val="00F85CB4"/>
    <w:rsid w:val="00F913B0"/>
    <w:rsid w:val="00F91913"/>
    <w:rsid w:val="00F92795"/>
    <w:rsid w:val="00F93D1F"/>
    <w:rsid w:val="00F948B0"/>
    <w:rsid w:val="00F94CDF"/>
    <w:rsid w:val="00F96D4A"/>
    <w:rsid w:val="00F971EF"/>
    <w:rsid w:val="00FA144C"/>
    <w:rsid w:val="00FA1487"/>
    <w:rsid w:val="00FA34ED"/>
    <w:rsid w:val="00FA46EB"/>
    <w:rsid w:val="00FA5433"/>
    <w:rsid w:val="00FA556A"/>
    <w:rsid w:val="00FA5A6B"/>
    <w:rsid w:val="00FA5E33"/>
    <w:rsid w:val="00FA64C2"/>
    <w:rsid w:val="00FA6C5B"/>
    <w:rsid w:val="00FA733D"/>
    <w:rsid w:val="00FA7989"/>
    <w:rsid w:val="00FA7D7B"/>
    <w:rsid w:val="00FA7F1D"/>
    <w:rsid w:val="00FB0695"/>
    <w:rsid w:val="00FB07DC"/>
    <w:rsid w:val="00FB08CB"/>
    <w:rsid w:val="00FB0D02"/>
    <w:rsid w:val="00FB1312"/>
    <w:rsid w:val="00FB2645"/>
    <w:rsid w:val="00FB29BA"/>
    <w:rsid w:val="00FB2F4A"/>
    <w:rsid w:val="00FB57A6"/>
    <w:rsid w:val="00FB6504"/>
    <w:rsid w:val="00FB7199"/>
    <w:rsid w:val="00FB73B9"/>
    <w:rsid w:val="00FB7790"/>
    <w:rsid w:val="00FC0DCA"/>
    <w:rsid w:val="00FC1538"/>
    <w:rsid w:val="00FC18B3"/>
    <w:rsid w:val="00FC191F"/>
    <w:rsid w:val="00FC22CA"/>
    <w:rsid w:val="00FC2B5E"/>
    <w:rsid w:val="00FC5762"/>
    <w:rsid w:val="00FC5C47"/>
    <w:rsid w:val="00FC6A85"/>
    <w:rsid w:val="00FC7AB3"/>
    <w:rsid w:val="00FD14B0"/>
    <w:rsid w:val="00FD1CA5"/>
    <w:rsid w:val="00FD2456"/>
    <w:rsid w:val="00FD25DF"/>
    <w:rsid w:val="00FD26A7"/>
    <w:rsid w:val="00FD2C82"/>
    <w:rsid w:val="00FD3EB7"/>
    <w:rsid w:val="00FD484E"/>
    <w:rsid w:val="00FD497A"/>
    <w:rsid w:val="00FD4C44"/>
    <w:rsid w:val="00FD55D0"/>
    <w:rsid w:val="00FD5E4D"/>
    <w:rsid w:val="00FD7CC9"/>
    <w:rsid w:val="00FE0006"/>
    <w:rsid w:val="00FE00DB"/>
    <w:rsid w:val="00FE1C74"/>
    <w:rsid w:val="00FE2447"/>
    <w:rsid w:val="00FE25D0"/>
    <w:rsid w:val="00FE2E6F"/>
    <w:rsid w:val="00FE3078"/>
    <w:rsid w:val="00FE34B6"/>
    <w:rsid w:val="00FE3853"/>
    <w:rsid w:val="00FE3DD1"/>
    <w:rsid w:val="00FE5AED"/>
    <w:rsid w:val="00FE5C52"/>
    <w:rsid w:val="00FE628C"/>
    <w:rsid w:val="00FE676A"/>
    <w:rsid w:val="00FE6B90"/>
    <w:rsid w:val="00FF0760"/>
    <w:rsid w:val="00FF11F9"/>
    <w:rsid w:val="00FF2967"/>
    <w:rsid w:val="00FF3A5F"/>
    <w:rsid w:val="00FF41A4"/>
    <w:rsid w:val="00FF4B77"/>
    <w:rsid w:val="00FF4BBF"/>
    <w:rsid w:val="00FF5961"/>
    <w:rsid w:val="00FF64FB"/>
    <w:rsid w:val="00FF6E42"/>
    <w:rsid w:val="00FF72DE"/>
    <w:rsid w:val="4A8EFD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AF4B0"/>
  <w15:chartTrackingRefBased/>
  <w15:docId w15:val="{9D589D08-9DF1-4EEB-A453-98881CA0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7"/>
        <w:szCs w:val="17"/>
        <w:lang w:val="en-GB" w:eastAsia="en-US" w:bidi="ar-SA"/>
      </w:rPr>
    </w:rPrDefault>
    <w:pPrDefault>
      <w:pPr>
        <w:spacing w:after="120" w:line="28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9" w:unhideWhenUsed="1"/>
    <w:lsdException w:name="annotation text" w:semiHidden="1" w:uiPriority="59" w:unhideWhenUsed="1"/>
    <w:lsdException w:name="header" w:semiHidden="1" w:unhideWhenUsed="1" w:qFormat="1"/>
    <w:lsdException w:name="footer" w:semiHidden="1"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3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qFormat="1"/>
    <w:lsdException w:name="List Number 3" w:semiHidden="1" w:uiPriority="13" w:unhideWhenUsed="1" w:qFormat="1"/>
    <w:lsdException w:name="List Number 4" w:semiHidden="1" w:uiPriority="13" w:unhideWhenUsed="1"/>
    <w:lsdException w:name="List Number 5" w:semiHidden="1" w:uiPriority="13"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FF0"/>
    <w:pPr>
      <w:spacing w:before="120" w:line="240" w:lineRule="auto"/>
    </w:pPr>
    <w:rPr>
      <w:sz w:val="20"/>
    </w:rPr>
  </w:style>
  <w:style w:type="paragraph" w:styleId="Heading1">
    <w:name w:val="heading 1"/>
    <w:basedOn w:val="Normal"/>
    <w:next w:val="Normal"/>
    <w:link w:val="Heading1Char"/>
    <w:uiPriority w:val="9"/>
    <w:qFormat/>
    <w:rsid w:val="00911D4F"/>
    <w:pPr>
      <w:keepNext/>
      <w:keepLines/>
      <w:numPr>
        <w:numId w:val="13"/>
      </w:numPr>
      <w:spacing w:before="240" w:after="0" w:line="640" w:lineRule="exact"/>
      <w:ind w:right="531"/>
      <w:outlineLvl w:val="0"/>
    </w:pPr>
    <w:rPr>
      <w:rFonts w:asciiTheme="majorHAnsi" w:eastAsiaTheme="majorEastAsia" w:hAnsiTheme="majorHAnsi" w:cstheme="majorBidi"/>
      <w:color w:val="FFFFFF" w:themeColor="background1"/>
      <w:sz w:val="60"/>
      <w:szCs w:val="60"/>
    </w:rPr>
  </w:style>
  <w:style w:type="paragraph" w:styleId="Heading2">
    <w:name w:val="heading 2"/>
    <w:basedOn w:val="Heading1"/>
    <w:next w:val="Normal"/>
    <w:link w:val="Heading2Char"/>
    <w:uiPriority w:val="9"/>
    <w:unhideWhenUsed/>
    <w:qFormat/>
    <w:rsid w:val="00022720"/>
    <w:pPr>
      <w:numPr>
        <w:ilvl w:val="1"/>
      </w:numPr>
      <w:spacing w:after="180"/>
      <w:ind w:right="533"/>
      <w:outlineLvl w:val="1"/>
    </w:pPr>
    <w:rPr>
      <w:color w:val="D04A02" w:themeColor="accent1"/>
    </w:rPr>
  </w:style>
  <w:style w:type="paragraph" w:styleId="Heading3">
    <w:name w:val="heading 3"/>
    <w:basedOn w:val="Normal"/>
    <w:next w:val="Normal"/>
    <w:link w:val="Heading3Char"/>
    <w:uiPriority w:val="9"/>
    <w:semiHidden/>
    <w:unhideWhenUsed/>
    <w:qFormat/>
    <w:rsid w:val="00086475"/>
    <w:pPr>
      <w:keepNext/>
      <w:keepLines/>
      <w:numPr>
        <w:ilvl w:val="2"/>
        <w:numId w:val="13"/>
      </w:numPr>
      <w:spacing w:before="40" w:after="0"/>
      <w:outlineLvl w:val="2"/>
    </w:pPr>
    <w:rPr>
      <w:rFonts w:asciiTheme="majorHAnsi" w:eastAsiaTheme="majorEastAsia" w:hAnsiTheme="majorHAnsi" w:cstheme="majorBidi"/>
      <w:color w:val="672401" w:themeColor="accent1" w:themeShade="7F"/>
      <w:sz w:val="24"/>
      <w:szCs w:val="24"/>
    </w:rPr>
  </w:style>
  <w:style w:type="paragraph" w:styleId="Heading4">
    <w:name w:val="heading 4"/>
    <w:basedOn w:val="Normal"/>
    <w:next w:val="Normal"/>
    <w:link w:val="Heading4Char"/>
    <w:uiPriority w:val="9"/>
    <w:semiHidden/>
    <w:unhideWhenUsed/>
    <w:qFormat/>
    <w:rsid w:val="00D9053D"/>
    <w:pPr>
      <w:keepNext/>
      <w:keepLines/>
      <w:numPr>
        <w:ilvl w:val="3"/>
        <w:numId w:val="13"/>
      </w:numPr>
      <w:spacing w:before="40" w:after="0"/>
      <w:outlineLvl w:val="3"/>
    </w:pPr>
    <w:rPr>
      <w:rFonts w:asciiTheme="majorHAnsi" w:eastAsiaTheme="majorEastAsia" w:hAnsiTheme="majorHAnsi" w:cstheme="majorBidi"/>
      <w:i/>
      <w:iCs/>
      <w:color w:val="9B3701" w:themeColor="accent1" w:themeShade="BF"/>
    </w:rPr>
  </w:style>
  <w:style w:type="paragraph" w:styleId="Heading5">
    <w:name w:val="heading 5"/>
    <w:basedOn w:val="Normal"/>
    <w:next w:val="Normal"/>
    <w:link w:val="Heading5Char"/>
    <w:uiPriority w:val="9"/>
    <w:semiHidden/>
    <w:unhideWhenUsed/>
    <w:qFormat/>
    <w:rsid w:val="00937D5A"/>
    <w:pPr>
      <w:keepNext/>
      <w:keepLines/>
      <w:numPr>
        <w:ilvl w:val="4"/>
        <w:numId w:val="13"/>
      </w:numPr>
      <w:spacing w:before="40" w:after="0"/>
      <w:outlineLvl w:val="4"/>
    </w:pPr>
    <w:rPr>
      <w:rFonts w:asciiTheme="majorHAnsi" w:eastAsiaTheme="majorEastAsia" w:hAnsiTheme="majorHAnsi" w:cstheme="majorBidi"/>
      <w:color w:val="9B3701" w:themeColor="accent1" w:themeShade="BF"/>
    </w:rPr>
  </w:style>
  <w:style w:type="paragraph" w:styleId="Heading6">
    <w:name w:val="heading 6"/>
    <w:basedOn w:val="Normal"/>
    <w:next w:val="Normal"/>
    <w:link w:val="Heading6Char"/>
    <w:uiPriority w:val="9"/>
    <w:semiHidden/>
    <w:unhideWhenUsed/>
    <w:qFormat/>
    <w:rsid w:val="00937D5A"/>
    <w:pPr>
      <w:keepNext/>
      <w:keepLines/>
      <w:numPr>
        <w:ilvl w:val="5"/>
        <w:numId w:val="13"/>
      </w:numPr>
      <w:spacing w:before="40" w:after="0"/>
      <w:outlineLvl w:val="5"/>
    </w:pPr>
    <w:rPr>
      <w:rFonts w:asciiTheme="majorHAnsi" w:eastAsiaTheme="majorEastAsia" w:hAnsiTheme="majorHAnsi" w:cstheme="majorBidi"/>
      <w:color w:val="672401" w:themeColor="accent1" w:themeShade="7F"/>
    </w:rPr>
  </w:style>
  <w:style w:type="paragraph" w:styleId="Heading7">
    <w:name w:val="heading 7"/>
    <w:basedOn w:val="Normal"/>
    <w:next w:val="Normal"/>
    <w:link w:val="Heading7Char"/>
    <w:uiPriority w:val="9"/>
    <w:semiHidden/>
    <w:unhideWhenUsed/>
    <w:qFormat/>
    <w:rsid w:val="00937D5A"/>
    <w:pPr>
      <w:keepNext/>
      <w:keepLines/>
      <w:numPr>
        <w:ilvl w:val="6"/>
        <w:numId w:val="13"/>
      </w:numPr>
      <w:spacing w:before="40" w:after="0"/>
      <w:outlineLvl w:val="6"/>
    </w:pPr>
    <w:rPr>
      <w:rFonts w:asciiTheme="majorHAnsi" w:eastAsiaTheme="majorEastAsia" w:hAnsiTheme="majorHAnsi" w:cstheme="majorBidi"/>
      <w:i/>
      <w:iCs/>
      <w:color w:val="672401" w:themeColor="accent1" w:themeShade="7F"/>
    </w:rPr>
  </w:style>
  <w:style w:type="paragraph" w:styleId="Heading8">
    <w:name w:val="heading 8"/>
    <w:basedOn w:val="Normal"/>
    <w:next w:val="Normal"/>
    <w:link w:val="Heading8Char"/>
    <w:uiPriority w:val="9"/>
    <w:semiHidden/>
    <w:unhideWhenUsed/>
    <w:qFormat/>
    <w:rsid w:val="00937D5A"/>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37D5A"/>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9B581C"/>
    <w:pPr>
      <w:tabs>
        <w:tab w:val="center" w:pos="4513"/>
        <w:tab w:val="right" w:pos="9026"/>
      </w:tabs>
      <w:spacing w:after="0"/>
    </w:pPr>
    <w:rPr>
      <w:b/>
      <w:noProof/>
      <w:sz w:val="24"/>
    </w:rPr>
  </w:style>
  <w:style w:type="character" w:customStyle="1" w:styleId="HeaderChar">
    <w:name w:val="Header Char"/>
    <w:basedOn w:val="DefaultParagraphFont"/>
    <w:link w:val="Header"/>
    <w:uiPriority w:val="99"/>
    <w:rsid w:val="009B581C"/>
    <w:rPr>
      <w:b/>
      <w:noProof/>
      <w:sz w:val="24"/>
    </w:rPr>
  </w:style>
  <w:style w:type="paragraph" w:styleId="Footer">
    <w:name w:val="footer"/>
    <w:basedOn w:val="Header"/>
    <w:link w:val="FooterChar"/>
    <w:uiPriority w:val="99"/>
    <w:unhideWhenUsed/>
    <w:qFormat/>
    <w:rsid w:val="009C7674"/>
    <w:pPr>
      <w:tabs>
        <w:tab w:val="clear" w:pos="4513"/>
        <w:tab w:val="left" w:pos="540"/>
      </w:tabs>
    </w:pPr>
  </w:style>
  <w:style w:type="character" w:customStyle="1" w:styleId="FooterChar">
    <w:name w:val="Footer Char"/>
    <w:basedOn w:val="DefaultParagraphFont"/>
    <w:link w:val="Footer"/>
    <w:uiPriority w:val="99"/>
    <w:rsid w:val="009C7674"/>
    <w:rPr>
      <w:noProof/>
    </w:rPr>
  </w:style>
  <w:style w:type="paragraph" w:styleId="Title">
    <w:name w:val="Title"/>
    <w:basedOn w:val="Normal"/>
    <w:next w:val="Normal"/>
    <w:link w:val="TitleChar"/>
    <w:uiPriority w:val="10"/>
    <w:qFormat/>
    <w:rsid w:val="00120788"/>
    <w:pPr>
      <w:spacing w:after="640" w:line="760" w:lineRule="exact"/>
      <w:ind w:right="4304"/>
      <w:contextualSpacing/>
    </w:pPr>
    <w:rPr>
      <w:rFonts w:asciiTheme="majorHAnsi" w:eastAsiaTheme="majorEastAsia" w:hAnsiTheme="majorHAnsi" w:cstheme="majorBidi"/>
      <w:color w:val="FFFFFF" w:themeColor="background1"/>
      <w:spacing w:val="-10"/>
      <w:kern w:val="28"/>
      <w:sz w:val="72"/>
      <w:szCs w:val="56"/>
    </w:rPr>
  </w:style>
  <w:style w:type="character" w:customStyle="1" w:styleId="TitleChar">
    <w:name w:val="Title Char"/>
    <w:basedOn w:val="DefaultParagraphFont"/>
    <w:link w:val="Title"/>
    <w:uiPriority w:val="10"/>
    <w:rsid w:val="00120788"/>
    <w:rPr>
      <w:rFonts w:asciiTheme="majorHAnsi" w:eastAsiaTheme="majorEastAsia" w:hAnsiTheme="majorHAnsi" w:cstheme="majorBidi"/>
      <w:color w:val="FFFFFF" w:themeColor="background1"/>
      <w:spacing w:val="-10"/>
      <w:kern w:val="28"/>
      <w:sz w:val="72"/>
      <w:szCs w:val="56"/>
    </w:rPr>
  </w:style>
  <w:style w:type="paragraph" w:customStyle="1" w:styleId="Coversubheadline">
    <w:name w:val="Cover subheadline"/>
    <w:basedOn w:val="Normal"/>
    <w:next w:val="Normal"/>
    <w:qFormat/>
    <w:rsid w:val="004458DB"/>
    <w:pPr>
      <w:spacing w:after="0" w:line="320" w:lineRule="exact"/>
      <w:ind w:right="4304"/>
    </w:pPr>
    <w:rPr>
      <w:b/>
      <w:color w:val="FFFFFF" w:themeColor="background1"/>
      <w:sz w:val="26"/>
      <w:szCs w:val="26"/>
    </w:rPr>
  </w:style>
  <w:style w:type="character" w:customStyle="1" w:styleId="Heading1Char">
    <w:name w:val="Heading 1 Char"/>
    <w:basedOn w:val="DefaultParagraphFont"/>
    <w:link w:val="Heading1"/>
    <w:uiPriority w:val="9"/>
    <w:rsid w:val="00911D4F"/>
    <w:rPr>
      <w:rFonts w:asciiTheme="majorHAnsi" w:eastAsiaTheme="majorEastAsia" w:hAnsiTheme="majorHAnsi" w:cstheme="majorBidi"/>
      <w:color w:val="FFFFFF" w:themeColor="background1"/>
      <w:sz w:val="60"/>
      <w:szCs w:val="60"/>
    </w:rPr>
  </w:style>
  <w:style w:type="paragraph" w:styleId="Subtitle">
    <w:name w:val="Subtitle"/>
    <w:basedOn w:val="Normal"/>
    <w:next w:val="Normal"/>
    <w:link w:val="SubtitleChar"/>
    <w:qFormat/>
    <w:rsid w:val="00D9053D"/>
    <w:pPr>
      <w:spacing w:after="720" w:line="300" w:lineRule="exact"/>
    </w:pPr>
    <w:rPr>
      <w:b/>
      <w:sz w:val="24"/>
    </w:rPr>
  </w:style>
  <w:style w:type="character" w:customStyle="1" w:styleId="SubtitleChar">
    <w:name w:val="Subtitle Char"/>
    <w:basedOn w:val="DefaultParagraphFont"/>
    <w:link w:val="Subtitle"/>
    <w:rsid w:val="00D9053D"/>
    <w:rPr>
      <w:b/>
      <w:sz w:val="24"/>
    </w:rPr>
  </w:style>
  <w:style w:type="paragraph" w:customStyle="1" w:styleId="BasicParagraph">
    <w:name w:val="[Basic Paragraph]"/>
    <w:basedOn w:val="Normal"/>
    <w:uiPriority w:val="99"/>
    <w:rsid w:val="007B419C"/>
    <w:pPr>
      <w:autoSpaceDE w:val="0"/>
      <w:autoSpaceDN w:val="0"/>
      <w:adjustRightInd w:val="0"/>
      <w:spacing w:after="0" w:line="288" w:lineRule="auto"/>
      <w:textAlignment w:val="center"/>
    </w:pPr>
    <w:rPr>
      <w:rFonts w:ascii="Helvetica Neue" w:hAnsi="Helvetica Neue" w:cs="Helvetica Neue"/>
      <w:color w:val="000000"/>
      <w:sz w:val="24"/>
      <w:szCs w:val="24"/>
      <w:lang w:val="en-US"/>
    </w:rPr>
  </w:style>
  <w:style w:type="character" w:customStyle="1" w:styleId="Bodycopy">
    <w:name w:val="Body copy"/>
    <w:uiPriority w:val="99"/>
    <w:rsid w:val="007B419C"/>
    <w:rPr>
      <w:rFonts w:ascii="Georgia" w:hAnsi="Georgia" w:cs="Georgia"/>
      <w:sz w:val="17"/>
      <w:szCs w:val="17"/>
    </w:rPr>
  </w:style>
  <w:style w:type="character" w:customStyle="1" w:styleId="Heading4Char">
    <w:name w:val="Heading 4 Char"/>
    <w:basedOn w:val="DefaultParagraphFont"/>
    <w:link w:val="Heading4"/>
    <w:uiPriority w:val="9"/>
    <w:semiHidden/>
    <w:rsid w:val="00D9053D"/>
    <w:rPr>
      <w:rFonts w:asciiTheme="majorHAnsi" w:eastAsiaTheme="majorEastAsia" w:hAnsiTheme="majorHAnsi" w:cstheme="majorBidi"/>
      <w:i/>
      <w:iCs/>
      <w:color w:val="9B3701" w:themeColor="accent1" w:themeShade="BF"/>
      <w:sz w:val="20"/>
    </w:rPr>
  </w:style>
  <w:style w:type="paragraph" w:styleId="NoSpacing">
    <w:name w:val="No Spacing"/>
    <w:uiPriority w:val="1"/>
    <w:qFormat/>
    <w:rsid w:val="007B419C"/>
    <w:pPr>
      <w:spacing w:after="0" w:line="240" w:lineRule="auto"/>
    </w:pPr>
  </w:style>
  <w:style w:type="paragraph" w:customStyle="1" w:styleId="Sectionheadline">
    <w:name w:val="Section headline"/>
    <w:basedOn w:val="Heading2"/>
    <w:qFormat/>
    <w:rsid w:val="00022720"/>
  </w:style>
  <w:style w:type="paragraph" w:customStyle="1" w:styleId="BodySubheadline">
    <w:name w:val="Body Subheadline"/>
    <w:basedOn w:val="Normal"/>
    <w:next w:val="Normal"/>
    <w:qFormat/>
    <w:rsid w:val="00086475"/>
    <w:pPr>
      <w:spacing w:after="0" w:line="230" w:lineRule="exact"/>
    </w:pPr>
    <w:rPr>
      <w:b/>
    </w:rPr>
  </w:style>
  <w:style w:type="paragraph" w:styleId="Quote">
    <w:name w:val="Quote"/>
    <w:basedOn w:val="Normal"/>
    <w:next w:val="Normal"/>
    <w:link w:val="QuoteChar"/>
    <w:uiPriority w:val="29"/>
    <w:qFormat/>
    <w:rsid w:val="00022720"/>
    <w:pPr>
      <w:spacing w:before="240" w:after="240" w:line="340" w:lineRule="exact"/>
      <w:ind w:right="862"/>
    </w:pPr>
    <w:rPr>
      <w:iCs/>
      <w:color w:val="D04A02" w:themeColor="accent1"/>
      <w:sz w:val="28"/>
    </w:rPr>
  </w:style>
  <w:style w:type="character" w:customStyle="1" w:styleId="QuoteChar">
    <w:name w:val="Quote Char"/>
    <w:basedOn w:val="DefaultParagraphFont"/>
    <w:link w:val="Quote"/>
    <w:uiPriority w:val="29"/>
    <w:rsid w:val="00022720"/>
    <w:rPr>
      <w:iCs/>
      <w:color w:val="D04A02" w:themeColor="accent1"/>
      <w:sz w:val="28"/>
    </w:rPr>
  </w:style>
  <w:style w:type="paragraph" w:styleId="Caption">
    <w:name w:val="caption"/>
    <w:basedOn w:val="Normal"/>
    <w:next w:val="Normal"/>
    <w:uiPriority w:val="4"/>
    <w:unhideWhenUsed/>
    <w:qFormat/>
    <w:rsid w:val="00CE6452"/>
    <w:rPr>
      <w:sz w:val="15"/>
      <w:szCs w:val="15"/>
    </w:rPr>
  </w:style>
  <w:style w:type="paragraph" w:styleId="ListParagraph">
    <w:name w:val="List Paragraph"/>
    <w:basedOn w:val="Normal"/>
    <w:uiPriority w:val="34"/>
    <w:qFormat/>
    <w:rsid w:val="00CE6452"/>
    <w:pPr>
      <w:numPr>
        <w:numId w:val="2"/>
      </w:numPr>
      <w:contextualSpacing/>
    </w:pPr>
  </w:style>
  <w:style w:type="paragraph" w:styleId="ListBullet">
    <w:name w:val="List Bullet"/>
    <w:basedOn w:val="Normal"/>
    <w:uiPriority w:val="99"/>
    <w:unhideWhenUsed/>
    <w:rsid w:val="000256E7"/>
    <w:pPr>
      <w:numPr>
        <w:numId w:val="4"/>
      </w:numPr>
    </w:pPr>
  </w:style>
  <w:style w:type="paragraph" w:styleId="ListBullet2">
    <w:name w:val="List Bullet 2"/>
    <w:basedOn w:val="ListParagraph"/>
    <w:uiPriority w:val="99"/>
    <w:unhideWhenUsed/>
    <w:rsid w:val="00D47F07"/>
    <w:pPr>
      <w:ind w:left="641" w:hanging="357"/>
      <w:contextualSpacing w:val="0"/>
    </w:pPr>
  </w:style>
  <w:style w:type="paragraph" w:styleId="TOCHeading">
    <w:name w:val="TOC Heading"/>
    <w:aliases w:val="Heading1"/>
    <w:basedOn w:val="Heading1"/>
    <w:next w:val="Normal"/>
    <w:uiPriority w:val="39"/>
    <w:unhideWhenUsed/>
    <w:qFormat/>
    <w:rsid w:val="009D3704"/>
    <w:pPr>
      <w:numPr>
        <w:numId w:val="0"/>
      </w:numPr>
      <w:spacing w:before="120" w:after="360"/>
      <w:ind w:right="0"/>
      <w:outlineLvl w:val="9"/>
    </w:pPr>
    <w:rPr>
      <w:rFonts w:asciiTheme="minorHAnsi" w:hAnsiTheme="minorHAnsi"/>
      <w:color w:val="auto"/>
      <w:sz w:val="20"/>
    </w:rPr>
  </w:style>
  <w:style w:type="paragraph" w:styleId="TOC1">
    <w:name w:val="toc 1"/>
    <w:basedOn w:val="Normal"/>
    <w:next w:val="Normal"/>
    <w:autoRedefine/>
    <w:uiPriority w:val="39"/>
    <w:unhideWhenUsed/>
    <w:rsid w:val="005B0E9B"/>
    <w:pPr>
      <w:tabs>
        <w:tab w:val="right" w:leader="dot" w:pos="10800"/>
      </w:tabs>
      <w:spacing w:after="100"/>
      <w:ind w:right="112"/>
    </w:pPr>
    <w:rPr>
      <w:b/>
      <w:bCs/>
      <w:noProof/>
      <w:szCs w:val="24"/>
    </w:rPr>
  </w:style>
  <w:style w:type="character" w:styleId="Hyperlink">
    <w:name w:val="Hyperlink"/>
    <w:basedOn w:val="DefaultParagraphFont"/>
    <w:uiPriority w:val="99"/>
    <w:unhideWhenUsed/>
    <w:rsid w:val="0072747A"/>
    <w:rPr>
      <w:color w:val="D04A02" w:themeColor="hyperlink"/>
      <w:u w:val="single"/>
    </w:rPr>
  </w:style>
  <w:style w:type="paragraph" w:customStyle="1" w:styleId="Sectionbignumber">
    <w:name w:val="Section big number"/>
    <w:basedOn w:val="Normal"/>
    <w:next w:val="Normal"/>
    <w:qFormat/>
    <w:rsid w:val="00B94328"/>
    <w:pPr>
      <w:spacing w:after="0" w:line="192" w:lineRule="auto"/>
      <w:ind w:left="-284"/>
    </w:pPr>
    <w:rPr>
      <w:color w:val="FFFFFF" w:themeColor="background1"/>
      <w:sz w:val="280"/>
      <w:szCs w:val="280"/>
    </w:rPr>
  </w:style>
  <w:style w:type="table" w:customStyle="1" w:styleId="PWCBasic">
    <w:name w:val="PWC Basic"/>
    <w:basedOn w:val="TableNormal"/>
    <w:uiPriority w:val="99"/>
    <w:rsid w:val="008B47E8"/>
    <w:pPr>
      <w:spacing w:after="0" w:line="216" w:lineRule="auto"/>
      <w:contextualSpacing/>
    </w:pPr>
    <w:rPr>
      <w:rFonts w:cs="Times New Roman (Body CS)"/>
    </w:rPr>
    <w:tblPr>
      <w:tblBorders>
        <w:top w:val="dotted" w:sz="4" w:space="0" w:color="auto"/>
        <w:bottom w:val="single" w:sz="4" w:space="0" w:color="auto"/>
        <w:insideH w:val="dotted" w:sz="4" w:space="0" w:color="auto"/>
      </w:tblBorders>
      <w:tblCellMar>
        <w:left w:w="0" w:type="dxa"/>
        <w:right w:w="0" w:type="dxa"/>
      </w:tblCellMar>
    </w:tblPr>
    <w:tcPr>
      <w:vAlign w:val="center"/>
    </w:tcPr>
    <w:tblStylePr w:type="firstRow">
      <w:rPr>
        <w:rFonts w:asciiTheme="minorHAnsi" w:hAnsiTheme="minorHAnsi"/>
        <w:b/>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character" w:customStyle="1" w:styleId="Heading2Char">
    <w:name w:val="Heading 2 Char"/>
    <w:basedOn w:val="DefaultParagraphFont"/>
    <w:link w:val="Heading2"/>
    <w:uiPriority w:val="9"/>
    <w:rsid w:val="00022720"/>
    <w:rPr>
      <w:rFonts w:asciiTheme="majorHAnsi" w:eastAsiaTheme="majorEastAsia" w:hAnsiTheme="majorHAnsi" w:cstheme="majorBidi"/>
      <w:color w:val="D04A02" w:themeColor="accent1"/>
      <w:sz w:val="60"/>
      <w:szCs w:val="60"/>
    </w:rPr>
  </w:style>
  <w:style w:type="paragraph" w:styleId="TOC2">
    <w:name w:val="toc 2"/>
    <w:basedOn w:val="Normal"/>
    <w:next w:val="Normal"/>
    <w:autoRedefine/>
    <w:uiPriority w:val="39"/>
    <w:unhideWhenUsed/>
    <w:rsid w:val="005B0E9B"/>
    <w:pPr>
      <w:pBdr>
        <w:top w:val="dotted" w:sz="4" w:space="5" w:color="auto"/>
      </w:pBdr>
      <w:tabs>
        <w:tab w:val="right" w:leader="dot" w:pos="10800"/>
      </w:tabs>
      <w:spacing w:after="100"/>
      <w:ind w:left="288" w:right="112"/>
      <w:jc w:val="right"/>
    </w:pPr>
    <w:rPr>
      <w:noProof/>
      <w:szCs w:val="22"/>
    </w:rPr>
  </w:style>
  <w:style w:type="paragraph" w:customStyle="1" w:styleId="Bignumber">
    <w:name w:val="Big number"/>
    <w:basedOn w:val="Normal"/>
    <w:next w:val="Normal"/>
    <w:qFormat/>
    <w:rsid w:val="00022720"/>
    <w:pPr>
      <w:pBdr>
        <w:top w:val="single" w:sz="4" w:space="4" w:color="EB8C00" w:themeColor="accent4"/>
      </w:pBdr>
      <w:spacing w:after="0" w:line="204" w:lineRule="auto"/>
    </w:pPr>
    <w:rPr>
      <w:color w:val="D04A02" w:themeColor="accent1"/>
      <w:sz w:val="124"/>
      <w:szCs w:val="124"/>
    </w:rPr>
  </w:style>
  <w:style w:type="paragraph" w:customStyle="1" w:styleId="BigText11pt">
    <w:name w:val="Big Text 11pt"/>
    <w:basedOn w:val="Normal"/>
    <w:qFormat/>
    <w:rsid w:val="00022720"/>
    <w:rPr>
      <w:color w:val="D04A02" w:themeColor="accent1"/>
      <w:sz w:val="22"/>
      <w:szCs w:val="22"/>
    </w:rPr>
  </w:style>
  <w:style w:type="paragraph" w:customStyle="1" w:styleId="Bignumberred">
    <w:name w:val="Big number red"/>
    <w:basedOn w:val="Bignumber"/>
    <w:qFormat/>
    <w:rsid w:val="00BF56FC"/>
    <w:pPr>
      <w:pBdr>
        <w:top w:val="single" w:sz="4" w:space="4" w:color="E0301E" w:themeColor="accent3"/>
      </w:pBdr>
    </w:pPr>
    <w:rPr>
      <w:color w:val="E0301E" w:themeColor="accent3"/>
    </w:rPr>
  </w:style>
  <w:style w:type="paragraph" w:customStyle="1" w:styleId="BigTextred11pt">
    <w:name w:val="Big Text red 11pt"/>
    <w:basedOn w:val="BigText11pt"/>
    <w:next w:val="Normal"/>
    <w:qFormat/>
    <w:rsid w:val="00BF56FC"/>
    <w:rPr>
      <w:color w:val="E0301E" w:themeColor="accent3"/>
    </w:rPr>
  </w:style>
  <w:style w:type="table" w:styleId="TableGrid">
    <w:name w:val="Table Grid"/>
    <w:basedOn w:val="TableNormal"/>
    <w:uiPriority w:val="39"/>
    <w:rsid w:val="007A2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headline">
    <w:name w:val="Body headline"/>
    <w:basedOn w:val="Normal"/>
    <w:qFormat/>
    <w:rsid w:val="00022720"/>
    <w:pPr>
      <w:pBdr>
        <w:top w:val="single" w:sz="4" w:space="4" w:color="EB8C00" w:themeColor="accent4"/>
        <w:bottom w:val="single" w:sz="4" w:space="4" w:color="EB8C00" w:themeColor="accent4"/>
      </w:pBdr>
      <w:spacing w:after="240"/>
    </w:pPr>
    <w:rPr>
      <w:b/>
      <w:color w:val="D04A02" w:themeColor="accent1"/>
    </w:rPr>
  </w:style>
  <w:style w:type="paragraph" w:customStyle="1" w:styleId="Bodysectionslines">
    <w:name w:val="Body sections + lines"/>
    <w:basedOn w:val="Normal"/>
    <w:qFormat/>
    <w:rsid w:val="002077AA"/>
    <w:pPr>
      <w:pBdr>
        <w:bottom w:val="single" w:sz="4" w:space="4" w:color="auto"/>
        <w:between w:val="single" w:sz="4" w:space="4" w:color="auto"/>
      </w:pBdr>
      <w:spacing w:before="300"/>
    </w:pPr>
  </w:style>
  <w:style w:type="paragraph" w:customStyle="1" w:styleId="Callouthead">
    <w:name w:val="Callout head"/>
    <w:basedOn w:val="Normal"/>
    <w:next w:val="Calloutbody"/>
    <w:qFormat/>
    <w:rsid w:val="00BF6698"/>
    <w:pPr>
      <w:framePr w:hSpace="181" w:wrap="around" w:hAnchor="margin" w:yAlign="bottom"/>
      <w:spacing w:after="0" w:line="260" w:lineRule="exact"/>
      <w:suppressOverlap/>
    </w:pPr>
    <w:rPr>
      <w:b/>
      <w:color w:val="FFFFFF" w:themeColor="background1"/>
    </w:rPr>
  </w:style>
  <w:style w:type="paragraph" w:customStyle="1" w:styleId="Calloutbody">
    <w:name w:val="Callout body"/>
    <w:basedOn w:val="Normal"/>
    <w:qFormat/>
    <w:rsid w:val="00BF6698"/>
    <w:pPr>
      <w:framePr w:hSpace="181" w:wrap="around" w:hAnchor="margin" w:yAlign="bottom"/>
      <w:spacing w:after="0" w:line="260" w:lineRule="exact"/>
      <w:suppressOverlap/>
    </w:pPr>
    <w:rPr>
      <w:color w:val="FFFFFF" w:themeColor="background1"/>
    </w:rPr>
  </w:style>
  <w:style w:type="paragraph" w:customStyle="1" w:styleId="Chartregular">
    <w:name w:val="Chart regular"/>
    <w:basedOn w:val="Normal"/>
    <w:qFormat/>
    <w:rsid w:val="00486319"/>
    <w:rPr>
      <w:sz w:val="15"/>
      <w:szCs w:val="15"/>
    </w:rPr>
  </w:style>
  <w:style w:type="paragraph" w:customStyle="1" w:styleId="Figuretitle">
    <w:name w:val="Figure title"/>
    <w:basedOn w:val="Normal"/>
    <w:qFormat/>
    <w:rsid w:val="00937D5A"/>
    <w:pPr>
      <w:tabs>
        <w:tab w:val="left" w:pos="1134"/>
      </w:tabs>
      <w:spacing w:line="300" w:lineRule="exact"/>
    </w:pPr>
    <w:rPr>
      <w:rFonts w:cstheme="minorHAnsi"/>
      <w:color w:val="EB8C00" w:themeColor="accent4"/>
      <w:szCs w:val="24"/>
    </w:rPr>
  </w:style>
  <w:style w:type="paragraph" w:customStyle="1" w:styleId="Largecallout">
    <w:name w:val="Large callout"/>
    <w:next w:val="Figuretitle"/>
    <w:qFormat/>
    <w:rsid w:val="00A108B2"/>
    <w:pPr>
      <w:spacing w:before="120" w:after="240" w:line="221" w:lineRule="auto"/>
      <w:ind w:left="317" w:hanging="317"/>
    </w:pPr>
    <w:rPr>
      <w:rFonts w:ascii="Arial" w:hAnsi="Arial"/>
      <w:color w:val="EB8C00" w:themeColor="accent4"/>
      <w:sz w:val="24"/>
      <w:szCs w:val="80"/>
    </w:rPr>
  </w:style>
  <w:style w:type="paragraph" w:styleId="TableofAuthorities">
    <w:name w:val="table of authorities"/>
    <w:basedOn w:val="Normal"/>
    <w:next w:val="Normal"/>
    <w:uiPriority w:val="99"/>
    <w:unhideWhenUsed/>
    <w:rsid w:val="00C35492"/>
    <w:pPr>
      <w:spacing w:after="0"/>
      <w:ind w:left="170" w:hanging="170"/>
    </w:pPr>
  </w:style>
  <w:style w:type="paragraph" w:styleId="TOC3">
    <w:name w:val="toc 3"/>
    <w:basedOn w:val="TOC2"/>
    <w:next w:val="Normal"/>
    <w:autoRedefine/>
    <w:uiPriority w:val="39"/>
    <w:unhideWhenUsed/>
    <w:rsid w:val="00022720"/>
    <w:pPr>
      <w:pBdr>
        <w:top w:val="none" w:sz="0" w:space="0" w:color="auto"/>
      </w:pBdr>
      <w:spacing w:line="259" w:lineRule="auto"/>
      <w:ind w:left="810"/>
    </w:pPr>
    <w:rPr>
      <w:rFonts w:eastAsiaTheme="minorEastAsia" w:cs="Times New Roman"/>
      <w:lang w:val="en-US"/>
    </w:rPr>
  </w:style>
  <w:style w:type="character" w:customStyle="1" w:styleId="Heading3Char">
    <w:name w:val="Heading 3 Char"/>
    <w:basedOn w:val="DefaultParagraphFont"/>
    <w:link w:val="Heading3"/>
    <w:uiPriority w:val="9"/>
    <w:semiHidden/>
    <w:rsid w:val="00086475"/>
    <w:rPr>
      <w:rFonts w:asciiTheme="majorHAnsi" w:eastAsiaTheme="majorEastAsia" w:hAnsiTheme="majorHAnsi" w:cstheme="majorBidi"/>
      <w:color w:val="672401" w:themeColor="accent1" w:themeShade="7F"/>
      <w:sz w:val="24"/>
      <w:szCs w:val="24"/>
    </w:rPr>
  </w:style>
  <w:style w:type="paragraph" w:styleId="ListBullet3">
    <w:name w:val="List Bullet 3"/>
    <w:basedOn w:val="Normal"/>
    <w:uiPriority w:val="99"/>
    <w:unhideWhenUsed/>
    <w:rsid w:val="007D7414"/>
    <w:pPr>
      <w:numPr>
        <w:numId w:val="3"/>
      </w:numPr>
      <w:contextualSpacing/>
    </w:pPr>
  </w:style>
  <w:style w:type="paragraph" w:styleId="ListBullet4">
    <w:name w:val="List Bullet 4"/>
    <w:basedOn w:val="Normal"/>
    <w:uiPriority w:val="99"/>
    <w:unhideWhenUsed/>
    <w:rsid w:val="007D7414"/>
    <w:pPr>
      <w:ind w:left="360" w:hanging="360"/>
      <w:contextualSpacing/>
    </w:pPr>
  </w:style>
  <w:style w:type="paragraph" w:styleId="ListBullet5">
    <w:name w:val="List Bullet 5"/>
    <w:basedOn w:val="Normal"/>
    <w:uiPriority w:val="99"/>
    <w:unhideWhenUsed/>
    <w:rsid w:val="007D7414"/>
    <w:pPr>
      <w:numPr>
        <w:numId w:val="5"/>
      </w:numPr>
      <w:contextualSpacing/>
    </w:pPr>
  </w:style>
  <w:style w:type="paragraph" w:styleId="ListNumber">
    <w:name w:val="List Number"/>
    <w:basedOn w:val="Normal"/>
    <w:uiPriority w:val="13"/>
    <w:unhideWhenUsed/>
    <w:qFormat/>
    <w:rsid w:val="007D7414"/>
    <w:pPr>
      <w:numPr>
        <w:numId w:val="7"/>
      </w:numPr>
      <w:contextualSpacing/>
    </w:pPr>
  </w:style>
  <w:style w:type="paragraph" w:styleId="ListNumber2">
    <w:name w:val="List Number 2"/>
    <w:basedOn w:val="Normal"/>
    <w:uiPriority w:val="13"/>
    <w:unhideWhenUsed/>
    <w:qFormat/>
    <w:rsid w:val="007D7414"/>
    <w:pPr>
      <w:ind w:left="360" w:hanging="360"/>
      <w:contextualSpacing/>
    </w:pPr>
  </w:style>
  <w:style w:type="paragraph" w:customStyle="1" w:styleId="SectionSubheadline">
    <w:name w:val="Section Subheadline"/>
    <w:basedOn w:val="Subtitle"/>
    <w:next w:val="Normal"/>
    <w:qFormat/>
    <w:rsid w:val="00F4082E"/>
  </w:style>
  <w:style w:type="paragraph" w:customStyle="1" w:styleId="Coverheadline">
    <w:name w:val="Cover headline"/>
    <w:next w:val="Coversubheadline"/>
    <w:qFormat/>
    <w:rsid w:val="008B47E8"/>
    <w:pPr>
      <w:ind w:right="4334"/>
    </w:pPr>
    <w:rPr>
      <w:rFonts w:asciiTheme="majorHAnsi" w:eastAsiaTheme="majorEastAsia" w:hAnsiTheme="majorHAnsi" w:cstheme="majorBidi"/>
      <w:color w:val="FFFFFF" w:themeColor="background1"/>
      <w:spacing w:val="-10"/>
      <w:kern w:val="28"/>
      <w:sz w:val="72"/>
      <w:szCs w:val="56"/>
    </w:rPr>
  </w:style>
  <w:style w:type="character" w:styleId="FollowedHyperlink">
    <w:name w:val="FollowedHyperlink"/>
    <w:basedOn w:val="DefaultParagraphFont"/>
    <w:uiPriority w:val="99"/>
    <w:unhideWhenUsed/>
    <w:rsid w:val="005644BC"/>
    <w:rPr>
      <w:color w:val="DB536A" w:themeColor="followedHyperlink"/>
      <w:u w:val="single"/>
    </w:rPr>
  </w:style>
  <w:style w:type="character" w:customStyle="1" w:styleId="Bold">
    <w:name w:val="Bold"/>
    <w:basedOn w:val="DefaultParagraphFont"/>
    <w:uiPriority w:val="1"/>
    <w:qFormat/>
    <w:rsid w:val="005644BC"/>
    <w:rPr>
      <w:b/>
    </w:rPr>
  </w:style>
  <w:style w:type="paragraph" w:customStyle="1" w:styleId="TOCtitle">
    <w:name w:val="TOC title"/>
    <w:basedOn w:val="Heading2"/>
    <w:next w:val="Normal"/>
    <w:link w:val="TOCtitleChar"/>
    <w:uiPriority w:val="49"/>
    <w:unhideWhenUsed/>
    <w:rsid w:val="00335BB7"/>
    <w:pPr>
      <w:pageBreakBefore/>
      <w:kinsoku w:val="0"/>
      <w:overflowPunct w:val="0"/>
      <w:autoSpaceDE w:val="0"/>
      <w:autoSpaceDN w:val="0"/>
      <w:adjustRightInd w:val="0"/>
      <w:snapToGrid w:val="0"/>
      <w:spacing w:before="0" w:after="1200" w:line="640" w:lineRule="atLeast"/>
      <w:ind w:right="0"/>
    </w:pPr>
    <w:rPr>
      <w:rFonts w:eastAsia="Times New Roman" w:cs="Arial"/>
      <w:bCs/>
      <w:iCs/>
      <w:snapToGrid w:val="0"/>
      <w:color w:val="EB8C00" w:themeColor="accent4"/>
      <w:szCs w:val="36"/>
      <w:lang w:val="en-AU"/>
    </w:rPr>
  </w:style>
  <w:style w:type="character" w:customStyle="1" w:styleId="TOCtitleChar">
    <w:name w:val="TOC title Char"/>
    <w:basedOn w:val="DefaultParagraphFont"/>
    <w:link w:val="TOCtitle"/>
    <w:uiPriority w:val="49"/>
    <w:rsid w:val="00335BB7"/>
    <w:rPr>
      <w:rFonts w:asciiTheme="majorHAnsi" w:eastAsia="Times New Roman" w:hAnsiTheme="majorHAnsi" w:cs="Arial"/>
      <w:bCs/>
      <w:iCs/>
      <w:snapToGrid w:val="0"/>
      <w:color w:val="EB8C00" w:themeColor="accent4"/>
      <w:sz w:val="60"/>
      <w:szCs w:val="36"/>
      <w:lang w:val="en-AU"/>
    </w:rPr>
  </w:style>
  <w:style w:type="paragraph" w:customStyle="1" w:styleId="Indent1">
    <w:name w:val="Indent 1"/>
    <w:basedOn w:val="Normal"/>
    <w:uiPriority w:val="49"/>
    <w:qFormat/>
    <w:rsid w:val="00335BB7"/>
    <w:pPr>
      <w:numPr>
        <w:ilvl w:val="1"/>
        <w:numId w:val="11"/>
      </w:numPr>
      <w:tabs>
        <w:tab w:val="num" w:pos="567"/>
      </w:tabs>
      <w:kinsoku w:val="0"/>
      <w:overflowPunct w:val="0"/>
      <w:autoSpaceDE w:val="0"/>
      <w:autoSpaceDN w:val="0"/>
      <w:adjustRightInd w:val="0"/>
      <w:snapToGrid w:val="0"/>
      <w:spacing w:before="100" w:after="100"/>
    </w:pPr>
    <w:rPr>
      <w:rFonts w:eastAsia="Times New Roman" w:cs="Times New Roman"/>
      <w:snapToGrid w:val="0"/>
      <w:sz w:val="18"/>
      <w:szCs w:val="20"/>
      <w:lang w:val="en-AU"/>
    </w:rPr>
  </w:style>
  <w:style w:type="paragraph" w:customStyle="1" w:styleId="Indent2">
    <w:name w:val="Indent 2"/>
    <w:basedOn w:val="Indent1"/>
    <w:uiPriority w:val="49"/>
    <w:qFormat/>
    <w:rsid w:val="00335BB7"/>
    <w:pPr>
      <w:numPr>
        <w:ilvl w:val="2"/>
      </w:numPr>
    </w:pPr>
  </w:style>
  <w:style w:type="paragraph" w:customStyle="1" w:styleId="Indent3">
    <w:name w:val="Indent 3"/>
    <w:basedOn w:val="Indent2"/>
    <w:uiPriority w:val="49"/>
    <w:qFormat/>
    <w:rsid w:val="00335BB7"/>
    <w:pPr>
      <w:numPr>
        <w:ilvl w:val="3"/>
      </w:numPr>
    </w:pPr>
  </w:style>
  <w:style w:type="paragraph" w:customStyle="1" w:styleId="Indent5">
    <w:name w:val="Indent 5"/>
    <w:basedOn w:val="Indent4"/>
    <w:uiPriority w:val="49"/>
    <w:rsid w:val="00335BB7"/>
    <w:pPr>
      <w:numPr>
        <w:ilvl w:val="5"/>
      </w:numPr>
    </w:pPr>
  </w:style>
  <w:style w:type="paragraph" w:customStyle="1" w:styleId="Indent6">
    <w:name w:val="Indent 6"/>
    <w:basedOn w:val="Indent5"/>
    <w:uiPriority w:val="49"/>
    <w:rsid w:val="00335BB7"/>
    <w:pPr>
      <w:numPr>
        <w:ilvl w:val="6"/>
      </w:numPr>
      <w:tabs>
        <w:tab w:val="num" w:pos="360"/>
      </w:tabs>
    </w:pPr>
  </w:style>
  <w:style w:type="paragraph" w:customStyle="1" w:styleId="Indent7">
    <w:name w:val="Indent 7"/>
    <w:basedOn w:val="Indent6"/>
    <w:uiPriority w:val="49"/>
    <w:rsid w:val="00335BB7"/>
    <w:pPr>
      <w:numPr>
        <w:ilvl w:val="7"/>
      </w:numPr>
      <w:tabs>
        <w:tab w:val="num" w:pos="360"/>
      </w:tabs>
    </w:pPr>
  </w:style>
  <w:style w:type="paragraph" w:customStyle="1" w:styleId="Indent4">
    <w:name w:val="Indent 4"/>
    <w:basedOn w:val="Indent3"/>
    <w:uiPriority w:val="49"/>
    <w:rsid w:val="00335BB7"/>
    <w:pPr>
      <w:numPr>
        <w:ilvl w:val="4"/>
      </w:numPr>
    </w:pPr>
  </w:style>
  <w:style w:type="paragraph" w:customStyle="1" w:styleId="PwCNormal">
    <w:name w:val="PwC Normal"/>
    <w:basedOn w:val="Normal"/>
    <w:link w:val="PwCNormalChar"/>
    <w:qFormat/>
    <w:rsid w:val="00335BB7"/>
    <w:pPr>
      <w:numPr>
        <w:numId w:val="11"/>
      </w:numPr>
      <w:kinsoku w:val="0"/>
      <w:overflowPunct w:val="0"/>
      <w:autoSpaceDE w:val="0"/>
      <w:autoSpaceDN w:val="0"/>
      <w:adjustRightInd w:val="0"/>
      <w:snapToGrid w:val="0"/>
      <w:spacing w:before="240"/>
    </w:pPr>
    <w:rPr>
      <w:rFonts w:eastAsia="Times New Roman" w:cs="Arial"/>
      <w:snapToGrid w:val="0"/>
      <w:color w:val="000000" w:themeColor="text1"/>
      <w:sz w:val="18"/>
      <w:szCs w:val="20"/>
      <w:lang w:val="en-AU"/>
    </w:rPr>
  </w:style>
  <w:style w:type="character" w:customStyle="1" w:styleId="PwCNormalChar">
    <w:name w:val="PwC Normal Char"/>
    <w:basedOn w:val="DefaultParagraphFont"/>
    <w:link w:val="PwCNormal"/>
    <w:rsid w:val="00335BB7"/>
    <w:rPr>
      <w:rFonts w:eastAsia="Times New Roman" w:cs="Arial"/>
      <w:snapToGrid w:val="0"/>
      <w:color w:val="000000" w:themeColor="text1"/>
      <w:sz w:val="18"/>
      <w:szCs w:val="20"/>
      <w:lang w:val="en-AU"/>
    </w:rPr>
  </w:style>
  <w:style w:type="paragraph" w:customStyle="1" w:styleId="Indent8">
    <w:name w:val="Indent 8"/>
    <w:basedOn w:val="Indent7"/>
    <w:uiPriority w:val="49"/>
    <w:rsid w:val="00335BB7"/>
    <w:pPr>
      <w:numPr>
        <w:ilvl w:val="8"/>
      </w:numPr>
      <w:tabs>
        <w:tab w:val="num" w:pos="360"/>
      </w:tabs>
    </w:pPr>
  </w:style>
  <w:style w:type="paragraph" w:customStyle="1" w:styleId="Appendix">
    <w:name w:val="Appendix"/>
    <w:basedOn w:val="Heading1"/>
    <w:next w:val="Normal"/>
    <w:uiPriority w:val="99"/>
    <w:rsid w:val="00335BB7"/>
    <w:pPr>
      <w:framePr w:w="5103" w:wrap="around" w:vAnchor="page" w:hAnchor="page" w:x="5955" w:y="3687"/>
      <w:numPr>
        <w:numId w:val="12"/>
      </w:numPr>
      <w:spacing w:before="0" w:after="480" w:line="600" w:lineRule="atLeast"/>
      <w:ind w:right="0"/>
    </w:pPr>
    <w:rPr>
      <w:rFonts w:asciiTheme="minorHAnsi" w:hAnsiTheme="minorHAnsi"/>
      <w:bCs/>
      <w:szCs w:val="28"/>
    </w:rPr>
  </w:style>
  <w:style w:type="paragraph" w:customStyle="1" w:styleId="PrefaceTitle">
    <w:name w:val="Preface Title"/>
    <w:basedOn w:val="Heading2"/>
    <w:next w:val="PwCNormal"/>
    <w:uiPriority w:val="29"/>
    <w:rsid w:val="00335BB7"/>
    <w:pPr>
      <w:pageBreakBefore/>
      <w:kinsoku w:val="0"/>
      <w:overflowPunct w:val="0"/>
      <w:autoSpaceDE w:val="0"/>
      <w:autoSpaceDN w:val="0"/>
      <w:adjustRightInd w:val="0"/>
      <w:snapToGrid w:val="0"/>
      <w:spacing w:before="0" w:line="640" w:lineRule="atLeast"/>
      <w:ind w:right="0"/>
    </w:pPr>
    <w:rPr>
      <w:rFonts w:eastAsia="Times New Roman" w:cs="Arial"/>
      <w:bCs/>
      <w:iCs/>
      <w:snapToGrid w:val="0"/>
      <w:szCs w:val="36"/>
      <w:lang w:val="en-AU"/>
    </w:rPr>
  </w:style>
  <w:style w:type="numbering" w:customStyle="1" w:styleId="Style1">
    <w:name w:val="Style1"/>
    <w:uiPriority w:val="99"/>
    <w:rsid w:val="00335BB7"/>
    <w:pPr>
      <w:numPr>
        <w:numId w:val="3"/>
      </w:numPr>
    </w:pPr>
  </w:style>
  <w:style w:type="table" w:styleId="PlainTable1">
    <w:name w:val="Plain Table 1"/>
    <w:basedOn w:val="TableNormal"/>
    <w:uiPriority w:val="41"/>
    <w:rsid w:val="00937D5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937D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937D5A"/>
    <w:rPr>
      <w:rFonts w:asciiTheme="majorHAnsi" w:eastAsiaTheme="majorEastAsia" w:hAnsiTheme="majorHAnsi" w:cstheme="majorBidi"/>
      <w:color w:val="9B3701" w:themeColor="accent1" w:themeShade="BF"/>
      <w:sz w:val="20"/>
    </w:rPr>
  </w:style>
  <w:style w:type="character" w:customStyle="1" w:styleId="Heading6Char">
    <w:name w:val="Heading 6 Char"/>
    <w:basedOn w:val="DefaultParagraphFont"/>
    <w:link w:val="Heading6"/>
    <w:uiPriority w:val="9"/>
    <w:semiHidden/>
    <w:rsid w:val="00937D5A"/>
    <w:rPr>
      <w:rFonts w:asciiTheme="majorHAnsi" w:eastAsiaTheme="majorEastAsia" w:hAnsiTheme="majorHAnsi" w:cstheme="majorBidi"/>
      <w:color w:val="672401" w:themeColor="accent1" w:themeShade="7F"/>
      <w:sz w:val="20"/>
    </w:rPr>
  </w:style>
  <w:style w:type="character" w:customStyle="1" w:styleId="Heading7Char">
    <w:name w:val="Heading 7 Char"/>
    <w:basedOn w:val="DefaultParagraphFont"/>
    <w:link w:val="Heading7"/>
    <w:uiPriority w:val="9"/>
    <w:semiHidden/>
    <w:rsid w:val="00937D5A"/>
    <w:rPr>
      <w:rFonts w:asciiTheme="majorHAnsi" w:eastAsiaTheme="majorEastAsia" w:hAnsiTheme="majorHAnsi" w:cstheme="majorBidi"/>
      <w:i/>
      <w:iCs/>
      <w:color w:val="672401" w:themeColor="accent1" w:themeShade="7F"/>
      <w:sz w:val="20"/>
    </w:rPr>
  </w:style>
  <w:style w:type="character" w:customStyle="1" w:styleId="Heading8Char">
    <w:name w:val="Heading 8 Char"/>
    <w:basedOn w:val="DefaultParagraphFont"/>
    <w:link w:val="Heading8"/>
    <w:uiPriority w:val="9"/>
    <w:semiHidden/>
    <w:rsid w:val="00937D5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37D5A"/>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rsid w:val="00937D5A"/>
    <w:pPr>
      <w:numPr>
        <w:numId w:val="1"/>
      </w:numPr>
    </w:pPr>
  </w:style>
  <w:style w:type="table" w:customStyle="1" w:styleId="PwCColour">
    <w:name w:val="PwC Colour"/>
    <w:basedOn w:val="TableNormal"/>
    <w:rsid w:val="000256E7"/>
    <w:pPr>
      <w:spacing w:after="0" w:line="240" w:lineRule="auto"/>
    </w:pPr>
    <w:rPr>
      <w:rFonts w:ascii="HelveticaNeue" w:eastAsia="minorBidi" w:hAnsi="HelveticaNeue" w:cs="minorBidi"/>
      <w:sz w:val="20"/>
      <w:szCs w:val="20"/>
      <w:lang w:val="en-AU" w:eastAsia="en-AU"/>
    </w:rPr>
    <w:tblPr>
      <w:tblStyleRowBandSize w:val="1"/>
      <w:tblStyleColBandSize w:val="1"/>
      <w:tblBorders>
        <w:top w:val="single" w:sz="4" w:space="0" w:color="FFFFFF"/>
        <w:left w:val="single" w:sz="4" w:space="0" w:color="FFFFFF"/>
        <w:bottom w:val="single" w:sz="6" w:space="0" w:color="7D7D7D" w:themeColor="text2"/>
        <w:right w:val="single" w:sz="4" w:space="0" w:color="FFFFFF"/>
        <w:insideH w:val="dotted" w:sz="8" w:space="0" w:color="7D7D7D" w:themeColor="text2"/>
        <w:insideV w:val="single" w:sz="4" w:space="0" w:color="FFFFFF"/>
      </w:tblBorders>
    </w:tblPr>
    <w:tcPr>
      <w:shd w:val="clear" w:color="auto" w:fill="auto"/>
      <w:tcMar>
        <w:top w:w="0" w:type="dxa"/>
        <w:left w:w="108" w:type="dxa"/>
        <w:bottom w:w="0" w:type="dxa"/>
        <w:right w:w="108" w:type="dxa"/>
      </w:tcMar>
    </w:tcPr>
    <w:tblStylePr w:type="firstRow">
      <w:pPr>
        <w:jc w:val="left"/>
      </w:pPr>
      <w:rPr>
        <w:rFonts w:ascii="Georgia" w:hAnsi="Georgia"/>
        <w:b w:val="0"/>
        <w:color w:val="auto"/>
      </w:rPr>
      <w:tblPr/>
      <w:trPr>
        <w:tblHeader/>
      </w:trPr>
      <w:tcPr>
        <w:tcBorders>
          <w:top w:val="single" w:sz="4" w:space="0" w:color="EB8C00" w:themeColor="accent4"/>
          <w:bottom w:val="single" w:sz="4" w:space="0" w:color="EB8C00" w:themeColor="accent4"/>
        </w:tcBorders>
      </w:tcPr>
    </w:tblStylePr>
    <w:tblStylePr w:type="lastRow">
      <w:rPr>
        <w:color w:val="auto"/>
      </w:rPr>
      <w:tblPr/>
      <w:tcPr>
        <w:tcBorders>
          <w:top w:val="single" w:sz="4" w:space="0" w:color="7D7D7D" w:themeColor="text2"/>
        </w:tcBorders>
        <w:shd w:val="clear" w:color="auto" w:fill="auto"/>
      </w:tcPr>
    </w:tblStylePr>
    <w:tblStylePr w:type="nwCell">
      <w:pPr>
        <w:jc w:val="left"/>
      </w:pPr>
      <w:tblPr/>
      <w:tcPr>
        <w:vAlign w:val="bottom"/>
      </w:tcPr>
    </w:tblStylePr>
  </w:style>
  <w:style w:type="paragraph" w:customStyle="1" w:styleId="TitleDoc">
    <w:name w:val="Title Doc#"/>
    <w:basedOn w:val="Normal"/>
    <w:link w:val="TitleDocChar"/>
    <w:qFormat/>
    <w:rsid w:val="009B581C"/>
    <w:pPr>
      <w:pageBreakBefore/>
      <w:spacing w:before="0"/>
      <w:jc w:val="center"/>
    </w:pPr>
    <w:rPr>
      <w:rFonts w:ascii="Arial" w:eastAsia="minorBidi" w:hAnsi="Arial" w:cs="minorBidi"/>
      <w:b/>
      <w:caps/>
      <w:sz w:val="32"/>
      <w:szCs w:val="24"/>
      <w:lang w:eastAsia="en-GB"/>
    </w:rPr>
  </w:style>
  <w:style w:type="character" w:customStyle="1" w:styleId="TitleDocChar">
    <w:name w:val="Title Doc# Char"/>
    <w:basedOn w:val="DefaultParagraphFont"/>
    <w:link w:val="TitleDoc"/>
    <w:rsid w:val="009B581C"/>
    <w:rPr>
      <w:rFonts w:ascii="Arial" w:eastAsia="minorBidi" w:hAnsi="Arial" w:cs="minorBidi"/>
      <w:b/>
      <w:caps/>
      <w:sz w:val="32"/>
      <w:szCs w:val="24"/>
      <w:lang w:eastAsia="en-GB"/>
    </w:rPr>
  </w:style>
  <w:style w:type="paragraph" w:customStyle="1" w:styleId="Header1">
    <w:name w:val="Header 1"/>
    <w:basedOn w:val="Header"/>
    <w:link w:val="Header1Char"/>
    <w:qFormat/>
    <w:rsid w:val="009B581C"/>
    <w:pPr>
      <w:tabs>
        <w:tab w:val="clear" w:pos="4513"/>
        <w:tab w:val="clear" w:pos="9026"/>
        <w:tab w:val="center" w:pos="4153"/>
        <w:tab w:val="right" w:pos="8306"/>
      </w:tabs>
      <w:spacing w:after="120"/>
    </w:pPr>
    <w:rPr>
      <w:rFonts w:ascii="Arial" w:eastAsia="minorBidi" w:hAnsi="Arial" w:cs="minorBidi"/>
      <w:b w:val="0"/>
      <w:caps/>
      <w:szCs w:val="24"/>
    </w:rPr>
  </w:style>
  <w:style w:type="paragraph" w:customStyle="1" w:styleId="Footer1">
    <w:name w:val="Footer 1"/>
    <w:basedOn w:val="Footer"/>
    <w:link w:val="Footer1Char"/>
    <w:qFormat/>
    <w:rsid w:val="009B581C"/>
    <w:pPr>
      <w:tabs>
        <w:tab w:val="clear" w:pos="540"/>
        <w:tab w:val="clear" w:pos="9026"/>
        <w:tab w:val="center" w:pos="4153"/>
      </w:tabs>
      <w:spacing w:before="0" w:after="120"/>
      <w:ind w:right="8"/>
      <w:jc w:val="right"/>
    </w:pPr>
    <w:rPr>
      <w:rFonts w:ascii="Arial" w:eastAsia="minorBidi" w:hAnsi="Arial" w:cs="Arial"/>
      <w:b w:val="0"/>
      <w:szCs w:val="20"/>
    </w:rPr>
  </w:style>
  <w:style w:type="character" w:customStyle="1" w:styleId="Header1Char">
    <w:name w:val="Header 1 Char"/>
    <w:basedOn w:val="HeaderChar"/>
    <w:link w:val="Header1"/>
    <w:rsid w:val="009B581C"/>
    <w:rPr>
      <w:rFonts w:ascii="Arial" w:eastAsia="minorBidi" w:hAnsi="Arial" w:cs="minorBidi"/>
      <w:b w:val="0"/>
      <w:caps/>
      <w:noProof/>
      <w:sz w:val="24"/>
      <w:szCs w:val="24"/>
    </w:rPr>
  </w:style>
  <w:style w:type="character" w:customStyle="1" w:styleId="Footer1Char">
    <w:name w:val="Footer 1 Char"/>
    <w:basedOn w:val="FooterChar"/>
    <w:link w:val="Footer1"/>
    <w:rsid w:val="009B581C"/>
    <w:rPr>
      <w:rFonts w:ascii="Arial" w:eastAsia="minorBidi" w:hAnsi="Arial" w:cs="Arial"/>
      <w:noProof/>
      <w:sz w:val="24"/>
      <w:szCs w:val="20"/>
    </w:rPr>
  </w:style>
  <w:style w:type="numbering" w:customStyle="1" w:styleId="QPSequence">
    <w:name w:val="QP Sequence"/>
    <w:uiPriority w:val="99"/>
    <w:rsid w:val="009B581C"/>
    <w:pPr>
      <w:numPr>
        <w:numId w:val="6"/>
      </w:numPr>
    </w:pPr>
  </w:style>
  <w:style w:type="paragraph" w:customStyle="1" w:styleId="TOCPage">
    <w:name w:val="TOC Page #"/>
    <w:basedOn w:val="Normal"/>
    <w:link w:val="TOCPageChar"/>
    <w:qFormat/>
    <w:rsid w:val="009B581C"/>
    <w:pPr>
      <w:spacing w:before="0"/>
      <w:jc w:val="right"/>
    </w:pPr>
    <w:rPr>
      <w:rFonts w:ascii="Arial" w:eastAsia="minorBidi" w:hAnsi="Arial" w:cs="Arial"/>
      <w:b/>
      <w:sz w:val="24"/>
      <w:szCs w:val="24"/>
      <w:lang w:eastAsia="en-GB"/>
    </w:rPr>
  </w:style>
  <w:style w:type="character" w:customStyle="1" w:styleId="TOCPageChar">
    <w:name w:val="TOC Page # Char"/>
    <w:basedOn w:val="DefaultParagraphFont"/>
    <w:link w:val="TOCPage"/>
    <w:rsid w:val="009B581C"/>
    <w:rPr>
      <w:rFonts w:ascii="Arial" w:eastAsia="minorBidi" w:hAnsi="Arial" w:cs="Arial"/>
      <w:b/>
      <w:sz w:val="24"/>
      <w:szCs w:val="24"/>
      <w:lang w:eastAsia="en-GB"/>
    </w:rPr>
  </w:style>
  <w:style w:type="paragraph" w:customStyle="1" w:styleId="TableBullet1Normal">
    <w:name w:val="Table Bullet 1 Normal"/>
    <w:basedOn w:val="Normal"/>
    <w:rsid w:val="009B581C"/>
    <w:pPr>
      <w:numPr>
        <w:numId w:val="8"/>
      </w:numPr>
      <w:kinsoku w:val="0"/>
      <w:overflowPunct w:val="0"/>
      <w:autoSpaceDE w:val="0"/>
      <w:autoSpaceDN w:val="0"/>
      <w:adjustRightInd w:val="0"/>
      <w:snapToGrid w:val="0"/>
      <w:spacing w:before="40" w:after="40" w:line="281" w:lineRule="auto"/>
    </w:pPr>
    <w:rPr>
      <w:rFonts w:eastAsia="Times New Roman" w:cs="Arial"/>
      <w:snapToGrid w:val="0"/>
      <w:sz w:val="18"/>
      <w:szCs w:val="20"/>
      <w:lang w:val="en-AU"/>
    </w:rPr>
  </w:style>
  <w:style w:type="paragraph" w:customStyle="1" w:styleId="TableBullet3Normal">
    <w:name w:val="Table Bullet 3 Normal"/>
    <w:basedOn w:val="TableBullet2Normal"/>
    <w:rsid w:val="009B581C"/>
    <w:pPr>
      <w:numPr>
        <w:ilvl w:val="2"/>
      </w:numPr>
    </w:pPr>
  </w:style>
  <w:style w:type="numbering" w:customStyle="1" w:styleId="TableBulletNormalList">
    <w:name w:val="Table Bullet Normal List"/>
    <w:rsid w:val="009B581C"/>
    <w:pPr>
      <w:numPr>
        <w:numId w:val="8"/>
      </w:numPr>
    </w:pPr>
  </w:style>
  <w:style w:type="paragraph" w:customStyle="1" w:styleId="TableBullet2Normal">
    <w:name w:val="Table Bullet 2 Normal"/>
    <w:basedOn w:val="TableBullet1Normal"/>
    <w:rsid w:val="009B581C"/>
    <w:pPr>
      <w:numPr>
        <w:ilvl w:val="1"/>
      </w:numPr>
    </w:pPr>
  </w:style>
  <w:style w:type="paragraph" w:styleId="FootnoteText">
    <w:name w:val="footnote text"/>
    <w:basedOn w:val="Normal"/>
    <w:link w:val="FootnoteTextChar"/>
    <w:uiPriority w:val="39"/>
    <w:rsid w:val="00817865"/>
    <w:pPr>
      <w:tabs>
        <w:tab w:val="left" w:pos="284"/>
      </w:tabs>
      <w:kinsoku w:val="0"/>
      <w:overflowPunct w:val="0"/>
      <w:autoSpaceDE w:val="0"/>
      <w:autoSpaceDN w:val="0"/>
      <w:adjustRightInd w:val="0"/>
      <w:snapToGrid w:val="0"/>
      <w:spacing w:before="0" w:after="60"/>
      <w:ind w:left="113" w:hanging="113"/>
    </w:pPr>
    <w:rPr>
      <w:rFonts w:eastAsia="Times New Roman" w:cs="Arial"/>
      <w:snapToGrid w:val="0"/>
      <w:sz w:val="14"/>
      <w:szCs w:val="20"/>
      <w:lang w:val="en-AU"/>
    </w:rPr>
  </w:style>
  <w:style w:type="character" w:customStyle="1" w:styleId="FootnoteTextChar">
    <w:name w:val="Footnote Text Char"/>
    <w:basedOn w:val="DefaultParagraphFont"/>
    <w:link w:val="FootnoteText"/>
    <w:uiPriority w:val="39"/>
    <w:rsid w:val="00817865"/>
    <w:rPr>
      <w:rFonts w:eastAsia="Times New Roman" w:cs="Arial"/>
      <w:snapToGrid w:val="0"/>
      <w:sz w:val="14"/>
      <w:szCs w:val="20"/>
      <w:lang w:val="en-AU"/>
    </w:rPr>
  </w:style>
  <w:style w:type="character" w:styleId="FootnoteReference">
    <w:name w:val="footnote reference"/>
    <w:basedOn w:val="DefaultParagraphFont"/>
    <w:uiPriority w:val="39"/>
    <w:rsid w:val="009B581C"/>
    <w:rPr>
      <w:rFonts w:cs="Arial"/>
      <w:sz w:val="21"/>
      <w:vertAlign w:val="superscript"/>
    </w:rPr>
  </w:style>
  <w:style w:type="numbering" w:customStyle="1" w:styleId="Chapternumberinglist">
    <w:name w:val="Chapter numbering list"/>
    <w:uiPriority w:val="99"/>
    <w:rsid w:val="009B581C"/>
    <w:pPr>
      <w:numPr>
        <w:numId w:val="9"/>
      </w:numPr>
    </w:pPr>
  </w:style>
  <w:style w:type="numbering" w:customStyle="1" w:styleId="StyleNumbered9ptText1Left025Hanging025">
    <w:name w:val="Style Numbered 9 pt Text 1 Left:  0.25&quot; Hanging:  0.25&quot;"/>
    <w:basedOn w:val="NoList"/>
    <w:rsid w:val="00F3268F"/>
    <w:pPr>
      <w:numPr>
        <w:numId w:val="10"/>
      </w:numPr>
    </w:pPr>
  </w:style>
  <w:style w:type="numbering" w:customStyle="1" w:styleId="StyleNumbered9ptLeft025Hanging025">
    <w:name w:val="Style Numbered 9 pt Left:  0.25&quot; Hanging:  0.25&quot;"/>
    <w:basedOn w:val="NoList"/>
    <w:rsid w:val="00F3268F"/>
    <w:pPr>
      <w:numPr>
        <w:numId w:val="14"/>
      </w:numPr>
    </w:pPr>
  </w:style>
  <w:style w:type="numbering" w:customStyle="1" w:styleId="StyleNumbered9ptText1Left025Hanging0251">
    <w:name w:val="Style Numbered 9 pt Text 1 Left:  0.25&quot; Hanging:  0.25&quot;1"/>
    <w:basedOn w:val="NoList"/>
    <w:rsid w:val="00F3268F"/>
    <w:pPr>
      <w:numPr>
        <w:numId w:val="15"/>
      </w:numPr>
    </w:pPr>
  </w:style>
  <w:style w:type="numbering" w:customStyle="1" w:styleId="StyleNumbered9ptText1Left025Hanging0252">
    <w:name w:val="Style Numbered 9 pt Text 1 Left:  0.25&quot; Hanging:  0.25&quot;2"/>
    <w:basedOn w:val="NoList"/>
    <w:rsid w:val="00732E15"/>
    <w:pPr>
      <w:numPr>
        <w:numId w:val="16"/>
      </w:numPr>
    </w:pPr>
  </w:style>
  <w:style w:type="paragraph" w:customStyle="1" w:styleId="DocTitle">
    <w:name w:val="Doc_Title"/>
    <w:basedOn w:val="Normal"/>
    <w:qFormat/>
    <w:rsid w:val="00C117D8"/>
    <w:pPr>
      <w:spacing w:before="240" w:line="280" w:lineRule="auto"/>
      <w:ind w:left="720"/>
    </w:pPr>
    <w:rPr>
      <w:rFonts w:ascii="Cambria Math" w:eastAsia="minorBidi" w:hAnsi="Cambria Math"/>
      <w:color w:val="000000" w:themeColor="text1"/>
      <w:spacing w:val="-10"/>
      <w:kern w:val="28"/>
      <w:sz w:val="96"/>
      <w:szCs w:val="96"/>
    </w:rPr>
  </w:style>
  <w:style w:type="paragraph" w:customStyle="1" w:styleId="DocSubTitle">
    <w:name w:val="Doc_SubTitle"/>
    <w:basedOn w:val="Normal"/>
    <w:qFormat/>
    <w:rsid w:val="006A060B"/>
    <w:pPr>
      <w:spacing w:before="240" w:line="280" w:lineRule="auto"/>
      <w:ind w:left="720"/>
    </w:pPr>
    <w:rPr>
      <w:rFonts w:ascii="Arial" w:eastAsia="Arial" w:hAnsi="Arial"/>
      <w:b/>
      <w:bCs/>
      <w:color w:val="D04A02" w:themeColor="accent1"/>
      <w:kern w:val="24"/>
      <w:sz w:val="44"/>
      <w:szCs w:val="44"/>
    </w:rPr>
  </w:style>
  <w:style w:type="paragraph" w:customStyle="1" w:styleId="DocCoverDate">
    <w:name w:val="Doc_CoverDate"/>
    <w:basedOn w:val="Normal"/>
    <w:qFormat/>
    <w:rsid w:val="006A060B"/>
    <w:pPr>
      <w:spacing w:before="240" w:line="280" w:lineRule="auto"/>
      <w:ind w:firstLine="720"/>
    </w:pPr>
    <w:rPr>
      <w:rFonts w:ascii="Arial" w:eastAsia="Arial" w:hAnsi="Arial"/>
      <w:i/>
      <w:iCs/>
      <w:color w:val="000000"/>
      <w:kern w:val="24"/>
      <w:sz w:val="32"/>
      <w:szCs w:val="32"/>
    </w:rPr>
  </w:style>
  <w:style w:type="paragraph" w:customStyle="1" w:styleId="DocHeading01">
    <w:name w:val="Doc_Heading01"/>
    <w:qFormat/>
    <w:rsid w:val="004B6E2A"/>
    <w:pPr>
      <w:pageBreakBefore/>
      <w:spacing w:after="300" w:line="216" w:lineRule="auto"/>
    </w:pPr>
    <w:rPr>
      <w:rFonts w:asciiTheme="majorHAnsi" w:eastAsiaTheme="majorEastAsia" w:hAnsiTheme="majorHAnsi" w:cstheme="majorBidi"/>
      <w:color w:val="D04A02" w:themeColor="accent1"/>
      <w:sz w:val="48"/>
      <w:szCs w:val="48"/>
    </w:rPr>
  </w:style>
  <w:style w:type="paragraph" w:customStyle="1" w:styleId="DocBodyText">
    <w:name w:val="Doc_BodyText"/>
    <w:qFormat/>
    <w:rsid w:val="00F76F51"/>
    <w:pPr>
      <w:spacing w:line="269" w:lineRule="auto"/>
    </w:pPr>
    <w:rPr>
      <w:sz w:val="20"/>
      <w:szCs w:val="22"/>
    </w:rPr>
  </w:style>
  <w:style w:type="paragraph" w:customStyle="1" w:styleId="DocBullet1">
    <w:name w:val="Doc_Bullet 1"/>
    <w:basedOn w:val="DocBodyText"/>
    <w:qFormat/>
    <w:rsid w:val="0096550B"/>
    <w:pPr>
      <w:numPr>
        <w:numId w:val="95"/>
      </w:numPr>
      <w:spacing w:before="120" w:line="240" w:lineRule="auto"/>
      <w:ind w:left="284" w:hanging="284"/>
    </w:pPr>
  </w:style>
  <w:style w:type="paragraph" w:customStyle="1" w:styleId="DocParagraphHeading">
    <w:name w:val="Doc_Paragraph Heading"/>
    <w:qFormat/>
    <w:rsid w:val="00F76F51"/>
    <w:pPr>
      <w:spacing w:before="200" w:after="160" w:line="240" w:lineRule="auto"/>
    </w:pPr>
    <w:rPr>
      <w:b/>
      <w:bCs/>
      <w:sz w:val="24"/>
      <w:szCs w:val="22"/>
    </w:rPr>
  </w:style>
  <w:style w:type="paragraph" w:customStyle="1" w:styleId="DocTableHeader">
    <w:name w:val="Doc_Table Header"/>
    <w:basedOn w:val="Figuretitle"/>
    <w:qFormat/>
    <w:rsid w:val="00755CA1"/>
    <w:pPr>
      <w:spacing w:before="240" w:line="240" w:lineRule="auto"/>
    </w:pPr>
    <w:rPr>
      <w:b/>
      <w:bCs/>
      <w:color w:val="D04A02" w:themeColor="accent1"/>
      <w:sz w:val="22"/>
      <w:szCs w:val="22"/>
    </w:rPr>
  </w:style>
  <w:style w:type="paragraph" w:customStyle="1" w:styleId="DocSpecalText">
    <w:name w:val="Doc_SpecalText"/>
    <w:qFormat/>
    <w:rsid w:val="005054F8"/>
    <w:rPr>
      <w:sz w:val="18"/>
      <w:szCs w:val="18"/>
    </w:rPr>
  </w:style>
  <w:style w:type="paragraph" w:customStyle="1" w:styleId="DocHeading02">
    <w:name w:val="Doc_Heading02"/>
    <w:qFormat/>
    <w:rsid w:val="00764AC1"/>
    <w:pPr>
      <w:spacing w:before="240" w:after="160" w:line="269" w:lineRule="auto"/>
    </w:pPr>
    <w:rPr>
      <w:b/>
      <w:bCs/>
      <w:sz w:val="28"/>
      <w:szCs w:val="28"/>
    </w:rPr>
  </w:style>
  <w:style w:type="paragraph" w:customStyle="1" w:styleId="Style2">
    <w:name w:val="Style2"/>
    <w:basedOn w:val="DocBullet1"/>
    <w:qFormat/>
    <w:rsid w:val="000753C2"/>
    <w:pPr>
      <w:numPr>
        <w:numId w:val="17"/>
      </w:numPr>
    </w:pPr>
  </w:style>
  <w:style w:type="paragraph" w:customStyle="1" w:styleId="DOCNumber">
    <w:name w:val="DOC_Number"/>
    <w:basedOn w:val="Style2"/>
    <w:qFormat/>
    <w:rsid w:val="001F33AA"/>
  </w:style>
  <w:style w:type="paragraph" w:customStyle="1" w:styleId="DOCa">
    <w:name w:val="DOC_(a)"/>
    <w:basedOn w:val="DocBullet1"/>
    <w:qFormat/>
    <w:rsid w:val="001F33AA"/>
    <w:pPr>
      <w:numPr>
        <w:numId w:val="19"/>
      </w:numPr>
      <w:ind w:left="568" w:hanging="284"/>
    </w:pPr>
  </w:style>
  <w:style w:type="paragraph" w:customStyle="1" w:styleId="DocQuote">
    <w:name w:val="Doc_Quote"/>
    <w:qFormat/>
    <w:rsid w:val="001F33AA"/>
    <w:pPr>
      <w:spacing w:before="240" w:after="240" w:line="269" w:lineRule="auto"/>
    </w:pPr>
    <w:rPr>
      <w:b/>
      <w:color w:val="D04A02" w:themeColor="accent1"/>
      <w:sz w:val="32"/>
      <w:szCs w:val="32"/>
    </w:rPr>
  </w:style>
  <w:style w:type="paragraph" w:customStyle="1" w:styleId="Doctiletext">
    <w:name w:val="Doc_tile text"/>
    <w:qFormat/>
    <w:rsid w:val="007D5EC2"/>
    <w:pPr>
      <w:framePr w:hSpace="180" w:wrap="around" w:vAnchor="text" w:hAnchor="margin" w:y="67"/>
      <w:spacing w:after="0" w:line="240" w:lineRule="auto"/>
      <w:jc w:val="center"/>
    </w:pPr>
    <w:rPr>
      <w:rFonts w:ascii="Arial" w:hAnsi="Arial"/>
      <w:color w:val="FFFFFF" w:themeColor="background1"/>
      <w:sz w:val="28"/>
      <w:szCs w:val="96"/>
    </w:rPr>
  </w:style>
  <w:style w:type="numbering" w:customStyle="1" w:styleId="PwCListNumbers1">
    <w:name w:val="PwC List Numbers 1"/>
    <w:uiPriority w:val="99"/>
    <w:rsid w:val="007C2A74"/>
    <w:pPr>
      <w:numPr>
        <w:numId w:val="23"/>
      </w:numPr>
    </w:pPr>
  </w:style>
  <w:style w:type="paragraph" w:styleId="CommentText">
    <w:name w:val="annotation text"/>
    <w:basedOn w:val="Normal"/>
    <w:link w:val="CommentTextChar"/>
    <w:uiPriority w:val="59"/>
    <w:semiHidden/>
    <w:rsid w:val="00634B6A"/>
    <w:pPr>
      <w:kinsoku w:val="0"/>
      <w:overflowPunct w:val="0"/>
      <w:autoSpaceDE w:val="0"/>
      <w:autoSpaceDN w:val="0"/>
      <w:adjustRightInd w:val="0"/>
      <w:snapToGrid w:val="0"/>
      <w:spacing w:before="0" w:after="0" w:line="281" w:lineRule="auto"/>
    </w:pPr>
    <w:rPr>
      <w:rFonts w:eastAsia="Times New Roman" w:cs="Arial"/>
      <w:snapToGrid w:val="0"/>
      <w:sz w:val="18"/>
      <w:szCs w:val="20"/>
      <w:lang w:val="en-AU"/>
    </w:rPr>
  </w:style>
  <w:style w:type="character" w:customStyle="1" w:styleId="CommentTextChar">
    <w:name w:val="Comment Text Char"/>
    <w:basedOn w:val="DefaultParagraphFont"/>
    <w:link w:val="CommentText"/>
    <w:uiPriority w:val="59"/>
    <w:semiHidden/>
    <w:rsid w:val="00634B6A"/>
    <w:rPr>
      <w:rFonts w:eastAsia="Times New Roman" w:cs="Arial"/>
      <w:snapToGrid w:val="0"/>
      <w:sz w:val="18"/>
      <w:szCs w:val="20"/>
      <w:lang w:val="en-AU"/>
    </w:rPr>
  </w:style>
  <w:style w:type="table" w:styleId="ListTable3-Accent1">
    <w:name w:val="List Table 3 Accent 1"/>
    <w:basedOn w:val="TableNormal"/>
    <w:uiPriority w:val="48"/>
    <w:rsid w:val="002C7305"/>
    <w:pPr>
      <w:spacing w:after="0" w:line="240" w:lineRule="auto"/>
    </w:pPr>
    <w:rPr>
      <w:rFonts w:ascii="HelveticaNeue" w:eastAsia="minorBidi" w:hAnsi="HelveticaNeue" w:cs="minorBidi"/>
      <w:sz w:val="20"/>
      <w:szCs w:val="20"/>
      <w:lang w:val="en-AU" w:eastAsia="en-AU"/>
    </w:rPr>
    <w:tblPr>
      <w:tblStyleRowBandSize w:val="1"/>
      <w:tblStyleColBandSize w:val="1"/>
      <w:tblBorders>
        <w:top w:val="single" w:sz="4" w:space="0" w:color="D04A02" w:themeColor="accent1"/>
        <w:left w:val="single" w:sz="4" w:space="0" w:color="D04A02" w:themeColor="accent1"/>
        <w:bottom w:val="single" w:sz="4" w:space="0" w:color="D04A02" w:themeColor="accent1"/>
        <w:right w:val="single" w:sz="4" w:space="0" w:color="D04A02" w:themeColor="accent1"/>
      </w:tblBorders>
    </w:tblPr>
    <w:tblStylePr w:type="firstRow">
      <w:rPr>
        <w:b/>
        <w:bCs/>
        <w:color w:val="FFFFFF" w:themeColor="background1"/>
      </w:rPr>
      <w:tblPr/>
      <w:tcPr>
        <w:shd w:val="clear" w:color="auto" w:fill="D04A02" w:themeFill="accent1"/>
      </w:tcPr>
    </w:tblStylePr>
    <w:tblStylePr w:type="lastRow">
      <w:rPr>
        <w:b/>
        <w:bCs/>
      </w:rPr>
      <w:tblPr/>
      <w:tcPr>
        <w:tcBorders>
          <w:top w:val="double" w:sz="4" w:space="0" w:color="D04A0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4A02" w:themeColor="accent1"/>
          <w:right w:val="single" w:sz="4" w:space="0" w:color="D04A02" w:themeColor="accent1"/>
        </w:tcBorders>
      </w:tcPr>
    </w:tblStylePr>
    <w:tblStylePr w:type="band1Horz">
      <w:tblPr/>
      <w:tcPr>
        <w:tcBorders>
          <w:top w:val="single" w:sz="4" w:space="0" w:color="D04A02" w:themeColor="accent1"/>
          <w:bottom w:val="single" w:sz="4" w:space="0" w:color="D04A0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4A02" w:themeColor="accent1"/>
          <w:left w:val="nil"/>
        </w:tcBorders>
      </w:tcPr>
    </w:tblStylePr>
    <w:tblStylePr w:type="swCell">
      <w:tblPr/>
      <w:tcPr>
        <w:tcBorders>
          <w:top w:val="double" w:sz="4" w:space="0" w:color="D04A02" w:themeColor="accent1"/>
          <w:right w:val="nil"/>
        </w:tcBorders>
      </w:tcPr>
    </w:tblStylePr>
  </w:style>
  <w:style w:type="paragraph" w:customStyle="1" w:styleId="CVBullet1">
    <w:name w:val="CV Bullet 1"/>
    <w:basedOn w:val="Normal"/>
    <w:uiPriority w:val="18"/>
    <w:qFormat/>
    <w:rsid w:val="002174A1"/>
    <w:pPr>
      <w:numPr>
        <w:numId w:val="24"/>
      </w:numPr>
      <w:kinsoku w:val="0"/>
      <w:overflowPunct w:val="0"/>
      <w:autoSpaceDE w:val="0"/>
      <w:autoSpaceDN w:val="0"/>
      <w:adjustRightInd w:val="0"/>
      <w:snapToGrid w:val="0"/>
      <w:spacing w:before="40" w:after="40" w:line="281" w:lineRule="auto"/>
    </w:pPr>
    <w:rPr>
      <w:rFonts w:eastAsia="Times New Roman" w:cs="Arial"/>
      <w:snapToGrid w:val="0"/>
      <w:color w:val="000000" w:themeColor="text1"/>
      <w:sz w:val="18"/>
      <w:szCs w:val="20"/>
      <w:lang w:val="en-AU"/>
    </w:rPr>
  </w:style>
  <w:style w:type="paragraph" w:customStyle="1" w:styleId="CVBullet2">
    <w:name w:val="CV Bullet 2"/>
    <w:basedOn w:val="CVBullet1"/>
    <w:uiPriority w:val="18"/>
    <w:qFormat/>
    <w:rsid w:val="002174A1"/>
    <w:pPr>
      <w:numPr>
        <w:ilvl w:val="1"/>
      </w:numPr>
    </w:pPr>
  </w:style>
  <w:style w:type="numbering" w:customStyle="1" w:styleId="CVBullets">
    <w:name w:val="CV Bullets"/>
    <w:uiPriority w:val="99"/>
    <w:rsid w:val="002174A1"/>
    <w:pPr>
      <w:numPr>
        <w:numId w:val="24"/>
      </w:numPr>
    </w:pPr>
  </w:style>
  <w:style w:type="paragraph" w:customStyle="1" w:styleId="HEADING">
    <w:name w:val="HEADING"/>
    <w:basedOn w:val="Normal"/>
    <w:link w:val="HEADINGChar"/>
    <w:uiPriority w:val="39"/>
    <w:qFormat/>
    <w:rsid w:val="00C354C7"/>
    <w:pPr>
      <w:keepNext/>
      <w:keepLines/>
      <w:kinsoku w:val="0"/>
      <w:overflowPunct w:val="0"/>
      <w:autoSpaceDE w:val="0"/>
      <w:autoSpaceDN w:val="0"/>
      <w:adjustRightInd w:val="0"/>
      <w:snapToGrid w:val="0"/>
      <w:spacing w:before="0" w:after="1200" w:line="640" w:lineRule="atLeast"/>
      <w:outlineLvl w:val="1"/>
    </w:pPr>
    <w:rPr>
      <w:rFonts w:eastAsia="Times New Roman" w:cstheme="minorHAnsi"/>
      <w:bCs/>
      <w:iCs/>
      <w:snapToGrid w:val="0"/>
      <w:color w:val="EB8C00" w:themeColor="accent4"/>
      <w:sz w:val="60"/>
      <w:szCs w:val="36"/>
      <w:lang w:val="en-AU"/>
    </w:rPr>
  </w:style>
  <w:style w:type="character" w:customStyle="1" w:styleId="HEADINGChar">
    <w:name w:val="HEADING Char"/>
    <w:basedOn w:val="DefaultParagraphFont"/>
    <w:link w:val="HEADING"/>
    <w:uiPriority w:val="39"/>
    <w:rsid w:val="00C354C7"/>
    <w:rPr>
      <w:rFonts w:eastAsia="Times New Roman" w:cstheme="minorHAnsi"/>
      <w:bCs/>
      <w:iCs/>
      <w:snapToGrid w:val="0"/>
      <w:color w:val="EB8C00" w:themeColor="accent4"/>
      <w:sz w:val="60"/>
      <w:szCs w:val="36"/>
      <w:lang w:val="en-AU"/>
    </w:rPr>
  </w:style>
  <w:style w:type="character" w:styleId="CommentReference">
    <w:name w:val="annotation reference"/>
    <w:basedOn w:val="DefaultParagraphFont"/>
    <w:uiPriority w:val="99"/>
    <w:semiHidden/>
    <w:unhideWhenUsed/>
    <w:rsid w:val="006D1504"/>
    <w:rPr>
      <w:sz w:val="16"/>
      <w:szCs w:val="16"/>
    </w:rPr>
  </w:style>
  <w:style w:type="paragraph" w:styleId="CommentSubject">
    <w:name w:val="annotation subject"/>
    <w:basedOn w:val="CommentText"/>
    <w:next w:val="CommentText"/>
    <w:link w:val="CommentSubjectChar"/>
    <w:uiPriority w:val="99"/>
    <w:semiHidden/>
    <w:unhideWhenUsed/>
    <w:rsid w:val="006D1504"/>
    <w:pPr>
      <w:kinsoku/>
      <w:overflowPunct/>
      <w:autoSpaceDE/>
      <w:autoSpaceDN/>
      <w:adjustRightInd/>
      <w:snapToGrid/>
      <w:spacing w:before="120" w:after="120" w:line="240" w:lineRule="auto"/>
    </w:pPr>
    <w:rPr>
      <w:rFonts w:eastAsiaTheme="minorHAnsi" w:cstheme="minorBidi"/>
      <w:b/>
      <w:bCs/>
      <w:snapToGrid/>
      <w:sz w:val="20"/>
      <w:lang w:val="en-GB"/>
    </w:rPr>
  </w:style>
  <w:style w:type="character" w:customStyle="1" w:styleId="CommentSubjectChar">
    <w:name w:val="Comment Subject Char"/>
    <w:basedOn w:val="CommentTextChar"/>
    <w:link w:val="CommentSubject"/>
    <w:uiPriority w:val="99"/>
    <w:semiHidden/>
    <w:rsid w:val="006D1504"/>
    <w:rPr>
      <w:rFonts w:eastAsia="Times New Roman" w:cs="Arial"/>
      <w:b/>
      <w:bCs/>
      <w:snapToGrid/>
      <w:sz w:val="20"/>
      <w:szCs w:val="20"/>
      <w:lang w:val="en-AU"/>
    </w:rPr>
  </w:style>
  <w:style w:type="character" w:styleId="Mention">
    <w:name w:val="Mention"/>
    <w:basedOn w:val="DefaultParagraphFont"/>
    <w:uiPriority w:val="99"/>
    <w:unhideWhenUsed/>
    <w:rsid w:val="008A2A28"/>
    <w:rPr>
      <w:color w:val="2B579A"/>
      <w:shd w:val="clear" w:color="auto" w:fill="E1DFDD"/>
    </w:rPr>
  </w:style>
  <w:style w:type="character" w:styleId="UnresolvedMention">
    <w:name w:val="Unresolved Mention"/>
    <w:basedOn w:val="DefaultParagraphFont"/>
    <w:uiPriority w:val="99"/>
    <w:unhideWhenUsed/>
    <w:rsid w:val="00E8235C"/>
    <w:rPr>
      <w:color w:val="605E5C"/>
      <w:shd w:val="clear" w:color="auto" w:fill="E1DFDD"/>
    </w:rPr>
  </w:style>
  <w:style w:type="character" w:customStyle="1" w:styleId="normaltextrun">
    <w:name w:val="normaltextrun"/>
    <w:basedOn w:val="DefaultParagraphFont"/>
    <w:rsid w:val="00637CED"/>
  </w:style>
  <w:style w:type="character" w:customStyle="1" w:styleId="eop">
    <w:name w:val="eop"/>
    <w:basedOn w:val="DefaultParagraphFont"/>
    <w:rsid w:val="00637CED"/>
  </w:style>
  <w:style w:type="paragraph" w:styleId="Revision">
    <w:name w:val="Revision"/>
    <w:hidden/>
    <w:uiPriority w:val="99"/>
    <w:semiHidden/>
    <w:rsid w:val="001F470C"/>
    <w:pPr>
      <w:spacing w:after="0" w:line="240" w:lineRule="auto"/>
    </w:pPr>
    <w:rPr>
      <w:sz w:val="20"/>
    </w:rPr>
  </w:style>
  <w:style w:type="paragraph" w:styleId="BodyText">
    <w:name w:val="Body Text"/>
    <w:basedOn w:val="Normal"/>
    <w:link w:val="BodyTextChar"/>
    <w:qFormat/>
    <w:rsid w:val="0036642F"/>
    <w:pPr>
      <w:spacing w:before="0" w:after="240" w:line="240" w:lineRule="atLeast"/>
    </w:pPr>
    <w:rPr>
      <w:rFonts w:cs="Arial"/>
      <w:sz w:val="19"/>
      <w:szCs w:val="20"/>
    </w:rPr>
  </w:style>
  <w:style w:type="character" w:customStyle="1" w:styleId="BodyTextChar">
    <w:name w:val="Body Text Char"/>
    <w:basedOn w:val="DefaultParagraphFont"/>
    <w:link w:val="BodyText"/>
    <w:rsid w:val="0036642F"/>
    <w:rPr>
      <w:rFonts w:cs="Arial"/>
      <w:sz w:val="19"/>
      <w:szCs w:val="20"/>
    </w:rPr>
  </w:style>
  <w:style w:type="paragraph" w:styleId="ListNumber3">
    <w:name w:val="List Number 3"/>
    <w:basedOn w:val="BodyText"/>
    <w:uiPriority w:val="13"/>
    <w:qFormat/>
    <w:rsid w:val="0036642F"/>
    <w:pPr>
      <w:spacing w:after="120"/>
      <w:ind w:left="1020" w:hanging="340"/>
    </w:pPr>
    <w:rPr>
      <w:color w:val="000000" w:themeColor="text1"/>
      <w:szCs w:val="21"/>
    </w:rPr>
  </w:style>
  <w:style w:type="paragraph" w:styleId="ListNumber4">
    <w:name w:val="List Number 4"/>
    <w:basedOn w:val="BodyText"/>
    <w:uiPriority w:val="13"/>
    <w:unhideWhenUsed/>
    <w:rsid w:val="0036642F"/>
    <w:pPr>
      <w:spacing w:after="120"/>
      <w:ind w:left="1361" w:hanging="340"/>
    </w:pPr>
    <w:rPr>
      <w:color w:val="000000" w:themeColor="text1"/>
      <w:szCs w:val="21"/>
    </w:rPr>
  </w:style>
  <w:style w:type="paragraph" w:styleId="ListNumber5">
    <w:name w:val="List Number 5"/>
    <w:basedOn w:val="ListNumber4"/>
    <w:uiPriority w:val="13"/>
    <w:unhideWhenUsed/>
    <w:rsid w:val="0036642F"/>
    <w:pPr>
      <w:ind w:left="1701"/>
    </w:pPr>
  </w:style>
  <w:style w:type="paragraph" w:styleId="TOC5">
    <w:name w:val="toc 5"/>
    <w:basedOn w:val="Normal"/>
    <w:next w:val="Normal"/>
    <w:autoRedefine/>
    <w:uiPriority w:val="39"/>
    <w:semiHidden/>
    <w:unhideWhenUsed/>
    <w:rsid w:val="00817865"/>
    <w:pPr>
      <w:spacing w:after="100"/>
      <w:ind w:left="800"/>
    </w:pPr>
  </w:style>
  <w:style w:type="paragraph" w:customStyle="1" w:styleId="TabBullet1">
    <w:name w:val="Tab_Bullet 1"/>
    <w:basedOn w:val="PwCNormal"/>
    <w:qFormat/>
    <w:rsid w:val="00E82A42"/>
    <w:pPr>
      <w:numPr>
        <w:numId w:val="65"/>
      </w:numPr>
      <w:spacing w:before="120"/>
      <w:ind w:left="284" w:hanging="284"/>
    </w:pPr>
    <w:rPr>
      <w:rFonts w:ascii="HelveticaNeue" w:hAnsi="HelveticaNeue" w:cstheme="minorHAnsi"/>
      <w:color w:val="auto"/>
      <w:sz w:val="20"/>
      <w:lang w:eastAsia="en-AU"/>
    </w:rPr>
  </w:style>
  <w:style w:type="paragraph" w:styleId="TOC4">
    <w:name w:val="toc 4"/>
    <w:basedOn w:val="Normal"/>
    <w:next w:val="Normal"/>
    <w:autoRedefine/>
    <w:uiPriority w:val="39"/>
    <w:semiHidden/>
    <w:unhideWhenUsed/>
    <w:rsid w:val="009614A9"/>
    <w:pPr>
      <w:spacing w:after="100"/>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6038">
      <w:bodyDiv w:val="1"/>
      <w:marLeft w:val="0"/>
      <w:marRight w:val="0"/>
      <w:marTop w:val="0"/>
      <w:marBottom w:val="0"/>
      <w:divBdr>
        <w:top w:val="none" w:sz="0" w:space="0" w:color="auto"/>
        <w:left w:val="none" w:sz="0" w:space="0" w:color="auto"/>
        <w:bottom w:val="none" w:sz="0" w:space="0" w:color="auto"/>
        <w:right w:val="none" w:sz="0" w:space="0" w:color="auto"/>
      </w:divBdr>
    </w:div>
    <w:div w:id="808939404">
      <w:bodyDiv w:val="1"/>
      <w:marLeft w:val="0"/>
      <w:marRight w:val="0"/>
      <w:marTop w:val="0"/>
      <w:marBottom w:val="0"/>
      <w:divBdr>
        <w:top w:val="none" w:sz="0" w:space="0" w:color="auto"/>
        <w:left w:val="none" w:sz="0" w:space="0" w:color="auto"/>
        <w:bottom w:val="none" w:sz="0" w:space="0" w:color="auto"/>
        <w:right w:val="none" w:sz="0" w:space="0" w:color="auto"/>
      </w:divBdr>
    </w:div>
    <w:div w:id="1197351920">
      <w:bodyDiv w:val="1"/>
      <w:marLeft w:val="0"/>
      <w:marRight w:val="0"/>
      <w:marTop w:val="0"/>
      <w:marBottom w:val="0"/>
      <w:divBdr>
        <w:top w:val="none" w:sz="0" w:space="0" w:color="auto"/>
        <w:left w:val="none" w:sz="0" w:space="0" w:color="auto"/>
        <w:bottom w:val="none" w:sz="0" w:space="0" w:color="auto"/>
        <w:right w:val="none" w:sz="0" w:space="0" w:color="auto"/>
      </w:divBdr>
    </w:div>
    <w:div w:id="1281034596">
      <w:bodyDiv w:val="1"/>
      <w:marLeft w:val="0"/>
      <w:marRight w:val="0"/>
      <w:marTop w:val="0"/>
      <w:marBottom w:val="0"/>
      <w:divBdr>
        <w:top w:val="none" w:sz="0" w:space="0" w:color="auto"/>
        <w:left w:val="none" w:sz="0" w:space="0" w:color="auto"/>
        <w:bottom w:val="none" w:sz="0" w:space="0" w:color="auto"/>
        <w:right w:val="none" w:sz="0" w:space="0" w:color="auto"/>
      </w:divBdr>
    </w:div>
    <w:div w:id="1899903432">
      <w:bodyDiv w:val="1"/>
      <w:marLeft w:val="0"/>
      <w:marRight w:val="0"/>
      <w:marTop w:val="0"/>
      <w:marBottom w:val="0"/>
      <w:divBdr>
        <w:top w:val="none" w:sz="0" w:space="0" w:color="auto"/>
        <w:left w:val="none" w:sz="0" w:space="0" w:color="auto"/>
        <w:bottom w:val="none" w:sz="0" w:space="0" w:color="auto"/>
        <w:right w:val="none" w:sz="0" w:space="0" w:color="auto"/>
      </w:divBdr>
    </w:div>
    <w:div w:id="203209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svg"/><Relationship Id="rId21" Type="http://schemas.openxmlformats.org/officeDocument/2006/relationships/image" Target="media/image6.png"/><Relationship Id="rId42" Type="http://schemas.openxmlformats.org/officeDocument/2006/relationships/image" Target="media/image27.jpeg"/><Relationship Id="rId47" Type="http://schemas.openxmlformats.org/officeDocument/2006/relationships/image" Target="media/image29.emf"/><Relationship Id="rId63" Type="http://schemas.openxmlformats.org/officeDocument/2006/relationships/chart" Target="charts/chart4.xml"/><Relationship Id="rId68"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4.png"/><Relationship Id="rId11" Type="http://schemas.openxmlformats.org/officeDocument/2006/relationships/header" Target="header1.xml"/><Relationship Id="rId24" Type="http://schemas.openxmlformats.org/officeDocument/2006/relationships/image" Target="media/image9.svg"/><Relationship Id="rId32" Type="http://schemas.openxmlformats.org/officeDocument/2006/relationships/image" Target="media/image17.svg"/><Relationship Id="rId37" Type="http://schemas.openxmlformats.org/officeDocument/2006/relationships/image" Target="media/image22.png"/><Relationship Id="rId40" Type="http://schemas.openxmlformats.org/officeDocument/2006/relationships/image" Target="media/image25.svg"/><Relationship Id="rId45" Type="http://schemas.openxmlformats.org/officeDocument/2006/relationships/image" Target="media/image28.jpeg"/><Relationship Id="rId53" Type="http://schemas.openxmlformats.org/officeDocument/2006/relationships/package" Target="embeddings/Microsoft_PowerPoint_Slide3.sldx"/><Relationship Id="rId58" Type="http://schemas.openxmlformats.org/officeDocument/2006/relationships/package" Target="embeddings/Microsoft_PowerPoint_Slide5.sldx"/><Relationship Id="rId66" Type="http://schemas.openxmlformats.org/officeDocument/2006/relationships/package" Target="embeddings/Microsoft_PowerPoint_Slide7.sldx"/><Relationship Id="rId5" Type="http://schemas.openxmlformats.org/officeDocument/2006/relationships/numbering" Target="numbering.xml"/><Relationship Id="rId61" Type="http://schemas.openxmlformats.org/officeDocument/2006/relationships/chart" Target="charts/chart2.xml"/><Relationship Id="rId19" Type="http://schemas.openxmlformats.org/officeDocument/2006/relationships/image" Target="media/image4.png"/><Relationship Id="rId14" Type="http://schemas.openxmlformats.org/officeDocument/2006/relationships/footer" Target="footer2.xml"/><Relationship Id="rId22" Type="http://schemas.openxmlformats.org/officeDocument/2006/relationships/image" Target="media/image7.svg"/><Relationship Id="rId27" Type="http://schemas.openxmlformats.org/officeDocument/2006/relationships/image" Target="media/image12.png"/><Relationship Id="rId30" Type="http://schemas.openxmlformats.org/officeDocument/2006/relationships/image" Target="media/image15.svg"/><Relationship Id="rId35" Type="http://schemas.openxmlformats.org/officeDocument/2006/relationships/image" Target="media/image20.png"/><Relationship Id="rId43" Type="http://schemas.openxmlformats.org/officeDocument/2006/relationships/header" Target="header5.xml"/><Relationship Id="rId48" Type="http://schemas.openxmlformats.org/officeDocument/2006/relationships/package" Target="embeddings/Microsoft_PowerPoint_Slide1.sldx"/><Relationship Id="rId56" Type="http://schemas.openxmlformats.org/officeDocument/2006/relationships/package" Target="embeddings/Microsoft_PowerPoint_Slide4.sldx"/><Relationship Id="rId64" Type="http://schemas.openxmlformats.org/officeDocument/2006/relationships/image" Target="media/image35.sv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package" Target="embeddings/Microsoft_PowerPoint_Slide2.sldx"/><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svg"/><Relationship Id="rId46" Type="http://schemas.openxmlformats.org/officeDocument/2006/relationships/header" Target="header6.xml"/><Relationship Id="rId59" Type="http://schemas.openxmlformats.org/officeDocument/2006/relationships/image" Target="media/image34.emf"/><Relationship Id="rId67" Type="http://schemas.openxmlformats.org/officeDocument/2006/relationships/header" Target="header8.xml"/><Relationship Id="rId20" Type="http://schemas.openxmlformats.org/officeDocument/2006/relationships/image" Target="media/image5.svg"/><Relationship Id="rId41" Type="http://schemas.openxmlformats.org/officeDocument/2006/relationships/image" Target="media/image26.svg"/><Relationship Id="rId54" Type="http://schemas.openxmlformats.org/officeDocument/2006/relationships/chart" Target="charts/chart1.xml"/><Relationship Id="rId62" Type="http://schemas.openxmlformats.org/officeDocument/2006/relationships/chart" Target="charts/chart3.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image" Target="media/image13.svg"/><Relationship Id="rId36" Type="http://schemas.openxmlformats.org/officeDocument/2006/relationships/image" Target="media/image21.svg"/><Relationship Id="rId49" Type="http://schemas.openxmlformats.org/officeDocument/2006/relationships/header" Target="header7.xml"/><Relationship Id="rId57" Type="http://schemas.openxmlformats.org/officeDocument/2006/relationships/image" Target="media/image33.emf"/><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footer" Target="footer5.xml"/><Relationship Id="rId52" Type="http://schemas.openxmlformats.org/officeDocument/2006/relationships/image" Target="media/image31.emf"/><Relationship Id="rId60" Type="http://schemas.openxmlformats.org/officeDocument/2006/relationships/package" Target="embeddings/Microsoft_PowerPoint_Slide6.sldx"/><Relationship Id="rId65" Type="http://schemas.openxmlformats.org/officeDocument/2006/relationships/image" Target="media/image36.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image" Target="media/image24.svg"/><Relationship Id="rId34" Type="http://schemas.openxmlformats.org/officeDocument/2006/relationships/image" Target="media/image19.svg"/><Relationship Id="rId50" Type="http://schemas.openxmlformats.org/officeDocument/2006/relationships/image" Target="media/image30.emf"/><Relationship Id="rId55" Type="http://schemas.openxmlformats.org/officeDocument/2006/relationships/image" Target="media/image32.emf"/></Relationships>
</file>

<file path=word/_rels/footnotes.xml.rels><?xml version="1.0" encoding="UTF-8" standalone="yes"?>
<Relationships xmlns="http://schemas.openxmlformats.org/package/2006/relationships"><Relationship Id="rId1" Type="http://schemas.openxmlformats.org/officeDocument/2006/relationships/hyperlink" Target="http://www.education.gov.au/early-childhood/community-child-care-fund/connected-beginning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package" Target="embeddings/Microsoft_PowerPoint_Slide.sldx"/><Relationship Id="rId1" Type="http://schemas.openxmlformats.org/officeDocument/2006/relationships/image" Target="media/image3.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pnewland001\Downloads\IHC%20Data%20Request%20-%2025.05.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newland001\Downloads\IHC%20Data%20Request%20-%2025.05.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newland001\Downloads\IHC%20Data%20Request%20-%2025.05.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newland001\Downloads\IHC%20Data%20Request%20-%2025.05.2023.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17009522178288E-2"/>
          <c:y val="3.15955766192733E-2"/>
          <c:w val="0.81772469545349513"/>
          <c:h val="0.76947867298578199"/>
        </c:manualLayout>
      </c:layout>
      <c:barChart>
        <c:barDir val="bar"/>
        <c:grouping val="clustered"/>
        <c:varyColors val="0"/>
        <c:ser>
          <c:idx val="0"/>
          <c:order val="0"/>
          <c:tx>
            <c:strRef>
              <c:f>Tables!$W$1</c:f>
              <c:strCache>
                <c:ptCount val="1"/>
                <c:pt idx="0">
                  <c:v>2019</c:v>
                </c:pt>
              </c:strCache>
            </c:strRef>
          </c:tx>
          <c:spPr>
            <a:solidFill>
              <a:schemeClr val="accent1"/>
            </a:solidFill>
            <a:ln>
              <a:noFill/>
            </a:ln>
            <a:effectLst/>
          </c:spPr>
          <c:invertIfNegative val="0"/>
          <c:cat>
            <c:strRef>
              <c:f>Tables!$V$2:$V$9</c:f>
              <c:strCache>
                <c:ptCount val="8"/>
                <c:pt idx="0">
                  <c:v>NSW</c:v>
                </c:pt>
                <c:pt idx="1">
                  <c:v>VIC</c:v>
                </c:pt>
                <c:pt idx="2">
                  <c:v>QLD</c:v>
                </c:pt>
                <c:pt idx="3">
                  <c:v>WA</c:v>
                </c:pt>
                <c:pt idx="4">
                  <c:v>SA</c:v>
                </c:pt>
                <c:pt idx="5">
                  <c:v>TAS</c:v>
                </c:pt>
                <c:pt idx="6">
                  <c:v>NT</c:v>
                </c:pt>
                <c:pt idx="7">
                  <c:v>ACT</c:v>
                </c:pt>
              </c:strCache>
            </c:strRef>
          </c:cat>
          <c:val>
            <c:numRef>
              <c:f>Tables!$W$2:$W$9</c:f>
              <c:numCache>
                <c:formatCode>General</c:formatCode>
                <c:ptCount val="8"/>
                <c:pt idx="0">
                  <c:v>750909</c:v>
                </c:pt>
                <c:pt idx="1">
                  <c:v>400504</c:v>
                </c:pt>
                <c:pt idx="2">
                  <c:v>921520</c:v>
                </c:pt>
                <c:pt idx="3">
                  <c:v>174845</c:v>
                </c:pt>
                <c:pt idx="4">
                  <c:v>41976</c:v>
                </c:pt>
                <c:pt idx="5">
                  <c:v>46343</c:v>
                </c:pt>
                <c:pt idx="6">
                  <c:v>18595</c:v>
                </c:pt>
                <c:pt idx="7">
                  <c:v>8779</c:v>
                </c:pt>
              </c:numCache>
            </c:numRef>
          </c:val>
          <c:extLst>
            <c:ext xmlns:c16="http://schemas.microsoft.com/office/drawing/2014/chart" uri="{C3380CC4-5D6E-409C-BE32-E72D297353CC}">
              <c16:uniqueId val="{00000000-E33B-4FF2-83D7-7C905D7C9C66}"/>
            </c:ext>
          </c:extLst>
        </c:ser>
        <c:ser>
          <c:idx val="1"/>
          <c:order val="1"/>
          <c:tx>
            <c:strRef>
              <c:f>Tables!$X$1</c:f>
              <c:strCache>
                <c:ptCount val="1"/>
                <c:pt idx="0">
                  <c:v>2020</c:v>
                </c:pt>
              </c:strCache>
            </c:strRef>
          </c:tx>
          <c:spPr>
            <a:solidFill>
              <a:schemeClr val="accent2"/>
            </a:solidFill>
            <a:ln>
              <a:noFill/>
            </a:ln>
            <a:effectLst/>
          </c:spPr>
          <c:invertIfNegative val="0"/>
          <c:cat>
            <c:strRef>
              <c:f>Tables!$V$2:$V$9</c:f>
              <c:strCache>
                <c:ptCount val="8"/>
                <c:pt idx="0">
                  <c:v>NSW</c:v>
                </c:pt>
                <c:pt idx="1">
                  <c:v>VIC</c:v>
                </c:pt>
                <c:pt idx="2">
                  <c:v>QLD</c:v>
                </c:pt>
                <c:pt idx="3">
                  <c:v>WA</c:v>
                </c:pt>
                <c:pt idx="4">
                  <c:v>SA</c:v>
                </c:pt>
                <c:pt idx="5">
                  <c:v>TAS</c:v>
                </c:pt>
                <c:pt idx="6">
                  <c:v>NT</c:v>
                </c:pt>
                <c:pt idx="7">
                  <c:v>ACT</c:v>
                </c:pt>
              </c:strCache>
            </c:strRef>
          </c:cat>
          <c:val>
            <c:numRef>
              <c:f>Tables!$X$2:$X$9</c:f>
              <c:numCache>
                <c:formatCode>General</c:formatCode>
                <c:ptCount val="8"/>
                <c:pt idx="0">
                  <c:v>485461</c:v>
                </c:pt>
                <c:pt idx="1">
                  <c:v>416616</c:v>
                </c:pt>
                <c:pt idx="2">
                  <c:v>584753</c:v>
                </c:pt>
                <c:pt idx="3">
                  <c:v>122936</c:v>
                </c:pt>
                <c:pt idx="4">
                  <c:v>53279</c:v>
                </c:pt>
                <c:pt idx="5">
                  <c:v>26756</c:v>
                </c:pt>
                <c:pt idx="6">
                  <c:v>9261</c:v>
                </c:pt>
                <c:pt idx="7">
                  <c:v>10355</c:v>
                </c:pt>
              </c:numCache>
            </c:numRef>
          </c:val>
          <c:extLst>
            <c:ext xmlns:c16="http://schemas.microsoft.com/office/drawing/2014/chart" uri="{C3380CC4-5D6E-409C-BE32-E72D297353CC}">
              <c16:uniqueId val="{00000001-E33B-4FF2-83D7-7C905D7C9C66}"/>
            </c:ext>
          </c:extLst>
        </c:ser>
        <c:ser>
          <c:idx val="2"/>
          <c:order val="2"/>
          <c:tx>
            <c:strRef>
              <c:f>Tables!$Y$1</c:f>
              <c:strCache>
                <c:ptCount val="1"/>
                <c:pt idx="0">
                  <c:v>2021</c:v>
                </c:pt>
              </c:strCache>
            </c:strRef>
          </c:tx>
          <c:spPr>
            <a:solidFill>
              <a:schemeClr val="accent5"/>
            </a:solidFill>
            <a:ln>
              <a:noFill/>
            </a:ln>
            <a:effectLst/>
          </c:spPr>
          <c:invertIfNegative val="0"/>
          <c:cat>
            <c:strRef>
              <c:f>Tables!$V$2:$V$9</c:f>
              <c:strCache>
                <c:ptCount val="8"/>
                <c:pt idx="0">
                  <c:v>NSW</c:v>
                </c:pt>
                <c:pt idx="1">
                  <c:v>VIC</c:v>
                </c:pt>
                <c:pt idx="2">
                  <c:v>QLD</c:v>
                </c:pt>
                <c:pt idx="3">
                  <c:v>WA</c:v>
                </c:pt>
                <c:pt idx="4">
                  <c:v>SA</c:v>
                </c:pt>
                <c:pt idx="5">
                  <c:v>TAS</c:v>
                </c:pt>
                <c:pt idx="6">
                  <c:v>NT</c:v>
                </c:pt>
                <c:pt idx="7">
                  <c:v>ACT</c:v>
                </c:pt>
              </c:strCache>
            </c:strRef>
          </c:cat>
          <c:val>
            <c:numRef>
              <c:f>Tables!$Y$2:$Y$9</c:f>
              <c:numCache>
                <c:formatCode>General</c:formatCode>
                <c:ptCount val="8"/>
                <c:pt idx="0">
                  <c:v>619269</c:v>
                </c:pt>
                <c:pt idx="1">
                  <c:v>639771</c:v>
                </c:pt>
                <c:pt idx="2">
                  <c:v>868143</c:v>
                </c:pt>
                <c:pt idx="3">
                  <c:v>163003</c:v>
                </c:pt>
                <c:pt idx="4">
                  <c:v>66964</c:v>
                </c:pt>
                <c:pt idx="5">
                  <c:v>33610</c:v>
                </c:pt>
                <c:pt idx="6">
                  <c:v>10764</c:v>
                </c:pt>
                <c:pt idx="7">
                  <c:v>11989</c:v>
                </c:pt>
              </c:numCache>
            </c:numRef>
          </c:val>
          <c:extLst>
            <c:ext xmlns:c16="http://schemas.microsoft.com/office/drawing/2014/chart" uri="{C3380CC4-5D6E-409C-BE32-E72D297353CC}">
              <c16:uniqueId val="{00000002-E33B-4FF2-83D7-7C905D7C9C66}"/>
            </c:ext>
          </c:extLst>
        </c:ser>
        <c:ser>
          <c:idx val="3"/>
          <c:order val="3"/>
          <c:tx>
            <c:strRef>
              <c:f>Tables!$Z$1</c:f>
              <c:strCache>
                <c:ptCount val="1"/>
                <c:pt idx="0">
                  <c:v>2022</c:v>
                </c:pt>
              </c:strCache>
            </c:strRef>
          </c:tx>
          <c:spPr>
            <a:solidFill>
              <a:schemeClr val="accent6"/>
            </a:solidFill>
            <a:ln>
              <a:noFill/>
            </a:ln>
            <a:effectLst/>
          </c:spPr>
          <c:invertIfNegative val="0"/>
          <c:cat>
            <c:strRef>
              <c:f>Tables!$V$2:$V$9</c:f>
              <c:strCache>
                <c:ptCount val="8"/>
                <c:pt idx="0">
                  <c:v>NSW</c:v>
                </c:pt>
                <c:pt idx="1">
                  <c:v>VIC</c:v>
                </c:pt>
                <c:pt idx="2">
                  <c:v>QLD</c:v>
                </c:pt>
                <c:pt idx="3">
                  <c:v>WA</c:v>
                </c:pt>
                <c:pt idx="4">
                  <c:v>SA</c:v>
                </c:pt>
                <c:pt idx="5">
                  <c:v>TAS</c:v>
                </c:pt>
                <c:pt idx="6">
                  <c:v>NT</c:v>
                </c:pt>
                <c:pt idx="7">
                  <c:v>ACT</c:v>
                </c:pt>
              </c:strCache>
            </c:strRef>
          </c:cat>
          <c:val>
            <c:numRef>
              <c:f>Tables!$Z$2:$Z$9</c:f>
              <c:numCache>
                <c:formatCode>General</c:formatCode>
                <c:ptCount val="8"/>
                <c:pt idx="0">
                  <c:v>500358</c:v>
                </c:pt>
                <c:pt idx="1">
                  <c:v>547554</c:v>
                </c:pt>
                <c:pt idx="2">
                  <c:v>866153</c:v>
                </c:pt>
                <c:pt idx="3">
                  <c:v>152069</c:v>
                </c:pt>
                <c:pt idx="4">
                  <c:v>60546</c:v>
                </c:pt>
                <c:pt idx="5">
                  <c:v>19966</c:v>
                </c:pt>
                <c:pt idx="6">
                  <c:v>13098</c:v>
                </c:pt>
                <c:pt idx="7">
                  <c:v>7129</c:v>
                </c:pt>
              </c:numCache>
            </c:numRef>
          </c:val>
          <c:extLst>
            <c:ext xmlns:c16="http://schemas.microsoft.com/office/drawing/2014/chart" uri="{C3380CC4-5D6E-409C-BE32-E72D297353CC}">
              <c16:uniqueId val="{00000003-E33B-4FF2-83D7-7C905D7C9C66}"/>
            </c:ext>
          </c:extLst>
        </c:ser>
        <c:ser>
          <c:idx val="4"/>
          <c:order val="4"/>
          <c:tx>
            <c:strRef>
              <c:f>Tables!$AA$1</c:f>
              <c:strCache>
                <c:ptCount val="1"/>
                <c:pt idx="0">
                  <c:v>2023*</c:v>
                </c:pt>
              </c:strCache>
            </c:strRef>
          </c:tx>
          <c:spPr>
            <a:solidFill>
              <a:schemeClr val="accent3"/>
            </a:solidFill>
            <a:ln>
              <a:noFill/>
            </a:ln>
            <a:effectLst/>
          </c:spPr>
          <c:invertIfNegative val="0"/>
          <c:cat>
            <c:strRef>
              <c:f>Tables!$V$2:$V$9</c:f>
              <c:strCache>
                <c:ptCount val="8"/>
                <c:pt idx="0">
                  <c:v>NSW</c:v>
                </c:pt>
                <c:pt idx="1">
                  <c:v>VIC</c:v>
                </c:pt>
                <c:pt idx="2">
                  <c:v>QLD</c:v>
                </c:pt>
                <c:pt idx="3">
                  <c:v>WA</c:v>
                </c:pt>
                <c:pt idx="4">
                  <c:v>SA</c:v>
                </c:pt>
                <c:pt idx="5">
                  <c:v>TAS</c:v>
                </c:pt>
                <c:pt idx="6">
                  <c:v>NT</c:v>
                </c:pt>
                <c:pt idx="7">
                  <c:v>ACT</c:v>
                </c:pt>
              </c:strCache>
            </c:strRef>
          </c:cat>
          <c:val>
            <c:numRef>
              <c:f>Tables!$AA$2:$AA$9</c:f>
              <c:numCache>
                <c:formatCode>General</c:formatCode>
                <c:ptCount val="8"/>
                <c:pt idx="0">
                  <c:v>159852</c:v>
                </c:pt>
                <c:pt idx="1">
                  <c:v>170763</c:v>
                </c:pt>
                <c:pt idx="2">
                  <c:v>277096</c:v>
                </c:pt>
                <c:pt idx="3">
                  <c:v>37297</c:v>
                </c:pt>
                <c:pt idx="4">
                  <c:v>17247</c:v>
                </c:pt>
                <c:pt idx="5">
                  <c:v>6598</c:v>
                </c:pt>
                <c:pt idx="6">
                  <c:v>4907</c:v>
                </c:pt>
                <c:pt idx="7">
                  <c:v>752</c:v>
                </c:pt>
              </c:numCache>
            </c:numRef>
          </c:val>
          <c:extLst>
            <c:ext xmlns:c16="http://schemas.microsoft.com/office/drawing/2014/chart" uri="{C3380CC4-5D6E-409C-BE32-E72D297353CC}">
              <c16:uniqueId val="{00000004-E33B-4FF2-83D7-7C905D7C9C66}"/>
            </c:ext>
          </c:extLst>
        </c:ser>
        <c:dLbls>
          <c:showLegendKey val="0"/>
          <c:showVal val="0"/>
          <c:showCatName val="0"/>
          <c:showSerName val="0"/>
          <c:showPercent val="0"/>
          <c:showBubbleSize val="0"/>
        </c:dLbls>
        <c:gapWidth val="182"/>
        <c:axId val="353933088"/>
        <c:axId val="353935584"/>
      </c:barChart>
      <c:catAx>
        <c:axId val="353933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53935584"/>
        <c:crosses val="autoZero"/>
        <c:auto val="0"/>
        <c:lblAlgn val="ctr"/>
        <c:lblOffset val="100"/>
        <c:noMultiLvlLbl val="0"/>
      </c:catAx>
      <c:valAx>
        <c:axId val="3539355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53933088"/>
        <c:crosses val="autoZero"/>
        <c:crossBetween val="between"/>
        <c:dispUnits>
          <c:builtInUnit val="thousands"/>
          <c:dispUnits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dispUnitsLbl>
        </c:dispUnits>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20253817031336"/>
          <c:y val="4.7794916358896371E-2"/>
          <c:w val="0.77771328758335734"/>
          <c:h val="0.76762980664783842"/>
        </c:manualLayout>
      </c:layout>
      <c:barChart>
        <c:barDir val="col"/>
        <c:grouping val="stacked"/>
        <c:varyColors val="0"/>
        <c:ser>
          <c:idx val="0"/>
          <c:order val="0"/>
          <c:tx>
            <c:v>CCS</c:v>
          </c:tx>
          <c:spPr>
            <a:solidFill>
              <a:schemeClr val="accent1"/>
            </a:solidFill>
            <a:ln>
              <a:noFill/>
            </a:ln>
            <a:effectLst/>
          </c:spPr>
          <c:invertIfNegative val="0"/>
          <c:cat>
            <c:strRef>
              <c:f>Expenditure!$A$17:$B$26</c:f>
              <c:strCache>
                <c:ptCount val="10"/>
                <c:pt idx="0">
                  <c:v>FDC</c:v>
                </c:pt>
                <c:pt idx="1">
                  <c:v>IHC</c:v>
                </c:pt>
                <c:pt idx="2">
                  <c:v>FDC</c:v>
                </c:pt>
                <c:pt idx="3">
                  <c:v>IHC</c:v>
                </c:pt>
                <c:pt idx="4">
                  <c:v>FDC</c:v>
                </c:pt>
                <c:pt idx="5">
                  <c:v>IHC</c:v>
                </c:pt>
                <c:pt idx="6">
                  <c:v>FDC</c:v>
                </c:pt>
                <c:pt idx="7">
                  <c:v>IHC</c:v>
                </c:pt>
                <c:pt idx="8">
                  <c:v>FDC</c:v>
                </c:pt>
                <c:pt idx="9">
                  <c:v>IHC</c:v>
                </c:pt>
              </c:strCache>
            </c:strRef>
          </c:cat>
          <c:val>
            <c:numRef>
              <c:f>Expenditure!$C$17:$C$26</c:f>
              <c:numCache>
                <c:formatCode>"$"#,##0.00</c:formatCode>
                <c:ptCount val="10"/>
                <c:pt idx="0">
                  <c:v>936212754.88339996</c:v>
                </c:pt>
                <c:pt idx="1">
                  <c:v>23120395.063900001</c:v>
                </c:pt>
                <c:pt idx="2">
                  <c:v>602810761.04890001</c:v>
                </c:pt>
                <c:pt idx="3">
                  <c:v>20187164.522799999</c:v>
                </c:pt>
                <c:pt idx="4">
                  <c:v>647034376.62950003</c:v>
                </c:pt>
                <c:pt idx="5">
                  <c:v>27705522.529599998</c:v>
                </c:pt>
                <c:pt idx="6">
                  <c:v>655899263.8154</c:v>
                </c:pt>
                <c:pt idx="7">
                  <c:v>16077541.9878</c:v>
                </c:pt>
                <c:pt idx="8">
                  <c:v>581271823.47640002</c:v>
                </c:pt>
                <c:pt idx="9">
                  <c:v>12826313.9111</c:v>
                </c:pt>
              </c:numCache>
            </c:numRef>
          </c:val>
          <c:extLst>
            <c:ext xmlns:c16="http://schemas.microsoft.com/office/drawing/2014/chart" uri="{C3380CC4-5D6E-409C-BE32-E72D297353CC}">
              <c16:uniqueId val="{00000000-0661-4169-AD2A-108A459E3C07}"/>
            </c:ext>
          </c:extLst>
        </c:ser>
        <c:ser>
          <c:idx val="1"/>
          <c:order val="1"/>
          <c:tx>
            <c:v>ACCS</c:v>
          </c:tx>
          <c:spPr>
            <a:solidFill>
              <a:schemeClr val="accent2"/>
            </a:solidFill>
            <a:ln>
              <a:noFill/>
            </a:ln>
            <a:effectLst/>
          </c:spPr>
          <c:invertIfNegative val="0"/>
          <c:cat>
            <c:strRef>
              <c:f>Expenditure!$A$17:$B$26</c:f>
              <c:strCache>
                <c:ptCount val="10"/>
                <c:pt idx="0">
                  <c:v>FDC</c:v>
                </c:pt>
                <c:pt idx="1">
                  <c:v>IHC</c:v>
                </c:pt>
                <c:pt idx="2">
                  <c:v>FDC</c:v>
                </c:pt>
                <c:pt idx="3">
                  <c:v>IHC</c:v>
                </c:pt>
                <c:pt idx="4">
                  <c:v>FDC</c:v>
                </c:pt>
                <c:pt idx="5">
                  <c:v>IHC</c:v>
                </c:pt>
                <c:pt idx="6">
                  <c:v>FDC</c:v>
                </c:pt>
                <c:pt idx="7">
                  <c:v>IHC</c:v>
                </c:pt>
                <c:pt idx="8">
                  <c:v>FDC</c:v>
                </c:pt>
                <c:pt idx="9">
                  <c:v>IHC</c:v>
                </c:pt>
              </c:strCache>
            </c:strRef>
          </c:cat>
          <c:val>
            <c:numRef>
              <c:f>Expenditure!$D$17:$D$26</c:f>
              <c:numCache>
                <c:formatCode>"$"#,##0.00</c:formatCode>
                <c:ptCount val="10"/>
                <c:pt idx="0">
                  <c:v>3917200.0405000001</c:v>
                </c:pt>
                <c:pt idx="1">
                  <c:v>4906711.7200999996</c:v>
                </c:pt>
                <c:pt idx="2">
                  <c:v>3147920.7255000002</c:v>
                </c:pt>
                <c:pt idx="3">
                  <c:v>5045472.3794</c:v>
                </c:pt>
                <c:pt idx="4">
                  <c:v>4091157.6000999999</c:v>
                </c:pt>
                <c:pt idx="5">
                  <c:v>7345160.8184000002</c:v>
                </c:pt>
                <c:pt idx="6">
                  <c:v>19956118.340100002</c:v>
                </c:pt>
                <c:pt idx="7">
                  <c:v>21965576.946800001</c:v>
                </c:pt>
                <c:pt idx="8">
                  <c:v>16576520.393300001</c:v>
                </c:pt>
                <c:pt idx="9">
                  <c:v>18040314.8587</c:v>
                </c:pt>
              </c:numCache>
            </c:numRef>
          </c:val>
          <c:extLst>
            <c:ext xmlns:c16="http://schemas.microsoft.com/office/drawing/2014/chart" uri="{C3380CC4-5D6E-409C-BE32-E72D297353CC}">
              <c16:uniqueId val="{00000001-0661-4169-AD2A-108A459E3C07}"/>
            </c:ext>
          </c:extLst>
        </c:ser>
        <c:dLbls>
          <c:showLegendKey val="0"/>
          <c:showVal val="0"/>
          <c:showCatName val="0"/>
          <c:showSerName val="0"/>
          <c:showPercent val="0"/>
          <c:showBubbleSize val="0"/>
        </c:dLbls>
        <c:gapWidth val="150"/>
        <c:overlap val="100"/>
        <c:axId val="141472400"/>
        <c:axId val="141472816"/>
      </c:barChart>
      <c:catAx>
        <c:axId val="1414724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AU"/>
                  <a:t>2018-19	 2019-20	2020-21	2021-22	2022-23</a:t>
                </a:r>
              </a:p>
            </c:rich>
          </c:tx>
          <c:layout>
            <c:manualLayout>
              <c:xMode val="edge"/>
              <c:yMode val="edge"/>
              <c:x val="0.17650306748466257"/>
              <c:y val="0.889610389610389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1472816"/>
        <c:crosses val="autoZero"/>
        <c:auto val="1"/>
        <c:lblAlgn val="ctr"/>
        <c:lblOffset val="100"/>
        <c:noMultiLvlLbl val="0"/>
      </c:catAx>
      <c:valAx>
        <c:axId val="141472816"/>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1472400"/>
        <c:crosses val="autoZero"/>
        <c:crossBetween val="between"/>
        <c:majorUnit val="200000000"/>
        <c:dispUnits>
          <c:builtInUnit val="millions"/>
          <c:dispUnitsLbl>
            <c:layout>
              <c:manualLayout>
                <c:xMode val="edge"/>
                <c:yMode val="edge"/>
                <c:x val="8.122855974831587E-3"/>
                <c:y val="0.32898845497886525"/>
              </c:manualLayout>
            </c:layout>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dispUnitsLbl>
        </c:dispUnits>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219135951564336E-2"/>
          <c:y val="6.8608583018031841E-2"/>
          <c:w val="0.75233499186834774"/>
          <c:h val="0.81026587585642706"/>
        </c:manualLayout>
      </c:layout>
      <c:barChart>
        <c:barDir val="bar"/>
        <c:grouping val="clustered"/>
        <c:varyColors val="0"/>
        <c:ser>
          <c:idx val="0"/>
          <c:order val="0"/>
          <c:tx>
            <c:strRef>
              <c:f>Tables!$A$30</c:f>
              <c:strCache>
                <c:ptCount val="1"/>
                <c:pt idx="0">
                  <c:v>All families</c:v>
                </c:pt>
              </c:strCache>
            </c:strRef>
          </c:tx>
          <c:spPr>
            <a:solidFill>
              <a:schemeClr val="accent1"/>
            </a:solidFill>
            <a:ln>
              <a:noFill/>
            </a:ln>
            <a:effectLst/>
          </c:spPr>
          <c:invertIfNegative val="0"/>
          <c:cat>
            <c:strRef>
              <c:f>Tables!$B$29:$F$29</c:f>
              <c:strCache>
                <c:ptCount val="5"/>
                <c:pt idx="0">
                  <c:v>2019</c:v>
                </c:pt>
                <c:pt idx="1">
                  <c:v>2020</c:v>
                </c:pt>
                <c:pt idx="2">
                  <c:v>2021</c:v>
                </c:pt>
                <c:pt idx="3">
                  <c:v>2022</c:v>
                </c:pt>
                <c:pt idx="4">
                  <c:v>2023*</c:v>
                </c:pt>
              </c:strCache>
            </c:strRef>
          </c:cat>
          <c:val>
            <c:numRef>
              <c:f>Tables!$B$30:$F$30</c:f>
              <c:numCache>
                <c:formatCode>"$"#,##0.00_);[Red]\("$"#,##0.00\)</c:formatCode>
                <c:ptCount val="5"/>
                <c:pt idx="0">
                  <c:v>26.13</c:v>
                </c:pt>
                <c:pt idx="1">
                  <c:v>23.93</c:v>
                </c:pt>
                <c:pt idx="2">
                  <c:v>28.05</c:v>
                </c:pt>
                <c:pt idx="3">
                  <c:v>29.91</c:v>
                </c:pt>
                <c:pt idx="4">
                  <c:v>32.61</c:v>
                </c:pt>
              </c:numCache>
            </c:numRef>
          </c:val>
          <c:extLst>
            <c:ext xmlns:c16="http://schemas.microsoft.com/office/drawing/2014/chart" uri="{C3380CC4-5D6E-409C-BE32-E72D297353CC}">
              <c16:uniqueId val="{00000000-FF54-4218-BDCA-C2DE28DA0A1F}"/>
            </c:ext>
          </c:extLst>
        </c:ser>
        <c:ser>
          <c:idx val="1"/>
          <c:order val="1"/>
          <c:tx>
            <c:strRef>
              <c:f>Tables!$A$31</c:f>
              <c:strCache>
                <c:ptCount val="1"/>
                <c:pt idx="0">
                  <c:v>Families only eligible for CCS</c:v>
                </c:pt>
              </c:strCache>
            </c:strRef>
          </c:tx>
          <c:spPr>
            <a:solidFill>
              <a:schemeClr val="accent2"/>
            </a:solidFill>
            <a:ln>
              <a:noFill/>
            </a:ln>
            <a:effectLst/>
          </c:spPr>
          <c:invertIfNegative val="0"/>
          <c:cat>
            <c:strRef>
              <c:f>Tables!$B$29:$F$29</c:f>
              <c:strCache>
                <c:ptCount val="5"/>
                <c:pt idx="0">
                  <c:v>2019</c:v>
                </c:pt>
                <c:pt idx="1">
                  <c:v>2020</c:v>
                </c:pt>
                <c:pt idx="2">
                  <c:v>2021</c:v>
                </c:pt>
                <c:pt idx="3">
                  <c:v>2022</c:v>
                </c:pt>
                <c:pt idx="4">
                  <c:v>2023*</c:v>
                </c:pt>
              </c:strCache>
            </c:strRef>
          </c:cat>
          <c:val>
            <c:numRef>
              <c:f>Tables!$B$31:$F$31</c:f>
              <c:numCache>
                <c:formatCode>"$"#,##0.00_);[Red]\("$"#,##0.00\)</c:formatCode>
                <c:ptCount val="5"/>
                <c:pt idx="0">
                  <c:v>33.909999999999997</c:v>
                </c:pt>
                <c:pt idx="1">
                  <c:v>31.58</c:v>
                </c:pt>
                <c:pt idx="2">
                  <c:v>37.770000000000003</c:v>
                </c:pt>
                <c:pt idx="3">
                  <c:v>40.32</c:v>
                </c:pt>
                <c:pt idx="4">
                  <c:v>40.65</c:v>
                </c:pt>
              </c:numCache>
            </c:numRef>
          </c:val>
          <c:extLst>
            <c:ext xmlns:c16="http://schemas.microsoft.com/office/drawing/2014/chart" uri="{C3380CC4-5D6E-409C-BE32-E72D297353CC}">
              <c16:uniqueId val="{00000001-FF54-4218-BDCA-C2DE28DA0A1F}"/>
            </c:ext>
          </c:extLst>
        </c:ser>
        <c:ser>
          <c:idx val="2"/>
          <c:order val="2"/>
          <c:tx>
            <c:strRef>
              <c:f>Tables!$A$32</c:f>
              <c:strCache>
                <c:ptCount val="1"/>
                <c:pt idx="0">
                  <c:v>Families eligible for ACCS</c:v>
                </c:pt>
              </c:strCache>
            </c:strRef>
          </c:tx>
          <c:spPr>
            <a:solidFill>
              <a:schemeClr val="accent5"/>
            </a:solidFill>
            <a:ln>
              <a:noFill/>
            </a:ln>
            <a:effectLst/>
          </c:spPr>
          <c:invertIfNegative val="0"/>
          <c:cat>
            <c:strRef>
              <c:f>Tables!$B$29:$F$29</c:f>
              <c:strCache>
                <c:ptCount val="5"/>
                <c:pt idx="0">
                  <c:v>2019</c:v>
                </c:pt>
                <c:pt idx="1">
                  <c:v>2020</c:v>
                </c:pt>
                <c:pt idx="2">
                  <c:v>2021</c:v>
                </c:pt>
                <c:pt idx="3">
                  <c:v>2022</c:v>
                </c:pt>
                <c:pt idx="4">
                  <c:v>2023*</c:v>
                </c:pt>
              </c:strCache>
            </c:strRef>
          </c:cat>
          <c:val>
            <c:numRef>
              <c:f>Tables!$B$32:$F$32</c:f>
              <c:numCache>
                <c:formatCode>"$"#,##0.00_);[Red]\("$"#,##0.00\)</c:formatCode>
                <c:ptCount val="5"/>
                <c:pt idx="0">
                  <c:v>5.61</c:v>
                </c:pt>
                <c:pt idx="1">
                  <c:v>5.97</c:v>
                </c:pt>
                <c:pt idx="2">
                  <c:v>8.01</c:v>
                </c:pt>
                <c:pt idx="3">
                  <c:v>9.0299999999999994</c:v>
                </c:pt>
                <c:pt idx="4">
                  <c:v>10.97</c:v>
                </c:pt>
              </c:numCache>
            </c:numRef>
          </c:val>
          <c:extLst>
            <c:ext xmlns:c16="http://schemas.microsoft.com/office/drawing/2014/chart" uri="{C3380CC4-5D6E-409C-BE32-E72D297353CC}">
              <c16:uniqueId val="{00000002-FF54-4218-BDCA-C2DE28DA0A1F}"/>
            </c:ext>
          </c:extLst>
        </c:ser>
        <c:dLbls>
          <c:showLegendKey val="0"/>
          <c:showVal val="0"/>
          <c:showCatName val="0"/>
          <c:showSerName val="0"/>
          <c:showPercent val="0"/>
          <c:showBubbleSize val="0"/>
        </c:dLbls>
        <c:gapWidth val="182"/>
        <c:axId val="308211184"/>
        <c:axId val="308233648"/>
      </c:barChart>
      <c:catAx>
        <c:axId val="3082111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08233648"/>
        <c:crosses val="autoZero"/>
        <c:auto val="1"/>
        <c:lblAlgn val="ctr"/>
        <c:lblOffset val="100"/>
        <c:noMultiLvlLbl val="0"/>
      </c:catAx>
      <c:valAx>
        <c:axId val="308233648"/>
        <c:scaling>
          <c:orientation val="minMax"/>
          <c:max val="40"/>
          <c:min val="0"/>
        </c:scaling>
        <c:delete val="0"/>
        <c:axPos val="t"/>
        <c:majorGridlines>
          <c:spPr>
            <a:ln w="9525" cap="flat" cmpd="sng" algn="ctr">
              <a:solidFill>
                <a:schemeClr val="tx1">
                  <a:lumMod val="15000"/>
                  <a:lumOff val="85000"/>
                </a:schemeClr>
              </a:solidFill>
              <a:round/>
            </a:ln>
            <a:effectLst/>
          </c:spPr>
        </c:majorGridlines>
        <c:numFmt formatCode="&quot;$&quot;#,##0_);[Red]\(&quot;$&quot;#,##0\)" sourceLinked="0"/>
        <c:majorTickMark val="none"/>
        <c:minorTickMark val="none"/>
        <c:tickLblPos val="high"/>
        <c:spPr>
          <a:noFill/>
          <a:ln>
            <a:noFill/>
          </a:ln>
          <a:effectLst/>
        </c:spPr>
        <c:txPr>
          <a:bodyPr rot="-60000000" spcFirstLastPara="1" vertOverflow="ellipsis" vert="horz" wrap="square" anchor="t" anchorCtr="0"/>
          <a:lstStyle/>
          <a:p>
            <a:pPr>
              <a:defRPr sz="900" b="0" i="0" u="none" strike="noStrike" kern="1200" baseline="0">
                <a:solidFill>
                  <a:schemeClr val="tx1"/>
                </a:solidFill>
                <a:latin typeface="+mn-lt"/>
                <a:ea typeface="+mn-ea"/>
                <a:cs typeface="+mn-cs"/>
              </a:defRPr>
            </a:pPr>
            <a:endParaRPr lang="en-US"/>
          </a:p>
        </c:txPr>
        <c:crossAx val="308211184"/>
        <c:crosses val="autoZero"/>
        <c:crossBetween val="between"/>
        <c:majorUnit val="8"/>
        <c:minorUnit val="2"/>
      </c:valAx>
      <c:spPr>
        <a:noFill/>
        <a:ln>
          <a:noFill/>
        </a:ln>
        <a:effectLst/>
      </c:spPr>
    </c:plotArea>
    <c:legend>
      <c:legendPos val="tr"/>
      <c:layout>
        <c:manualLayout>
          <c:xMode val="edge"/>
          <c:yMode val="edge"/>
          <c:x val="0.84433521730029149"/>
          <c:y val="5.1948051948051951E-2"/>
          <c:w val="0.14339484404940181"/>
          <c:h val="0.427260456079353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786447296946798E-2"/>
          <c:y val="3.7483266398929051E-2"/>
          <c:w val="0.91142507124459038"/>
          <c:h val="0.79154202110278382"/>
        </c:manualLayout>
      </c:layout>
      <c:barChart>
        <c:barDir val="col"/>
        <c:grouping val="clustered"/>
        <c:varyColors val="0"/>
        <c:ser>
          <c:idx val="0"/>
          <c:order val="0"/>
          <c:tx>
            <c:strRef>
              <c:f>Tables!$B$1</c:f>
              <c:strCache>
                <c:ptCount val="1"/>
                <c:pt idx="0">
                  <c:v>2019</c:v>
                </c:pt>
              </c:strCache>
            </c:strRef>
          </c:tx>
          <c:spPr>
            <a:solidFill>
              <a:schemeClr val="accent1"/>
            </a:solidFill>
            <a:ln>
              <a:noFill/>
            </a:ln>
            <a:effectLst/>
          </c:spPr>
          <c:invertIfNegative val="0"/>
          <c:cat>
            <c:strRef>
              <c:f>Tables!$A$2:$A$7</c:f>
              <c:strCache>
                <c:ptCount val="6"/>
                <c:pt idx="0">
                  <c:v>Major Cities</c:v>
                </c:pt>
                <c:pt idx="1">
                  <c:v>Inner Regional</c:v>
                </c:pt>
                <c:pt idx="2">
                  <c:v>Outer Regional</c:v>
                </c:pt>
                <c:pt idx="3">
                  <c:v>Remote</c:v>
                </c:pt>
                <c:pt idx="4">
                  <c:v>Very Remote</c:v>
                </c:pt>
                <c:pt idx="5">
                  <c:v>Australia</c:v>
                </c:pt>
              </c:strCache>
            </c:strRef>
          </c:cat>
          <c:val>
            <c:numRef>
              <c:f>Tables!$B$2:$B$7</c:f>
              <c:numCache>
                <c:formatCode>"$"#,##0.00_);[Red]\("$"#,##0.00\)</c:formatCode>
                <c:ptCount val="6"/>
                <c:pt idx="0">
                  <c:v>26.25</c:v>
                </c:pt>
                <c:pt idx="1">
                  <c:v>22.32</c:v>
                </c:pt>
                <c:pt idx="2">
                  <c:v>27.48</c:v>
                </c:pt>
                <c:pt idx="3">
                  <c:v>27.44</c:v>
                </c:pt>
                <c:pt idx="4">
                  <c:v>34.76</c:v>
                </c:pt>
                <c:pt idx="5">
                  <c:v>26.13</c:v>
                </c:pt>
              </c:numCache>
            </c:numRef>
          </c:val>
          <c:extLst>
            <c:ext xmlns:c16="http://schemas.microsoft.com/office/drawing/2014/chart" uri="{C3380CC4-5D6E-409C-BE32-E72D297353CC}">
              <c16:uniqueId val="{00000000-52DF-4392-A58B-F9F94997605A}"/>
            </c:ext>
          </c:extLst>
        </c:ser>
        <c:ser>
          <c:idx val="1"/>
          <c:order val="1"/>
          <c:tx>
            <c:strRef>
              <c:f>Tables!$C$1</c:f>
              <c:strCache>
                <c:ptCount val="1"/>
                <c:pt idx="0">
                  <c:v>2020</c:v>
                </c:pt>
              </c:strCache>
            </c:strRef>
          </c:tx>
          <c:spPr>
            <a:solidFill>
              <a:schemeClr val="accent2"/>
            </a:solidFill>
            <a:ln>
              <a:noFill/>
            </a:ln>
            <a:effectLst/>
          </c:spPr>
          <c:invertIfNegative val="0"/>
          <c:cat>
            <c:strRef>
              <c:f>Tables!$A$2:$A$7</c:f>
              <c:strCache>
                <c:ptCount val="6"/>
                <c:pt idx="0">
                  <c:v>Major Cities</c:v>
                </c:pt>
                <c:pt idx="1">
                  <c:v>Inner Regional</c:v>
                </c:pt>
                <c:pt idx="2">
                  <c:v>Outer Regional</c:v>
                </c:pt>
                <c:pt idx="3">
                  <c:v>Remote</c:v>
                </c:pt>
                <c:pt idx="4">
                  <c:v>Very Remote</c:v>
                </c:pt>
                <c:pt idx="5">
                  <c:v>Australia</c:v>
                </c:pt>
              </c:strCache>
            </c:strRef>
          </c:cat>
          <c:val>
            <c:numRef>
              <c:f>Tables!$C$2:$C$7</c:f>
              <c:numCache>
                <c:formatCode>"$"#,##0.00_);[Red]\("$"#,##0.00\)</c:formatCode>
                <c:ptCount val="6"/>
                <c:pt idx="0">
                  <c:v>22.48</c:v>
                </c:pt>
                <c:pt idx="1">
                  <c:v>20.54</c:v>
                </c:pt>
                <c:pt idx="2">
                  <c:v>28.36</c:v>
                </c:pt>
                <c:pt idx="3">
                  <c:v>27.16</c:v>
                </c:pt>
                <c:pt idx="4">
                  <c:v>36.96</c:v>
                </c:pt>
                <c:pt idx="5">
                  <c:v>23.93</c:v>
                </c:pt>
              </c:numCache>
            </c:numRef>
          </c:val>
          <c:extLst>
            <c:ext xmlns:c16="http://schemas.microsoft.com/office/drawing/2014/chart" uri="{C3380CC4-5D6E-409C-BE32-E72D297353CC}">
              <c16:uniqueId val="{00000001-52DF-4392-A58B-F9F94997605A}"/>
            </c:ext>
          </c:extLst>
        </c:ser>
        <c:ser>
          <c:idx val="2"/>
          <c:order val="2"/>
          <c:tx>
            <c:strRef>
              <c:f>Tables!$D$1</c:f>
              <c:strCache>
                <c:ptCount val="1"/>
                <c:pt idx="0">
                  <c:v>2021</c:v>
                </c:pt>
              </c:strCache>
            </c:strRef>
          </c:tx>
          <c:spPr>
            <a:solidFill>
              <a:schemeClr val="accent5"/>
            </a:solidFill>
            <a:ln>
              <a:noFill/>
            </a:ln>
            <a:effectLst/>
          </c:spPr>
          <c:invertIfNegative val="0"/>
          <c:cat>
            <c:strRef>
              <c:f>Tables!$A$2:$A$7</c:f>
              <c:strCache>
                <c:ptCount val="6"/>
                <c:pt idx="0">
                  <c:v>Major Cities</c:v>
                </c:pt>
                <c:pt idx="1">
                  <c:v>Inner Regional</c:v>
                </c:pt>
                <c:pt idx="2">
                  <c:v>Outer Regional</c:v>
                </c:pt>
                <c:pt idx="3">
                  <c:v>Remote</c:v>
                </c:pt>
                <c:pt idx="4">
                  <c:v>Very Remote</c:v>
                </c:pt>
                <c:pt idx="5">
                  <c:v>Australia</c:v>
                </c:pt>
              </c:strCache>
            </c:strRef>
          </c:cat>
          <c:val>
            <c:numRef>
              <c:f>Tables!$D$2:$D$7</c:f>
              <c:numCache>
                <c:formatCode>"$"#,##0.00_);[Red]\("$"#,##0.00\)</c:formatCode>
                <c:ptCount val="6"/>
                <c:pt idx="0">
                  <c:v>25.69</c:v>
                </c:pt>
                <c:pt idx="1">
                  <c:v>23.62</c:v>
                </c:pt>
                <c:pt idx="2">
                  <c:v>31.83</c:v>
                </c:pt>
                <c:pt idx="3">
                  <c:v>32.549999999999997</c:v>
                </c:pt>
                <c:pt idx="4">
                  <c:v>48.69</c:v>
                </c:pt>
                <c:pt idx="5">
                  <c:v>28.05</c:v>
                </c:pt>
              </c:numCache>
            </c:numRef>
          </c:val>
          <c:extLst>
            <c:ext xmlns:c16="http://schemas.microsoft.com/office/drawing/2014/chart" uri="{C3380CC4-5D6E-409C-BE32-E72D297353CC}">
              <c16:uniqueId val="{00000002-52DF-4392-A58B-F9F94997605A}"/>
            </c:ext>
          </c:extLst>
        </c:ser>
        <c:ser>
          <c:idx val="3"/>
          <c:order val="3"/>
          <c:tx>
            <c:strRef>
              <c:f>Tables!$E$1</c:f>
              <c:strCache>
                <c:ptCount val="1"/>
                <c:pt idx="0">
                  <c:v>2022</c:v>
                </c:pt>
              </c:strCache>
            </c:strRef>
          </c:tx>
          <c:spPr>
            <a:solidFill>
              <a:schemeClr val="accent6"/>
            </a:solidFill>
            <a:ln>
              <a:noFill/>
            </a:ln>
            <a:effectLst/>
          </c:spPr>
          <c:invertIfNegative val="0"/>
          <c:cat>
            <c:strRef>
              <c:f>Tables!$A$2:$A$7</c:f>
              <c:strCache>
                <c:ptCount val="6"/>
                <c:pt idx="0">
                  <c:v>Major Cities</c:v>
                </c:pt>
                <c:pt idx="1">
                  <c:v>Inner Regional</c:v>
                </c:pt>
                <c:pt idx="2">
                  <c:v>Outer Regional</c:v>
                </c:pt>
                <c:pt idx="3">
                  <c:v>Remote</c:v>
                </c:pt>
                <c:pt idx="4">
                  <c:v>Very Remote</c:v>
                </c:pt>
                <c:pt idx="5">
                  <c:v>Australia</c:v>
                </c:pt>
              </c:strCache>
            </c:strRef>
          </c:cat>
          <c:val>
            <c:numRef>
              <c:f>Tables!$E$2:$E$7</c:f>
              <c:numCache>
                <c:formatCode>"$"#,##0.00_);[Red]\("$"#,##0.00\)</c:formatCode>
                <c:ptCount val="6"/>
                <c:pt idx="0">
                  <c:v>26.31</c:v>
                </c:pt>
                <c:pt idx="1">
                  <c:v>25.03</c:v>
                </c:pt>
                <c:pt idx="2">
                  <c:v>32.93</c:v>
                </c:pt>
                <c:pt idx="3">
                  <c:v>42.04</c:v>
                </c:pt>
                <c:pt idx="4">
                  <c:v>49</c:v>
                </c:pt>
                <c:pt idx="5">
                  <c:v>29.91</c:v>
                </c:pt>
              </c:numCache>
            </c:numRef>
          </c:val>
          <c:extLst>
            <c:ext xmlns:c16="http://schemas.microsoft.com/office/drawing/2014/chart" uri="{C3380CC4-5D6E-409C-BE32-E72D297353CC}">
              <c16:uniqueId val="{00000003-52DF-4392-A58B-F9F94997605A}"/>
            </c:ext>
          </c:extLst>
        </c:ser>
        <c:ser>
          <c:idx val="4"/>
          <c:order val="4"/>
          <c:tx>
            <c:strRef>
              <c:f>Tables!$F$1</c:f>
              <c:strCache>
                <c:ptCount val="1"/>
                <c:pt idx="0">
                  <c:v>2023*</c:v>
                </c:pt>
              </c:strCache>
            </c:strRef>
          </c:tx>
          <c:spPr>
            <a:solidFill>
              <a:schemeClr val="accent3"/>
            </a:solidFill>
            <a:ln>
              <a:noFill/>
            </a:ln>
            <a:effectLst/>
          </c:spPr>
          <c:invertIfNegative val="0"/>
          <c:cat>
            <c:strRef>
              <c:f>Tables!$A$2:$A$7</c:f>
              <c:strCache>
                <c:ptCount val="6"/>
                <c:pt idx="0">
                  <c:v>Major Cities</c:v>
                </c:pt>
                <c:pt idx="1">
                  <c:v>Inner Regional</c:v>
                </c:pt>
                <c:pt idx="2">
                  <c:v>Outer Regional</c:v>
                </c:pt>
                <c:pt idx="3">
                  <c:v>Remote</c:v>
                </c:pt>
                <c:pt idx="4">
                  <c:v>Very Remote</c:v>
                </c:pt>
                <c:pt idx="5">
                  <c:v>Australia</c:v>
                </c:pt>
              </c:strCache>
            </c:strRef>
          </c:cat>
          <c:val>
            <c:numRef>
              <c:f>Tables!$F$2:$F$7</c:f>
              <c:numCache>
                <c:formatCode>"$"#,##0.00_);[Red]\("$"#,##0.00\)</c:formatCode>
                <c:ptCount val="6"/>
                <c:pt idx="0">
                  <c:v>27.42</c:v>
                </c:pt>
                <c:pt idx="1">
                  <c:v>31.75</c:v>
                </c:pt>
                <c:pt idx="2">
                  <c:v>38.49</c:v>
                </c:pt>
                <c:pt idx="3">
                  <c:v>46.87</c:v>
                </c:pt>
                <c:pt idx="4">
                  <c:v>50.8</c:v>
                </c:pt>
                <c:pt idx="5">
                  <c:v>32.61</c:v>
                </c:pt>
              </c:numCache>
            </c:numRef>
          </c:val>
          <c:extLst>
            <c:ext xmlns:c16="http://schemas.microsoft.com/office/drawing/2014/chart" uri="{C3380CC4-5D6E-409C-BE32-E72D297353CC}">
              <c16:uniqueId val="{00000004-52DF-4392-A58B-F9F94997605A}"/>
            </c:ext>
          </c:extLst>
        </c:ser>
        <c:dLbls>
          <c:showLegendKey val="0"/>
          <c:showVal val="0"/>
          <c:showCatName val="0"/>
          <c:showSerName val="0"/>
          <c:showPercent val="0"/>
          <c:showBubbleSize val="0"/>
        </c:dLbls>
        <c:gapWidth val="219"/>
        <c:overlap val="-27"/>
        <c:axId val="1050127648"/>
        <c:axId val="1050130976"/>
      </c:barChart>
      <c:catAx>
        <c:axId val="105012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50130976"/>
        <c:crosses val="autoZero"/>
        <c:auto val="1"/>
        <c:lblAlgn val="ctr"/>
        <c:lblOffset val="100"/>
        <c:noMultiLvlLbl val="0"/>
      </c:catAx>
      <c:valAx>
        <c:axId val="1050130976"/>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quot;$&quot;#,##0_);[Red]\(&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50127648"/>
        <c:crosses val="autoZero"/>
        <c:crossBetween val="between"/>
        <c:majorUnit val="10"/>
      </c:valAx>
      <c:spPr>
        <a:noFill/>
        <a:ln>
          <a:noFill/>
        </a:ln>
        <a:effectLst/>
      </c:spPr>
    </c:plotArea>
    <c:legend>
      <c:legendPos val="b"/>
      <c:layout>
        <c:manualLayout>
          <c:xMode val="edge"/>
          <c:yMode val="edge"/>
          <c:x val="0.31915145939262252"/>
          <c:y val="0.914594229938125"/>
          <c:w val="0.36998380174510503"/>
          <c:h val="8.54057700618747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PwC">
  <a:themeElements>
    <a:clrScheme name="PwC-proposed-TB">
      <a:dk1>
        <a:srgbClr val="000000"/>
      </a:dk1>
      <a:lt1>
        <a:srgbClr val="FFFFFF"/>
      </a:lt1>
      <a:dk2>
        <a:srgbClr val="7D7D7D"/>
      </a:dk2>
      <a:lt2>
        <a:srgbClr val="DEDEDE"/>
      </a:lt2>
      <a:accent1>
        <a:srgbClr val="D04A02"/>
      </a:accent1>
      <a:accent2>
        <a:srgbClr val="FFB600"/>
      </a:accent2>
      <a:accent3>
        <a:srgbClr val="E0301E"/>
      </a:accent3>
      <a:accent4>
        <a:srgbClr val="EB8C00"/>
      </a:accent4>
      <a:accent5>
        <a:srgbClr val="DB536A"/>
      </a:accent5>
      <a:accent6>
        <a:srgbClr val="464646"/>
      </a:accent6>
      <a:hlink>
        <a:srgbClr val="D04A02"/>
      </a:hlink>
      <a:folHlink>
        <a:srgbClr val="DB536A"/>
      </a:folHlink>
    </a:clrScheme>
    <a:fontScheme name="PWC-2018">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defRPr sz="1200" dirty="0"/>
        </a:defPPr>
      </a:lstStyle>
    </a:txDef>
  </a:objectDefaults>
  <a:extraClrSchemeLst/>
  <a:custClrLst>
    <a:custClr name="Dark Orange 2">
      <a:srgbClr val="571F01"/>
    </a:custClr>
    <a:custClr name="Dark Orange 1">
      <a:srgbClr val="933401"/>
    </a:custClr>
    <a:custClr name="Primary Orange">
      <a:srgbClr val="D04A02"/>
    </a:custClr>
    <a:custClr name="Light Orange 1">
      <a:srgbClr val="FD6412"/>
    </a:custClr>
    <a:custClr name="Light Orange 2">
      <a:srgbClr val="FEB791"/>
    </a:custClr>
    <a:custClr name="Dark Yellow 2">
      <a:srgbClr val="855F00"/>
    </a:custClr>
    <a:custClr name="Dark Yellow 1">
      <a:srgbClr val="C28A00"/>
    </a:custClr>
    <a:custClr name="Primary Yellow">
      <a:srgbClr val="FFB600"/>
    </a:custClr>
    <a:custClr name="Light Yellow 1">
      <a:srgbClr val="FFC83D"/>
    </a:custClr>
    <a:custClr name="Light Yellow 2">
      <a:srgbClr val="FFECBD"/>
    </a:custClr>
    <a:custClr name="Dark Red 2">
      <a:srgbClr val="741910"/>
    </a:custClr>
    <a:custClr name="Dark Red 1">
      <a:srgbClr val="AA2417"/>
    </a:custClr>
    <a:custClr name="Primary Red">
      <a:srgbClr val="E0301E"/>
    </a:custClr>
    <a:custClr name="Light Red 1">
      <a:srgbClr val="E86153"/>
    </a:custClr>
    <a:custClr name="Light Red 2">
      <a:srgbClr val="F7C8C4"/>
    </a:custClr>
    <a:custClr name="Dark Tangerine 2">
      <a:srgbClr val="714300"/>
    </a:custClr>
    <a:custClr name="Dark Tangerine 1">
      <a:srgbClr val="AE6800"/>
    </a:custClr>
    <a:custClr name="Primary Tangerine">
      <a:srgbClr val="EB8C00"/>
    </a:custClr>
    <a:custClr name="Light Tangerine 1">
      <a:srgbClr val="FFA929"/>
    </a:custClr>
    <a:custClr name="Light Tangerine 2">
      <a:srgbClr val="FFDCA9"/>
    </a:custClr>
    <a:custClr name="Dark Rose 2">
      <a:srgbClr val="6E2A35"/>
    </a:custClr>
    <a:custClr name="Dark Rose 1">
      <a:srgbClr val="A43E50"/>
    </a:custClr>
    <a:custClr name="Primary Rose">
      <a:srgbClr val="DB536A"/>
    </a:custClr>
    <a:custClr name="Light Rose 1">
      <a:srgbClr val="E27588"/>
    </a:custClr>
    <a:custClr name="Light Rose 2">
      <a:srgbClr val="F1BAC3"/>
    </a:custClr>
    <a:custClr name="Black">
      <a:srgbClr val="000000"/>
    </a:custClr>
    <a:custClr name="Dark Grey">
      <a:srgbClr val="2D2D2D"/>
    </a:custClr>
    <a:custClr name="Medium Grey">
      <a:srgbClr val="464646"/>
    </a:custClr>
    <a:custClr name="Grey">
      <a:srgbClr val="7D7D7D"/>
    </a:custClr>
    <a:custClr name="Light Grey">
      <a:srgbClr val="DEDEDE"/>
    </a:custClr>
    <a:custClr name="Dark Purple 2">
      <a:srgbClr val="4B06B2"/>
    </a:custClr>
    <a:custClr name="Dark Purple 1">
      <a:srgbClr val="6A1CE2"/>
    </a:custClr>
    <a:custClr name="Secondary Purple">
      <a:srgbClr val="9013FE"/>
    </a:custClr>
    <a:custClr name="Light Purple 1">
      <a:srgbClr val="B15AFE"/>
    </a:custClr>
    <a:custClr name="Light Purple 2">
      <a:srgbClr val="DEB8FF"/>
    </a:custClr>
    <a:custClr name="Dark Blue 2">
      <a:srgbClr val="003DAB"/>
    </a:custClr>
    <a:custClr name="Dark Blue 1">
      <a:srgbClr val="0060D7"/>
    </a:custClr>
    <a:custClr name="Secondary Blue">
      <a:srgbClr val="0089EB"/>
    </a:custClr>
    <a:custClr name="Light Blue 1">
      <a:srgbClr val="4DACF1"/>
    </a:custClr>
    <a:custClr name="Light Blue 2">
      <a:srgbClr val="B3DCF9"/>
    </a:custClr>
    <a:custClr name="Dark Green 2">
      <a:srgbClr val="175C2C"/>
    </a:custClr>
    <a:custClr name="Dark Green 1">
      <a:srgbClr val="2C8646"/>
    </a:custClr>
    <a:custClr name="Secondary Green">
      <a:srgbClr val="4EB523"/>
    </a:custClr>
    <a:custClr name="Light Green 1">
      <a:srgbClr val="86DB4F"/>
    </a:custClr>
    <a:custClr name="Light Green 2">
      <a:srgbClr val="C4FC9F"/>
    </a:custClr>
    <a:custClr name="Status Red">
      <a:srgbClr val="E0301E"/>
    </a:custClr>
    <a:custClr name="Status Yellow">
      <a:srgbClr val="FFB600"/>
    </a:custClr>
    <a:custClr name="Status Green">
      <a:srgbClr val="175C2C"/>
    </a:custClr>
  </a:custClrLst>
  <a:extLst>
    <a:ext uri="{05A4C25C-085E-4340-85A3-A5531E510DB2}">
      <thm15:themeFamily xmlns:thm15="http://schemas.microsoft.com/office/thememl/2012/main" name="PwC" id="{4337A79A-24AB-436B-AF53-8F453277268C}" vid="{FB3FB6D7-EE6F-4C7B-B407-CCEE90D8CD8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55BB74E0E682E45AFF5B8A324DE45B8" ma:contentTypeVersion="" ma:contentTypeDescription="PDMS Document Site Content Type" ma:contentTypeScope="" ma:versionID="aefbe5f7eaaa40b9c1c04b86293445bf">
  <xsd:schema xmlns:xsd="http://www.w3.org/2001/XMLSchema" xmlns:xs="http://www.w3.org/2001/XMLSchema" xmlns:p="http://schemas.microsoft.com/office/2006/metadata/properties" xmlns:ns2="C8835A06-A579-4DC6-8085-774ADBC21361" targetNamespace="http://schemas.microsoft.com/office/2006/metadata/properties" ma:root="true" ma:fieldsID="b71910723621cbff5691682b7775c488" ns2:_="">
    <xsd:import namespace="C8835A06-A579-4DC6-8085-774ADBC21361"/>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35A06-A579-4DC6-8085-774ADBC21361"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C8835A06-A579-4DC6-8085-774ADBC21361" xsi:nil="true"/>
  </documentManagement>
</p:properties>
</file>

<file path=customXml/itemProps1.xml><?xml version="1.0" encoding="utf-8"?>
<ds:datastoreItem xmlns:ds="http://schemas.openxmlformats.org/officeDocument/2006/customXml" ds:itemID="{D27C6C74-6A85-420C-9A2C-F74A90B696D3}">
  <ds:schemaRefs>
    <ds:schemaRef ds:uri="http://schemas.microsoft.com/sharepoint/v3/contenttype/forms"/>
  </ds:schemaRefs>
</ds:datastoreItem>
</file>

<file path=customXml/itemProps2.xml><?xml version="1.0" encoding="utf-8"?>
<ds:datastoreItem xmlns:ds="http://schemas.openxmlformats.org/officeDocument/2006/customXml" ds:itemID="{1B2A00D8-FC93-49EC-892E-045F346C81E9}">
  <ds:schemaRefs>
    <ds:schemaRef ds:uri="http://schemas.openxmlformats.org/officeDocument/2006/bibliography"/>
  </ds:schemaRefs>
</ds:datastoreItem>
</file>

<file path=customXml/itemProps3.xml><?xml version="1.0" encoding="utf-8"?>
<ds:datastoreItem xmlns:ds="http://schemas.openxmlformats.org/officeDocument/2006/customXml" ds:itemID="{E23A95FA-0D0A-4E9B-BDE6-62D9A2C81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835A06-A579-4DC6-8085-774ADBC21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10B816-35AC-4F35-B7AE-1DA63EFA9D9E}">
  <ds:schemaRefs>
    <ds:schemaRef ds:uri="http://schemas.microsoft.com/office/2006/metadata/properties"/>
    <ds:schemaRef ds:uri="http://schemas.microsoft.com/office/infopath/2007/PartnerControls"/>
    <ds:schemaRef ds:uri="C8835A06-A579-4DC6-8085-774ADBC2136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63</Pages>
  <Words>21185</Words>
  <Characters>120757</Characters>
  <Application>Microsoft Office Word</Application>
  <DocSecurity>0</DocSecurity>
  <Lines>1006</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141659</CharactersWithSpaces>
  <SharedDoc>false</SharedDoc>
  <HLinks>
    <vt:vector size="174" baseType="variant">
      <vt:variant>
        <vt:i4>1638460</vt:i4>
      </vt:variant>
      <vt:variant>
        <vt:i4>170</vt:i4>
      </vt:variant>
      <vt:variant>
        <vt:i4>0</vt:i4>
      </vt:variant>
      <vt:variant>
        <vt:i4>5</vt:i4>
      </vt:variant>
      <vt:variant>
        <vt:lpwstr/>
      </vt:variant>
      <vt:variant>
        <vt:lpwstr>_Toc140149922</vt:lpwstr>
      </vt:variant>
      <vt:variant>
        <vt:i4>1638460</vt:i4>
      </vt:variant>
      <vt:variant>
        <vt:i4>164</vt:i4>
      </vt:variant>
      <vt:variant>
        <vt:i4>0</vt:i4>
      </vt:variant>
      <vt:variant>
        <vt:i4>5</vt:i4>
      </vt:variant>
      <vt:variant>
        <vt:lpwstr/>
      </vt:variant>
      <vt:variant>
        <vt:lpwstr>_Toc140149921</vt:lpwstr>
      </vt:variant>
      <vt:variant>
        <vt:i4>1638460</vt:i4>
      </vt:variant>
      <vt:variant>
        <vt:i4>158</vt:i4>
      </vt:variant>
      <vt:variant>
        <vt:i4>0</vt:i4>
      </vt:variant>
      <vt:variant>
        <vt:i4>5</vt:i4>
      </vt:variant>
      <vt:variant>
        <vt:lpwstr/>
      </vt:variant>
      <vt:variant>
        <vt:lpwstr>_Toc140149920</vt:lpwstr>
      </vt:variant>
      <vt:variant>
        <vt:i4>1703996</vt:i4>
      </vt:variant>
      <vt:variant>
        <vt:i4>152</vt:i4>
      </vt:variant>
      <vt:variant>
        <vt:i4>0</vt:i4>
      </vt:variant>
      <vt:variant>
        <vt:i4>5</vt:i4>
      </vt:variant>
      <vt:variant>
        <vt:lpwstr/>
      </vt:variant>
      <vt:variant>
        <vt:lpwstr>_Toc140149919</vt:lpwstr>
      </vt:variant>
      <vt:variant>
        <vt:i4>1703996</vt:i4>
      </vt:variant>
      <vt:variant>
        <vt:i4>146</vt:i4>
      </vt:variant>
      <vt:variant>
        <vt:i4>0</vt:i4>
      </vt:variant>
      <vt:variant>
        <vt:i4>5</vt:i4>
      </vt:variant>
      <vt:variant>
        <vt:lpwstr/>
      </vt:variant>
      <vt:variant>
        <vt:lpwstr>_Toc140149918</vt:lpwstr>
      </vt:variant>
      <vt:variant>
        <vt:i4>1703996</vt:i4>
      </vt:variant>
      <vt:variant>
        <vt:i4>140</vt:i4>
      </vt:variant>
      <vt:variant>
        <vt:i4>0</vt:i4>
      </vt:variant>
      <vt:variant>
        <vt:i4>5</vt:i4>
      </vt:variant>
      <vt:variant>
        <vt:lpwstr/>
      </vt:variant>
      <vt:variant>
        <vt:lpwstr>_Toc140149917</vt:lpwstr>
      </vt:variant>
      <vt:variant>
        <vt:i4>1703996</vt:i4>
      </vt:variant>
      <vt:variant>
        <vt:i4>134</vt:i4>
      </vt:variant>
      <vt:variant>
        <vt:i4>0</vt:i4>
      </vt:variant>
      <vt:variant>
        <vt:i4>5</vt:i4>
      </vt:variant>
      <vt:variant>
        <vt:lpwstr/>
      </vt:variant>
      <vt:variant>
        <vt:lpwstr>_Toc140149916</vt:lpwstr>
      </vt:variant>
      <vt:variant>
        <vt:i4>1703996</vt:i4>
      </vt:variant>
      <vt:variant>
        <vt:i4>128</vt:i4>
      </vt:variant>
      <vt:variant>
        <vt:i4>0</vt:i4>
      </vt:variant>
      <vt:variant>
        <vt:i4>5</vt:i4>
      </vt:variant>
      <vt:variant>
        <vt:lpwstr/>
      </vt:variant>
      <vt:variant>
        <vt:lpwstr>_Toc140149915</vt:lpwstr>
      </vt:variant>
      <vt:variant>
        <vt:i4>1703996</vt:i4>
      </vt:variant>
      <vt:variant>
        <vt:i4>122</vt:i4>
      </vt:variant>
      <vt:variant>
        <vt:i4>0</vt:i4>
      </vt:variant>
      <vt:variant>
        <vt:i4>5</vt:i4>
      </vt:variant>
      <vt:variant>
        <vt:lpwstr/>
      </vt:variant>
      <vt:variant>
        <vt:lpwstr>_Toc140149914</vt:lpwstr>
      </vt:variant>
      <vt:variant>
        <vt:i4>1703996</vt:i4>
      </vt:variant>
      <vt:variant>
        <vt:i4>116</vt:i4>
      </vt:variant>
      <vt:variant>
        <vt:i4>0</vt:i4>
      </vt:variant>
      <vt:variant>
        <vt:i4>5</vt:i4>
      </vt:variant>
      <vt:variant>
        <vt:lpwstr/>
      </vt:variant>
      <vt:variant>
        <vt:lpwstr>_Toc140149913</vt:lpwstr>
      </vt:variant>
      <vt:variant>
        <vt:i4>1703996</vt:i4>
      </vt:variant>
      <vt:variant>
        <vt:i4>110</vt:i4>
      </vt:variant>
      <vt:variant>
        <vt:i4>0</vt:i4>
      </vt:variant>
      <vt:variant>
        <vt:i4>5</vt:i4>
      </vt:variant>
      <vt:variant>
        <vt:lpwstr/>
      </vt:variant>
      <vt:variant>
        <vt:lpwstr>_Toc140149912</vt:lpwstr>
      </vt:variant>
      <vt:variant>
        <vt:i4>1703996</vt:i4>
      </vt:variant>
      <vt:variant>
        <vt:i4>104</vt:i4>
      </vt:variant>
      <vt:variant>
        <vt:i4>0</vt:i4>
      </vt:variant>
      <vt:variant>
        <vt:i4>5</vt:i4>
      </vt:variant>
      <vt:variant>
        <vt:lpwstr/>
      </vt:variant>
      <vt:variant>
        <vt:lpwstr>_Toc140149911</vt:lpwstr>
      </vt:variant>
      <vt:variant>
        <vt:i4>1703996</vt:i4>
      </vt:variant>
      <vt:variant>
        <vt:i4>98</vt:i4>
      </vt:variant>
      <vt:variant>
        <vt:i4>0</vt:i4>
      </vt:variant>
      <vt:variant>
        <vt:i4>5</vt:i4>
      </vt:variant>
      <vt:variant>
        <vt:lpwstr/>
      </vt:variant>
      <vt:variant>
        <vt:lpwstr>_Toc140149910</vt:lpwstr>
      </vt:variant>
      <vt:variant>
        <vt:i4>1769532</vt:i4>
      </vt:variant>
      <vt:variant>
        <vt:i4>92</vt:i4>
      </vt:variant>
      <vt:variant>
        <vt:i4>0</vt:i4>
      </vt:variant>
      <vt:variant>
        <vt:i4>5</vt:i4>
      </vt:variant>
      <vt:variant>
        <vt:lpwstr/>
      </vt:variant>
      <vt:variant>
        <vt:lpwstr>_Toc140149909</vt:lpwstr>
      </vt:variant>
      <vt:variant>
        <vt:i4>1769532</vt:i4>
      </vt:variant>
      <vt:variant>
        <vt:i4>86</vt:i4>
      </vt:variant>
      <vt:variant>
        <vt:i4>0</vt:i4>
      </vt:variant>
      <vt:variant>
        <vt:i4>5</vt:i4>
      </vt:variant>
      <vt:variant>
        <vt:lpwstr/>
      </vt:variant>
      <vt:variant>
        <vt:lpwstr>_Toc140149908</vt:lpwstr>
      </vt:variant>
      <vt:variant>
        <vt:i4>1769532</vt:i4>
      </vt:variant>
      <vt:variant>
        <vt:i4>80</vt:i4>
      </vt:variant>
      <vt:variant>
        <vt:i4>0</vt:i4>
      </vt:variant>
      <vt:variant>
        <vt:i4>5</vt:i4>
      </vt:variant>
      <vt:variant>
        <vt:lpwstr/>
      </vt:variant>
      <vt:variant>
        <vt:lpwstr>_Toc140149907</vt:lpwstr>
      </vt:variant>
      <vt:variant>
        <vt:i4>1769532</vt:i4>
      </vt:variant>
      <vt:variant>
        <vt:i4>74</vt:i4>
      </vt:variant>
      <vt:variant>
        <vt:i4>0</vt:i4>
      </vt:variant>
      <vt:variant>
        <vt:i4>5</vt:i4>
      </vt:variant>
      <vt:variant>
        <vt:lpwstr/>
      </vt:variant>
      <vt:variant>
        <vt:lpwstr>_Toc140149906</vt:lpwstr>
      </vt:variant>
      <vt:variant>
        <vt:i4>1769532</vt:i4>
      </vt:variant>
      <vt:variant>
        <vt:i4>68</vt:i4>
      </vt:variant>
      <vt:variant>
        <vt:i4>0</vt:i4>
      </vt:variant>
      <vt:variant>
        <vt:i4>5</vt:i4>
      </vt:variant>
      <vt:variant>
        <vt:lpwstr/>
      </vt:variant>
      <vt:variant>
        <vt:lpwstr>_Toc140149905</vt:lpwstr>
      </vt:variant>
      <vt:variant>
        <vt:i4>1769532</vt:i4>
      </vt:variant>
      <vt:variant>
        <vt:i4>62</vt:i4>
      </vt:variant>
      <vt:variant>
        <vt:i4>0</vt:i4>
      </vt:variant>
      <vt:variant>
        <vt:i4>5</vt:i4>
      </vt:variant>
      <vt:variant>
        <vt:lpwstr/>
      </vt:variant>
      <vt:variant>
        <vt:lpwstr>_Toc140149904</vt:lpwstr>
      </vt:variant>
      <vt:variant>
        <vt:i4>1769532</vt:i4>
      </vt:variant>
      <vt:variant>
        <vt:i4>56</vt:i4>
      </vt:variant>
      <vt:variant>
        <vt:i4>0</vt:i4>
      </vt:variant>
      <vt:variant>
        <vt:i4>5</vt:i4>
      </vt:variant>
      <vt:variant>
        <vt:lpwstr/>
      </vt:variant>
      <vt:variant>
        <vt:lpwstr>_Toc140149903</vt:lpwstr>
      </vt:variant>
      <vt:variant>
        <vt:i4>1769532</vt:i4>
      </vt:variant>
      <vt:variant>
        <vt:i4>50</vt:i4>
      </vt:variant>
      <vt:variant>
        <vt:i4>0</vt:i4>
      </vt:variant>
      <vt:variant>
        <vt:i4>5</vt:i4>
      </vt:variant>
      <vt:variant>
        <vt:lpwstr/>
      </vt:variant>
      <vt:variant>
        <vt:lpwstr>_Toc140149902</vt:lpwstr>
      </vt:variant>
      <vt:variant>
        <vt:i4>1769532</vt:i4>
      </vt:variant>
      <vt:variant>
        <vt:i4>44</vt:i4>
      </vt:variant>
      <vt:variant>
        <vt:i4>0</vt:i4>
      </vt:variant>
      <vt:variant>
        <vt:i4>5</vt:i4>
      </vt:variant>
      <vt:variant>
        <vt:lpwstr/>
      </vt:variant>
      <vt:variant>
        <vt:lpwstr>_Toc140149901</vt:lpwstr>
      </vt:variant>
      <vt:variant>
        <vt:i4>1769532</vt:i4>
      </vt:variant>
      <vt:variant>
        <vt:i4>38</vt:i4>
      </vt:variant>
      <vt:variant>
        <vt:i4>0</vt:i4>
      </vt:variant>
      <vt:variant>
        <vt:i4>5</vt:i4>
      </vt:variant>
      <vt:variant>
        <vt:lpwstr/>
      </vt:variant>
      <vt:variant>
        <vt:lpwstr>_Toc140149900</vt:lpwstr>
      </vt:variant>
      <vt:variant>
        <vt:i4>1179709</vt:i4>
      </vt:variant>
      <vt:variant>
        <vt:i4>32</vt:i4>
      </vt:variant>
      <vt:variant>
        <vt:i4>0</vt:i4>
      </vt:variant>
      <vt:variant>
        <vt:i4>5</vt:i4>
      </vt:variant>
      <vt:variant>
        <vt:lpwstr/>
      </vt:variant>
      <vt:variant>
        <vt:lpwstr>_Toc140149899</vt:lpwstr>
      </vt:variant>
      <vt:variant>
        <vt:i4>1179709</vt:i4>
      </vt:variant>
      <vt:variant>
        <vt:i4>26</vt:i4>
      </vt:variant>
      <vt:variant>
        <vt:i4>0</vt:i4>
      </vt:variant>
      <vt:variant>
        <vt:i4>5</vt:i4>
      </vt:variant>
      <vt:variant>
        <vt:lpwstr/>
      </vt:variant>
      <vt:variant>
        <vt:lpwstr>_Toc140149898</vt:lpwstr>
      </vt:variant>
      <vt:variant>
        <vt:i4>1179709</vt:i4>
      </vt:variant>
      <vt:variant>
        <vt:i4>20</vt:i4>
      </vt:variant>
      <vt:variant>
        <vt:i4>0</vt:i4>
      </vt:variant>
      <vt:variant>
        <vt:i4>5</vt:i4>
      </vt:variant>
      <vt:variant>
        <vt:lpwstr/>
      </vt:variant>
      <vt:variant>
        <vt:lpwstr>_Toc140149897</vt:lpwstr>
      </vt:variant>
      <vt:variant>
        <vt:i4>1179709</vt:i4>
      </vt:variant>
      <vt:variant>
        <vt:i4>14</vt:i4>
      </vt:variant>
      <vt:variant>
        <vt:i4>0</vt:i4>
      </vt:variant>
      <vt:variant>
        <vt:i4>5</vt:i4>
      </vt:variant>
      <vt:variant>
        <vt:lpwstr/>
      </vt:variant>
      <vt:variant>
        <vt:lpwstr>_Toc140149896</vt:lpwstr>
      </vt:variant>
      <vt:variant>
        <vt:i4>1179709</vt:i4>
      </vt:variant>
      <vt:variant>
        <vt:i4>8</vt:i4>
      </vt:variant>
      <vt:variant>
        <vt:i4>0</vt:i4>
      </vt:variant>
      <vt:variant>
        <vt:i4>5</vt:i4>
      </vt:variant>
      <vt:variant>
        <vt:lpwstr/>
      </vt:variant>
      <vt:variant>
        <vt:lpwstr>_Toc140149895</vt:lpwstr>
      </vt:variant>
      <vt:variant>
        <vt:i4>6553704</vt:i4>
      </vt:variant>
      <vt:variant>
        <vt:i4>0</vt:i4>
      </vt:variant>
      <vt:variant>
        <vt:i4>0</vt:i4>
      </vt:variant>
      <vt:variant>
        <vt:i4>5</vt:i4>
      </vt:variant>
      <vt:variant>
        <vt:lpwstr>http://www.education.gov.au/early-childhood/community-child-care-fund/connected-beginnings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Batt</dc:creator>
  <cp:keywords/>
  <dc:description/>
  <cp:lastModifiedBy>HOWIE,Stuart</cp:lastModifiedBy>
  <cp:revision>3</cp:revision>
  <cp:lastPrinted>2023-11-10T06:53:00Z</cp:lastPrinted>
  <dcterms:created xsi:type="dcterms:W3CDTF">2023-11-10T06:53:00Z</dcterms:created>
  <dcterms:modified xsi:type="dcterms:W3CDTF">2023-11-10T06:54:00Z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0x010100266966F133664895A6EE3632470D45F500455BB74E0E682E45AFF5B8A324DE45B8</vt:lpwstr>
  </property>
  <property fmtid="{D5CDD505-2E9C-101B-9397-08002B2CF9AE}" pid="3" name="MediaServiceImageTags">
    <vt:lpwstr/>
  </property>
  <property fmtid="{D5CDD505-2E9C-101B-9397-08002B2CF9AE}" pid="4" name="MSIP_Label_5f877481-9e35-4b68-b667-876a73c6db41_Enabled">
    <vt:lpwstr>true</vt:lpwstr>
  </property>
  <property fmtid="{D5CDD505-2E9C-101B-9397-08002B2CF9AE}" pid="5" name="MSIP_Label_5f877481-9e35-4b68-b667-876a73c6db41_SetDate">
    <vt:lpwstr>2023-08-23T06:29:41Z</vt:lpwstr>
  </property>
  <property fmtid="{D5CDD505-2E9C-101B-9397-08002B2CF9AE}" pid="6" name="MSIP_Label_5f877481-9e35-4b68-b667-876a73c6db41_Method">
    <vt:lpwstr>Privileged</vt:lpwstr>
  </property>
  <property fmtid="{D5CDD505-2E9C-101B-9397-08002B2CF9AE}" pid="7" name="MSIP_Label_5f877481-9e35-4b68-b667-876a73c6db41_Name">
    <vt:lpwstr>5f877481-9e35-4b68-b667-876a73c6db41</vt:lpwstr>
  </property>
  <property fmtid="{D5CDD505-2E9C-101B-9397-08002B2CF9AE}" pid="8" name="MSIP_Label_5f877481-9e35-4b68-b667-876a73c6db41_SiteId">
    <vt:lpwstr>dd0cfd15-4558-4b12-8bad-ea26984fc417</vt:lpwstr>
  </property>
  <property fmtid="{D5CDD505-2E9C-101B-9397-08002B2CF9AE}" pid="9" name="MSIP_Label_5f877481-9e35-4b68-b667-876a73c6db41_ActionId">
    <vt:lpwstr>c31cfda2-71ea-4e8d-9ef1-c4a078db44da</vt:lpwstr>
  </property>
  <property fmtid="{D5CDD505-2E9C-101B-9397-08002B2CF9AE}" pid="10" name="MSIP_Label_5f877481-9e35-4b68-b667-876a73c6db41_ContentBits">
    <vt:lpwstr>0</vt:lpwstr>
  </property>
</Properties>
</file>