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0337250"/>
        <w:docPartObj>
          <w:docPartGallery w:val="Cover Pages"/>
          <w:docPartUnique/>
        </w:docPartObj>
      </w:sdtPr>
      <w:sdtEndPr>
        <w:rPr>
          <w:b/>
        </w:rPr>
      </w:sdtEndPr>
      <w:sdtContent>
        <w:p w14:paraId="0F5C7ED9" w14:textId="799381F2" w:rsidR="00BC3DE9" w:rsidRDefault="00BC3DE9"/>
        <w:tbl>
          <w:tblPr>
            <w:tblpPr w:leftFromText="187" w:rightFromText="187" w:horzAnchor="margin" w:tblpXSpec="center" w:tblpY="2881"/>
            <w:tblW w:w="4000" w:type="pct"/>
            <w:tblBorders>
              <w:left w:val="single" w:sz="12" w:space="0" w:color="002D3F" w:themeColor="accent1"/>
            </w:tblBorders>
            <w:tblCellMar>
              <w:left w:w="144" w:type="dxa"/>
              <w:right w:w="115" w:type="dxa"/>
            </w:tblCellMar>
            <w:tblLook w:val="04A0" w:firstRow="1" w:lastRow="0" w:firstColumn="1" w:lastColumn="0" w:noHBand="0" w:noVBand="1"/>
          </w:tblPr>
          <w:tblGrid>
            <w:gridCol w:w="7340"/>
          </w:tblGrid>
          <w:tr w:rsidR="00BC3DE9" w14:paraId="0DE7D271" w14:textId="77777777">
            <w:tc>
              <w:tcPr>
                <w:tcW w:w="7672" w:type="dxa"/>
                <w:tcMar>
                  <w:top w:w="216" w:type="dxa"/>
                  <w:left w:w="115" w:type="dxa"/>
                  <w:bottom w:w="216" w:type="dxa"/>
                  <w:right w:w="115" w:type="dxa"/>
                </w:tcMar>
              </w:tcPr>
              <w:p w14:paraId="6A7B0E7D" w14:textId="4862C201" w:rsidR="00BC3DE9" w:rsidRDefault="00BC3DE9">
                <w:pPr>
                  <w:pStyle w:val="NoSpacing"/>
                  <w:rPr>
                    <w:color w:val="00212F" w:themeColor="accent1" w:themeShade="BF"/>
                    <w:sz w:val="24"/>
                  </w:rPr>
                </w:pPr>
              </w:p>
            </w:tc>
          </w:tr>
          <w:tr w:rsidR="00BC3DE9" w14:paraId="18C296F2" w14:textId="77777777">
            <w:tc>
              <w:tcPr>
                <w:tcW w:w="7672" w:type="dxa"/>
              </w:tcPr>
              <w:p w14:paraId="1180E44A" w14:textId="4F17FAC4" w:rsidR="00BC3DE9" w:rsidRDefault="00BC3DE9">
                <w:pPr>
                  <w:pStyle w:val="NoSpacing"/>
                  <w:spacing w:line="216" w:lineRule="auto"/>
                  <w:rPr>
                    <w:rFonts w:asciiTheme="majorHAnsi" w:eastAsiaTheme="majorEastAsia" w:hAnsiTheme="majorHAnsi" w:cstheme="majorBidi"/>
                    <w:color w:val="002D3F" w:themeColor="accent1"/>
                    <w:sz w:val="88"/>
                    <w:szCs w:val="88"/>
                  </w:rPr>
                </w:pPr>
                <w:r>
                  <w:rPr>
                    <w:rFonts w:asciiTheme="majorHAnsi" w:eastAsiaTheme="majorEastAsia" w:hAnsiTheme="majorHAnsi" w:cstheme="majorBidi"/>
                    <w:color w:val="002D3F" w:themeColor="accent1"/>
                    <w:sz w:val="88"/>
                    <w:szCs w:val="88"/>
                  </w:rPr>
                  <w:t xml:space="preserve">Australian Universities Accord Discussion </w:t>
                </w:r>
                <w:r w:rsidR="00FB6080">
                  <w:rPr>
                    <w:rFonts w:asciiTheme="majorHAnsi" w:eastAsiaTheme="majorEastAsia" w:hAnsiTheme="majorHAnsi" w:cstheme="majorBidi"/>
                    <w:color w:val="002D3F" w:themeColor="accent1"/>
                    <w:sz w:val="88"/>
                    <w:szCs w:val="88"/>
                  </w:rPr>
                  <w:t>P</w:t>
                </w:r>
                <w:r>
                  <w:rPr>
                    <w:rFonts w:asciiTheme="majorHAnsi" w:eastAsiaTheme="majorEastAsia" w:hAnsiTheme="majorHAnsi" w:cstheme="majorBidi"/>
                    <w:color w:val="002D3F" w:themeColor="accent1"/>
                    <w:sz w:val="88"/>
                    <w:szCs w:val="88"/>
                  </w:rPr>
                  <w:t>aper submission analysis</w:t>
                </w:r>
              </w:p>
            </w:tc>
          </w:tr>
          <w:tr w:rsidR="00BC3DE9" w14:paraId="42F5DBEF" w14:textId="77777777">
            <w:tc>
              <w:tcPr>
                <w:tcW w:w="7672" w:type="dxa"/>
                <w:tcMar>
                  <w:top w:w="216" w:type="dxa"/>
                  <w:left w:w="115" w:type="dxa"/>
                  <w:bottom w:w="216" w:type="dxa"/>
                  <w:right w:w="115" w:type="dxa"/>
                </w:tcMar>
              </w:tcPr>
              <w:p w14:paraId="3755ED63" w14:textId="77777777" w:rsidR="00BC3DE9" w:rsidRDefault="00B425A3">
                <w:pPr>
                  <w:pStyle w:val="NoSpacing"/>
                  <w:rPr>
                    <w:color w:val="00212F" w:themeColor="accent1" w:themeShade="BF"/>
                    <w:sz w:val="32"/>
                    <w:szCs w:val="28"/>
                  </w:rPr>
                </w:pPr>
                <w:r w:rsidRPr="00B425A3">
                  <w:rPr>
                    <w:color w:val="00212F" w:themeColor="accent1" w:themeShade="BF"/>
                    <w:sz w:val="32"/>
                    <w:szCs w:val="28"/>
                  </w:rPr>
                  <w:t xml:space="preserve">Prepared by Nous </w:t>
                </w:r>
                <w:proofErr w:type="gramStart"/>
                <w:r w:rsidRPr="00B425A3">
                  <w:rPr>
                    <w:color w:val="00212F" w:themeColor="accent1" w:themeShade="BF"/>
                    <w:sz w:val="32"/>
                    <w:szCs w:val="28"/>
                  </w:rPr>
                  <w:t>group</w:t>
                </w:r>
                <w:proofErr w:type="gramEnd"/>
              </w:p>
              <w:p w14:paraId="455C7BBE" w14:textId="77777777" w:rsidR="00BB595D" w:rsidRDefault="00BB595D">
                <w:pPr>
                  <w:pStyle w:val="NoSpacing"/>
                  <w:rPr>
                    <w:color w:val="00212F" w:themeColor="accent1" w:themeShade="BF"/>
                    <w:sz w:val="32"/>
                  </w:rPr>
                </w:pPr>
              </w:p>
              <w:p w14:paraId="7C256DE5" w14:textId="67EC9E68" w:rsidR="00BB595D" w:rsidRDefault="00BB595D">
                <w:pPr>
                  <w:pStyle w:val="NoSpacing"/>
                  <w:rPr>
                    <w:color w:val="00212F" w:themeColor="accent1" w:themeShade="BF"/>
                    <w:sz w:val="24"/>
                  </w:rPr>
                </w:pPr>
                <w:r>
                  <w:rPr>
                    <w:color w:val="00212F" w:themeColor="accent1" w:themeShade="BF"/>
                    <w:sz w:val="32"/>
                  </w:rPr>
                  <w:t>12/05/2023</w:t>
                </w:r>
              </w:p>
            </w:tc>
          </w:tr>
        </w:tbl>
        <w:tbl>
          <w:tblPr>
            <w:tblpPr w:leftFromText="187" w:rightFromText="187" w:horzAnchor="margin" w:tblpXSpec="center" w:tblpYSpec="bottom"/>
            <w:tblW w:w="3857" w:type="pct"/>
            <w:tblLook w:val="04A0" w:firstRow="1" w:lastRow="0" w:firstColumn="1" w:lastColumn="0" w:noHBand="0" w:noVBand="1"/>
          </w:tblPr>
          <w:tblGrid>
            <w:gridCol w:w="7089"/>
          </w:tblGrid>
          <w:tr w:rsidR="00BC3DE9" w14:paraId="3AE35016" w14:textId="77777777">
            <w:tc>
              <w:tcPr>
                <w:tcW w:w="7221" w:type="dxa"/>
                <w:tcMar>
                  <w:top w:w="216" w:type="dxa"/>
                  <w:left w:w="115" w:type="dxa"/>
                  <w:bottom w:w="216" w:type="dxa"/>
                  <w:right w:w="115" w:type="dxa"/>
                </w:tcMar>
              </w:tcPr>
              <w:p w14:paraId="6D032F78" w14:textId="6D37FE27" w:rsidR="00BC3DE9" w:rsidRDefault="00BC3DE9">
                <w:pPr>
                  <w:pStyle w:val="NoSpacing"/>
                  <w:rPr>
                    <w:color w:val="002D3F" w:themeColor="accent1"/>
                    <w:sz w:val="28"/>
                    <w:szCs w:val="28"/>
                  </w:rPr>
                </w:pPr>
              </w:p>
              <w:p w14:paraId="2E411205" w14:textId="5FFB37F5" w:rsidR="00BC3DE9" w:rsidRDefault="00BC3DE9">
                <w:pPr>
                  <w:pStyle w:val="NoSpacing"/>
                  <w:rPr>
                    <w:color w:val="002D3F" w:themeColor="accent1"/>
                    <w:sz w:val="28"/>
                    <w:szCs w:val="28"/>
                  </w:rPr>
                </w:pPr>
              </w:p>
              <w:p w14:paraId="115D1460" w14:textId="77777777" w:rsidR="00BC3DE9" w:rsidRDefault="00BC3DE9">
                <w:pPr>
                  <w:pStyle w:val="NoSpacing"/>
                  <w:rPr>
                    <w:color w:val="002D3F" w:themeColor="accent1"/>
                  </w:rPr>
                </w:pPr>
              </w:p>
            </w:tc>
          </w:tr>
        </w:tbl>
        <w:p w14:paraId="6BA0B569" w14:textId="27FB9518" w:rsidR="00BC3DE9" w:rsidRDefault="00BC3DE9">
          <w:pPr>
            <w:spacing w:after="160" w:line="259" w:lineRule="auto"/>
          </w:pPr>
          <w:r>
            <w:rPr>
              <w:b/>
            </w:rPr>
            <w:br w:type="page"/>
          </w:r>
        </w:p>
      </w:sdtContent>
    </w:sdt>
    <w:sdt>
      <w:sdtPr>
        <w:rPr>
          <w:rFonts w:asciiTheme="minorHAnsi" w:eastAsiaTheme="minorHAnsi" w:hAnsiTheme="minorHAnsi" w:cstheme="minorBidi"/>
          <w:b w:val="0"/>
          <w:color w:val="auto"/>
          <w:sz w:val="22"/>
          <w:szCs w:val="22"/>
        </w:rPr>
        <w:id w:val="-1762293055"/>
        <w:docPartObj>
          <w:docPartGallery w:val="Table of Contents"/>
          <w:docPartUnique/>
        </w:docPartObj>
      </w:sdtPr>
      <w:sdtEndPr>
        <w:rPr>
          <w:bCs/>
          <w:noProof/>
        </w:rPr>
      </w:sdtEndPr>
      <w:sdtContent>
        <w:p w14:paraId="6AA3B257" w14:textId="6DF42D4E" w:rsidR="003760A2" w:rsidRDefault="003760A2">
          <w:pPr>
            <w:pStyle w:val="TOCHeading"/>
          </w:pPr>
          <w:r>
            <w:t>Table of Contents</w:t>
          </w:r>
        </w:p>
        <w:p w14:paraId="5855DC20" w14:textId="19A888D8" w:rsidR="00073530" w:rsidRDefault="003760A2">
          <w:pPr>
            <w:pStyle w:val="TOC1"/>
            <w:tabs>
              <w:tab w:val="right" w:leader="dot" w:pos="9180"/>
            </w:tabs>
            <w:rPr>
              <w:rFonts w:eastAsiaTheme="minorEastAsia"/>
              <w:b w:val="0"/>
              <w:noProof/>
              <w:lang w:eastAsia="en-AU"/>
            </w:rPr>
          </w:pPr>
          <w:r>
            <w:fldChar w:fldCharType="begin"/>
          </w:r>
          <w:r>
            <w:instrText xml:space="preserve"> TOC \o "1-3" \h \z \u </w:instrText>
          </w:r>
          <w:r>
            <w:fldChar w:fldCharType="separate"/>
          </w:r>
          <w:hyperlink w:anchor="_Toc134807399" w:history="1">
            <w:r w:rsidR="00073530" w:rsidRPr="005E2AF5">
              <w:rPr>
                <w:rStyle w:val="Hyperlink"/>
                <w:noProof/>
              </w:rPr>
              <w:t>Executive Summary</w:t>
            </w:r>
            <w:r w:rsidR="00073530">
              <w:rPr>
                <w:noProof/>
                <w:webHidden/>
              </w:rPr>
              <w:tab/>
            </w:r>
            <w:r w:rsidR="00073530">
              <w:rPr>
                <w:noProof/>
                <w:webHidden/>
              </w:rPr>
              <w:fldChar w:fldCharType="begin"/>
            </w:r>
            <w:r w:rsidR="00073530">
              <w:rPr>
                <w:noProof/>
                <w:webHidden/>
              </w:rPr>
              <w:instrText xml:space="preserve"> PAGEREF _Toc134807399 \h </w:instrText>
            </w:r>
            <w:r w:rsidR="00073530">
              <w:rPr>
                <w:noProof/>
                <w:webHidden/>
              </w:rPr>
            </w:r>
            <w:r w:rsidR="00073530">
              <w:rPr>
                <w:noProof/>
                <w:webHidden/>
              </w:rPr>
              <w:fldChar w:fldCharType="separate"/>
            </w:r>
            <w:r w:rsidR="009D26B2">
              <w:rPr>
                <w:noProof/>
                <w:webHidden/>
              </w:rPr>
              <w:t>2</w:t>
            </w:r>
            <w:r w:rsidR="00073530">
              <w:rPr>
                <w:noProof/>
                <w:webHidden/>
              </w:rPr>
              <w:fldChar w:fldCharType="end"/>
            </w:r>
          </w:hyperlink>
        </w:p>
        <w:p w14:paraId="70EA90C9" w14:textId="353A8A0B" w:rsidR="00073530" w:rsidRDefault="008444D3">
          <w:pPr>
            <w:pStyle w:val="TOC2"/>
            <w:tabs>
              <w:tab w:val="right" w:leader="dot" w:pos="9180"/>
            </w:tabs>
            <w:rPr>
              <w:rFonts w:eastAsiaTheme="minorEastAsia"/>
              <w:noProof/>
              <w:lang w:eastAsia="en-AU"/>
            </w:rPr>
          </w:pPr>
          <w:hyperlink w:anchor="_Toc134807400" w:history="1">
            <w:r w:rsidR="00073530" w:rsidRPr="005E2AF5">
              <w:rPr>
                <w:rStyle w:val="Hyperlink"/>
                <w:noProof/>
              </w:rPr>
              <w:t>About this report</w:t>
            </w:r>
            <w:r w:rsidR="00073530">
              <w:rPr>
                <w:noProof/>
                <w:webHidden/>
              </w:rPr>
              <w:tab/>
            </w:r>
            <w:r w:rsidR="00073530">
              <w:rPr>
                <w:noProof/>
                <w:webHidden/>
              </w:rPr>
              <w:fldChar w:fldCharType="begin"/>
            </w:r>
            <w:r w:rsidR="00073530">
              <w:rPr>
                <w:noProof/>
                <w:webHidden/>
              </w:rPr>
              <w:instrText xml:space="preserve"> PAGEREF _Toc134807400 \h </w:instrText>
            </w:r>
            <w:r w:rsidR="00073530">
              <w:rPr>
                <w:noProof/>
                <w:webHidden/>
              </w:rPr>
            </w:r>
            <w:r w:rsidR="00073530">
              <w:rPr>
                <w:noProof/>
                <w:webHidden/>
              </w:rPr>
              <w:fldChar w:fldCharType="separate"/>
            </w:r>
            <w:r w:rsidR="009D26B2">
              <w:rPr>
                <w:noProof/>
                <w:webHidden/>
              </w:rPr>
              <w:t>2</w:t>
            </w:r>
            <w:r w:rsidR="00073530">
              <w:rPr>
                <w:noProof/>
                <w:webHidden/>
              </w:rPr>
              <w:fldChar w:fldCharType="end"/>
            </w:r>
          </w:hyperlink>
        </w:p>
        <w:p w14:paraId="71C17510" w14:textId="0ADF1190" w:rsidR="00073530" w:rsidRDefault="008444D3">
          <w:pPr>
            <w:pStyle w:val="TOC2"/>
            <w:tabs>
              <w:tab w:val="right" w:leader="dot" w:pos="9180"/>
            </w:tabs>
            <w:rPr>
              <w:rFonts w:eastAsiaTheme="minorEastAsia"/>
              <w:noProof/>
              <w:lang w:eastAsia="en-AU"/>
            </w:rPr>
          </w:pPr>
          <w:hyperlink w:anchor="_Toc134807401" w:history="1">
            <w:r w:rsidR="00073530" w:rsidRPr="005E2AF5">
              <w:rPr>
                <w:rStyle w:val="Hyperlink"/>
                <w:noProof/>
              </w:rPr>
              <w:t>The future of the sector</w:t>
            </w:r>
            <w:r w:rsidR="00073530">
              <w:rPr>
                <w:noProof/>
                <w:webHidden/>
              </w:rPr>
              <w:tab/>
            </w:r>
            <w:r w:rsidR="00073530">
              <w:rPr>
                <w:noProof/>
                <w:webHidden/>
              </w:rPr>
              <w:fldChar w:fldCharType="begin"/>
            </w:r>
            <w:r w:rsidR="00073530">
              <w:rPr>
                <w:noProof/>
                <w:webHidden/>
              </w:rPr>
              <w:instrText xml:space="preserve"> PAGEREF _Toc134807401 \h </w:instrText>
            </w:r>
            <w:r w:rsidR="00073530">
              <w:rPr>
                <w:noProof/>
                <w:webHidden/>
              </w:rPr>
            </w:r>
            <w:r w:rsidR="00073530">
              <w:rPr>
                <w:noProof/>
                <w:webHidden/>
              </w:rPr>
              <w:fldChar w:fldCharType="separate"/>
            </w:r>
            <w:r w:rsidR="009D26B2">
              <w:rPr>
                <w:noProof/>
                <w:webHidden/>
              </w:rPr>
              <w:t>2</w:t>
            </w:r>
            <w:r w:rsidR="00073530">
              <w:rPr>
                <w:noProof/>
                <w:webHidden/>
              </w:rPr>
              <w:fldChar w:fldCharType="end"/>
            </w:r>
          </w:hyperlink>
        </w:p>
        <w:p w14:paraId="25B4E55E" w14:textId="73C087BA" w:rsidR="00073530" w:rsidRDefault="008444D3">
          <w:pPr>
            <w:pStyle w:val="TOC2"/>
            <w:tabs>
              <w:tab w:val="right" w:leader="dot" w:pos="9180"/>
            </w:tabs>
            <w:rPr>
              <w:rFonts w:eastAsiaTheme="minorEastAsia"/>
              <w:noProof/>
              <w:lang w:eastAsia="en-AU"/>
            </w:rPr>
          </w:pPr>
          <w:hyperlink w:anchor="_Toc134807402" w:history="1">
            <w:r w:rsidR="00073530" w:rsidRPr="005E2AF5">
              <w:rPr>
                <w:rStyle w:val="Hyperlink"/>
                <w:noProof/>
              </w:rPr>
              <w:t>Enablers of the sector</w:t>
            </w:r>
            <w:r w:rsidR="00073530">
              <w:rPr>
                <w:noProof/>
                <w:webHidden/>
              </w:rPr>
              <w:tab/>
            </w:r>
            <w:r w:rsidR="00073530">
              <w:rPr>
                <w:noProof/>
                <w:webHidden/>
              </w:rPr>
              <w:fldChar w:fldCharType="begin"/>
            </w:r>
            <w:r w:rsidR="00073530">
              <w:rPr>
                <w:noProof/>
                <w:webHidden/>
              </w:rPr>
              <w:instrText xml:space="preserve"> PAGEREF _Toc134807402 \h </w:instrText>
            </w:r>
            <w:r w:rsidR="00073530">
              <w:rPr>
                <w:noProof/>
                <w:webHidden/>
              </w:rPr>
            </w:r>
            <w:r w:rsidR="00073530">
              <w:rPr>
                <w:noProof/>
                <w:webHidden/>
              </w:rPr>
              <w:fldChar w:fldCharType="separate"/>
            </w:r>
            <w:r w:rsidR="009D26B2">
              <w:rPr>
                <w:noProof/>
                <w:webHidden/>
              </w:rPr>
              <w:t>5</w:t>
            </w:r>
            <w:r w:rsidR="00073530">
              <w:rPr>
                <w:noProof/>
                <w:webHidden/>
              </w:rPr>
              <w:fldChar w:fldCharType="end"/>
            </w:r>
          </w:hyperlink>
        </w:p>
        <w:p w14:paraId="27D0190C" w14:textId="46299FC0" w:rsidR="00073530" w:rsidRDefault="008444D3">
          <w:pPr>
            <w:pStyle w:val="TOC3"/>
            <w:tabs>
              <w:tab w:val="right" w:leader="dot" w:pos="9180"/>
            </w:tabs>
            <w:rPr>
              <w:rFonts w:eastAsiaTheme="minorEastAsia"/>
              <w:noProof/>
              <w:lang w:eastAsia="en-AU"/>
            </w:rPr>
          </w:pPr>
          <w:hyperlink w:anchor="_Toc134807403" w:history="1">
            <w:r w:rsidR="00073530" w:rsidRPr="005E2AF5">
              <w:rPr>
                <w:rStyle w:val="Hyperlink"/>
                <w:noProof/>
              </w:rPr>
              <w:t>Coherence and integration between the VET and higher education systems</w:t>
            </w:r>
            <w:r w:rsidR="00073530">
              <w:rPr>
                <w:noProof/>
                <w:webHidden/>
              </w:rPr>
              <w:tab/>
            </w:r>
            <w:r w:rsidR="00073530">
              <w:rPr>
                <w:noProof/>
                <w:webHidden/>
              </w:rPr>
              <w:fldChar w:fldCharType="begin"/>
            </w:r>
            <w:r w:rsidR="00073530">
              <w:rPr>
                <w:noProof/>
                <w:webHidden/>
              </w:rPr>
              <w:instrText xml:space="preserve"> PAGEREF _Toc134807403 \h </w:instrText>
            </w:r>
            <w:r w:rsidR="00073530">
              <w:rPr>
                <w:noProof/>
                <w:webHidden/>
              </w:rPr>
            </w:r>
            <w:r w:rsidR="00073530">
              <w:rPr>
                <w:noProof/>
                <w:webHidden/>
              </w:rPr>
              <w:fldChar w:fldCharType="separate"/>
            </w:r>
            <w:r w:rsidR="009D26B2">
              <w:rPr>
                <w:noProof/>
                <w:webHidden/>
              </w:rPr>
              <w:t>5</w:t>
            </w:r>
            <w:r w:rsidR="00073530">
              <w:rPr>
                <w:noProof/>
                <w:webHidden/>
              </w:rPr>
              <w:fldChar w:fldCharType="end"/>
            </w:r>
          </w:hyperlink>
        </w:p>
        <w:p w14:paraId="755DA94A" w14:textId="17D63913" w:rsidR="00073530" w:rsidRDefault="008444D3">
          <w:pPr>
            <w:pStyle w:val="TOC3"/>
            <w:tabs>
              <w:tab w:val="right" w:leader="dot" w:pos="9180"/>
            </w:tabs>
            <w:rPr>
              <w:rFonts w:eastAsiaTheme="minorEastAsia"/>
              <w:noProof/>
              <w:lang w:eastAsia="en-AU"/>
            </w:rPr>
          </w:pPr>
          <w:hyperlink w:anchor="_Toc134807404" w:history="1">
            <w:r w:rsidR="00073530" w:rsidRPr="005E2AF5">
              <w:rPr>
                <w:rStyle w:val="Hyperlink"/>
                <w:noProof/>
              </w:rPr>
              <w:t>Secure, affordable funding arrangements and incentives</w:t>
            </w:r>
            <w:r w:rsidR="00073530">
              <w:rPr>
                <w:noProof/>
                <w:webHidden/>
              </w:rPr>
              <w:tab/>
            </w:r>
            <w:r w:rsidR="00073530">
              <w:rPr>
                <w:noProof/>
                <w:webHidden/>
              </w:rPr>
              <w:fldChar w:fldCharType="begin"/>
            </w:r>
            <w:r w:rsidR="00073530">
              <w:rPr>
                <w:noProof/>
                <w:webHidden/>
              </w:rPr>
              <w:instrText xml:space="preserve"> PAGEREF _Toc134807404 \h </w:instrText>
            </w:r>
            <w:r w:rsidR="00073530">
              <w:rPr>
                <w:noProof/>
                <w:webHidden/>
              </w:rPr>
            </w:r>
            <w:r w:rsidR="00073530">
              <w:rPr>
                <w:noProof/>
                <w:webHidden/>
              </w:rPr>
              <w:fldChar w:fldCharType="separate"/>
            </w:r>
            <w:r w:rsidR="009D26B2">
              <w:rPr>
                <w:noProof/>
                <w:webHidden/>
              </w:rPr>
              <w:t>6</w:t>
            </w:r>
            <w:r w:rsidR="00073530">
              <w:rPr>
                <w:noProof/>
                <w:webHidden/>
              </w:rPr>
              <w:fldChar w:fldCharType="end"/>
            </w:r>
          </w:hyperlink>
        </w:p>
        <w:p w14:paraId="2534641C" w14:textId="2729BCE2" w:rsidR="00073530" w:rsidRDefault="008444D3">
          <w:pPr>
            <w:pStyle w:val="TOC3"/>
            <w:tabs>
              <w:tab w:val="right" w:leader="dot" w:pos="9180"/>
            </w:tabs>
            <w:rPr>
              <w:rFonts w:eastAsiaTheme="minorEastAsia"/>
              <w:noProof/>
              <w:lang w:eastAsia="en-AU"/>
            </w:rPr>
          </w:pPr>
          <w:hyperlink w:anchor="_Toc134807405" w:history="1">
            <w:r w:rsidR="00073530" w:rsidRPr="005E2AF5">
              <w:rPr>
                <w:rStyle w:val="Hyperlink"/>
                <w:noProof/>
              </w:rPr>
              <w:t>Strong governance and accountability</w:t>
            </w:r>
            <w:r w:rsidR="00073530">
              <w:rPr>
                <w:noProof/>
                <w:webHidden/>
              </w:rPr>
              <w:tab/>
            </w:r>
            <w:r w:rsidR="00073530">
              <w:rPr>
                <w:noProof/>
                <w:webHidden/>
              </w:rPr>
              <w:fldChar w:fldCharType="begin"/>
            </w:r>
            <w:r w:rsidR="00073530">
              <w:rPr>
                <w:noProof/>
                <w:webHidden/>
              </w:rPr>
              <w:instrText xml:space="preserve"> PAGEREF _Toc134807405 \h </w:instrText>
            </w:r>
            <w:r w:rsidR="00073530">
              <w:rPr>
                <w:noProof/>
                <w:webHidden/>
              </w:rPr>
            </w:r>
            <w:r w:rsidR="00073530">
              <w:rPr>
                <w:noProof/>
                <w:webHidden/>
              </w:rPr>
              <w:fldChar w:fldCharType="separate"/>
            </w:r>
            <w:r w:rsidR="009D26B2">
              <w:rPr>
                <w:noProof/>
                <w:webHidden/>
              </w:rPr>
              <w:t>6</w:t>
            </w:r>
            <w:r w:rsidR="00073530">
              <w:rPr>
                <w:noProof/>
                <w:webHidden/>
              </w:rPr>
              <w:fldChar w:fldCharType="end"/>
            </w:r>
          </w:hyperlink>
        </w:p>
        <w:p w14:paraId="65F1531F" w14:textId="3B3AC4E0" w:rsidR="00073530" w:rsidRDefault="008444D3">
          <w:pPr>
            <w:pStyle w:val="TOC3"/>
            <w:tabs>
              <w:tab w:val="right" w:leader="dot" w:pos="9180"/>
            </w:tabs>
            <w:rPr>
              <w:rFonts w:eastAsiaTheme="minorEastAsia"/>
              <w:noProof/>
              <w:lang w:eastAsia="en-AU"/>
            </w:rPr>
          </w:pPr>
          <w:hyperlink w:anchor="_Toc134807406" w:history="1">
            <w:r w:rsidR="00073530" w:rsidRPr="005E2AF5">
              <w:rPr>
                <w:rStyle w:val="Hyperlink"/>
                <w:noProof/>
              </w:rPr>
              <w:t>Investment in capability and recognition of the higher education workforce</w:t>
            </w:r>
            <w:r w:rsidR="00073530">
              <w:rPr>
                <w:noProof/>
                <w:webHidden/>
              </w:rPr>
              <w:tab/>
            </w:r>
            <w:r w:rsidR="00073530">
              <w:rPr>
                <w:noProof/>
                <w:webHidden/>
              </w:rPr>
              <w:fldChar w:fldCharType="begin"/>
            </w:r>
            <w:r w:rsidR="00073530">
              <w:rPr>
                <w:noProof/>
                <w:webHidden/>
              </w:rPr>
              <w:instrText xml:space="preserve"> PAGEREF _Toc134807406 \h </w:instrText>
            </w:r>
            <w:r w:rsidR="00073530">
              <w:rPr>
                <w:noProof/>
                <w:webHidden/>
              </w:rPr>
            </w:r>
            <w:r w:rsidR="00073530">
              <w:rPr>
                <w:noProof/>
                <w:webHidden/>
              </w:rPr>
              <w:fldChar w:fldCharType="separate"/>
            </w:r>
            <w:r w:rsidR="009D26B2">
              <w:rPr>
                <w:noProof/>
                <w:webHidden/>
              </w:rPr>
              <w:t>6</w:t>
            </w:r>
            <w:r w:rsidR="00073530">
              <w:rPr>
                <w:noProof/>
                <w:webHidden/>
              </w:rPr>
              <w:fldChar w:fldCharType="end"/>
            </w:r>
          </w:hyperlink>
        </w:p>
        <w:p w14:paraId="760EBB01" w14:textId="7B7E5740" w:rsidR="00073530" w:rsidRDefault="008444D3">
          <w:pPr>
            <w:pStyle w:val="TOC1"/>
            <w:tabs>
              <w:tab w:val="right" w:leader="dot" w:pos="9180"/>
            </w:tabs>
            <w:rPr>
              <w:rFonts w:eastAsiaTheme="minorEastAsia"/>
              <w:b w:val="0"/>
              <w:noProof/>
              <w:lang w:eastAsia="en-AU"/>
            </w:rPr>
          </w:pPr>
          <w:hyperlink w:anchor="_Toc134807407" w:history="1">
            <w:r w:rsidR="00073530" w:rsidRPr="005E2AF5">
              <w:rPr>
                <w:rStyle w:val="Hyperlink"/>
                <w:noProof/>
              </w:rPr>
              <w:t>The Australian Universities Accord Discussion Paper</w:t>
            </w:r>
            <w:r w:rsidR="00073530">
              <w:rPr>
                <w:noProof/>
                <w:webHidden/>
              </w:rPr>
              <w:tab/>
            </w:r>
            <w:r w:rsidR="00073530">
              <w:rPr>
                <w:noProof/>
                <w:webHidden/>
              </w:rPr>
              <w:fldChar w:fldCharType="begin"/>
            </w:r>
            <w:r w:rsidR="00073530">
              <w:rPr>
                <w:noProof/>
                <w:webHidden/>
              </w:rPr>
              <w:instrText xml:space="preserve"> PAGEREF _Toc134807407 \h </w:instrText>
            </w:r>
            <w:r w:rsidR="00073530">
              <w:rPr>
                <w:noProof/>
                <w:webHidden/>
              </w:rPr>
            </w:r>
            <w:r w:rsidR="00073530">
              <w:rPr>
                <w:noProof/>
                <w:webHidden/>
              </w:rPr>
              <w:fldChar w:fldCharType="separate"/>
            </w:r>
            <w:r w:rsidR="009D26B2">
              <w:rPr>
                <w:noProof/>
                <w:webHidden/>
              </w:rPr>
              <w:t>8</w:t>
            </w:r>
            <w:r w:rsidR="00073530">
              <w:rPr>
                <w:noProof/>
                <w:webHidden/>
              </w:rPr>
              <w:fldChar w:fldCharType="end"/>
            </w:r>
          </w:hyperlink>
        </w:p>
        <w:p w14:paraId="2E290109" w14:textId="6EA6A670" w:rsidR="00073530" w:rsidRDefault="008444D3">
          <w:pPr>
            <w:pStyle w:val="TOC2"/>
            <w:tabs>
              <w:tab w:val="right" w:leader="dot" w:pos="9180"/>
            </w:tabs>
            <w:rPr>
              <w:rFonts w:eastAsiaTheme="minorEastAsia"/>
              <w:noProof/>
              <w:lang w:eastAsia="en-AU"/>
            </w:rPr>
          </w:pPr>
          <w:hyperlink w:anchor="_Toc134807408" w:history="1">
            <w:r w:rsidR="00073530" w:rsidRPr="005E2AF5">
              <w:rPr>
                <w:rStyle w:val="Hyperlink"/>
                <w:noProof/>
              </w:rPr>
              <w:t>Purpose of this document</w:t>
            </w:r>
            <w:r w:rsidR="00073530">
              <w:rPr>
                <w:noProof/>
                <w:webHidden/>
              </w:rPr>
              <w:tab/>
            </w:r>
            <w:r w:rsidR="00073530">
              <w:rPr>
                <w:noProof/>
                <w:webHidden/>
              </w:rPr>
              <w:fldChar w:fldCharType="begin"/>
            </w:r>
            <w:r w:rsidR="00073530">
              <w:rPr>
                <w:noProof/>
                <w:webHidden/>
              </w:rPr>
              <w:instrText xml:space="preserve"> PAGEREF _Toc134807408 \h </w:instrText>
            </w:r>
            <w:r w:rsidR="00073530">
              <w:rPr>
                <w:noProof/>
                <w:webHidden/>
              </w:rPr>
            </w:r>
            <w:r w:rsidR="00073530">
              <w:rPr>
                <w:noProof/>
                <w:webHidden/>
              </w:rPr>
              <w:fldChar w:fldCharType="separate"/>
            </w:r>
            <w:r w:rsidR="009D26B2">
              <w:rPr>
                <w:noProof/>
                <w:webHidden/>
              </w:rPr>
              <w:t>8</w:t>
            </w:r>
            <w:r w:rsidR="00073530">
              <w:rPr>
                <w:noProof/>
                <w:webHidden/>
              </w:rPr>
              <w:fldChar w:fldCharType="end"/>
            </w:r>
          </w:hyperlink>
        </w:p>
        <w:p w14:paraId="761990DB" w14:textId="23F19C55" w:rsidR="00073530" w:rsidRDefault="008444D3">
          <w:pPr>
            <w:pStyle w:val="TOC3"/>
            <w:tabs>
              <w:tab w:val="right" w:leader="dot" w:pos="9180"/>
            </w:tabs>
            <w:rPr>
              <w:rFonts w:eastAsiaTheme="minorEastAsia"/>
              <w:noProof/>
              <w:lang w:eastAsia="en-AU"/>
            </w:rPr>
          </w:pPr>
          <w:hyperlink w:anchor="_Toc134807409" w:history="1">
            <w:r w:rsidR="00073530" w:rsidRPr="005E2AF5">
              <w:rPr>
                <w:rStyle w:val="Hyperlink"/>
                <w:noProof/>
              </w:rPr>
              <w:t>Important caveats to this report</w:t>
            </w:r>
            <w:r w:rsidR="00073530">
              <w:rPr>
                <w:noProof/>
                <w:webHidden/>
              </w:rPr>
              <w:tab/>
            </w:r>
            <w:r w:rsidR="00073530">
              <w:rPr>
                <w:noProof/>
                <w:webHidden/>
              </w:rPr>
              <w:fldChar w:fldCharType="begin"/>
            </w:r>
            <w:r w:rsidR="00073530">
              <w:rPr>
                <w:noProof/>
                <w:webHidden/>
              </w:rPr>
              <w:instrText xml:space="preserve"> PAGEREF _Toc134807409 \h </w:instrText>
            </w:r>
            <w:r w:rsidR="00073530">
              <w:rPr>
                <w:noProof/>
                <w:webHidden/>
              </w:rPr>
            </w:r>
            <w:r w:rsidR="00073530">
              <w:rPr>
                <w:noProof/>
                <w:webHidden/>
              </w:rPr>
              <w:fldChar w:fldCharType="separate"/>
            </w:r>
            <w:r w:rsidR="009D26B2">
              <w:rPr>
                <w:noProof/>
                <w:webHidden/>
              </w:rPr>
              <w:t>8</w:t>
            </w:r>
            <w:r w:rsidR="00073530">
              <w:rPr>
                <w:noProof/>
                <w:webHidden/>
              </w:rPr>
              <w:fldChar w:fldCharType="end"/>
            </w:r>
          </w:hyperlink>
        </w:p>
        <w:p w14:paraId="4DD7128D" w14:textId="3B248F33" w:rsidR="00073530" w:rsidRDefault="008444D3">
          <w:pPr>
            <w:pStyle w:val="TOC3"/>
            <w:tabs>
              <w:tab w:val="right" w:leader="dot" w:pos="9180"/>
            </w:tabs>
            <w:rPr>
              <w:rFonts w:eastAsiaTheme="minorEastAsia"/>
              <w:noProof/>
              <w:lang w:eastAsia="en-AU"/>
            </w:rPr>
          </w:pPr>
          <w:hyperlink w:anchor="_Toc134807410" w:history="1">
            <w:r w:rsidR="00073530" w:rsidRPr="005E2AF5">
              <w:rPr>
                <w:rStyle w:val="Hyperlink"/>
                <w:noProof/>
              </w:rPr>
              <w:t>Methodology</w:t>
            </w:r>
            <w:r w:rsidR="00073530">
              <w:rPr>
                <w:noProof/>
                <w:webHidden/>
              </w:rPr>
              <w:tab/>
            </w:r>
            <w:r w:rsidR="00073530">
              <w:rPr>
                <w:noProof/>
                <w:webHidden/>
              </w:rPr>
              <w:fldChar w:fldCharType="begin"/>
            </w:r>
            <w:r w:rsidR="00073530">
              <w:rPr>
                <w:noProof/>
                <w:webHidden/>
              </w:rPr>
              <w:instrText xml:space="preserve"> PAGEREF _Toc134807410 \h </w:instrText>
            </w:r>
            <w:r w:rsidR="00073530">
              <w:rPr>
                <w:noProof/>
                <w:webHidden/>
              </w:rPr>
            </w:r>
            <w:r w:rsidR="00073530">
              <w:rPr>
                <w:noProof/>
                <w:webHidden/>
              </w:rPr>
              <w:fldChar w:fldCharType="separate"/>
            </w:r>
            <w:r w:rsidR="009D26B2">
              <w:rPr>
                <w:noProof/>
                <w:webHidden/>
              </w:rPr>
              <w:t>8</w:t>
            </w:r>
            <w:r w:rsidR="00073530">
              <w:rPr>
                <w:noProof/>
                <w:webHidden/>
              </w:rPr>
              <w:fldChar w:fldCharType="end"/>
            </w:r>
          </w:hyperlink>
        </w:p>
        <w:p w14:paraId="4EEF81C4" w14:textId="19A4DF0A" w:rsidR="00073530" w:rsidRDefault="008444D3">
          <w:pPr>
            <w:pStyle w:val="TOC2"/>
            <w:tabs>
              <w:tab w:val="right" w:leader="dot" w:pos="9180"/>
            </w:tabs>
            <w:rPr>
              <w:rFonts w:eastAsiaTheme="minorEastAsia"/>
              <w:noProof/>
              <w:lang w:eastAsia="en-AU"/>
            </w:rPr>
          </w:pPr>
          <w:hyperlink w:anchor="_Toc134807411" w:history="1">
            <w:r w:rsidR="00073530" w:rsidRPr="005E2AF5">
              <w:rPr>
                <w:rStyle w:val="Hyperlink"/>
                <w:noProof/>
              </w:rPr>
              <w:t>Sector preferences for the Accord</w:t>
            </w:r>
            <w:r w:rsidR="00073530">
              <w:rPr>
                <w:noProof/>
                <w:webHidden/>
              </w:rPr>
              <w:tab/>
            </w:r>
            <w:r w:rsidR="00073530">
              <w:rPr>
                <w:noProof/>
                <w:webHidden/>
              </w:rPr>
              <w:fldChar w:fldCharType="begin"/>
            </w:r>
            <w:r w:rsidR="00073530">
              <w:rPr>
                <w:noProof/>
                <w:webHidden/>
              </w:rPr>
              <w:instrText xml:space="preserve"> PAGEREF _Toc134807411 \h </w:instrText>
            </w:r>
            <w:r w:rsidR="00073530">
              <w:rPr>
                <w:noProof/>
                <w:webHidden/>
              </w:rPr>
            </w:r>
            <w:r w:rsidR="00073530">
              <w:rPr>
                <w:noProof/>
                <w:webHidden/>
              </w:rPr>
              <w:fldChar w:fldCharType="separate"/>
            </w:r>
            <w:r w:rsidR="009D26B2">
              <w:rPr>
                <w:noProof/>
                <w:webHidden/>
              </w:rPr>
              <w:t>8</w:t>
            </w:r>
            <w:r w:rsidR="00073530">
              <w:rPr>
                <w:noProof/>
                <w:webHidden/>
              </w:rPr>
              <w:fldChar w:fldCharType="end"/>
            </w:r>
          </w:hyperlink>
        </w:p>
        <w:p w14:paraId="55520E2C" w14:textId="499C226B" w:rsidR="00073530" w:rsidRDefault="008444D3">
          <w:pPr>
            <w:pStyle w:val="TOC2"/>
            <w:tabs>
              <w:tab w:val="right" w:leader="dot" w:pos="9180"/>
            </w:tabs>
            <w:rPr>
              <w:rFonts w:eastAsiaTheme="minorEastAsia"/>
              <w:noProof/>
              <w:lang w:eastAsia="en-AU"/>
            </w:rPr>
          </w:pPr>
          <w:hyperlink w:anchor="_Toc134807412" w:history="1">
            <w:r w:rsidR="00073530" w:rsidRPr="005E2AF5">
              <w:rPr>
                <w:rStyle w:val="Hyperlink"/>
                <w:noProof/>
              </w:rPr>
              <w:t>The role of Higher Education for Australia</w:t>
            </w:r>
            <w:r w:rsidR="00073530">
              <w:rPr>
                <w:noProof/>
                <w:webHidden/>
              </w:rPr>
              <w:tab/>
            </w:r>
            <w:r w:rsidR="00073530">
              <w:rPr>
                <w:noProof/>
                <w:webHidden/>
              </w:rPr>
              <w:fldChar w:fldCharType="begin"/>
            </w:r>
            <w:r w:rsidR="00073530">
              <w:rPr>
                <w:noProof/>
                <w:webHidden/>
              </w:rPr>
              <w:instrText xml:space="preserve"> PAGEREF _Toc134807412 \h </w:instrText>
            </w:r>
            <w:r w:rsidR="00073530">
              <w:rPr>
                <w:noProof/>
                <w:webHidden/>
              </w:rPr>
            </w:r>
            <w:r w:rsidR="00073530">
              <w:rPr>
                <w:noProof/>
                <w:webHidden/>
              </w:rPr>
              <w:fldChar w:fldCharType="separate"/>
            </w:r>
            <w:r w:rsidR="009D26B2">
              <w:rPr>
                <w:noProof/>
                <w:webHidden/>
              </w:rPr>
              <w:t>9</w:t>
            </w:r>
            <w:r w:rsidR="00073530">
              <w:rPr>
                <w:noProof/>
                <w:webHidden/>
              </w:rPr>
              <w:fldChar w:fldCharType="end"/>
            </w:r>
          </w:hyperlink>
        </w:p>
        <w:p w14:paraId="47F6A33F" w14:textId="2C394B6C" w:rsidR="00073530" w:rsidRDefault="008444D3">
          <w:pPr>
            <w:pStyle w:val="TOC3"/>
            <w:tabs>
              <w:tab w:val="right" w:leader="dot" w:pos="9180"/>
            </w:tabs>
            <w:rPr>
              <w:rFonts w:eastAsiaTheme="minorEastAsia"/>
              <w:noProof/>
              <w:lang w:eastAsia="en-AU"/>
            </w:rPr>
          </w:pPr>
          <w:hyperlink w:anchor="_Toc134807413" w:history="1">
            <w:r w:rsidR="00073530" w:rsidRPr="005E2AF5">
              <w:rPr>
                <w:rStyle w:val="Hyperlink"/>
                <w:noProof/>
              </w:rPr>
              <w:t>The national challenges that higher education can help solve</w:t>
            </w:r>
            <w:r w:rsidR="00073530">
              <w:rPr>
                <w:noProof/>
                <w:webHidden/>
              </w:rPr>
              <w:tab/>
            </w:r>
            <w:r w:rsidR="00073530">
              <w:rPr>
                <w:noProof/>
                <w:webHidden/>
              </w:rPr>
              <w:fldChar w:fldCharType="begin"/>
            </w:r>
            <w:r w:rsidR="00073530">
              <w:rPr>
                <w:noProof/>
                <w:webHidden/>
              </w:rPr>
              <w:instrText xml:space="preserve"> PAGEREF _Toc134807413 \h </w:instrText>
            </w:r>
            <w:r w:rsidR="00073530">
              <w:rPr>
                <w:noProof/>
                <w:webHidden/>
              </w:rPr>
            </w:r>
            <w:r w:rsidR="00073530">
              <w:rPr>
                <w:noProof/>
                <w:webHidden/>
              </w:rPr>
              <w:fldChar w:fldCharType="separate"/>
            </w:r>
            <w:r w:rsidR="009D26B2">
              <w:rPr>
                <w:noProof/>
                <w:webHidden/>
              </w:rPr>
              <w:t>9</w:t>
            </w:r>
            <w:r w:rsidR="00073530">
              <w:rPr>
                <w:noProof/>
                <w:webHidden/>
              </w:rPr>
              <w:fldChar w:fldCharType="end"/>
            </w:r>
          </w:hyperlink>
        </w:p>
        <w:p w14:paraId="5BE18BFD" w14:textId="3A6D1F31" w:rsidR="00073530" w:rsidRDefault="008444D3">
          <w:pPr>
            <w:pStyle w:val="TOC2"/>
            <w:tabs>
              <w:tab w:val="right" w:leader="dot" w:pos="9180"/>
            </w:tabs>
            <w:rPr>
              <w:rFonts w:eastAsiaTheme="minorEastAsia"/>
              <w:noProof/>
              <w:lang w:eastAsia="en-AU"/>
            </w:rPr>
          </w:pPr>
          <w:hyperlink w:anchor="_Toc134807414" w:history="1">
            <w:r w:rsidR="00073530" w:rsidRPr="005E2AF5">
              <w:rPr>
                <w:rStyle w:val="Hyperlink"/>
                <w:noProof/>
              </w:rPr>
              <w:t>The future of the sector</w:t>
            </w:r>
            <w:r w:rsidR="00073530">
              <w:rPr>
                <w:noProof/>
                <w:webHidden/>
              </w:rPr>
              <w:tab/>
            </w:r>
            <w:r w:rsidR="00073530">
              <w:rPr>
                <w:noProof/>
                <w:webHidden/>
              </w:rPr>
              <w:fldChar w:fldCharType="begin"/>
            </w:r>
            <w:r w:rsidR="00073530">
              <w:rPr>
                <w:noProof/>
                <w:webHidden/>
              </w:rPr>
              <w:instrText xml:space="preserve"> PAGEREF _Toc134807414 \h </w:instrText>
            </w:r>
            <w:r w:rsidR="00073530">
              <w:rPr>
                <w:noProof/>
                <w:webHidden/>
              </w:rPr>
            </w:r>
            <w:r w:rsidR="00073530">
              <w:rPr>
                <w:noProof/>
                <w:webHidden/>
              </w:rPr>
              <w:fldChar w:fldCharType="separate"/>
            </w:r>
            <w:r w:rsidR="009D26B2">
              <w:rPr>
                <w:noProof/>
                <w:webHidden/>
              </w:rPr>
              <w:t>12</w:t>
            </w:r>
            <w:r w:rsidR="00073530">
              <w:rPr>
                <w:noProof/>
                <w:webHidden/>
              </w:rPr>
              <w:fldChar w:fldCharType="end"/>
            </w:r>
          </w:hyperlink>
        </w:p>
        <w:p w14:paraId="76C45C86" w14:textId="01996605" w:rsidR="00073530" w:rsidRDefault="008444D3">
          <w:pPr>
            <w:pStyle w:val="TOC3"/>
            <w:tabs>
              <w:tab w:val="right" w:leader="dot" w:pos="9180"/>
            </w:tabs>
            <w:rPr>
              <w:rFonts w:eastAsiaTheme="minorEastAsia"/>
              <w:noProof/>
              <w:lang w:eastAsia="en-AU"/>
            </w:rPr>
          </w:pPr>
          <w:hyperlink w:anchor="_Toc134807415" w:history="1">
            <w:r w:rsidR="00073530" w:rsidRPr="005E2AF5">
              <w:rPr>
                <w:rStyle w:val="Hyperlink"/>
                <w:noProof/>
              </w:rPr>
              <w:t>Meeting Australia’s knowledge and skills needs</w:t>
            </w:r>
            <w:r w:rsidR="00073530">
              <w:rPr>
                <w:noProof/>
                <w:webHidden/>
              </w:rPr>
              <w:tab/>
            </w:r>
            <w:r w:rsidR="00073530">
              <w:rPr>
                <w:noProof/>
                <w:webHidden/>
              </w:rPr>
              <w:fldChar w:fldCharType="begin"/>
            </w:r>
            <w:r w:rsidR="00073530">
              <w:rPr>
                <w:noProof/>
                <w:webHidden/>
              </w:rPr>
              <w:instrText xml:space="preserve"> PAGEREF _Toc134807415 \h </w:instrText>
            </w:r>
            <w:r w:rsidR="00073530">
              <w:rPr>
                <w:noProof/>
                <w:webHidden/>
              </w:rPr>
            </w:r>
            <w:r w:rsidR="00073530">
              <w:rPr>
                <w:noProof/>
                <w:webHidden/>
              </w:rPr>
              <w:fldChar w:fldCharType="separate"/>
            </w:r>
            <w:r w:rsidR="009D26B2">
              <w:rPr>
                <w:noProof/>
                <w:webHidden/>
              </w:rPr>
              <w:t>12</w:t>
            </w:r>
            <w:r w:rsidR="00073530">
              <w:rPr>
                <w:noProof/>
                <w:webHidden/>
              </w:rPr>
              <w:fldChar w:fldCharType="end"/>
            </w:r>
          </w:hyperlink>
        </w:p>
        <w:p w14:paraId="661E64EF" w14:textId="0B8977E1" w:rsidR="00073530" w:rsidRDefault="008444D3">
          <w:pPr>
            <w:pStyle w:val="TOC3"/>
            <w:tabs>
              <w:tab w:val="right" w:leader="dot" w:pos="9180"/>
            </w:tabs>
            <w:rPr>
              <w:rFonts w:eastAsiaTheme="minorEastAsia"/>
              <w:noProof/>
              <w:lang w:eastAsia="en-AU"/>
            </w:rPr>
          </w:pPr>
          <w:hyperlink w:anchor="_Toc134807416" w:history="1">
            <w:r w:rsidR="00073530" w:rsidRPr="005E2AF5">
              <w:rPr>
                <w:rStyle w:val="Hyperlink"/>
                <w:noProof/>
              </w:rPr>
              <w:t>Quality teaching to deliver quality learning</w:t>
            </w:r>
            <w:r w:rsidR="00073530">
              <w:rPr>
                <w:noProof/>
                <w:webHidden/>
              </w:rPr>
              <w:tab/>
            </w:r>
            <w:r w:rsidR="00073530">
              <w:rPr>
                <w:noProof/>
                <w:webHidden/>
              </w:rPr>
              <w:fldChar w:fldCharType="begin"/>
            </w:r>
            <w:r w:rsidR="00073530">
              <w:rPr>
                <w:noProof/>
                <w:webHidden/>
              </w:rPr>
              <w:instrText xml:space="preserve"> PAGEREF _Toc134807416 \h </w:instrText>
            </w:r>
            <w:r w:rsidR="00073530">
              <w:rPr>
                <w:noProof/>
                <w:webHidden/>
              </w:rPr>
            </w:r>
            <w:r w:rsidR="00073530">
              <w:rPr>
                <w:noProof/>
                <w:webHidden/>
              </w:rPr>
              <w:fldChar w:fldCharType="separate"/>
            </w:r>
            <w:r w:rsidR="009D26B2">
              <w:rPr>
                <w:noProof/>
                <w:webHidden/>
              </w:rPr>
              <w:t>18</w:t>
            </w:r>
            <w:r w:rsidR="00073530">
              <w:rPr>
                <w:noProof/>
                <w:webHidden/>
              </w:rPr>
              <w:fldChar w:fldCharType="end"/>
            </w:r>
          </w:hyperlink>
        </w:p>
        <w:p w14:paraId="3713002A" w14:textId="318C7573" w:rsidR="00073530" w:rsidRDefault="008444D3">
          <w:pPr>
            <w:pStyle w:val="TOC3"/>
            <w:tabs>
              <w:tab w:val="right" w:leader="dot" w:pos="9180"/>
            </w:tabs>
            <w:rPr>
              <w:rFonts w:eastAsiaTheme="minorEastAsia"/>
              <w:noProof/>
              <w:lang w:eastAsia="en-AU"/>
            </w:rPr>
          </w:pPr>
          <w:hyperlink w:anchor="_Toc134807417" w:history="1">
            <w:r w:rsidR="00073530" w:rsidRPr="005E2AF5">
              <w:rPr>
                <w:rStyle w:val="Hyperlink"/>
                <w:rFonts w:cs="Calibri"/>
                <w:noProof/>
              </w:rPr>
              <w:t>Equitable access and a quality experience for all students</w:t>
            </w:r>
            <w:r w:rsidR="00073530">
              <w:rPr>
                <w:noProof/>
                <w:webHidden/>
              </w:rPr>
              <w:tab/>
            </w:r>
            <w:r w:rsidR="00073530">
              <w:rPr>
                <w:noProof/>
                <w:webHidden/>
              </w:rPr>
              <w:fldChar w:fldCharType="begin"/>
            </w:r>
            <w:r w:rsidR="00073530">
              <w:rPr>
                <w:noProof/>
                <w:webHidden/>
              </w:rPr>
              <w:instrText xml:space="preserve"> PAGEREF _Toc134807417 \h </w:instrText>
            </w:r>
            <w:r w:rsidR="00073530">
              <w:rPr>
                <w:noProof/>
                <w:webHidden/>
              </w:rPr>
            </w:r>
            <w:r w:rsidR="00073530">
              <w:rPr>
                <w:noProof/>
                <w:webHidden/>
              </w:rPr>
              <w:fldChar w:fldCharType="separate"/>
            </w:r>
            <w:r w:rsidR="009D26B2">
              <w:rPr>
                <w:noProof/>
                <w:webHidden/>
              </w:rPr>
              <w:t>26</w:t>
            </w:r>
            <w:r w:rsidR="00073530">
              <w:rPr>
                <w:noProof/>
                <w:webHidden/>
              </w:rPr>
              <w:fldChar w:fldCharType="end"/>
            </w:r>
          </w:hyperlink>
        </w:p>
        <w:p w14:paraId="6EFA0ED7" w14:textId="4F6ECD5D" w:rsidR="00073530" w:rsidRDefault="008444D3">
          <w:pPr>
            <w:pStyle w:val="TOC3"/>
            <w:tabs>
              <w:tab w:val="right" w:leader="dot" w:pos="9180"/>
            </w:tabs>
            <w:rPr>
              <w:rFonts w:eastAsiaTheme="minorEastAsia"/>
              <w:noProof/>
              <w:lang w:eastAsia="en-AU"/>
            </w:rPr>
          </w:pPr>
          <w:hyperlink w:anchor="_Toc134807418" w:history="1">
            <w:r w:rsidR="00073530" w:rsidRPr="005E2AF5">
              <w:rPr>
                <w:rStyle w:val="Hyperlink"/>
                <w:noProof/>
              </w:rPr>
              <w:t>New knowledge, innovation and capability</w:t>
            </w:r>
            <w:r w:rsidR="00073530">
              <w:rPr>
                <w:noProof/>
                <w:webHidden/>
              </w:rPr>
              <w:tab/>
            </w:r>
            <w:r w:rsidR="00073530">
              <w:rPr>
                <w:noProof/>
                <w:webHidden/>
              </w:rPr>
              <w:fldChar w:fldCharType="begin"/>
            </w:r>
            <w:r w:rsidR="00073530">
              <w:rPr>
                <w:noProof/>
                <w:webHidden/>
              </w:rPr>
              <w:instrText xml:space="preserve"> PAGEREF _Toc134807418 \h </w:instrText>
            </w:r>
            <w:r w:rsidR="00073530">
              <w:rPr>
                <w:noProof/>
                <w:webHidden/>
              </w:rPr>
            </w:r>
            <w:r w:rsidR="00073530">
              <w:rPr>
                <w:noProof/>
                <w:webHidden/>
              </w:rPr>
              <w:fldChar w:fldCharType="separate"/>
            </w:r>
            <w:r w:rsidR="009D26B2">
              <w:rPr>
                <w:noProof/>
                <w:webHidden/>
              </w:rPr>
              <w:t>38</w:t>
            </w:r>
            <w:r w:rsidR="00073530">
              <w:rPr>
                <w:noProof/>
                <w:webHidden/>
              </w:rPr>
              <w:fldChar w:fldCharType="end"/>
            </w:r>
          </w:hyperlink>
        </w:p>
        <w:p w14:paraId="0A18482B" w14:textId="0F102324" w:rsidR="00073530" w:rsidRDefault="008444D3">
          <w:pPr>
            <w:pStyle w:val="TOC3"/>
            <w:tabs>
              <w:tab w:val="right" w:leader="dot" w:pos="9180"/>
            </w:tabs>
            <w:rPr>
              <w:rFonts w:eastAsiaTheme="minorEastAsia"/>
              <w:noProof/>
              <w:lang w:eastAsia="en-AU"/>
            </w:rPr>
          </w:pPr>
          <w:hyperlink w:anchor="_Toc134807419" w:history="1">
            <w:r w:rsidR="00073530" w:rsidRPr="005E2AF5">
              <w:rPr>
                <w:rStyle w:val="Hyperlink"/>
                <w:noProof/>
              </w:rPr>
              <w:t>Connection to local, regional and international communities</w:t>
            </w:r>
            <w:r w:rsidR="00073530">
              <w:rPr>
                <w:noProof/>
                <w:webHidden/>
              </w:rPr>
              <w:tab/>
            </w:r>
            <w:r w:rsidR="00073530">
              <w:rPr>
                <w:noProof/>
                <w:webHidden/>
              </w:rPr>
              <w:fldChar w:fldCharType="begin"/>
            </w:r>
            <w:r w:rsidR="00073530">
              <w:rPr>
                <w:noProof/>
                <w:webHidden/>
              </w:rPr>
              <w:instrText xml:space="preserve"> PAGEREF _Toc134807419 \h </w:instrText>
            </w:r>
            <w:r w:rsidR="00073530">
              <w:rPr>
                <w:noProof/>
                <w:webHidden/>
              </w:rPr>
            </w:r>
            <w:r w:rsidR="00073530">
              <w:rPr>
                <w:noProof/>
                <w:webHidden/>
              </w:rPr>
              <w:fldChar w:fldCharType="separate"/>
            </w:r>
            <w:r w:rsidR="009D26B2">
              <w:rPr>
                <w:noProof/>
                <w:webHidden/>
              </w:rPr>
              <w:t>46</w:t>
            </w:r>
            <w:r w:rsidR="00073530">
              <w:rPr>
                <w:noProof/>
                <w:webHidden/>
              </w:rPr>
              <w:fldChar w:fldCharType="end"/>
            </w:r>
          </w:hyperlink>
        </w:p>
        <w:p w14:paraId="6095490D" w14:textId="7BEC7F10" w:rsidR="00073530" w:rsidRDefault="008444D3">
          <w:pPr>
            <w:pStyle w:val="TOC2"/>
            <w:tabs>
              <w:tab w:val="right" w:leader="dot" w:pos="9180"/>
            </w:tabs>
            <w:rPr>
              <w:rFonts w:eastAsiaTheme="minorEastAsia"/>
              <w:noProof/>
              <w:lang w:eastAsia="en-AU"/>
            </w:rPr>
          </w:pPr>
          <w:hyperlink w:anchor="_Toc134807420" w:history="1">
            <w:r w:rsidR="00073530" w:rsidRPr="005E2AF5">
              <w:rPr>
                <w:rStyle w:val="Hyperlink"/>
                <w:noProof/>
              </w:rPr>
              <w:t>Important enablers for the higher education sector</w:t>
            </w:r>
            <w:r w:rsidR="00073530">
              <w:rPr>
                <w:noProof/>
                <w:webHidden/>
              </w:rPr>
              <w:tab/>
            </w:r>
            <w:r w:rsidR="00073530">
              <w:rPr>
                <w:noProof/>
                <w:webHidden/>
              </w:rPr>
              <w:fldChar w:fldCharType="begin"/>
            </w:r>
            <w:r w:rsidR="00073530">
              <w:rPr>
                <w:noProof/>
                <w:webHidden/>
              </w:rPr>
              <w:instrText xml:space="preserve"> PAGEREF _Toc134807420 \h </w:instrText>
            </w:r>
            <w:r w:rsidR="00073530">
              <w:rPr>
                <w:noProof/>
                <w:webHidden/>
              </w:rPr>
            </w:r>
            <w:r w:rsidR="00073530">
              <w:rPr>
                <w:noProof/>
                <w:webHidden/>
              </w:rPr>
              <w:fldChar w:fldCharType="separate"/>
            </w:r>
            <w:r w:rsidR="009D26B2">
              <w:rPr>
                <w:noProof/>
                <w:webHidden/>
              </w:rPr>
              <w:t>51</w:t>
            </w:r>
            <w:r w:rsidR="00073530">
              <w:rPr>
                <w:noProof/>
                <w:webHidden/>
              </w:rPr>
              <w:fldChar w:fldCharType="end"/>
            </w:r>
          </w:hyperlink>
        </w:p>
        <w:p w14:paraId="5A2050BC" w14:textId="606A2E21" w:rsidR="00073530" w:rsidRDefault="008444D3">
          <w:pPr>
            <w:pStyle w:val="TOC3"/>
            <w:tabs>
              <w:tab w:val="right" w:leader="dot" w:pos="9180"/>
            </w:tabs>
            <w:rPr>
              <w:rFonts w:eastAsiaTheme="minorEastAsia"/>
              <w:noProof/>
              <w:lang w:eastAsia="en-AU"/>
            </w:rPr>
          </w:pPr>
          <w:hyperlink w:anchor="_Toc134807421" w:history="1">
            <w:r w:rsidR="00073530" w:rsidRPr="005E2AF5">
              <w:rPr>
                <w:rStyle w:val="Hyperlink"/>
                <w:noProof/>
              </w:rPr>
              <w:t>Coherence and integration between the VET and higher education systems</w:t>
            </w:r>
            <w:r w:rsidR="00073530">
              <w:rPr>
                <w:noProof/>
                <w:webHidden/>
              </w:rPr>
              <w:tab/>
            </w:r>
            <w:r w:rsidR="00073530">
              <w:rPr>
                <w:noProof/>
                <w:webHidden/>
              </w:rPr>
              <w:fldChar w:fldCharType="begin"/>
            </w:r>
            <w:r w:rsidR="00073530">
              <w:rPr>
                <w:noProof/>
                <w:webHidden/>
              </w:rPr>
              <w:instrText xml:space="preserve"> PAGEREF _Toc134807421 \h </w:instrText>
            </w:r>
            <w:r w:rsidR="00073530">
              <w:rPr>
                <w:noProof/>
                <w:webHidden/>
              </w:rPr>
            </w:r>
            <w:r w:rsidR="00073530">
              <w:rPr>
                <w:noProof/>
                <w:webHidden/>
              </w:rPr>
              <w:fldChar w:fldCharType="separate"/>
            </w:r>
            <w:r w:rsidR="009D26B2">
              <w:rPr>
                <w:noProof/>
                <w:webHidden/>
              </w:rPr>
              <w:t>51</w:t>
            </w:r>
            <w:r w:rsidR="00073530">
              <w:rPr>
                <w:noProof/>
                <w:webHidden/>
              </w:rPr>
              <w:fldChar w:fldCharType="end"/>
            </w:r>
          </w:hyperlink>
        </w:p>
        <w:p w14:paraId="24C63469" w14:textId="00B175D1" w:rsidR="00073530" w:rsidRDefault="008444D3">
          <w:pPr>
            <w:pStyle w:val="TOC3"/>
            <w:tabs>
              <w:tab w:val="right" w:leader="dot" w:pos="9180"/>
            </w:tabs>
            <w:rPr>
              <w:rFonts w:eastAsiaTheme="minorEastAsia"/>
              <w:noProof/>
              <w:lang w:eastAsia="en-AU"/>
            </w:rPr>
          </w:pPr>
          <w:hyperlink w:anchor="_Toc134807422" w:history="1">
            <w:r w:rsidR="00073530" w:rsidRPr="005E2AF5">
              <w:rPr>
                <w:rStyle w:val="Hyperlink"/>
                <w:noProof/>
              </w:rPr>
              <w:t>Secure, affordable funding arrangements and incentives</w:t>
            </w:r>
            <w:r w:rsidR="00073530">
              <w:rPr>
                <w:noProof/>
                <w:webHidden/>
              </w:rPr>
              <w:tab/>
            </w:r>
            <w:r w:rsidR="00073530">
              <w:rPr>
                <w:noProof/>
                <w:webHidden/>
              </w:rPr>
              <w:fldChar w:fldCharType="begin"/>
            </w:r>
            <w:r w:rsidR="00073530">
              <w:rPr>
                <w:noProof/>
                <w:webHidden/>
              </w:rPr>
              <w:instrText xml:space="preserve"> PAGEREF _Toc134807422 \h </w:instrText>
            </w:r>
            <w:r w:rsidR="00073530">
              <w:rPr>
                <w:noProof/>
                <w:webHidden/>
              </w:rPr>
            </w:r>
            <w:r w:rsidR="00073530">
              <w:rPr>
                <w:noProof/>
                <w:webHidden/>
              </w:rPr>
              <w:fldChar w:fldCharType="separate"/>
            </w:r>
            <w:r w:rsidR="009D26B2">
              <w:rPr>
                <w:noProof/>
                <w:webHidden/>
              </w:rPr>
              <w:t>57</w:t>
            </w:r>
            <w:r w:rsidR="00073530">
              <w:rPr>
                <w:noProof/>
                <w:webHidden/>
              </w:rPr>
              <w:fldChar w:fldCharType="end"/>
            </w:r>
          </w:hyperlink>
        </w:p>
        <w:p w14:paraId="62D55A23" w14:textId="5D8DC394" w:rsidR="00073530" w:rsidRDefault="008444D3">
          <w:pPr>
            <w:pStyle w:val="TOC3"/>
            <w:tabs>
              <w:tab w:val="right" w:leader="dot" w:pos="9180"/>
            </w:tabs>
            <w:rPr>
              <w:rFonts w:eastAsiaTheme="minorEastAsia"/>
              <w:noProof/>
              <w:lang w:eastAsia="en-AU"/>
            </w:rPr>
          </w:pPr>
          <w:hyperlink w:anchor="_Toc134807423" w:history="1">
            <w:r w:rsidR="00073530" w:rsidRPr="005E2AF5">
              <w:rPr>
                <w:rStyle w:val="Hyperlink"/>
                <w:noProof/>
              </w:rPr>
              <w:t>Strong governance and accountability</w:t>
            </w:r>
            <w:r w:rsidR="00073530">
              <w:rPr>
                <w:noProof/>
                <w:webHidden/>
              </w:rPr>
              <w:tab/>
            </w:r>
            <w:r w:rsidR="00073530">
              <w:rPr>
                <w:noProof/>
                <w:webHidden/>
              </w:rPr>
              <w:fldChar w:fldCharType="begin"/>
            </w:r>
            <w:r w:rsidR="00073530">
              <w:rPr>
                <w:noProof/>
                <w:webHidden/>
              </w:rPr>
              <w:instrText xml:space="preserve"> PAGEREF _Toc134807423 \h </w:instrText>
            </w:r>
            <w:r w:rsidR="00073530">
              <w:rPr>
                <w:noProof/>
                <w:webHidden/>
              </w:rPr>
            </w:r>
            <w:r w:rsidR="00073530">
              <w:rPr>
                <w:noProof/>
                <w:webHidden/>
              </w:rPr>
              <w:fldChar w:fldCharType="separate"/>
            </w:r>
            <w:r w:rsidR="009D26B2">
              <w:rPr>
                <w:noProof/>
                <w:webHidden/>
              </w:rPr>
              <w:t>62</w:t>
            </w:r>
            <w:r w:rsidR="00073530">
              <w:rPr>
                <w:noProof/>
                <w:webHidden/>
              </w:rPr>
              <w:fldChar w:fldCharType="end"/>
            </w:r>
          </w:hyperlink>
        </w:p>
        <w:p w14:paraId="2DEFE12F" w14:textId="485B71C5" w:rsidR="00073530" w:rsidRDefault="008444D3">
          <w:pPr>
            <w:pStyle w:val="TOC3"/>
            <w:tabs>
              <w:tab w:val="right" w:leader="dot" w:pos="9180"/>
            </w:tabs>
            <w:rPr>
              <w:rFonts w:eastAsiaTheme="minorEastAsia"/>
              <w:noProof/>
              <w:lang w:eastAsia="en-AU"/>
            </w:rPr>
          </w:pPr>
          <w:hyperlink w:anchor="_Toc134807424" w:history="1">
            <w:r w:rsidR="00073530" w:rsidRPr="005E2AF5">
              <w:rPr>
                <w:rStyle w:val="Hyperlink"/>
                <w:noProof/>
              </w:rPr>
              <w:t>Investment in capability and recognition of the higher education workforce</w:t>
            </w:r>
            <w:r w:rsidR="00073530">
              <w:rPr>
                <w:noProof/>
                <w:webHidden/>
              </w:rPr>
              <w:tab/>
            </w:r>
            <w:r w:rsidR="00073530">
              <w:rPr>
                <w:noProof/>
                <w:webHidden/>
              </w:rPr>
              <w:fldChar w:fldCharType="begin"/>
            </w:r>
            <w:r w:rsidR="00073530">
              <w:rPr>
                <w:noProof/>
                <w:webHidden/>
              </w:rPr>
              <w:instrText xml:space="preserve"> PAGEREF _Toc134807424 \h </w:instrText>
            </w:r>
            <w:r w:rsidR="00073530">
              <w:rPr>
                <w:noProof/>
                <w:webHidden/>
              </w:rPr>
            </w:r>
            <w:r w:rsidR="00073530">
              <w:rPr>
                <w:noProof/>
                <w:webHidden/>
              </w:rPr>
              <w:fldChar w:fldCharType="separate"/>
            </w:r>
            <w:r w:rsidR="009D26B2">
              <w:rPr>
                <w:noProof/>
                <w:webHidden/>
              </w:rPr>
              <w:t>65</w:t>
            </w:r>
            <w:r w:rsidR="00073530">
              <w:rPr>
                <w:noProof/>
                <w:webHidden/>
              </w:rPr>
              <w:fldChar w:fldCharType="end"/>
            </w:r>
          </w:hyperlink>
        </w:p>
        <w:p w14:paraId="669E9433" w14:textId="64272B36" w:rsidR="00073530" w:rsidRDefault="008444D3">
          <w:pPr>
            <w:pStyle w:val="TOC2"/>
            <w:tabs>
              <w:tab w:val="right" w:leader="dot" w:pos="9180"/>
            </w:tabs>
            <w:rPr>
              <w:rFonts w:eastAsiaTheme="minorEastAsia"/>
              <w:noProof/>
              <w:lang w:eastAsia="en-AU"/>
            </w:rPr>
          </w:pPr>
          <w:hyperlink w:anchor="_Toc134807425" w:history="1">
            <w:r w:rsidR="00073530" w:rsidRPr="005E2AF5">
              <w:rPr>
                <w:rStyle w:val="Hyperlink"/>
                <w:noProof/>
              </w:rPr>
              <w:t>Appendix</w:t>
            </w:r>
            <w:r w:rsidR="00073530">
              <w:rPr>
                <w:noProof/>
                <w:webHidden/>
              </w:rPr>
              <w:tab/>
            </w:r>
            <w:r w:rsidR="00073530">
              <w:rPr>
                <w:noProof/>
                <w:webHidden/>
              </w:rPr>
              <w:fldChar w:fldCharType="begin"/>
            </w:r>
            <w:r w:rsidR="00073530">
              <w:rPr>
                <w:noProof/>
                <w:webHidden/>
              </w:rPr>
              <w:instrText xml:space="preserve"> PAGEREF _Toc134807425 \h </w:instrText>
            </w:r>
            <w:r w:rsidR="00073530">
              <w:rPr>
                <w:noProof/>
                <w:webHidden/>
              </w:rPr>
            </w:r>
            <w:r w:rsidR="00073530">
              <w:rPr>
                <w:noProof/>
                <w:webHidden/>
              </w:rPr>
              <w:fldChar w:fldCharType="separate"/>
            </w:r>
            <w:r w:rsidR="009D26B2">
              <w:rPr>
                <w:noProof/>
                <w:webHidden/>
              </w:rPr>
              <w:t>70</w:t>
            </w:r>
            <w:r w:rsidR="00073530">
              <w:rPr>
                <w:noProof/>
                <w:webHidden/>
              </w:rPr>
              <w:fldChar w:fldCharType="end"/>
            </w:r>
          </w:hyperlink>
        </w:p>
        <w:p w14:paraId="6CA85758" w14:textId="32838D35" w:rsidR="00073530" w:rsidRDefault="008444D3">
          <w:pPr>
            <w:pStyle w:val="TOC3"/>
            <w:tabs>
              <w:tab w:val="right" w:leader="dot" w:pos="9180"/>
            </w:tabs>
            <w:rPr>
              <w:rFonts w:eastAsiaTheme="minorEastAsia"/>
              <w:noProof/>
              <w:lang w:eastAsia="en-AU"/>
            </w:rPr>
          </w:pPr>
          <w:hyperlink w:anchor="_Toc134807426" w:history="1">
            <w:r w:rsidR="00073530" w:rsidRPr="005E2AF5">
              <w:rPr>
                <w:rStyle w:val="Hyperlink"/>
                <w:noProof/>
              </w:rPr>
              <w:t>Responses to the discussion paper</w:t>
            </w:r>
            <w:r w:rsidR="00073530">
              <w:rPr>
                <w:noProof/>
                <w:webHidden/>
              </w:rPr>
              <w:tab/>
            </w:r>
            <w:r w:rsidR="00073530">
              <w:rPr>
                <w:noProof/>
                <w:webHidden/>
              </w:rPr>
              <w:fldChar w:fldCharType="begin"/>
            </w:r>
            <w:r w:rsidR="00073530">
              <w:rPr>
                <w:noProof/>
                <w:webHidden/>
              </w:rPr>
              <w:instrText xml:space="preserve"> PAGEREF _Toc134807426 \h </w:instrText>
            </w:r>
            <w:r w:rsidR="00073530">
              <w:rPr>
                <w:noProof/>
                <w:webHidden/>
              </w:rPr>
            </w:r>
            <w:r w:rsidR="00073530">
              <w:rPr>
                <w:noProof/>
                <w:webHidden/>
              </w:rPr>
              <w:fldChar w:fldCharType="separate"/>
            </w:r>
            <w:r w:rsidR="009D26B2">
              <w:rPr>
                <w:noProof/>
                <w:webHidden/>
              </w:rPr>
              <w:t>70</w:t>
            </w:r>
            <w:r w:rsidR="00073530">
              <w:rPr>
                <w:noProof/>
                <w:webHidden/>
              </w:rPr>
              <w:fldChar w:fldCharType="end"/>
            </w:r>
          </w:hyperlink>
        </w:p>
        <w:p w14:paraId="112BBD9D" w14:textId="043DAEAD" w:rsidR="00073530" w:rsidRDefault="008444D3">
          <w:pPr>
            <w:pStyle w:val="TOC3"/>
            <w:tabs>
              <w:tab w:val="right" w:leader="dot" w:pos="9180"/>
            </w:tabs>
            <w:rPr>
              <w:rFonts w:eastAsiaTheme="minorEastAsia"/>
              <w:noProof/>
              <w:lang w:eastAsia="en-AU"/>
            </w:rPr>
          </w:pPr>
          <w:hyperlink w:anchor="_Toc134807427" w:history="1">
            <w:r w:rsidR="00073530" w:rsidRPr="005E2AF5">
              <w:rPr>
                <w:rStyle w:val="Hyperlink"/>
                <w:noProof/>
              </w:rPr>
              <w:t>Glossary</w:t>
            </w:r>
            <w:r w:rsidR="00073530">
              <w:rPr>
                <w:noProof/>
                <w:webHidden/>
              </w:rPr>
              <w:tab/>
            </w:r>
            <w:r w:rsidR="00073530">
              <w:rPr>
                <w:noProof/>
                <w:webHidden/>
              </w:rPr>
              <w:fldChar w:fldCharType="begin"/>
            </w:r>
            <w:r w:rsidR="00073530">
              <w:rPr>
                <w:noProof/>
                <w:webHidden/>
              </w:rPr>
              <w:instrText xml:space="preserve"> PAGEREF _Toc134807427 \h </w:instrText>
            </w:r>
            <w:r w:rsidR="00073530">
              <w:rPr>
                <w:noProof/>
                <w:webHidden/>
              </w:rPr>
            </w:r>
            <w:r w:rsidR="00073530">
              <w:rPr>
                <w:noProof/>
                <w:webHidden/>
              </w:rPr>
              <w:fldChar w:fldCharType="separate"/>
            </w:r>
            <w:r w:rsidR="009D26B2">
              <w:rPr>
                <w:noProof/>
                <w:webHidden/>
              </w:rPr>
              <w:t>79</w:t>
            </w:r>
            <w:r w:rsidR="00073530">
              <w:rPr>
                <w:noProof/>
                <w:webHidden/>
              </w:rPr>
              <w:fldChar w:fldCharType="end"/>
            </w:r>
          </w:hyperlink>
        </w:p>
        <w:p w14:paraId="24FD9B03" w14:textId="5615E037" w:rsidR="003760A2" w:rsidRDefault="003760A2">
          <w:r>
            <w:rPr>
              <w:b/>
              <w:bCs/>
              <w:noProof/>
            </w:rPr>
            <w:fldChar w:fldCharType="end"/>
          </w:r>
        </w:p>
      </w:sdtContent>
    </w:sdt>
    <w:p w14:paraId="2F078D42" w14:textId="77777777" w:rsidR="003760A2" w:rsidRDefault="003760A2">
      <w:pPr>
        <w:spacing w:after="160" w:line="259" w:lineRule="auto"/>
        <w:rPr>
          <w:rFonts w:ascii="Calibri" w:eastAsiaTheme="majorEastAsia" w:hAnsi="Calibri" w:cstheme="majorBidi"/>
          <w:b/>
          <w:color w:val="002D3F"/>
          <w:sz w:val="30"/>
          <w:szCs w:val="26"/>
        </w:rPr>
      </w:pPr>
      <w:r>
        <w:br w:type="page"/>
      </w:r>
    </w:p>
    <w:p w14:paraId="02B847B9" w14:textId="77777777" w:rsidR="006C67F3" w:rsidRDefault="0051458F" w:rsidP="00FD09E9">
      <w:pPr>
        <w:pStyle w:val="Heading1"/>
      </w:pPr>
      <w:bookmarkStart w:id="0" w:name="_Toc134807399"/>
      <w:r>
        <w:lastRenderedPageBreak/>
        <w:t>Executive Summary</w:t>
      </w:r>
      <w:bookmarkEnd w:id="0"/>
    </w:p>
    <w:p w14:paraId="61F127CE" w14:textId="77777777" w:rsidR="008249BE" w:rsidRDefault="008249BE" w:rsidP="008249BE">
      <w:pPr>
        <w:pStyle w:val="Heading2"/>
      </w:pPr>
      <w:bookmarkStart w:id="1" w:name="_Toc134617270"/>
      <w:bookmarkStart w:id="2" w:name="_Toc134807400"/>
      <w:r>
        <w:t>About this report</w:t>
      </w:r>
      <w:bookmarkEnd w:id="1"/>
      <w:bookmarkEnd w:id="2"/>
    </w:p>
    <w:p w14:paraId="7B90F34B" w14:textId="284F1AFE" w:rsidR="008249BE" w:rsidRDefault="008249BE" w:rsidP="008249BE">
      <w:r w:rsidRPr="00162330">
        <w:t>The Australian Universities Accord is an initiative by the Australian Government to increase alignment between Australia’s national goals and the higher education sector.</w:t>
      </w:r>
      <w:r w:rsidRPr="002172B6">
        <w:t xml:space="preserve"> </w:t>
      </w:r>
      <w:r w:rsidR="009970A6">
        <w:t xml:space="preserve">In February 2023, the Australian Universities Accord Panel </w:t>
      </w:r>
      <w:r w:rsidR="009970A6" w:rsidRPr="009970A6">
        <w:t xml:space="preserve">invited stakeholders to make a submission to a </w:t>
      </w:r>
      <w:hyperlink r:id="rId12" w:history="1">
        <w:r w:rsidR="009970A6" w:rsidRPr="009970A6">
          <w:rPr>
            <w:rStyle w:val="Hyperlink"/>
          </w:rPr>
          <w:t>Discussion Paper</w:t>
        </w:r>
      </w:hyperlink>
      <w:r w:rsidR="009970A6" w:rsidRPr="009970A6">
        <w:t xml:space="preserve"> outlining the fundamental challenges and opportunities facing the Australian higher education sector</w:t>
      </w:r>
      <w:r w:rsidR="009970A6">
        <w:t xml:space="preserve">. </w:t>
      </w:r>
      <w:r w:rsidRPr="002172B6">
        <w:t xml:space="preserve">This document </w:t>
      </w:r>
      <w:r w:rsidR="009970A6">
        <w:t>summarises</w:t>
      </w:r>
      <w:r w:rsidRPr="002172B6">
        <w:t xml:space="preserve"> responses to the Discussion Paper. Nous Group (Nous) </w:t>
      </w:r>
      <w:r>
        <w:t>t</w:t>
      </w:r>
      <w:r w:rsidRPr="002172B6">
        <w:t>he author</w:t>
      </w:r>
      <w:r>
        <w:t>,</w:t>
      </w:r>
      <w:r w:rsidRPr="002172B6">
        <w:t xml:space="preserve"> has identified and summarised common themes and recommendations provided in the submissions (a full methodology of how the themes were identified can be read in the Methodology section </w:t>
      </w:r>
      <w:r>
        <w:t>in the body of the report</w:t>
      </w:r>
      <w:r w:rsidRPr="002172B6">
        <w:t>).</w:t>
      </w:r>
    </w:p>
    <w:p w14:paraId="02D28A86" w14:textId="68C71576" w:rsidR="008249BE" w:rsidRDefault="008249BE" w:rsidP="008249BE">
      <w:r w:rsidRPr="006412EB">
        <w:t xml:space="preserve">This report includes analysis of the 303 submissions received by </w:t>
      </w:r>
      <w:r w:rsidR="005A3A2C">
        <w:t>May 1</w:t>
      </w:r>
      <w:r w:rsidR="005A3A2C" w:rsidRPr="005A3A2C">
        <w:rPr>
          <w:vertAlign w:val="superscript"/>
        </w:rPr>
        <w:t>st</w:t>
      </w:r>
      <w:r w:rsidR="005A3A2C">
        <w:t xml:space="preserve">, </w:t>
      </w:r>
      <w:r w:rsidR="009066E5">
        <w:t>2023</w:t>
      </w:r>
      <w:r w:rsidR="005A3A2C">
        <w:t xml:space="preserve">. </w:t>
      </w:r>
      <w:r w:rsidRPr="006412EB">
        <w:t xml:space="preserve"> Submissions were received from a wide range of stakeholders. The </w:t>
      </w:r>
      <w:r w:rsidRPr="009066E5">
        <w:t>graph</w:t>
      </w:r>
      <w:r w:rsidRPr="006412EB">
        <w:t xml:space="preserve"> below outlines the distribution of submissions received.</w:t>
      </w:r>
    </w:p>
    <w:p w14:paraId="06D4920A" w14:textId="4A6DF092" w:rsidR="009066E5" w:rsidRPr="0028304D" w:rsidRDefault="009066E5" w:rsidP="009066E5">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w:t>
      </w:r>
      <w:r w:rsidR="008444D3">
        <w:rPr>
          <w:noProof/>
        </w:rPr>
        <w:fldChar w:fldCharType="end"/>
      </w:r>
      <w:r>
        <w:t xml:space="preserve"> | </w:t>
      </w:r>
      <w:r w:rsidRPr="00A56B46">
        <w:t>Distribution of submissions received in response to the Discussion Paper (N=303)</w:t>
      </w:r>
    </w:p>
    <w:p w14:paraId="23F3352B" w14:textId="77777777" w:rsidR="009066E5" w:rsidRPr="00173633" w:rsidRDefault="009066E5" w:rsidP="009066E5">
      <w:r w:rsidRPr="00FC548D">
        <w:rPr>
          <w:noProof/>
        </w:rPr>
        <w:drawing>
          <wp:inline distT="0" distB="0" distL="0" distR="0" wp14:anchorId="444B7A8D" wp14:editId="6E1EAD0F">
            <wp:extent cx="5835650" cy="3608070"/>
            <wp:effectExtent l="0" t="0" r="0" b="0"/>
            <wp:docPr id="50" name="Picture 50" descr="Bar graph. &#10;The Australian Universities Accord Discussion Paper received 303 submissions. Individuals, other advocacy groups and universities were the top three categories of submitters. &#10;Graph data:&#10;Individual - 77&#10;Other advocacy - 40&#10;University - 40&#10;University school, centre, faculty or college - 20&#10;University staff - 19&#10;Other higher education - 17&#10;Professional association - 12&#10;Discipline group - 11&#10;Student representatives - 10&#10;Independent provider - 9&#10;Higher education peak body - 8&#10;Regional networks and support services - 7&#10;Other - 7 &#10;State or Commonwealth government body - 6&#10;Business - 6&#10;First Nations organisation - 4&#10;Local government body - 4&#10;Other peak body - 3&#10;Union -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Bar graph. &#10;The Australian Universities Accord Discussion Paper received 303 submissions. Individuals, other advocacy groups and universities were the top three categories of submitters. &#10;Graph data:&#10;Individual - 77&#10;Other advocacy - 40&#10;University - 40&#10;University school, centre, faculty or college - 20&#10;University staff - 19&#10;Other higher education - 17&#10;Professional association - 12&#10;Discipline group - 11&#10;Student representatives - 10&#10;Independent provider - 9&#10;Higher education peak body - 8&#10;Regional networks and support services - 7&#10;Other - 7 &#10;State or Commonwealth government body - 6&#10;Business - 6&#10;First Nations organisation - 4&#10;Local government body - 4&#10;Other peak body - 3&#10;Union - 3&#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650" cy="3608070"/>
                    </a:xfrm>
                    <a:prstGeom prst="rect">
                      <a:avLst/>
                    </a:prstGeom>
                    <a:noFill/>
                    <a:ln>
                      <a:noFill/>
                    </a:ln>
                  </pic:spPr>
                </pic:pic>
              </a:graphicData>
            </a:graphic>
          </wp:inline>
        </w:drawing>
      </w:r>
    </w:p>
    <w:p w14:paraId="6218D6F9" w14:textId="5797BC52" w:rsidR="008249BE" w:rsidRDefault="008249BE" w:rsidP="008249BE">
      <w:r>
        <w:t xml:space="preserve">This document objectively reports the themes in the submissions. It does not provide comment about the validity of </w:t>
      </w:r>
      <w:proofErr w:type="gramStart"/>
      <w:r>
        <w:t>statements</w:t>
      </w:r>
      <w:proofErr w:type="gramEnd"/>
      <w:r>
        <w:t xml:space="preserve"> nor does it provide subjective opinion or inference about statements.</w:t>
      </w:r>
    </w:p>
    <w:p w14:paraId="4DB352C5" w14:textId="77777777" w:rsidR="008249BE" w:rsidRDefault="008249BE" w:rsidP="008249BE">
      <w:pPr>
        <w:pStyle w:val="Heading2"/>
      </w:pPr>
      <w:bookmarkStart w:id="3" w:name="_Toc134617272"/>
      <w:bookmarkStart w:id="4" w:name="_Toc134807401"/>
      <w:r>
        <w:t>The future of the sector</w:t>
      </w:r>
      <w:bookmarkEnd w:id="3"/>
      <w:bookmarkEnd w:id="4"/>
    </w:p>
    <w:p w14:paraId="1B3AD40E" w14:textId="7D7369DD" w:rsidR="00A85653" w:rsidRDefault="00A85653" w:rsidP="00883754">
      <w:r>
        <w:t xml:space="preserve">Submissions </w:t>
      </w:r>
      <w:r w:rsidR="007B6E5C">
        <w:t xml:space="preserve">provided recommendations for the future of the </w:t>
      </w:r>
      <w:r w:rsidR="00207AD7">
        <w:t xml:space="preserve">higher education sector. </w:t>
      </w:r>
      <w:r w:rsidR="003959E6">
        <w:t xml:space="preserve">The </w:t>
      </w:r>
      <w:r w:rsidR="00883754">
        <w:t xml:space="preserve">table below provides a summary of these </w:t>
      </w:r>
      <w:r w:rsidR="00CE5007">
        <w:t xml:space="preserve">recommendations. </w:t>
      </w:r>
    </w:p>
    <w:tbl>
      <w:tblPr>
        <w:tblStyle w:val="PlainTable1"/>
        <w:tblW w:w="9209" w:type="dxa"/>
        <w:tblLook w:val="04A0" w:firstRow="1" w:lastRow="0" w:firstColumn="1" w:lastColumn="0" w:noHBand="0" w:noVBand="1"/>
      </w:tblPr>
      <w:tblGrid>
        <w:gridCol w:w="3060"/>
        <w:gridCol w:w="6149"/>
      </w:tblGrid>
      <w:tr w:rsidR="008249BE" w:rsidRPr="009D6FE0" w14:paraId="58851A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57D6421B" w14:textId="77AA6189" w:rsidR="008249BE" w:rsidRPr="001C4A65" w:rsidRDefault="008F0883">
            <w:pPr>
              <w:pStyle w:val="ListNumber"/>
              <w:numPr>
                <w:ilvl w:val="0"/>
                <w:numId w:val="0"/>
              </w:numPr>
              <w:rPr>
                <w:sz w:val="20"/>
                <w:szCs w:val="20"/>
              </w:rPr>
            </w:pPr>
            <w:r>
              <w:rPr>
                <w:sz w:val="20"/>
                <w:szCs w:val="20"/>
              </w:rPr>
              <w:lastRenderedPageBreak/>
              <w:t>Key Theme</w:t>
            </w:r>
          </w:p>
        </w:tc>
        <w:tc>
          <w:tcPr>
            <w:tcW w:w="6149" w:type="dxa"/>
          </w:tcPr>
          <w:p w14:paraId="51B2EEEF" w14:textId="77777777" w:rsidR="008249BE" w:rsidRPr="001C4A65" w:rsidRDefault="008249BE">
            <w:pPr>
              <w:pStyle w:val="ListNumber"/>
              <w:numPr>
                <w:ilvl w:val="0"/>
                <w:numId w:val="0"/>
              </w:numPr>
              <w:cnfStyle w:val="100000000000" w:firstRow="1" w:lastRow="0" w:firstColumn="0" w:lastColumn="0" w:oddVBand="0" w:evenVBand="0" w:oddHBand="0" w:evenHBand="0" w:firstRowFirstColumn="0" w:firstRowLastColumn="0" w:lastRowFirstColumn="0" w:lastRowLastColumn="0"/>
              <w:rPr>
                <w:sz w:val="20"/>
                <w:szCs w:val="20"/>
              </w:rPr>
            </w:pPr>
            <w:r w:rsidRPr="001C4A65">
              <w:rPr>
                <w:sz w:val="20"/>
                <w:szCs w:val="20"/>
              </w:rPr>
              <w:t>Recommendations</w:t>
            </w:r>
          </w:p>
        </w:tc>
      </w:tr>
      <w:tr w:rsidR="008249BE" w:rsidRPr="009D6FE0" w14:paraId="728D54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055A15E9" w14:textId="566B37FC" w:rsidR="008249BE" w:rsidRPr="001C4A65" w:rsidRDefault="00D92971">
            <w:pPr>
              <w:pStyle w:val="ListNumber"/>
              <w:numPr>
                <w:ilvl w:val="0"/>
                <w:numId w:val="0"/>
              </w:numPr>
              <w:rPr>
                <w:b w:val="0"/>
                <w:sz w:val="20"/>
                <w:szCs w:val="20"/>
              </w:rPr>
            </w:pPr>
            <w:r>
              <w:rPr>
                <w:sz w:val="20"/>
                <w:szCs w:val="20"/>
              </w:rPr>
              <w:t xml:space="preserve">Meeting Australia’s </w:t>
            </w:r>
            <w:r w:rsidR="008249BE" w:rsidRPr="001C4A65">
              <w:rPr>
                <w:sz w:val="20"/>
                <w:szCs w:val="20"/>
              </w:rPr>
              <w:t xml:space="preserve">Knowledge </w:t>
            </w:r>
            <w:r w:rsidR="00B36543">
              <w:rPr>
                <w:sz w:val="20"/>
                <w:szCs w:val="20"/>
              </w:rPr>
              <w:t>and</w:t>
            </w:r>
            <w:r w:rsidR="008249BE" w:rsidRPr="001C4A65">
              <w:rPr>
                <w:sz w:val="20"/>
                <w:szCs w:val="20"/>
              </w:rPr>
              <w:t xml:space="preserve"> Skills Needs</w:t>
            </w:r>
          </w:p>
          <w:p w14:paraId="6C073334" w14:textId="77777777" w:rsidR="008249BE" w:rsidRPr="001C4A65" w:rsidRDefault="008249BE">
            <w:pPr>
              <w:pStyle w:val="ListNumber"/>
              <w:numPr>
                <w:ilvl w:val="0"/>
                <w:numId w:val="0"/>
              </w:numPr>
              <w:rPr>
                <w:b w:val="0"/>
                <w:sz w:val="20"/>
                <w:szCs w:val="20"/>
              </w:rPr>
            </w:pPr>
            <w:r w:rsidRPr="001C4A65">
              <w:rPr>
                <w:b w:val="0"/>
                <w:sz w:val="20"/>
                <w:szCs w:val="20"/>
              </w:rPr>
              <w:t>The discussion paper asked for views on what Australia’s long-term targets for higher education attainment should be to help the sector fulfil this role.</w:t>
            </w:r>
          </w:p>
        </w:tc>
        <w:tc>
          <w:tcPr>
            <w:tcW w:w="6149" w:type="dxa"/>
          </w:tcPr>
          <w:p w14:paraId="19722B58" w14:textId="4FC3E9AF" w:rsidR="00832F96" w:rsidRPr="009D6FE0" w:rsidRDefault="008249BE" w:rsidP="00832F96">
            <w:pPr>
              <w:pStyle w:val="ListBullet"/>
              <w:numPr>
                <w:ilvl w:val="0"/>
                <w:numId w:val="0"/>
              </w:numPr>
              <w:ind w:left="357" w:hanging="357"/>
              <w:cnfStyle w:val="000000100000" w:firstRow="0" w:lastRow="0" w:firstColumn="0" w:lastColumn="0" w:oddVBand="0" w:evenVBand="0" w:oddHBand="1" w:evenHBand="0" w:firstRowFirstColumn="0" w:firstRowLastColumn="0" w:lastRowFirstColumn="0" w:lastRowLastColumn="0"/>
              <w:rPr>
                <w:b/>
                <w:bCs/>
                <w:sz w:val="20"/>
                <w:szCs w:val="20"/>
              </w:rPr>
            </w:pPr>
            <w:r w:rsidRPr="009D6FE0">
              <w:rPr>
                <w:b/>
                <w:sz w:val="20"/>
                <w:szCs w:val="20"/>
              </w:rPr>
              <w:t xml:space="preserve">Increase </w:t>
            </w:r>
            <w:r w:rsidR="00832F96" w:rsidRPr="009D6FE0">
              <w:rPr>
                <w:b/>
                <w:bCs/>
                <w:sz w:val="20"/>
                <w:szCs w:val="20"/>
              </w:rPr>
              <w:t xml:space="preserve">the </w:t>
            </w:r>
            <w:r w:rsidRPr="009D6FE0">
              <w:rPr>
                <w:b/>
                <w:sz w:val="20"/>
                <w:szCs w:val="20"/>
              </w:rPr>
              <w:t>demand for higher education</w:t>
            </w:r>
            <w:r w:rsidR="00832F96" w:rsidRPr="009D6FE0">
              <w:rPr>
                <w:b/>
                <w:bCs/>
                <w:sz w:val="20"/>
                <w:szCs w:val="20"/>
              </w:rPr>
              <w:t>:</w:t>
            </w:r>
          </w:p>
          <w:p w14:paraId="333C1B87" w14:textId="7D1B3FF9" w:rsidR="00832F96" w:rsidRPr="009D6FE0" w:rsidRDefault="00832F96" w:rsidP="00832F96">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Increase access through better pathways and supports </w:t>
            </w:r>
          </w:p>
          <w:p w14:paraId="23F8EBD4" w14:textId="5546EF9C" w:rsidR="00832F96" w:rsidRPr="009D6FE0" w:rsidRDefault="00832F96" w:rsidP="00832F96">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Reduce the cost burden of higher education </w:t>
            </w:r>
          </w:p>
          <w:p w14:paraId="6B444E7E" w14:textId="68667979" w:rsidR="008249BE" w:rsidRPr="001C4A65" w:rsidRDefault="00832F96">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Increase outreach to secondary schools</w:t>
            </w:r>
            <w:r w:rsidR="007A0916" w:rsidRPr="009D6FE0">
              <w:rPr>
                <w:sz w:val="20"/>
                <w:szCs w:val="20"/>
              </w:rPr>
              <w:t>.</w:t>
            </w:r>
          </w:p>
          <w:p w14:paraId="36843AAD" w14:textId="78F902AC" w:rsidR="008249BE" w:rsidRPr="00984FE7" w:rsidRDefault="00832F96" w:rsidP="00832F9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sz w:val="20"/>
                <w:szCs w:val="20"/>
              </w:rPr>
            </w:pPr>
            <w:r w:rsidRPr="00984FE7">
              <w:rPr>
                <w:b/>
                <w:bCs/>
                <w:sz w:val="20"/>
                <w:szCs w:val="20"/>
              </w:rPr>
              <w:t xml:space="preserve">Create a </w:t>
            </w:r>
            <w:r w:rsidR="002746F0" w:rsidRPr="00984FE7">
              <w:rPr>
                <w:b/>
                <w:bCs/>
                <w:sz w:val="20"/>
                <w:szCs w:val="20"/>
              </w:rPr>
              <w:t>culture of lifelong learning:</w:t>
            </w:r>
          </w:p>
          <w:p w14:paraId="652FE1DF" w14:textId="1781B0F8" w:rsidR="002746F0" w:rsidRPr="009D6FE0" w:rsidRDefault="002746F0" w:rsidP="002746F0">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Overcome practical barriers that inhibit lifelong learning</w:t>
            </w:r>
            <w:r w:rsidR="007A0916" w:rsidRPr="009D6FE0">
              <w:rPr>
                <w:sz w:val="20"/>
                <w:szCs w:val="20"/>
              </w:rPr>
              <w:t>.</w:t>
            </w:r>
          </w:p>
          <w:p w14:paraId="7B75FF26" w14:textId="05C0FDCC" w:rsidR="005D09CF" w:rsidRPr="009D6FE0" w:rsidRDefault="0085405B" w:rsidP="005D09C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sz w:val="20"/>
                <w:szCs w:val="20"/>
              </w:rPr>
            </w:pPr>
            <w:r w:rsidRPr="009D6FE0">
              <w:rPr>
                <w:b/>
                <w:bCs/>
                <w:sz w:val="20"/>
                <w:szCs w:val="20"/>
              </w:rPr>
              <w:t>Ensure an adequate supply of Commonwealth Supported Places</w:t>
            </w:r>
            <w:r w:rsidR="009D6FE0">
              <w:rPr>
                <w:b/>
                <w:bCs/>
                <w:sz w:val="20"/>
                <w:szCs w:val="20"/>
              </w:rPr>
              <w:t>.</w:t>
            </w:r>
          </w:p>
          <w:p w14:paraId="552A0477" w14:textId="1451F301" w:rsidR="0085405B" w:rsidRPr="009D6FE0" w:rsidRDefault="008249BE" w:rsidP="005D09C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sz w:val="20"/>
                <w:szCs w:val="20"/>
              </w:rPr>
            </w:pPr>
            <w:r w:rsidRPr="009D6FE0">
              <w:rPr>
                <w:b/>
                <w:sz w:val="20"/>
                <w:szCs w:val="20"/>
              </w:rPr>
              <w:t xml:space="preserve">Ensure enough students </w:t>
            </w:r>
            <w:r w:rsidR="00CF3BB8" w:rsidRPr="009D6FE0">
              <w:rPr>
                <w:b/>
                <w:bCs/>
                <w:sz w:val="20"/>
                <w:szCs w:val="20"/>
              </w:rPr>
              <w:t>study</w:t>
            </w:r>
            <w:r w:rsidRPr="009D6FE0">
              <w:rPr>
                <w:b/>
                <w:sz w:val="20"/>
                <w:szCs w:val="20"/>
              </w:rPr>
              <w:t xml:space="preserve"> courses aligned with the changing needs of the economy and society</w:t>
            </w:r>
            <w:r w:rsidR="00CF3BB8" w:rsidRPr="009D6FE0">
              <w:rPr>
                <w:b/>
                <w:bCs/>
                <w:sz w:val="20"/>
                <w:szCs w:val="20"/>
              </w:rPr>
              <w:t>:</w:t>
            </w:r>
          </w:p>
          <w:p w14:paraId="1BD4C6DD" w14:textId="18039DFE" w:rsidR="00CF3BB8" w:rsidRPr="009D6FE0" w:rsidRDefault="00B827B0" w:rsidP="00B827B0">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Identify the skills needed and plan the required workforce</w:t>
            </w:r>
          </w:p>
          <w:p w14:paraId="64030DCE" w14:textId="68A86550" w:rsidR="00B827B0" w:rsidRPr="009D6FE0" w:rsidRDefault="009A185D" w:rsidP="00B827B0">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Financial incentives, including subsidising costs of courses</w:t>
            </w:r>
          </w:p>
          <w:p w14:paraId="02395B9D" w14:textId="4811EEDD" w:rsidR="009A185D" w:rsidRPr="009D6FE0" w:rsidRDefault="009A185D" w:rsidP="00B827B0">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Partnerships with schools and targeted information shared to secondary students</w:t>
            </w:r>
          </w:p>
          <w:p w14:paraId="31619EAE" w14:textId="73DF4BEC" w:rsidR="009A185D" w:rsidRPr="009D6FE0" w:rsidRDefault="009A185D" w:rsidP="00B827B0">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Embedding industry engagement within courses</w:t>
            </w:r>
          </w:p>
          <w:p w14:paraId="6867D618" w14:textId="439DCB01" w:rsidR="008249BE" w:rsidRPr="001C4A65" w:rsidRDefault="009A185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Improving accessibility for underrepresented cohorts</w:t>
            </w:r>
            <w:r w:rsidR="007A0916" w:rsidRPr="009D6FE0">
              <w:rPr>
                <w:sz w:val="20"/>
                <w:szCs w:val="20"/>
              </w:rPr>
              <w:t>.</w:t>
            </w:r>
          </w:p>
        </w:tc>
      </w:tr>
      <w:tr w:rsidR="008249BE" w:rsidRPr="009D6FE0" w14:paraId="7E6DC0A8" w14:textId="77777777">
        <w:tc>
          <w:tcPr>
            <w:cnfStyle w:val="001000000000" w:firstRow="0" w:lastRow="0" w:firstColumn="1" w:lastColumn="0" w:oddVBand="0" w:evenVBand="0" w:oddHBand="0" w:evenHBand="0" w:firstRowFirstColumn="0" w:firstRowLastColumn="0" w:lastRowFirstColumn="0" w:lastRowLastColumn="0"/>
            <w:tcW w:w="3060" w:type="dxa"/>
          </w:tcPr>
          <w:p w14:paraId="32F6314A" w14:textId="71F933D1" w:rsidR="008249BE" w:rsidRDefault="008249BE">
            <w:pPr>
              <w:pStyle w:val="ListNumber"/>
              <w:numPr>
                <w:ilvl w:val="0"/>
                <w:numId w:val="0"/>
              </w:numPr>
              <w:rPr>
                <w:b w:val="0"/>
                <w:bCs w:val="0"/>
                <w:sz w:val="20"/>
                <w:szCs w:val="20"/>
              </w:rPr>
            </w:pPr>
            <w:r w:rsidRPr="001C4A65">
              <w:rPr>
                <w:sz w:val="20"/>
                <w:szCs w:val="20"/>
              </w:rPr>
              <w:t xml:space="preserve">Quality teaching </w:t>
            </w:r>
            <w:r w:rsidR="00A90BED" w:rsidRPr="009D6FE0">
              <w:rPr>
                <w:sz w:val="20"/>
                <w:szCs w:val="20"/>
              </w:rPr>
              <w:t>to deliver</w:t>
            </w:r>
            <w:r w:rsidRPr="001C4A65">
              <w:rPr>
                <w:sz w:val="20"/>
                <w:szCs w:val="20"/>
              </w:rPr>
              <w:t xml:space="preserve"> Quality Learning </w:t>
            </w:r>
          </w:p>
          <w:p w14:paraId="29CD9F74" w14:textId="0FA9ED05" w:rsidR="008249BE" w:rsidRPr="00996DEC" w:rsidRDefault="008249BE">
            <w:pPr>
              <w:pStyle w:val="ListNumber"/>
              <w:numPr>
                <w:ilvl w:val="0"/>
                <w:numId w:val="0"/>
              </w:numPr>
              <w:rPr>
                <w:b w:val="0"/>
                <w:sz w:val="20"/>
                <w:szCs w:val="20"/>
              </w:rPr>
            </w:pPr>
            <w:r w:rsidRPr="00996DEC">
              <w:rPr>
                <w:b w:val="0"/>
                <w:bCs w:val="0"/>
                <w:sz w:val="20"/>
                <w:szCs w:val="20"/>
              </w:rPr>
              <w:t xml:space="preserve">The Discussion Paper asked for reforms needed to deliver a quality learning environment and to ensure graduates enter the labour market with the skills and knowledge they </w:t>
            </w:r>
            <w:r w:rsidR="00994953" w:rsidRPr="009D6FE0">
              <w:rPr>
                <w:b w:val="0"/>
                <w:bCs w:val="0"/>
                <w:sz w:val="20"/>
                <w:szCs w:val="20"/>
              </w:rPr>
              <w:t>require</w:t>
            </w:r>
          </w:p>
        </w:tc>
        <w:tc>
          <w:tcPr>
            <w:tcW w:w="6149" w:type="dxa"/>
          </w:tcPr>
          <w:p w14:paraId="506AE820" w14:textId="4D7C57AA" w:rsidR="008249BE" w:rsidRPr="00BE4962" w:rsidRDefault="008249BE" w:rsidP="00F0628C">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rPr>
                <w:b/>
                <w:sz w:val="20"/>
                <w:szCs w:val="20"/>
              </w:rPr>
            </w:pPr>
            <w:r w:rsidRPr="00BE4962">
              <w:rPr>
                <w:b/>
                <w:sz w:val="20"/>
                <w:szCs w:val="20"/>
              </w:rPr>
              <w:t>Reforms needed to promote a quality learning environment</w:t>
            </w:r>
            <w:r w:rsidR="00F0628C" w:rsidRPr="00BE4962">
              <w:rPr>
                <w:b/>
                <w:bCs/>
                <w:sz w:val="20"/>
                <w:szCs w:val="20"/>
              </w:rPr>
              <w:t>:</w:t>
            </w:r>
          </w:p>
          <w:p w14:paraId="35B8A42F" w14:textId="5013081E" w:rsidR="00F0628C" w:rsidRPr="009D6FE0" w:rsidRDefault="008B618A" w:rsidP="00F0628C">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Promote innovation and collaboration in teaching and learning methods</w:t>
            </w:r>
          </w:p>
          <w:p w14:paraId="543400B7" w14:textId="77777777" w:rsidR="008249BE" w:rsidRPr="009D6FE0" w:rsidRDefault="008B618A" w:rsidP="008B618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Ensure appropriate staffing is available to support and engage students </w:t>
            </w:r>
          </w:p>
          <w:p w14:paraId="258FE3E4" w14:textId="77777777" w:rsidR="00195ECA" w:rsidRPr="009D6FE0" w:rsidRDefault="00B34410" w:rsidP="008B618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Embed First Nations knowledge and teaching methods in higher education</w:t>
            </w:r>
          </w:p>
          <w:p w14:paraId="3099AA5D" w14:textId="77777777" w:rsidR="00AD7062" w:rsidRPr="009D6FE0" w:rsidRDefault="00AD7062" w:rsidP="008B618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Promote the teaching of transdisciplinary skills</w:t>
            </w:r>
          </w:p>
          <w:p w14:paraId="2B65784A" w14:textId="668CD394" w:rsidR="00AD7062" w:rsidRPr="009D6FE0" w:rsidRDefault="00AD7062" w:rsidP="00DD563A">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Support student participation in extra-curricular activities</w:t>
            </w:r>
            <w:r w:rsidR="007A0916" w:rsidRPr="009D6FE0">
              <w:rPr>
                <w:sz w:val="20"/>
                <w:szCs w:val="20"/>
              </w:rPr>
              <w:t>.</w:t>
            </w:r>
          </w:p>
          <w:p w14:paraId="7525AB01" w14:textId="77777777" w:rsidR="00DD563A" w:rsidRPr="00555509" w:rsidRDefault="00DD563A" w:rsidP="00DD563A">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rPr>
                <w:b/>
                <w:bCs/>
                <w:sz w:val="20"/>
                <w:szCs w:val="20"/>
              </w:rPr>
            </w:pPr>
            <w:r w:rsidRPr="00555509">
              <w:rPr>
                <w:b/>
                <w:bCs/>
                <w:sz w:val="20"/>
                <w:szCs w:val="20"/>
              </w:rPr>
              <w:t>Support cooperation between industry and higher education providers:</w:t>
            </w:r>
          </w:p>
          <w:p w14:paraId="1B1F1BD3" w14:textId="17F33176" w:rsidR="009A185D" w:rsidRPr="009D6FE0" w:rsidRDefault="009A185D" w:rsidP="009A185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review the role of accreditation bodies </w:t>
            </w:r>
          </w:p>
          <w:p w14:paraId="2B9BBD78" w14:textId="77777777" w:rsidR="009A185D" w:rsidRPr="009D6FE0" w:rsidRDefault="009A185D" w:rsidP="009A185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provide more placement opportunities for postgraduate students </w:t>
            </w:r>
          </w:p>
          <w:p w14:paraId="2879358F" w14:textId="5ED683D8" w:rsidR="00DD563A" w:rsidRPr="009D6FE0" w:rsidRDefault="009A185D" w:rsidP="009A185D">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improve cooperation in work-integrated learning</w:t>
            </w:r>
            <w:r w:rsidR="007A0916" w:rsidRPr="009D6FE0">
              <w:rPr>
                <w:sz w:val="20"/>
                <w:szCs w:val="20"/>
              </w:rPr>
              <w:t>.</w:t>
            </w:r>
          </w:p>
          <w:p w14:paraId="058B8D6E" w14:textId="77777777" w:rsidR="00D62D80" w:rsidRPr="00555509" w:rsidRDefault="00D62D80" w:rsidP="00D62D80">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sz w:val="20"/>
                <w:szCs w:val="20"/>
              </w:rPr>
            </w:pPr>
            <w:r w:rsidRPr="00555509">
              <w:rPr>
                <w:b/>
                <w:bCs/>
                <w:sz w:val="20"/>
                <w:szCs w:val="20"/>
              </w:rPr>
              <w:t>Changes to placements and work-integrated learning to increase access and learning</w:t>
            </w:r>
            <w:r w:rsidR="007E252B" w:rsidRPr="00555509">
              <w:rPr>
                <w:b/>
                <w:bCs/>
                <w:sz w:val="20"/>
                <w:szCs w:val="20"/>
              </w:rPr>
              <w:t>:</w:t>
            </w:r>
          </w:p>
          <w:p w14:paraId="262E40DA" w14:textId="7912DA72" w:rsidR="007E252B" w:rsidRPr="009D6FE0" w:rsidRDefault="007E252B" w:rsidP="007E252B">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increase financial support for students and industry </w:t>
            </w:r>
          </w:p>
          <w:p w14:paraId="577ABFCA" w14:textId="6F8BC2A1" w:rsidR="007E252B" w:rsidRPr="009D6FE0" w:rsidRDefault="007E252B" w:rsidP="007E252B">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incorporate WIL in all higher education qualifications </w:t>
            </w:r>
          </w:p>
          <w:p w14:paraId="3A76E64C" w14:textId="6F6CACB9" w:rsidR="008249BE" w:rsidRPr="001C4A65" w:rsidRDefault="007E252B" w:rsidP="00555509">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improve accessibility of placements and WIL</w:t>
            </w:r>
            <w:r w:rsidR="007A0916" w:rsidRPr="009D6FE0">
              <w:rPr>
                <w:sz w:val="20"/>
                <w:szCs w:val="20"/>
              </w:rPr>
              <w:t>.</w:t>
            </w:r>
          </w:p>
        </w:tc>
      </w:tr>
      <w:tr w:rsidR="008249BE" w:rsidRPr="009D6FE0" w14:paraId="4E25AF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A04F45D" w14:textId="77777777" w:rsidR="008249BE" w:rsidRPr="009D6FE0" w:rsidRDefault="007165AD">
            <w:pPr>
              <w:pStyle w:val="ListNumber"/>
              <w:numPr>
                <w:ilvl w:val="0"/>
                <w:numId w:val="0"/>
              </w:numPr>
              <w:rPr>
                <w:b w:val="0"/>
                <w:bCs w:val="0"/>
                <w:sz w:val="20"/>
                <w:szCs w:val="20"/>
              </w:rPr>
            </w:pPr>
            <w:r w:rsidRPr="009D6FE0">
              <w:rPr>
                <w:sz w:val="20"/>
                <w:szCs w:val="20"/>
              </w:rPr>
              <w:lastRenderedPageBreak/>
              <w:t>Equitable access and a quality experience for all students</w:t>
            </w:r>
          </w:p>
          <w:p w14:paraId="1E174DB8" w14:textId="0F1A6299" w:rsidR="003B1B6F" w:rsidRPr="009D6FE0" w:rsidRDefault="003B1B6F">
            <w:pPr>
              <w:pStyle w:val="ListNumber"/>
              <w:numPr>
                <w:ilvl w:val="0"/>
                <w:numId w:val="0"/>
              </w:numPr>
              <w:rPr>
                <w:b w:val="0"/>
                <w:bCs w:val="0"/>
                <w:sz w:val="20"/>
                <w:szCs w:val="20"/>
              </w:rPr>
            </w:pPr>
            <w:r w:rsidRPr="009D6FE0">
              <w:rPr>
                <w:b w:val="0"/>
                <w:bCs w:val="0"/>
                <w:sz w:val="20"/>
                <w:szCs w:val="20"/>
              </w:rPr>
              <w:t>The Discussion Paper emphasised the importance of creating opportunities for all Australians and called for</w:t>
            </w:r>
            <w:r w:rsidR="00AE3A7E" w:rsidRPr="009D6FE0">
              <w:rPr>
                <w:b w:val="0"/>
                <w:bCs w:val="0"/>
                <w:sz w:val="20"/>
                <w:szCs w:val="20"/>
              </w:rPr>
              <w:t xml:space="preserve"> responses to </w:t>
            </w:r>
            <w:r w:rsidR="003F5051">
              <w:rPr>
                <w:b w:val="0"/>
                <w:bCs w:val="0"/>
                <w:sz w:val="20"/>
                <w:szCs w:val="20"/>
              </w:rPr>
              <w:t>make</w:t>
            </w:r>
            <w:r w:rsidR="003F5051" w:rsidRPr="009D6FE0">
              <w:rPr>
                <w:b w:val="0"/>
                <w:bCs w:val="0"/>
                <w:sz w:val="20"/>
                <w:szCs w:val="20"/>
              </w:rPr>
              <w:t xml:space="preserve"> </w:t>
            </w:r>
            <w:r w:rsidR="00AE3A7E" w:rsidRPr="009D6FE0">
              <w:rPr>
                <w:b w:val="0"/>
                <w:bCs w:val="0"/>
                <w:sz w:val="20"/>
                <w:szCs w:val="20"/>
              </w:rPr>
              <w:t xml:space="preserve">recommendations for better access and equity. </w:t>
            </w:r>
          </w:p>
          <w:p w14:paraId="5384DF12" w14:textId="04D63D93" w:rsidR="008249BE" w:rsidRPr="001C4A65" w:rsidRDefault="008249BE">
            <w:pPr>
              <w:pStyle w:val="ListNumber"/>
              <w:numPr>
                <w:ilvl w:val="0"/>
                <w:numId w:val="0"/>
              </w:numPr>
              <w:rPr>
                <w:sz w:val="20"/>
                <w:szCs w:val="20"/>
              </w:rPr>
            </w:pPr>
          </w:p>
        </w:tc>
        <w:tc>
          <w:tcPr>
            <w:tcW w:w="6149" w:type="dxa"/>
          </w:tcPr>
          <w:p w14:paraId="036C5178" w14:textId="77777777" w:rsidR="008249BE" w:rsidRPr="00555509" w:rsidRDefault="00AE3A7E">
            <w:pPr>
              <w:pStyle w:val="ListNumber"/>
              <w:numPr>
                <w:ilvl w:val="0"/>
                <w:numId w:val="0"/>
              </w:numPr>
              <w:cnfStyle w:val="000000100000" w:firstRow="0" w:lastRow="0" w:firstColumn="0" w:lastColumn="0" w:oddVBand="0" w:evenVBand="0" w:oddHBand="1" w:evenHBand="0" w:firstRowFirstColumn="0" w:firstRowLastColumn="0" w:lastRowFirstColumn="0" w:lastRowLastColumn="0"/>
              <w:rPr>
                <w:b/>
                <w:bCs/>
                <w:sz w:val="20"/>
                <w:szCs w:val="20"/>
              </w:rPr>
            </w:pPr>
            <w:r w:rsidRPr="00555509">
              <w:rPr>
                <w:b/>
                <w:bCs/>
                <w:sz w:val="20"/>
                <w:szCs w:val="20"/>
              </w:rPr>
              <w:t>Implement system-wide approaches to increase equitable access to Higher Education</w:t>
            </w:r>
            <w:r w:rsidR="002D1EC6" w:rsidRPr="00555509">
              <w:rPr>
                <w:b/>
                <w:bCs/>
                <w:sz w:val="20"/>
                <w:szCs w:val="20"/>
              </w:rPr>
              <w:t>:</w:t>
            </w:r>
          </w:p>
          <w:p w14:paraId="58DAF06D" w14:textId="135E3642" w:rsidR="00C40E19" w:rsidRPr="009D6FE0" w:rsidRDefault="00C40E19" w:rsidP="00C40E19">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set targets for higher education attainment among underrepresented groups </w:t>
            </w:r>
          </w:p>
          <w:p w14:paraId="62466B80" w14:textId="2054475D" w:rsidR="00C40E19" w:rsidRPr="009D6FE0" w:rsidRDefault="00C40E19" w:rsidP="00C40E19">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better use of data to measure equity participation and inform decision-making </w:t>
            </w:r>
          </w:p>
          <w:p w14:paraId="4296E88A" w14:textId="7401EF24" w:rsidR="00C40E19" w:rsidRPr="009D6FE0" w:rsidRDefault="00C40E19" w:rsidP="00C40E19">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reintroduce demand driven funding </w:t>
            </w:r>
          </w:p>
          <w:p w14:paraId="65A7C081" w14:textId="6954C41C" w:rsidR="002D1EC6" w:rsidRPr="009D6FE0" w:rsidRDefault="00C40E19" w:rsidP="00C40E19">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expand support for the transition to university</w:t>
            </w:r>
            <w:r w:rsidR="007A0916" w:rsidRPr="009D6FE0">
              <w:rPr>
                <w:sz w:val="20"/>
                <w:szCs w:val="20"/>
              </w:rPr>
              <w:t>.</w:t>
            </w:r>
            <w:r w:rsidRPr="009D6FE0">
              <w:rPr>
                <w:sz w:val="20"/>
                <w:szCs w:val="20"/>
              </w:rPr>
              <w:t xml:space="preserve"> </w:t>
            </w:r>
          </w:p>
          <w:p w14:paraId="767230D4" w14:textId="77777777" w:rsidR="00310AFD" w:rsidRPr="00555509" w:rsidRDefault="00310AFD" w:rsidP="00310AFD">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sz w:val="20"/>
                <w:szCs w:val="20"/>
              </w:rPr>
            </w:pPr>
            <w:r w:rsidRPr="00555509">
              <w:rPr>
                <w:b/>
                <w:bCs/>
                <w:sz w:val="20"/>
                <w:szCs w:val="20"/>
              </w:rPr>
              <w:t>Address barriers to successful participation in Higher Education for all students:</w:t>
            </w:r>
          </w:p>
          <w:p w14:paraId="2AC50346" w14:textId="7F8BE565" w:rsidR="00310AFD" w:rsidRPr="009D6FE0" w:rsidRDefault="00310AFD" w:rsidP="00310AF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increase financial support for students </w:t>
            </w:r>
          </w:p>
          <w:p w14:paraId="631B67D3" w14:textId="34EC5578" w:rsidR="00310AFD" w:rsidRPr="009D6FE0" w:rsidRDefault="00310AFD" w:rsidP="00310AF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increased support and utilisation of services in regional and remote Australia </w:t>
            </w:r>
          </w:p>
          <w:p w14:paraId="2D6AE9DD" w14:textId="6997A725" w:rsidR="00310AFD" w:rsidRPr="009D6FE0" w:rsidRDefault="00310AFD" w:rsidP="00310AF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introduce greater flexibility and support for students at universities </w:t>
            </w:r>
          </w:p>
          <w:p w14:paraId="799A7F73" w14:textId="7703F3D3" w:rsidR="00310AFD" w:rsidRPr="009D6FE0" w:rsidRDefault="00310AFD" w:rsidP="00310AF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improve remote learning opportunities at university </w:t>
            </w:r>
          </w:p>
          <w:p w14:paraId="4DB3EC88" w14:textId="77777777" w:rsidR="00C770E9" w:rsidRPr="009D6FE0" w:rsidRDefault="00310AFD" w:rsidP="00C770E9">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provide more flexible learning paths and courses </w:t>
            </w:r>
          </w:p>
          <w:p w14:paraId="399EE7EE" w14:textId="159DFF38" w:rsidR="00310AFD" w:rsidRPr="009D6FE0" w:rsidRDefault="00310AFD" w:rsidP="00C770E9">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create a centralised institute or resource to support students</w:t>
            </w:r>
            <w:r w:rsidR="007A0916" w:rsidRPr="009D6FE0">
              <w:rPr>
                <w:sz w:val="20"/>
                <w:szCs w:val="20"/>
              </w:rPr>
              <w:t>.</w:t>
            </w:r>
          </w:p>
          <w:p w14:paraId="5412B43E" w14:textId="77777777" w:rsidR="00F362F3" w:rsidRPr="00555509" w:rsidRDefault="00F362F3" w:rsidP="00F362F3">
            <w:pPr>
              <w:pStyle w:val="ListBullet"/>
              <w:numPr>
                <w:ilvl w:val="0"/>
                <w:numId w:val="0"/>
              </w:numPr>
              <w:ind w:left="357" w:hanging="357"/>
              <w:cnfStyle w:val="000000100000" w:firstRow="0" w:lastRow="0" w:firstColumn="0" w:lastColumn="0" w:oddVBand="0" w:evenVBand="0" w:oddHBand="1" w:evenHBand="0" w:firstRowFirstColumn="0" w:firstRowLastColumn="0" w:lastRowFirstColumn="0" w:lastRowLastColumn="0"/>
              <w:rPr>
                <w:b/>
                <w:bCs/>
                <w:sz w:val="20"/>
                <w:szCs w:val="20"/>
              </w:rPr>
            </w:pPr>
            <w:r w:rsidRPr="00555509">
              <w:rPr>
                <w:b/>
                <w:bCs/>
                <w:sz w:val="20"/>
                <w:szCs w:val="20"/>
              </w:rPr>
              <w:t>Improve student wellbeing:</w:t>
            </w:r>
          </w:p>
          <w:p w14:paraId="37734E72" w14:textId="77B85531" w:rsidR="00F362F3" w:rsidRPr="009D6FE0" w:rsidRDefault="00F362F3" w:rsidP="00F362F3">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ensure safety from sexual, domestic and gender-based violence </w:t>
            </w:r>
          </w:p>
          <w:p w14:paraId="5D954195" w14:textId="75A93B8C" w:rsidR="00F362F3" w:rsidRPr="009D6FE0" w:rsidRDefault="00F362F3" w:rsidP="00F362F3">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provide support for victims </w:t>
            </w:r>
          </w:p>
          <w:p w14:paraId="4201C69F" w14:textId="785E68B6" w:rsidR="00F362F3" w:rsidRPr="009D6FE0" w:rsidRDefault="00F362F3" w:rsidP="00F362F3">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provide mental health support </w:t>
            </w:r>
          </w:p>
          <w:p w14:paraId="2B6EA110" w14:textId="1590DD85" w:rsidR="008249BE" w:rsidRPr="001C4A65" w:rsidRDefault="00F362F3" w:rsidP="00F362F3">
            <w:pPr>
              <w:pStyle w:val="ListBullet"/>
              <w:numPr>
                <w:ilvl w:val="0"/>
                <w:numId w:val="0"/>
              </w:numPr>
              <w:ind w:left="357" w:hanging="357"/>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w:t>
            </w:r>
            <w:r w:rsidRPr="009D6FE0">
              <w:rPr>
                <w:sz w:val="20"/>
                <w:szCs w:val="20"/>
              </w:rPr>
              <w:tab/>
              <w:t>ensure cultural safety</w:t>
            </w:r>
            <w:r w:rsidR="007A0916" w:rsidRPr="009D6FE0">
              <w:rPr>
                <w:sz w:val="20"/>
                <w:szCs w:val="20"/>
              </w:rPr>
              <w:t>.</w:t>
            </w:r>
            <w:r w:rsidRPr="009D6FE0">
              <w:rPr>
                <w:sz w:val="20"/>
                <w:szCs w:val="20"/>
              </w:rPr>
              <w:t xml:space="preserve"> </w:t>
            </w:r>
          </w:p>
        </w:tc>
      </w:tr>
      <w:tr w:rsidR="008249BE" w:rsidRPr="009D6FE0" w14:paraId="622DEEF8" w14:textId="77777777">
        <w:tc>
          <w:tcPr>
            <w:cnfStyle w:val="001000000000" w:firstRow="0" w:lastRow="0" w:firstColumn="1" w:lastColumn="0" w:oddVBand="0" w:evenVBand="0" w:oddHBand="0" w:evenHBand="0" w:firstRowFirstColumn="0" w:firstRowLastColumn="0" w:lastRowFirstColumn="0" w:lastRowLastColumn="0"/>
            <w:tcW w:w="3060" w:type="dxa"/>
          </w:tcPr>
          <w:p w14:paraId="0E20C78C" w14:textId="77777777" w:rsidR="003F1335" w:rsidRPr="009D6FE0" w:rsidRDefault="003F1335" w:rsidP="003F1335">
            <w:pPr>
              <w:pStyle w:val="ListNumber"/>
              <w:numPr>
                <w:ilvl w:val="0"/>
                <w:numId w:val="0"/>
              </w:numPr>
              <w:rPr>
                <w:b w:val="0"/>
                <w:bCs w:val="0"/>
                <w:sz w:val="20"/>
                <w:szCs w:val="20"/>
              </w:rPr>
            </w:pPr>
            <w:r w:rsidRPr="009D6FE0">
              <w:rPr>
                <w:sz w:val="20"/>
                <w:szCs w:val="20"/>
              </w:rPr>
              <w:t xml:space="preserve">New knowledge, innovation and capability </w:t>
            </w:r>
          </w:p>
          <w:p w14:paraId="16C65B3C" w14:textId="1A93EDF3" w:rsidR="008249BE" w:rsidRPr="001C4A65" w:rsidRDefault="003F1335">
            <w:pPr>
              <w:pStyle w:val="ListNumber"/>
              <w:numPr>
                <w:ilvl w:val="0"/>
                <w:numId w:val="0"/>
              </w:numPr>
              <w:rPr>
                <w:sz w:val="20"/>
                <w:szCs w:val="20"/>
              </w:rPr>
            </w:pPr>
            <w:r w:rsidRPr="009D6FE0">
              <w:rPr>
                <w:b w:val="0"/>
                <w:bCs w:val="0"/>
                <w:sz w:val="20"/>
                <w:szCs w:val="20"/>
              </w:rPr>
              <w:t>The Discussion Paper posed the question of how Australian research capacity can be best ensured, enhanced and used most effectively to develop new capabilities and focus on missions of national importance.</w:t>
            </w:r>
          </w:p>
        </w:tc>
        <w:tc>
          <w:tcPr>
            <w:tcW w:w="6149" w:type="dxa"/>
          </w:tcPr>
          <w:p w14:paraId="69B09F0E" w14:textId="77777777" w:rsidR="008249BE" w:rsidRPr="00555509" w:rsidRDefault="00590B54">
            <w:pPr>
              <w:pStyle w:val="ListNumber"/>
              <w:numPr>
                <w:ilvl w:val="0"/>
                <w:numId w:val="0"/>
              </w:numPr>
              <w:cnfStyle w:val="000000000000" w:firstRow="0" w:lastRow="0" w:firstColumn="0" w:lastColumn="0" w:oddVBand="0" w:evenVBand="0" w:oddHBand="0" w:evenHBand="0" w:firstRowFirstColumn="0" w:firstRowLastColumn="0" w:lastRowFirstColumn="0" w:lastRowLastColumn="0"/>
              <w:rPr>
                <w:b/>
                <w:bCs/>
                <w:sz w:val="20"/>
                <w:szCs w:val="20"/>
              </w:rPr>
            </w:pPr>
            <w:r w:rsidRPr="00555509">
              <w:rPr>
                <w:b/>
                <w:bCs/>
                <w:sz w:val="20"/>
                <w:szCs w:val="20"/>
              </w:rPr>
              <w:t>Increase collaboration between industry, government and universities:</w:t>
            </w:r>
          </w:p>
          <w:p w14:paraId="3ED527E1" w14:textId="73152ABA" w:rsidR="005A7850" w:rsidRPr="009D6FE0" w:rsidRDefault="005A7850" w:rsidP="005A7850">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develop better incentives for industry to collaborate with universities </w:t>
            </w:r>
          </w:p>
          <w:p w14:paraId="1267B6BC" w14:textId="0E1506CD" w:rsidR="005A7850" w:rsidRPr="009D6FE0" w:rsidRDefault="005A7850" w:rsidP="005A7850">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establish research and learning precincts </w:t>
            </w:r>
          </w:p>
          <w:p w14:paraId="2FDA1587" w14:textId="48A87977" w:rsidR="005A7850" w:rsidRPr="009D6FE0" w:rsidRDefault="005A7850" w:rsidP="005A7850">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reform, consolidate and expand existing schemes </w:t>
            </w:r>
          </w:p>
          <w:p w14:paraId="5C789D9B" w14:textId="0248B2C2" w:rsidR="005A7850" w:rsidRPr="009D6FE0" w:rsidRDefault="005A7850" w:rsidP="005A7850">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establish an R&amp;D ecosystem </w:t>
            </w:r>
          </w:p>
          <w:p w14:paraId="1A431AAD" w14:textId="3637CBC4" w:rsidR="005A7850" w:rsidRPr="009D6FE0" w:rsidRDefault="005A7850" w:rsidP="005A7850">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develop better incentives for researchers to collaborate with industry</w:t>
            </w:r>
            <w:r w:rsidR="007A0916" w:rsidRPr="009D6FE0">
              <w:rPr>
                <w:sz w:val="20"/>
                <w:szCs w:val="20"/>
              </w:rPr>
              <w:t>.</w:t>
            </w:r>
          </w:p>
          <w:p w14:paraId="3EE9DF3A" w14:textId="03FA75F9" w:rsidR="00613D86" w:rsidRPr="00555509" w:rsidRDefault="004C2BA3" w:rsidP="00613D86">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sz w:val="20"/>
                <w:szCs w:val="20"/>
              </w:rPr>
            </w:pPr>
            <w:r w:rsidRPr="00555509">
              <w:rPr>
                <w:b/>
                <w:bCs/>
                <w:sz w:val="20"/>
                <w:szCs w:val="20"/>
              </w:rPr>
              <w:t>Stimulate greater industry investment in research and effective collaboration:</w:t>
            </w:r>
          </w:p>
          <w:p w14:paraId="00CC78DC" w14:textId="36A7F2DB" w:rsidR="00590B54" w:rsidRPr="009D6FE0" w:rsidRDefault="004C2BA3" w:rsidP="004C2BA3">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Broaden the definition of industry and translation</w:t>
            </w:r>
            <w:r w:rsidR="007A0916" w:rsidRPr="009D6FE0">
              <w:rPr>
                <w:sz w:val="20"/>
                <w:szCs w:val="20"/>
              </w:rPr>
              <w:t>.</w:t>
            </w:r>
          </w:p>
          <w:p w14:paraId="0F6AD28D" w14:textId="77777777" w:rsidR="00340018" w:rsidRPr="00555509" w:rsidRDefault="00340018" w:rsidP="00340018">
            <w:pPr>
              <w:pStyle w:val="ListBullet"/>
              <w:numPr>
                <w:ilvl w:val="0"/>
                <w:numId w:val="0"/>
              </w:numPr>
              <w:cnfStyle w:val="000000000000" w:firstRow="0" w:lastRow="0" w:firstColumn="0" w:lastColumn="0" w:oddVBand="0" w:evenVBand="0" w:oddHBand="0" w:evenHBand="0" w:firstRowFirstColumn="0" w:firstRowLastColumn="0" w:lastRowFirstColumn="0" w:lastRowLastColumn="0"/>
              <w:rPr>
                <w:b/>
                <w:bCs/>
                <w:sz w:val="20"/>
                <w:szCs w:val="20"/>
              </w:rPr>
            </w:pPr>
            <w:r w:rsidRPr="00555509">
              <w:rPr>
                <w:b/>
                <w:bCs/>
                <w:sz w:val="20"/>
                <w:szCs w:val="20"/>
              </w:rPr>
              <w:t>Leverage Australia’s research strengths to address global challenges:</w:t>
            </w:r>
          </w:p>
          <w:p w14:paraId="0024F977" w14:textId="0B4518A3" w:rsidR="00467DE6" w:rsidRPr="009D6FE0" w:rsidRDefault="00467DE6" w:rsidP="00467DE6">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lastRenderedPageBreak/>
              <w:t xml:space="preserve">strengthen multidisciplinary, interdisciplinary and transdisciplinary research </w:t>
            </w:r>
          </w:p>
          <w:p w14:paraId="25830AF8" w14:textId="2A498500" w:rsidR="00467DE6" w:rsidRPr="009D6FE0" w:rsidRDefault="00467DE6" w:rsidP="00467DE6">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reduce competition and enhance collaboration  </w:t>
            </w:r>
          </w:p>
          <w:p w14:paraId="2F48A38A" w14:textId="5EF9D3EA" w:rsidR="00467DE6" w:rsidRPr="009D6FE0" w:rsidRDefault="00467DE6" w:rsidP="00467DE6">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support regional research </w:t>
            </w:r>
          </w:p>
          <w:p w14:paraId="69F8DD0D" w14:textId="0D00EB65" w:rsidR="00467DE6" w:rsidRPr="009D6FE0" w:rsidRDefault="00467DE6" w:rsidP="00467DE6">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research funding for strategic priorities </w:t>
            </w:r>
          </w:p>
          <w:p w14:paraId="519CF6EE" w14:textId="4BC2391E" w:rsidR="00340018" w:rsidRPr="009D6FE0" w:rsidRDefault="00200EDC" w:rsidP="00467DE6">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9D6FE0">
              <w:rPr>
                <w:sz w:val="20"/>
                <w:szCs w:val="20"/>
              </w:rPr>
              <w:t xml:space="preserve">put </w:t>
            </w:r>
            <w:r w:rsidR="00467DE6" w:rsidRPr="009D6FE0">
              <w:rPr>
                <w:sz w:val="20"/>
                <w:szCs w:val="20"/>
              </w:rPr>
              <w:t>greater focus on basic research</w:t>
            </w:r>
            <w:r w:rsidR="00E860CD" w:rsidRPr="009D6FE0">
              <w:rPr>
                <w:sz w:val="20"/>
                <w:szCs w:val="20"/>
              </w:rPr>
              <w:t>.</w:t>
            </w:r>
            <w:r w:rsidR="00467DE6" w:rsidRPr="009D6FE0">
              <w:rPr>
                <w:sz w:val="20"/>
                <w:szCs w:val="20"/>
              </w:rPr>
              <w:t xml:space="preserve"> </w:t>
            </w:r>
          </w:p>
          <w:p w14:paraId="52A6C059" w14:textId="46EC1DF3" w:rsidR="008249BE" w:rsidRPr="00555509" w:rsidRDefault="00124B57" w:rsidP="00124B57">
            <w:pPr>
              <w:pStyle w:val="ListBullet"/>
              <w:numPr>
                <w:ilvl w:val="0"/>
                <w:numId w:val="0"/>
              </w:numPr>
              <w:ind w:left="357" w:hanging="357"/>
              <w:cnfStyle w:val="000000000000" w:firstRow="0" w:lastRow="0" w:firstColumn="0" w:lastColumn="0" w:oddVBand="0" w:evenVBand="0" w:oddHBand="0" w:evenHBand="0" w:firstRowFirstColumn="0" w:firstRowLastColumn="0" w:lastRowFirstColumn="0" w:lastRowLastColumn="0"/>
              <w:rPr>
                <w:b/>
                <w:sz w:val="20"/>
                <w:szCs w:val="20"/>
              </w:rPr>
            </w:pPr>
            <w:r w:rsidRPr="00555509">
              <w:rPr>
                <w:b/>
                <w:bCs/>
                <w:sz w:val="20"/>
                <w:szCs w:val="20"/>
              </w:rPr>
              <w:t>Maintain and improve Australia’s research quality</w:t>
            </w:r>
            <w:r w:rsidR="00555509">
              <w:rPr>
                <w:b/>
                <w:bCs/>
                <w:sz w:val="20"/>
                <w:szCs w:val="20"/>
              </w:rPr>
              <w:t>.</w:t>
            </w:r>
          </w:p>
        </w:tc>
      </w:tr>
      <w:tr w:rsidR="008249BE" w:rsidRPr="009D6FE0" w14:paraId="61C76F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2770507" w14:textId="77777777" w:rsidR="008249BE" w:rsidRDefault="004014FD">
            <w:pPr>
              <w:pStyle w:val="ListNumber"/>
              <w:numPr>
                <w:ilvl w:val="0"/>
                <w:numId w:val="0"/>
              </w:numPr>
              <w:rPr>
                <w:b w:val="0"/>
                <w:bCs w:val="0"/>
                <w:sz w:val="20"/>
                <w:szCs w:val="20"/>
              </w:rPr>
            </w:pPr>
            <w:r w:rsidRPr="009D6FE0">
              <w:rPr>
                <w:sz w:val="20"/>
                <w:szCs w:val="20"/>
              </w:rPr>
              <w:lastRenderedPageBreak/>
              <w:t>Connection to local, regional and international communities</w:t>
            </w:r>
          </w:p>
          <w:p w14:paraId="7EA3FD2B" w14:textId="2C692717" w:rsidR="008249BE" w:rsidRPr="00104D48" w:rsidRDefault="00242193">
            <w:pPr>
              <w:pStyle w:val="ListNumber"/>
              <w:numPr>
                <w:ilvl w:val="0"/>
                <w:numId w:val="0"/>
              </w:numPr>
              <w:rPr>
                <w:b w:val="0"/>
                <w:sz w:val="20"/>
                <w:szCs w:val="20"/>
              </w:rPr>
            </w:pPr>
            <w:r w:rsidRPr="00242193">
              <w:rPr>
                <w:b w:val="0"/>
                <w:sz w:val="20"/>
                <w:szCs w:val="20"/>
              </w:rPr>
              <w:t>The Discussion Paper notes the contribution of higher education providers to developing “diverse and multi-layered communities”</w:t>
            </w:r>
            <w:r>
              <w:rPr>
                <w:b w:val="0"/>
                <w:sz w:val="20"/>
                <w:szCs w:val="20"/>
              </w:rPr>
              <w:t xml:space="preserve"> and called for recommendations to continue to support these communities. </w:t>
            </w:r>
          </w:p>
        </w:tc>
        <w:tc>
          <w:tcPr>
            <w:tcW w:w="6149" w:type="dxa"/>
          </w:tcPr>
          <w:p w14:paraId="601D4621" w14:textId="77777777" w:rsidR="008249BE" w:rsidRPr="00555509" w:rsidRDefault="00E10D1F" w:rsidP="00ED64A3">
            <w:pPr>
              <w:pStyle w:val="ListBullet"/>
              <w:numPr>
                <w:ilvl w:val="0"/>
                <w:numId w:val="0"/>
              </w:numPr>
              <w:ind w:left="357" w:hanging="357"/>
              <w:cnfStyle w:val="000000100000" w:firstRow="0" w:lastRow="0" w:firstColumn="0" w:lastColumn="0" w:oddVBand="0" w:evenVBand="0" w:oddHBand="1" w:evenHBand="0" w:firstRowFirstColumn="0" w:firstRowLastColumn="0" w:lastRowFirstColumn="0" w:lastRowLastColumn="0"/>
              <w:rPr>
                <w:b/>
                <w:bCs/>
                <w:sz w:val="20"/>
                <w:szCs w:val="20"/>
              </w:rPr>
            </w:pPr>
            <w:r w:rsidRPr="00555509">
              <w:rPr>
                <w:b/>
                <w:bCs/>
                <w:sz w:val="20"/>
                <w:szCs w:val="20"/>
              </w:rPr>
              <w:t>The role of universities in regional communities:</w:t>
            </w:r>
          </w:p>
          <w:p w14:paraId="3E2CB60E" w14:textId="77777777" w:rsidR="00E10D1F" w:rsidRPr="009D6FE0" w:rsidRDefault="009B4D86" w:rsidP="009B4D86">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Nurturing regional higher education</w:t>
            </w:r>
          </w:p>
          <w:p w14:paraId="319A0419" w14:textId="77777777" w:rsidR="009B4D86" w:rsidRPr="00555509" w:rsidRDefault="009B4D86" w:rsidP="009B4D86">
            <w:pPr>
              <w:pStyle w:val="ListBullet"/>
              <w:numPr>
                <w:ilvl w:val="0"/>
                <w:numId w:val="0"/>
              </w:numPr>
              <w:cnfStyle w:val="000000100000" w:firstRow="0" w:lastRow="0" w:firstColumn="0" w:lastColumn="0" w:oddVBand="0" w:evenVBand="0" w:oddHBand="1" w:evenHBand="0" w:firstRowFirstColumn="0" w:firstRowLastColumn="0" w:lastRowFirstColumn="0" w:lastRowLastColumn="0"/>
              <w:rPr>
                <w:b/>
                <w:bCs/>
                <w:sz w:val="20"/>
                <w:szCs w:val="20"/>
              </w:rPr>
            </w:pPr>
            <w:r w:rsidRPr="00555509">
              <w:rPr>
                <w:b/>
                <w:bCs/>
                <w:sz w:val="20"/>
                <w:szCs w:val="20"/>
              </w:rPr>
              <w:t>The role of international education:</w:t>
            </w:r>
          </w:p>
          <w:p w14:paraId="3242C298" w14:textId="34881B7A" w:rsidR="00E860CD" w:rsidRPr="009D6FE0" w:rsidRDefault="00E860CD" w:rsidP="00E860C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improve the international student experience </w:t>
            </w:r>
          </w:p>
          <w:p w14:paraId="29D42CAA" w14:textId="77777777" w:rsidR="00E860CD" w:rsidRPr="009D6FE0" w:rsidRDefault="00E860CD" w:rsidP="00E860C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 xml:space="preserve">strengthen Australia’s international education offer </w:t>
            </w:r>
          </w:p>
          <w:p w14:paraId="14E9A0B8" w14:textId="2F6AA8A2" w:rsidR="008249BE" w:rsidRPr="001C4A65" w:rsidRDefault="00E860CD">
            <w:pPr>
              <w:pStyle w:val="ListBullet"/>
              <w:cnfStyle w:val="000000100000" w:firstRow="0" w:lastRow="0" w:firstColumn="0" w:lastColumn="0" w:oddVBand="0" w:evenVBand="0" w:oddHBand="1" w:evenHBand="0" w:firstRowFirstColumn="0" w:firstRowLastColumn="0" w:lastRowFirstColumn="0" w:lastRowLastColumn="0"/>
              <w:rPr>
                <w:sz w:val="20"/>
                <w:szCs w:val="20"/>
              </w:rPr>
            </w:pPr>
            <w:r w:rsidRPr="009D6FE0">
              <w:rPr>
                <w:sz w:val="20"/>
                <w:szCs w:val="20"/>
              </w:rPr>
              <w:t>share the benefits of international education across the sector.</w:t>
            </w:r>
          </w:p>
        </w:tc>
      </w:tr>
    </w:tbl>
    <w:p w14:paraId="7361D9AA" w14:textId="77777777" w:rsidR="008249BE" w:rsidRDefault="008249BE" w:rsidP="008249BE">
      <w:pPr>
        <w:pStyle w:val="ListNumber"/>
        <w:numPr>
          <w:ilvl w:val="0"/>
          <w:numId w:val="0"/>
        </w:numPr>
        <w:ind w:left="357" w:hanging="357"/>
      </w:pPr>
    </w:p>
    <w:p w14:paraId="0BE833EA" w14:textId="77777777" w:rsidR="008249BE" w:rsidRDefault="008249BE" w:rsidP="008249BE">
      <w:pPr>
        <w:pStyle w:val="Heading2"/>
      </w:pPr>
      <w:bookmarkStart w:id="5" w:name="_Toc134617273"/>
      <w:bookmarkStart w:id="6" w:name="_Toc134807402"/>
      <w:r>
        <w:t>Enablers of the sector</w:t>
      </w:r>
      <w:bookmarkEnd w:id="5"/>
      <w:bookmarkEnd w:id="6"/>
    </w:p>
    <w:p w14:paraId="441D2E0D" w14:textId="75555DAE" w:rsidR="00590C78" w:rsidRPr="00590C78" w:rsidRDefault="00590C78" w:rsidP="00590C78">
      <w:r>
        <w:t xml:space="preserve">Submissions provided </w:t>
      </w:r>
      <w:r w:rsidR="00551DB5">
        <w:t>ideas about</w:t>
      </w:r>
      <w:r w:rsidRPr="00590C78">
        <w:t xml:space="preserve"> the enablers that are important for the future of the higher education sector</w:t>
      </w:r>
      <w:r w:rsidR="00033ED5">
        <w:t>:</w:t>
      </w:r>
    </w:p>
    <w:p w14:paraId="5AE80ACF" w14:textId="77777777" w:rsidR="00033ED5" w:rsidRDefault="00033ED5" w:rsidP="003A5806">
      <w:pPr>
        <w:pStyle w:val="ListBullet"/>
      </w:pPr>
      <w:r>
        <w:t>coherence and integration between the VET and higher education systems</w:t>
      </w:r>
      <w:r w:rsidRPr="00B66AAA">
        <w:t xml:space="preserve"> </w:t>
      </w:r>
    </w:p>
    <w:p w14:paraId="12F38457" w14:textId="77777777" w:rsidR="00033ED5" w:rsidRDefault="00033ED5" w:rsidP="003A5806">
      <w:pPr>
        <w:pStyle w:val="ListBullet"/>
      </w:pPr>
      <w:r>
        <w:t>s</w:t>
      </w:r>
      <w:r w:rsidRPr="002447DE">
        <w:t xml:space="preserve">ecure, affordable funding arrangements and incentives </w:t>
      </w:r>
    </w:p>
    <w:p w14:paraId="2328A89E" w14:textId="77777777" w:rsidR="00033ED5" w:rsidRDefault="00033ED5" w:rsidP="003A5806">
      <w:pPr>
        <w:pStyle w:val="ListBullet"/>
      </w:pPr>
      <w:r>
        <w:t>s</w:t>
      </w:r>
      <w:r w:rsidRPr="00832D5E">
        <w:t xml:space="preserve">trong governance and accountability </w:t>
      </w:r>
    </w:p>
    <w:p w14:paraId="69D972EA" w14:textId="77777777" w:rsidR="00033ED5" w:rsidRPr="00A63E5C" w:rsidRDefault="00033ED5" w:rsidP="003A5806">
      <w:pPr>
        <w:pStyle w:val="ListBullet"/>
      </w:pPr>
      <w:r>
        <w:t>i</w:t>
      </w:r>
      <w:r w:rsidRPr="0027662A">
        <w:t xml:space="preserve">nvestment in capability and recognition of the higher education workforce  </w:t>
      </w:r>
    </w:p>
    <w:p w14:paraId="661C53E0" w14:textId="77777777" w:rsidR="008249BE" w:rsidRDefault="008249BE" w:rsidP="008249BE">
      <w:pPr>
        <w:pStyle w:val="Heading3"/>
      </w:pPr>
      <w:bookmarkStart w:id="7" w:name="_Toc134617274"/>
      <w:bookmarkStart w:id="8" w:name="_Toc134807403"/>
      <w:bookmarkStart w:id="9" w:name="_Ref135206927"/>
      <w:r w:rsidRPr="005840E6">
        <w:t>Coherence and integration between the VET and higher education systems</w:t>
      </w:r>
      <w:bookmarkEnd w:id="7"/>
      <w:bookmarkEnd w:id="8"/>
      <w:bookmarkEnd w:id="9"/>
    </w:p>
    <w:p w14:paraId="790C9AA8" w14:textId="4747D264" w:rsidR="000E1A26" w:rsidRPr="000E1A26" w:rsidRDefault="000E1A26" w:rsidP="00594C26">
      <w:r w:rsidRPr="000E1A26">
        <w:t>The Discussion Paper identified that “While the two systems have different approaches to learning, as well as different funding and regulation settings, they are becoming increasingly intertwined. In consultations the Panel has heard that there is increasing overlap in relation to diplomas and advanced diplomas”. Ninety-eight submissions discussed recommendations for improving the coherence between the sectors</w:t>
      </w:r>
      <w:r w:rsidR="00556A45">
        <w:t>, as follows</w:t>
      </w:r>
      <w:r w:rsidRPr="000E1A26">
        <w:t xml:space="preserve">: </w:t>
      </w:r>
    </w:p>
    <w:p w14:paraId="73962706" w14:textId="61FE9501" w:rsidR="000E1A26" w:rsidRPr="002224B9" w:rsidRDefault="002224B9" w:rsidP="009241E5">
      <w:pPr>
        <w:pStyle w:val="ListNumber"/>
        <w:rPr>
          <w:b/>
        </w:rPr>
      </w:pPr>
      <w:r>
        <w:rPr>
          <w:b/>
          <w:bCs/>
        </w:rPr>
        <w:t>S</w:t>
      </w:r>
      <w:r w:rsidR="000E1A26" w:rsidRPr="002224B9">
        <w:rPr>
          <w:b/>
          <w:bCs/>
        </w:rPr>
        <w:t>trengthen</w:t>
      </w:r>
      <w:r w:rsidR="000E1A26" w:rsidRPr="002224B9">
        <w:rPr>
          <w:b/>
        </w:rPr>
        <w:t xml:space="preserve"> the tertiary system by creating greater alignment between higher education and the VET sector</w:t>
      </w:r>
      <w:r w:rsidR="009241E5" w:rsidRPr="002224B9">
        <w:rPr>
          <w:b/>
        </w:rPr>
        <w:t>:</w:t>
      </w:r>
    </w:p>
    <w:p w14:paraId="652687FF" w14:textId="3F5C0174" w:rsidR="009241E5" w:rsidRDefault="009241E5" w:rsidP="009241E5">
      <w:pPr>
        <w:pStyle w:val="ListBullet"/>
      </w:pPr>
      <w:r>
        <w:t xml:space="preserve">establish a single, integrated tertiary education system </w:t>
      </w:r>
    </w:p>
    <w:p w14:paraId="123C39D3" w14:textId="15FA5358" w:rsidR="009241E5" w:rsidRDefault="009241E5" w:rsidP="009241E5">
      <w:pPr>
        <w:pStyle w:val="ListBullet"/>
      </w:pPr>
      <w:r>
        <w:lastRenderedPageBreak/>
        <w:t xml:space="preserve">raise the status of vocation education and training (VET) </w:t>
      </w:r>
    </w:p>
    <w:p w14:paraId="2B83149E" w14:textId="6DDB6D3B" w:rsidR="009241E5" w:rsidRDefault="009241E5" w:rsidP="009241E5">
      <w:pPr>
        <w:pStyle w:val="ListBullet"/>
      </w:pPr>
      <w:r>
        <w:t xml:space="preserve">pursue a dual-sector study model </w:t>
      </w:r>
    </w:p>
    <w:p w14:paraId="5EBAB761" w14:textId="2382D96A" w:rsidR="009241E5" w:rsidRDefault="009241E5" w:rsidP="009241E5">
      <w:pPr>
        <w:pStyle w:val="ListBullet"/>
      </w:pPr>
      <w:r>
        <w:t xml:space="preserve">promote cross-institutional collaboration </w:t>
      </w:r>
    </w:p>
    <w:p w14:paraId="3C19F71B" w14:textId="2431BF41" w:rsidR="009241E5" w:rsidRDefault="009241E5" w:rsidP="009241E5">
      <w:pPr>
        <w:pStyle w:val="ListBullet"/>
      </w:pPr>
      <w:r>
        <w:t xml:space="preserve">reform of the AQF </w:t>
      </w:r>
    </w:p>
    <w:p w14:paraId="006DA1E7" w14:textId="00219A86" w:rsidR="002224B9" w:rsidRDefault="009241E5" w:rsidP="002224B9">
      <w:pPr>
        <w:pStyle w:val="ListBullet"/>
      </w:pPr>
      <w:r>
        <w:t>create a national framework for the recognition of prior learning</w:t>
      </w:r>
      <w:r w:rsidR="004B3AB2">
        <w:t>.</w:t>
      </w:r>
      <w:r>
        <w:t xml:space="preserve"> </w:t>
      </w:r>
    </w:p>
    <w:p w14:paraId="5253564D" w14:textId="763B44BF" w:rsidR="00B302E8" w:rsidRDefault="002224B9" w:rsidP="002224B9">
      <w:pPr>
        <w:pStyle w:val="ListNumber"/>
        <w:rPr>
          <w:b/>
        </w:rPr>
      </w:pPr>
      <w:r w:rsidRPr="002224B9">
        <w:rPr>
          <w:b/>
          <w:bCs/>
        </w:rPr>
        <w:t>P</w:t>
      </w:r>
      <w:r w:rsidR="000E1A26" w:rsidRPr="002224B9">
        <w:rPr>
          <w:b/>
          <w:bCs/>
        </w:rPr>
        <w:t>athways</w:t>
      </w:r>
      <w:r w:rsidR="008249BE" w:rsidRPr="002224B9">
        <w:rPr>
          <w:b/>
        </w:rPr>
        <w:t xml:space="preserve"> for </w:t>
      </w:r>
      <w:r w:rsidR="000E1A26" w:rsidRPr="002224B9">
        <w:rPr>
          <w:b/>
        </w:rPr>
        <w:t xml:space="preserve">students between VET and higher </w:t>
      </w:r>
      <w:bookmarkStart w:id="10" w:name="_Toc134617275"/>
      <w:r w:rsidR="000E1A26" w:rsidRPr="002224B9">
        <w:rPr>
          <w:b/>
        </w:rPr>
        <w:t>education</w:t>
      </w:r>
      <w:r>
        <w:rPr>
          <w:b/>
          <w:bCs/>
        </w:rPr>
        <w:t>:</w:t>
      </w:r>
    </w:p>
    <w:p w14:paraId="06ACFED1" w14:textId="5427C010" w:rsidR="002224B9" w:rsidRDefault="002224B9" w:rsidP="002224B9">
      <w:pPr>
        <w:pStyle w:val="ListBullet"/>
      </w:pPr>
      <w:r>
        <w:t xml:space="preserve">consider a single national admissions framework </w:t>
      </w:r>
    </w:p>
    <w:p w14:paraId="35B848A1" w14:textId="14000CFE" w:rsidR="002224B9" w:rsidRDefault="002224B9" w:rsidP="002224B9">
      <w:pPr>
        <w:pStyle w:val="ListBullet"/>
      </w:pPr>
      <w:r>
        <w:t xml:space="preserve">improve information dissemination to students about available pathways </w:t>
      </w:r>
    </w:p>
    <w:p w14:paraId="79C724DF" w14:textId="60FF2451" w:rsidR="002224B9" w:rsidRDefault="002224B9" w:rsidP="002224B9">
      <w:pPr>
        <w:pStyle w:val="ListBullet"/>
      </w:pPr>
      <w:r>
        <w:t xml:space="preserve">recognise and promote alternate entry pathways for equity students </w:t>
      </w:r>
    </w:p>
    <w:p w14:paraId="67DE7DCA" w14:textId="3A484CE2" w:rsidR="002224B9" w:rsidRDefault="002224B9" w:rsidP="002224B9">
      <w:pPr>
        <w:pStyle w:val="ListBullet"/>
      </w:pPr>
      <w:r>
        <w:t xml:space="preserve">improve data collection of student movement across the VET and higher education sectors </w:t>
      </w:r>
    </w:p>
    <w:p w14:paraId="5D8C951C" w14:textId="73CC4FE3" w:rsidR="002224B9" w:rsidRDefault="002224B9" w:rsidP="002224B9">
      <w:pPr>
        <w:pStyle w:val="ListBullet"/>
      </w:pPr>
      <w:r>
        <w:t>standardise student subsidies and funding agreements for VET courses</w:t>
      </w:r>
      <w:r w:rsidR="004B3AB2">
        <w:t>.</w:t>
      </w:r>
      <w:r>
        <w:t xml:space="preserve"> </w:t>
      </w:r>
    </w:p>
    <w:p w14:paraId="7E3E5C78" w14:textId="237172F1" w:rsidR="008249BE" w:rsidRDefault="008249BE" w:rsidP="008249BE">
      <w:pPr>
        <w:pStyle w:val="Heading3"/>
      </w:pPr>
      <w:bookmarkStart w:id="11" w:name="_Toc134807404"/>
      <w:r>
        <w:t>Secure, affordable funding arrangements and incentives</w:t>
      </w:r>
      <w:bookmarkEnd w:id="10"/>
      <w:bookmarkEnd w:id="11"/>
    </w:p>
    <w:p w14:paraId="45E0E455" w14:textId="11F1DE0A" w:rsidR="002C15C2" w:rsidRPr="002C15C2" w:rsidRDefault="002C15C2" w:rsidP="00972F54">
      <w:r w:rsidRPr="002C15C2">
        <w:t>The Discussion Paper notes that the funding system needs to “meet the parallel needs across teaching, student support, research, research training, engagement, administration and infrastructure, and capital investment</w:t>
      </w:r>
      <w:r w:rsidR="00023C75">
        <w:t xml:space="preserve">”. Submissions were asked to propose </w:t>
      </w:r>
      <w:r w:rsidR="00E507EA">
        <w:t xml:space="preserve">changes to </w:t>
      </w:r>
      <w:r w:rsidR="00265079">
        <w:t>funding arrangements in the sector.</w:t>
      </w:r>
    </w:p>
    <w:p w14:paraId="667C1E6C" w14:textId="19C28822" w:rsidR="000452BD" w:rsidRPr="000452BD" w:rsidRDefault="002C15C2" w:rsidP="000452BD">
      <w:r w:rsidRPr="002C15C2">
        <w:t xml:space="preserve">Key recommendations were made as follows: </w:t>
      </w:r>
    </w:p>
    <w:p w14:paraId="046EA16F" w14:textId="56ED522C" w:rsidR="002C15C2" w:rsidRPr="002C15C2" w:rsidRDefault="002C15C2" w:rsidP="009E31DF">
      <w:pPr>
        <w:pStyle w:val="ListNumber"/>
        <w:numPr>
          <w:ilvl w:val="0"/>
          <w:numId w:val="96"/>
        </w:numPr>
      </w:pPr>
      <w:r w:rsidRPr="002C15C2">
        <w:t xml:space="preserve">introduce a more simple and stable funding model </w:t>
      </w:r>
    </w:p>
    <w:p w14:paraId="2333C83D" w14:textId="6976494F" w:rsidR="002C15C2" w:rsidRPr="002C15C2" w:rsidRDefault="002C15C2" w:rsidP="009E31DF">
      <w:pPr>
        <w:pStyle w:val="ListNumber"/>
        <w:numPr>
          <w:ilvl w:val="0"/>
          <w:numId w:val="96"/>
        </w:numPr>
      </w:pPr>
      <w:r w:rsidRPr="002C15C2">
        <w:t xml:space="preserve">increase the total funding for research </w:t>
      </w:r>
    </w:p>
    <w:p w14:paraId="14958662" w14:textId="79E7480B" w:rsidR="002C15C2" w:rsidRPr="002C15C2" w:rsidRDefault="002C15C2" w:rsidP="009E31DF">
      <w:pPr>
        <w:pStyle w:val="ListNumber"/>
        <w:numPr>
          <w:ilvl w:val="0"/>
          <w:numId w:val="96"/>
        </w:numPr>
      </w:pPr>
      <w:r w:rsidRPr="002C15C2">
        <w:t xml:space="preserve">revise the level of student contributions </w:t>
      </w:r>
    </w:p>
    <w:p w14:paraId="4751163F" w14:textId="20E75940" w:rsidR="002C15C2" w:rsidRPr="002C15C2" w:rsidRDefault="002C15C2" w:rsidP="009E31DF">
      <w:pPr>
        <w:pStyle w:val="ListNumber"/>
        <w:numPr>
          <w:ilvl w:val="0"/>
          <w:numId w:val="96"/>
        </w:numPr>
      </w:pPr>
      <w:r w:rsidRPr="002C15C2">
        <w:t>increase infrastructure funding</w:t>
      </w:r>
      <w:r w:rsidR="00B91406">
        <w:t>.</w:t>
      </w:r>
    </w:p>
    <w:p w14:paraId="5F7AF924" w14:textId="77777777" w:rsidR="008249BE" w:rsidRDefault="008249BE" w:rsidP="008249BE">
      <w:pPr>
        <w:pStyle w:val="Heading3"/>
      </w:pPr>
      <w:bookmarkStart w:id="12" w:name="_Toc134617276"/>
      <w:bookmarkStart w:id="13" w:name="_Toc134807405"/>
      <w:r>
        <w:t>Strong governance and accountability</w:t>
      </w:r>
      <w:bookmarkEnd w:id="12"/>
      <w:bookmarkEnd w:id="13"/>
    </w:p>
    <w:p w14:paraId="0BB4B86B" w14:textId="77777777" w:rsidR="00282E82" w:rsidRDefault="00282E82" w:rsidP="00282E82">
      <w:r>
        <w:t>The Discussion Paper noted that “the</w:t>
      </w:r>
      <w:r w:rsidRPr="00E57A81">
        <w:t xml:space="preserve"> regulatory and reporting landscape for higher education is crowded and complicated</w:t>
      </w:r>
      <w:r>
        <w:t>”.</w:t>
      </w:r>
    </w:p>
    <w:p w14:paraId="2F138849" w14:textId="08D883F6" w:rsidR="00282E82" w:rsidRDefault="00282E82" w:rsidP="00282E82">
      <w:r>
        <w:t xml:space="preserve">Governance and accountability </w:t>
      </w:r>
      <w:proofErr w:type="gramStart"/>
      <w:r>
        <w:t>was</w:t>
      </w:r>
      <w:proofErr w:type="gramEnd"/>
      <w:r>
        <w:t xml:space="preserve"> a prominent topic in the submissions</w:t>
      </w:r>
      <w:r w:rsidR="00692A52">
        <w:t>.</w:t>
      </w:r>
      <w:r>
        <w:t xml:space="preserve"> Key recommendations were: </w:t>
      </w:r>
    </w:p>
    <w:p w14:paraId="1B6020D4" w14:textId="754B2DE9" w:rsidR="00282E82" w:rsidRPr="005B15B5" w:rsidRDefault="00282E82" w:rsidP="00692A52">
      <w:pPr>
        <w:pStyle w:val="ListNumber"/>
        <w:numPr>
          <w:ilvl w:val="0"/>
          <w:numId w:val="97"/>
        </w:numPr>
      </w:pPr>
      <w:r>
        <w:t xml:space="preserve">develop a coordinated national approach to regulating the sector </w:t>
      </w:r>
    </w:p>
    <w:p w14:paraId="48E13F96" w14:textId="77777777" w:rsidR="00692A52" w:rsidRDefault="00692A52" w:rsidP="00692A52">
      <w:pPr>
        <w:pStyle w:val="ListNumber"/>
        <w:numPr>
          <w:ilvl w:val="0"/>
          <w:numId w:val="96"/>
        </w:numPr>
      </w:pPr>
      <w:r>
        <w:t xml:space="preserve">review the Tertiary Education Quality and Standards Agency (TEQSA) </w:t>
      </w:r>
    </w:p>
    <w:p w14:paraId="0451407A" w14:textId="77777777" w:rsidR="00692A52" w:rsidRDefault="00692A52" w:rsidP="00692A52">
      <w:pPr>
        <w:pStyle w:val="ListNumber"/>
        <w:numPr>
          <w:ilvl w:val="0"/>
          <w:numId w:val="96"/>
        </w:numPr>
      </w:pPr>
      <w:r>
        <w:t>introduce improved academic integrity approaches.</w:t>
      </w:r>
    </w:p>
    <w:p w14:paraId="17ACA131" w14:textId="77777777" w:rsidR="008249BE" w:rsidRDefault="008249BE" w:rsidP="008249BE">
      <w:pPr>
        <w:pStyle w:val="Heading3"/>
      </w:pPr>
      <w:bookmarkStart w:id="14" w:name="_Toc134617277"/>
      <w:bookmarkStart w:id="15" w:name="_Toc134807406"/>
      <w:r>
        <w:t>Investment in capability and recognition of the higher education workforce</w:t>
      </w:r>
      <w:bookmarkEnd w:id="14"/>
      <w:bookmarkEnd w:id="15"/>
    </w:p>
    <w:p w14:paraId="677F32FD" w14:textId="77777777" w:rsidR="008249BE" w:rsidRDefault="008249BE" w:rsidP="008249BE">
      <w:r>
        <w:t>The Discussion Paper discusses the important role of the academic workforce, and the need for sustainable employment practices to support staff in higher education.</w:t>
      </w:r>
    </w:p>
    <w:p w14:paraId="15D40727" w14:textId="3993C976" w:rsidR="00D438ED" w:rsidRPr="00CD5A18" w:rsidRDefault="00D438ED" w:rsidP="00D438ED">
      <w:pPr>
        <w:ind w:left="720"/>
      </w:pPr>
      <w:r w:rsidRPr="00FD2684">
        <w:rPr>
          <w:i/>
          <w:iCs/>
        </w:rPr>
        <w:lastRenderedPageBreak/>
        <w:t>“Australia needs a capable and highly skilled academic workforce to deliver future skills needs through teaching and learning and to boost innovation through the research system.”</w:t>
      </w:r>
      <w:r>
        <w:rPr>
          <w:i/>
          <w:iCs/>
        </w:rPr>
        <w:t xml:space="preserve"> </w:t>
      </w:r>
    </w:p>
    <w:p w14:paraId="02232496" w14:textId="77777777" w:rsidR="00D438ED" w:rsidRDefault="00D438ED" w:rsidP="00D438ED">
      <w:r>
        <w:t>Stakeholders were asked for recommendations on how the Accord can best support higher education providers to adopt sector-leading employment practices. The key recommendations were:</w:t>
      </w:r>
    </w:p>
    <w:p w14:paraId="193F3190" w14:textId="77777777" w:rsidR="00D438ED" w:rsidRDefault="00D438ED" w:rsidP="00600C56">
      <w:pPr>
        <w:pStyle w:val="ListNumber"/>
        <w:numPr>
          <w:ilvl w:val="0"/>
          <w:numId w:val="98"/>
        </w:numPr>
      </w:pPr>
      <w:r>
        <w:t xml:space="preserve">ensure greater certainty for staff </w:t>
      </w:r>
    </w:p>
    <w:p w14:paraId="285D1518" w14:textId="77777777" w:rsidR="00D438ED" w:rsidRDefault="00D438ED" w:rsidP="00D438ED">
      <w:pPr>
        <w:pStyle w:val="ListNumber"/>
        <w:numPr>
          <w:ilvl w:val="0"/>
          <w:numId w:val="96"/>
        </w:numPr>
      </w:pPr>
      <w:r>
        <w:t xml:space="preserve">support greater career mobility </w:t>
      </w:r>
    </w:p>
    <w:p w14:paraId="15FEF18B" w14:textId="77777777" w:rsidR="00D438ED" w:rsidRDefault="00D438ED" w:rsidP="00D438ED">
      <w:pPr>
        <w:pStyle w:val="ListNumber"/>
        <w:numPr>
          <w:ilvl w:val="0"/>
          <w:numId w:val="96"/>
        </w:numPr>
      </w:pPr>
      <w:r>
        <w:t xml:space="preserve">increase employment of underrepresented staff </w:t>
      </w:r>
    </w:p>
    <w:p w14:paraId="70852155" w14:textId="77777777" w:rsidR="00D438ED" w:rsidRDefault="00D438ED" w:rsidP="00D438ED">
      <w:pPr>
        <w:pStyle w:val="ListNumber"/>
        <w:numPr>
          <w:ilvl w:val="0"/>
          <w:numId w:val="96"/>
        </w:numPr>
      </w:pPr>
      <w:r>
        <w:t xml:space="preserve">reduce administrative burden for academics and researchers </w:t>
      </w:r>
    </w:p>
    <w:p w14:paraId="3E5CB0CA" w14:textId="77777777" w:rsidR="00D438ED" w:rsidRDefault="00D438ED" w:rsidP="00D438ED">
      <w:pPr>
        <w:pStyle w:val="ListNumber"/>
        <w:numPr>
          <w:ilvl w:val="0"/>
          <w:numId w:val="96"/>
        </w:numPr>
      </w:pPr>
      <w:r>
        <w:t xml:space="preserve">support initiatives that develop the skills of academic and professional staff </w:t>
      </w:r>
    </w:p>
    <w:p w14:paraId="04F7196A" w14:textId="77777777" w:rsidR="00D438ED" w:rsidRDefault="00D438ED" w:rsidP="00D438ED">
      <w:pPr>
        <w:pStyle w:val="ListNumber"/>
        <w:numPr>
          <w:ilvl w:val="0"/>
          <w:numId w:val="96"/>
        </w:numPr>
      </w:pPr>
      <w:r>
        <w:t>recognise and provide support for psychological stress on staff.</w:t>
      </w:r>
    </w:p>
    <w:p w14:paraId="351DA342" w14:textId="77777777" w:rsidR="009F12D8" w:rsidRDefault="009F12D8" w:rsidP="009F12D8">
      <w:pPr>
        <w:pStyle w:val="ListNumber"/>
        <w:numPr>
          <w:ilvl w:val="0"/>
          <w:numId w:val="0"/>
        </w:numPr>
        <w:ind w:left="357" w:hanging="357"/>
      </w:pPr>
    </w:p>
    <w:p w14:paraId="00C4A975" w14:textId="77777777" w:rsidR="009F12D8" w:rsidRDefault="009F12D8" w:rsidP="009F12D8">
      <w:pPr>
        <w:pStyle w:val="ListNumber"/>
        <w:numPr>
          <w:ilvl w:val="0"/>
          <w:numId w:val="0"/>
        </w:numPr>
        <w:ind w:left="357" w:hanging="357"/>
      </w:pPr>
    </w:p>
    <w:p w14:paraId="538AF574" w14:textId="77777777" w:rsidR="009F12D8" w:rsidRDefault="009F12D8" w:rsidP="009F12D8">
      <w:pPr>
        <w:pStyle w:val="ListNumber"/>
        <w:numPr>
          <w:ilvl w:val="0"/>
          <w:numId w:val="0"/>
        </w:numPr>
        <w:ind w:left="357" w:hanging="357"/>
      </w:pPr>
    </w:p>
    <w:p w14:paraId="6A93BA45" w14:textId="77777777" w:rsidR="009F12D8" w:rsidRDefault="009F12D8" w:rsidP="009F12D8">
      <w:pPr>
        <w:pStyle w:val="ListNumber"/>
        <w:numPr>
          <w:ilvl w:val="0"/>
          <w:numId w:val="0"/>
        </w:numPr>
        <w:ind w:left="357" w:hanging="357"/>
      </w:pPr>
    </w:p>
    <w:p w14:paraId="6C43DF53" w14:textId="77777777" w:rsidR="009F12D8" w:rsidRDefault="009F12D8" w:rsidP="009F12D8">
      <w:pPr>
        <w:pStyle w:val="ListNumber"/>
        <w:numPr>
          <w:ilvl w:val="0"/>
          <w:numId w:val="0"/>
        </w:numPr>
        <w:ind w:left="357" w:hanging="357"/>
      </w:pPr>
    </w:p>
    <w:p w14:paraId="35951673" w14:textId="77777777" w:rsidR="009F12D8" w:rsidRDefault="009F12D8" w:rsidP="009F12D8">
      <w:pPr>
        <w:pStyle w:val="ListNumber"/>
        <w:numPr>
          <w:ilvl w:val="0"/>
          <w:numId w:val="0"/>
        </w:numPr>
        <w:ind w:left="357" w:hanging="357"/>
      </w:pPr>
    </w:p>
    <w:p w14:paraId="75748B80" w14:textId="77777777" w:rsidR="009F12D8" w:rsidRDefault="009F12D8" w:rsidP="009F12D8">
      <w:pPr>
        <w:pStyle w:val="ListNumber"/>
        <w:numPr>
          <w:ilvl w:val="0"/>
          <w:numId w:val="0"/>
        </w:numPr>
        <w:ind w:left="357" w:hanging="357"/>
      </w:pPr>
    </w:p>
    <w:p w14:paraId="30DE9167" w14:textId="77777777" w:rsidR="009F12D8" w:rsidRDefault="009F12D8" w:rsidP="009F12D8">
      <w:pPr>
        <w:pStyle w:val="ListNumber"/>
        <w:numPr>
          <w:ilvl w:val="0"/>
          <w:numId w:val="0"/>
        </w:numPr>
        <w:ind w:left="357" w:hanging="357"/>
      </w:pPr>
    </w:p>
    <w:p w14:paraId="04AA030B" w14:textId="77777777" w:rsidR="009F12D8" w:rsidRDefault="009F12D8" w:rsidP="009F12D8">
      <w:pPr>
        <w:pStyle w:val="ListNumber"/>
        <w:numPr>
          <w:ilvl w:val="0"/>
          <w:numId w:val="0"/>
        </w:numPr>
        <w:ind w:left="357" w:hanging="357"/>
      </w:pPr>
    </w:p>
    <w:p w14:paraId="79EE52C2" w14:textId="77777777" w:rsidR="009F12D8" w:rsidRDefault="009F12D8" w:rsidP="009F12D8">
      <w:pPr>
        <w:pStyle w:val="ListNumber"/>
        <w:numPr>
          <w:ilvl w:val="0"/>
          <w:numId w:val="0"/>
        </w:numPr>
        <w:ind w:left="357" w:hanging="357"/>
      </w:pPr>
    </w:p>
    <w:p w14:paraId="12374E3E" w14:textId="77777777" w:rsidR="009F12D8" w:rsidRDefault="009F12D8" w:rsidP="009F12D8">
      <w:pPr>
        <w:pStyle w:val="ListNumber"/>
        <w:numPr>
          <w:ilvl w:val="0"/>
          <w:numId w:val="0"/>
        </w:numPr>
        <w:ind w:left="357" w:hanging="357"/>
      </w:pPr>
    </w:p>
    <w:p w14:paraId="0BE55CF9" w14:textId="77777777" w:rsidR="009F12D8" w:rsidRDefault="009F12D8" w:rsidP="009F12D8">
      <w:pPr>
        <w:pStyle w:val="ListNumber"/>
        <w:numPr>
          <w:ilvl w:val="0"/>
          <w:numId w:val="0"/>
        </w:numPr>
        <w:ind w:left="357" w:hanging="357"/>
      </w:pPr>
    </w:p>
    <w:p w14:paraId="3B869633" w14:textId="77777777" w:rsidR="009F12D8" w:rsidRDefault="009F12D8" w:rsidP="009F12D8">
      <w:pPr>
        <w:pStyle w:val="ListNumber"/>
        <w:numPr>
          <w:ilvl w:val="0"/>
          <w:numId w:val="0"/>
        </w:numPr>
        <w:ind w:left="357" w:hanging="357"/>
      </w:pPr>
    </w:p>
    <w:p w14:paraId="7F9EF456" w14:textId="77777777" w:rsidR="009F12D8" w:rsidRDefault="009F12D8" w:rsidP="009F12D8">
      <w:pPr>
        <w:pStyle w:val="ListNumber"/>
        <w:numPr>
          <w:ilvl w:val="0"/>
          <w:numId w:val="0"/>
        </w:numPr>
        <w:ind w:left="357" w:hanging="357"/>
      </w:pPr>
    </w:p>
    <w:p w14:paraId="61D058B3" w14:textId="77777777" w:rsidR="009F12D8" w:rsidRDefault="009F12D8" w:rsidP="009F12D8">
      <w:pPr>
        <w:pStyle w:val="ListNumber"/>
        <w:numPr>
          <w:ilvl w:val="0"/>
          <w:numId w:val="0"/>
        </w:numPr>
        <w:ind w:left="357" w:hanging="357"/>
      </w:pPr>
    </w:p>
    <w:p w14:paraId="22B7FE4C" w14:textId="77777777" w:rsidR="009F12D8" w:rsidRDefault="009F12D8" w:rsidP="009F12D8">
      <w:pPr>
        <w:pStyle w:val="ListNumber"/>
        <w:numPr>
          <w:ilvl w:val="0"/>
          <w:numId w:val="0"/>
        </w:numPr>
        <w:ind w:left="357" w:hanging="357"/>
      </w:pPr>
    </w:p>
    <w:p w14:paraId="213406CC" w14:textId="77777777" w:rsidR="009F12D8" w:rsidRDefault="009F12D8" w:rsidP="009F12D8">
      <w:pPr>
        <w:pStyle w:val="ListNumber"/>
        <w:numPr>
          <w:ilvl w:val="0"/>
          <w:numId w:val="0"/>
        </w:numPr>
        <w:ind w:left="357" w:hanging="357"/>
      </w:pPr>
    </w:p>
    <w:p w14:paraId="5AECECD3" w14:textId="77777777" w:rsidR="009F12D8" w:rsidRDefault="009F12D8" w:rsidP="009F12D8">
      <w:pPr>
        <w:pStyle w:val="ListNumber"/>
        <w:numPr>
          <w:ilvl w:val="0"/>
          <w:numId w:val="0"/>
        </w:numPr>
        <w:ind w:left="357" w:hanging="357"/>
      </w:pPr>
    </w:p>
    <w:p w14:paraId="7A830776" w14:textId="77777777" w:rsidR="009F12D8" w:rsidRDefault="009F12D8" w:rsidP="009F12D8">
      <w:pPr>
        <w:pStyle w:val="ListNumber"/>
        <w:numPr>
          <w:ilvl w:val="0"/>
          <w:numId w:val="0"/>
        </w:numPr>
        <w:ind w:left="357" w:hanging="357"/>
      </w:pPr>
    </w:p>
    <w:p w14:paraId="2A00ED4A" w14:textId="77777777" w:rsidR="009F12D8" w:rsidRDefault="009F12D8" w:rsidP="009F12D8">
      <w:pPr>
        <w:pStyle w:val="ListNumber"/>
        <w:numPr>
          <w:ilvl w:val="0"/>
          <w:numId w:val="0"/>
        </w:numPr>
        <w:ind w:left="357" w:hanging="357"/>
      </w:pPr>
    </w:p>
    <w:p w14:paraId="7ABE0BF0" w14:textId="77777777" w:rsidR="009F12D8" w:rsidRDefault="009F12D8" w:rsidP="009F12D8">
      <w:pPr>
        <w:pStyle w:val="ListNumber"/>
        <w:numPr>
          <w:ilvl w:val="0"/>
          <w:numId w:val="0"/>
        </w:numPr>
        <w:ind w:left="357" w:hanging="357"/>
      </w:pPr>
    </w:p>
    <w:p w14:paraId="249D03C1" w14:textId="77777777" w:rsidR="009F12D8" w:rsidRDefault="009F12D8" w:rsidP="009F12D8">
      <w:pPr>
        <w:pStyle w:val="ListNumber"/>
        <w:numPr>
          <w:ilvl w:val="0"/>
          <w:numId w:val="0"/>
        </w:numPr>
        <w:ind w:left="357" w:hanging="357"/>
      </w:pPr>
    </w:p>
    <w:p w14:paraId="115FCDBE" w14:textId="77777777" w:rsidR="009F12D8" w:rsidRDefault="009F12D8" w:rsidP="009F12D8">
      <w:pPr>
        <w:pStyle w:val="ListNumber"/>
        <w:numPr>
          <w:ilvl w:val="0"/>
          <w:numId w:val="0"/>
        </w:numPr>
        <w:ind w:left="357" w:hanging="357"/>
      </w:pPr>
    </w:p>
    <w:p w14:paraId="67B50B17" w14:textId="77777777" w:rsidR="009F12D8" w:rsidRDefault="009F12D8" w:rsidP="009F12D8">
      <w:pPr>
        <w:pStyle w:val="ListNumber"/>
        <w:numPr>
          <w:ilvl w:val="0"/>
          <w:numId w:val="0"/>
        </w:numPr>
        <w:ind w:left="357" w:hanging="357"/>
      </w:pPr>
    </w:p>
    <w:p w14:paraId="24783FDE" w14:textId="43E27C38" w:rsidR="00B96C28" w:rsidRDefault="000A5A24" w:rsidP="000A5A24">
      <w:pPr>
        <w:pStyle w:val="Heading1"/>
      </w:pPr>
      <w:bookmarkStart w:id="16" w:name="_Toc134807407"/>
      <w:r>
        <w:lastRenderedPageBreak/>
        <w:t>The Australian Universities Accord Discussion Paper</w:t>
      </w:r>
      <w:bookmarkEnd w:id="16"/>
    </w:p>
    <w:p w14:paraId="7497757C" w14:textId="6464FCAB" w:rsidR="000A5A24" w:rsidRPr="000A5A24" w:rsidRDefault="002B71A7" w:rsidP="002B71A7">
      <w:pPr>
        <w:pStyle w:val="Heading2"/>
      </w:pPr>
      <w:bookmarkStart w:id="17" w:name="_Toc134807408"/>
      <w:r>
        <w:t>Purpose of this document</w:t>
      </w:r>
      <w:bookmarkEnd w:id="17"/>
      <w:r>
        <w:t xml:space="preserve"> </w:t>
      </w:r>
    </w:p>
    <w:p w14:paraId="268845A0" w14:textId="7E952AD5" w:rsidR="0034528B" w:rsidRDefault="0034528B" w:rsidP="0034528B">
      <w:r>
        <w:t xml:space="preserve">This document has been developed to capture responses to the Australian Universities Accord Discussion Paper (February 2023).  Nous Group (Nous), the author, has identified and summarised common themes and recommendations provided in the submissions (a full methodology of how the themes were identified is in the </w:t>
      </w:r>
      <w:r>
        <w:fldChar w:fldCharType="begin"/>
      </w:r>
      <w:r>
        <w:instrText xml:space="preserve"> REF _Ref134458753 \h </w:instrText>
      </w:r>
      <w:r>
        <w:fldChar w:fldCharType="separate"/>
      </w:r>
      <w:r w:rsidR="009D26B2">
        <w:t>Methodology</w:t>
      </w:r>
      <w:r>
        <w:fldChar w:fldCharType="end"/>
      </w:r>
      <w:r>
        <w:t xml:space="preserve"> section below). </w:t>
      </w:r>
      <w:r w:rsidR="00A818C0">
        <w:t xml:space="preserve">The focus of this document is on the future of the sector, rather than the </w:t>
      </w:r>
      <w:r w:rsidR="00527401">
        <w:t>challenges</w:t>
      </w:r>
      <w:r w:rsidR="00195FEA">
        <w:t xml:space="preserve">. The previous </w:t>
      </w:r>
      <w:r w:rsidR="00195FEA" w:rsidRPr="006B6BF4">
        <w:t>report</w:t>
      </w:r>
      <w:r w:rsidR="00203909">
        <w:t xml:space="preserve"> developed </w:t>
      </w:r>
      <w:r w:rsidR="008F293B">
        <w:t>included analysis of the priorities for the Australian Universities Accord suggested in submissions</w:t>
      </w:r>
      <w:r w:rsidR="00E62C84">
        <w:t>,</w:t>
      </w:r>
      <w:r w:rsidR="00C16780" w:rsidRPr="006B6BF4">
        <w:t xml:space="preserve"> provides</w:t>
      </w:r>
      <w:r w:rsidR="00C16780">
        <w:t xml:space="preserve"> </w:t>
      </w:r>
      <w:r w:rsidR="00644B4C">
        <w:t>a summary of the challenges in the sector</w:t>
      </w:r>
      <w:r w:rsidR="008F293B">
        <w:t xml:space="preserve"> </w:t>
      </w:r>
      <w:hyperlink r:id="rId14" w:history="1">
        <w:r w:rsidR="008F293B" w:rsidRPr="00E62C84">
          <w:rPr>
            <w:rStyle w:val="Hyperlink"/>
          </w:rPr>
          <w:t>Submissions on priorities for the Australian Universities Accord</w:t>
        </w:r>
      </w:hyperlink>
      <w:r w:rsidR="008F293B" w:rsidRPr="006B6BF4">
        <w:t xml:space="preserve"> (February 2023</w:t>
      </w:r>
      <w:r w:rsidR="008F293B">
        <w:t>)</w:t>
      </w:r>
      <w:r w:rsidR="00644B4C">
        <w:t>.</w:t>
      </w:r>
    </w:p>
    <w:p w14:paraId="54E3E0C4" w14:textId="77777777" w:rsidR="0034528B" w:rsidRDefault="0034528B" w:rsidP="0034528B">
      <w:pPr>
        <w:pStyle w:val="Heading3"/>
      </w:pPr>
      <w:bookmarkStart w:id="18" w:name="_Toc134807409"/>
      <w:r>
        <w:t>Important caveats to this report</w:t>
      </w:r>
      <w:bookmarkEnd w:id="18"/>
    </w:p>
    <w:p w14:paraId="4532B0A5" w14:textId="77777777" w:rsidR="0034528B" w:rsidRPr="0028304D" w:rsidRDefault="0034528B" w:rsidP="0034528B">
      <w:r>
        <w:t xml:space="preserve">Nous has made every effort to clearly and objectively communicate the recommendations made by submissions to the Discussion Paper. In doing this, all submissions have been treated equally, with no submission given greater weight than any other. The result is that some arguments, statements and recommendations may be from a single submission. Where possible, the number of submissions that make a significant point is noted. </w:t>
      </w:r>
    </w:p>
    <w:p w14:paraId="6592A73E" w14:textId="5D01EF25" w:rsidR="00732A17" w:rsidRPr="00F91E78" w:rsidRDefault="0034528B" w:rsidP="00F91E78">
      <w:r>
        <w:t xml:space="preserve">It is important to note that this report does not explicitly note all recommendations made in the submissions. However, best efforts have been made to accurately communicate sentiments and recommendations. </w:t>
      </w:r>
    </w:p>
    <w:p w14:paraId="6AEB2A3A" w14:textId="1B208714" w:rsidR="00946440" w:rsidRDefault="00946440" w:rsidP="000014DF">
      <w:pPr>
        <w:pStyle w:val="Heading3"/>
      </w:pPr>
      <w:bookmarkStart w:id="19" w:name="_Ref134458753"/>
      <w:bookmarkStart w:id="20" w:name="_Toc134807410"/>
      <w:r>
        <w:t>Methodology</w:t>
      </w:r>
      <w:bookmarkEnd w:id="19"/>
      <w:bookmarkEnd w:id="20"/>
      <w:r>
        <w:tab/>
      </w:r>
    </w:p>
    <w:p w14:paraId="7491A6B3" w14:textId="023E100C" w:rsidR="00336A8D" w:rsidRPr="00336A8D" w:rsidRDefault="00E93385" w:rsidP="00336A8D">
      <w:r>
        <w:t xml:space="preserve">Nous conducted a </w:t>
      </w:r>
      <w:r w:rsidR="007F2548">
        <w:t>hybrid analysis approach</w:t>
      </w:r>
      <w:r w:rsidR="007E7416">
        <w:t>. A</w:t>
      </w:r>
      <w:r w:rsidR="00300AB5">
        <w:t xml:space="preserve">n automated </w:t>
      </w:r>
      <w:r w:rsidR="00446E3F">
        <w:t xml:space="preserve">analysis </w:t>
      </w:r>
      <w:r w:rsidR="001F6DEE">
        <w:t xml:space="preserve">of the submissions </w:t>
      </w:r>
      <w:r w:rsidR="007E7416">
        <w:t xml:space="preserve">was applied </w:t>
      </w:r>
      <w:r w:rsidR="00393C24">
        <w:t xml:space="preserve">utilising Nous’ bespoke Natural Language Processing tool </w:t>
      </w:r>
      <w:r w:rsidR="007E7416">
        <w:t xml:space="preserve">to identify key themes across the submissions. Alongside the automated analysis, the Nous team conducted a manual review of the submissions, ‘coding’ portions of submissions </w:t>
      </w:r>
      <w:r w:rsidR="001E42FB">
        <w:t xml:space="preserve">against a common framework. </w:t>
      </w:r>
    </w:p>
    <w:p w14:paraId="28F67211" w14:textId="6F57E108" w:rsidR="00873AFB" w:rsidRDefault="008843A2" w:rsidP="008843A2">
      <w:pPr>
        <w:pStyle w:val="Heading2"/>
      </w:pPr>
      <w:bookmarkStart w:id="21" w:name="_Ref134732022"/>
      <w:bookmarkStart w:id="22" w:name="_Toc134807411"/>
      <w:r>
        <w:t>Sector preferences for the Accord</w:t>
      </w:r>
      <w:bookmarkEnd w:id="21"/>
      <w:bookmarkEnd w:id="22"/>
    </w:p>
    <w:p w14:paraId="3BD8DDDE" w14:textId="26F2A898" w:rsidR="00A44243" w:rsidRDefault="00C23CC4" w:rsidP="00A44243">
      <w:r>
        <w:t xml:space="preserve">The </w:t>
      </w:r>
      <w:r w:rsidR="0084214C">
        <w:t xml:space="preserve">Australian Universities Accord is an initiative by the Australian Government to </w:t>
      </w:r>
      <w:r w:rsidR="003B5017">
        <w:t>increase</w:t>
      </w:r>
      <w:r w:rsidR="00C50A89">
        <w:t xml:space="preserve"> alignment </w:t>
      </w:r>
      <w:r w:rsidR="003B5017">
        <w:t>between Australia’s national goals and the higher education sector.</w:t>
      </w:r>
    </w:p>
    <w:p w14:paraId="6A844D54" w14:textId="51ECE35F" w:rsidR="001B7DA6" w:rsidRDefault="001B7DA6" w:rsidP="001B7DA6">
      <w:pPr>
        <w:ind w:left="720"/>
      </w:pPr>
      <w:r w:rsidRPr="001B7DA6">
        <w:rPr>
          <w:i/>
          <w:iCs/>
        </w:rPr>
        <w:t>“The Accord is a way to develop a shared, long-term commitment among the stakeholders in Australian higher education, and improve the way they work together to address major challenges and opportunities, thus strengthening the system over time</w:t>
      </w:r>
      <w:r w:rsidRPr="001B7DA6">
        <w:t xml:space="preserve">.” Australian Universities Accord Discussion </w:t>
      </w:r>
      <w:r w:rsidR="00BE064E">
        <w:t>P</w:t>
      </w:r>
      <w:r w:rsidRPr="001B7DA6">
        <w:t xml:space="preserve">aper, February 2023, p. </w:t>
      </w:r>
      <w:r w:rsidR="004C50A5">
        <w:t>5</w:t>
      </w:r>
    </w:p>
    <w:p w14:paraId="7DF6BA45" w14:textId="5ADFEC70" w:rsidR="00F81323" w:rsidRDefault="00F81323" w:rsidP="00F81323">
      <w:r>
        <w:t xml:space="preserve">The Discussion Paper asked </w:t>
      </w:r>
      <w:r w:rsidR="008549D9">
        <w:t xml:space="preserve">stakeholders how a higher education accord should be best structured and focussed </w:t>
      </w:r>
      <w:r w:rsidR="00DE31B0">
        <w:t>to meet challenges</w:t>
      </w:r>
      <w:r w:rsidR="00104B7C">
        <w:t xml:space="preserve"> facing Australia’s higher education system</w:t>
      </w:r>
      <w:r w:rsidR="00B433C9">
        <w:t>, as well as</w:t>
      </w:r>
      <w:r w:rsidR="007F28C1">
        <w:t xml:space="preserve"> </w:t>
      </w:r>
      <w:r w:rsidR="00F0181F">
        <w:t>what is needed to</w:t>
      </w:r>
      <w:r w:rsidR="007F28C1">
        <w:t xml:space="preserve"> </w:t>
      </w:r>
      <w:r w:rsidR="00415C95" w:rsidRPr="00415C95">
        <w:t xml:space="preserve">overcome </w:t>
      </w:r>
      <w:r w:rsidR="006924D3">
        <w:t xml:space="preserve">current </w:t>
      </w:r>
      <w:r w:rsidR="00415C95" w:rsidRPr="00415C95">
        <w:t>limitations in Australian higher education</w:t>
      </w:r>
      <w:r w:rsidR="007F28C1">
        <w:t>.</w:t>
      </w:r>
    </w:p>
    <w:p w14:paraId="4092B060" w14:textId="163A71A9" w:rsidR="00367A33" w:rsidRDefault="00185F96" w:rsidP="00F81323">
      <w:r>
        <w:t>Twenty-two</w:t>
      </w:r>
      <w:r w:rsidR="00FC42BA">
        <w:t xml:space="preserve"> per cent</w:t>
      </w:r>
      <w:r w:rsidR="0023613F">
        <w:t xml:space="preserve"> of</w:t>
      </w:r>
      <w:r w:rsidR="00F7407B">
        <w:t xml:space="preserve"> submissions (</w:t>
      </w:r>
      <w:r w:rsidR="0023613F">
        <w:t>68 submissions) responded to this question. Five ke</w:t>
      </w:r>
      <w:r w:rsidR="00932FDC">
        <w:t>y recommendations</w:t>
      </w:r>
      <w:r w:rsidR="00516336">
        <w:t xml:space="preserve"> for the structure and focus of the Accord were identified:</w:t>
      </w:r>
    </w:p>
    <w:p w14:paraId="4AE5B44D" w14:textId="77777777" w:rsidR="00EC6BA2" w:rsidRDefault="00EC6BA2" w:rsidP="00EC6BA2">
      <w:pPr>
        <w:pStyle w:val="ListParagraph"/>
        <w:numPr>
          <w:ilvl w:val="0"/>
          <w:numId w:val="41"/>
        </w:numPr>
      </w:pPr>
      <w:r>
        <w:lastRenderedPageBreak/>
        <w:t>reframe the role and purpose of Australian universities (6 submissions)</w:t>
      </w:r>
    </w:p>
    <w:p w14:paraId="6942D692" w14:textId="77777777" w:rsidR="00EC6BA2" w:rsidRDefault="00EC6BA2" w:rsidP="00EC6BA2">
      <w:pPr>
        <w:pStyle w:val="ListParagraph"/>
        <w:numPr>
          <w:ilvl w:val="0"/>
          <w:numId w:val="41"/>
        </w:numPr>
      </w:pPr>
      <w:r>
        <w:t>define the role of government in supporting the higher education sector (5 submissions)</w:t>
      </w:r>
    </w:p>
    <w:p w14:paraId="442E8EC2" w14:textId="77777777" w:rsidR="00EC6BA2" w:rsidRDefault="00EC6BA2" w:rsidP="00EC6BA2">
      <w:pPr>
        <w:pStyle w:val="ListParagraph"/>
        <w:numPr>
          <w:ilvl w:val="0"/>
          <w:numId w:val="41"/>
        </w:numPr>
      </w:pPr>
      <w:r>
        <w:t>create an individual accord for each university (7 submissions)</w:t>
      </w:r>
    </w:p>
    <w:p w14:paraId="49277BA6" w14:textId="77777777" w:rsidR="00EC6BA2" w:rsidRDefault="00EC6BA2" w:rsidP="00EC6BA2">
      <w:pPr>
        <w:pStyle w:val="ListParagraph"/>
        <w:numPr>
          <w:ilvl w:val="0"/>
          <w:numId w:val="41"/>
        </w:numPr>
      </w:pPr>
      <w:r>
        <w:t>es</w:t>
      </w:r>
      <w:r w:rsidRPr="00516336">
        <w:t>tablish an independent authority with responsibility for university accords</w:t>
      </w:r>
      <w:r>
        <w:t xml:space="preserve"> (2 submissions)</w:t>
      </w:r>
    </w:p>
    <w:p w14:paraId="0ABF5A9C" w14:textId="77777777" w:rsidR="00EC6BA2" w:rsidRDefault="00EC6BA2" w:rsidP="00EC6BA2">
      <w:pPr>
        <w:pStyle w:val="ListParagraph"/>
        <w:numPr>
          <w:ilvl w:val="0"/>
          <w:numId w:val="41"/>
        </w:numPr>
      </w:pPr>
      <w:r>
        <w:t>e</w:t>
      </w:r>
      <w:r w:rsidRPr="00516336">
        <w:t>nsure all stakeholders are consulted in Accord processes</w:t>
      </w:r>
      <w:r>
        <w:t xml:space="preserve"> (18 submissions).</w:t>
      </w:r>
    </w:p>
    <w:p w14:paraId="4E5418B4" w14:textId="0D37E202" w:rsidR="00516336" w:rsidRDefault="00516336" w:rsidP="00516336">
      <w:r>
        <w:t>These points are discussed in detail below</w:t>
      </w:r>
      <w:r w:rsidR="000F7AC9">
        <w:t xml:space="preserve"> and </w:t>
      </w:r>
      <w:r w:rsidR="009F2B75">
        <w:t>other</w:t>
      </w:r>
      <w:r w:rsidR="000F7AC9">
        <w:t xml:space="preserve"> </w:t>
      </w:r>
      <w:r w:rsidR="005743F4">
        <w:t>recommend</w:t>
      </w:r>
      <w:r w:rsidR="00C46A45">
        <w:t>ations</w:t>
      </w:r>
      <w:r w:rsidR="005743F4">
        <w:t xml:space="preserve"> </w:t>
      </w:r>
      <w:r w:rsidR="00C46A45">
        <w:t xml:space="preserve">about </w:t>
      </w:r>
      <w:r w:rsidR="005743F4">
        <w:t>governance</w:t>
      </w:r>
      <w:r w:rsidR="00C46A45">
        <w:t xml:space="preserve"> of</w:t>
      </w:r>
      <w:r w:rsidR="002C426E">
        <w:t xml:space="preserve"> the sector can be found </w:t>
      </w:r>
      <w:r w:rsidR="009E38D3">
        <w:t>in the</w:t>
      </w:r>
      <w:r w:rsidR="00EC6BA2">
        <w:t xml:space="preserve"> section</w:t>
      </w:r>
      <w:r w:rsidR="002C426E">
        <w:t xml:space="preserve"> </w:t>
      </w:r>
      <w:r w:rsidR="001F3CFA" w:rsidRPr="00EC6BA2">
        <w:rPr>
          <w:i/>
          <w:iCs/>
          <w:highlight w:val="yellow"/>
          <w:u w:val="single"/>
        </w:rPr>
        <w:fldChar w:fldCharType="begin"/>
      </w:r>
      <w:r w:rsidR="001F3CFA" w:rsidRPr="00EC6BA2">
        <w:rPr>
          <w:i/>
          <w:iCs/>
          <w:u w:val="single"/>
        </w:rPr>
        <w:instrText xml:space="preserve"> REF _Ref134716659 \h </w:instrText>
      </w:r>
      <w:r w:rsidR="00EC6BA2">
        <w:rPr>
          <w:i/>
          <w:iCs/>
          <w:highlight w:val="yellow"/>
          <w:u w:val="single"/>
        </w:rPr>
        <w:instrText xml:space="preserve"> \* MERGEFORMAT </w:instrText>
      </w:r>
      <w:r w:rsidR="001F3CFA" w:rsidRPr="00EC6BA2">
        <w:rPr>
          <w:i/>
          <w:iCs/>
          <w:highlight w:val="yellow"/>
          <w:u w:val="single"/>
        </w:rPr>
      </w:r>
      <w:r w:rsidR="001F3CFA" w:rsidRPr="00EC6BA2">
        <w:rPr>
          <w:i/>
          <w:iCs/>
          <w:highlight w:val="yellow"/>
          <w:u w:val="single"/>
        </w:rPr>
        <w:fldChar w:fldCharType="separate"/>
      </w:r>
      <w:r w:rsidR="009D26B2" w:rsidRPr="009D26B2">
        <w:rPr>
          <w:i/>
          <w:iCs/>
          <w:u w:val="single"/>
        </w:rPr>
        <w:t>Strong governance and accountability</w:t>
      </w:r>
      <w:r w:rsidR="001F3CFA" w:rsidRPr="00EC6BA2">
        <w:rPr>
          <w:i/>
          <w:iCs/>
          <w:highlight w:val="yellow"/>
          <w:u w:val="single"/>
        </w:rPr>
        <w:fldChar w:fldCharType="end"/>
      </w:r>
      <w:r w:rsidR="001F3CFA">
        <w:t>.</w:t>
      </w:r>
    </w:p>
    <w:p w14:paraId="6CB97531" w14:textId="0350DB7C" w:rsidR="00D70931" w:rsidRDefault="00D70931" w:rsidP="00D70931">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2</w:t>
      </w:r>
      <w:r w:rsidR="008444D3">
        <w:rPr>
          <w:noProof/>
        </w:rPr>
        <w:fldChar w:fldCharType="end"/>
      </w:r>
      <w:r w:rsidR="00F41D8C">
        <w:t xml:space="preserve"> | </w:t>
      </w:r>
      <w:r w:rsidR="00F41D8C" w:rsidRPr="00F41D8C">
        <w:t>Distribution of submissions – Sector preferences for the Accord (N=69)</w:t>
      </w:r>
    </w:p>
    <w:p w14:paraId="0B0B8CEC" w14:textId="156EBFC7" w:rsidR="00CA2C23" w:rsidRDefault="009D58B9" w:rsidP="00516336">
      <w:r w:rsidRPr="009D58B9">
        <w:rPr>
          <w:noProof/>
        </w:rPr>
        <w:drawing>
          <wp:inline distT="0" distB="0" distL="0" distR="0" wp14:anchorId="54D3745B" wp14:editId="34BF7499">
            <wp:extent cx="5835650" cy="3603625"/>
            <wp:effectExtent l="0" t="0" r="0" b="0"/>
            <wp:docPr id="7" name="Picture 7" descr="Bar graph. &#10;Individuals and universities comprised 43% of submissions outlining preferences for the Accord.&#10;Graph data: &#10;Individual - 18 (26%)&#10;University - 12 (17%)&#10;Other advocacy - 9 (13%)&#10;University staff - 7 (10%)&#10;Higher education peak body - 4 (6%)&#10;Other higher education - 3 (4%)&#10;Professional association - 3 (4%)&#10;Student representatives - 3 (4%)&#10;Independent provider - 2 (3%)&#10;Regional networks and support services - 2 (3%)&#10;Discipline group - 1 (1%)&#10;Other - 1 (1%)&#10;Other peak body - 1 (1%)&#10;Other provider - 1 (1%)&#10;State or Commonwealth government body - 1 (1%)&#10;Union -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r graph. &#10;Individuals and universities comprised 43% of submissions outlining preferences for the Accord.&#10;Graph data: &#10;Individual - 18 (26%)&#10;University - 12 (17%)&#10;Other advocacy - 9 (13%)&#10;University staff - 7 (10%)&#10;Higher education peak body - 4 (6%)&#10;Other higher education - 3 (4%)&#10;Professional association - 3 (4%)&#10;Student representatives - 3 (4%)&#10;Independent provider - 2 (3%)&#10;Regional networks and support services - 2 (3%)&#10;Discipline group - 1 (1%)&#10;Other - 1 (1%)&#10;Other peak body - 1 (1%)&#10;Other provider - 1 (1%)&#10;State or Commonwealth government body - 1 (1%)&#10;Union - 1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35650" cy="3603625"/>
                    </a:xfrm>
                    <a:prstGeom prst="rect">
                      <a:avLst/>
                    </a:prstGeom>
                    <a:noFill/>
                    <a:ln>
                      <a:noFill/>
                    </a:ln>
                  </pic:spPr>
                </pic:pic>
              </a:graphicData>
            </a:graphic>
          </wp:inline>
        </w:drawing>
      </w:r>
    </w:p>
    <w:p w14:paraId="66F40697" w14:textId="7CD2AF7C" w:rsidR="00D65FF1" w:rsidRDefault="00AD2FBD" w:rsidP="00D65FF1">
      <w:pPr>
        <w:pStyle w:val="Heading2"/>
      </w:pPr>
      <w:bookmarkStart w:id="23" w:name="_Toc134807412"/>
      <w:bookmarkStart w:id="24" w:name="_Ref135211810"/>
      <w:r>
        <w:t>The r</w:t>
      </w:r>
      <w:r w:rsidR="00D65FF1">
        <w:t>ole of Higher Education for Australia</w:t>
      </w:r>
      <w:bookmarkEnd w:id="23"/>
      <w:bookmarkEnd w:id="24"/>
    </w:p>
    <w:p w14:paraId="3E5343DA" w14:textId="235C9F0E" w:rsidR="00692977" w:rsidRDefault="00692977" w:rsidP="00692977">
      <w:pPr>
        <w:pStyle w:val="Heading3"/>
      </w:pPr>
      <w:bookmarkStart w:id="25" w:name="_Toc134807413"/>
      <w:r>
        <w:t xml:space="preserve">The national challenges </w:t>
      </w:r>
      <w:r w:rsidR="0074280C">
        <w:t>that</w:t>
      </w:r>
      <w:r>
        <w:t xml:space="preserve"> higher education can help solve</w:t>
      </w:r>
      <w:bookmarkEnd w:id="25"/>
    </w:p>
    <w:p w14:paraId="0BB96D37" w14:textId="44668B06" w:rsidR="00FD0A5B" w:rsidRDefault="009D1F51" w:rsidP="008B737E">
      <w:r>
        <w:t>The Discussion Paper notes</w:t>
      </w:r>
      <w:r w:rsidR="007771E2">
        <w:t xml:space="preserve"> </w:t>
      </w:r>
      <w:r w:rsidR="00EB32E2">
        <w:t xml:space="preserve">that </w:t>
      </w:r>
      <w:r w:rsidR="00EB32E2" w:rsidRPr="008B737E">
        <w:rPr>
          <w:i/>
          <w:iCs/>
        </w:rPr>
        <w:t>“</w:t>
      </w:r>
      <w:r w:rsidR="008B737E" w:rsidRPr="008B737E">
        <w:rPr>
          <w:i/>
          <w:iCs/>
        </w:rPr>
        <w:t>Preparing the workforce to meet the changing needs of industry and contribute to a more innovative, productive economy is a major challenge for higher education.”</w:t>
      </w:r>
      <w:r w:rsidR="008B737E">
        <w:t xml:space="preserve"> 7</w:t>
      </w:r>
      <w:r w:rsidR="00F579A3">
        <w:t xml:space="preserve">3 submissions provided commentary on the </w:t>
      </w:r>
      <w:r w:rsidR="00933AE5">
        <w:t xml:space="preserve">major national challenges and opportunities </w:t>
      </w:r>
      <w:r w:rsidR="00FA17A8">
        <w:t>higher education should focus on meeting.</w:t>
      </w:r>
    </w:p>
    <w:p w14:paraId="22C1A385" w14:textId="28AAEE14" w:rsidR="00E15DBF" w:rsidRDefault="002B19AF" w:rsidP="008B737E">
      <w:r>
        <w:t xml:space="preserve">The </w:t>
      </w:r>
      <w:r w:rsidR="00877EEA">
        <w:t>challenges</w:t>
      </w:r>
      <w:r w:rsidR="002104C9">
        <w:t xml:space="preserve"> and opportunities</w:t>
      </w:r>
      <w:r w:rsidR="00877EEA">
        <w:t xml:space="preserve"> identified by submissions included</w:t>
      </w:r>
      <w:r w:rsidR="00FF1656">
        <w:t xml:space="preserve">: </w:t>
      </w:r>
    </w:p>
    <w:p w14:paraId="5755D3F9" w14:textId="66559167" w:rsidR="00852D1A" w:rsidRDefault="00852D1A" w:rsidP="00852D1A">
      <w:pPr>
        <w:pStyle w:val="ListParagraph"/>
        <w:numPr>
          <w:ilvl w:val="0"/>
          <w:numId w:val="82"/>
        </w:numPr>
      </w:pPr>
      <w:r>
        <w:t>t</w:t>
      </w:r>
      <w:r w:rsidR="00373E03">
        <w:t xml:space="preserve">he </w:t>
      </w:r>
      <w:r w:rsidR="00FB5933">
        <w:t>need to grow Australia</w:t>
      </w:r>
      <w:r w:rsidR="00FB6DD3">
        <w:t>’s</w:t>
      </w:r>
      <w:r w:rsidR="00FB5933">
        <w:t xml:space="preserve"> health workforce </w:t>
      </w:r>
      <w:r w:rsidR="005F7132">
        <w:t>to manage Australia’s aging population and manage future pandemics (20 submissions)</w:t>
      </w:r>
    </w:p>
    <w:p w14:paraId="7993F65A" w14:textId="673400E6" w:rsidR="005F7132" w:rsidRDefault="00852D1A" w:rsidP="00852D1A">
      <w:pPr>
        <w:pStyle w:val="ListParagraph"/>
        <w:numPr>
          <w:ilvl w:val="0"/>
          <w:numId w:val="82"/>
        </w:numPr>
      </w:pPr>
      <w:r>
        <w:t>m</w:t>
      </w:r>
      <w:r w:rsidR="005F7132">
        <w:t>anage</w:t>
      </w:r>
      <w:r w:rsidR="002104C9">
        <w:t>ment</w:t>
      </w:r>
      <w:r w:rsidR="005F7132">
        <w:t xml:space="preserve"> and </w:t>
      </w:r>
      <w:r w:rsidR="002104C9">
        <w:t>mitigation</w:t>
      </w:r>
      <w:r w:rsidR="005F7132">
        <w:t xml:space="preserve"> </w:t>
      </w:r>
      <w:r w:rsidR="00993429">
        <w:t xml:space="preserve">of </w:t>
      </w:r>
      <w:r w:rsidR="005F7132">
        <w:t>the</w:t>
      </w:r>
      <w:r w:rsidR="002E0F0B">
        <w:t xml:space="preserve"> impacts of climate change (18 submissions)</w:t>
      </w:r>
    </w:p>
    <w:p w14:paraId="42C1156A" w14:textId="4C27370E" w:rsidR="0092022E" w:rsidRDefault="00852D1A" w:rsidP="00373E03">
      <w:pPr>
        <w:pStyle w:val="ListParagraph"/>
        <w:numPr>
          <w:ilvl w:val="0"/>
          <w:numId w:val="82"/>
        </w:numPr>
      </w:pPr>
      <w:r>
        <w:lastRenderedPageBreak/>
        <w:t>s</w:t>
      </w:r>
      <w:r w:rsidR="0092022E">
        <w:t xml:space="preserve">upport </w:t>
      </w:r>
      <w:r w:rsidR="00EA0564">
        <w:t>for</w:t>
      </w:r>
      <w:r w:rsidR="0092022E">
        <w:t xml:space="preserve"> geo-political challenges and security (11 submissions)</w:t>
      </w:r>
    </w:p>
    <w:p w14:paraId="739E3AAD" w14:textId="14D43D9B" w:rsidR="0092022E" w:rsidRDefault="00B8795F" w:rsidP="00373E03">
      <w:pPr>
        <w:pStyle w:val="ListParagraph"/>
        <w:numPr>
          <w:ilvl w:val="0"/>
          <w:numId w:val="82"/>
        </w:numPr>
      </w:pPr>
      <w:r>
        <w:t xml:space="preserve">the need to </w:t>
      </w:r>
      <w:r w:rsidR="00852D1A">
        <w:t>i</w:t>
      </w:r>
      <w:r w:rsidR="0092022E">
        <w:t>dentify and manage the skills shortage (</w:t>
      </w:r>
      <w:r w:rsidR="00633F07">
        <w:t>9</w:t>
      </w:r>
      <w:r w:rsidR="0092022E">
        <w:t xml:space="preserve"> submissions)</w:t>
      </w:r>
    </w:p>
    <w:p w14:paraId="2C6E429F" w14:textId="6256B602" w:rsidR="0092022E" w:rsidRDefault="00852D1A" w:rsidP="00373E03">
      <w:pPr>
        <w:pStyle w:val="ListParagraph"/>
        <w:numPr>
          <w:ilvl w:val="0"/>
          <w:numId w:val="82"/>
        </w:numPr>
      </w:pPr>
      <w:r>
        <w:t>m</w:t>
      </w:r>
      <w:r w:rsidR="0092022E">
        <w:t>itigating challenges to economic prosperity (</w:t>
      </w:r>
      <w:r w:rsidR="00633F07">
        <w:t>8</w:t>
      </w:r>
      <w:r w:rsidR="0092022E">
        <w:t xml:space="preserve"> submissions)</w:t>
      </w:r>
    </w:p>
    <w:p w14:paraId="3B15532D" w14:textId="040B1F8D" w:rsidR="002E0F0B" w:rsidRDefault="00852D1A" w:rsidP="00373E03">
      <w:pPr>
        <w:pStyle w:val="ListParagraph"/>
        <w:numPr>
          <w:ilvl w:val="0"/>
          <w:numId w:val="82"/>
        </w:numPr>
      </w:pPr>
      <w:r>
        <w:t>o</w:t>
      </w:r>
      <w:r w:rsidR="002E0F0B">
        <w:t>vercom</w:t>
      </w:r>
      <w:r w:rsidR="00510FB0">
        <w:t>ing</w:t>
      </w:r>
      <w:r w:rsidR="002E0F0B">
        <w:t xml:space="preserve"> social challenges, including First Nations participation (</w:t>
      </w:r>
      <w:r w:rsidR="00633F07">
        <w:t>7</w:t>
      </w:r>
      <w:r w:rsidR="002E0F0B">
        <w:t xml:space="preserve"> submissions)</w:t>
      </w:r>
    </w:p>
    <w:p w14:paraId="3E5B8638" w14:textId="63F7A11F" w:rsidR="002E0F0B" w:rsidRDefault="00852D1A" w:rsidP="00373E03">
      <w:pPr>
        <w:pStyle w:val="ListParagraph"/>
        <w:numPr>
          <w:ilvl w:val="0"/>
          <w:numId w:val="82"/>
        </w:numPr>
      </w:pPr>
      <w:r>
        <w:t>m</w:t>
      </w:r>
      <w:r w:rsidR="0092022E">
        <w:t>anag</w:t>
      </w:r>
      <w:r w:rsidR="00510FB0">
        <w:t>ing</w:t>
      </w:r>
      <w:r w:rsidR="0092022E">
        <w:t xml:space="preserve"> the impacts of technological changes, in particular the rise of </w:t>
      </w:r>
      <w:r w:rsidR="00E3795F">
        <w:t>a</w:t>
      </w:r>
      <w:r w:rsidR="0092022E">
        <w:t>rtificial intelligence (</w:t>
      </w:r>
      <w:r w:rsidR="00633F07">
        <w:t>7</w:t>
      </w:r>
      <w:r w:rsidR="0092022E">
        <w:t xml:space="preserve"> submissions)</w:t>
      </w:r>
    </w:p>
    <w:p w14:paraId="0518D14B" w14:textId="0DFC0E28" w:rsidR="0092022E" w:rsidRDefault="00852D1A" w:rsidP="00373E03">
      <w:pPr>
        <w:pStyle w:val="ListParagraph"/>
        <w:numPr>
          <w:ilvl w:val="0"/>
          <w:numId w:val="82"/>
        </w:numPr>
      </w:pPr>
      <w:r>
        <w:t>l</w:t>
      </w:r>
      <w:r w:rsidR="0092022E">
        <w:t>ocal challenges (</w:t>
      </w:r>
      <w:r w:rsidR="00633F07">
        <w:t>3</w:t>
      </w:r>
      <w:r w:rsidR="0092022E">
        <w:t xml:space="preserve"> submissions)</w:t>
      </w:r>
    </w:p>
    <w:p w14:paraId="79ADC4C6" w14:textId="1738E33B" w:rsidR="00C5254F" w:rsidRDefault="00C5254F" w:rsidP="00C5254F">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3</w:t>
      </w:r>
      <w:r w:rsidR="008444D3">
        <w:rPr>
          <w:noProof/>
        </w:rPr>
        <w:fldChar w:fldCharType="end"/>
      </w:r>
      <w:r w:rsidR="006B04F5">
        <w:t xml:space="preserve"> | </w:t>
      </w:r>
      <w:r w:rsidR="006B04F5" w:rsidRPr="006B04F5">
        <w:t>Distribution of submissions – National challenges</w:t>
      </w:r>
      <w:r w:rsidR="006B04F5">
        <w:t xml:space="preserve">, </w:t>
      </w:r>
      <w:r w:rsidR="006B04F5" w:rsidRPr="006B04F5">
        <w:t>which higher education can help solve (N=73)</w:t>
      </w:r>
    </w:p>
    <w:p w14:paraId="4AF218E1" w14:textId="3FE0F60F" w:rsidR="00633F07" w:rsidRDefault="00294B1A" w:rsidP="00633F07">
      <w:r w:rsidRPr="00294B1A">
        <w:rPr>
          <w:noProof/>
        </w:rPr>
        <w:drawing>
          <wp:inline distT="0" distB="0" distL="0" distR="0" wp14:anchorId="28CB930E" wp14:editId="3804421B">
            <wp:extent cx="5835650" cy="3674110"/>
            <wp:effectExtent l="0" t="0" r="0" b="0"/>
            <wp:docPr id="51" name="Picture 51" descr="Bar graph. &#10;Twenty four per cent of submissions included suggestions of national challenges, which higher education can help solve.&#10;Graph data:&#10;Individual - 15&#10;University - 9&#10;Other advocacy - 8&#10;University staff - 8&#10;Professional association - 6&#10;University school, centre, faculty or college - 6&#10;Other higher education - 5&#10;Student representatives - 4&#10;Higher education peak body - 2&#10;Independent provider - 2&#10;Regional networks and support services - 1&#10;Discipline group - 1&#10;Other provider - 1&#10;State or Commonwealth government body - 1&#10;Union - 1&#10;Business - 1&#10;First Nations organisation - 1&#10;Local government body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Bar graph. &#10;Twenty four per cent of submissions included suggestions of national challenges, which higher education can help solve.&#10;Graph data:&#10;Individual - 15&#10;University - 9&#10;Other advocacy - 8&#10;University staff - 8&#10;Professional association - 6&#10;University school, centre, faculty or college - 6&#10;Other higher education - 5&#10;Student representatives - 4&#10;Higher education peak body - 2&#10;Independent provider - 2&#10;Regional networks and support services - 1&#10;Discipline group - 1&#10;Other provider - 1&#10;State or Commonwealth government body - 1&#10;Union - 1&#10;Business - 1&#10;First Nations organisation - 1&#10;Local government body -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5650" cy="3674110"/>
                    </a:xfrm>
                    <a:prstGeom prst="rect">
                      <a:avLst/>
                    </a:prstGeom>
                    <a:noFill/>
                    <a:ln>
                      <a:noFill/>
                    </a:ln>
                  </pic:spPr>
                </pic:pic>
              </a:graphicData>
            </a:graphic>
          </wp:inline>
        </w:drawing>
      </w:r>
    </w:p>
    <w:p w14:paraId="277C2894" w14:textId="77777777" w:rsidR="003142C9" w:rsidRDefault="003142C9" w:rsidP="003142C9">
      <w:pPr>
        <w:pStyle w:val="Heading4"/>
      </w:pPr>
      <w:r>
        <w:t>Reframe the role and purpose of Australian universities</w:t>
      </w:r>
    </w:p>
    <w:p w14:paraId="612D8902" w14:textId="77777777" w:rsidR="003142C9" w:rsidRDefault="003142C9" w:rsidP="003142C9">
      <w:r>
        <w:t>Six submissions recommended that the Accord include a statement on the purpose and role of universities in Australia’s higher education sector and their contributions to Australia, ranging from community level support to initiatives that further national interests.</w:t>
      </w:r>
    </w:p>
    <w:p w14:paraId="2AEE0A5D" w14:textId="77777777" w:rsidR="003142C9" w:rsidRDefault="003142C9" w:rsidP="003142C9">
      <w:pPr>
        <w:ind w:left="720"/>
      </w:pPr>
      <w:r>
        <w:rPr>
          <w:i/>
          <w:iCs/>
        </w:rPr>
        <w:t>“</w:t>
      </w:r>
      <w:r w:rsidRPr="007F6853">
        <w:rPr>
          <w:i/>
          <w:iCs/>
        </w:rPr>
        <w:t>Western Sydney University urges the Panel to make a bold statement on the role and purpose of universities in Australia; a statement of higher education’s centrality to the nation’s wider social, economic, and cultural interests through the prism of both immediate and long-range priorities</w:t>
      </w:r>
      <w:r>
        <w:rPr>
          <w:i/>
          <w:iCs/>
        </w:rPr>
        <w:t xml:space="preserve">.” </w:t>
      </w:r>
      <w:r>
        <w:t xml:space="preserve">– </w:t>
      </w:r>
      <w:r w:rsidRPr="001B593D">
        <w:t>Western Sydney University</w:t>
      </w:r>
    </w:p>
    <w:p w14:paraId="09105633" w14:textId="77777777" w:rsidR="003142C9" w:rsidRPr="000C3116" w:rsidRDefault="003142C9" w:rsidP="003142C9">
      <w:r>
        <w:t>Each of these six submissions emphasised the wide-ranging functions of universities and the importance of recognising that universities exist to serve society.</w:t>
      </w:r>
    </w:p>
    <w:p w14:paraId="52C78FC9" w14:textId="77777777" w:rsidR="003142C9" w:rsidRDefault="003142C9" w:rsidP="003142C9">
      <w:pPr>
        <w:ind w:left="720"/>
      </w:pPr>
      <w:r>
        <w:rPr>
          <w:i/>
          <w:iCs/>
        </w:rPr>
        <w:lastRenderedPageBreak/>
        <w:t>“</w:t>
      </w:r>
      <w:r w:rsidRPr="00A73506">
        <w:rPr>
          <w:i/>
          <w:iCs/>
        </w:rPr>
        <w:t xml:space="preserve">Universities have a social contract with the community to improve the lives of all Australians –directly and indirectly. As the Go8 has constantly set out, </w:t>
      </w:r>
      <w:r>
        <w:rPr>
          <w:i/>
          <w:iCs/>
        </w:rPr>
        <w:t>‘</w:t>
      </w:r>
      <w:r w:rsidRPr="00A73506">
        <w:rPr>
          <w:i/>
          <w:iCs/>
        </w:rPr>
        <w:t xml:space="preserve">you don’t have to attend university to benefit, everyone in the community </w:t>
      </w:r>
      <w:proofErr w:type="gramStart"/>
      <w:r w:rsidRPr="00A73506">
        <w:rPr>
          <w:i/>
          <w:iCs/>
        </w:rPr>
        <w:t>benefits</w:t>
      </w:r>
      <w:r>
        <w:rPr>
          <w:i/>
          <w:iCs/>
        </w:rPr>
        <w:t>’</w:t>
      </w:r>
      <w:proofErr w:type="gramEnd"/>
      <w:r w:rsidRPr="00A73506">
        <w:rPr>
          <w:i/>
          <w:iCs/>
        </w:rPr>
        <w:t>. Universities defend our national economic, social and environmental, well-being. They also enable Australia to make a constructive contribution to global well-being.</w:t>
      </w:r>
      <w:r>
        <w:rPr>
          <w:i/>
          <w:iCs/>
        </w:rPr>
        <w:t xml:space="preserve">” </w:t>
      </w:r>
      <w:r>
        <w:t>– The Group of Eight</w:t>
      </w:r>
    </w:p>
    <w:p w14:paraId="4CE3E0C5" w14:textId="77777777" w:rsidR="003142C9" w:rsidRPr="00A73506" w:rsidRDefault="003142C9" w:rsidP="003142C9">
      <w:r>
        <w:t>One submission noted that the role and purpose of universities is an ongoing conversation and depends on changes in national and international social, economic and political developments.</w:t>
      </w:r>
    </w:p>
    <w:p w14:paraId="5D32BBBC" w14:textId="77777777" w:rsidR="003142C9" w:rsidRDefault="003142C9" w:rsidP="003142C9">
      <w:pPr>
        <w:pStyle w:val="Heading4"/>
      </w:pPr>
      <w:r>
        <w:t>Define the role of government in supporting the higher education sector</w:t>
      </w:r>
    </w:p>
    <w:p w14:paraId="7E58F0C9" w14:textId="77777777" w:rsidR="003142C9" w:rsidRDefault="003142C9" w:rsidP="003142C9">
      <w:r>
        <w:t>Five submissions discussed the need for a clear and lasting commitment by the Australian Government to the higher education sector. This commitment would outline the government’s role in supporting and funding the sector to achieve its goals, as well as ensuring a consistent, long-term approach that transcends changes of government.</w:t>
      </w:r>
    </w:p>
    <w:p w14:paraId="351A58E3" w14:textId="77777777" w:rsidR="003142C9" w:rsidRDefault="003142C9" w:rsidP="003142C9">
      <w:pPr>
        <w:ind w:left="360"/>
      </w:pPr>
      <w:r w:rsidRPr="00D37575">
        <w:rPr>
          <w:i/>
          <w:iCs/>
        </w:rPr>
        <w:t>“The Accord should establish a framework and mechanisms for long-term cooperation and collaboration between the Australian Government, the higher education sector, industry, and related stakeholders that will positively shape post-school education in Australia for the next generation – not just a series of short-term policy initiatives.”</w:t>
      </w:r>
      <w:r>
        <w:rPr>
          <w:i/>
          <w:iCs/>
        </w:rPr>
        <w:t xml:space="preserve"> </w:t>
      </w:r>
      <w:r>
        <w:t>– The University of New England</w:t>
      </w:r>
    </w:p>
    <w:p w14:paraId="4ED0DEB2" w14:textId="77777777" w:rsidR="003142C9" w:rsidRDefault="003142C9" w:rsidP="003142C9">
      <w:pPr>
        <w:pStyle w:val="Heading4"/>
      </w:pPr>
      <w:bookmarkStart w:id="26" w:name="_Ref135210742"/>
      <w:r>
        <w:t>Create an individual accord for each university</w:t>
      </w:r>
      <w:bookmarkEnd w:id="26"/>
    </w:p>
    <w:p w14:paraId="3DFC3186" w14:textId="77777777" w:rsidR="003142C9" w:rsidRDefault="003142C9" w:rsidP="003142C9">
      <w:r>
        <w:t>In addition to a national Accord, seven submissions suggested creating individual accords for each university. These accords would replace existing compacts and funding agreements with the federal government:</w:t>
      </w:r>
    </w:p>
    <w:p w14:paraId="0F04B9E0" w14:textId="77777777" w:rsidR="003142C9" w:rsidRDefault="003142C9" w:rsidP="003142C9">
      <w:pPr>
        <w:ind w:left="360"/>
      </w:pPr>
      <w:r w:rsidRPr="009D44A5">
        <w:rPr>
          <w:i/>
          <w:iCs/>
        </w:rPr>
        <w:t>“Currently a university has a funding agreement and a compact with the Australian Government. The Accord process should enable development of local accord agreements with aligned funding. This would bring the articulate of mission, objectives and performance indicators together with the resource conversation required for their delivery</w:t>
      </w:r>
      <w:r>
        <w:rPr>
          <w:i/>
          <w:iCs/>
        </w:rPr>
        <w:t xml:space="preserve"> [sic]</w:t>
      </w:r>
      <w:r w:rsidRPr="009D44A5">
        <w:rPr>
          <w:i/>
          <w:iCs/>
        </w:rPr>
        <w:t>.”</w:t>
      </w:r>
      <w:r>
        <w:t xml:space="preserve"> – University of South Australia</w:t>
      </w:r>
    </w:p>
    <w:p w14:paraId="435B71D5" w14:textId="77777777" w:rsidR="003142C9" w:rsidRPr="004B1A4E" w:rsidRDefault="003142C9" w:rsidP="003142C9">
      <w:r>
        <w:t xml:space="preserve">The individual accord would present a simplified and focussed multiannual agreement that details a university’s expected contribution </w:t>
      </w:r>
      <w:r w:rsidRPr="005B5F93">
        <w:t>to national, state and local needs and outline</w:t>
      </w:r>
      <w:r>
        <w:t>s</w:t>
      </w:r>
      <w:r w:rsidRPr="005B5F93">
        <w:t xml:space="preserve"> </w:t>
      </w:r>
      <w:r>
        <w:t>its</w:t>
      </w:r>
      <w:r w:rsidRPr="005B5F93">
        <w:t xml:space="preserve"> relationship to the national Accord</w:t>
      </w:r>
      <w:r>
        <w:t>. The accord would agree on funding or revenue sources to deliver that contribution, while also describing key performance indicators to ensure accountability.</w:t>
      </w:r>
    </w:p>
    <w:p w14:paraId="262ADFB5" w14:textId="77777777" w:rsidR="003142C9" w:rsidRDefault="003142C9" w:rsidP="003142C9">
      <w:pPr>
        <w:pStyle w:val="Heading4"/>
      </w:pPr>
      <w:r>
        <w:t>Establish an independent authority with responsibility for university accords</w:t>
      </w:r>
    </w:p>
    <w:p w14:paraId="55D4E8BC" w14:textId="77777777" w:rsidR="003142C9" w:rsidRDefault="003142C9" w:rsidP="003142C9">
      <w:r>
        <w:t>In addition to creating an individual accord for each university, two submissions suggested establishing a permanent and dedicated authority that would be responsible for these accords. This authority would:</w:t>
      </w:r>
    </w:p>
    <w:p w14:paraId="63F16729" w14:textId="77777777" w:rsidR="003142C9" w:rsidRDefault="003142C9" w:rsidP="003142C9">
      <w:pPr>
        <w:pStyle w:val="ListParagraph"/>
        <w:numPr>
          <w:ilvl w:val="0"/>
          <w:numId w:val="44"/>
        </w:numPr>
      </w:pPr>
      <w:r>
        <w:t>negotiate individual university accords and ensure alignment of deliverables and resources within the context of university missions</w:t>
      </w:r>
    </w:p>
    <w:p w14:paraId="3F0F7B31" w14:textId="77777777" w:rsidR="003142C9" w:rsidRDefault="003142C9" w:rsidP="003142C9">
      <w:pPr>
        <w:pStyle w:val="ListParagraph"/>
        <w:numPr>
          <w:ilvl w:val="0"/>
          <w:numId w:val="44"/>
        </w:numPr>
      </w:pPr>
      <w:r>
        <w:t>monitor university performance against individual accords</w:t>
      </w:r>
    </w:p>
    <w:p w14:paraId="4FF5E4D6" w14:textId="77777777" w:rsidR="003142C9" w:rsidRDefault="003142C9" w:rsidP="003142C9">
      <w:pPr>
        <w:pStyle w:val="ListParagraph"/>
        <w:numPr>
          <w:ilvl w:val="0"/>
          <w:numId w:val="44"/>
        </w:numPr>
      </w:pPr>
      <w:r>
        <w:t>coordinate and plan with relevant government agencies</w:t>
      </w:r>
    </w:p>
    <w:p w14:paraId="2758BE02" w14:textId="77777777" w:rsidR="003142C9" w:rsidRPr="0041027C" w:rsidRDefault="003142C9" w:rsidP="003142C9">
      <w:pPr>
        <w:pStyle w:val="ListParagraph"/>
        <w:numPr>
          <w:ilvl w:val="0"/>
          <w:numId w:val="44"/>
        </w:numPr>
      </w:pPr>
      <w:r>
        <w:t>consult with the higher education sector on delivering national needs.</w:t>
      </w:r>
    </w:p>
    <w:p w14:paraId="127E2B85" w14:textId="77777777" w:rsidR="003142C9" w:rsidRDefault="003142C9" w:rsidP="003142C9">
      <w:pPr>
        <w:pStyle w:val="Heading4"/>
      </w:pPr>
      <w:r>
        <w:lastRenderedPageBreak/>
        <w:t xml:space="preserve">Ensure all stakeholders are consulted in Accord processes </w:t>
      </w:r>
    </w:p>
    <w:p w14:paraId="0D584A29" w14:textId="77777777" w:rsidR="003142C9" w:rsidRPr="00A33760" w:rsidRDefault="003142C9" w:rsidP="003142C9">
      <w:r>
        <w:t>Finally, 18 submissions noted the importance of continued or greater involvement of stakeholders in the Accord process. Stakeholders identified include:</w:t>
      </w:r>
    </w:p>
    <w:p w14:paraId="0F21CD41" w14:textId="77777777" w:rsidR="003142C9" w:rsidRDefault="003142C9" w:rsidP="003142C9">
      <w:pPr>
        <w:pStyle w:val="ListParagraph"/>
        <w:numPr>
          <w:ilvl w:val="0"/>
          <w:numId w:val="11"/>
        </w:numPr>
      </w:pPr>
      <w:r>
        <w:t>industry (10 submissions)</w:t>
      </w:r>
    </w:p>
    <w:p w14:paraId="1ECBFF99" w14:textId="77777777" w:rsidR="003142C9" w:rsidRDefault="003142C9" w:rsidP="003142C9">
      <w:pPr>
        <w:pStyle w:val="ListParagraph"/>
        <w:numPr>
          <w:ilvl w:val="0"/>
          <w:numId w:val="11"/>
        </w:numPr>
      </w:pPr>
      <w:r>
        <w:t>students (5 submissions)</w:t>
      </w:r>
    </w:p>
    <w:p w14:paraId="131940EA" w14:textId="77777777" w:rsidR="003142C9" w:rsidRDefault="003142C9" w:rsidP="003142C9">
      <w:pPr>
        <w:pStyle w:val="ListParagraph"/>
        <w:numPr>
          <w:ilvl w:val="0"/>
          <w:numId w:val="11"/>
        </w:numPr>
      </w:pPr>
      <w:r>
        <w:t>academic staff (2 submissions)</w:t>
      </w:r>
    </w:p>
    <w:p w14:paraId="4ADC0A8D" w14:textId="77777777" w:rsidR="003142C9" w:rsidRDefault="003142C9" w:rsidP="003142C9">
      <w:pPr>
        <w:pStyle w:val="ListParagraph"/>
        <w:numPr>
          <w:ilvl w:val="0"/>
          <w:numId w:val="11"/>
        </w:numPr>
      </w:pPr>
      <w:r>
        <w:t>First Nations peoples (2 submissions)</w:t>
      </w:r>
    </w:p>
    <w:p w14:paraId="768DB03E" w14:textId="77777777" w:rsidR="003142C9" w:rsidRDefault="003142C9" w:rsidP="003142C9">
      <w:pPr>
        <w:pStyle w:val="ListParagraph"/>
        <w:numPr>
          <w:ilvl w:val="0"/>
          <w:numId w:val="11"/>
        </w:numPr>
      </w:pPr>
      <w:r>
        <w:t>regional providers (1 submission),</w:t>
      </w:r>
    </w:p>
    <w:p w14:paraId="599E51F4" w14:textId="57C2482B" w:rsidR="00252699" w:rsidRPr="00347B59" w:rsidRDefault="003142C9" w:rsidP="003D533E">
      <w:pPr>
        <w:rPr>
          <w:rFonts w:ascii="Calibri" w:eastAsiaTheme="majorEastAsia" w:hAnsi="Calibri" w:cstheme="majorBidi"/>
          <w:color w:val="5F6369"/>
          <w:sz w:val="26"/>
        </w:rPr>
      </w:pPr>
      <w:r>
        <w:t>It was suggested that the Accord should engage with organisations and bodies representing these stakeholder groups to ensure that the most appropriate and efficient options to meet challenges in the higher education sector are found.</w:t>
      </w:r>
    </w:p>
    <w:p w14:paraId="35A4D61D" w14:textId="387781F0" w:rsidR="003850F2" w:rsidRDefault="003142C9" w:rsidP="003850F2">
      <w:pPr>
        <w:pStyle w:val="Heading2"/>
      </w:pPr>
      <w:bookmarkStart w:id="27" w:name="_Toc134807414"/>
      <w:r>
        <w:t>The f</w:t>
      </w:r>
      <w:r w:rsidR="003850F2">
        <w:t>uture of the sector</w:t>
      </w:r>
      <w:bookmarkEnd w:id="27"/>
    </w:p>
    <w:p w14:paraId="0FB6F94B" w14:textId="06F1EFB7" w:rsidR="003850F2" w:rsidRPr="00A02ACB" w:rsidRDefault="00FA633D" w:rsidP="003850F2">
      <w:r>
        <w:t xml:space="preserve">This section of the report </w:t>
      </w:r>
      <w:r w:rsidR="00D40023">
        <w:t>focusses</w:t>
      </w:r>
      <w:r>
        <w:t xml:space="preserve"> </w:t>
      </w:r>
      <w:r w:rsidR="00D40023">
        <w:t>on the</w:t>
      </w:r>
      <w:r w:rsidR="008C7874">
        <w:t xml:space="preserve"> suggested</w:t>
      </w:r>
      <w:r w:rsidR="003D3C0C">
        <w:t xml:space="preserve"> future</w:t>
      </w:r>
      <w:r w:rsidR="00B556B2">
        <w:t xml:space="preserve"> core</w:t>
      </w:r>
      <w:r w:rsidR="000603F6">
        <w:t xml:space="preserve"> </w:t>
      </w:r>
      <w:r w:rsidR="004B4767">
        <w:t>elements of t</w:t>
      </w:r>
      <w:r w:rsidR="00F90CE3">
        <w:t xml:space="preserve">he higher education sector. </w:t>
      </w:r>
      <w:r w:rsidR="006C6AC4">
        <w:t xml:space="preserve">This section includes </w:t>
      </w:r>
      <w:r w:rsidR="00A0547F">
        <w:t>five</w:t>
      </w:r>
      <w:r w:rsidR="006C6AC4">
        <w:t xml:space="preserve"> subsections: </w:t>
      </w:r>
    </w:p>
    <w:p w14:paraId="64FFED95" w14:textId="01D34DED" w:rsidR="006C6AC4" w:rsidRDefault="003142C9" w:rsidP="006C6AC4">
      <w:pPr>
        <w:pStyle w:val="ListParagraph"/>
        <w:numPr>
          <w:ilvl w:val="0"/>
          <w:numId w:val="64"/>
        </w:numPr>
      </w:pPr>
      <w:r>
        <w:t>m</w:t>
      </w:r>
      <w:r w:rsidR="006C6AC4">
        <w:t>eeting Australia’s knowledge and skills needs</w:t>
      </w:r>
    </w:p>
    <w:p w14:paraId="696168F1" w14:textId="076B93BE" w:rsidR="006C6AC4" w:rsidRDefault="003142C9" w:rsidP="006C6AC4">
      <w:pPr>
        <w:pStyle w:val="ListParagraph"/>
        <w:numPr>
          <w:ilvl w:val="0"/>
          <w:numId w:val="64"/>
        </w:numPr>
      </w:pPr>
      <w:r>
        <w:t>q</w:t>
      </w:r>
      <w:r w:rsidR="006C6AC4">
        <w:t>uality teaching to deliver quality learning</w:t>
      </w:r>
    </w:p>
    <w:p w14:paraId="34CF667C" w14:textId="1535AE2D" w:rsidR="006C6AC4" w:rsidRDefault="004A0799" w:rsidP="006C6AC4">
      <w:pPr>
        <w:pStyle w:val="ListParagraph"/>
        <w:numPr>
          <w:ilvl w:val="0"/>
          <w:numId w:val="64"/>
        </w:numPr>
      </w:pPr>
      <w:r>
        <w:t>equitable access and a quality experience for all students</w:t>
      </w:r>
    </w:p>
    <w:p w14:paraId="08FFE0E5" w14:textId="06592EE9" w:rsidR="00A0547F" w:rsidRDefault="003142C9" w:rsidP="006C6AC4">
      <w:pPr>
        <w:pStyle w:val="ListParagraph"/>
        <w:numPr>
          <w:ilvl w:val="0"/>
          <w:numId w:val="64"/>
        </w:numPr>
      </w:pPr>
      <w:r>
        <w:t>d</w:t>
      </w:r>
      <w:r w:rsidR="00A0547F">
        <w:t>elivering new knowledge innovation and capability</w:t>
      </w:r>
    </w:p>
    <w:p w14:paraId="742E825A" w14:textId="33DDE323" w:rsidR="00A0547F" w:rsidRPr="00A02ACB" w:rsidRDefault="003142C9" w:rsidP="006C6AC4">
      <w:pPr>
        <w:pStyle w:val="ListParagraph"/>
        <w:numPr>
          <w:ilvl w:val="0"/>
          <w:numId w:val="64"/>
        </w:numPr>
      </w:pPr>
      <w:r>
        <w:t>c</w:t>
      </w:r>
      <w:r w:rsidR="00A0547F">
        <w:t>onnection to local regional and international communities.</w:t>
      </w:r>
    </w:p>
    <w:p w14:paraId="4D70D76A" w14:textId="7587A1A9" w:rsidR="008B5CA4" w:rsidRDefault="008B5CA4" w:rsidP="008B5CA4">
      <w:pPr>
        <w:pStyle w:val="Heading3"/>
      </w:pPr>
      <w:bookmarkStart w:id="28" w:name="_Toc133474011"/>
      <w:bookmarkStart w:id="29" w:name="_Toc133474034"/>
      <w:bookmarkStart w:id="30" w:name="_Toc134807415"/>
      <w:bookmarkStart w:id="31" w:name="_Hlk133575998"/>
      <w:r>
        <w:t>Meeting Australia’s knowledge and skills needs</w:t>
      </w:r>
      <w:bookmarkEnd w:id="28"/>
      <w:bookmarkEnd w:id="29"/>
      <w:bookmarkEnd w:id="30"/>
    </w:p>
    <w:p w14:paraId="7D04DA6A" w14:textId="77777777" w:rsidR="008B5CA4" w:rsidRDefault="008B5CA4" w:rsidP="008B5CA4">
      <w:r>
        <w:t>A core role of the tertiary education sector is to help build a workforce with the right skills to meet the challenges Australia faces over the next 30 years.</w:t>
      </w:r>
    </w:p>
    <w:p w14:paraId="3E3C1DB4" w14:textId="085ABD85" w:rsidR="008B5CA4" w:rsidRPr="0072776D" w:rsidRDefault="008B5CA4" w:rsidP="008B5CA4">
      <w:pPr>
        <w:ind w:left="720"/>
      </w:pPr>
      <w:r>
        <w:rPr>
          <w:i/>
          <w:iCs/>
        </w:rPr>
        <w:t>“</w:t>
      </w:r>
      <w:r w:rsidRPr="00BA7739">
        <w:rPr>
          <w:i/>
          <w:iCs/>
        </w:rPr>
        <w:t>Jobs and Skills Australia projects that, from 2021 to 2026, more than 90% of new jobs will require post-school qualifications.</w:t>
      </w:r>
      <w:r>
        <w:rPr>
          <w:i/>
          <w:iCs/>
        </w:rPr>
        <w:t xml:space="preserve"> </w:t>
      </w:r>
      <w:r w:rsidRPr="00BA7739">
        <w:rPr>
          <w:i/>
          <w:iCs/>
        </w:rPr>
        <w:t>This includes over 50% requiring bachelor degree or higher qualifications. A big shift is needed in Australia’s approach</w:t>
      </w:r>
      <w:r>
        <w:rPr>
          <w:i/>
          <w:iCs/>
        </w:rPr>
        <w:t xml:space="preserve"> </w:t>
      </w:r>
      <w:r w:rsidRPr="00BA7739">
        <w:rPr>
          <w:i/>
          <w:iCs/>
        </w:rPr>
        <w:t>to developing workforce skills and capabilities, and both higher education and vocational education must contribute.</w:t>
      </w:r>
      <w:r>
        <w:rPr>
          <w:i/>
          <w:iCs/>
        </w:rPr>
        <w:t xml:space="preserve">” </w:t>
      </w:r>
      <w:r>
        <w:t xml:space="preserve">– </w:t>
      </w:r>
      <w:r w:rsidRPr="00711039">
        <w:t xml:space="preserve">Australian Universities Accord </w:t>
      </w:r>
      <w:r>
        <w:t xml:space="preserve">Discussion </w:t>
      </w:r>
      <w:r w:rsidR="003142C9">
        <w:t>P</w:t>
      </w:r>
      <w:r>
        <w:t>aper, February 2023, p. 12</w:t>
      </w:r>
    </w:p>
    <w:p w14:paraId="234C4C59" w14:textId="40BF5EBE" w:rsidR="008B5CA4" w:rsidRDefault="008B5CA4" w:rsidP="008B5CA4">
      <w:r>
        <w:t xml:space="preserve">The </w:t>
      </w:r>
      <w:r w:rsidR="003142C9">
        <w:t>D</w:t>
      </w:r>
      <w:r>
        <w:t xml:space="preserve">iscussion </w:t>
      </w:r>
      <w:r w:rsidR="003142C9">
        <w:t>P</w:t>
      </w:r>
      <w:r>
        <w:t>aper asked for views on what Australia’s long-term targets for higher education attainment should be</w:t>
      </w:r>
      <w:r w:rsidR="00485D76">
        <w:t>,</w:t>
      </w:r>
      <w:r>
        <w:t xml:space="preserve"> to help the sector fulfil this role</w:t>
      </w:r>
      <w:r w:rsidRPr="00872A7D">
        <w:t xml:space="preserve">. </w:t>
      </w:r>
    </w:p>
    <w:p w14:paraId="659FDB7F" w14:textId="5FFE7766" w:rsidR="00D16A8B" w:rsidRDefault="00201483" w:rsidP="008B5CA4">
      <w:r>
        <w:t>Ninety-three</w:t>
      </w:r>
      <w:r w:rsidR="00F6013B">
        <w:t xml:space="preserve"> submissions included responses </w:t>
      </w:r>
      <w:r w:rsidR="00EA6723">
        <w:t>on</w:t>
      </w:r>
      <w:r w:rsidR="00F6013B">
        <w:t xml:space="preserve"> how Australia can meet its knowledge and skills needs. </w:t>
      </w:r>
      <w:r w:rsidR="00EA6723">
        <w:t xml:space="preserve">Key </w:t>
      </w:r>
      <w:r w:rsidR="00BE4FCA">
        <w:t xml:space="preserve">recommendations </w:t>
      </w:r>
      <w:r w:rsidR="00EE4CF6">
        <w:t>were identified as follows</w:t>
      </w:r>
      <w:r w:rsidR="00EA6723">
        <w:t xml:space="preserve">: </w:t>
      </w:r>
    </w:p>
    <w:p w14:paraId="08747138" w14:textId="3AD1F8AC" w:rsidR="00D07EBE" w:rsidRDefault="00EA6723" w:rsidP="00D07EBE">
      <w:pPr>
        <w:pStyle w:val="ListParagraph"/>
        <w:numPr>
          <w:ilvl w:val="0"/>
          <w:numId w:val="66"/>
        </w:numPr>
      </w:pPr>
      <w:r>
        <w:t>i</w:t>
      </w:r>
      <w:r w:rsidR="00D07EBE">
        <w:t>ncreas</w:t>
      </w:r>
      <w:r w:rsidR="00EE4CF6">
        <w:t>e the</w:t>
      </w:r>
      <w:r w:rsidR="00D07EBE">
        <w:t xml:space="preserve"> demand for higher education</w:t>
      </w:r>
      <w:r w:rsidR="001E16CB">
        <w:t xml:space="preserve"> (</w:t>
      </w:r>
      <w:r w:rsidR="007323CD">
        <w:t>36 submissions)</w:t>
      </w:r>
    </w:p>
    <w:p w14:paraId="4204D6F6" w14:textId="252D1BBD" w:rsidR="00D07EBE" w:rsidRDefault="0017091A" w:rsidP="00D07EBE">
      <w:pPr>
        <w:pStyle w:val="ListParagraph"/>
        <w:numPr>
          <w:ilvl w:val="0"/>
          <w:numId w:val="66"/>
        </w:numPr>
      </w:pPr>
      <w:r>
        <w:t xml:space="preserve">create a culture of </w:t>
      </w:r>
      <w:r w:rsidR="00EA6723">
        <w:t>l</w:t>
      </w:r>
      <w:r w:rsidR="00D07EBE">
        <w:t>ifelong learning</w:t>
      </w:r>
      <w:r w:rsidR="005D7F02">
        <w:t xml:space="preserve"> (83 submissions)</w:t>
      </w:r>
    </w:p>
    <w:p w14:paraId="48DA7025" w14:textId="6C668A2E" w:rsidR="00D07EBE" w:rsidRDefault="00EA6723" w:rsidP="00D07EBE">
      <w:pPr>
        <w:pStyle w:val="ListParagraph"/>
        <w:numPr>
          <w:ilvl w:val="0"/>
          <w:numId w:val="66"/>
        </w:numPr>
      </w:pPr>
      <w:r>
        <w:lastRenderedPageBreak/>
        <w:t>e</w:t>
      </w:r>
      <w:r w:rsidR="00D07EBE">
        <w:t>nsur</w:t>
      </w:r>
      <w:r w:rsidR="001A6136">
        <w:t>e</w:t>
      </w:r>
      <w:r w:rsidR="00D07EBE">
        <w:t xml:space="preserve"> an adequate supply of Commonwealth supported places </w:t>
      </w:r>
      <w:r w:rsidR="001E16CB">
        <w:t>(28 submissions)</w:t>
      </w:r>
    </w:p>
    <w:p w14:paraId="1674FD9B" w14:textId="24C87683" w:rsidR="00D07EBE" w:rsidRDefault="0094530E" w:rsidP="00D07EBE">
      <w:pPr>
        <w:pStyle w:val="ListParagraph"/>
        <w:numPr>
          <w:ilvl w:val="0"/>
          <w:numId w:val="66"/>
        </w:numPr>
      </w:pPr>
      <w:r>
        <w:t>e</w:t>
      </w:r>
      <w:r w:rsidRPr="0094530E">
        <w:t xml:space="preserve">nsure enough students study courses aligned with the changing needs of the economy and society </w:t>
      </w:r>
      <w:r w:rsidR="001E16CB">
        <w:t>(55 submissions)</w:t>
      </w:r>
    </w:p>
    <w:p w14:paraId="449DCB41" w14:textId="214640CD" w:rsidR="00E027C4" w:rsidRPr="00E027C4" w:rsidRDefault="00E027C4" w:rsidP="00E027C4">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4</w:t>
      </w:r>
      <w:r w:rsidR="008444D3">
        <w:rPr>
          <w:noProof/>
        </w:rPr>
        <w:fldChar w:fldCharType="end"/>
      </w:r>
      <w:r w:rsidR="000B1394">
        <w:t xml:space="preserve"> | </w:t>
      </w:r>
      <w:r w:rsidR="00365F12" w:rsidRPr="00365F12">
        <w:t>Distribution of submissions – Meeting Australia’s knowledge and skills needs (N=152)</w:t>
      </w:r>
    </w:p>
    <w:p w14:paraId="3BF9D280" w14:textId="48A53A14" w:rsidR="00D46886" w:rsidRDefault="00880AD2" w:rsidP="00D46886">
      <w:r w:rsidRPr="00880AD2">
        <w:rPr>
          <w:noProof/>
        </w:rPr>
        <w:drawing>
          <wp:inline distT="0" distB="0" distL="0" distR="0" wp14:anchorId="2EFBAFAC" wp14:editId="27D7579E">
            <wp:extent cx="5835650" cy="3608070"/>
            <wp:effectExtent l="0" t="0" r="0" b="0"/>
            <wp:docPr id="52" name="Picture 52" descr="Bar graph. &#10;University staff were more likely to include recommendations about how to meet Australia’s knowledge and skills needs. University staff made up ten per cent of submissions to this topic compared to six per cent of total submissions.&#10;Graph data:&#10;Individual - 25 (16%)&#10;University - 25 (16%)&#10;Other advocacy - 23 (15%)&#10;University staff - 15 (10%)&#10;Other higher education - 9 (6%)&#10;Professional association - 8 (5%)&#10;University school, centre, faculty or college - 8 (5%)&#10;Student representatives - 8 (5%)&#10;Higher education peak body - 5 (3%)&#10;Independent provider - 5 (3%)&#10;Discipline group - 5 (3%)&#10;Regional networks and support services - 4 (3%)&#10;Business - 3 (2%)&#10;Other peak body - 3 (2%)&#10;State or Commonwealth government body - 2 (2%)&#10;Other provider - 1 (1%)&#10;Union - 1 (1%)&#10;First Nations organisation - 1 (1%)&#10;Other - 1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Bar graph. &#10;University staff were more likely to include recommendations about how to meet Australia’s knowledge and skills needs. University staff made up ten per cent of submissions to this topic compared to six per cent of total submissions.&#10;Graph data:&#10;Individual - 25 (16%)&#10;University - 25 (16%)&#10;Other advocacy - 23 (15%)&#10;University staff - 15 (10%)&#10;Other higher education - 9 (6%)&#10;Professional association - 8 (5%)&#10;University school, centre, faculty or college - 8 (5%)&#10;Student representatives - 8 (5%)&#10;Higher education peak body - 5 (3%)&#10;Independent provider - 5 (3%)&#10;Discipline group - 5 (3%)&#10;Regional networks and support services - 4 (3%)&#10;Business - 3 (2%)&#10;Other peak body - 3 (2%)&#10;State or Commonwealth government body - 2 (2%)&#10;Other provider - 1 (1%)&#10;Union - 1 (1%)&#10;First Nations organisation - 1 (1%)&#10;Other - 1 (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5650" cy="3608070"/>
                    </a:xfrm>
                    <a:prstGeom prst="rect">
                      <a:avLst/>
                    </a:prstGeom>
                    <a:noFill/>
                    <a:ln>
                      <a:noFill/>
                    </a:ln>
                  </pic:spPr>
                </pic:pic>
              </a:graphicData>
            </a:graphic>
          </wp:inline>
        </w:drawing>
      </w:r>
    </w:p>
    <w:p w14:paraId="4119B086" w14:textId="748FD2DB" w:rsidR="008B5CA4" w:rsidRPr="00872A7D" w:rsidRDefault="00CC0483" w:rsidP="008B5CA4">
      <w:r>
        <w:t>Two</w:t>
      </w:r>
      <w:r w:rsidR="008B5CA4">
        <w:t xml:space="preserve"> submissions suggested</w:t>
      </w:r>
      <w:r w:rsidR="008B5CA4" w:rsidRPr="00872A7D">
        <w:t xml:space="preserve"> that</w:t>
      </w:r>
      <w:r w:rsidR="00E5389B">
        <w:t xml:space="preserve"> a target of</w:t>
      </w:r>
      <w:r w:rsidR="008B5CA4" w:rsidRPr="00872A7D">
        <w:t xml:space="preserve"> 75% of Australians aged 25</w:t>
      </w:r>
      <w:r w:rsidR="00851DCD">
        <w:t xml:space="preserve"> to </w:t>
      </w:r>
      <w:r w:rsidR="008B5CA4" w:rsidRPr="00872A7D">
        <w:t>39 years should have attained (or be in the process of attaining) a post-Year 12 or equivalent qualification by 2040</w:t>
      </w:r>
      <w:r>
        <w:t>)</w:t>
      </w:r>
      <w:r w:rsidR="008B5CA4" w:rsidRPr="00872A7D">
        <w:t>.</w:t>
      </w:r>
      <w:r>
        <w:t xml:space="preserve"> Two</w:t>
      </w:r>
      <w:r w:rsidR="008B5CA4" w:rsidRPr="00872A7D">
        <w:t xml:space="preserve"> submissions argued that Australia’s post-secondary education attainment should lead the OECD.</w:t>
      </w:r>
    </w:p>
    <w:p w14:paraId="1195D561" w14:textId="0B2FD588" w:rsidR="008B5CA4" w:rsidRDefault="008B5CA4" w:rsidP="008B5CA4">
      <w:r>
        <w:t xml:space="preserve">On the other hand, </w:t>
      </w:r>
      <w:r w:rsidR="00991600">
        <w:t>three</w:t>
      </w:r>
      <w:r w:rsidRPr="00872A7D">
        <w:t xml:space="preserve"> submissions recommended that Australia should not </w:t>
      </w:r>
      <w:r>
        <w:t>set</w:t>
      </w:r>
      <w:r w:rsidRPr="00872A7D">
        <w:t xml:space="preserve"> long</w:t>
      </w:r>
      <w:r>
        <w:t>-</w:t>
      </w:r>
      <w:r w:rsidRPr="00872A7D">
        <w:t>term</w:t>
      </w:r>
      <w:r w:rsidR="00374379">
        <w:t xml:space="preserve"> </w:t>
      </w:r>
      <w:r w:rsidRPr="00872A7D">
        <w:t xml:space="preserve">targets </w:t>
      </w:r>
      <w:r>
        <w:t>for</w:t>
      </w:r>
      <w:r w:rsidRPr="00872A7D">
        <w:t xml:space="preserve"> higher education</w:t>
      </w:r>
      <w:r>
        <w:t xml:space="preserve"> attainment</w:t>
      </w:r>
      <w:r w:rsidRPr="00872A7D">
        <w:t xml:space="preserve">. </w:t>
      </w:r>
      <w:r w:rsidR="00A046A7" w:rsidRPr="00A046A7">
        <w:t>They argued that there are inherent difficulties in predicting Australia’s skill needs; that promoting arbitrary targets risks creating an oversupply of graduates or graduates who are overqualified for the careers they ultimately pursue; and that it risks encouraging participation by people for whom higher education is not suitable.</w:t>
      </w:r>
    </w:p>
    <w:p w14:paraId="3C27B5C4" w14:textId="6F7052D7" w:rsidR="008B5CA4" w:rsidRDefault="008B5CA4" w:rsidP="008B5CA4">
      <w:pPr>
        <w:pStyle w:val="Heading4"/>
      </w:pPr>
      <w:r>
        <w:t>Increas</w:t>
      </w:r>
      <w:r w:rsidR="00EE4CF6">
        <w:t>e</w:t>
      </w:r>
      <w:r>
        <w:t xml:space="preserve"> the demand for higher education</w:t>
      </w:r>
    </w:p>
    <w:p w14:paraId="5A74FDA3" w14:textId="749440DE" w:rsidR="008B5CA4" w:rsidRDefault="008B5CA4" w:rsidP="008B5CA4">
      <w:r>
        <w:t xml:space="preserve">If Australia is to build a workforce with the right skills for the future, it will need to increase demand for higher education. The </w:t>
      </w:r>
      <w:r w:rsidR="0054335C">
        <w:t>D</w:t>
      </w:r>
      <w:r>
        <w:t xml:space="preserve">iscussion </w:t>
      </w:r>
      <w:r w:rsidR="0054335C">
        <w:t>P</w:t>
      </w:r>
      <w:r>
        <w:t xml:space="preserve">aper </w:t>
      </w:r>
      <w:r w:rsidR="006F0438">
        <w:t>asked,</w:t>
      </w:r>
      <w:r>
        <w:t xml:space="preserve"> “how should Australia boost demand from people to study in the higher education sector?”  </w:t>
      </w:r>
    </w:p>
    <w:p w14:paraId="55334376" w14:textId="2075E131" w:rsidR="008B5CA4" w:rsidRPr="00407AA5" w:rsidRDefault="008B5CA4" w:rsidP="008B5CA4">
      <w:r>
        <w:t>Submissions</w:t>
      </w:r>
      <w:r w:rsidRPr="00407AA5">
        <w:t xml:space="preserve"> referred to the need to remove barriers to access and participation</w:t>
      </w:r>
      <w:r>
        <w:t>. Suggestions included:</w:t>
      </w:r>
      <w:r w:rsidRPr="00407AA5">
        <w:t xml:space="preserve"> </w:t>
      </w:r>
    </w:p>
    <w:p w14:paraId="2E5340E1" w14:textId="69F3B33E" w:rsidR="00991600" w:rsidRDefault="00991600" w:rsidP="00991600">
      <w:pPr>
        <w:pStyle w:val="ListParagraph"/>
        <w:numPr>
          <w:ilvl w:val="0"/>
          <w:numId w:val="5"/>
        </w:numPr>
      </w:pPr>
      <w:r w:rsidRPr="00407AA5">
        <w:t>Increase access through better pathways and supports (12 submissions)</w:t>
      </w:r>
    </w:p>
    <w:p w14:paraId="2AAFD944" w14:textId="13C6024F" w:rsidR="008B5CA4" w:rsidRPr="00407AA5" w:rsidRDefault="008B5CA4">
      <w:pPr>
        <w:pStyle w:val="ListParagraph"/>
        <w:numPr>
          <w:ilvl w:val="0"/>
          <w:numId w:val="5"/>
        </w:numPr>
      </w:pPr>
      <w:r w:rsidRPr="00407AA5">
        <w:t>Reduc</w:t>
      </w:r>
      <w:r w:rsidR="00906EE2">
        <w:t>e the</w:t>
      </w:r>
      <w:r w:rsidRPr="00407AA5">
        <w:t xml:space="preserve"> cost burden of higher education (13 submissions)</w:t>
      </w:r>
    </w:p>
    <w:p w14:paraId="747F93AC" w14:textId="783D0CFB" w:rsidR="008B5CA4" w:rsidRDefault="008B5CA4">
      <w:pPr>
        <w:pStyle w:val="ListParagraph"/>
        <w:numPr>
          <w:ilvl w:val="0"/>
          <w:numId w:val="5"/>
        </w:numPr>
      </w:pPr>
      <w:r w:rsidRPr="00407AA5">
        <w:t>Increas</w:t>
      </w:r>
      <w:r>
        <w:t>e</w:t>
      </w:r>
      <w:r w:rsidRPr="00407AA5">
        <w:t xml:space="preserve"> outreach to secondary schools (3 submissions)</w:t>
      </w:r>
    </w:p>
    <w:p w14:paraId="54EE10B2" w14:textId="77777777" w:rsidR="008B5CA4" w:rsidRPr="00407AA5" w:rsidRDefault="008B5CA4" w:rsidP="008B5CA4">
      <w:r>
        <w:lastRenderedPageBreak/>
        <w:t>These points are discussed further below.</w:t>
      </w:r>
    </w:p>
    <w:p w14:paraId="4C036ABC" w14:textId="77777777" w:rsidR="008B5CA4" w:rsidRDefault="008B5CA4" w:rsidP="008B5CA4">
      <w:pPr>
        <w:pStyle w:val="Heading5"/>
      </w:pPr>
      <w:r>
        <w:t xml:space="preserve">Increase access through better pathways and supports </w:t>
      </w:r>
    </w:p>
    <w:p w14:paraId="3A22819E" w14:textId="2029D7A3" w:rsidR="008B5CA4" w:rsidRDefault="008B5CA4" w:rsidP="008B5CA4">
      <w:r>
        <w:t>Twelve respondents noted that underrepresented cohorts create the largest opportunity to increase post-secondary demand and to increase Australia’s pool of skilled resources. These cohorts include:</w:t>
      </w:r>
    </w:p>
    <w:p w14:paraId="58D363A3" w14:textId="77777777" w:rsidR="008B5CA4" w:rsidRDefault="008B5CA4" w:rsidP="00054202">
      <w:pPr>
        <w:pStyle w:val="ListParagraph"/>
        <w:numPr>
          <w:ilvl w:val="0"/>
          <w:numId w:val="27"/>
        </w:numPr>
      </w:pPr>
      <w:r>
        <w:t>people with disability</w:t>
      </w:r>
    </w:p>
    <w:p w14:paraId="40A24ADE" w14:textId="77777777" w:rsidR="008B5CA4" w:rsidRDefault="008B5CA4" w:rsidP="00054202">
      <w:pPr>
        <w:pStyle w:val="ListParagraph"/>
        <w:numPr>
          <w:ilvl w:val="0"/>
          <w:numId w:val="27"/>
        </w:numPr>
      </w:pPr>
      <w:r>
        <w:t>people in regional, rural and remote communities</w:t>
      </w:r>
    </w:p>
    <w:p w14:paraId="2D1EFAA5" w14:textId="654CC7AD" w:rsidR="008B5CA4" w:rsidRDefault="008B5CA4" w:rsidP="00054202">
      <w:pPr>
        <w:pStyle w:val="ListParagraph"/>
        <w:numPr>
          <w:ilvl w:val="0"/>
          <w:numId w:val="27"/>
        </w:numPr>
      </w:pPr>
      <w:r>
        <w:t>people from backgrounds of low socioeconomic status (low SES)</w:t>
      </w:r>
    </w:p>
    <w:p w14:paraId="1882572C" w14:textId="77777777" w:rsidR="008B5CA4" w:rsidRDefault="008B5CA4" w:rsidP="00054202">
      <w:pPr>
        <w:pStyle w:val="ListParagraph"/>
        <w:numPr>
          <w:ilvl w:val="0"/>
          <w:numId w:val="27"/>
        </w:numPr>
      </w:pPr>
      <w:r>
        <w:t xml:space="preserve">First Nations people. </w:t>
      </w:r>
    </w:p>
    <w:p w14:paraId="5B56F48C" w14:textId="1EB7B086" w:rsidR="008B5CA4" w:rsidRDefault="008B5CA4" w:rsidP="008B5CA4">
      <w:r>
        <w:t xml:space="preserve">These cohorts have the least engagement with the higher education sector, </w:t>
      </w:r>
      <w:r w:rsidRPr="00FD3BE1">
        <w:t>despite effort and some progress to the contrary.</w:t>
      </w:r>
      <w:r>
        <w:t xml:space="preserve"> Participation levels in these cohorts still lag the targets set by the 2008 Bradley review</w:t>
      </w:r>
      <w:r w:rsidRPr="0081356C">
        <w:t>.</w:t>
      </w:r>
      <w:r>
        <w:t xml:space="preserve"> </w:t>
      </w:r>
    </w:p>
    <w:p w14:paraId="31F0763A" w14:textId="79826C79" w:rsidR="008B5CA4" w:rsidRDefault="008B5CA4" w:rsidP="008B5CA4">
      <w:r>
        <w:t xml:space="preserve">Ten submissions identified that traditional pathways into higher education can act as a barrier for some students. Expanding the pathways into higher education by means such as enabling programs, VET courses and more holistic assessment schemes can provide more opportunity for prospective students. Changes to the pathways are likely to have a large positive impact for underrepresented cohorts. </w:t>
      </w:r>
    </w:p>
    <w:p w14:paraId="70F460F7" w14:textId="77777777" w:rsidR="008B5CA4" w:rsidRDefault="008B5CA4" w:rsidP="008B5CA4">
      <w:r>
        <w:t xml:space="preserve">The University of Sydney Students’ Representative Council outlined this point in their submission: </w:t>
      </w:r>
    </w:p>
    <w:p w14:paraId="0F1D4AE9" w14:textId="77777777" w:rsidR="00523203" w:rsidRPr="004009B7" w:rsidRDefault="00523203" w:rsidP="00523203">
      <w:pPr>
        <w:ind w:left="720"/>
      </w:pPr>
      <w:r>
        <w:rPr>
          <w:i/>
          <w:iCs/>
        </w:rPr>
        <w:t>“</w:t>
      </w:r>
      <w:r w:rsidRPr="00A57955">
        <w:rPr>
          <w:i/>
          <w:iCs/>
        </w:rPr>
        <w:t>To boost demand from people to study in the higher education system, Australia must take active steps to make the process of applying for and completing study more accessible. This must be systemic, and well-advertised, so that any person who wants to access higher education in Australia does not face barriers in deciding to do so.</w:t>
      </w:r>
      <w:r>
        <w:rPr>
          <w:i/>
          <w:iCs/>
        </w:rPr>
        <w:t xml:space="preserve">” </w:t>
      </w:r>
      <w:r>
        <w:t>– University of Sydney Students’ Representative Council</w:t>
      </w:r>
    </w:p>
    <w:p w14:paraId="20DE1868" w14:textId="4071D36A" w:rsidR="008B5CA4" w:rsidRPr="00E74C7C" w:rsidRDefault="008B5CA4" w:rsidP="008B5CA4">
      <w:r w:rsidRPr="00820CFA">
        <w:t xml:space="preserve">A more in-depth exploration </w:t>
      </w:r>
      <w:r>
        <w:t>of submitters’ suggestions</w:t>
      </w:r>
      <w:r w:rsidRPr="00820CFA">
        <w:t xml:space="preserve"> to address barriers to higher education </w:t>
      </w:r>
      <w:r w:rsidRPr="002F529C">
        <w:t xml:space="preserve">access </w:t>
      </w:r>
      <w:r>
        <w:t>is</w:t>
      </w:r>
      <w:r w:rsidRPr="002F529C">
        <w:t xml:space="preserve"> in</w:t>
      </w:r>
      <w:r w:rsidR="002B3B40">
        <w:t xml:space="preserve"> the</w:t>
      </w:r>
      <w:r w:rsidRPr="002F529C">
        <w:t xml:space="preserve"> section</w:t>
      </w:r>
      <w:r w:rsidR="00991600">
        <w:t xml:space="preserve"> </w:t>
      </w:r>
      <w:r w:rsidR="00991600" w:rsidRPr="00991600">
        <w:rPr>
          <w:i/>
          <w:iCs/>
          <w:u w:val="single"/>
        </w:rPr>
        <w:fldChar w:fldCharType="begin"/>
      </w:r>
      <w:r w:rsidR="00991600" w:rsidRPr="00991600">
        <w:rPr>
          <w:i/>
          <w:iCs/>
          <w:u w:val="single"/>
        </w:rPr>
        <w:instrText xml:space="preserve"> REF _Ref134794675 \h  \* MERGEFORMAT </w:instrText>
      </w:r>
      <w:r w:rsidR="00991600" w:rsidRPr="00991600">
        <w:rPr>
          <w:i/>
          <w:iCs/>
          <w:u w:val="single"/>
        </w:rPr>
      </w:r>
      <w:r w:rsidR="00991600" w:rsidRPr="00991600">
        <w:rPr>
          <w:i/>
          <w:iCs/>
          <w:u w:val="single"/>
        </w:rPr>
        <w:fldChar w:fldCharType="separate"/>
      </w:r>
      <w:r w:rsidR="009D26B2" w:rsidRPr="009D26B2">
        <w:rPr>
          <w:rFonts w:cs="Calibri"/>
          <w:i/>
          <w:iCs/>
          <w:u w:val="single"/>
        </w:rPr>
        <w:t>Equitable access and a quality experience for all students</w:t>
      </w:r>
      <w:r w:rsidR="00991600" w:rsidRPr="00991600">
        <w:rPr>
          <w:i/>
          <w:iCs/>
          <w:u w:val="single"/>
        </w:rPr>
        <w:fldChar w:fldCharType="end"/>
      </w:r>
      <w:r w:rsidR="00523203">
        <w:rPr>
          <w:i/>
          <w:iCs/>
          <w:u w:val="single"/>
        </w:rPr>
        <w:t>.</w:t>
      </w:r>
      <w:r w:rsidRPr="002F529C">
        <w:t xml:space="preserve"> Additional discussion about proposed changes to tertiary pathways </w:t>
      </w:r>
      <w:r>
        <w:t>is</w:t>
      </w:r>
      <w:r w:rsidRPr="002F529C">
        <w:t xml:space="preserve"> in </w:t>
      </w:r>
      <w:r>
        <w:t xml:space="preserve">the </w:t>
      </w:r>
      <w:r w:rsidRPr="002F529C">
        <w:t>section</w:t>
      </w:r>
      <w:r w:rsidR="00832AD6">
        <w:t xml:space="preserve"> </w:t>
      </w:r>
      <w:r w:rsidR="005677E3" w:rsidRPr="005677E3">
        <w:rPr>
          <w:i/>
          <w:iCs/>
          <w:u w:val="single"/>
        </w:rPr>
        <w:fldChar w:fldCharType="begin"/>
      </w:r>
      <w:r w:rsidR="005677E3" w:rsidRPr="005677E3">
        <w:rPr>
          <w:i/>
          <w:iCs/>
          <w:u w:val="single"/>
        </w:rPr>
        <w:instrText xml:space="preserve"> REF _Ref135206927 \h  \* MERGEFORMAT </w:instrText>
      </w:r>
      <w:r w:rsidR="005677E3" w:rsidRPr="005677E3">
        <w:rPr>
          <w:i/>
          <w:iCs/>
          <w:u w:val="single"/>
        </w:rPr>
      </w:r>
      <w:r w:rsidR="005677E3" w:rsidRPr="005677E3">
        <w:rPr>
          <w:i/>
          <w:iCs/>
          <w:u w:val="single"/>
        </w:rPr>
        <w:fldChar w:fldCharType="separate"/>
      </w:r>
      <w:r w:rsidR="005677E3" w:rsidRPr="005677E3">
        <w:rPr>
          <w:i/>
          <w:iCs/>
          <w:u w:val="single"/>
        </w:rPr>
        <w:t>Coherence and integration between the VET and higher education systems</w:t>
      </w:r>
      <w:r w:rsidR="005677E3" w:rsidRPr="005677E3">
        <w:rPr>
          <w:i/>
          <w:iCs/>
          <w:u w:val="single"/>
        </w:rPr>
        <w:fldChar w:fldCharType="end"/>
      </w:r>
      <w:r w:rsidR="005677E3">
        <w:rPr>
          <w:i/>
          <w:iCs/>
          <w:u w:val="single"/>
        </w:rPr>
        <w:t>.</w:t>
      </w:r>
      <w:r>
        <w:t xml:space="preserve"> </w:t>
      </w:r>
    </w:p>
    <w:p w14:paraId="035B1AA9" w14:textId="77777777" w:rsidR="008B5CA4" w:rsidRDefault="008B5CA4" w:rsidP="008B5CA4">
      <w:pPr>
        <w:pStyle w:val="Heading5"/>
      </w:pPr>
      <w:r>
        <w:t>Reduce the cost burden of higher education</w:t>
      </w:r>
    </w:p>
    <w:p w14:paraId="591A86CE" w14:textId="1BA0A645" w:rsidR="008B5CA4" w:rsidRDefault="008B5CA4" w:rsidP="008B5CA4">
      <w:r>
        <w:t>Submissions identified</w:t>
      </w:r>
      <w:r w:rsidRPr="00992334">
        <w:t xml:space="preserve"> the cost of attending higher education as suppressing demand. The most common idea to address this challenge</w:t>
      </w:r>
      <w:r>
        <w:t xml:space="preserve"> </w:t>
      </w:r>
      <w:r w:rsidRPr="00992334">
        <w:t xml:space="preserve">was to expand the number of Commonwealth </w:t>
      </w:r>
      <w:r>
        <w:t>s</w:t>
      </w:r>
      <w:r w:rsidRPr="00992334">
        <w:t xml:space="preserve">upported </w:t>
      </w:r>
      <w:r>
        <w:t>p</w:t>
      </w:r>
      <w:r w:rsidRPr="00992334">
        <w:t>laces (CSPs)</w:t>
      </w:r>
      <w:r w:rsidR="00CD1A8B">
        <w:t xml:space="preserve">. </w:t>
      </w:r>
      <w:r w:rsidR="005C148E">
        <w:t>Two</w:t>
      </w:r>
      <w:r w:rsidR="00CD1A8B" w:rsidRPr="00CD1A8B">
        <w:t xml:space="preserve"> su</w:t>
      </w:r>
      <w:r w:rsidR="00F52D5C">
        <w:t>b</w:t>
      </w:r>
      <w:r w:rsidR="00CD1A8B" w:rsidRPr="00CD1A8B">
        <w:t>missions also recommended expanding</w:t>
      </w:r>
      <w:r w:rsidRPr="00992334">
        <w:t xml:space="preserve"> access to CSPs to include vocational education</w:t>
      </w:r>
      <w:r w:rsidR="00AF4343">
        <w:t>.</w:t>
      </w:r>
    </w:p>
    <w:p w14:paraId="69B27CA0" w14:textId="68BB0B5C" w:rsidR="008B5CA4" w:rsidRDefault="008B5CA4" w:rsidP="008B5CA4">
      <w:r w:rsidRPr="00992334">
        <w:t xml:space="preserve">The cost of living faced by students was also outlined as a disincentive to </w:t>
      </w:r>
      <w:r w:rsidR="007A605F">
        <w:t>participate in</w:t>
      </w:r>
      <w:r w:rsidRPr="00992334">
        <w:t xml:space="preserve"> higher education. </w:t>
      </w:r>
    </w:p>
    <w:p w14:paraId="7F6406A0" w14:textId="2D017439" w:rsidR="008B5CA4" w:rsidRPr="00905A31" w:rsidRDefault="008B5CA4" w:rsidP="008B5CA4">
      <w:pPr>
        <w:rPr>
          <w:i/>
          <w:iCs/>
          <w:u w:val="single"/>
        </w:rPr>
      </w:pPr>
      <w:r w:rsidRPr="00992334">
        <w:t xml:space="preserve">A more in-depth discussion about approaches to alleviating the cost barriers </w:t>
      </w:r>
      <w:r>
        <w:t>to higher</w:t>
      </w:r>
      <w:r w:rsidRPr="00992334">
        <w:t xml:space="preserve"> education </w:t>
      </w:r>
      <w:r>
        <w:t>is</w:t>
      </w:r>
      <w:r w:rsidRPr="00992334">
        <w:t xml:space="preserve"> in </w:t>
      </w:r>
      <w:r>
        <w:t xml:space="preserve">the </w:t>
      </w:r>
      <w:r w:rsidRPr="00992334">
        <w:t>section</w:t>
      </w:r>
      <w:r w:rsidR="009208EC">
        <w:t xml:space="preserve"> </w:t>
      </w:r>
      <w:r w:rsidR="009208EC" w:rsidRPr="009208EC">
        <w:rPr>
          <w:i/>
          <w:iCs/>
          <w:u w:val="single"/>
        </w:rPr>
        <w:fldChar w:fldCharType="begin"/>
      </w:r>
      <w:r w:rsidR="009208EC" w:rsidRPr="009208EC">
        <w:rPr>
          <w:i/>
          <w:iCs/>
          <w:u w:val="single"/>
        </w:rPr>
        <w:instrText xml:space="preserve"> REF _Ref134773203 \h  \* MERGEFORMAT </w:instrText>
      </w:r>
      <w:r w:rsidR="009208EC" w:rsidRPr="009208EC">
        <w:rPr>
          <w:i/>
          <w:iCs/>
          <w:u w:val="single"/>
        </w:rPr>
      </w:r>
      <w:r w:rsidR="009208EC" w:rsidRPr="009208EC">
        <w:rPr>
          <w:i/>
          <w:iCs/>
          <w:u w:val="single"/>
        </w:rPr>
        <w:fldChar w:fldCharType="separate"/>
      </w:r>
      <w:r w:rsidR="009D26B2" w:rsidRPr="009D26B2">
        <w:rPr>
          <w:rFonts w:cs="Calibri"/>
          <w:i/>
          <w:iCs/>
          <w:u w:val="single"/>
        </w:rPr>
        <w:t>Equitable access and a quality experience for all students</w:t>
      </w:r>
      <w:r w:rsidR="009208EC" w:rsidRPr="009208EC">
        <w:rPr>
          <w:i/>
          <w:iCs/>
          <w:u w:val="single"/>
        </w:rPr>
        <w:fldChar w:fldCharType="end"/>
      </w:r>
      <w:r w:rsidRPr="009208EC">
        <w:rPr>
          <w:i/>
          <w:iCs/>
          <w:u w:val="single"/>
        </w:rPr>
        <w:t>.</w:t>
      </w:r>
      <w:r w:rsidRPr="00905A31">
        <w:rPr>
          <w:i/>
          <w:iCs/>
          <w:u w:val="single"/>
        </w:rPr>
        <w:t xml:space="preserve"> </w:t>
      </w:r>
    </w:p>
    <w:p w14:paraId="3B5F15AC" w14:textId="77777777" w:rsidR="008B5CA4" w:rsidRPr="00A57955" w:rsidRDefault="008B5CA4" w:rsidP="008B5CA4">
      <w:pPr>
        <w:pStyle w:val="Heading5"/>
      </w:pPr>
      <w:r>
        <w:lastRenderedPageBreak/>
        <w:t xml:space="preserve">Increase outreach to secondary schools </w:t>
      </w:r>
    </w:p>
    <w:p w14:paraId="49CF308A" w14:textId="0847B088" w:rsidR="008B5CA4" w:rsidRDefault="008B5CA4" w:rsidP="008B5CA4">
      <w:r>
        <w:t xml:space="preserve">Submissions that referred to outreach to secondary schools noted that clearer and more accessible information about the potential options can enable more students (primarily in secondary school) to choose higher education. For example, the Victorian Tertiary Admissions Centre discussed better promotion of the benefits of tertiary education:  </w:t>
      </w:r>
    </w:p>
    <w:p w14:paraId="66AC096B" w14:textId="77777777" w:rsidR="00D17122" w:rsidRPr="001D0A21" w:rsidRDefault="00D17122" w:rsidP="00D17122">
      <w:pPr>
        <w:ind w:left="720"/>
      </w:pPr>
      <w:r>
        <w:rPr>
          <w:i/>
          <w:iCs/>
        </w:rPr>
        <w:t>“</w:t>
      </w:r>
      <w:r w:rsidRPr="009B3986">
        <w:rPr>
          <w:i/>
          <w:iCs/>
        </w:rPr>
        <w:t>Government and tertiary admissions centres have a role to play in promoting the benefits of tertiary and higher education more specifically, and assisting prospective learners in identifying the most suitable courses and pathways for their aspirations and abilities.</w:t>
      </w:r>
      <w:r>
        <w:rPr>
          <w:i/>
          <w:iCs/>
        </w:rPr>
        <w:t xml:space="preserve">” </w:t>
      </w:r>
      <w:r>
        <w:t>– Victorian Tertiary Admissions Centre</w:t>
      </w:r>
    </w:p>
    <w:p w14:paraId="2B197689" w14:textId="77777777" w:rsidR="008B5CA4" w:rsidRDefault="008B5CA4" w:rsidP="008B5CA4">
      <w:r>
        <w:t xml:space="preserve">Additional recommendations in submissions to boost demand for higher education included: </w:t>
      </w:r>
    </w:p>
    <w:p w14:paraId="0AE52CCE" w14:textId="77777777" w:rsidR="008B5CA4" w:rsidRDefault="008B5CA4">
      <w:pPr>
        <w:pStyle w:val="ListParagraph"/>
        <w:numPr>
          <w:ilvl w:val="0"/>
          <w:numId w:val="6"/>
        </w:numPr>
      </w:pPr>
      <w:r>
        <w:t>increase the number and flexibility of study options (for example by expanding microcredentials)</w:t>
      </w:r>
    </w:p>
    <w:p w14:paraId="14F495CF" w14:textId="77777777" w:rsidR="008B5CA4" w:rsidRDefault="008B5CA4">
      <w:pPr>
        <w:pStyle w:val="ListParagraph"/>
        <w:numPr>
          <w:ilvl w:val="0"/>
          <w:numId w:val="6"/>
        </w:numPr>
      </w:pPr>
      <w:r>
        <w:t>improve career pathways to create a ‘pull’ factor for higher education</w:t>
      </w:r>
    </w:p>
    <w:p w14:paraId="0623D7CE" w14:textId="7E5D7032" w:rsidR="008B5CA4" w:rsidRDefault="008B5CA4">
      <w:pPr>
        <w:pStyle w:val="ListParagraph"/>
        <w:numPr>
          <w:ilvl w:val="0"/>
          <w:numId w:val="6"/>
        </w:numPr>
      </w:pPr>
      <w:r>
        <w:t>provide universal</w:t>
      </w:r>
      <w:r w:rsidR="00F366EF">
        <w:t>,</w:t>
      </w:r>
      <w:r>
        <w:t xml:space="preserve"> free access to higher education. </w:t>
      </w:r>
    </w:p>
    <w:p w14:paraId="281AB6C1" w14:textId="3D6483AB" w:rsidR="008B5CA4" w:rsidRDefault="0017091A" w:rsidP="008B5CA4">
      <w:pPr>
        <w:pStyle w:val="Heading4"/>
      </w:pPr>
      <w:r>
        <w:t>C</w:t>
      </w:r>
      <w:r w:rsidR="00B96086">
        <w:t>reate a culture of l</w:t>
      </w:r>
      <w:r w:rsidR="008B5CA4">
        <w:t>ifelong learning</w:t>
      </w:r>
      <w:r w:rsidR="002B747A">
        <w:t xml:space="preserve"> </w:t>
      </w:r>
    </w:p>
    <w:p w14:paraId="23E1D771" w14:textId="749DD67D" w:rsidR="008B5CA4" w:rsidRDefault="008B5CA4" w:rsidP="008B5CA4">
      <w:r>
        <w:t xml:space="preserve">The </w:t>
      </w:r>
      <w:r w:rsidR="00D17122">
        <w:t>D</w:t>
      </w:r>
      <w:r>
        <w:t xml:space="preserve">iscussion </w:t>
      </w:r>
      <w:r w:rsidR="00D17122">
        <w:t>P</w:t>
      </w:r>
      <w:r>
        <w:t xml:space="preserve">aper identified that lifelong learning is an important tool for ensuring that Australia has the skills it needs. </w:t>
      </w:r>
    </w:p>
    <w:p w14:paraId="2A12CEE9" w14:textId="6D1EA4C8" w:rsidR="008B5CA4" w:rsidRDefault="008B5CA4" w:rsidP="008B5CA4">
      <w:pPr>
        <w:ind w:left="720"/>
        <w:rPr>
          <w:i/>
          <w:iCs/>
        </w:rPr>
      </w:pPr>
      <w:r>
        <w:t>“</w:t>
      </w:r>
      <w:r w:rsidRPr="00EF77BC">
        <w:rPr>
          <w:i/>
          <w:iCs/>
        </w:rPr>
        <w:t>Lifelong learning can help to ensure that workforce skills are up to date and that jobs in high demand can be filled, as</w:t>
      </w:r>
      <w:r>
        <w:rPr>
          <w:i/>
          <w:iCs/>
        </w:rPr>
        <w:t xml:space="preserve"> </w:t>
      </w:r>
      <w:r w:rsidRPr="00EF77BC">
        <w:rPr>
          <w:i/>
          <w:iCs/>
        </w:rPr>
        <w:t>well as enabling people to create new job opportunities through innovation.</w:t>
      </w:r>
      <w:r>
        <w:rPr>
          <w:i/>
          <w:iCs/>
        </w:rPr>
        <w:t xml:space="preserve">” </w:t>
      </w:r>
      <w:r w:rsidRPr="00711039">
        <w:t xml:space="preserve">Australian Universities Accord </w:t>
      </w:r>
      <w:r>
        <w:t xml:space="preserve">Discussion </w:t>
      </w:r>
      <w:r w:rsidR="00D17122">
        <w:t>P</w:t>
      </w:r>
      <w:r>
        <w:t>aper, February 2023, p. 17</w:t>
      </w:r>
    </w:p>
    <w:p w14:paraId="2E9897B6" w14:textId="77777777" w:rsidR="008B5CA4" w:rsidRDefault="008B5CA4" w:rsidP="008B5CA4">
      <w:r>
        <w:t>Historically most formal tertiary education in Australia has been undertaken by people under the age of 35. Submissions noted that we need to create a culture of lifelong learning, as well as practical solutions, to increase participation in lifelong learning.</w:t>
      </w:r>
    </w:p>
    <w:p w14:paraId="2F00FD81" w14:textId="77777777" w:rsidR="008B5CA4" w:rsidRDefault="008B5CA4" w:rsidP="008B5CA4">
      <w:pPr>
        <w:pStyle w:val="Heading5"/>
      </w:pPr>
      <w:r>
        <w:t>Overcome practical barriers that inhibit lifelong learning</w:t>
      </w:r>
    </w:p>
    <w:p w14:paraId="540A1647" w14:textId="77777777" w:rsidR="008B5CA4" w:rsidRDefault="008B5CA4" w:rsidP="008B5CA4">
      <w:r>
        <w:t xml:space="preserve">The lack of flexibility in education options was identified as a potential barrier to lifelong learning. Course structures of three-year undergraduate degrees and two-year </w:t>
      </w:r>
      <w:proofErr w:type="gramStart"/>
      <w:r>
        <w:t>masters</w:t>
      </w:r>
      <w:proofErr w:type="gramEnd"/>
      <w:r>
        <w:t xml:space="preserve"> degrees can be prohibitive for students who need to balance learning and a career. </w:t>
      </w:r>
    </w:p>
    <w:p w14:paraId="22058886" w14:textId="47346881" w:rsidR="008B5CA4" w:rsidRDefault="008B5CA4" w:rsidP="008B5CA4">
      <w:r>
        <w:t>One submission cited the growth of alternat</w:t>
      </w:r>
      <w:r w:rsidR="00F74C49">
        <w:t>ive</w:t>
      </w:r>
      <w:r>
        <w:t xml:space="preserve"> credentials in the U</w:t>
      </w:r>
      <w:r w:rsidR="00F74C49">
        <w:t>nited States of America</w:t>
      </w:r>
      <w:r>
        <w:t xml:space="preserve">: </w:t>
      </w:r>
    </w:p>
    <w:p w14:paraId="49533147" w14:textId="746E807B" w:rsidR="008B5CA4" w:rsidRDefault="008B5CA4" w:rsidP="008B5CA4">
      <w:pPr>
        <w:ind w:left="720"/>
      </w:pPr>
      <w:r>
        <w:rPr>
          <w:i/>
          <w:iCs/>
        </w:rPr>
        <w:t>“</w:t>
      </w:r>
      <w:r w:rsidRPr="00021095">
        <w:rPr>
          <w:i/>
          <w:iCs/>
        </w:rPr>
        <w:t>Recent research identifies 967,734 unique education credentials in the United States, including not only associate, bachelor’s and doctoral degrees but also more than half a million different badges, certificates, licenses, apprenticeships and industry certifications”</w:t>
      </w:r>
      <w:r>
        <w:t xml:space="preserve"> – </w:t>
      </w:r>
      <w:r w:rsidR="000140F2">
        <w:t>Claire Field</w:t>
      </w:r>
    </w:p>
    <w:p w14:paraId="17965E44" w14:textId="77777777" w:rsidR="008B5CA4" w:rsidRDefault="008B5CA4" w:rsidP="008B5CA4">
      <w:r>
        <w:t xml:space="preserve">The most often proposed solution to address this issue is to increase the offering of stackable microcredentials. For example, the Australian Technology Network of Universities noted: </w:t>
      </w:r>
    </w:p>
    <w:p w14:paraId="08487EB0" w14:textId="0071C901" w:rsidR="001C2A40" w:rsidRPr="00C33DAF" w:rsidRDefault="001C2A40" w:rsidP="001C2A40">
      <w:pPr>
        <w:ind w:left="720"/>
      </w:pPr>
      <w:r>
        <w:rPr>
          <w:i/>
          <w:iCs/>
        </w:rPr>
        <w:t>“</w:t>
      </w:r>
      <w:r w:rsidRPr="00C24D21">
        <w:rPr>
          <w:i/>
          <w:iCs/>
        </w:rPr>
        <w:t xml:space="preserve">We will need to offer more flexible, adaptive and innovative education options. The need for recognised and creditable pathways for upskilling and reskilling has been reinforced by </w:t>
      </w:r>
      <w:r w:rsidRPr="00C24D21">
        <w:rPr>
          <w:i/>
          <w:iCs/>
        </w:rPr>
        <w:lastRenderedPageBreak/>
        <w:t>numerous short-term challenges such as disruptions to skilled migration, remote and flexible working arrangements, disruption to face-to-face service industries, increased and unpredictable demand for workers and supply chain and freight restrictions. Such pathways have the potential to minimise critical skills shortages and prepare Australia for long-term challenges such as industrial transformation, regional development and the changing demographics of the workforce.</w:t>
      </w:r>
      <w:r>
        <w:rPr>
          <w:i/>
          <w:iCs/>
        </w:rPr>
        <w:t>”</w:t>
      </w:r>
      <w:r>
        <w:t xml:space="preserve"> – Australian Technology Network of Universities</w:t>
      </w:r>
    </w:p>
    <w:p w14:paraId="04DD1F6D" w14:textId="77777777" w:rsidR="008B5CA4" w:rsidRDefault="008B5CA4" w:rsidP="008B5CA4">
      <w:r>
        <w:t xml:space="preserve">Stackable microcredentials reportedly offer students </w:t>
      </w:r>
      <w:r w:rsidRPr="00EB6B0F">
        <w:t xml:space="preserve">pathways to develop specific </w:t>
      </w:r>
      <w:r>
        <w:t>skills</w:t>
      </w:r>
      <w:r w:rsidRPr="00EB6B0F">
        <w:t xml:space="preserve"> </w:t>
      </w:r>
      <w:r>
        <w:t>while they work</w:t>
      </w:r>
      <w:r w:rsidRPr="00EB6B0F">
        <w:t xml:space="preserve"> towards a more traditional qualification. </w:t>
      </w:r>
      <w:r>
        <w:t>Four s</w:t>
      </w:r>
      <w:r w:rsidRPr="00EB6B0F">
        <w:t>ubmissions noted that successful implementation of microcredentials will require</w:t>
      </w:r>
      <w:r>
        <w:t>:</w:t>
      </w:r>
    </w:p>
    <w:p w14:paraId="320B55F7" w14:textId="77777777" w:rsidR="008B5CA4" w:rsidRDefault="008B5CA4" w:rsidP="00054202">
      <w:pPr>
        <w:pStyle w:val="ListParagraph"/>
        <w:numPr>
          <w:ilvl w:val="0"/>
          <w:numId w:val="28"/>
        </w:numPr>
      </w:pPr>
      <w:r w:rsidRPr="00EB6B0F">
        <w:t>a revised regulatory approach</w:t>
      </w:r>
    </w:p>
    <w:p w14:paraId="77EDB580" w14:textId="77777777" w:rsidR="008B5CA4" w:rsidRDefault="008B5CA4" w:rsidP="00054202">
      <w:pPr>
        <w:pStyle w:val="ListParagraph"/>
        <w:numPr>
          <w:ilvl w:val="0"/>
          <w:numId w:val="28"/>
        </w:numPr>
      </w:pPr>
      <w:r w:rsidRPr="00EB6B0F">
        <w:t>targeted efforts to inform employers of the value of microcredentials</w:t>
      </w:r>
    </w:p>
    <w:p w14:paraId="7558E85B" w14:textId="53EDFB3E" w:rsidR="008B5CA4" w:rsidRDefault="008B5CA4" w:rsidP="00054202">
      <w:pPr>
        <w:pStyle w:val="ListParagraph"/>
        <w:numPr>
          <w:ilvl w:val="0"/>
          <w:numId w:val="28"/>
        </w:numPr>
      </w:pPr>
      <w:r w:rsidRPr="00EB6B0F">
        <w:t>a reformed</w:t>
      </w:r>
      <w:r>
        <w:t xml:space="preserve"> recognition of prior learning framework. </w:t>
      </w:r>
    </w:p>
    <w:p w14:paraId="6ED6EACF" w14:textId="17F9E2FD" w:rsidR="008B5CA4" w:rsidRDefault="00DC6222" w:rsidP="008B5CA4">
      <w:r w:rsidRPr="00DC6222">
        <w:t>On the other hand</w:t>
      </w:r>
      <w:r w:rsidR="008B5CA4">
        <w:t xml:space="preserve">, </w:t>
      </w:r>
      <w:r w:rsidR="005C148E">
        <w:t>two</w:t>
      </w:r>
      <w:r w:rsidR="008B5CA4">
        <w:t xml:space="preserve"> submissions </w:t>
      </w:r>
      <w:r w:rsidRPr="00DC6222">
        <w:t>argued</w:t>
      </w:r>
      <w:r w:rsidR="006054DA">
        <w:t xml:space="preserve"> </w:t>
      </w:r>
      <w:r w:rsidR="008B5CA4">
        <w:t xml:space="preserve">that </w:t>
      </w:r>
      <w:r w:rsidRPr="00DC6222">
        <w:t>the</w:t>
      </w:r>
      <w:r w:rsidR="008B5CA4">
        <w:t xml:space="preserve"> approach to lifelong learning</w:t>
      </w:r>
      <w:r w:rsidRPr="00DC6222">
        <w:t xml:space="preserve"> needs to go beyond microcredentials as the only solution</w:t>
      </w:r>
      <w:r w:rsidR="008B5CA4">
        <w:t xml:space="preserve">. The TD School, University of Sydney stated: </w:t>
      </w:r>
    </w:p>
    <w:p w14:paraId="73379B82" w14:textId="77777777" w:rsidR="005A219A" w:rsidRPr="001D0A21" w:rsidRDefault="005A219A" w:rsidP="005A219A">
      <w:pPr>
        <w:ind w:left="720"/>
      </w:pPr>
      <w:r>
        <w:rPr>
          <w:i/>
          <w:iCs/>
        </w:rPr>
        <w:t>“</w:t>
      </w:r>
      <w:r w:rsidRPr="00207615">
        <w:rPr>
          <w:i/>
          <w:iCs/>
        </w:rPr>
        <w:t>We need to shift away from badging and stop seeing micro-credentials (and their potential to generate income for universities) as the one solution to lifelong learning. Higher learning should not be seen as a transactional, packaged, commercial engagement. It can genuinely be about developing qualities of being as well as skills and professional capabilities across a lifetime.</w:t>
      </w:r>
      <w:r>
        <w:rPr>
          <w:i/>
          <w:iCs/>
        </w:rPr>
        <w:t xml:space="preserve">” </w:t>
      </w:r>
      <w:r>
        <w:t>– TD School, University of Sydney</w:t>
      </w:r>
    </w:p>
    <w:p w14:paraId="489D2015" w14:textId="77777777" w:rsidR="008B5CA4" w:rsidRDefault="008B5CA4" w:rsidP="008B5CA4">
      <w:r>
        <w:t>The direct and indirect costs of lifelong learning are an additional barrier to participation. The direct costs include the cost of courses and materials. The indirect costs include the cost of income forgone as a result of working less, or not at all, while studying.</w:t>
      </w:r>
    </w:p>
    <w:p w14:paraId="4EE49474" w14:textId="77777777" w:rsidR="008B5CA4" w:rsidRDefault="008B5CA4" w:rsidP="008B5CA4">
      <w:r>
        <w:t>The cost barrier was captured by La Trobe University:</w:t>
      </w:r>
    </w:p>
    <w:p w14:paraId="0826335F" w14:textId="77777777" w:rsidR="00636E8E" w:rsidRPr="001D0A21" w:rsidRDefault="00636E8E" w:rsidP="00636E8E">
      <w:pPr>
        <w:ind w:left="720"/>
      </w:pPr>
      <w:r>
        <w:rPr>
          <w:i/>
          <w:iCs/>
        </w:rPr>
        <w:t>“</w:t>
      </w:r>
      <w:r w:rsidRPr="007517A7">
        <w:rPr>
          <w:i/>
          <w:iCs/>
        </w:rPr>
        <w:t>Currently there is no incentive for mature age persons in full-time work to access education and reduce their income. Most mature age persons remain outside of the higher education system or do not take the opportunity to reskill because they have no other means of financial support outside of paid work.</w:t>
      </w:r>
      <w:r>
        <w:rPr>
          <w:i/>
          <w:iCs/>
        </w:rPr>
        <w:t xml:space="preserve">” </w:t>
      </w:r>
      <w:r>
        <w:t>– La Trobe University</w:t>
      </w:r>
    </w:p>
    <w:p w14:paraId="112A8C2B" w14:textId="60C58D1B" w:rsidR="008B5CA4" w:rsidRDefault="008B5CA4" w:rsidP="008B5CA4">
      <w:r>
        <w:t xml:space="preserve">Submissions suggested that to overcome cost barriers </w:t>
      </w:r>
      <w:r w:rsidR="007D31F5">
        <w:t xml:space="preserve">to </w:t>
      </w:r>
      <w:r w:rsidRPr="003E722E">
        <w:t>lifelong learning</w:t>
      </w:r>
      <w:r w:rsidR="007D31F5">
        <w:t>,</w:t>
      </w:r>
      <w:r w:rsidRPr="003E722E">
        <w:t xml:space="preserve"> qualifications </w:t>
      </w:r>
      <w:r>
        <w:t>should be included in</w:t>
      </w:r>
      <w:r w:rsidRPr="003E722E">
        <w:t xml:space="preserve"> existing government support programs, including </w:t>
      </w:r>
      <w:r>
        <w:t>Commonwealth supported place</w:t>
      </w:r>
      <w:r w:rsidRPr="003E722E">
        <w:t xml:space="preserve">s and scholarship schemes. </w:t>
      </w:r>
    </w:p>
    <w:p w14:paraId="21C81C6D" w14:textId="7B0C80A7" w:rsidR="008B5CA4" w:rsidRPr="00C2663B" w:rsidRDefault="008B5CA4" w:rsidP="008B5CA4">
      <w:r w:rsidRPr="003E722E">
        <w:t xml:space="preserve">A broader discussion </w:t>
      </w:r>
      <w:r>
        <w:t>of</w:t>
      </w:r>
      <w:r w:rsidRPr="003E722E">
        <w:t xml:space="preserve"> cost barriers</w:t>
      </w:r>
      <w:r>
        <w:t xml:space="preserve"> in higher education</w:t>
      </w:r>
      <w:r w:rsidRPr="003E722E">
        <w:t xml:space="preserve"> </w:t>
      </w:r>
      <w:r>
        <w:t>is</w:t>
      </w:r>
      <w:r w:rsidRPr="003E722E">
        <w:t xml:space="preserve"> in </w:t>
      </w:r>
      <w:r>
        <w:t xml:space="preserve">the </w:t>
      </w:r>
      <w:r w:rsidRPr="003E722E">
        <w:t xml:space="preserve">section </w:t>
      </w:r>
      <w:r w:rsidR="00920591" w:rsidRPr="00920591">
        <w:rPr>
          <w:i/>
          <w:iCs/>
          <w:u w:val="single"/>
        </w:rPr>
        <w:fldChar w:fldCharType="begin"/>
      </w:r>
      <w:r w:rsidR="00920591" w:rsidRPr="00920591">
        <w:rPr>
          <w:i/>
          <w:iCs/>
          <w:u w:val="single"/>
        </w:rPr>
        <w:instrText xml:space="preserve"> REF _Ref134794703 \h  \* MERGEFORMAT </w:instrText>
      </w:r>
      <w:r w:rsidR="00920591" w:rsidRPr="00920591">
        <w:rPr>
          <w:i/>
          <w:iCs/>
          <w:u w:val="single"/>
        </w:rPr>
      </w:r>
      <w:r w:rsidR="00920591" w:rsidRPr="00920591">
        <w:rPr>
          <w:i/>
          <w:iCs/>
          <w:u w:val="single"/>
        </w:rPr>
        <w:fldChar w:fldCharType="separate"/>
      </w:r>
      <w:r w:rsidR="009D26B2" w:rsidRPr="009D26B2">
        <w:rPr>
          <w:rFonts w:cs="Calibri"/>
          <w:i/>
          <w:iCs/>
          <w:u w:val="single"/>
        </w:rPr>
        <w:t>Equitable access and a quality experience for all students</w:t>
      </w:r>
      <w:r w:rsidR="00920591" w:rsidRPr="00920591">
        <w:rPr>
          <w:i/>
          <w:iCs/>
          <w:u w:val="single"/>
        </w:rPr>
        <w:fldChar w:fldCharType="end"/>
      </w:r>
      <w:r>
        <w:t>.</w:t>
      </w:r>
    </w:p>
    <w:p w14:paraId="14F74BDB" w14:textId="44D931A3" w:rsidR="008B5CA4" w:rsidRDefault="008B5CA4" w:rsidP="008B5CA4">
      <w:pPr>
        <w:pStyle w:val="Heading4"/>
      </w:pPr>
      <w:r>
        <w:t xml:space="preserve">Ensure an adequate supply of Commonwealth </w:t>
      </w:r>
      <w:r w:rsidR="0095583E">
        <w:t>S</w:t>
      </w:r>
      <w:r>
        <w:t xml:space="preserve">upported </w:t>
      </w:r>
      <w:r w:rsidR="00CE641A">
        <w:t>P</w:t>
      </w:r>
      <w:r>
        <w:t xml:space="preserve">laces </w:t>
      </w:r>
    </w:p>
    <w:p w14:paraId="6E25C442" w14:textId="37D49F80" w:rsidR="008B5CA4" w:rsidRDefault="008B5CA4" w:rsidP="008B5CA4">
      <w:r>
        <w:t xml:space="preserve">The </w:t>
      </w:r>
      <w:r w:rsidR="00A119CF">
        <w:t>D</w:t>
      </w:r>
      <w:r>
        <w:t xml:space="preserve">iscussion </w:t>
      </w:r>
      <w:r w:rsidR="00A119CF">
        <w:t>P</w:t>
      </w:r>
      <w:r>
        <w:t xml:space="preserve">aper asked for suggestions on “how </w:t>
      </w:r>
      <w:r w:rsidRPr="00DC3B57">
        <w:t xml:space="preserve">should an adequate supply of </w:t>
      </w:r>
      <w:r w:rsidR="00CE641A">
        <w:t>Commonwealth Supported Places (</w:t>
      </w:r>
      <w:r w:rsidRPr="00DC3B57">
        <w:t>CSPs</w:t>
      </w:r>
      <w:r w:rsidR="00CE641A">
        <w:t>)</w:t>
      </w:r>
      <w:r w:rsidRPr="00DC3B57">
        <w:t xml:space="preserve"> be sustained and funded, as population and demand increase?</w:t>
      </w:r>
      <w:r>
        <w:t>”</w:t>
      </w:r>
    </w:p>
    <w:p w14:paraId="39E6FE8E" w14:textId="77030FCD" w:rsidR="008B5CA4" w:rsidRDefault="00E300DC" w:rsidP="008B5CA4">
      <w:r>
        <w:lastRenderedPageBreak/>
        <w:t>Twenty-eight s</w:t>
      </w:r>
      <w:r w:rsidR="008B5CA4">
        <w:t>ubmissions identified this as a significant challenge for the sector, but few submissions provided suggestions about how to fund and sustain CSPs moving forward.</w:t>
      </w:r>
      <w:r w:rsidR="008B5CA4" w:rsidRPr="00C95065">
        <w:t xml:space="preserve"> </w:t>
      </w:r>
      <w:r w:rsidR="008B5CA4">
        <w:t xml:space="preserve">Many submissions noted that an individual’s higher education has benefits for the community as a whole as well as for the individual. They argued that this justifies government support through Commonwealth supported places. </w:t>
      </w:r>
    </w:p>
    <w:p w14:paraId="6DC05AAF" w14:textId="01F510EE" w:rsidR="008B5CA4" w:rsidRDefault="008B5CA4" w:rsidP="008B5CA4">
      <w:pPr>
        <w:pStyle w:val="Heading4"/>
      </w:pPr>
      <w:r>
        <w:t xml:space="preserve">Ensure enough students </w:t>
      </w:r>
      <w:r w:rsidR="00B814BC">
        <w:t xml:space="preserve">study </w:t>
      </w:r>
      <w:r>
        <w:t>courses aligned with the changing needs of the economy and society</w:t>
      </w:r>
    </w:p>
    <w:p w14:paraId="0763E842" w14:textId="69BDD0CF" w:rsidR="008B5CA4" w:rsidRDefault="008B5CA4" w:rsidP="008B5CA4">
      <w:r>
        <w:t>To meet Australia’s future skills needs will require enough people with the necessary skill sets. The</w:t>
      </w:r>
      <w:r w:rsidR="00F246E8">
        <w:t xml:space="preserve"> D</w:t>
      </w:r>
      <w:r>
        <w:t xml:space="preserve">iscussion </w:t>
      </w:r>
      <w:r w:rsidR="00F246E8">
        <w:t>P</w:t>
      </w:r>
      <w:r>
        <w:t xml:space="preserve">aper </w:t>
      </w:r>
      <w:r w:rsidR="006851CF">
        <w:t>asked for responses to the question of</w:t>
      </w:r>
      <w:r>
        <w:t xml:space="preserve"> </w:t>
      </w:r>
      <w:r w:rsidR="00D46B0F">
        <w:t>“</w:t>
      </w:r>
      <w:r>
        <w:t>how to ensure enough students are studying courses that align with the changing needs of the economy and society?</w:t>
      </w:r>
      <w:r w:rsidR="00D46B0F">
        <w:t>”</w:t>
      </w:r>
    </w:p>
    <w:p w14:paraId="1ED1E90C" w14:textId="77777777" w:rsidR="008B5CA4" w:rsidRDefault="008B5CA4" w:rsidP="008B5CA4">
      <w:pPr>
        <w:pStyle w:val="Heading5"/>
      </w:pPr>
      <w:r>
        <w:t>Identify the skills needed and plan the required workforce</w:t>
      </w:r>
    </w:p>
    <w:p w14:paraId="75E62641" w14:textId="2AF54020" w:rsidR="008B5CA4" w:rsidRDefault="008B5CA4" w:rsidP="008B5CA4">
      <w:r>
        <w:t xml:space="preserve">Nine submissions identified the importance of tracking national and international trends to identify the appropriate skill </w:t>
      </w:r>
      <w:r w:rsidR="00BF16B4">
        <w:t xml:space="preserve">need and </w:t>
      </w:r>
      <w:r>
        <w:t xml:space="preserve">distribution. </w:t>
      </w:r>
      <w:r w:rsidR="005C148E">
        <w:t xml:space="preserve">Three </w:t>
      </w:r>
      <w:r>
        <w:t xml:space="preserve">submissions suggested that a government body </w:t>
      </w:r>
      <w:r w:rsidR="001A0A3A">
        <w:t>like</w:t>
      </w:r>
      <w:r>
        <w:t xml:space="preserve"> Jobs and Skills Australia, should do this. La Trobe University said:</w:t>
      </w:r>
    </w:p>
    <w:p w14:paraId="195694F6" w14:textId="77777777" w:rsidR="008B5CA4" w:rsidRDefault="008B5CA4" w:rsidP="008B5CA4">
      <w:pPr>
        <w:ind w:left="720"/>
        <w:rPr>
          <w:i/>
          <w:iCs/>
        </w:rPr>
      </w:pPr>
      <w:proofErr w:type="gramStart"/>
      <w:r>
        <w:rPr>
          <w:i/>
          <w:iCs/>
        </w:rPr>
        <w:t>”…</w:t>
      </w:r>
      <w:proofErr w:type="gramEnd"/>
      <w:r>
        <w:rPr>
          <w:i/>
          <w:iCs/>
        </w:rPr>
        <w:t xml:space="preserve"> </w:t>
      </w:r>
      <w:r w:rsidRPr="00D679E3">
        <w:rPr>
          <w:i/>
          <w:iCs/>
        </w:rPr>
        <w:t>Jobs and Skills Australia is responsible for examining the entire pipeline leading to skills/workforce shortages and identifying faults in the system which are resulting in a lack of demand from students in areas of workforce need.”</w:t>
      </w:r>
    </w:p>
    <w:p w14:paraId="299D52E6" w14:textId="4EB12853" w:rsidR="008B5CA4" w:rsidRDefault="008B5CA4" w:rsidP="008B5CA4">
      <w:r>
        <w:t xml:space="preserve">Submissions also recommended measures to encourage students to pursue </w:t>
      </w:r>
      <w:r w:rsidR="006E26F7">
        <w:t>desired</w:t>
      </w:r>
      <w:r>
        <w:t xml:space="preserve"> courses, including: </w:t>
      </w:r>
    </w:p>
    <w:p w14:paraId="1381F782" w14:textId="69CF0B60" w:rsidR="008B5CA4" w:rsidRDefault="008B5CA4">
      <w:pPr>
        <w:pStyle w:val="ListParagraph"/>
        <w:numPr>
          <w:ilvl w:val="0"/>
          <w:numId w:val="7"/>
        </w:numPr>
      </w:pPr>
      <w:r>
        <w:t>financial incentives, including subsidising costs of courses</w:t>
      </w:r>
      <w:r w:rsidR="00706736">
        <w:t xml:space="preserve"> (6 submissions)</w:t>
      </w:r>
    </w:p>
    <w:p w14:paraId="7C00E14F" w14:textId="73156FAF" w:rsidR="008B5CA4" w:rsidRDefault="008B5CA4">
      <w:pPr>
        <w:pStyle w:val="ListParagraph"/>
        <w:numPr>
          <w:ilvl w:val="0"/>
          <w:numId w:val="7"/>
        </w:numPr>
      </w:pPr>
      <w:r>
        <w:t>partnerships with schools and targeted information shared to secondary students</w:t>
      </w:r>
      <w:r w:rsidR="00706736">
        <w:t xml:space="preserve"> (</w:t>
      </w:r>
      <w:r w:rsidR="00363C23">
        <w:t>2 submissions)</w:t>
      </w:r>
    </w:p>
    <w:p w14:paraId="48D07E8C" w14:textId="1BCD0450" w:rsidR="008B5CA4" w:rsidRDefault="008B5CA4">
      <w:pPr>
        <w:pStyle w:val="ListParagraph"/>
        <w:numPr>
          <w:ilvl w:val="0"/>
          <w:numId w:val="7"/>
        </w:numPr>
      </w:pPr>
      <w:r>
        <w:t>e</w:t>
      </w:r>
      <w:r w:rsidRPr="001A7597">
        <w:t>mbed</w:t>
      </w:r>
      <w:r>
        <w:t>ding</w:t>
      </w:r>
      <w:r w:rsidRPr="001A7597">
        <w:t xml:space="preserve"> industry engagement within course</w:t>
      </w:r>
      <w:r>
        <w:t>s</w:t>
      </w:r>
      <w:r w:rsidR="00363C23">
        <w:t xml:space="preserve"> (</w:t>
      </w:r>
      <w:r w:rsidR="009C07AB">
        <w:t>2 submissions)</w:t>
      </w:r>
    </w:p>
    <w:p w14:paraId="01939B9A" w14:textId="3F9E2616" w:rsidR="008B5CA4" w:rsidRDefault="008B5CA4">
      <w:pPr>
        <w:pStyle w:val="ListParagraph"/>
        <w:numPr>
          <w:ilvl w:val="0"/>
          <w:numId w:val="7"/>
        </w:numPr>
      </w:pPr>
      <w:r>
        <w:t xml:space="preserve">improving accessibility for equity cohorts. </w:t>
      </w:r>
      <w:r w:rsidR="009C07AB">
        <w:t>(4 submission)</w:t>
      </w:r>
    </w:p>
    <w:p w14:paraId="16C51526" w14:textId="56D80565" w:rsidR="008B5CA4" w:rsidRDefault="008B5CA4" w:rsidP="008B5CA4">
      <w:r>
        <w:t xml:space="preserve">These points are considered </w:t>
      </w:r>
      <w:r w:rsidR="00154053">
        <w:t>in more detail</w:t>
      </w:r>
      <w:r>
        <w:t xml:space="preserve"> below.</w:t>
      </w:r>
    </w:p>
    <w:p w14:paraId="21C9211C" w14:textId="77777777" w:rsidR="008B5CA4" w:rsidRDefault="008B5CA4" w:rsidP="008B5CA4">
      <w:pPr>
        <w:pStyle w:val="Heading5"/>
      </w:pPr>
      <w:r>
        <w:t>Financial incentives, including subsidising costs of courses</w:t>
      </w:r>
    </w:p>
    <w:p w14:paraId="3C07E708" w14:textId="77777777" w:rsidR="008B5CA4" w:rsidRDefault="008B5CA4" w:rsidP="008B5CA4">
      <w:r>
        <w:t xml:space="preserve">The most common recommendation in submissions was to provide financial incentives for students to study a particular course. Most of these submissions recommended generic financial support. Suggestions for specific incentives included: </w:t>
      </w:r>
    </w:p>
    <w:p w14:paraId="1636F46A" w14:textId="6D7F4859" w:rsidR="008B5CA4" w:rsidRDefault="008B5CA4">
      <w:pPr>
        <w:pStyle w:val="ListParagraph"/>
        <w:numPr>
          <w:ilvl w:val="0"/>
          <w:numId w:val="8"/>
        </w:numPr>
      </w:pPr>
      <w:r>
        <w:t xml:space="preserve">more </w:t>
      </w:r>
      <w:r w:rsidR="00AE37A3">
        <w:t>CSPs</w:t>
      </w:r>
      <w:r>
        <w:t xml:space="preserve"> for particular courses, including postgraduate qualifications</w:t>
      </w:r>
    </w:p>
    <w:p w14:paraId="554B41DA" w14:textId="77777777" w:rsidR="008B5CA4" w:rsidRDefault="008B5CA4">
      <w:pPr>
        <w:pStyle w:val="ListParagraph"/>
        <w:numPr>
          <w:ilvl w:val="0"/>
          <w:numId w:val="8"/>
        </w:numPr>
      </w:pPr>
      <w:r>
        <w:t xml:space="preserve">more scholarships </w:t>
      </w:r>
    </w:p>
    <w:p w14:paraId="432A1CA4" w14:textId="77777777" w:rsidR="008B5CA4" w:rsidRDefault="008B5CA4">
      <w:pPr>
        <w:pStyle w:val="ListParagraph"/>
        <w:numPr>
          <w:ilvl w:val="0"/>
          <w:numId w:val="8"/>
        </w:numPr>
      </w:pPr>
      <w:r>
        <w:t>reduction of course fees.</w:t>
      </w:r>
    </w:p>
    <w:p w14:paraId="41998E41" w14:textId="185E6885" w:rsidR="008B5CA4" w:rsidRDefault="008B5CA4" w:rsidP="008B5CA4">
      <w:r>
        <w:t xml:space="preserve">On the other hand, </w:t>
      </w:r>
      <w:r w:rsidR="005A7245">
        <w:t>two</w:t>
      </w:r>
      <w:r>
        <w:t xml:space="preserve"> submissions also pointed out the limitations of financial incentives to encourage students to take </w:t>
      </w:r>
      <w:proofErr w:type="gramStart"/>
      <w:r>
        <w:t>particular courses</w:t>
      </w:r>
      <w:proofErr w:type="gramEnd"/>
      <w:r>
        <w:t>. The Job-ready Graduates Package (JRG) was identified as an example where financial incentives have not been effective.</w:t>
      </w:r>
    </w:p>
    <w:p w14:paraId="3AF322D0" w14:textId="77777777" w:rsidR="008B5CA4" w:rsidRDefault="008B5CA4" w:rsidP="008B5CA4">
      <w:pPr>
        <w:ind w:left="720"/>
      </w:pPr>
      <w:r>
        <w:rPr>
          <w:i/>
          <w:iCs/>
        </w:rPr>
        <w:lastRenderedPageBreak/>
        <w:t>“</w:t>
      </w:r>
      <w:r w:rsidRPr="008B52E6">
        <w:rPr>
          <w:i/>
          <w:iCs/>
        </w:rPr>
        <w:t>The Jobs Ready package as a price signalling mechanism has failed to manipulate student course selection, yet it has led to increased contribution payments for many students, increased administration requirements and reduced Government funding which according to the NTEU has resulted in a 15% cut in real public funding per student</w:t>
      </w:r>
      <w:r>
        <w:rPr>
          <w:i/>
          <w:iCs/>
        </w:rPr>
        <w:t xml:space="preserve">.” </w:t>
      </w:r>
      <w:r>
        <w:t>– Curtin Student Guild</w:t>
      </w:r>
    </w:p>
    <w:p w14:paraId="2E9846DF" w14:textId="7CFE55BD" w:rsidR="005A7245" w:rsidRPr="005A7245" w:rsidRDefault="005A7245" w:rsidP="005A7245">
      <w:r>
        <w:t>This is explored further in the section</w:t>
      </w:r>
      <w:r w:rsidRPr="00600C56">
        <w:rPr>
          <w:i/>
          <w:iCs/>
          <w:u w:val="single"/>
        </w:rPr>
        <w:t xml:space="preserve"> </w:t>
      </w:r>
      <w:r w:rsidR="00600C56" w:rsidRPr="00600C56">
        <w:rPr>
          <w:i/>
          <w:iCs/>
          <w:u w:val="single"/>
        </w:rPr>
        <w:fldChar w:fldCharType="begin"/>
      </w:r>
      <w:r w:rsidR="00600C56" w:rsidRPr="00600C56">
        <w:rPr>
          <w:i/>
          <w:iCs/>
          <w:u w:val="single"/>
        </w:rPr>
        <w:instrText xml:space="preserve"> REF _Ref134795967 \h  \* MERGEFORMAT </w:instrText>
      </w:r>
      <w:r w:rsidR="00600C56" w:rsidRPr="00600C56">
        <w:rPr>
          <w:i/>
          <w:iCs/>
          <w:u w:val="single"/>
        </w:rPr>
      </w:r>
      <w:r w:rsidR="00600C56" w:rsidRPr="00600C56">
        <w:rPr>
          <w:i/>
          <w:iCs/>
          <w:u w:val="single"/>
        </w:rPr>
        <w:fldChar w:fldCharType="separate"/>
      </w:r>
      <w:r w:rsidR="00600C56" w:rsidRPr="00600C56">
        <w:rPr>
          <w:i/>
          <w:iCs/>
          <w:u w:val="single"/>
        </w:rPr>
        <w:t>Secure, affordable funding arrangements and incentives</w:t>
      </w:r>
      <w:r w:rsidR="00600C56" w:rsidRPr="00600C56">
        <w:rPr>
          <w:i/>
          <w:iCs/>
          <w:u w:val="single"/>
        </w:rPr>
        <w:fldChar w:fldCharType="end"/>
      </w:r>
      <w:r w:rsidRPr="005A7245">
        <w:rPr>
          <w:i/>
          <w:iCs/>
          <w:u w:val="single"/>
        </w:rPr>
        <w:t>.</w:t>
      </w:r>
    </w:p>
    <w:p w14:paraId="1C8B5F2E" w14:textId="77777777" w:rsidR="008B5CA4" w:rsidRDefault="008B5CA4" w:rsidP="008B5CA4">
      <w:pPr>
        <w:pStyle w:val="Heading5"/>
      </w:pPr>
      <w:r>
        <w:t>Partnerships with schools and targeted information shared to secondary students</w:t>
      </w:r>
    </w:p>
    <w:p w14:paraId="29CF247B" w14:textId="51FBA39A" w:rsidR="008B5CA4" w:rsidRDefault="008B5CA4" w:rsidP="008B5CA4">
      <w:r>
        <w:t xml:space="preserve">Secondary school students are often uncertain about which direction they should take after high school. Targeted interventions at this stage can result in more students pursuing courses that are aligned to their interests and to Australia’s future skills needs. The Australian Institute for Machine Learning described the benefit of engagement at secondary schools: </w:t>
      </w:r>
    </w:p>
    <w:p w14:paraId="6966E9B9" w14:textId="77777777" w:rsidR="00E5722A" w:rsidRPr="001D0A21" w:rsidRDefault="00E5722A" w:rsidP="00E5722A">
      <w:pPr>
        <w:ind w:left="720"/>
      </w:pPr>
      <w:r>
        <w:rPr>
          <w:i/>
          <w:iCs/>
        </w:rPr>
        <w:t>“</w:t>
      </w:r>
      <w:r w:rsidRPr="00F26A4B">
        <w:rPr>
          <w:i/>
          <w:iCs/>
        </w:rPr>
        <w:t xml:space="preserve">Outreach at the secondary school level through teachers, career advisors and students </w:t>
      </w:r>
      <w:proofErr w:type="gramStart"/>
      <w:r w:rsidRPr="00F26A4B">
        <w:rPr>
          <w:i/>
          <w:iCs/>
        </w:rPr>
        <w:t>play</w:t>
      </w:r>
      <w:r>
        <w:rPr>
          <w:i/>
          <w:iCs/>
        </w:rPr>
        <w:t>s</w:t>
      </w:r>
      <w:proofErr w:type="gramEnd"/>
      <w:r w:rsidRPr="00F26A4B">
        <w:rPr>
          <w:i/>
          <w:iCs/>
        </w:rPr>
        <w:t xml:space="preserve"> an important role showcasing careers, demonstrating the relevance of STEM subjects, and inspiring young people to dream big about the impact their career could have for society. Increased visibility and awareness of impactful careers in STEM needs to be a focus, you cannot be what you cannot see.</w:t>
      </w:r>
      <w:r>
        <w:rPr>
          <w:i/>
          <w:iCs/>
        </w:rPr>
        <w:t xml:space="preserve">” </w:t>
      </w:r>
      <w:r>
        <w:t>– Australian Institute for Machine Learning</w:t>
      </w:r>
    </w:p>
    <w:p w14:paraId="336EA001" w14:textId="27D97453" w:rsidR="008B5CA4" w:rsidRDefault="008B5CA4" w:rsidP="008B5CA4">
      <w:pPr>
        <w:pStyle w:val="Heading5"/>
      </w:pPr>
      <w:r>
        <w:t>Embed</w:t>
      </w:r>
      <w:r w:rsidR="00CD7C58">
        <w:t>ding</w:t>
      </w:r>
      <w:r>
        <w:t xml:space="preserve"> industry engagement within courses</w:t>
      </w:r>
    </w:p>
    <w:p w14:paraId="35FD1CAE" w14:textId="6EEA47D6" w:rsidR="008B5CA4" w:rsidRDefault="008B5CA4" w:rsidP="008B5CA4">
      <w:r>
        <w:t>Submissions suggested integrating industry engagement within courses. Engagement with industry to build in opportunities to apply the learning from their course can be appealing to some students.</w:t>
      </w:r>
      <w:r w:rsidR="009C07AB">
        <w:t xml:space="preserve"> This is discussed further in </w:t>
      </w:r>
      <w:r w:rsidR="009E38D3">
        <w:t xml:space="preserve">the </w:t>
      </w:r>
      <w:r w:rsidR="009C07AB">
        <w:t xml:space="preserve">section </w:t>
      </w:r>
      <w:r w:rsidR="009C07AB" w:rsidRPr="005A7245">
        <w:rPr>
          <w:i/>
          <w:iCs/>
          <w:u w:val="single"/>
        </w:rPr>
        <w:fldChar w:fldCharType="begin"/>
      </w:r>
      <w:r w:rsidR="009C07AB" w:rsidRPr="005A7245">
        <w:rPr>
          <w:i/>
          <w:iCs/>
          <w:u w:val="single"/>
        </w:rPr>
        <w:instrText xml:space="preserve"> REF _Ref134794875 \h  \* MERGEFORMAT </w:instrText>
      </w:r>
      <w:r w:rsidR="009C07AB" w:rsidRPr="005A7245">
        <w:rPr>
          <w:i/>
          <w:iCs/>
          <w:u w:val="single"/>
        </w:rPr>
      </w:r>
      <w:r w:rsidR="009C07AB" w:rsidRPr="005A7245">
        <w:rPr>
          <w:i/>
          <w:iCs/>
          <w:u w:val="single"/>
        </w:rPr>
        <w:fldChar w:fldCharType="separate"/>
      </w:r>
      <w:r w:rsidR="009D26B2" w:rsidRPr="005A7245">
        <w:rPr>
          <w:i/>
          <w:iCs/>
          <w:u w:val="single"/>
        </w:rPr>
        <w:t>Quality teaching to deliver quality learning</w:t>
      </w:r>
      <w:r w:rsidR="009C07AB" w:rsidRPr="005A7245">
        <w:rPr>
          <w:i/>
          <w:iCs/>
          <w:u w:val="single"/>
        </w:rPr>
        <w:fldChar w:fldCharType="end"/>
      </w:r>
      <w:r w:rsidR="009C07AB" w:rsidRPr="005A7245">
        <w:rPr>
          <w:u w:val="single"/>
        </w:rPr>
        <w:t>.</w:t>
      </w:r>
      <w:r>
        <w:t xml:space="preserve"> </w:t>
      </w:r>
    </w:p>
    <w:p w14:paraId="4A4222A4" w14:textId="3CB7C8AC" w:rsidR="008B5CA4" w:rsidRDefault="008B5CA4" w:rsidP="008B5CA4">
      <w:pPr>
        <w:pStyle w:val="Heading5"/>
      </w:pPr>
      <w:r>
        <w:t>Improv</w:t>
      </w:r>
      <w:r w:rsidR="00C75778">
        <w:t>ing</w:t>
      </w:r>
      <w:r w:rsidDel="00FB7ABF">
        <w:t xml:space="preserve"> </w:t>
      </w:r>
      <w:r>
        <w:t xml:space="preserve">accessibility for </w:t>
      </w:r>
      <w:r w:rsidR="005535A5">
        <w:t>underrepresented</w:t>
      </w:r>
      <w:r>
        <w:t xml:space="preserve"> cohorts </w:t>
      </w:r>
    </w:p>
    <w:p w14:paraId="6637C8D7" w14:textId="53E831D1" w:rsidR="008B5CA4" w:rsidRDefault="008B5CA4" w:rsidP="008B5CA4">
      <w:r>
        <w:t xml:space="preserve">Submissions noted that increasing the number of students from </w:t>
      </w:r>
      <w:r w:rsidR="005535A5">
        <w:t>underrepresented</w:t>
      </w:r>
      <w:r>
        <w:t xml:space="preserve"> cohorts is an opportunity </w:t>
      </w:r>
      <w:r w:rsidR="005535A5">
        <w:t xml:space="preserve">to </w:t>
      </w:r>
      <w:r w:rsidR="00F83ECF">
        <w:t>fulfil</w:t>
      </w:r>
      <w:r>
        <w:t xml:space="preserve"> Australia’s skill needs. </w:t>
      </w:r>
    </w:p>
    <w:p w14:paraId="074E95A9" w14:textId="3F1F29EF" w:rsidR="005A7245" w:rsidRPr="005A7245" w:rsidRDefault="005A7245" w:rsidP="008B5CA4">
      <w:r>
        <w:t xml:space="preserve">The section </w:t>
      </w:r>
      <w:r w:rsidRPr="005A7245">
        <w:rPr>
          <w:i/>
          <w:iCs/>
          <w:u w:val="single"/>
        </w:rPr>
        <w:fldChar w:fldCharType="begin"/>
      </w:r>
      <w:r w:rsidRPr="005A7245">
        <w:rPr>
          <w:i/>
          <w:iCs/>
          <w:u w:val="single"/>
        </w:rPr>
        <w:instrText xml:space="preserve"> REF _Ref135208258 \h  \* MERGEFORMAT </w:instrText>
      </w:r>
      <w:r w:rsidRPr="005A7245">
        <w:rPr>
          <w:i/>
          <w:iCs/>
          <w:u w:val="single"/>
        </w:rPr>
      </w:r>
      <w:r w:rsidRPr="005A7245">
        <w:rPr>
          <w:i/>
          <w:iCs/>
          <w:u w:val="single"/>
        </w:rPr>
        <w:fldChar w:fldCharType="separate"/>
      </w:r>
      <w:r w:rsidRPr="005A7245">
        <w:rPr>
          <w:rFonts w:cs="Calibri"/>
          <w:i/>
          <w:iCs/>
          <w:u w:val="single"/>
        </w:rPr>
        <w:t>Equitable access and a quality experience for all students</w:t>
      </w:r>
      <w:r w:rsidRPr="005A7245">
        <w:rPr>
          <w:i/>
          <w:iCs/>
          <w:u w:val="single"/>
        </w:rPr>
        <w:fldChar w:fldCharType="end"/>
      </w:r>
      <w:r>
        <w:t xml:space="preserve"> discusses this further.</w:t>
      </w:r>
    </w:p>
    <w:p w14:paraId="77D361A8" w14:textId="460611A0" w:rsidR="00EB6B0F" w:rsidRDefault="00D139AC" w:rsidP="009954F8">
      <w:pPr>
        <w:pStyle w:val="Heading3"/>
      </w:pPr>
      <w:bookmarkStart w:id="32" w:name="_Ref134794875"/>
      <w:bookmarkStart w:id="33" w:name="_Toc134807416"/>
      <w:bookmarkEnd w:id="31"/>
      <w:r>
        <w:t xml:space="preserve">Quality teaching </w:t>
      </w:r>
      <w:r w:rsidR="00796BE4">
        <w:t xml:space="preserve">to deliver </w:t>
      </w:r>
      <w:r w:rsidR="00656C30">
        <w:t>quality learning</w:t>
      </w:r>
      <w:bookmarkEnd w:id="32"/>
      <w:bookmarkEnd w:id="33"/>
    </w:p>
    <w:p w14:paraId="42144C8F" w14:textId="77777777" w:rsidR="00C81920" w:rsidRDefault="00C81920" w:rsidP="00C81920">
      <w:r>
        <w:t xml:space="preserve">The Australian Universities Discussion Paper recognised the numerous factors that contribute to a quality learning environment, including the importance of quality teaching. </w:t>
      </w:r>
    </w:p>
    <w:p w14:paraId="1FC9CFC9" w14:textId="77777777" w:rsidR="00C81920" w:rsidRDefault="00C81920" w:rsidP="00C81920">
      <w:r>
        <w:t xml:space="preserve">“A quality learning environment should provide students with the knowledge they need for interesting and satisfying careers; a consistent and certifiable skillset; and a supportive and formative experience. This requires institutions to have knowledge and skills in planning and implementing authentic teaching and learning experiences, supporting students, and assessing and monitoring outcomes with a focus on student success.” Australian Universities Accord Discussion paper, February 2023, p. 3. </w:t>
      </w:r>
    </w:p>
    <w:p w14:paraId="49986964" w14:textId="5085E8EC" w:rsidR="00C81920" w:rsidRPr="00C81920" w:rsidRDefault="00C81920" w:rsidP="00C81920">
      <w:r>
        <w:t xml:space="preserve">The Discussion Paper asked for reforms needed to deliver a quality learning environment and to ensure graduates enter the labour market with the skills and knowledge they need. </w:t>
      </w:r>
      <w:r w:rsidR="00656734">
        <w:t>Seventy-nine submissions discussed</w:t>
      </w:r>
      <w:r w:rsidR="00C50F91">
        <w:t xml:space="preserve"> ‘Quality teaching to deliver quality learning’.</w:t>
      </w:r>
    </w:p>
    <w:p w14:paraId="662BBEE1" w14:textId="236504D9" w:rsidR="009A6A85" w:rsidRPr="009A6A85" w:rsidRDefault="007657A5" w:rsidP="008F008B">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5</w:t>
      </w:r>
      <w:r w:rsidR="008444D3">
        <w:rPr>
          <w:noProof/>
        </w:rPr>
        <w:fldChar w:fldCharType="end"/>
      </w:r>
      <w:r>
        <w:t xml:space="preserve"> | </w:t>
      </w:r>
      <w:r w:rsidR="00283F13" w:rsidRPr="00283F13">
        <w:t>Distribution of submissions – Quality teaching to deliver quality learning (N=79)</w:t>
      </w:r>
      <w:r w:rsidR="006831CA" w:rsidRPr="006831CA">
        <w:t xml:space="preserve"> </w:t>
      </w:r>
    </w:p>
    <w:p w14:paraId="1D1BFE93" w14:textId="3BBD2457" w:rsidR="008F008B" w:rsidRPr="009A6A85" w:rsidRDefault="008F008B" w:rsidP="009A6A85">
      <w:r w:rsidRPr="008F008B">
        <w:rPr>
          <w:noProof/>
        </w:rPr>
        <w:lastRenderedPageBreak/>
        <w:drawing>
          <wp:inline distT="0" distB="0" distL="0" distR="0" wp14:anchorId="702AD440" wp14:editId="4C6567DC">
            <wp:extent cx="5835650" cy="3608070"/>
            <wp:effectExtent l="0" t="0" r="0" b="0"/>
            <wp:docPr id="53" name="Picture 53" descr="Bar graph. &#10;Other advocacy groups and universities were more likely to comment on ‘quality teaching and delivering quality learning’ than other groups. Both groups made up 15 per cent of submissions aligned to this topic, compared to 13 per cent of all submissions.&#10;Graph data:&#10;Individual - 19 (24%)&#10;Other advocacy - 12 (15%)&#10;University - 12 (15%)&#10;Professional association - 7 (9%)&#10;University school, centre, faculty or college - 4 (5%)&#10;Business - 2 (3%)&#10;Discipline group - 2 (3%)&#10;Other higher education - 2 (3%)&#10;First Nations organisation - 1 (1%)&#10;Higher education peak body - 1 (1%)&#10;Independent provider - 1 (1%)&#10;Local government body - 1 (1%)&#10;Other - 1 (1%)&#10;Other peak body - 1 (1%)&#10;Regional networks and support services - 1 (1%)&#10;Student representatives - 1 (1%)&#10;Union -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Bar graph. &#10;Other advocacy groups and universities were more likely to comment on ‘quality teaching and delivering quality learning’ than other groups. Both groups made up 15 per cent of submissions aligned to this topic, compared to 13 per cent of all submissions.&#10;Graph data:&#10;Individual - 19 (24%)&#10;Other advocacy - 12 (15%)&#10;University - 12 (15%)&#10;Professional association - 7 (9%)&#10;University school, centre, faculty or college - 4 (5%)&#10;Business - 2 (3%)&#10;Discipline group - 2 (3%)&#10;Other higher education - 2 (3%)&#10;First Nations organisation - 1 (1%)&#10;Higher education peak body - 1 (1%)&#10;Independent provider - 1 (1%)&#10;Local government body - 1 (1%)&#10;Other - 1 (1%)&#10;Other peak body - 1 (1%)&#10;Regional networks and support services - 1 (1%)&#10;Student representatives - 1 (1%)&#10;Union - 1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5650" cy="3608070"/>
                    </a:xfrm>
                    <a:prstGeom prst="rect">
                      <a:avLst/>
                    </a:prstGeom>
                    <a:noFill/>
                    <a:ln>
                      <a:noFill/>
                    </a:ln>
                  </pic:spPr>
                </pic:pic>
              </a:graphicData>
            </a:graphic>
          </wp:inline>
        </w:drawing>
      </w:r>
    </w:p>
    <w:p w14:paraId="23EEA716" w14:textId="47898371" w:rsidR="00EA335F" w:rsidRDefault="00EA335F" w:rsidP="00E10010">
      <w:pPr>
        <w:pStyle w:val="Heading4"/>
      </w:pPr>
      <w:r>
        <w:t xml:space="preserve">Reforms needed to promote </w:t>
      </w:r>
      <w:r w:rsidR="00371BFF">
        <w:t>a quality learning environment</w:t>
      </w:r>
    </w:p>
    <w:p w14:paraId="44EDE431" w14:textId="023CD9A2" w:rsidR="0084633A" w:rsidRDefault="0084633A" w:rsidP="0084633A">
      <w:r>
        <w:t xml:space="preserve">The Discussion Paper recognised the numerous factors that contribute to a quality learning environment, including the importance of quality teaching. </w:t>
      </w:r>
    </w:p>
    <w:p w14:paraId="75580650" w14:textId="77777777" w:rsidR="0084633A" w:rsidRDefault="0084633A" w:rsidP="0084633A">
      <w:pPr>
        <w:ind w:left="720"/>
      </w:pPr>
      <w:r w:rsidRPr="005A5D72">
        <w:rPr>
          <w:i/>
          <w:iCs/>
        </w:rPr>
        <w:t>“A quality learning environment should provide students with the knowledge they need for interesting and satisfying careers; a consistent and certifiable skillset; and a supportive and formative experience.</w:t>
      </w:r>
      <w:r>
        <w:rPr>
          <w:i/>
          <w:iCs/>
        </w:rPr>
        <w:t xml:space="preserve"> </w:t>
      </w:r>
      <w:r w:rsidRPr="00412190">
        <w:rPr>
          <w:i/>
          <w:iCs/>
        </w:rPr>
        <w:t>This requires institutions to have knowledge and skills in planning and implementing authentic</w:t>
      </w:r>
      <w:r>
        <w:rPr>
          <w:i/>
          <w:iCs/>
        </w:rPr>
        <w:t xml:space="preserve"> </w:t>
      </w:r>
      <w:r w:rsidRPr="00412190">
        <w:rPr>
          <w:i/>
          <w:iCs/>
        </w:rPr>
        <w:t>teaching and learning experiences, supporting students, and assessing and monitoring outcomes with a focus on</w:t>
      </w:r>
      <w:r>
        <w:rPr>
          <w:i/>
          <w:iCs/>
        </w:rPr>
        <w:t xml:space="preserve"> </w:t>
      </w:r>
      <w:r w:rsidRPr="00412190">
        <w:rPr>
          <w:i/>
          <w:iCs/>
        </w:rPr>
        <w:t>student success.</w:t>
      </w:r>
      <w:r w:rsidRPr="005A5D72">
        <w:rPr>
          <w:i/>
          <w:iCs/>
        </w:rPr>
        <w:t>”</w:t>
      </w:r>
      <w:r>
        <w:rPr>
          <w:i/>
          <w:iCs/>
        </w:rPr>
        <w:t xml:space="preserve"> </w:t>
      </w:r>
      <w:r w:rsidRPr="005A5D72">
        <w:t xml:space="preserve">Australian Universities Accord Discussion paper, February 2023, p. </w:t>
      </w:r>
      <w:r>
        <w:t>12.</w:t>
      </w:r>
      <w:r w:rsidRPr="009A52FE">
        <w:t xml:space="preserve"> </w:t>
      </w:r>
    </w:p>
    <w:p w14:paraId="4CF71516" w14:textId="77777777" w:rsidR="0084633A" w:rsidRPr="005A5D72" w:rsidRDefault="0084633A" w:rsidP="0084633A">
      <w:r>
        <w:t>The Discussion Paper asked for reforms needed to deliver a quality learning environment and to ensure graduates enter the labour market with the skills and knowledge they need.</w:t>
      </w:r>
    </w:p>
    <w:p w14:paraId="3DF0C7BB" w14:textId="20063C8D" w:rsidR="0084633A" w:rsidRDefault="0084633A" w:rsidP="0084633A">
      <w:r>
        <w:t>26% of submissions (7</w:t>
      </w:r>
      <w:r w:rsidR="00160D5A">
        <w:t>9</w:t>
      </w:r>
      <w:r>
        <w:t xml:space="preserve"> submissions) responded to this question. Submissions focussed on four main areas for reform:</w:t>
      </w:r>
    </w:p>
    <w:p w14:paraId="48B33303" w14:textId="3006C7B2" w:rsidR="00731985" w:rsidRDefault="001769E7" w:rsidP="00731985">
      <w:pPr>
        <w:pStyle w:val="ListParagraph"/>
        <w:numPr>
          <w:ilvl w:val="0"/>
          <w:numId w:val="33"/>
        </w:numPr>
      </w:pPr>
      <w:r>
        <w:t>p</w:t>
      </w:r>
      <w:r w:rsidR="00731985">
        <w:t>romote innovation and collaboration in teaching and learning methods (10 submissions)</w:t>
      </w:r>
    </w:p>
    <w:p w14:paraId="592B297F" w14:textId="03416EB3" w:rsidR="0084633A" w:rsidRDefault="001769E7" w:rsidP="0084633A">
      <w:pPr>
        <w:pStyle w:val="ListParagraph"/>
        <w:numPr>
          <w:ilvl w:val="0"/>
          <w:numId w:val="33"/>
        </w:numPr>
      </w:pPr>
      <w:r>
        <w:t>e</w:t>
      </w:r>
      <w:r w:rsidR="0084633A">
        <w:t>nsure appropriate staffing to support students from all backgrounds (9 submissions)</w:t>
      </w:r>
    </w:p>
    <w:p w14:paraId="2C5A4832" w14:textId="425A508B" w:rsidR="0084633A" w:rsidRDefault="001769E7" w:rsidP="0084633A">
      <w:pPr>
        <w:pStyle w:val="ListParagraph"/>
        <w:numPr>
          <w:ilvl w:val="0"/>
          <w:numId w:val="33"/>
        </w:numPr>
      </w:pPr>
      <w:r>
        <w:t>e</w:t>
      </w:r>
      <w:r w:rsidR="0084633A" w:rsidRPr="00472A39">
        <w:t>mbed First Nations knowledge and teaching methods in higher education</w:t>
      </w:r>
      <w:r w:rsidR="0084633A">
        <w:t xml:space="preserve"> (8 submissions)</w:t>
      </w:r>
    </w:p>
    <w:p w14:paraId="1E906E06" w14:textId="695104C0" w:rsidR="0084633A" w:rsidRPr="00472A39" w:rsidRDefault="001769E7" w:rsidP="0084633A">
      <w:pPr>
        <w:pStyle w:val="ListParagraph"/>
        <w:numPr>
          <w:ilvl w:val="0"/>
          <w:numId w:val="33"/>
        </w:numPr>
      </w:pPr>
      <w:r>
        <w:t>p</w:t>
      </w:r>
      <w:r w:rsidR="0084633A">
        <w:t xml:space="preserve">romote the teaching of transdisciplinary skills </w:t>
      </w:r>
      <w:r w:rsidR="0084633A" w:rsidRPr="007D4B49">
        <w:t>(11 submissions)</w:t>
      </w:r>
    </w:p>
    <w:p w14:paraId="25D99713" w14:textId="267FF618" w:rsidR="0084633A" w:rsidRDefault="001769E7" w:rsidP="0084633A">
      <w:pPr>
        <w:pStyle w:val="ListParagraph"/>
        <w:numPr>
          <w:ilvl w:val="0"/>
          <w:numId w:val="33"/>
        </w:numPr>
      </w:pPr>
      <w:r>
        <w:t>s</w:t>
      </w:r>
      <w:r w:rsidR="00076F57" w:rsidRPr="00076F57">
        <w:t xml:space="preserve">upport student participation in extra-curricular activities </w:t>
      </w:r>
      <w:r w:rsidR="0084633A">
        <w:t>(2 submissions)</w:t>
      </w:r>
    </w:p>
    <w:p w14:paraId="72EFA4C2" w14:textId="77777777" w:rsidR="00E832A9" w:rsidRDefault="00E832A9" w:rsidP="00E832A9">
      <w:r>
        <w:t>These points are explored in more detail below.</w:t>
      </w:r>
    </w:p>
    <w:p w14:paraId="515354E6" w14:textId="4F93C4BF" w:rsidR="00731985" w:rsidRDefault="00731985" w:rsidP="00731985">
      <w:pPr>
        <w:pStyle w:val="Heading5"/>
      </w:pPr>
      <w:r>
        <w:lastRenderedPageBreak/>
        <w:t xml:space="preserve">Promote innovation and collaboration in teaching and learning methods </w:t>
      </w:r>
    </w:p>
    <w:p w14:paraId="04ECCB35" w14:textId="77777777" w:rsidR="00731985" w:rsidRPr="007813C8" w:rsidRDefault="00731985" w:rsidP="00731985">
      <w:r>
        <w:t>Ten submissions recommended actions to improve current approaches to teaching and learning. Methods suggested to improve innovation and collaboration include:</w:t>
      </w:r>
    </w:p>
    <w:p w14:paraId="0B3C66F5" w14:textId="77777777" w:rsidR="00731985" w:rsidRDefault="00731985" w:rsidP="00731985">
      <w:pPr>
        <w:pStyle w:val="ListParagraph"/>
        <w:numPr>
          <w:ilvl w:val="1"/>
          <w:numId w:val="35"/>
        </w:numPr>
      </w:pPr>
      <w:r>
        <w:t>support research about quality teaching and learning, for example through increased funding</w:t>
      </w:r>
    </w:p>
    <w:p w14:paraId="2746690C" w14:textId="77777777" w:rsidR="00731985" w:rsidRDefault="00731985" w:rsidP="00731985">
      <w:pPr>
        <w:pStyle w:val="ListParagraph"/>
        <w:numPr>
          <w:ilvl w:val="1"/>
          <w:numId w:val="35"/>
        </w:numPr>
      </w:pPr>
      <w:r>
        <w:t>leverage the experience of alumni to contribute to improvement of the learning environment</w:t>
      </w:r>
    </w:p>
    <w:p w14:paraId="5338B2FF" w14:textId="77777777" w:rsidR="00731985" w:rsidRDefault="00731985" w:rsidP="00731985">
      <w:pPr>
        <w:pStyle w:val="ListParagraph"/>
        <w:numPr>
          <w:ilvl w:val="1"/>
          <w:numId w:val="35"/>
        </w:numPr>
      </w:pPr>
      <w:r>
        <w:t>promote collaboration and information-sharing across higher education providers to increase awareness of new and successful teaching and learning approaches and technologies</w:t>
      </w:r>
    </w:p>
    <w:p w14:paraId="4137BEF9" w14:textId="3D71ABFF" w:rsidR="00731985" w:rsidRPr="007813C8" w:rsidRDefault="00731985" w:rsidP="00731985">
      <w:pPr>
        <w:pStyle w:val="ListParagraph"/>
        <w:numPr>
          <w:ilvl w:val="1"/>
          <w:numId w:val="35"/>
        </w:numPr>
      </w:pPr>
      <w:r>
        <w:t xml:space="preserve">establish a national body </w:t>
      </w:r>
      <w:proofErr w:type="gramStart"/>
      <w:r>
        <w:t>to</w:t>
      </w:r>
      <w:r w:rsidR="00C92F0C">
        <w:t>:</w:t>
      </w:r>
      <w:proofErr w:type="gramEnd"/>
      <w:r>
        <w:t xml:space="preserve"> coordinate national approaches</w:t>
      </w:r>
      <w:r w:rsidR="00133B77">
        <w:t>,</w:t>
      </w:r>
      <w:r>
        <w:t xml:space="preserve"> and address quality assurance and enhancement in teaching, learning and the student experience.</w:t>
      </w:r>
    </w:p>
    <w:p w14:paraId="6A81D41D" w14:textId="0E088A1F" w:rsidR="00E03C1F" w:rsidRDefault="007A7DF5" w:rsidP="00E03C1F">
      <w:pPr>
        <w:pStyle w:val="Heading5"/>
      </w:pPr>
      <w:r>
        <w:t>Ensure</w:t>
      </w:r>
      <w:r w:rsidR="00E03C1F">
        <w:t xml:space="preserve"> appropriate staffing </w:t>
      </w:r>
      <w:r w:rsidR="00EC58CE" w:rsidRPr="00EC58CE">
        <w:t>to support students from all backgrounds</w:t>
      </w:r>
    </w:p>
    <w:p w14:paraId="206BB7D4" w14:textId="77777777" w:rsidR="0059107E" w:rsidRDefault="0059107E" w:rsidP="0059107E">
      <w:r>
        <w:t>Four submissions noted that increased teacher numbers and lower staff-to-student ratios are critical to a quality learning environment, as lower ratios allow more resources to be allocated to student support and engagement.</w:t>
      </w:r>
    </w:p>
    <w:p w14:paraId="41D0E67E" w14:textId="30186B52" w:rsidR="005A7245" w:rsidRDefault="00D2448C" w:rsidP="00EE6239">
      <w:pPr>
        <w:rPr>
          <w:i/>
          <w:iCs/>
          <w:u w:val="single"/>
        </w:rPr>
      </w:pPr>
      <w:r>
        <w:t>Three</w:t>
      </w:r>
      <w:r w:rsidR="00B3436B">
        <w:t xml:space="preserve"> submissions</w:t>
      </w:r>
      <w:r w:rsidR="00C352FB">
        <w:t xml:space="preserve"> noted that</w:t>
      </w:r>
      <w:r w:rsidR="00354F58">
        <w:t xml:space="preserve"> </w:t>
      </w:r>
      <w:r w:rsidR="005E2C49">
        <w:t xml:space="preserve">employment conditions for </w:t>
      </w:r>
      <w:r w:rsidR="00781A86">
        <w:t>staff in higher educa</w:t>
      </w:r>
      <w:r w:rsidR="00B3436B">
        <w:t>tion should be improved</w:t>
      </w:r>
      <w:r w:rsidR="00970207">
        <w:t xml:space="preserve">. </w:t>
      </w:r>
      <w:r w:rsidR="00A665C8">
        <w:t xml:space="preserve">Increased </w:t>
      </w:r>
      <w:r w:rsidR="00D40229">
        <w:t>remuneration</w:t>
      </w:r>
      <w:r w:rsidR="0002051C">
        <w:t xml:space="preserve">, </w:t>
      </w:r>
      <w:r w:rsidR="00A665C8">
        <w:t xml:space="preserve">reduction in </w:t>
      </w:r>
      <w:r w:rsidR="009E2D2D">
        <w:t>casualisation of the workforce</w:t>
      </w:r>
      <w:r w:rsidR="00970207">
        <w:t xml:space="preserve"> </w:t>
      </w:r>
      <w:r w:rsidR="0002051C">
        <w:t>an</w:t>
      </w:r>
      <w:r w:rsidR="003775B3">
        <w:t xml:space="preserve">d </w:t>
      </w:r>
      <w:r w:rsidR="00723E33">
        <w:t>investment</w:t>
      </w:r>
      <w:r w:rsidR="00723E33" w:rsidRPr="00A45712">
        <w:t xml:space="preserve"> </w:t>
      </w:r>
      <w:r w:rsidR="001D1FD0" w:rsidRPr="00A45712">
        <w:t>in training and professional development for educators</w:t>
      </w:r>
      <w:r w:rsidR="001D1FD0">
        <w:t xml:space="preserve"> </w:t>
      </w:r>
      <w:r w:rsidR="009E2D2D">
        <w:t xml:space="preserve">were listed as key areas </w:t>
      </w:r>
      <w:r w:rsidR="00D34C58">
        <w:t xml:space="preserve">that </w:t>
      </w:r>
      <w:r w:rsidR="009E2D2D">
        <w:t>promote a positive work environment for teacher</w:t>
      </w:r>
      <w:r w:rsidR="007D692C">
        <w:t>s</w:t>
      </w:r>
      <w:r w:rsidR="004F539A">
        <w:t>. The suggestion was that</w:t>
      </w:r>
      <w:r w:rsidR="009E2D2D">
        <w:t xml:space="preserve"> the flow on effect </w:t>
      </w:r>
      <w:r w:rsidR="003775B3">
        <w:t xml:space="preserve">of a quality teaching environment </w:t>
      </w:r>
      <w:r w:rsidR="00F81D0C">
        <w:t xml:space="preserve">drives </w:t>
      </w:r>
      <w:r w:rsidR="003775B3">
        <w:t>quality learning.</w:t>
      </w:r>
      <w:r w:rsidR="0042176A">
        <w:t xml:space="preserve"> </w:t>
      </w:r>
      <w:r w:rsidR="007225EC">
        <w:t>Two</w:t>
      </w:r>
      <w:r w:rsidR="00F70F6B">
        <w:t xml:space="preserve"> submissions discussed incentives </w:t>
      </w:r>
      <w:r w:rsidR="000F6CA9">
        <w:t>to reward</w:t>
      </w:r>
      <w:r w:rsidR="00025B05">
        <w:t xml:space="preserve"> quality teaching</w:t>
      </w:r>
      <w:r w:rsidR="004969F7">
        <w:t>. This is</w:t>
      </w:r>
      <w:r w:rsidR="00861CC1">
        <w:t xml:space="preserve"> dis</w:t>
      </w:r>
      <w:r w:rsidR="00D91CF6">
        <w:t>cussed</w:t>
      </w:r>
      <w:r w:rsidR="0042176A">
        <w:t xml:space="preserve"> in</w:t>
      </w:r>
      <w:r w:rsidR="0059107E">
        <w:t xml:space="preserve"> the section </w:t>
      </w:r>
      <w:r w:rsidR="005A7245" w:rsidRPr="005A7245">
        <w:rPr>
          <w:i/>
          <w:iCs/>
          <w:u w:val="single"/>
        </w:rPr>
        <w:fldChar w:fldCharType="begin"/>
      </w:r>
      <w:r w:rsidR="005A7245" w:rsidRPr="005A7245">
        <w:rPr>
          <w:i/>
          <w:iCs/>
          <w:u w:val="single"/>
        </w:rPr>
        <w:instrText xml:space="preserve"> REF _Ref135208398 \h  \* MERGEFORMAT </w:instrText>
      </w:r>
      <w:r w:rsidR="005A7245" w:rsidRPr="005A7245">
        <w:rPr>
          <w:i/>
          <w:iCs/>
          <w:u w:val="single"/>
        </w:rPr>
      </w:r>
      <w:r w:rsidR="005A7245" w:rsidRPr="005A7245">
        <w:rPr>
          <w:i/>
          <w:iCs/>
          <w:u w:val="single"/>
        </w:rPr>
        <w:fldChar w:fldCharType="separate"/>
      </w:r>
      <w:r w:rsidR="005A7245" w:rsidRPr="005A7245">
        <w:rPr>
          <w:i/>
          <w:iCs/>
          <w:u w:val="single"/>
        </w:rPr>
        <w:t>Investment in capability and recognition of the higher education workforce</w:t>
      </w:r>
      <w:r w:rsidR="005A7245" w:rsidRPr="005A7245">
        <w:rPr>
          <w:i/>
          <w:iCs/>
          <w:u w:val="single"/>
        </w:rPr>
        <w:fldChar w:fldCharType="end"/>
      </w:r>
      <w:r w:rsidR="005A7245">
        <w:rPr>
          <w:i/>
          <w:iCs/>
          <w:u w:val="single"/>
        </w:rPr>
        <w:t>.</w:t>
      </w:r>
    </w:p>
    <w:p w14:paraId="7574ED36" w14:textId="440A129B" w:rsidR="0042176A" w:rsidRDefault="0059107E" w:rsidP="00620286">
      <w:r w:rsidRPr="0059107E">
        <w:rPr>
          <w:i/>
          <w:iCs/>
          <w:u w:val="single"/>
        </w:rPr>
        <w:fldChar w:fldCharType="begin"/>
      </w:r>
      <w:r w:rsidRPr="0059107E">
        <w:rPr>
          <w:i/>
          <w:iCs/>
          <w:u w:val="single"/>
        </w:rPr>
        <w:instrText xml:space="preserve"> REF _Ref134721500 \h  \* MERGEFORMAT </w:instrText>
      </w:r>
      <w:r w:rsidRPr="0059107E">
        <w:rPr>
          <w:i/>
          <w:iCs/>
          <w:u w:val="single"/>
        </w:rPr>
      </w:r>
      <w:r w:rsidRPr="0059107E">
        <w:rPr>
          <w:i/>
          <w:iCs/>
          <w:u w:val="single"/>
        </w:rPr>
        <w:fldChar w:fldCharType="separate"/>
      </w:r>
      <w:r w:rsidR="009D26B2" w:rsidRPr="005A7245">
        <w:t xml:space="preserve">The submissions contained limited discussion about the appropriate institutional governance </w:t>
      </w:r>
      <w:r w:rsidR="009D26B2">
        <w:t xml:space="preserve">structures (3 submissions). These submissions proposed regulations that restructure university boards to include greater representation from students, staff, </w:t>
      </w:r>
      <w:proofErr w:type="gramStart"/>
      <w:r w:rsidR="009D26B2">
        <w:t>alumni</w:t>
      </w:r>
      <w:proofErr w:type="gramEnd"/>
      <w:r w:rsidR="009D26B2">
        <w:t xml:space="preserve"> and underrepresented cohorts.</w:t>
      </w:r>
      <w:r w:rsidR="005A7245">
        <w:t xml:space="preserve"> </w:t>
      </w:r>
      <w:r w:rsidRPr="0059107E">
        <w:rPr>
          <w:i/>
          <w:iCs/>
          <w:u w:val="single"/>
        </w:rPr>
        <w:fldChar w:fldCharType="end"/>
      </w:r>
    </w:p>
    <w:p w14:paraId="0249250C" w14:textId="718F19A4" w:rsidR="00472A39" w:rsidRDefault="007A7DF5" w:rsidP="00472A39">
      <w:pPr>
        <w:pStyle w:val="Heading5"/>
      </w:pPr>
      <w:bookmarkStart w:id="34" w:name="_Ref134795236"/>
      <w:r>
        <w:t>Embed</w:t>
      </w:r>
      <w:r w:rsidR="00472A39">
        <w:t xml:space="preserve"> First Nations knowledge and teaching methods in higher education</w:t>
      </w:r>
      <w:bookmarkEnd w:id="34"/>
    </w:p>
    <w:p w14:paraId="4527D14E" w14:textId="35451E13" w:rsidR="00676D95" w:rsidRDefault="006D37E8" w:rsidP="00620286">
      <w:r>
        <w:t>Eight</w:t>
      </w:r>
      <w:r w:rsidR="003C46AB">
        <w:t xml:space="preserve"> submissions called for</w:t>
      </w:r>
      <w:r w:rsidR="00796066">
        <w:t xml:space="preserve"> </w:t>
      </w:r>
      <w:r w:rsidR="000A4764">
        <w:t>First Nations knowledge and teaching methods to be embedded in higher educa</w:t>
      </w:r>
      <w:r w:rsidR="00C36D36">
        <w:t>t</w:t>
      </w:r>
      <w:r w:rsidR="00BC3054">
        <w:t xml:space="preserve">ion. </w:t>
      </w:r>
      <w:r w:rsidR="00897684">
        <w:t>The Congress of Aboriginal and Torres Strait Islander Nurses and Midwi</w:t>
      </w:r>
      <w:r w:rsidR="002C3257">
        <w:t xml:space="preserve">ves noted that </w:t>
      </w:r>
      <w:r w:rsidR="00C47A4B" w:rsidRPr="0065071B">
        <w:t>“</w:t>
      </w:r>
      <w:r w:rsidR="002C3257" w:rsidRPr="0065071B">
        <w:t xml:space="preserve">quality learning environments </w:t>
      </w:r>
      <w:r w:rsidR="0065071B" w:rsidRPr="0065071B">
        <w:t>must include innovation for Aboriginal and Torres Strait Islander teaching; for example, consideration of yarning circles as an approach to teaching.”</w:t>
      </w:r>
      <w:r w:rsidR="0065071B">
        <w:t xml:space="preserve"> </w:t>
      </w:r>
      <w:r w:rsidR="00DA6A60">
        <w:t>Two s</w:t>
      </w:r>
      <w:r w:rsidR="00047DD2">
        <w:t xml:space="preserve">ubmissions </w:t>
      </w:r>
      <w:r w:rsidR="009C1615">
        <w:t>also</w:t>
      </w:r>
      <w:r w:rsidR="00047DD2">
        <w:t xml:space="preserve"> noted </w:t>
      </w:r>
      <w:r w:rsidR="00047DD2" w:rsidRPr="00047DD2">
        <w:t>the limited number of First Nations mentors and senior colleagues</w:t>
      </w:r>
      <w:r w:rsidR="00047DD2">
        <w:t xml:space="preserve"> in higher education and the challenge this presents when seeking to</w:t>
      </w:r>
      <w:r w:rsidR="00047DD2" w:rsidRPr="00047DD2">
        <w:t xml:space="preserve"> provide </w:t>
      </w:r>
      <w:r w:rsidR="00047DD2">
        <w:t>adequate</w:t>
      </w:r>
      <w:r w:rsidR="00047DD2" w:rsidRPr="00047DD2">
        <w:t xml:space="preserve"> support to First Nations students</w:t>
      </w:r>
      <w:r w:rsidR="000534A5">
        <w:t xml:space="preserve"> and staff.</w:t>
      </w:r>
    </w:p>
    <w:p w14:paraId="358D9C24" w14:textId="450A6489" w:rsidR="001C1BFA" w:rsidRDefault="00C84F07" w:rsidP="00620286">
      <w:r>
        <w:t>E</w:t>
      </w:r>
      <w:r w:rsidR="00185A05">
        <w:t>mbedding First Nations knowledge and teaching methods was</w:t>
      </w:r>
      <w:r w:rsidR="0046151F">
        <w:t xml:space="preserve"> </w:t>
      </w:r>
      <w:r w:rsidR="00910435">
        <w:t>suggested</w:t>
      </w:r>
      <w:r w:rsidR="0046151F">
        <w:t xml:space="preserve"> </w:t>
      </w:r>
      <w:r w:rsidR="00E07F62">
        <w:t xml:space="preserve">by </w:t>
      </w:r>
      <w:r w:rsidR="00FB2A4D">
        <w:t xml:space="preserve">these </w:t>
      </w:r>
      <w:r w:rsidR="00F36E12">
        <w:t>eight</w:t>
      </w:r>
      <w:r w:rsidR="00E07F62">
        <w:t xml:space="preserve"> su</w:t>
      </w:r>
      <w:r w:rsidR="00FB2A4D">
        <w:t>bmi</w:t>
      </w:r>
      <w:r w:rsidR="00E07F62">
        <w:t xml:space="preserve">ssions, </w:t>
      </w:r>
      <w:r w:rsidR="00910435">
        <w:t>not only to</w:t>
      </w:r>
      <w:r w:rsidR="00781BE4">
        <w:t xml:space="preserve"> increase</w:t>
      </w:r>
      <w:r w:rsidR="00910435">
        <w:t xml:space="preserve"> </w:t>
      </w:r>
      <w:r w:rsidR="003F1298">
        <w:t xml:space="preserve">support </w:t>
      </w:r>
      <w:r w:rsidR="00781BE4">
        <w:t xml:space="preserve">for </w:t>
      </w:r>
      <w:r w:rsidR="00910435">
        <w:t xml:space="preserve">First Nations </w:t>
      </w:r>
      <w:r w:rsidR="003F1298">
        <w:t>students</w:t>
      </w:r>
      <w:r w:rsidR="00185A05">
        <w:t xml:space="preserve"> </w:t>
      </w:r>
      <w:r w:rsidR="00910435">
        <w:t xml:space="preserve">but </w:t>
      </w:r>
      <w:r w:rsidR="00F36E12">
        <w:t xml:space="preserve">also </w:t>
      </w:r>
      <w:r w:rsidR="00910435">
        <w:t xml:space="preserve">to ensure </w:t>
      </w:r>
      <w:r w:rsidR="00F8032E">
        <w:t>First Nations knowledge</w:t>
      </w:r>
      <w:r w:rsidR="003C5FB7">
        <w:t xml:space="preserve"> is </w:t>
      </w:r>
      <w:r w:rsidR="00C362C1">
        <w:t xml:space="preserve">recognised and </w:t>
      </w:r>
      <w:r w:rsidR="003C5FB7">
        <w:t xml:space="preserve">incorporated </w:t>
      </w:r>
      <w:r w:rsidR="00677B55">
        <w:t>across all disciplines in Australia’s</w:t>
      </w:r>
      <w:r w:rsidR="003C5FB7">
        <w:t xml:space="preserve"> higher educat</w:t>
      </w:r>
      <w:r w:rsidR="003F1298">
        <w:t>ion</w:t>
      </w:r>
      <w:r w:rsidR="00677B55">
        <w:t xml:space="preserve"> sector.</w:t>
      </w:r>
    </w:p>
    <w:p w14:paraId="7492C90C" w14:textId="62E8F6BA" w:rsidR="00FA45A4" w:rsidRDefault="000E3C42" w:rsidP="000E3C42">
      <w:pPr>
        <w:ind w:left="720"/>
      </w:pPr>
      <w:r w:rsidRPr="006C2447">
        <w:rPr>
          <w:i/>
          <w:iCs/>
        </w:rPr>
        <w:t xml:space="preserve">“We do everyone a disservice when First Nations initiatives are constructed solely through a deficit lens and focused exclusively on raising participation metrics. In an inclusive and modern Australia, all graduates ought to confidently engage with and understand First Nations people, </w:t>
      </w:r>
      <w:r w:rsidRPr="006C2447">
        <w:rPr>
          <w:i/>
          <w:iCs/>
        </w:rPr>
        <w:lastRenderedPageBreak/>
        <w:t>culture, knowledge systems and ways of working.”</w:t>
      </w:r>
      <w:r w:rsidR="003A7DD7">
        <w:rPr>
          <w:i/>
          <w:iCs/>
        </w:rPr>
        <w:t xml:space="preserve"> </w:t>
      </w:r>
      <w:r w:rsidR="003A7DD7">
        <w:t>Australian Technology Network of Universities.</w:t>
      </w:r>
    </w:p>
    <w:p w14:paraId="459A6BF9" w14:textId="77777777" w:rsidR="00676D95" w:rsidRDefault="004E78A2" w:rsidP="009B1CE5">
      <w:r>
        <w:t>To achieve this,</w:t>
      </w:r>
      <w:r w:rsidR="00E179FA">
        <w:t xml:space="preserve"> </w:t>
      </w:r>
      <w:r w:rsidR="00CB6F91">
        <w:t>four s</w:t>
      </w:r>
      <w:r w:rsidR="006E7450">
        <w:t xml:space="preserve">ubmissions recommended increasing </w:t>
      </w:r>
      <w:r w:rsidR="00BE3659">
        <w:t xml:space="preserve">the </w:t>
      </w:r>
      <w:r w:rsidR="006E7450">
        <w:t>funding and delivery of First Nations teaching</w:t>
      </w:r>
      <w:r w:rsidR="00BE3659">
        <w:t>, research and student support services</w:t>
      </w:r>
      <w:r w:rsidR="00CB6F91">
        <w:t xml:space="preserve"> and </w:t>
      </w:r>
      <w:r w:rsidR="0096451C">
        <w:t>three submissions</w:t>
      </w:r>
      <w:r w:rsidR="0029266A">
        <w:t xml:space="preserve"> recommended</w:t>
      </w:r>
      <w:r w:rsidR="004F1A10">
        <w:t xml:space="preserve"> </w:t>
      </w:r>
      <w:r w:rsidR="00677B55">
        <w:t xml:space="preserve">undertaking coordinated and </w:t>
      </w:r>
      <w:r w:rsidR="004C421D">
        <w:t xml:space="preserve">systemic </w:t>
      </w:r>
      <w:r w:rsidR="00677B55">
        <w:t>action at a national level to incorporate First Nations people, culture, knowledge systems and ways of working</w:t>
      </w:r>
      <w:r w:rsidR="00CA35D3">
        <w:t xml:space="preserve"> in the sector.</w:t>
      </w:r>
      <w:r w:rsidR="00D56168">
        <w:t xml:space="preserve"> </w:t>
      </w:r>
      <w:r w:rsidR="00B11164">
        <w:t>Two</w:t>
      </w:r>
      <w:r w:rsidR="00AE3988">
        <w:t xml:space="preserve"> submissions called for </w:t>
      </w:r>
      <w:r w:rsidR="00623170">
        <w:t>the establishment of a</w:t>
      </w:r>
      <w:r w:rsidR="00AE3988">
        <w:t xml:space="preserve"> National Indigenous Teaching and Learning Institute to</w:t>
      </w:r>
      <w:r w:rsidR="00DD7A93">
        <w:t xml:space="preserve"> coordinate </w:t>
      </w:r>
      <w:r w:rsidR="00F72413">
        <w:t xml:space="preserve">these </w:t>
      </w:r>
      <w:r w:rsidR="009A29F8">
        <w:t>effo</w:t>
      </w:r>
      <w:r w:rsidR="00705766">
        <w:t xml:space="preserve">rts and advise </w:t>
      </w:r>
      <w:r w:rsidR="00F72413">
        <w:t>providers</w:t>
      </w:r>
      <w:r w:rsidR="00705766">
        <w:t xml:space="preserve"> on how </w:t>
      </w:r>
      <w:r w:rsidR="00A267D2">
        <w:t>First Nations knowledges can infor</w:t>
      </w:r>
      <w:r w:rsidR="00D43028">
        <w:t xml:space="preserve">m transformations in </w:t>
      </w:r>
      <w:r w:rsidR="00F72413">
        <w:t xml:space="preserve">higher education </w:t>
      </w:r>
      <w:r w:rsidR="00A267D2">
        <w:t>curricul</w:t>
      </w:r>
      <w:r w:rsidR="00F72413">
        <w:t>um.</w:t>
      </w:r>
    </w:p>
    <w:p w14:paraId="6915A7BF" w14:textId="71EA53B6" w:rsidR="00A15633" w:rsidRDefault="00A15633" w:rsidP="00A15633">
      <w:pPr>
        <w:pStyle w:val="Heading5"/>
      </w:pPr>
      <w:r>
        <w:t>Promote the teaching of transdisciplinary skills</w:t>
      </w:r>
    </w:p>
    <w:p w14:paraId="7ED14245" w14:textId="77777777" w:rsidR="00A15633" w:rsidRDefault="00A15633" w:rsidP="00A15633">
      <w:r>
        <w:t>Eleven submissions discussed the importance of teaching transferable skills in addition to sector- and job-specific knowledge. These skills relate to problem solving, structural thinking and the current technological transformation. They allow students to become flexible and reasoned thinkers. Skills mentioned include:</w:t>
      </w:r>
    </w:p>
    <w:p w14:paraId="3CE842E2" w14:textId="77777777" w:rsidR="00A15633" w:rsidRDefault="00A15633" w:rsidP="00A15633">
      <w:pPr>
        <w:pStyle w:val="ListParagraph"/>
        <w:numPr>
          <w:ilvl w:val="0"/>
          <w:numId w:val="38"/>
        </w:numPr>
      </w:pPr>
      <w:r>
        <w:t>critical thinking and reasoning</w:t>
      </w:r>
    </w:p>
    <w:p w14:paraId="355AAEA5" w14:textId="77777777" w:rsidR="00A15633" w:rsidRDefault="00A15633" w:rsidP="00A15633">
      <w:pPr>
        <w:pStyle w:val="ListParagraph"/>
        <w:numPr>
          <w:ilvl w:val="0"/>
          <w:numId w:val="38"/>
        </w:numPr>
      </w:pPr>
      <w:r>
        <w:t>teamwork</w:t>
      </w:r>
    </w:p>
    <w:p w14:paraId="72EAC1E9" w14:textId="77777777" w:rsidR="00A15633" w:rsidRDefault="00A15633" w:rsidP="00A15633">
      <w:pPr>
        <w:pStyle w:val="ListParagraph"/>
        <w:numPr>
          <w:ilvl w:val="0"/>
          <w:numId w:val="38"/>
        </w:numPr>
      </w:pPr>
      <w:r>
        <w:t>cross-disciplinary collaboration</w:t>
      </w:r>
    </w:p>
    <w:p w14:paraId="331DFCE9" w14:textId="77777777" w:rsidR="00A15633" w:rsidRDefault="00A15633" w:rsidP="00A15633">
      <w:pPr>
        <w:pStyle w:val="ListParagraph"/>
        <w:numPr>
          <w:ilvl w:val="0"/>
          <w:numId w:val="38"/>
        </w:numPr>
      </w:pPr>
      <w:r>
        <w:t>communication, both written and verbal</w:t>
      </w:r>
    </w:p>
    <w:p w14:paraId="207C3476" w14:textId="77777777" w:rsidR="00A15633" w:rsidRDefault="00A15633" w:rsidP="00A15633">
      <w:pPr>
        <w:pStyle w:val="ListParagraph"/>
        <w:numPr>
          <w:ilvl w:val="0"/>
          <w:numId w:val="38"/>
        </w:numPr>
      </w:pPr>
      <w:r>
        <w:t>information analysis</w:t>
      </w:r>
    </w:p>
    <w:p w14:paraId="57F56716" w14:textId="77777777" w:rsidR="00A15633" w:rsidRDefault="00A15633" w:rsidP="00A15633">
      <w:pPr>
        <w:pStyle w:val="ListParagraph"/>
        <w:numPr>
          <w:ilvl w:val="0"/>
          <w:numId w:val="38"/>
        </w:numPr>
      </w:pPr>
      <w:r>
        <w:t>digital literacy</w:t>
      </w:r>
    </w:p>
    <w:p w14:paraId="7C80971F" w14:textId="77777777" w:rsidR="00A15633" w:rsidRDefault="00A15633" w:rsidP="00A15633">
      <w:pPr>
        <w:pStyle w:val="ListParagraph"/>
        <w:numPr>
          <w:ilvl w:val="0"/>
          <w:numId w:val="38"/>
        </w:numPr>
      </w:pPr>
      <w:r>
        <w:t>bias recognition</w:t>
      </w:r>
    </w:p>
    <w:p w14:paraId="6C32822F" w14:textId="77777777" w:rsidR="00A15633" w:rsidRDefault="00A15633" w:rsidP="00A15633">
      <w:pPr>
        <w:pStyle w:val="ListParagraph"/>
        <w:numPr>
          <w:ilvl w:val="0"/>
          <w:numId w:val="38"/>
        </w:numPr>
      </w:pPr>
      <w:r>
        <w:t>the ability to effectively learn and develop new skills</w:t>
      </w:r>
    </w:p>
    <w:p w14:paraId="68B94413" w14:textId="77777777" w:rsidR="00A15633" w:rsidRDefault="00A15633" w:rsidP="00A15633">
      <w:pPr>
        <w:pStyle w:val="ListParagraph"/>
        <w:numPr>
          <w:ilvl w:val="0"/>
          <w:numId w:val="38"/>
        </w:numPr>
      </w:pPr>
      <w:r>
        <w:t>foreign languages.</w:t>
      </w:r>
    </w:p>
    <w:p w14:paraId="2675889C" w14:textId="77777777" w:rsidR="00A15633" w:rsidRDefault="00A15633" w:rsidP="00A15633">
      <w:r>
        <w:t>While the importance of these skills was recognised, submissions did not identify mechanisms to promote their teaching.</w:t>
      </w:r>
    </w:p>
    <w:p w14:paraId="2AB599A2" w14:textId="5FDCD21A" w:rsidR="00A15633" w:rsidRDefault="00A15633" w:rsidP="00A15633">
      <w:pPr>
        <w:rPr>
          <w:rStyle w:val="Heading5Char"/>
        </w:rPr>
      </w:pPr>
      <w:r>
        <w:t xml:space="preserve">Foreign language skills were given particular emphasis (3 submissions). Submissions noted that Australia’s growing role in the Asia-Pacific, coupled with globalisation more broadly, will require graduates with strong language skills to help maintain and promote Australia’s economic, social and political relations with other nations. Submissions called for greater recognition and funding for Languages Other Than English (LOTE) to align Australia with global standards and prepare students for a globalised industry and workforce. </w:t>
      </w:r>
    </w:p>
    <w:p w14:paraId="38DDA4E6" w14:textId="5146F86F" w:rsidR="00CD22A5" w:rsidRPr="0026221D" w:rsidRDefault="00CD22A5" w:rsidP="0026221D">
      <w:pPr>
        <w:pStyle w:val="Heading5"/>
      </w:pPr>
      <w:r w:rsidRPr="0026221D">
        <w:rPr>
          <w:rStyle w:val="Heading5Char"/>
          <w:b/>
        </w:rPr>
        <w:t>Support student participation in extra-curricular activities</w:t>
      </w:r>
      <w:r w:rsidRPr="0026221D">
        <w:t xml:space="preserve"> </w:t>
      </w:r>
    </w:p>
    <w:p w14:paraId="1224EB02" w14:textId="696A94DC" w:rsidR="00945A7A" w:rsidRDefault="00E66F33" w:rsidP="00945A7A">
      <w:r>
        <w:t xml:space="preserve">As noted by </w:t>
      </w:r>
      <w:proofErr w:type="spellStart"/>
      <w:r>
        <w:t>UniSport</w:t>
      </w:r>
      <w:proofErr w:type="spellEnd"/>
      <w:r>
        <w:t>, an</w:t>
      </w:r>
      <w:r w:rsidR="00945A7A">
        <w:t xml:space="preserve"> international growing body of work has identified an association between activity levels in students and personal and mental wellbeing. Drawing on this, </w:t>
      </w:r>
      <w:proofErr w:type="spellStart"/>
      <w:r w:rsidR="00945A7A">
        <w:t>UniSport</w:t>
      </w:r>
      <w:proofErr w:type="spellEnd"/>
      <w:r w:rsidR="00945A7A">
        <w:t xml:space="preserve"> recommended that higher education providers place a greater focus on extra-curricular activities for students. These activities were noted as not exclusive to sports and physical activity but extend to participation in university clubs and other campus engagements.</w:t>
      </w:r>
    </w:p>
    <w:p w14:paraId="090A67CD" w14:textId="75108096" w:rsidR="0036131E" w:rsidRDefault="005F1B0B" w:rsidP="005F1B0B">
      <w:pPr>
        <w:ind w:left="720"/>
      </w:pPr>
      <w:r>
        <w:rPr>
          <w:i/>
          <w:iCs/>
        </w:rPr>
        <w:lastRenderedPageBreak/>
        <w:t>“</w:t>
      </w:r>
      <w:r w:rsidR="00290D86" w:rsidRPr="005F1B0B">
        <w:rPr>
          <w:i/>
          <w:iCs/>
        </w:rPr>
        <w:t>There is a growing body of work internationally that demonstrates that mental well-being, physical activity and student engagement point directly to better academic outcomes</w:t>
      </w:r>
      <w:r w:rsidRPr="005F1B0B">
        <w:rPr>
          <w:i/>
          <w:iCs/>
        </w:rPr>
        <w:t xml:space="preserve">… </w:t>
      </w:r>
      <w:r w:rsidR="00290D86" w:rsidRPr="005F1B0B">
        <w:rPr>
          <w:i/>
          <w:iCs/>
        </w:rPr>
        <w:t>The challenge is to advocate to all Universities the importance of sport and campus engagement for all students as a responsibility to produce well rounded, and socially engaged graduates. There is clearly an opportunity for the university sector to contribute to the social and emotional wellbeing of the 18–24-year-old age group, but also for this work to have a double benefit of producing better academic outcomes for these students. This virtuous cycle demonstrates a significant advantage in understanding the factors behind student engagement.</w:t>
      </w:r>
      <w:r w:rsidR="001C4368">
        <w:rPr>
          <w:i/>
          <w:iCs/>
        </w:rPr>
        <w:t xml:space="preserve">” </w:t>
      </w:r>
      <w:proofErr w:type="spellStart"/>
      <w:r w:rsidR="001C4368">
        <w:t>UniSport</w:t>
      </w:r>
      <w:proofErr w:type="spellEnd"/>
    </w:p>
    <w:p w14:paraId="698592FA" w14:textId="66EB864D" w:rsidR="00277A41" w:rsidRDefault="00276101" w:rsidP="005C0712">
      <w:r>
        <w:t xml:space="preserve">Bond University’s </w:t>
      </w:r>
      <w:r>
        <w:rPr>
          <w:i/>
          <w:iCs/>
        </w:rPr>
        <w:t>Beyond Bond progra</w:t>
      </w:r>
      <w:r w:rsidR="00491DB0">
        <w:rPr>
          <w:i/>
          <w:iCs/>
        </w:rPr>
        <w:t>m</w:t>
      </w:r>
      <w:r w:rsidR="00491DB0">
        <w:t xml:space="preserve">, mentioned by </w:t>
      </w:r>
      <w:proofErr w:type="spellStart"/>
      <w:r w:rsidR="00491DB0">
        <w:t>UniSport</w:t>
      </w:r>
      <w:proofErr w:type="spellEnd"/>
      <w:r w:rsidR="00491DB0">
        <w:t xml:space="preserve"> and Bond University, </w:t>
      </w:r>
      <w:r w:rsidR="008C33CC">
        <w:t>is</w:t>
      </w:r>
      <w:r w:rsidR="00A65E8C">
        <w:t xml:space="preserve"> a</w:t>
      </w:r>
      <w:r w:rsidR="00491DB0">
        <w:t>n example o</w:t>
      </w:r>
      <w:r w:rsidR="00A65E8C">
        <w:t>f an initiative that supports student participation in extra-curricular activities</w:t>
      </w:r>
      <w:r w:rsidR="001E7C0E">
        <w:t xml:space="preserve"> to develop skills </w:t>
      </w:r>
      <w:r w:rsidR="00CC52EC">
        <w:t>out of the classroom</w:t>
      </w:r>
      <w:r w:rsidR="001E7C0E">
        <w:t>.</w:t>
      </w:r>
      <w:r w:rsidR="005A3F7B">
        <w:t xml:space="preserve"> </w:t>
      </w:r>
    </w:p>
    <w:p w14:paraId="58DED56F" w14:textId="4C7030E8" w:rsidR="001D45E7" w:rsidRDefault="001D45E7" w:rsidP="001D45E7">
      <w:pPr>
        <w:pStyle w:val="Heading4"/>
      </w:pPr>
      <w:r>
        <w:t xml:space="preserve">Support cooperation between industry and higher education providers </w:t>
      </w:r>
    </w:p>
    <w:p w14:paraId="15808500" w14:textId="77777777" w:rsidR="005C0712" w:rsidRDefault="00845F75" w:rsidP="005C0712">
      <w:r>
        <w:t>The Discussion Paper notes that</w:t>
      </w:r>
      <w:r w:rsidR="000E47B3">
        <w:t xml:space="preserve"> Australia </w:t>
      </w:r>
      <w:r w:rsidR="005C0712">
        <w:t xml:space="preserve">has room to improve links </w:t>
      </w:r>
      <w:r w:rsidR="000E47B3">
        <w:t xml:space="preserve">between higher education and industry </w:t>
      </w:r>
      <w:r w:rsidR="005C0712">
        <w:t>compared to international standards.</w:t>
      </w:r>
    </w:p>
    <w:p w14:paraId="50C94998" w14:textId="467361A1" w:rsidR="005C0712" w:rsidRDefault="005C0712" w:rsidP="005C0712">
      <w:pPr>
        <w:ind w:left="720"/>
      </w:pPr>
      <w:r>
        <w:rPr>
          <w:i/>
          <w:iCs/>
        </w:rPr>
        <w:t>“</w:t>
      </w:r>
      <w:r w:rsidRPr="007C7A2C">
        <w:rPr>
          <w:i/>
          <w:iCs/>
        </w:rPr>
        <w:t>There is scope to enhance engagement with industry to improve the quality of the curriculum, enhance the student experience, increase opportunities for work placements and improve employment outcomes. This should be viewed in the context of supporting continued lifelong learning.</w:t>
      </w:r>
      <w:r>
        <w:rPr>
          <w:i/>
          <w:iCs/>
        </w:rPr>
        <w:t xml:space="preserve">” </w:t>
      </w:r>
      <w:r w:rsidRPr="007C7A2C">
        <w:t>Australian Universities Accord Discussion paper, February 2023, p. 1</w:t>
      </w:r>
      <w:r>
        <w:t>7.</w:t>
      </w:r>
    </w:p>
    <w:p w14:paraId="551932F2" w14:textId="77777777" w:rsidR="00F11217" w:rsidRPr="00F11217" w:rsidRDefault="005C0712" w:rsidP="00F11217">
      <w:r>
        <w:t>To</w:t>
      </w:r>
      <w:r w:rsidR="0082160B">
        <w:t xml:space="preserve"> understand </w:t>
      </w:r>
      <w:r w:rsidR="005A346C">
        <w:t>what reforms would allow</w:t>
      </w:r>
      <w:r w:rsidR="0082160B">
        <w:t xml:space="preserve"> graduates </w:t>
      </w:r>
      <w:r w:rsidR="005A346C">
        <w:t>to</w:t>
      </w:r>
      <w:r w:rsidR="0082160B">
        <w:t xml:space="preserve"> be best prepared for the labour mark</w:t>
      </w:r>
      <w:r w:rsidR="004E154B">
        <w:t>et</w:t>
      </w:r>
      <w:r>
        <w:t xml:space="preserve">, the Discussion Paper </w:t>
      </w:r>
      <w:r w:rsidR="00EB2714">
        <w:t xml:space="preserve">asked </w:t>
      </w:r>
      <w:r>
        <w:t>stakeholders</w:t>
      </w:r>
      <w:r w:rsidR="00EB2714">
        <w:t xml:space="preserve"> </w:t>
      </w:r>
      <w:r w:rsidR="00346CAE">
        <w:t>“</w:t>
      </w:r>
      <w:r w:rsidR="00EB2714">
        <w:t>how an Accord could support cooperation between providers, accreditation bodies, government and industry to ensure graduates have relevant skills for the workforce</w:t>
      </w:r>
      <w:r w:rsidR="00346CAE">
        <w:t>,” (p. 17).</w:t>
      </w:r>
    </w:p>
    <w:p w14:paraId="42C448E1" w14:textId="1579ADA0" w:rsidR="005C0712" w:rsidRDefault="005C0712" w:rsidP="005C0712">
      <w:r>
        <w:t>18</w:t>
      </w:r>
      <w:r w:rsidR="00B25A27">
        <w:t xml:space="preserve"> per cent</w:t>
      </w:r>
      <w:r>
        <w:t xml:space="preserve"> of submissions (57 submissions) responded to this question. Three key themes were identified:</w:t>
      </w:r>
    </w:p>
    <w:p w14:paraId="7F2CA6D7" w14:textId="10618084" w:rsidR="005C0712" w:rsidRDefault="00DF5029" w:rsidP="005C0712">
      <w:pPr>
        <w:pStyle w:val="ListParagraph"/>
        <w:numPr>
          <w:ilvl w:val="0"/>
          <w:numId w:val="55"/>
        </w:numPr>
      </w:pPr>
      <w:r>
        <w:t>r</w:t>
      </w:r>
      <w:r w:rsidR="005C0712">
        <w:t>eview the role of accreditation bodies (13 submissions).</w:t>
      </w:r>
    </w:p>
    <w:p w14:paraId="6F0994C4" w14:textId="474276D0" w:rsidR="005C0712" w:rsidRDefault="00DF5029" w:rsidP="005C0712">
      <w:pPr>
        <w:pStyle w:val="ListParagraph"/>
        <w:numPr>
          <w:ilvl w:val="0"/>
          <w:numId w:val="55"/>
        </w:numPr>
      </w:pPr>
      <w:r>
        <w:t>p</w:t>
      </w:r>
      <w:r w:rsidR="005C0712">
        <w:t>rovide more placement opportunities for postgraduate students (</w:t>
      </w:r>
      <w:r w:rsidR="00A46134">
        <w:t>2</w:t>
      </w:r>
      <w:r w:rsidR="005C0712">
        <w:t xml:space="preserve"> submissions).</w:t>
      </w:r>
    </w:p>
    <w:p w14:paraId="5D9D1D69" w14:textId="3150B392" w:rsidR="00A83300" w:rsidRDefault="00DF5029" w:rsidP="00894C81">
      <w:pPr>
        <w:pStyle w:val="ListParagraph"/>
        <w:numPr>
          <w:ilvl w:val="0"/>
          <w:numId w:val="55"/>
        </w:numPr>
      </w:pPr>
      <w:r>
        <w:t>i</w:t>
      </w:r>
      <w:r w:rsidR="005C0712">
        <w:t>mprove</w:t>
      </w:r>
      <w:r w:rsidR="00A83300">
        <w:t xml:space="preserve"> cooperation in work-integrated learning (</w:t>
      </w:r>
      <w:r w:rsidR="00F42660">
        <w:t>17 submissions)</w:t>
      </w:r>
      <w:r w:rsidR="00A83300">
        <w:t>.</w:t>
      </w:r>
    </w:p>
    <w:p w14:paraId="6F7E28DF" w14:textId="77777777" w:rsidR="00F42660" w:rsidRDefault="00F42660" w:rsidP="00F42660">
      <w:r>
        <w:t>These points are discussed in detail below.</w:t>
      </w:r>
    </w:p>
    <w:p w14:paraId="07307B7B" w14:textId="36EA6C9F" w:rsidR="00F42660" w:rsidRDefault="00F42660" w:rsidP="005C0712">
      <w:pPr>
        <w:pStyle w:val="Heading5"/>
      </w:pPr>
      <w:r>
        <w:t>Review the role of accreditation bodies</w:t>
      </w:r>
    </w:p>
    <w:p w14:paraId="2BA913E3" w14:textId="56C42080" w:rsidR="00903DB8" w:rsidRDefault="00D13641" w:rsidP="00C07ADD">
      <w:r>
        <w:t>Thirteen</w:t>
      </w:r>
      <w:r w:rsidR="00224BF6">
        <w:t xml:space="preserve"> </w:t>
      </w:r>
      <w:r w:rsidR="000B5A43">
        <w:t xml:space="preserve">submissions </w:t>
      </w:r>
      <w:r w:rsidR="00224BF6">
        <w:t>discussed the role of accreditation bodies</w:t>
      </w:r>
      <w:r w:rsidR="00D01E68">
        <w:t xml:space="preserve"> and </w:t>
      </w:r>
      <w:r w:rsidR="00ED6639">
        <w:t>eight</w:t>
      </w:r>
      <w:r w:rsidR="00D01E68">
        <w:t xml:space="preserve"> suggested a review or reform of the role of accreditation bodies. </w:t>
      </w:r>
      <w:r w:rsidR="00346DA6">
        <w:t xml:space="preserve">Submissions </w:t>
      </w:r>
      <w:r w:rsidR="00095F53">
        <w:t>claimed</w:t>
      </w:r>
      <w:r w:rsidR="00346DA6">
        <w:t xml:space="preserve"> that </w:t>
      </w:r>
      <w:r>
        <w:t>accreditation</w:t>
      </w:r>
      <w:r w:rsidR="002B57C2">
        <w:t xml:space="preserve"> bodies</w:t>
      </w:r>
      <w:r w:rsidR="00E50D03">
        <w:t xml:space="preserve"> </w:t>
      </w:r>
      <w:r>
        <w:t>are</w:t>
      </w:r>
      <w:r w:rsidR="00E50D03">
        <w:t xml:space="preserve"> inefficient, </w:t>
      </w:r>
      <w:r w:rsidR="00BA3291">
        <w:t>rigid</w:t>
      </w:r>
      <w:r w:rsidR="00C52FC8">
        <w:t xml:space="preserve"> and sometimes unregulated</w:t>
      </w:r>
      <w:r w:rsidR="00D51D27">
        <w:t xml:space="preserve">, </w:t>
      </w:r>
      <w:r w:rsidR="00B25BB0">
        <w:t>and this impacts</w:t>
      </w:r>
      <w:r w:rsidR="00D51D27">
        <w:t xml:space="preserve"> the ability of providers to meet skills needs </w:t>
      </w:r>
      <w:r w:rsidR="00AA7BE2">
        <w:t xml:space="preserve">through </w:t>
      </w:r>
      <w:r w:rsidR="0031301E">
        <w:t xml:space="preserve">curriculum changes. </w:t>
      </w:r>
      <w:r w:rsidR="00030B47">
        <w:t>Two submissions</w:t>
      </w:r>
      <w:r w:rsidR="00B97163">
        <w:t xml:space="preserve"> also noted that membership of such bodies can be skewed to industry </w:t>
      </w:r>
      <w:r w:rsidR="00CA761E">
        <w:t xml:space="preserve">providers and called for academics and educators to play a greater role in the standard setting of curricula. </w:t>
      </w:r>
      <w:r w:rsidR="004703AD">
        <w:t>Three</w:t>
      </w:r>
      <w:r w:rsidR="002D0AC6">
        <w:t xml:space="preserve"> submissions called for a national approach to accreditation</w:t>
      </w:r>
      <w:r w:rsidR="00937179">
        <w:t xml:space="preserve"> to </w:t>
      </w:r>
      <w:r w:rsidR="00EF678B">
        <w:t xml:space="preserve">increase efficiency and </w:t>
      </w:r>
      <w:r w:rsidR="00937179">
        <w:t>ensur</w:t>
      </w:r>
      <w:r w:rsidR="00B35BBE">
        <w:t>e all providers</w:t>
      </w:r>
      <w:r w:rsidR="009476E6">
        <w:t xml:space="preserve"> are held to the same standards</w:t>
      </w:r>
      <w:r w:rsidR="00EF678B">
        <w:t>.</w:t>
      </w:r>
      <w:r w:rsidR="00C50F91">
        <w:t xml:space="preserve"> Additional detail about regulation and governance is discussed in </w:t>
      </w:r>
      <w:r w:rsidR="00F07480">
        <w:t xml:space="preserve">the </w:t>
      </w:r>
      <w:r w:rsidR="00C50F91">
        <w:t xml:space="preserve">section </w:t>
      </w:r>
      <w:r w:rsidR="00C50F91" w:rsidRPr="00C50F91">
        <w:rPr>
          <w:i/>
          <w:iCs/>
          <w:u w:val="single"/>
        </w:rPr>
        <w:fldChar w:fldCharType="begin"/>
      </w:r>
      <w:r w:rsidR="00C50F91" w:rsidRPr="00C50F91">
        <w:rPr>
          <w:i/>
          <w:iCs/>
          <w:u w:val="single"/>
        </w:rPr>
        <w:instrText xml:space="preserve"> REF _Ref134716659 \h  \* MERGEFORMAT </w:instrText>
      </w:r>
      <w:r w:rsidR="00C50F91" w:rsidRPr="00C50F91">
        <w:rPr>
          <w:i/>
          <w:iCs/>
          <w:u w:val="single"/>
        </w:rPr>
      </w:r>
      <w:r w:rsidR="00C50F91" w:rsidRPr="00C50F91">
        <w:rPr>
          <w:i/>
          <w:iCs/>
          <w:u w:val="single"/>
        </w:rPr>
        <w:fldChar w:fldCharType="separate"/>
      </w:r>
      <w:r w:rsidR="009D26B2" w:rsidRPr="009D26B2">
        <w:rPr>
          <w:i/>
          <w:iCs/>
          <w:u w:val="single"/>
        </w:rPr>
        <w:t>Strong governance and accountability</w:t>
      </w:r>
      <w:r w:rsidR="00C50F91" w:rsidRPr="00C50F91">
        <w:rPr>
          <w:i/>
          <w:iCs/>
          <w:u w:val="single"/>
        </w:rPr>
        <w:fldChar w:fldCharType="end"/>
      </w:r>
      <w:r w:rsidR="00C50F91" w:rsidRPr="00C50F91">
        <w:rPr>
          <w:i/>
          <w:iCs/>
          <w:u w:val="single"/>
        </w:rPr>
        <w:t>.</w:t>
      </w:r>
    </w:p>
    <w:p w14:paraId="7A03E5ED" w14:textId="77777777" w:rsidR="00362971" w:rsidRDefault="00362971" w:rsidP="005C0712">
      <w:pPr>
        <w:pStyle w:val="Heading5"/>
      </w:pPr>
      <w:r>
        <w:lastRenderedPageBreak/>
        <w:t>Provide more placement opportunities for postgraduate students</w:t>
      </w:r>
    </w:p>
    <w:p w14:paraId="0298BAB3" w14:textId="77777777" w:rsidR="00362971" w:rsidRDefault="00362971" w:rsidP="00362971">
      <w:r>
        <w:t xml:space="preserve">Two submissions recommended providing more placement opportunities for postgraduate students, for example psychology students. One submission noted that, as postgraduate placements generally occur in the final year of study, students would be workforce-ready within a year of conducting placement. One submission suggested greater support for these placements as a potential solution to workforce shortages, as business could benefit from placements leading to employment opportunities. </w:t>
      </w:r>
    </w:p>
    <w:p w14:paraId="383F1369" w14:textId="77777777" w:rsidR="00362971" w:rsidRDefault="00362971" w:rsidP="005C0712">
      <w:pPr>
        <w:pStyle w:val="Heading5"/>
      </w:pPr>
      <w:r>
        <w:t>Improve cooperation in work-integrated learning</w:t>
      </w:r>
    </w:p>
    <w:p w14:paraId="66D86754" w14:textId="77777777" w:rsidR="00362971" w:rsidRDefault="00362971" w:rsidP="00362971">
      <w:r>
        <w:t>A third key topic of discussion for submissions concerned cooperation in work-integrated learning (WIL). Three key recommendations were identified:</w:t>
      </w:r>
    </w:p>
    <w:p w14:paraId="1700FD9A" w14:textId="77777777" w:rsidR="00362971" w:rsidRPr="00794406" w:rsidRDefault="00362971" w:rsidP="00362971">
      <w:pPr>
        <w:pStyle w:val="ListParagraph"/>
        <w:numPr>
          <w:ilvl w:val="0"/>
          <w:numId w:val="39"/>
        </w:numPr>
      </w:pPr>
      <w:r>
        <w:t xml:space="preserve">co-design WIL structure and required skills </w:t>
      </w:r>
      <w:r w:rsidRPr="00794406">
        <w:t xml:space="preserve">with industry </w:t>
      </w:r>
      <w:r>
        <w:t>(5 submissions)</w:t>
      </w:r>
    </w:p>
    <w:p w14:paraId="1C0DA8A2" w14:textId="77777777" w:rsidR="00362971" w:rsidRPr="00794406" w:rsidRDefault="00362971" w:rsidP="00362971">
      <w:pPr>
        <w:pStyle w:val="ListParagraph"/>
        <w:numPr>
          <w:ilvl w:val="0"/>
          <w:numId w:val="39"/>
        </w:numPr>
      </w:pPr>
      <w:r>
        <w:t>provide</w:t>
      </w:r>
      <w:r w:rsidRPr="00794406">
        <w:t xml:space="preserve"> greater incentives for businesses to collaborate with higher education providers</w:t>
      </w:r>
      <w:r>
        <w:t xml:space="preserve"> (8 submissions)</w:t>
      </w:r>
    </w:p>
    <w:p w14:paraId="530AFE5B" w14:textId="77777777" w:rsidR="00362971" w:rsidRDefault="00362971" w:rsidP="00362971">
      <w:pPr>
        <w:pStyle w:val="ListParagraph"/>
        <w:numPr>
          <w:ilvl w:val="0"/>
          <w:numId w:val="39"/>
        </w:numPr>
      </w:pPr>
      <w:r>
        <w:t>target non-traditional businesses to support WIL (4 submissions).</w:t>
      </w:r>
    </w:p>
    <w:p w14:paraId="67CCC90A" w14:textId="23115819" w:rsidR="00362971" w:rsidRDefault="00362971" w:rsidP="00362971">
      <w:r w:rsidRPr="00BF6ED8">
        <w:t>Five submissions</w:t>
      </w:r>
      <w:r>
        <w:t xml:space="preserve"> recommended the co-design of </w:t>
      </w:r>
      <w:r w:rsidR="00137F3A">
        <w:t xml:space="preserve">the </w:t>
      </w:r>
      <w:r>
        <w:t>WIL structure and learning outcomes with industry to ensure graduates are fit for the workforce and can be exposed to relevant skills while on placement. A co-design approach would further strengthen relations between providers and may expose students to novel employment pathways, while reducing the need for employers to upskill graduates.</w:t>
      </w:r>
    </w:p>
    <w:p w14:paraId="3649789F" w14:textId="77777777" w:rsidR="00362971" w:rsidRDefault="00362971" w:rsidP="00362971">
      <w:r>
        <w:t>Eight submissions also suggested incentives for businesses to collaborate with higher education providers to provide placements for WIL. Suggested incentives include tax incentives and direct subsidies per placement.</w:t>
      </w:r>
    </w:p>
    <w:p w14:paraId="3BA54C7F" w14:textId="77777777" w:rsidR="00362971" w:rsidRPr="0036594C" w:rsidRDefault="00362971" w:rsidP="00362971">
      <w:r>
        <w:t>Non-traditional businesses (including public and not-for-profit organisations) and small and medium enterprises were suggested as solutions to the insufficient number of placements for students in some sectors (4</w:t>
      </w:r>
      <w:r w:rsidRPr="004F3F5D">
        <w:t xml:space="preserve"> submissions</w:t>
      </w:r>
      <w:r>
        <w:t>). However, resource constraints were recognised as a limiting factor for the involvement of these businesses.</w:t>
      </w:r>
    </w:p>
    <w:p w14:paraId="61BF6E93" w14:textId="19D9D560" w:rsidR="00A0711A" w:rsidRDefault="00A0711A" w:rsidP="005C0712">
      <w:pPr>
        <w:pStyle w:val="Heading4"/>
      </w:pPr>
      <w:r>
        <w:t>Changes to placements and work</w:t>
      </w:r>
      <w:r w:rsidR="00EF507F">
        <w:t>-</w:t>
      </w:r>
      <w:r>
        <w:t xml:space="preserve">integrated learning to increase access and learning </w:t>
      </w:r>
    </w:p>
    <w:p w14:paraId="68E052F7" w14:textId="77777777" w:rsidR="00204B3B" w:rsidRDefault="00204B3B" w:rsidP="00204B3B">
      <w:r>
        <w:t>The Discussion Paper notes the benefit of work-integrated learning (WIL) for students and industry, but also acknowledges the challenges faced in expanding WIL to meet student demand.</w:t>
      </w:r>
    </w:p>
    <w:p w14:paraId="00DBC180" w14:textId="77777777" w:rsidR="00204B3B" w:rsidRDefault="00204B3B" w:rsidP="00204B3B">
      <w:pPr>
        <w:ind w:left="720"/>
        <w:rPr>
          <w:i/>
          <w:iCs/>
        </w:rPr>
      </w:pPr>
      <w:r>
        <w:rPr>
          <w:i/>
          <w:iCs/>
        </w:rPr>
        <w:t>“</w:t>
      </w:r>
      <w:r w:rsidRPr="006420E0">
        <w:rPr>
          <w:i/>
          <w:iCs/>
        </w:rPr>
        <w:t xml:space="preserve">Work-integrated learning enables students to apply knowledge they gain in the classroom to practical settings, thereby growing industry-relevant experience and giving employers access to highly skilled, career-ready graduates. </w:t>
      </w:r>
    </w:p>
    <w:p w14:paraId="099AF0F8" w14:textId="77777777" w:rsidR="00204B3B" w:rsidRPr="006420E0" w:rsidRDefault="00204B3B" w:rsidP="00204B3B">
      <w:pPr>
        <w:ind w:left="720"/>
      </w:pPr>
      <w:r w:rsidRPr="006420E0">
        <w:rPr>
          <w:i/>
          <w:iCs/>
        </w:rPr>
        <w:t>While there are opportunities to expand the current scale and form of WIL placements, engaging a wider range of employers and creating high quality experiences that provide better-aligned skills is a challenge.</w:t>
      </w:r>
      <w:r>
        <w:rPr>
          <w:i/>
          <w:iCs/>
        </w:rPr>
        <w:t xml:space="preserve">” </w:t>
      </w:r>
      <w:r w:rsidRPr="006420E0">
        <w:t>Australian Universities Accord Discussion paper, February 2023, p. 17.</w:t>
      </w:r>
    </w:p>
    <w:p w14:paraId="181B06AE" w14:textId="77777777" w:rsidR="00204B3B" w:rsidRDefault="00204B3B" w:rsidP="00204B3B">
      <w:r>
        <w:lastRenderedPageBreak/>
        <w:t xml:space="preserve">The Discussion Paper asked stakeholders how placement and WIL arrangements should change in the coming years. </w:t>
      </w:r>
    </w:p>
    <w:p w14:paraId="5FDC031C" w14:textId="77777777" w:rsidR="00204B3B" w:rsidRDefault="00204B3B" w:rsidP="00204B3B">
      <w:r>
        <w:t xml:space="preserve">72 submissions responded to this topic. Nine key recommendations were identified across three themes: </w:t>
      </w:r>
    </w:p>
    <w:p w14:paraId="16702CB8" w14:textId="14B5DB4A" w:rsidR="00204B3B" w:rsidRDefault="00A13661" w:rsidP="00204B3B">
      <w:pPr>
        <w:pStyle w:val="ListParagraph"/>
        <w:numPr>
          <w:ilvl w:val="0"/>
          <w:numId w:val="92"/>
        </w:numPr>
      </w:pPr>
      <w:r>
        <w:t>i</w:t>
      </w:r>
      <w:r w:rsidR="00204B3B">
        <w:t>ncrease financial support for students and industry (18 submissions)</w:t>
      </w:r>
    </w:p>
    <w:p w14:paraId="68703B0D" w14:textId="5C356564" w:rsidR="00204B3B" w:rsidRDefault="00A13661" w:rsidP="00204B3B">
      <w:pPr>
        <w:pStyle w:val="ListParagraph"/>
        <w:numPr>
          <w:ilvl w:val="0"/>
          <w:numId w:val="92"/>
        </w:numPr>
      </w:pPr>
      <w:r>
        <w:t>i</w:t>
      </w:r>
      <w:r w:rsidR="00204B3B" w:rsidRPr="00167009">
        <w:t xml:space="preserve">ncorporate WIL in all higher education qualifications </w:t>
      </w:r>
      <w:r w:rsidR="00204B3B">
        <w:t>(</w:t>
      </w:r>
      <w:r w:rsidR="00A46134">
        <w:t>9</w:t>
      </w:r>
      <w:r w:rsidR="00204B3B">
        <w:t xml:space="preserve"> submissions)</w:t>
      </w:r>
    </w:p>
    <w:p w14:paraId="34964202" w14:textId="07E2BC1F" w:rsidR="00204B3B" w:rsidRDefault="00A13661" w:rsidP="00204B3B">
      <w:pPr>
        <w:pStyle w:val="ListParagraph"/>
        <w:numPr>
          <w:ilvl w:val="0"/>
          <w:numId w:val="92"/>
        </w:numPr>
      </w:pPr>
      <w:r>
        <w:t>i</w:t>
      </w:r>
      <w:r w:rsidR="00204B3B" w:rsidRPr="00167009">
        <w:t>mprove accessibility of placements and WIL</w:t>
      </w:r>
      <w:r w:rsidR="00204B3B">
        <w:t xml:space="preserve"> (</w:t>
      </w:r>
      <w:r w:rsidR="00A46134">
        <w:t>8</w:t>
      </w:r>
      <w:r w:rsidR="00204B3B">
        <w:t xml:space="preserve"> submissions)</w:t>
      </w:r>
    </w:p>
    <w:p w14:paraId="789CA87C" w14:textId="67B74295" w:rsidR="00D7346C" w:rsidRDefault="00204B3B" w:rsidP="005C0712">
      <w:pPr>
        <w:pStyle w:val="Heading5"/>
      </w:pPr>
      <w:r>
        <w:t>Increase financial support for students and industry</w:t>
      </w:r>
    </w:p>
    <w:p w14:paraId="57815C37" w14:textId="717788FC" w:rsidR="005A07C9" w:rsidRDefault="00F31658" w:rsidP="00682898">
      <w:r>
        <w:t xml:space="preserve">The most common recommendation (10 submissions) called for </w:t>
      </w:r>
      <w:r w:rsidR="009C1547">
        <w:t xml:space="preserve">greater financial support for students, </w:t>
      </w:r>
      <w:r w:rsidR="004F45B0">
        <w:t xml:space="preserve">such as </w:t>
      </w:r>
      <w:r w:rsidR="009C1547" w:rsidRPr="009C1547">
        <w:t xml:space="preserve">paid placements or </w:t>
      </w:r>
      <w:r w:rsidR="00115F4D">
        <w:t xml:space="preserve">support through </w:t>
      </w:r>
      <w:r w:rsidR="009C1547" w:rsidRPr="009C1547">
        <w:t>stipends added to Youth Allowance</w:t>
      </w:r>
      <w:r w:rsidR="009C1547">
        <w:t>. The financial burden on students</w:t>
      </w:r>
      <w:r w:rsidR="00D60F0C">
        <w:t xml:space="preserve"> </w:t>
      </w:r>
      <w:r w:rsidR="009C1547">
        <w:t>undertaking placements</w:t>
      </w:r>
      <w:r w:rsidR="00D60F0C">
        <w:t>,</w:t>
      </w:r>
      <w:r w:rsidR="009C1547">
        <w:t xml:space="preserve"> </w:t>
      </w:r>
      <w:r w:rsidR="00D60F0C">
        <w:t xml:space="preserve">particularly low SES students, </w:t>
      </w:r>
      <w:r w:rsidR="005A07C9">
        <w:t xml:space="preserve">is explored here by Charles Darwin University: </w:t>
      </w:r>
    </w:p>
    <w:p w14:paraId="5B700015" w14:textId="11CF248F" w:rsidR="005A07C9" w:rsidRPr="00CE1F36" w:rsidRDefault="005A07C9" w:rsidP="005A07C9">
      <w:pPr>
        <w:ind w:left="720"/>
      </w:pPr>
      <w:r>
        <w:rPr>
          <w:i/>
          <w:iCs/>
        </w:rPr>
        <w:t>“</w:t>
      </w:r>
      <w:r w:rsidRPr="00CE1F36">
        <w:rPr>
          <w:i/>
          <w:iCs/>
        </w:rPr>
        <w:t>One of the major hurdles to student completions in critical areas such as nursing, allied health and teaching is the successful completion of student placements. Too often this represents a key attrition trigger for students, particularly low SES students, who need to pause or give up paid work and sometimes relocate in order to complete the required hours</w:t>
      </w:r>
      <w:r>
        <w:rPr>
          <w:i/>
          <w:iCs/>
        </w:rPr>
        <w:t xml:space="preserve">… </w:t>
      </w:r>
      <w:r w:rsidRPr="00CE1F36">
        <w:rPr>
          <w:i/>
          <w:iCs/>
        </w:rPr>
        <w:t>An urgent revision to the current student funding model is needed to support placement activity</w:t>
      </w:r>
      <w:r>
        <w:rPr>
          <w:i/>
          <w:iCs/>
        </w:rPr>
        <w:t xml:space="preserve">.” </w:t>
      </w:r>
      <w:r>
        <w:t>Charles Darwin University</w:t>
      </w:r>
    </w:p>
    <w:p w14:paraId="76AF3A4D" w14:textId="164E16EC" w:rsidR="00115F4D" w:rsidRDefault="00115F4D" w:rsidP="00682898">
      <w:r>
        <w:t xml:space="preserve">In </w:t>
      </w:r>
      <w:r w:rsidR="00AB469A">
        <w:t xml:space="preserve">addition to </w:t>
      </w:r>
      <w:r w:rsidR="009B4AF5">
        <w:t xml:space="preserve">more </w:t>
      </w:r>
      <w:r w:rsidR="00AB469A">
        <w:t xml:space="preserve">student funding, </w:t>
      </w:r>
      <w:r w:rsidR="009B4AF5">
        <w:t xml:space="preserve">five </w:t>
      </w:r>
      <w:r>
        <w:t xml:space="preserve">submissions called for </w:t>
      </w:r>
      <w:r w:rsidR="009B4AF5">
        <w:t xml:space="preserve">more </w:t>
      </w:r>
      <w:r>
        <w:t>financial support for businesses to accommodate placements</w:t>
      </w:r>
      <w:r w:rsidR="00802A50">
        <w:t>. Placements cost business in terms of resources</w:t>
      </w:r>
      <w:r w:rsidR="00F274D8">
        <w:t xml:space="preserve"> and </w:t>
      </w:r>
      <w:r w:rsidR="00840784">
        <w:t xml:space="preserve">time spent on </w:t>
      </w:r>
      <w:r w:rsidR="00F274D8">
        <w:t>supervision</w:t>
      </w:r>
      <w:r w:rsidR="004F45B0">
        <w:t>. One</w:t>
      </w:r>
      <w:r w:rsidR="008C6384">
        <w:t xml:space="preserve"> submission cit</w:t>
      </w:r>
      <w:r w:rsidR="004F45B0">
        <w:t>ed</w:t>
      </w:r>
      <w:r w:rsidR="008C6384">
        <w:t xml:space="preserve"> </w:t>
      </w:r>
      <w:r w:rsidR="00DF3DD0">
        <w:t>strict</w:t>
      </w:r>
      <w:r w:rsidR="00BE1FC4">
        <w:t xml:space="preserve"> supervision requirements </w:t>
      </w:r>
      <w:r w:rsidR="00B358ED">
        <w:t>in</w:t>
      </w:r>
      <w:r w:rsidR="00BE1FC4">
        <w:t xml:space="preserve"> the veterinary profession </w:t>
      </w:r>
      <w:r w:rsidR="00DF3DD0">
        <w:t>(</w:t>
      </w:r>
      <w:r w:rsidR="005A6E3F">
        <w:t>in place to</w:t>
      </w:r>
      <w:r w:rsidR="00BE1FC4">
        <w:t xml:space="preserve"> ensure professional integrity</w:t>
      </w:r>
      <w:r w:rsidR="00DF3DD0">
        <w:t xml:space="preserve">) as a </w:t>
      </w:r>
      <w:r w:rsidR="008D5312">
        <w:t>barrier</w:t>
      </w:r>
      <w:r w:rsidR="00DF3DD0">
        <w:t xml:space="preserve"> </w:t>
      </w:r>
      <w:r w:rsidR="003D571C">
        <w:t>to</w:t>
      </w:r>
      <w:r w:rsidR="00E537C4">
        <w:t xml:space="preserve"> supporting more </w:t>
      </w:r>
      <w:r w:rsidR="00DF3DD0">
        <w:t>placemen</w:t>
      </w:r>
      <w:r w:rsidR="003D571C">
        <w:t>ts</w:t>
      </w:r>
      <w:r w:rsidR="00DF3DD0">
        <w:t>.</w:t>
      </w:r>
      <w:r w:rsidR="008C6384">
        <w:t xml:space="preserve"> </w:t>
      </w:r>
      <w:r w:rsidR="00EC58CE">
        <w:t>These s</w:t>
      </w:r>
      <w:r w:rsidR="00F274D8">
        <w:t>ubmissions suggested that incentives</w:t>
      </w:r>
      <w:r w:rsidR="005E0E4E">
        <w:t xml:space="preserve"> such as tax incentives or direct subsidies </w:t>
      </w:r>
      <w:r w:rsidR="00F274D8">
        <w:t xml:space="preserve">would </w:t>
      </w:r>
      <w:r w:rsidR="00C85E42">
        <w:t xml:space="preserve">facilitate </w:t>
      </w:r>
      <w:r w:rsidR="00F274D8">
        <w:t>student placements</w:t>
      </w:r>
      <w:r w:rsidR="00C85E42">
        <w:t xml:space="preserve"> </w:t>
      </w:r>
      <w:r w:rsidR="00F274D8">
        <w:t>in busine</w:t>
      </w:r>
      <w:r w:rsidR="00617E05">
        <w:t>ss</w:t>
      </w:r>
      <w:r w:rsidR="00035978">
        <w:t>es</w:t>
      </w:r>
      <w:r w:rsidR="00617E05">
        <w:t xml:space="preserve">. </w:t>
      </w:r>
    </w:p>
    <w:p w14:paraId="29B57670" w14:textId="28026300" w:rsidR="00E82029" w:rsidRDefault="00E82029" w:rsidP="00E82029">
      <w:r>
        <w:t xml:space="preserve">To provide an example of funding models, the University of New South Wales and the Australian Council of Engineering Deans referred to the Canadian WIL system. WIL is funded by the Canadian Government, and organisations such as Co-operative Education and Work-Integrated Learning Canada facilitate opportunities between industry and universities through government assistance. Both submissions noted the potential of this system to support Australian WIL initiatives. </w:t>
      </w:r>
    </w:p>
    <w:p w14:paraId="32FEC85F" w14:textId="77777777" w:rsidR="00864159" w:rsidRDefault="00864159" w:rsidP="00864159">
      <w:r>
        <w:t xml:space="preserve">Finally, three submissions suggested a review of the National Priorities and Industry Linkage Fund (NPILF), </w:t>
      </w:r>
      <w:r w:rsidRPr="001B173D">
        <w:t xml:space="preserve">focussing on </w:t>
      </w:r>
      <w:r>
        <w:t>what</w:t>
      </w:r>
      <w:r w:rsidRPr="001B173D">
        <w:t xml:space="preserve"> impact the fund has had on the quality and volume of placements and the support available to facilitate new placemen</w:t>
      </w:r>
      <w:r>
        <w:t xml:space="preserve">ts. A fourth submission recognised the importance of the NPILF in providing WIL funding in addition to base funding. </w:t>
      </w:r>
    </w:p>
    <w:p w14:paraId="40888CBC" w14:textId="239B7EA0" w:rsidR="00D7346C" w:rsidRDefault="00204B3B" w:rsidP="005C0712">
      <w:pPr>
        <w:pStyle w:val="Heading5"/>
      </w:pPr>
      <w:r>
        <w:t>Incorporate WIL in all higher education qualifications</w:t>
      </w:r>
    </w:p>
    <w:p w14:paraId="232E88A4" w14:textId="77777777" w:rsidR="00A06266" w:rsidRDefault="00A06266" w:rsidP="00A06266">
      <w:r>
        <w:t xml:space="preserve">Seven submissions recommended including WIL in all higher education degrees, to allow students to gain industry experience and develop skills to make them workforce ready. This recommendation was consistent across disciplines and universities. Two examples were noted as successful models for </w:t>
      </w:r>
      <w:r>
        <w:lastRenderedPageBreak/>
        <w:t>consideration: the University of Canberra’s ‘Professional Practice Core’ and Curtin University’s ‘Bring Your Own Internship’.</w:t>
      </w:r>
    </w:p>
    <w:p w14:paraId="5D346035" w14:textId="55E13F4C" w:rsidR="00576785" w:rsidRDefault="005864BC" w:rsidP="005864BC">
      <w:pPr>
        <w:ind w:left="360"/>
      </w:pPr>
      <w:r>
        <w:rPr>
          <w:i/>
          <w:iCs/>
        </w:rPr>
        <w:t>“</w:t>
      </w:r>
      <w:r w:rsidRPr="005864BC">
        <w:rPr>
          <w:i/>
          <w:iCs/>
        </w:rPr>
        <w:t>As our experience shows, there is opportunity for WIL to be a core element of any degree, so long as there is industry engagement, strong mentoring support for students, and a clearly and simply articulated mechanism to make it happen. Curtin University’s ‘Bring Your Own Internship’ program is one such example.</w:t>
      </w:r>
      <w:r>
        <w:rPr>
          <w:i/>
          <w:iCs/>
        </w:rPr>
        <w:t xml:space="preserve">” </w:t>
      </w:r>
      <w:proofErr w:type="spellStart"/>
      <w:r>
        <w:t>CareerTrackers</w:t>
      </w:r>
      <w:proofErr w:type="spellEnd"/>
    </w:p>
    <w:p w14:paraId="7BE094DC" w14:textId="77777777" w:rsidR="008E59B7" w:rsidRDefault="008E59B7" w:rsidP="008E59B7">
      <w:r>
        <w:t>Degree apprenticeships were also suggested as a mechanism to increase practical learning for students (2 submissions). This would combine the theoretical and analytical knowledge of a university degree with the practical skills taught in VET. It would open opportunities for career mobility, lifelong learning and industry engagement, while reducing the financial burden on students as they undertake paid work in the program.</w:t>
      </w:r>
    </w:p>
    <w:p w14:paraId="1871DD84" w14:textId="40F91636" w:rsidR="00D7346C" w:rsidRDefault="00204B3B" w:rsidP="005C0712">
      <w:pPr>
        <w:pStyle w:val="Heading5"/>
      </w:pPr>
      <w:r>
        <w:t xml:space="preserve">Improve accessibility of placements and </w:t>
      </w:r>
      <w:r w:rsidR="00A745BF">
        <w:t>WIL</w:t>
      </w:r>
    </w:p>
    <w:p w14:paraId="2DF44737" w14:textId="77777777" w:rsidR="00DF18A7" w:rsidRDefault="00DF18A7" w:rsidP="00DF18A7">
      <w:r>
        <w:t>Increased flexibility of placements and WIL was raised as a way of reducing barriers for students (4 submissions). Suggestions included:</w:t>
      </w:r>
    </w:p>
    <w:p w14:paraId="0F5CE73E" w14:textId="77777777" w:rsidR="00DF18A7" w:rsidRDefault="00DF18A7" w:rsidP="00DF18A7">
      <w:pPr>
        <w:pStyle w:val="ListParagraph"/>
        <w:numPr>
          <w:ilvl w:val="0"/>
          <w:numId w:val="40"/>
        </w:numPr>
      </w:pPr>
      <w:r>
        <w:t>reduced placement hours</w:t>
      </w:r>
    </w:p>
    <w:p w14:paraId="7A1FFC54" w14:textId="77777777" w:rsidR="00DF18A7" w:rsidRDefault="00DF18A7" w:rsidP="00DF18A7">
      <w:pPr>
        <w:pStyle w:val="ListParagraph"/>
        <w:numPr>
          <w:ilvl w:val="0"/>
          <w:numId w:val="40"/>
        </w:numPr>
      </w:pPr>
      <w:r>
        <w:t>outcomes-based placement models, as opposed to models based on inputs such as number of hours</w:t>
      </w:r>
    </w:p>
    <w:p w14:paraId="3820154E" w14:textId="77777777" w:rsidR="00DF18A7" w:rsidRDefault="00DF18A7" w:rsidP="00DF18A7">
      <w:pPr>
        <w:pStyle w:val="ListParagraph"/>
        <w:numPr>
          <w:ilvl w:val="0"/>
          <w:numId w:val="40"/>
        </w:numPr>
      </w:pPr>
      <w:r>
        <w:t>flexible working arrangements (for example remote work, part-time arrangements, WIL outside of traditional semester cycles)</w:t>
      </w:r>
    </w:p>
    <w:p w14:paraId="41DE35AA" w14:textId="77777777" w:rsidR="00DF18A7" w:rsidRDefault="00DF18A7" w:rsidP="00DF18A7">
      <w:pPr>
        <w:pStyle w:val="ListParagraph"/>
        <w:numPr>
          <w:ilvl w:val="0"/>
          <w:numId w:val="40"/>
        </w:numPr>
      </w:pPr>
      <w:r>
        <w:t>self-paced, modular design</w:t>
      </w:r>
    </w:p>
    <w:p w14:paraId="04BD9CEB" w14:textId="77777777" w:rsidR="00DF18A7" w:rsidRDefault="00DF18A7" w:rsidP="00DF18A7">
      <w:pPr>
        <w:pStyle w:val="ListParagraph"/>
        <w:numPr>
          <w:ilvl w:val="0"/>
          <w:numId w:val="40"/>
        </w:numPr>
      </w:pPr>
      <w:r>
        <w:t>completing skills-based WIL in non-traditional occupations, recognising the transferrable nature of skills.</w:t>
      </w:r>
    </w:p>
    <w:p w14:paraId="5A70B26B" w14:textId="51222C32" w:rsidR="002C487A" w:rsidRDefault="00F311EA" w:rsidP="002C487A">
      <w:r>
        <w:t xml:space="preserve">The importance of providing accessible WIL opportunities for students with disability was raised by </w:t>
      </w:r>
      <w:r w:rsidR="009C70ED">
        <w:t xml:space="preserve">two </w:t>
      </w:r>
      <w:r>
        <w:t>submissions</w:t>
      </w:r>
      <w:r w:rsidR="00BA254C">
        <w:t>:</w:t>
      </w:r>
    </w:p>
    <w:p w14:paraId="496B76B5" w14:textId="0EF1656C" w:rsidR="00253F3F" w:rsidRDefault="00BA254C" w:rsidP="00BA254C">
      <w:pPr>
        <w:ind w:left="360"/>
      </w:pPr>
      <w:r>
        <w:rPr>
          <w:i/>
          <w:iCs/>
        </w:rPr>
        <w:t>“</w:t>
      </w:r>
      <w:r w:rsidR="00253F3F" w:rsidRPr="00BA254C">
        <w:rPr>
          <w:i/>
          <w:iCs/>
        </w:rPr>
        <w:t>In the same way that specific supports are funded to assist people with disability gain employment, Work Integrated Learning (WIL) for students also requires consideration.</w:t>
      </w:r>
      <w:r>
        <w:rPr>
          <w:i/>
          <w:iCs/>
        </w:rPr>
        <w:t xml:space="preserve">” </w:t>
      </w:r>
      <w:r>
        <w:t>A group of National Disability Coordination Officers.</w:t>
      </w:r>
    </w:p>
    <w:p w14:paraId="21B86AA5" w14:textId="189B5C75" w:rsidR="00BA254C" w:rsidRDefault="008A14CC" w:rsidP="00BA254C">
      <w:r>
        <w:t xml:space="preserve">The submissions </w:t>
      </w:r>
      <w:r w:rsidR="00B63AB1">
        <w:t>suggest</w:t>
      </w:r>
      <w:r>
        <w:t xml:space="preserve"> </w:t>
      </w:r>
      <w:r w:rsidR="00B63AB1">
        <w:t xml:space="preserve">that higher education </w:t>
      </w:r>
      <w:r>
        <w:t>provider</w:t>
      </w:r>
      <w:r w:rsidR="00B63AB1">
        <w:t>s</w:t>
      </w:r>
      <w:r>
        <w:t xml:space="preserve"> and industry </w:t>
      </w:r>
      <w:r w:rsidR="00DB33D0">
        <w:t>partner with relevant organisations such as</w:t>
      </w:r>
      <w:r>
        <w:t xml:space="preserve"> Disability Employment Services</w:t>
      </w:r>
      <w:r w:rsidR="00DB33D0">
        <w:t xml:space="preserve"> and the National Disability Coordination Office to </w:t>
      </w:r>
      <w:r w:rsidR="00B63AB1">
        <w:t>ensure</w:t>
      </w:r>
      <w:r w:rsidR="0025762D">
        <w:t xml:space="preserve"> positive outcomes for students with disability, as well as building capacity within the higher education sector</w:t>
      </w:r>
      <w:r w:rsidR="00C8446C">
        <w:t xml:space="preserve"> to improve graduate outcomes for students with disability.</w:t>
      </w:r>
    </w:p>
    <w:p w14:paraId="379CB2B5" w14:textId="27D0698F" w:rsidR="009F6BB7" w:rsidRDefault="00C8446C" w:rsidP="001B27DF">
      <w:r>
        <w:t>Fin</w:t>
      </w:r>
      <w:r w:rsidR="009F14DD">
        <w:t xml:space="preserve">ally, </w:t>
      </w:r>
      <w:r w:rsidR="00E90E90">
        <w:t xml:space="preserve">two </w:t>
      </w:r>
      <w:r w:rsidR="009F14DD">
        <w:t>submissions suggest</w:t>
      </w:r>
      <w:r w:rsidR="005B3EED">
        <w:t>ed</w:t>
      </w:r>
      <w:r w:rsidR="009F14DD">
        <w:t xml:space="preserve"> </w:t>
      </w:r>
      <w:r w:rsidR="00253FD2">
        <w:t>greater</w:t>
      </w:r>
      <w:r w:rsidR="00D47642">
        <w:t xml:space="preserve"> working </w:t>
      </w:r>
      <w:r w:rsidR="00253FD2">
        <w:t>rights for students undertaking WIL and placements</w:t>
      </w:r>
      <w:r w:rsidR="00DF071C">
        <w:t xml:space="preserve"> to provide clear and accountable support to students.</w:t>
      </w:r>
    </w:p>
    <w:p w14:paraId="23F896EE" w14:textId="77777777" w:rsidR="003E0A9D" w:rsidRPr="00603521" w:rsidRDefault="003E0A9D" w:rsidP="003E0A9D">
      <w:pPr>
        <w:pStyle w:val="Heading3"/>
        <w:ind w:left="720" w:hanging="720"/>
        <w:rPr>
          <w:rFonts w:cs="Calibri"/>
        </w:rPr>
      </w:pPr>
      <w:bookmarkStart w:id="35" w:name="_Toc134617292"/>
      <w:bookmarkStart w:id="36" w:name="_Ref134731826"/>
      <w:bookmarkStart w:id="37" w:name="_Ref134773203"/>
      <w:bookmarkStart w:id="38" w:name="_Ref134794675"/>
      <w:bookmarkStart w:id="39" w:name="_Ref134794703"/>
      <w:bookmarkStart w:id="40" w:name="_Ref134794899"/>
      <w:bookmarkStart w:id="41" w:name="_Toc134807417"/>
      <w:bookmarkStart w:id="42" w:name="_Ref135208258"/>
      <w:r w:rsidRPr="00603521">
        <w:rPr>
          <w:rFonts w:cs="Calibri"/>
        </w:rPr>
        <w:t>Equitable access and a quality experience for all students</w:t>
      </w:r>
      <w:bookmarkEnd w:id="35"/>
      <w:bookmarkEnd w:id="36"/>
      <w:bookmarkEnd w:id="37"/>
      <w:bookmarkEnd w:id="38"/>
      <w:bookmarkEnd w:id="39"/>
      <w:bookmarkEnd w:id="40"/>
      <w:bookmarkEnd w:id="41"/>
      <w:bookmarkEnd w:id="42"/>
    </w:p>
    <w:p w14:paraId="12C2E66E" w14:textId="77777777" w:rsidR="003E0A9D" w:rsidRPr="00EC3552" w:rsidRDefault="003E0A9D" w:rsidP="003E0A9D">
      <w:pPr>
        <w:rPr>
          <w:rFonts w:ascii="Calibri" w:eastAsia="Calibri" w:hAnsi="Calibri" w:cs="Calibri"/>
        </w:rPr>
      </w:pPr>
      <w:r w:rsidRPr="00EC3552">
        <w:rPr>
          <w:rFonts w:ascii="Calibri" w:eastAsia="Calibri" w:hAnsi="Calibri" w:cs="Calibri"/>
        </w:rPr>
        <w:t>The Discussion Paper emphasised the importance of creating opportunities for all Australians.</w:t>
      </w:r>
    </w:p>
    <w:p w14:paraId="5A0EC5C1" w14:textId="77777777" w:rsidR="003E0A9D" w:rsidRPr="00EC3552" w:rsidRDefault="003E0A9D" w:rsidP="003E0A9D">
      <w:pPr>
        <w:ind w:left="720"/>
        <w:rPr>
          <w:rFonts w:ascii="Calibri" w:eastAsia="Calibri" w:hAnsi="Calibri" w:cs="Calibri"/>
          <w:i/>
          <w:iCs/>
        </w:rPr>
      </w:pPr>
      <w:r w:rsidRPr="00EC3552">
        <w:rPr>
          <w:rFonts w:ascii="Calibri" w:eastAsia="Calibri" w:hAnsi="Calibri" w:cs="Calibri"/>
          <w:i/>
          <w:iCs/>
        </w:rPr>
        <w:lastRenderedPageBreak/>
        <w:t xml:space="preserve">“Australia needs a system that delivers equal access to higher education for all, irrespective of location, financial circumstance, cultural background, gender or other factors, if it is to meet future skills </w:t>
      </w:r>
      <w:proofErr w:type="gramStart"/>
      <w:r w:rsidRPr="00EC3552">
        <w:rPr>
          <w:rFonts w:ascii="Calibri" w:eastAsia="Calibri" w:hAnsi="Calibri" w:cs="Calibri"/>
          <w:i/>
          <w:iCs/>
        </w:rPr>
        <w:t>needs</w:t>
      </w:r>
      <w:proofErr w:type="gramEnd"/>
      <w:r w:rsidRPr="00EC3552">
        <w:rPr>
          <w:rFonts w:ascii="Calibri" w:eastAsia="Calibri" w:hAnsi="Calibri" w:cs="Calibri"/>
          <w:i/>
          <w:iCs/>
        </w:rPr>
        <w:t xml:space="preserve"> and ensure prosperity is equally shared among all members of society.</w:t>
      </w:r>
    </w:p>
    <w:p w14:paraId="03C55502" w14:textId="77777777" w:rsidR="003E0A9D" w:rsidRPr="00EC3552" w:rsidRDefault="003E0A9D" w:rsidP="003E0A9D">
      <w:pPr>
        <w:ind w:left="720"/>
        <w:rPr>
          <w:rFonts w:ascii="Calibri" w:eastAsia="Calibri" w:hAnsi="Calibri" w:cs="Calibri"/>
        </w:rPr>
      </w:pPr>
      <w:r w:rsidRPr="00EC3552">
        <w:rPr>
          <w:rFonts w:ascii="Calibri" w:eastAsia="Calibri" w:hAnsi="Calibri" w:cs="Calibri"/>
          <w:i/>
          <w:iCs/>
        </w:rPr>
        <w:t xml:space="preserve">Participation in learning and research by people from every facet of Australia’s diverse population enriches the outcomes of higher education and the life of its institutions. Making sure the opportunities and benefits of higher education are open to everyone is a priority for reform.” </w:t>
      </w:r>
      <w:r w:rsidRPr="00EC3552">
        <w:rPr>
          <w:rFonts w:ascii="Calibri" w:eastAsia="Calibri" w:hAnsi="Calibri" w:cs="Calibri"/>
        </w:rPr>
        <w:t>Australian Universities Accord Discussion paper, February 2023, p. 24.</w:t>
      </w:r>
    </w:p>
    <w:p w14:paraId="445AE3AD" w14:textId="5F8D533E" w:rsidR="003E0A9D" w:rsidRDefault="00A46134" w:rsidP="003E0A9D">
      <w:pPr>
        <w:rPr>
          <w:rFonts w:ascii="Calibri" w:eastAsia="Calibri" w:hAnsi="Calibri" w:cs="Calibri"/>
        </w:rPr>
      </w:pPr>
      <w:r w:rsidRPr="00A46134">
        <w:rPr>
          <w:rFonts w:ascii="Calibri" w:eastAsia="Calibri" w:hAnsi="Calibri" w:cs="Calibri"/>
        </w:rPr>
        <w:t>Equitable access and a quality experience for all students</w:t>
      </w:r>
      <w:r>
        <w:rPr>
          <w:rFonts w:ascii="Calibri" w:eastAsia="Calibri" w:hAnsi="Calibri" w:cs="Calibri"/>
        </w:rPr>
        <w:t xml:space="preserve"> </w:t>
      </w:r>
      <w:r w:rsidR="003E0A9D" w:rsidRPr="00EC3552">
        <w:rPr>
          <w:rFonts w:ascii="Calibri" w:eastAsia="Calibri" w:hAnsi="Calibri" w:cs="Calibri"/>
        </w:rPr>
        <w:t>was a common topic, discussed in 47% of submissions (</w:t>
      </w:r>
      <w:r w:rsidR="002B7120" w:rsidRPr="00233A3A">
        <w:rPr>
          <w:rFonts w:ascii="Calibri" w:eastAsia="Calibri" w:hAnsi="Calibri" w:cs="Calibri"/>
        </w:rPr>
        <w:t>14</w:t>
      </w:r>
      <w:r w:rsidR="00CD61E1">
        <w:rPr>
          <w:rFonts w:ascii="Calibri" w:eastAsia="Calibri" w:hAnsi="Calibri" w:cs="Calibri"/>
        </w:rPr>
        <w:t>0</w:t>
      </w:r>
      <w:r w:rsidR="003E0A9D" w:rsidRPr="00233A3A">
        <w:rPr>
          <w:rFonts w:ascii="Calibri" w:eastAsia="Calibri" w:hAnsi="Calibri" w:cs="Calibri"/>
        </w:rPr>
        <w:t xml:space="preserve"> submissions</w:t>
      </w:r>
      <w:r w:rsidR="003E0A9D" w:rsidRPr="00EC3552">
        <w:rPr>
          <w:rFonts w:ascii="Calibri" w:eastAsia="Calibri" w:hAnsi="Calibri" w:cs="Calibri"/>
        </w:rPr>
        <w:t>). This section of the report includes recommendations for improving student experience and the opportunities to improve access and opportunity, including for underrepresented cohorts in higher education. The submissions identified that underrepresented cohorts were more likely to be impacted by the common student experience and wellbeing challenges.</w:t>
      </w:r>
    </w:p>
    <w:p w14:paraId="002CCD36" w14:textId="21BBBB99" w:rsidR="00FD07CB" w:rsidRPr="00EC3552" w:rsidRDefault="00C105FA" w:rsidP="00CF179A">
      <w:pPr>
        <w:pStyle w:val="Caption"/>
        <w:rPr>
          <w:rFonts w:ascii="Calibri" w:eastAsia="Calibri" w:hAnsi="Calibri" w:cs="Calibri"/>
        </w:rPr>
      </w:pPr>
      <w:r>
        <w:t xml:space="preserve">Figure </w:t>
      </w:r>
      <w:r w:rsidR="008444D3">
        <w:fldChar w:fldCharType="begin"/>
      </w:r>
      <w:r w:rsidR="008444D3">
        <w:instrText xml:space="preserve"> SEQ Figure \* ARABIC </w:instrText>
      </w:r>
      <w:r w:rsidR="008444D3">
        <w:fldChar w:fldCharType="separate"/>
      </w:r>
      <w:r w:rsidR="009D26B2">
        <w:rPr>
          <w:noProof/>
        </w:rPr>
        <w:t>6</w:t>
      </w:r>
      <w:r w:rsidR="008444D3">
        <w:rPr>
          <w:noProof/>
        </w:rPr>
        <w:fldChar w:fldCharType="end"/>
      </w:r>
      <w:r>
        <w:t xml:space="preserve"> | </w:t>
      </w:r>
      <w:r w:rsidR="009C30F0" w:rsidRPr="009C30F0">
        <w:t>Distribution of submissions – Equitable access and a quality experience for all students (N=140)</w:t>
      </w:r>
      <w:r w:rsidR="00CF179A" w:rsidRPr="00CF179A">
        <w:rPr>
          <w:rFonts w:ascii="Calibri" w:eastAsia="Calibri" w:hAnsi="Calibri" w:cs="Calibri"/>
        </w:rPr>
        <w:t xml:space="preserve"> </w:t>
      </w:r>
      <w:r w:rsidR="00CF179A" w:rsidRPr="00CF179A">
        <w:rPr>
          <w:noProof/>
        </w:rPr>
        <w:drawing>
          <wp:inline distT="0" distB="0" distL="0" distR="0" wp14:anchorId="57C7F379" wp14:editId="703F1E3F">
            <wp:extent cx="5835650" cy="3608070"/>
            <wp:effectExtent l="0" t="0" r="0" b="0"/>
            <wp:docPr id="54" name="Picture 54" descr="Bar graph. &#10;The topic ‘Equitable access and a quality experience for all students’ received the most responses, with almost half (46%) of submissions addressing the topic.&#10;Graph data:&#10;Individual - 29&#10;University - 24&#10;Other advocacy - 19&#10;University staff - 11&#10;Professional association - 8&#10;Other higher education - 8&#10;Student representatives - 7&#10;Higher education peak body - 6&#10;Regional networks and support services - 5&#10;Discipline group - 4&#10;Business - 4&#10;Local government body - 4&#10;University school, centre, faculty, or college - 3&#10;First Nations organisation - 3&#10;State or Commonwealth government body - 2&#10;Other peak body - 1&#10;Union - 1&#10;Other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Bar graph. &#10;The topic ‘Equitable access and a quality experience for all students’ received the most responses, with almost half (46%) of submissions addressing the topic.&#10;Graph data:&#10;Individual - 29&#10;University - 24&#10;Other advocacy - 19&#10;University staff - 11&#10;Professional association - 8&#10;Other higher education - 8&#10;Student representatives - 7&#10;Higher education peak body - 6&#10;Regional networks and support services - 5&#10;Discipline group - 4&#10;Business - 4&#10;Local government body - 4&#10;University school, centre, faculty, or college - 3&#10;First Nations organisation - 3&#10;State or Commonwealth government body - 2&#10;Other peak body - 1&#10;Union - 1&#10;Other -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5650" cy="3608070"/>
                    </a:xfrm>
                    <a:prstGeom prst="rect">
                      <a:avLst/>
                    </a:prstGeom>
                    <a:noFill/>
                    <a:ln>
                      <a:noFill/>
                    </a:ln>
                  </pic:spPr>
                </pic:pic>
              </a:graphicData>
            </a:graphic>
          </wp:inline>
        </w:drawing>
      </w:r>
    </w:p>
    <w:p w14:paraId="6DDD354B" w14:textId="77777777" w:rsidR="003E0A9D" w:rsidRPr="00603521" w:rsidRDefault="003E0A9D" w:rsidP="003E0A9D">
      <w:pPr>
        <w:rPr>
          <w:rFonts w:ascii="Calibri" w:eastAsia="Calibri" w:hAnsi="Calibri" w:cs="Calibri"/>
        </w:rPr>
      </w:pPr>
      <w:r w:rsidRPr="00603521">
        <w:rPr>
          <w:rFonts w:ascii="Calibri" w:eastAsia="Calibri" w:hAnsi="Calibri" w:cs="Calibri"/>
        </w:rPr>
        <w:t>The key underrepresented groups identified by submissions include:</w:t>
      </w:r>
    </w:p>
    <w:p w14:paraId="5A526918" w14:textId="4799EB46" w:rsidR="003E0A9D" w:rsidRPr="00603521" w:rsidRDefault="007A44F7" w:rsidP="003E0A9D">
      <w:pPr>
        <w:numPr>
          <w:ilvl w:val="0"/>
          <w:numId w:val="74"/>
        </w:numPr>
        <w:spacing w:line="360" w:lineRule="auto"/>
        <w:contextualSpacing/>
        <w:rPr>
          <w:rFonts w:ascii="Calibri" w:eastAsia="Calibri" w:hAnsi="Calibri" w:cs="Calibri"/>
        </w:rPr>
      </w:pPr>
      <w:r>
        <w:rPr>
          <w:rFonts w:ascii="Calibri" w:eastAsia="Calibri" w:hAnsi="Calibri" w:cs="Calibri"/>
        </w:rPr>
        <w:t>r</w:t>
      </w:r>
      <w:r w:rsidR="003E0A9D" w:rsidRPr="00603521">
        <w:rPr>
          <w:rFonts w:ascii="Calibri" w:eastAsia="Calibri" w:hAnsi="Calibri" w:cs="Calibri"/>
        </w:rPr>
        <w:t>egional students</w:t>
      </w:r>
    </w:p>
    <w:p w14:paraId="26969875" w14:textId="717D79B1" w:rsidR="003E0A9D" w:rsidRPr="00603521" w:rsidRDefault="007A44F7" w:rsidP="003E0A9D">
      <w:pPr>
        <w:numPr>
          <w:ilvl w:val="0"/>
          <w:numId w:val="74"/>
        </w:numPr>
        <w:spacing w:line="360" w:lineRule="auto"/>
        <w:contextualSpacing/>
        <w:rPr>
          <w:rFonts w:ascii="Calibri" w:eastAsia="Calibri" w:hAnsi="Calibri" w:cs="Calibri"/>
        </w:rPr>
      </w:pPr>
      <w:r>
        <w:rPr>
          <w:rFonts w:ascii="Calibri" w:eastAsia="Calibri" w:hAnsi="Calibri" w:cs="Calibri"/>
        </w:rPr>
        <w:t>f</w:t>
      </w:r>
      <w:r w:rsidR="003E0A9D" w:rsidRPr="00603521">
        <w:rPr>
          <w:rFonts w:ascii="Calibri" w:eastAsia="Calibri" w:hAnsi="Calibri" w:cs="Calibri"/>
        </w:rPr>
        <w:t>irst Nations students</w:t>
      </w:r>
    </w:p>
    <w:p w14:paraId="7A639911" w14:textId="593EEC5F" w:rsidR="003E0A9D" w:rsidRPr="00603521" w:rsidRDefault="007A44F7" w:rsidP="003E0A9D">
      <w:pPr>
        <w:numPr>
          <w:ilvl w:val="0"/>
          <w:numId w:val="74"/>
        </w:numPr>
        <w:spacing w:line="360" w:lineRule="auto"/>
        <w:contextualSpacing/>
        <w:rPr>
          <w:rFonts w:ascii="Calibri" w:eastAsia="Calibri" w:hAnsi="Calibri" w:cs="Calibri"/>
        </w:rPr>
      </w:pPr>
      <w:r>
        <w:rPr>
          <w:rFonts w:ascii="Calibri" w:eastAsia="Calibri" w:hAnsi="Calibri" w:cs="Calibri"/>
        </w:rPr>
        <w:t>s</w:t>
      </w:r>
      <w:r w:rsidR="003E0A9D" w:rsidRPr="00603521">
        <w:rPr>
          <w:rFonts w:ascii="Calibri" w:eastAsia="Calibri" w:hAnsi="Calibri" w:cs="Calibri"/>
        </w:rPr>
        <w:t>tudents with disability</w:t>
      </w:r>
    </w:p>
    <w:p w14:paraId="59F415D6" w14:textId="63CF0872" w:rsidR="003E0A9D" w:rsidRPr="00603521" w:rsidRDefault="00A46134" w:rsidP="003E0A9D">
      <w:pPr>
        <w:rPr>
          <w:rFonts w:ascii="Calibri" w:eastAsia="Calibri" w:hAnsi="Calibri" w:cs="Calibri"/>
        </w:rPr>
      </w:pPr>
      <w:r>
        <w:rPr>
          <w:rFonts w:ascii="Calibri" w:eastAsia="Calibri" w:hAnsi="Calibri" w:cs="Calibri"/>
        </w:rPr>
        <w:t>Thirty s</w:t>
      </w:r>
      <w:r w:rsidR="003E0A9D" w:rsidRPr="0086272A">
        <w:rPr>
          <w:rFonts w:ascii="Calibri" w:eastAsia="Calibri" w:hAnsi="Calibri" w:cs="Calibri"/>
        </w:rPr>
        <w:t>ubmissions</w:t>
      </w:r>
      <w:r w:rsidR="003E0A9D" w:rsidRPr="00603521">
        <w:rPr>
          <w:rFonts w:ascii="Calibri" w:eastAsia="Calibri" w:hAnsi="Calibri" w:cs="Calibri"/>
        </w:rPr>
        <w:t xml:space="preserve"> also noted that there should be greater recognition of other underrepresented groups, including:</w:t>
      </w:r>
    </w:p>
    <w:p w14:paraId="03F6ABE8" w14:textId="144B9332"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s</w:t>
      </w:r>
      <w:r w:rsidR="003E0A9D" w:rsidRPr="00603521">
        <w:rPr>
          <w:rFonts w:ascii="Calibri" w:eastAsia="Calibri" w:hAnsi="Calibri" w:cs="Calibri"/>
        </w:rPr>
        <w:t>tudents with carer responsibilities</w:t>
      </w:r>
    </w:p>
    <w:p w14:paraId="292D8BBF" w14:textId="043439B7"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lastRenderedPageBreak/>
        <w:t>s</w:t>
      </w:r>
      <w:r w:rsidR="003E0A9D" w:rsidRPr="00603521">
        <w:rPr>
          <w:rFonts w:ascii="Calibri" w:eastAsia="Calibri" w:hAnsi="Calibri" w:cs="Calibri"/>
        </w:rPr>
        <w:t>tudents in out-of-home care (OOHC)</w:t>
      </w:r>
    </w:p>
    <w:p w14:paraId="5356D529" w14:textId="52266DA3"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s</w:t>
      </w:r>
      <w:r w:rsidR="003E0A9D" w:rsidRPr="00603521">
        <w:rPr>
          <w:rFonts w:ascii="Calibri" w:eastAsia="Calibri" w:hAnsi="Calibri" w:cs="Calibri"/>
        </w:rPr>
        <w:t>tudents from low SES backgrounds</w:t>
      </w:r>
    </w:p>
    <w:p w14:paraId="453C5744" w14:textId="32F8FD0D"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f</w:t>
      </w:r>
      <w:r w:rsidR="003E0A9D" w:rsidRPr="00603521">
        <w:rPr>
          <w:rFonts w:ascii="Calibri" w:eastAsia="Calibri" w:hAnsi="Calibri" w:cs="Calibri"/>
        </w:rPr>
        <w:t>irst in family to participate in tertiary education</w:t>
      </w:r>
    </w:p>
    <w:p w14:paraId="36ECAF95" w14:textId="3AC7C15E"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r</w:t>
      </w:r>
      <w:r w:rsidR="003E0A9D" w:rsidRPr="00603521">
        <w:rPr>
          <w:rFonts w:ascii="Calibri" w:eastAsia="Calibri" w:hAnsi="Calibri" w:cs="Calibri"/>
        </w:rPr>
        <w:t>efugees and asylum seekers</w:t>
      </w:r>
    </w:p>
    <w:p w14:paraId="3118C5D7" w14:textId="12395E0D"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s</w:t>
      </w:r>
      <w:r w:rsidR="003E0A9D" w:rsidRPr="00603521">
        <w:rPr>
          <w:rFonts w:ascii="Calibri" w:eastAsia="Calibri" w:hAnsi="Calibri" w:cs="Calibri"/>
        </w:rPr>
        <w:t xml:space="preserve">tudents who speak English as a second language </w:t>
      </w:r>
    </w:p>
    <w:p w14:paraId="1E6A935D" w14:textId="698C7A67"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m</w:t>
      </w:r>
      <w:r w:rsidR="003E0A9D" w:rsidRPr="00603521">
        <w:rPr>
          <w:rFonts w:ascii="Calibri" w:eastAsia="Calibri" w:hAnsi="Calibri" w:cs="Calibri"/>
        </w:rPr>
        <w:t>ature age students</w:t>
      </w:r>
    </w:p>
    <w:p w14:paraId="79A40A7C" w14:textId="43D8B5E8" w:rsidR="003E0A9D" w:rsidRPr="00603521" w:rsidRDefault="007A44F7" w:rsidP="003E0A9D">
      <w:pPr>
        <w:numPr>
          <w:ilvl w:val="0"/>
          <w:numId w:val="75"/>
        </w:numPr>
        <w:spacing w:line="360" w:lineRule="auto"/>
        <w:contextualSpacing/>
        <w:rPr>
          <w:rFonts w:ascii="Calibri" w:eastAsia="Calibri" w:hAnsi="Calibri" w:cs="Calibri"/>
        </w:rPr>
      </w:pPr>
      <w:r>
        <w:rPr>
          <w:rFonts w:ascii="Calibri" w:eastAsia="Calibri" w:hAnsi="Calibri" w:cs="Calibri"/>
        </w:rPr>
        <w:t>w</w:t>
      </w:r>
      <w:r w:rsidR="003E0A9D" w:rsidRPr="00603521">
        <w:rPr>
          <w:rFonts w:ascii="Calibri" w:eastAsia="Calibri" w:hAnsi="Calibri" w:cs="Calibri"/>
        </w:rPr>
        <w:t>omen, especially women who identify with other under-represented cohorts</w:t>
      </w:r>
    </w:p>
    <w:p w14:paraId="25331DA0" w14:textId="39483563" w:rsidR="003E0A9D" w:rsidRPr="00603521" w:rsidRDefault="003E0A9D" w:rsidP="003E0A9D">
      <w:pPr>
        <w:pStyle w:val="Heading4"/>
        <w:rPr>
          <w:rFonts w:cs="Calibri"/>
        </w:rPr>
      </w:pPr>
      <w:r w:rsidRPr="00603521">
        <w:rPr>
          <w:rFonts w:cs="Calibri"/>
        </w:rPr>
        <w:t>Implement system-wide approaches to increase equitable access to H</w:t>
      </w:r>
      <w:r w:rsidR="00AE3A7E">
        <w:rPr>
          <w:rFonts w:cs="Calibri"/>
        </w:rPr>
        <w:t xml:space="preserve">igher </w:t>
      </w:r>
      <w:r w:rsidRPr="00603521">
        <w:rPr>
          <w:rFonts w:cs="Calibri"/>
        </w:rPr>
        <w:t>E</w:t>
      </w:r>
      <w:r w:rsidR="00AE3A7E">
        <w:rPr>
          <w:rFonts w:cs="Calibri"/>
        </w:rPr>
        <w:t>ducation</w:t>
      </w:r>
    </w:p>
    <w:p w14:paraId="3504503A" w14:textId="77777777" w:rsidR="003E0A9D" w:rsidRPr="00603521" w:rsidRDefault="003E0A9D" w:rsidP="003E0A9D">
      <w:pPr>
        <w:rPr>
          <w:rFonts w:ascii="Calibri" w:hAnsi="Calibri" w:cs="Calibri"/>
          <w:lang w:eastAsia="en-AU"/>
        </w:rPr>
      </w:pPr>
      <w:r w:rsidRPr="00603521">
        <w:rPr>
          <w:rFonts w:ascii="Calibri" w:hAnsi="Calibri" w:cs="Calibri"/>
          <w:lang w:eastAsia="en-AU"/>
        </w:rPr>
        <w:t>The Discussion Paper noted the need to ensure students have access to higher education and are academically prepared upon entry, especially underrepresented students.</w:t>
      </w:r>
    </w:p>
    <w:p w14:paraId="01869764" w14:textId="77777777" w:rsidR="003E0A9D" w:rsidRPr="00603521" w:rsidRDefault="003E0A9D" w:rsidP="003E0A9D">
      <w:pPr>
        <w:tabs>
          <w:tab w:val="left" w:pos="2093"/>
        </w:tabs>
        <w:ind w:left="720"/>
        <w:rPr>
          <w:rFonts w:ascii="Calibri" w:hAnsi="Calibri" w:cs="Calibri"/>
        </w:rPr>
      </w:pPr>
      <w:r w:rsidRPr="00603521">
        <w:rPr>
          <w:rFonts w:ascii="Calibri" w:hAnsi="Calibri" w:cs="Calibri"/>
          <w:i/>
        </w:rPr>
        <w:t xml:space="preserve">“The decision to undertake further study is an individual one, taken outside of higher education institutions. Prospective students assess their eligibility based on their own understanding of their potential and may be deterred from applying for a variety of reasons. Students from under-represented groups need supportive pathway programs and effective academic </w:t>
      </w:r>
      <w:proofErr w:type="gramStart"/>
      <w:r w:rsidRPr="00603521">
        <w:rPr>
          <w:rFonts w:ascii="Calibri" w:hAnsi="Calibri" w:cs="Calibri"/>
          <w:i/>
        </w:rPr>
        <w:t>support.“</w:t>
      </w:r>
      <w:proofErr w:type="gramEnd"/>
      <w:r w:rsidRPr="00603521">
        <w:rPr>
          <w:rFonts w:ascii="Calibri" w:hAnsi="Calibri" w:cs="Calibri"/>
          <w:i/>
        </w:rPr>
        <w:t xml:space="preserve"> </w:t>
      </w:r>
      <w:r w:rsidRPr="00603521">
        <w:rPr>
          <w:rFonts w:ascii="Calibri" w:hAnsi="Calibri" w:cs="Calibri"/>
        </w:rPr>
        <w:t>Australian Universities Accord Discussion paper, February 2023, p. 25.</w:t>
      </w:r>
    </w:p>
    <w:p w14:paraId="236A9466" w14:textId="77777777" w:rsidR="003E0A9D" w:rsidRPr="00603521" w:rsidRDefault="003E0A9D" w:rsidP="003E0A9D">
      <w:pPr>
        <w:rPr>
          <w:rFonts w:ascii="Calibri" w:hAnsi="Calibri" w:cs="Calibri"/>
          <w:lang w:eastAsia="en-AU"/>
        </w:rPr>
      </w:pPr>
      <w:r w:rsidRPr="00603521">
        <w:rPr>
          <w:rFonts w:ascii="Calibri" w:hAnsi="Calibri" w:cs="Calibri"/>
          <w:lang w:eastAsia="en-AU"/>
        </w:rPr>
        <w:t>The Discussion Paper asked stakeholders for recommendations to increase the number of students from under-represented cohorts applying to and prepared for tertiary education. This included entry from school and other pathways. The Discussion Paper also asked stakeholders how changes in provider practices and offerings, as well as funding and regulatory support, could ensure students receive appropriate support and are able to succeed in their chosen area of study.</w:t>
      </w:r>
    </w:p>
    <w:p w14:paraId="4ACBC1F4" w14:textId="77777777" w:rsidR="003E0A9D" w:rsidRPr="00603521" w:rsidRDefault="003E0A9D" w:rsidP="003E0A9D">
      <w:pPr>
        <w:rPr>
          <w:rFonts w:ascii="Calibri" w:hAnsi="Calibri" w:cs="Calibri"/>
          <w:lang w:eastAsia="en-AU"/>
        </w:rPr>
      </w:pPr>
      <w:r w:rsidRPr="00603521">
        <w:rPr>
          <w:rFonts w:ascii="Calibri" w:hAnsi="Calibri" w:cs="Calibri"/>
          <w:lang w:eastAsia="en-AU"/>
        </w:rPr>
        <w:t>29 percent of submissions (87 submissions) responded to these questions. Four key recommendations emerged from these submissions:</w:t>
      </w:r>
    </w:p>
    <w:p w14:paraId="05DC9C20" w14:textId="065B87E7" w:rsidR="003E0A9D" w:rsidRPr="00603521" w:rsidRDefault="001D6042" w:rsidP="003E0A9D">
      <w:pPr>
        <w:pStyle w:val="ListParagraph"/>
        <w:numPr>
          <w:ilvl w:val="0"/>
          <w:numId w:val="74"/>
        </w:numPr>
        <w:rPr>
          <w:rFonts w:cs="Calibri"/>
          <w:lang w:eastAsia="en-AU"/>
        </w:rPr>
      </w:pPr>
      <w:r>
        <w:rPr>
          <w:rFonts w:cs="Calibri"/>
          <w:lang w:eastAsia="en-AU"/>
        </w:rPr>
        <w:t>s</w:t>
      </w:r>
      <w:r w:rsidR="003E0A9D" w:rsidRPr="00603521">
        <w:rPr>
          <w:rFonts w:cs="Calibri"/>
          <w:lang w:eastAsia="en-AU"/>
        </w:rPr>
        <w:t>et targets for higher education attainment among underrepresented groups (11 submissions)</w:t>
      </w:r>
    </w:p>
    <w:p w14:paraId="7B5E37C3" w14:textId="63401CA4" w:rsidR="003E0A9D" w:rsidRPr="00603521" w:rsidRDefault="001D6042" w:rsidP="003E0A9D">
      <w:pPr>
        <w:pStyle w:val="ListParagraph"/>
        <w:numPr>
          <w:ilvl w:val="0"/>
          <w:numId w:val="74"/>
        </w:numPr>
        <w:rPr>
          <w:rFonts w:cs="Calibri"/>
          <w:lang w:eastAsia="en-AU"/>
        </w:rPr>
      </w:pPr>
      <w:r>
        <w:rPr>
          <w:rFonts w:cs="Calibri"/>
          <w:lang w:eastAsia="en-AU"/>
        </w:rPr>
        <w:t>b</w:t>
      </w:r>
      <w:r w:rsidR="003E0A9D" w:rsidRPr="00603521">
        <w:rPr>
          <w:rFonts w:cs="Calibri"/>
          <w:lang w:eastAsia="en-AU"/>
        </w:rPr>
        <w:t>etter use of data to measure equity participation and inform decision-making (</w:t>
      </w:r>
      <w:r w:rsidR="00A46134">
        <w:rPr>
          <w:rFonts w:cs="Calibri"/>
          <w:lang w:eastAsia="en-AU"/>
        </w:rPr>
        <w:t>9</w:t>
      </w:r>
      <w:r w:rsidR="003E0A9D" w:rsidRPr="00603521">
        <w:rPr>
          <w:rFonts w:cs="Calibri"/>
          <w:lang w:eastAsia="en-AU"/>
        </w:rPr>
        <w:t xml:space="preserve"> submissions)</w:t>
      </w:r>
    </w:p>
    <w:p w14:paraId="688E2042" w14:textId="4D38D066" w:rsidR="003E0A9D" w:rsidRPr="00603521" w:rsidRDefault="001D6042" w:rsidP="003E0A9D">
      <w:pPr>
        <w:pStyle w:val="ListParagraph"/>
        <w:numPr>
          <w:ilvl w:val="0"/>
          <w:numId w:val="74"/>
        </w:numPr>
        <w:rPr>
          <w:rFonts w:cs="Calibri"/>
          <w:lang w:eastAsia="en-AU"/>
        </w:rPr>
      </w:pPr>
      <w:r>
        <w:rPr>
          <w:rFonts w:cs="Calibri"/>
          <w:lang w:eastAsia="en-AU"/>
        </w:rPr>
        <w:t>r</w:t>
      </w:r>
      <w:r w:rsidR="003E0A9D" w:rsidRPr="00603521">
        <w:rPr>
          <w:rFonts w:cs="Calibri"/>
          <w:lang w:eastAsia="en-AU"/>
        </w:rPr>
        <w:t>eintroduce demand driven funding (</w:t>
      </w:r>
      <w:r w:rsidR="00A46134">
        <w:rPr>
          <w:rFonts w:cs="Calibri"/>
          <w:lang w:eastAsia="en-AU"/>
        </w:rPr>
        <w:t>7</w:t>
      </w:r>
      <w:r w:rsidR="003E0A9D" w:rsidRPr="00603521">
        <w:rPr>
          <w:rFonts w:cs="Calibri"/>
          <w:lang w:eastAsia="en-AU"/>
        </w:rPr>
        <w:t xml:space="preserve"> submissions)</w:t>
      </w:r>
    </w:p>
    <w:p w14:paraId="2F787DE3" w14:textId="165E2784" w:rsidR="003E0A9D" w:rsidRPr="00603521" w:rsidRDefault="001D6042" w:rsidP="003E0A9D">
      <w:pPr>
        <w:pStyle w:val="ListParagraph"/>
        <w:numPr>
          <w:ilvl w:val="0"/>
          <w:numId w:val="74"/>
        </w:numPr>
        <w:rPr>
          <w:rFonts w:cs="Calibri"/>
          <w:lang w:eastAsia="en-AU"/>
        </w:rPr>
      </w:pPr>
      <w:r>
        <w:rPr>
          <w:rFonts w:cs="Calibri"/>
          <w:lang w:eastAsia="en-AU"/>
        </w:rPr>
        <w:t>e</w:t>
      </w:r>
      <w:r w:rsidR="003E0A9D" w:rsidRPr="00603521">
        <w:rPr>
          <w:rFonts w:cs="Calibri"/>
          <w:lang w:eastAsia="en-AU"/>
        </w:rPr>
        <w:t>xpand support for the transition to university (15 submissions)</w:t>
      </w:r>
    </w:p>
    <w:p w14:paraId="3C82353F" w14:textId="77777777" w:rsidR="003E0A9D" w:rsidRPr="00603521" w:rsidRDefault="003E0A9D" w:rsidP="003E0A9D">
      <w:pPr>
        <w:rPr>
          <w:rFonts w:ascii="Calibri" w:hAnsi="Calibri" w:cs="Calibri"/>
          <w:lang w:eastAsia="en-AU"/>
        </w:rPr>
      </w:pPr>
      <w:r w:rsidRPr="00603521">
        <w:rPr>
          <w:rFonts w:ascii="Calibri" w:hAnsi="Calibri" w:cs="Calibri"/>
          <w:lang w:eastAsia="en-AU"/>
        </w:rPr>
        <w:t>These points are discussed in detail below.</w:t>
      </w:r>
    </w:p>
    <w:p w14:paraId="6A418C2C" w14:textId="77777777" w:rsidR="003E0A9D" w:rsidRPr="00603521" w:rsidRDefault="003E0A9D" w:rsidP="003E0A9D">
      <w:pPr>
        <w:pStyle w:val="Heading5"/>
        <w:rPr>
          <w:rFonts w:eastAsia="Calibri" w:cs="Calibri"/>
          <w:color w:val="auto"/>
        </w:rPr>
      </w:pPr>
      <w:r w:rsidRPr="00603521">
        <w:rPr>
          <w:rFonts w:cs="Calibri"/>
        </w:rPr>
        <w:t>Set targets for higher education attainment among underrepresented groups</w:t>
      </w:r>
    </w:p>
    <w:p w14:paraId="6FAB6F77" w14:textId="77777777" w:rsidR="003E0A9D" w:rsidRPr="00603521" w:rsidRDefault="003E0A9D" w:rsidP="003E0A9D">
      <w:pPr>
        <w:rPr>
          <w:rFonts w:ascii="Calibri" w:eastAsia="Calibri" w:hAnsi="Calibri" w:cs="Calibri"/>
        </w:rPr>
      </w:pPr>
      <w:r w:rsidRPr="00603521">
        <w:rPr>
          <w:rFonts w:ascii="Calibri" w:eastAsia="Calibri" w:hAnsi="Calibri" w:cs="Calibri"/>
        </w:rPr>
        <w:t>Eleven submissions stated the need to set higher education attainment targets to increase equity participation and attainment by equity cohorts. Three of these submissions recommended that these targets be set to reflect population parity.</w:t>
      </w:r>
    </w:p>
    <w:p w14:paraId="1EE00F42"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“Develop a series of appropriate targets to ensure equity participation and attainment are being measured and met across the sector, including considering metrics relating to student outcomes and student satisfaction.”</w:t>
      </w:r>
      <w:r w:rsidRPr="00603521">
        <w:rPr>
          <w:rFonts w:ascii="Calibri" w:eastAsia="Calibri" w:hAnsi="Calibri" w:cs="Calibri"/>
        </w:rPr>
        <w:t xml:space="preserve"> – Regional Universities Network.</w:t>
      </w:r>
    </w:p>
    <w:p w14:paraId="14B62787" w14:textId="77777777" w:rsidR="003E0A9D" w:rsidRPr="00603521" w:rsidRDefault="003E0A9D" w:rsidP="003E0A9D">
      <w:pPr>
        <w:rPr>
          <w:rFonts w:ascii="Calibri" w:eastAsia="Calibri" w:hAnsi="Calibri" w:cs="Calibri"/>
        </w:rPr>
      </w:pPr>
      <w:r w:rsidRPr="00603521">
        <w:rPr>
          <w:rFonts w:ascii="Calibri" w:eastAsia="Calibri" w:hAnsi="Calibri" w:cs="Calibri"/>
        </w:rPr>
        <w:lastRenderedPageBreak/>
        <w:t>Universities Australia called for the higher education attainment target for Indigenous students to be in line with non-Indigenous students and for new targets to be aligned with targets in Closing the Gap.</w:t>
      </w:r>
    </w:p>
    <w:p w14:paraId="2B1723A3" w14:textId="77777777" w:rsidR="003E0A9D" w:rsidRPr="00603521" w:rsidRDefault="003E0A9D" w:rsidP="003E0A9D">
      <w:pPr>
        <w:rPr>
          <w:rFonts w:ascii="Calibri" w:eastAsia="Calibri" w:hAnsi="Calibri" w:cs="Calibri"/>
        </w:rPr>
      </w:pPr>
      <w:r w:rsidRPr="00603521">
        <w:rPr>
          <w:rFonts w:ascii="Calibri" w:eastAsia="Calibri" w:hAnsi="Calibri" w:cs="Calibri"/>
        </w:rPr>
        <w:t>La Trobe University recommended that when considering success rates for targets, retention in the tertiary education system as a whole should be prioritised rather than at a particular institution or only within university systems.</w:t>
      </w:r>
    </w:p>
    <w:p w14:paraId="31BEE388" w14:textId="77777777" w:rsidR="003E0A9D" w:rsidRPr="00603521" w:rsidRDefault="003E0A9D" w:rsidP="003E0A9D">
      <w:pPr>
        <w:pStyle w:val="Heading5"/>
        <w:rPr>
          <w:rFonts w:eastAsia="Calibri" w:cs="Calibri"/>
        </w:rPr>
      </w:pPr>
      <w:r w:rsidRPr="00603521">
        <w:rPr>
          <w:rFonts w:eastAsia="Calibri" w:cs="Calibri"/>
        </w:rPr>
        <w:t>Better use of data to measure equity participation and inform decision-making</w:t>
      </w:r>
    </w:p>
    <w:p w14:paraId="032B9E8B" w14:textId="77777777" w:rsidR="003E0A9D" w:rsidRPr="00603521" w:rsidRDefault="003E0A9D" w:rsidP="003E0A9D">
      <w:pPr>
        <w:rPr>
          <w:rFonts w:ascii="Calibri" w:eastAsia="Calibri" w:hAnsi="Calibri" w:cs="Calibri"/>
        </w:rPr>
      </w:pPr>
      <w:r w:rsidRPr="00603521">
        <w:rPr>
          <w:rFonts w:ascii="Calibri" w:eastAsia="Calibri" w:hAnsi="Calibri" w:cs="Calibri"/>
        </w:rPr>
        <w:t>Five submissions stated the need to have suitable means of measuring equity participation more effectively. They suggested the use of equity metrics to promote institutional accountability and commitment.</w:t>
      </w:r>
    </w:p>
    <w:p w14:paraId="3B6DEE92"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“National metrics of institutional outreach and recruitment across key equity cohorts: providing incentive for institutions to engage with equity cohorts actively, and publicly accessible indication of institutional commitment to equity.”</w:t>
      </w:r>
      <w:r w:rsidRPr="00603521">
        <w:rPr>
          <w:rFonts w:ascii="Calibri" w:eastAsia="Calibri" w:hAnsi="Calibri" w:cs="Calibri"/>
        </w:rPr>
        <w:t xml:space="preserve"> – Deakin University.</w:t>
      </w:r>
    </w:p>
    <w:p w14:paraId="03663A1A" w14:textId="77777777" w:rsidR="003E0A9D" w:rsidRPr="00603521" w:rsidRDefault="003E0A9D" w:rsidP="003E0A9D">
      <w:pPr>
        <w:rPr>
          <w:rFonts w:ascii="Calibri" w:eastAsia="Calibri" w:hAnsi="Calibri" w:cs="Calibri"/>
        </w:rPr>
      </w:pPr>
      <w:r w:rsidRPr="00603521">
        <w:rPr>
          <w:rFonts w:ascii="Calibri" w:eastAsia="Calibri" w:hAnsi="Calibri" w:cs="Calibri"/>
        </w:rPr>
        <w:t>A further four submissions commented on the role of data to inform policy advice and program development, especially for under-represented students.</w:t>
      </w:r>
    </w:p>
    <w:p w14:paraId="03CFA083" w14:textId="77777777" w:rsidR="003E0A9D" w:rsidRPr="00603521" w:rsidRDefault="003E0A9D" w:rsidP="003E0A9D">
      <w:pPr>
        <w:rPr>
          <w:rFonts w:ascii="Calibri" w:eastAsia="Calibri" w:hAnsi="Calibri" w:cs="Calibri"/>
        </w:rPr>
      </w:pPr>
      <w:r w:rsidRPr="00603521">
        <w:rPr>
          <w:rFonts w:ascii="Calibri" w:eastAsia="Calibri" w:hAnsi="Calibri" w:cs="Calibri"/>
        </w:rPr>
        <w:t>In their submission, the Group of Eight recommended the creation of a new national agency to drive a data driven approach to equity and excellence in the tertiary sector.</w:t>
      </w:r>
    </w:p>
    <w:p w14:paraId="4F4D6362"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“This agency would bring together, in a single or federated structure, the research and evidence remits of the Australian Education Research Organisation (AERO), the National Centre for Vocational Educational Research (NCVER) and the National Centre for Student Equity in Higher Education (NCSEHE). A core part of the Agency’s research agenda could be enabled by developing an advanced data capability (a National Education Evidence Database) built from integrated public sector data assets, including provider data. It is data and data systems that will help the sector know what success looks like, track progress and measure it. A National Equity Data/Evidence Institute would enable tertiary education providers to understand where and how they can have the most impact, and, in collaboration with Government, industry, communities and other sectors create mission relevant targets.”</w:t>
      </w:r>
      <w:r w:rsidRPr="00603521">
        <w:rPr>
          <w:rFonts w:ascii="Calibri" w:eastAsia="Calibri" w:hAnsi="Calibri" w:cs="Calibri"/>
        </w:rPr>
        <w:t xml:space="preserve"> – Group of Eight.</w:t>
      </w:r>
    </w:p>
    <w:p w14:paraId="66EA7D5E" w14:textId="77777777" w:rsidR="003E0A9D" w:rsidRPr="00603521" w:rsidRDefault="003E0A9D" w:rsidP="003E0A9D">
      <w:pPr>
        <w:rPr>
          <w:rFonts w:ascii="Calibri" w:eastAsia="Calibri" w:hAnsi="Calibri" w:cs="Calibri"/>
        </w:rPr>
      </w:pPr>
      <w:r w:rsidRPr="00603521">
        <w:rPr>
          <w:rFonts w:ascii="Calibri" w:eastAsia="Calibri" w:hAnsi="Calibri" w:cs="Calibri"/>
        </w:rPr>
        <w:t>Other equity group advocates also stated the need for better use of data and evidence.</w:t>
      </w:r>
    </w:p>
    <w:p w14:paraId="4CD86606"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“Make better use of data to inform disability inclusion and to better understand the diverse needs of all people with disability.”</w:t>
      </w:r>
      <w:r w:rsidRPr="00603521">
        <w:rPr>
          <w:rFonts w:ascii="Calibri" w:eastAsia="Calibri" w:hAnsi="Calibri" w:cs="Calibri"/>
        </w:rPr>
        <w:t xml:space="preserve"> – Spinal Cord Injuries Australia.</w:t>
      </w:r>
    </w:p>
    <w:p w14:paraId="24CEDD15"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 xml:space="preserve">“Access to reliable and current data ensures policy advice and program development can be better targeted </w:t>
      </w:r>
      <w:proofErr w:type="gramStart"/>
      <w:r w:rsidRPr="00603521">
        <w:rPr>
          <w:rFonts w:ascii="Calibri" w:eastAsia="Calibri" w:hAnsi="Calibri" w:cs="Calibri"/>
          <w:i/>
        </w:rPr>
        <w:t>to:</w:t>
      </w:r>
      <w:proofErr w:type="gramEnd"/>
      <w:r w:rsidRPr="00603521">
        <w:rPr>
          <w:rFonts w:ascii="Calibri" w:eastAsia="Calibri" w:hAnsi="Calibri" w:cs="Calibri"/>
          <w:i/>
        </w:rPr>
        <w:t xml:space="preserve"> support institutional operation and sustainability and improve student participation, completion and attainment rates. Currently there are data lags of up to 20 months, which impact on the provision of current and responsive policy. Access to current and consistent data will assist in informing the development of policies and programs which will underpin the Accord.” </w:t>
      </w:r>
      <w:r w:rsidRPr="00603521">
        <w:rPr>
          <w:rFonts w:ascii="Calibri" w:eastAsia="Calibri" w:hAnsi="Calibri" w:cs="Calibri"/>
        </w:rPr>
        <w:t>– National Indigenous Australians Agency.</w:t>
      </w:r>
    </w:p>
    <w:p w14:paraId="2F042D7F" w14:textId="77777777" w:rsidR="003E0A9D" w:rsidRPr="00603521" w:rsidRDefault="003E0A9D" w:rsidP="003E0A9D">
      <w:pPr>
        <w:rPr>
          <w:rFonts w:ascii="Calibri" w:eastAsia="Calibri" w:hAnsi="Calibri" w:cs="Calibri"/>
        </w:rPr>
      </w:pPr>
      <w:r w:rsidRPr="00603521">
        <w:rPr>
          <w:rFonts w:ascii="Calibri" w:eastAsia="Calibri" w:hAnsi="Calibri" w:cs="Calibri"/>
        </w:rPr>
        <w:t>Innovative Research Universities suggested that the National Centre for Student Equity in Higher Education at Curtin University could also lead work across the system in partnership with other universities to improve data and evidence on equity.</w:t>
      </w:r>
    </w:p>
    <w:p w14:paraId="4E5223D3" w14:textId="77777777" w:rsidR="003E0A9D" w:rsidRPr="00603521" w:rsidRDefault="003E0A9D" w:rsidP="003E0A9D">
      <w:pPr>
        <w:pStyle w:val="Heading5"/>
        <w:rPr>
          <w:rFonts w:eastAsia="Calibri" w:cs="Calibri"/>
          <w:color w:val="auto"/>
        </w:rPr>
      </w:pPr>
      <w:r w:rsidRPr="00603521">
        <w:rPr>
          <w:rFonts w:cs="Calibri"/>
        </w:rPr>
        <w:lastRenderedPageBreak/>
        <w:t>Reintroduce demand driven funding</w:t>
      </w:r>
    </w:p>
    <w:p w14:paraId="40352274" w14:textId="3F1BB0D2" w:rsidR="003E0A9D" w:rsidRPr="00603521" w:rsidRDefault="003E0A9D" w:rsidP="003E0A9D">
      <w:pPr>
        <w:rPr>
          <w:rFonts w:ascii="Calibri" w:eastAsia="Calibri" w:hAnsi="Calibri" w:cs="Calibri"/>
        </w:rPr>
      </w:pPr>
      <w:r w:rsidRPr="00603521">
        <w:rPr>
          <w:rFonts w:ascii="Calibri" w:eastAsia="Calibri" w:hAnsi="Calibri" w:cs="Calibri"/>
        </w:rPr>
        <w:t xml:space="preserve">Seven submissions called for demand driven funding to be reintroduced as it had the effect of improving participation of </w:t>
      </w:r>
      <w:r w:rsidR="00E72078">
        <w:rPr>
          <w:rFonts w:ascii="Calibri" w:eastAsia="Calibri" w:hAnsi="Calibri" w:cs="Calibri"/>
        </w:rPr>
        <w:t xml:space="preserve">students from underrepresented cohorts. </w:t>
      </w:r>
    </w:p>
    <w:p w14:paraId="51779CF2"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“Reinstatement of Demand Driven Funding: There is no opportunity for third partner shared funding arrangements possible if the student place does not receive guaranteed funding by the Commonwealth. There is simply nothing to be shared! Demand driven funding saw the biggest rise in equity student enrolments and would be GUC’s preferred position for the Australian Higher Education system.”</w:t>
      </w:r>
      <w:r w:rsidRPr="00603521">
        <w:rPr>
          <w:rFonts w:ascii="Calibri" w:eastAsia="Calibri" w:hAnsi="Calibri" w:cs="Calibri"/>
        </w:rPr>
        <w:t xml:space="preserve"> – Geraldton Universities Centre.</w:t>
      </w:r>
    </w:p>
    <w:p w14:paraId="74CCE3D3" w14:textId="4E5C8F62" w:rsidR="003E0A9D" w:rsidRPr="00603521" w:rsidRDefault="003E0A9D" w:rsidP="003E0A9D">
      <w:pPr>
        <w:rPr>
          <w:rFonts w:ascii="Calibri" w:eastAsia="Calibri" w:hAnsi="Calibri" w:cs="Calibri"/>
        </w:rPr>
      </w:pPr>
      <w:r w:rsidRPr="00603521">
        <w:rPr>
          <w:rFonts w:ascii="Calibri" w:eastAsia="Calibri" w:hAnsi="Calibri" w:cs="Calibri"/>
        </w:rPr>
        <w:t xml:space="preserve">Science and Technology Australia and the University of Southern Queensland both echoed the same sentiment in particular the need for demand driven funding for </w:t>
      </w:r>
      <w:r w:rsidR="004866DA">
        <w:rPr>
          <w:rFonts w:ascii="Calibri" w:eastAsia="Calibri" w:hAnsi="Calibri" w:cs="Calibri"/>
        </w:rPr>
        <w:t>I</w:t>
      </w:r>
      <w:r w:rsidRPr="00603521">
        <w:rPr>
          <w:rFonts w:ascii="Calibri" w:eastAsia="Calibri" w:hAnsi="Calibri" w:cs="Calibri"/>
        </w:rPr>
        <w:t>ndigenous students and students in regional areas respectively.</w:t>
      </w:r>
    </w:p>
    <w:p w14:paraId="734D15C7"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“The Accord should extend demand-driven funding to all Indigenous students (expanding the current access for regional Aboriginal and Torres Strait Islander students to include Indigenous students living in major cities).”</w:t>
      </w:r>
      <w:r w:rsidRPr="00603521">
        <w:rPr>
          <w:rFonts w:ascii="Calibri" w:eastAsia="Calibri" w:hAnsi="Calibri" w:cs="Calibri"/>
        </w:rPr>
        <w:t xml:space="preserve"> – Science and Technology Australia.</w:t>
      </w:r>
    </w:p>
    <w:p w14:paraId="6F496482"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“Broader equity considerations notwithstanding, it is widely acknowledged that demand-driven student funding had the effect of improving participation of students in regional areas.”</w:t>
      </w:r>
      <w:r w:rsidRPr="00603521">
        <w:rPr>
          <w:rFonts w:ascii="Calibri" w:eastAsia="Calibri" w:hAnsi="Calibri" w:cs="Calibri"/>
        </w:rPr>
        <w:t xml:space="preserve"> – University of Southern Queensland.</w:t>
      </w:r>
    </w:p>
    <w:p w14:paraId="6DA1BABF" w14:textId="77777777" w:rsidR="003E0A9D" w:rsidRPr="00603521" w:rsidRDefault="003E0A9D" w:rsidP="003E0A9D">
      <w:pPr>
        <w:pStyle w:val="Heading5"/>
        <w:rPr>
          <w:rFonts w:cs="Calibri"/>
        </w:rPr>
      </w:pPr>
      <w:r w:rsidRPr="00603521">
        <w:rPr>
          <w:rFonts w:cs="Calibri"/>
        </w:rPr>
        <w:t>Expand support for the transition to university</w:t>
      </w:r>
    </w:p>
    <w:p w14:paraId="70862466" w14:textId="77777777" w:rsidR="003E0A9D" w:rsidRPr="00603521" w:rsidRDefault="003E0A9D" w:rsidP="003E0A9D">
      <w:pPr>
        <w:rPr>
          <w:rFonts w:ascii="Calibri" w:eastAsia="Calibri" w:hAnsi="Calibri" w:cs="Calibri"/>
        </w:rPr>
      </w:pPr>
      <w:r w:rsidRPr="00603521">
        <w:rPr>
          <w:rFonts w:ascii="Calibri" w:eastAsia="Calibri" w:hAnsi="Calibri" w:cs="Calibri"/>
        </w:rPr>
        <w:t>Nine submissions noted the importance of outreach and engagement programs in raising awareness and aspirations about higher education offerings. These submissions outlined different suggestions to best support outreach programs.</w:t>
      </w:r>
    </w:p>
    <w:p w14:paraId="652F565D" w14:textId="77777777" w:rsidR="003E0A9D" w:rsidRPr="00603521" w:rsidRDefault="003E0A9D" w:rsidP="003E0A9D">
      <w:pPr>
        <w:rPr>
          <w:rFonts w:ascii="Calibri" w:eastAsia="Calibri" w:hAnsi="Calibri" w:cs="Calibri"/>
        </w:rPr>
      </w:pPr>
      <w:r w:rsidRPr="00603521">
        <w:rPr>
          <w:rFonts w:ascii="Calibri" w:eastAsia="Calibri" w:hAnsi="Calibri" w:cs="Calibri"/>
        </w:rPr>
        <w:t xml:space="preserve">Seven submissions noted the importance of maintaining and establishing new enabling and pathway programs to facilitate entry into the higher education sector for underrepresented students. </w:t>
      </w:r>
    </w:p>
    <w:p w14:paraId="64110A9F" w14:textId="77777777" w:rsidR="003E0A9D" w:rsidRPr="00603521" w:rsidRDefault="003E0A9D" w:rsidP="003E0A9D">
      <w:pPr>
        <w:rPr>
          <w:rFonts w:ascii="Calibri" w:eastAsia="Calibri" w:hAnsi="Calibri" w:cs="Calibri"/>
        </w:rPr>
      </w:pPr>
      <w:r w:rsidRPr="00603521">
        <w:rPr>
          <w:rFonts w:ascii="Calibri" w:eastAsia="Calibri" w:hAnsi="Calibri" w:cs="Calibri"/>
        </w:rPr>
        <w:t>Five submissions mentioned the Higher Education Participation and Partnerships Program’s (HEPPP) role in successfully supporting underrepresented students. Four of these submissions also argued for the expansion of HEPPP, although different approaches were suggested:</w:t>
      </w:r>
    </w:p>
    <w:p w14:paraId="7CD1519F" w14:textId="0714AE95" w:rsidR="003E0A9D" w:rsidRPr="00603521" w:rsidRDefault="00264F57" w:rsidP="003E0A9D">
      <w:pPr>
        <w:pStyle w:val="ListParagraph"/>
        <w:numPr>
          <w:ilvl w:val="0"/>
          <w:numId w:val="90"/>
        </w:numPr>
        <w:spacing w:line="276" w:lineRule="auto"/>
        <w:rPr>
          <w:rFonts w:eastAsia="Calibri" w:cs="Calibri"/>
        </w:rPr>
      </w:pPr>
      <w:r>
        <w:rPr>
          <w:rFonts w:eastAsia="Calibri" w:cs="Calibri"/>
        </w:rPr>
        <w:t>i</w:t>
      </w:r>
      <w:r w:rsidR="003E0A9D" w:rsidRPr="00603521">
        <w:rPr>
          <w:rFonts w:eastAsia="Calibri" w:cs="Calibri"/>
        </w:rPr>
        <w:t>ncrease funding for HEPPP (</w:t>
      </w:r>
      <w:r w:rsidR="00A46134">
        <w:rPr>
          <w:rFonts w:eastAsia="Calibri" w:cs="Calibri"/>
        </w:rPr>
        <w:t>1</w:t>
      </w:r>
      <w:r w:rsidR="003E0A9D" w:rsidRPr="00603521">
        <w:rPr>
          <w:rFonts w:eastAsia="Calibri" w:cs="Calibri"/>
        </w:rPr>
        <w:t xml:space="preserve"> submission)</w:t>
      </w:r>
    </w:p>
    <w:p w14:paraId="05353521" w14:textId="1FB843D4" w:rsidR="003E0A9D" w:rsidRPr="00603521" w:rsidRDefault="00264F57" w:rsidP="003E0A9D">
      <w:pPr>
        <w:pStyle w:val="ListParagraph"/>
        <w:numPr>
          <w:ilvl w:val="0"/>
          <w:numId w:val="90"/>
        </w:numPr>
        <w:spacing w:line="276" w:lineRule="auto"/>
        <w:rPr>
          <w:rFonts w:eastAsia="Calibri" w:cs="Calibri"/>
        </w:rPr>
      </w:pPr>
      <w:r>
        <w:rPr>
          <w:rFonts w:eastAsia="Calibri" w:cs="Calibri"/>
        </w:rPr>
        <w:t>r</w:t>
      </w:r>
      <w:r w:rsidR="003E0A9D" w:rsidRPr="00603521">
        <w:rPr>
          <w:rFonts w:eastAsia="Calibri" w:cs="Calibri"/>
        </w:rPr>
        <w:t>eview the ‘partnerships’ component to better include community-based organisations (</w:t>
      </w:r>
      <w:r w:rsidR="00A46134">
        <w:rPr>
          <w:rFonts w:eastAsia="Calibri" w:cs="Calibri"/>
        </w:rPr>
        <w:t>2</w:t>
      </w:r>
      <w:r w:rsidR="003E0A9D" w:rsidRPr="00603521">
        <w:rPr>
          <w:rFonts w:eastAsia="Calibri" w:cs="Calibri"/>
        </w:rPr>
        <w:t xml:space="preserve"> submissions)</w:t>
      </w:r>
    </w:p>
    <w:p w14:paraId="6543E9E9" w14:textId="3F3CDAF8" w:rsidR="003E0A9D" w:rsidRPr="00603521" w:rsidRDefault="00C9235B" w:rsidP="003E0A9D">
      <w:pPr>
        <w:pStyle w:val="ListParagraph"/>
        <w:numPr>
          <w:ilvl w:val="0"/>
          <w:numId w:val="90"/>
        </w:numPr>
        <w:spacing w:line="276" w:lineRule="auto"/>
        <w:rPr>
          <w:rFonts w:eastAsia="Calibri" w:cs="Calibri"/>
        </w:rPr>
      </w:pPr>
      <w:r>
        <w:rPr>
          <w:rFonts w:eastAsia="Calibri" w:cs="Calibri"/>
        </w:rPr>
        <w:t>e</w:t>
      </w:r>
      <w:r w:rsidR="003E0A9D" w:rsidRPr="00603521">
        <w:rPr>
          <w:rFonts w:eastAsia="Calibri" w:cs="Calibri"/>
        </w:rPr>
        <w:t>stablish HEPPP as a legislated equity block grant to promote a shift towards long-term funding (</w:t>
      </w:r>
      <w:r w:rsidR="00A46134">
        <w:rPr>
          <w:rFonts w:eastAsia="Calibri" w:cs="Calibri"/>
        </w:rPr>
        <w:t>1</w:t>
      </w:r>
      <w:r w:rsidR="003E0A9D" w:rsidRPr="00603521">
        <w:rPr>
          <w:rFonts w:eastAsia="Calibri" w:cs="Calibri"/>
        </w:rPr>
        <w:t xml:space="preserve"> submission)</w:t>
      </w:r>
    </w:p>
    <w:p w14:paraId="79716EF3" w14:textId="03C98A78" w:rsidR="003E0A9D" w:rsidRPr="00603521" w:rsidRDefault="003833CC" w:rsidP="003E0A9D">
      <w:pPr>
        <w:pStyle w:val="ListParagraph"/>
        <w:numPr>
          <w:ilvl w:val="0"/>
          <w:numId w:val="90"/>
        </w:numPr>
        <w:spacing w:line="276" w:lineRule="auto"/>
        <w:rPr>
          <w:rFonts w:eastAsia="Calibri" w:cs="Calibri"/>
        </w:rPr>
      </w:pPr>
      <w:r>
        <w:rPr>
          <w:rFonts w:eastAsia="Calibri" w:cs="Calibri"/>
        </w:rPr>
        <w:t>e</w:t>
      </w:r>
      <w:r w:rsidR="003E0A9D" w:rsidRPr="00603521">
        <w:rPr>
          <w:rFonts w:eastAsia="Calibri" w:cs="Calibri"/>
        </w:rPr>
        <w:t>xpand eligibility for HEPPP to include Regional University Centres, due to their role in facilitating student preparedness (</w:t>
      </w:r>
      <w:r w:rsidR="00A46134">
        <w:rPr>
          <w:rFonts w:eastAsia="Calibri" w:cs="Calibri"/>
        </w:rPr>
        <w:t>1</w:t>
      </w:r>
      <w:r w:rsidR="003E0A9D" w:rsidRPr="00603521">
        <w:rPr>
          <w:rFonts w:eastAsia="Calibri" w:cs="Calibri"/>
        </w:rPr>
        <w:t xml:space="preserve"> submission)</w:t>
      </w:r>
    </w:p>
    <w:p w14:paraId="0FBA6248" w14:textId="5C12C266" w:rsidR="003E0A9D" w:rsidRPr="00603521" w:rsidRDefault="003E0A9D" w:rsidP="003E0A9D">
      <w:pPr>
        <w:rPr>
          <w:rFonts w:ascii="Calibri" w:eastAsia="Calibri" w:hAnsi="Calibri" w:cs="Calibri"/>
        </w:rPr>
      </w:pPr>
      <w:r w:rsidRPr="00603521">
        <w:rPr>
          <w:rFonts w:ascii="Calibri" w:eastAsia="Calibri" w:hAnsi="Calibri" w:cs="Calibri"/>
        </w:rPr>
        <w:t>Seven submissions noted the need for targeted support for students during the transition period between secondary and tertiary education. This included a need for targeted support for under-represented students during their transition to university, including the period between enrolment and commencement, to better prepare them (</w:t>
      </w:r>
      <w:r w:rsidR="00A46134">
        <w:rPr>
          <w:rFonts w:ascii="Calibri" w:eastAsia="Calibri" w:hAnsi="Calibri" w:cs="Calibri"/>
        </w:rPr>
        <w:t>3</w:t>
      </w:r>
      <w:r w:rsidRPr="00603521">
        <w:rPr>
          <w:rFonts w:ascii="Calibri" w:eastAsia="Calibri" w:hAnsi="Calibri" w:cs="Calibri"/>
        </w:rPr>
        <w:t xml:space="preserve"> submissions).</w:t>
      </w:r>
    </w:p>
    <w:p w14:paraId="7C591D53" w14:textId="77777777" w:rsidR="003E0A9D" w:rsidRPr="00603521" w:rsidRDefault="003E0A9D" w:rsidP="003E0A9D">
      <w:pPr>
        <w:rPr>
          <w:rFonts w:ascii="Calibri" w:eastAsia="Calibri" w:hAnsi="Calibri" w:cs="Calibri"/>
        </w:rPr>
      </w:pPr>
      <w:r w:rsidRPr="00603521">
        <w:rPr>
          <w:rFonts w:ascii="Calibri" w:eastAsia="Calibri" w:hAnsi="Calibri" w:cs="Calibri"/>
        </w:rPr>
        <w:lastRenderedPageBreak/>
        <w:t>Four submissions noted that access to a mentor or peer support during the transition period is crucial to help students adapt to the demands of study. This was noted particularly in reference to underrepresented groups:</w:t>
      </w:r>
    </w:p>
    <w:p w14:paraId="01C6E9B3"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“[A]</w:t>
      </w:r>
      <w:proofErr w:type="spellStart"/>
      <w:r w:rsidRPr="00603521">
        <w:rPr>
          <w:rFonts w:ascii="Calibri" w:eastAsia="Calibri" w:hAnsi="Calibri" w:cs="Calibri"/>
          <w:i/>
        </w:rPr>
        <w:t>ccess</w:t>
      </w:r>
      <w:proofErr w:type="spellEnd"/>
      <w:r w:rsidRPr="00603521">
        <w:rPr>
          <w:rFonts w:ascii="Calibri" w:eastAsia="Calibri" w:hAnsi="Calibri" w:cs="Calibri"/>
          <w:i/>
        </w:rPr>
        <w:t xml:space="preserve"> to a mentor or some form of peer support is very important. Women from [under-represented] groups are less likely to be familiar with the norms and standards and expectations of tertiary study, and have less experience in matching their own efforts and achievements against those of students from other backgrounds. The transition period is particularly crucial in helping students to adapt to the demands of study.” </w:t>
      </w:r>
      <w:r w:rsidRPr="00603521">
        <w:rPr>
          <w:rFonts w:ascii="Calibri" w:eastAsia="Calibri" w:hAnsi="Calibri" w:cs="Calibri"/>
        </w:rPr>
        <w:t>Graduate Women NSW</w:t>
      </w:r>
    </w:p>
    <w:p w14:paraId="470024E9"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“Regional students must be supported to aspire for higher education. Research on the attitudes of regional students towards higher education reveals that these students need assistance to ‘believe’ that they can make the transition to university and city life. Peer mentoring has been found to be an extremely effective method of raising students’ aspirations for education after high school. University student mentoring of regional and low SES high school students is strongly correlated with a higher likelihood of aspirations to attend university and TAFE.”</w:t>
      </w:r>
      <w:r w:rsidRPr="00603521">
        <w:rPr>
          <w:rFonts w:ascii="Calibri" w:eastAsia="Calibri" w:hAnsi="Calibri" w:cs="Calibri"/>
        </w:rPr>
        <w:t xml:space="preserve"> Regional Education Support Network</w:t>
      </w:r>
    </w:p>
    <w:p w14:paraId="6B94D0EA" w14:textId="7855C1C5" w:rsidR="003E0A9D" w:rsidRPr="00603521" w:rsidRDefault="003E0A9D" w:rsidP="003E0A9D">
      <w:pPr>
        <w:pStyle w:val="Heading4"/>
        <w:rPr>
          <w:rFonts w:cs="Calibri"/>
        </w:rPr>
      </w:pPr>
      <w:r w:rsidRPr="00603521">
        <w:rPr>
          <w:rFonts w:cs="Calibri"/>
        </w:rPr>
        <w:t>Address barriers to successful participation in H</w:t>
      </w:r>
      <w:r w:rsidR="00023A84">
        <w:rPr>
          <w:rFonts w:cs="Calibri"/>
        </w:rPr>
        <w:t xml:space="preserve">igher </w:t>
      </w:r>
      <w:r w:rsidRPr="00603521">
        <w:rPr>
          <w:rFonts w:cs="Calibri"/>
        </w:rPr>
        <w:t>E</w:t>
      </w:r>
      <w:r w:rsidR="00023A84">
        <w:rPr>
          <w:rFonts w:cs="Calibri"/>
        </w:rPr>
        <w:t>ducation</w:t>
      </w:r>
      <w:r w:rsidRPr="00603521">
        <w:rPr>
          <w:rFonts w:cs="Calibri"/>
        </w:rPr>
        <w:t xml:space="preserve"> for all students </w:t>
      </w:r>
    </w:p>
    <w:p w14:paraId="471FA2C9" w14:textId="17BC4ECA" w:rsidR="003E0A9D" w:rsidRPr="00603521" w:rsidRDefault="003E0A9D" w:rsidP="003E0A9D">
      <w:pPr>
        <w:rPr>
          <w:rFonts w:ascii="Calibri" w:eastAsia="Calibri" w:hAnsi="Calibri" w:cs="Calibri"/>
        </w:rPr>
      </w:pPr>
      <w:r w:rsidRPr="00603521">
        <w:rPr>
          <w:rFonts w:ascii="Calibri" w:eastAsia="Calibri" w:hAnsi="Calibri" w:cs="Calibri"/>
        </w:rPr>
        <w:t xml:space="preserve">The Discussion Paper states the numerous challenges faced by students when </w:t>
      </w:r>
      <w:r w:rsidR="0043715E">
        <w:rPr>
          <w:rFonts w:ascii="Calibri" w:eastAsia="Calibri" w:hAnsi="Calibri" w:cs="Calibri"/>
        </w:rPr>
        <w:t>participating in</w:t>
      </w:r>
      <w:r w:rsidRPr="00603521">
        <w:rPr>
          <w:rFonts w:ascii="Calibri" w:eastAsia="Calibri" w:hAnsi="Calibri" w:cs="Calibri"/>
        </w:rPr>
        <w:t xml:space="preserve"> tertiary education, and notes that these challenges are often compounded for students from under-represented backgrounds:</w:t>
      </w:r>
    </w:p>
    <w:p w14:paraId="23B4C393" w14:textId="77777777" w:rsidR="003E0A9D" w:rsidRPr="00603521" w:rsidRDefault="003E0A9D" w:rsidP="003E0A9D">
      <w:pPr>
        <w:tabs>
          <w:tab w:val="left" w:pos="2093"/>
        </w:tabs>
        <w:ind w:left="720"/>
        <w:rPr>
          <w:rFonts w:ascii="Calibri" w:eastAsia="Calibri" w:hAnsi="Calibri" w:cs="Calibri"/>
        </w:rPr>
      </w:pPr>
      <w:r w:rsidRPr="00603521">
        <w:rPr>
          <w:rFonts w:ascii="Calibri" w:eastAsia="Calibri" w:hAnsi="Calibri" w:cs="Calibri"/>
          <w:i/>
        </w:rPr>
        <w:t xml:space="preserve">“Many stakeholders have highlighted the costs of undertaking higher education, including the increased cost of living and the need to supplement income support, as a significant barrier to successful participation. This is particularly challenging for students who have dependents, are relocating to take up the opportunity to study, or come from financially disadvantaged backgrounds…. Providers, governments, students and their families and communities, as well as employers, need to work effectively together for the overall system to work better.” </w:t>
      </w:r>
      <w:r w:rsidRPr="00603521">
        <w:rPr>
          <w:rFonts w:ascii="Calibri" w:eastAsia="Calibri" w:hAnsi="Calibri" w:cs="Calibri"/>
        </w:rPr>
        <w:t>Australian Universities Accord Discussion paper, February 2023, p. 25.</w:t>
      </w:r>
    </w:p>
    <w:p w14:paraId="68BFADF9" w14:textId="59F87D17" w:rsidR="003E0A9D" w:rsidRPr="00603521" w:rsidRDefault="003E0A9D" w:rsidP="003E0A9D">
      <w:pPr>
        <w:tabs>
          <w:tab w:val="left" w:pos="2093"/>
        </w:tabs>
        <w:rPr>
          <w:rFonts w:ascii="Calibri" w:eastAsia="Calibri" w:hAnsi="Calibri" w:cs="Calibri"/>
        </w:rPr>
      </w:pPr>
      <w:r w:rsidRPr="00603521">
        <w:rPr>
          <w:rFonts w:ascii="Calibri" w:eastAsia="Calibri" w:hAnsi="Calibri" w:cs="Calibri"/>
        </w:rPr>
        <w:t>To address these barriers to success, the Discussion Paper ask</w:t>
      </w:r>
      <w:r w:rsidR="005C38F0">
        <w:rPr>
          <w:rFonts w:ascii="Calibri" w:eastAsia="Calibri" w:hAnsi="Calibri" w:cs="Calibri"/>
        </w:rPr>
        <w:t>ed</w:t>
      </w:r>
      <w:r w:rsidRPr="00603521">
        <w:rPr>
          <w:rFonts w:ascii="Calibri" w:eastAsia="Calibri" w:hAnsi="Calibri" w:cs="Calibri"/>
        </w:rPr>
        <w:t xml:space="preserve"> stakeholders how governments, institutions and employers can best assist students to widen opportunities. It also ask</w:t>
      </w:r>
      <w:r w:rsidR="005C38F0">
        <w:rPr>
          <w:rFonts w:ascii="Calibri" w:eastAsia="Calibri" w:hAnsi="Calibri" w:cs="Calibri"/>
        </w:rPr>
        <w:t>ed</w:t>
      </w:r>
      <w:r w:rsidRPr="00603521">
        <w:rPr>
          <w:rFonts w:ascii="Calibri" w:eastAsia="Calibri" w:hAnsi="Calibri" w:cs="Calibri"/>
        </w:rPr>
        <w:t xml:space="preserve"> how the costs of participation can be alleviated, and how best practice learning and teaching for students from under-represented groups can be embedded across the higher education system.</w:t>
      </w:r>
    </w:p>
    <w:p w14:paraId="1C8225EA" w14:textId="77777777" w:rsidR="003E0A9D" w:rsidRPr="00603521" w:rsidRDefault="003E0A9D" w:rsidP="003E0A9D">
      <w:pPr>
        <w:tabs>
          <w:tab w:val="left" w:pos="2093"/>
        </w:tabs>
        <w:rPr>
          <w:rFonts w:ascii="Calibri" w:eastAsia="Calibri" w:hAnsi="Calibri" w:cs="Calibri"/>
        </w:rPr>
      </w:pPr>
      <w:r w:rsidRPr="00603521">
        <w:rPr>
          <w:rFonts w:ascii="Calibri" w:eastAsia="Calibri" w:hAnsi="Calibri" w:cs="Calibri"/>
        </w:rPr>
        <w:t>35 per cent of submissions (105 submissions) responded to these questions. Seven key recommendations were identified:</w:t>
      </w:r>
    </w:p>
    <w:p w14:paraId="47F55088" w14:textId="73701051" w:rsidR="003E0A9D" w:rsidRPr="00603521" w:rsidRDefault="00EC1E16" w:rsidP="003E0A9D">
      <w:pPr>
        <w:numPr>
          <w:ilvl w:val="0"/>
          <w:numId w:val="79"/>
        </w:numPr>
        <w:tabs>
          <w:tab w:val="left" w:pos="2093"/>
        </w:tabs>
        <w:spacing w:line="360" w:lineRule="auto"/>
        <w:contextualSpacing/>
        <w:rPr>
          <w:rFonts w:ascii="Calibri" w:eastAsia="Calibri" w:hAnsi="Calibri" w:cs="Calibri"/>
        </w:rPr>
      </w:pPr>
      <w:r>
        <w:rPr>
          <w:rFonts w:ascii="Calibri" w:eastAsia="Calibri" w:hAnsi="Calibri" w:cs="Calibri"/>
        </w:rPr>
        <w:t>i</w:t>
      </w:r>
      <w:r w:rsidR="003E0A9D" w:rsidRPr="00603521">
        <w:rPr>
          <w:rFonts w:ascii="Calibri" w:eastAsia="Calibri" w:hAnsi="Calibri" w:cs="Calibri"/>
        </w:rPr>
        <w:t>ncrease financial support for students (56 submissions)</w:t>
      </w:r>
    </w:p>
    <w:p w14:paraId="291F5909" w14:textId="225184DC" w:rsidR="003E0A9D" w:rsidRPr="00603521" w:rsidRDefault="00EC1E16" w:rsidP="003E0A9D">
      <w:pPr>
        <w:numPr>
          <w:ilvl w:val="0"/>
          <w:numId w:val="79"/>
        </w:numPr>
        <w:tabs>
          <w:tab w:val="left" w:pos="2093"/>
        </w:tabs>
        <w:spacing w:line="360" w:lineRule="auto"/>
        <w:contextualSpacing/>
        <w:rPr>
          <w:rFonts w:ascii="Calibri" w:eastAsia="Calibri" w:hAnsi="Calibri" w:cs="Calibri"/>
        </w:rPr>
      </w:pPr>
      <w:r>
        <w:rPr>
          <w:rFonts w:ascii="Calibri" w:eastAsia="Calibri" w:hAnsi="Calibri" w:cs="Calibri"/>
        </w:rPr>
        <w:t>i</w:t>
      </w:r>
      <w:r w:rsidR="003E0A9D" w:rsidRPr="00603521">
        <w:rPr>
          <w:rFonts w:ascii="Calibri" w:eastAsia="Calibri" w:hAnsi="Calibri" w:cs="Calibri"/>
        </w:rPr>
        <w:t>ncreased support and utilisation of services in regional and remote Australia (</w:t>
      </w:r>
      <w:r w:rsidR="00A46134">
        <w:rPr>
          <w:rFonts w:ascii="Calibri" w:eastAsia="Calibri" w:hAnsi="Calibri" w:cs="Calibri"/>
        </w:rPr>
        <w:t>9</w:t>
      </w:r>
      <w:r w:rsidR="003E0A9D" w:rsidRPr="00603521">
        <w:rPr>
          <w:rFonts w:ascii="Calibri" w:eastAsia="Calibri" w:hAnsi="Calibri" w:cs="Calibri"/>
        </w:rPr>
        <w:t xml:space="preserve"> submissions)</w:t>
      </w:r>
    </w:p>
    <w:p w14:paraId="32A769C4" w14:textId="61C5B87B" w:rsidR="003E0A9D" w:rsidRPr="00603521" w:rsidRDefault="00EC1E16" w:rsidP="003E0A9D">
      <w:pPr>
        <w:pStyle w:val="ListParagraph"/>
        <w:numPr>
          <w:ilvl w:val="0"/>
          <w:numId w:val="79"/>
        </w:numPr>
        <w:tabs>
          <w:tab w:val="left" w:pos="2093"/>
        </w:tabs>
        <w:rPr>
          <w:rFonts w:eastAsia="Calibri" w:cs="Calibri"/>
        </w:rPr>
      </w:pPr>
      <w:r>
        <w:rPr>
          <w:rFonts w:eastAsia="Calibri" w:cs="Calibri"/>
        </w:rPr>
        <w:t>i</w:t>
      </w:r>
      <w:r w:rsidR="003E0A9D" w:rsidRPr="00603521">
        <w:rPr>
          <w:rFonts w:eastAsia="Calibri" w:cs="Calibri"/>
        </w:rPr>
        <w:t>ntroduce greater flexibility and support for students at universities (</w:t>
      </w:r>
      <w:r w:rsidR="00A46134">
        <w:rPr>
          <w:rFonts w:eastAsia="Calibri" w:cs="Calibri"/>
        </w:rPr>
        <w:t>7</w:t>
      </w:r>
      <w:r w:rsidR="003E0A9D" w:rsidRPr="00603521">
        <w:rPr>
          <w:rFonts w:eastAsia="Calibri" w:cs="Calibri"/>
        </w:rPr>
        <w:t xml:space="preserve"> submissions)</w:t>
      </w:r>
    </w:p>
    <w:p w14:paraId="5B914038" w14:textId="1F8E42FE" w:rsidR="003E0A9D" w:rsidRPr="00603521" w:rsidRDefault="00EC1E16" w:rsidP="003E0A9D">
      <w:pPr>
        <w:numPr>
          <w:ilvl w:val="0"/>
          <w:numId w:val="79"/>
        </w:numPr>
        <w:tabs>
          <w:tab w:val="left" w:pos="2093"/>
        </w:tabs>
        <w:spacing w:line="360" w:lineRule="auto"/>
        <w:contextualSpacing/>
        <w:rPr>
          <w:rFonts w:ascii="Calibri" w:eastAsia="Calibri" w:hAnsi="Calibri" w:cs="Calibri"/>
        </w:rPr>
      </w:pPr>
      <w:r>
        <w:rPr>
          <w:rFonts w:ascii="Calibri" w:eastAsia="Calibri" w:hAnsi="Calibri" w:cs="Calibri"/>
        </w:rPr>
        <w:t>i</w:t>
      </w:r>
      <w:r w:rsidR="003E0A9D" w:rsidRPr="00603521">
        <w:rPr>
          <w:rFonts w:ascii="Calibri" w:eastAsia="Calibri" w:hAnsi="Calibri" w:cs="Calibri"/>
        </w:rPr>
        <w:t>mprove remote learning opportunities at university (</w:t>
      </w:r>
      <w:r w:rsidR="00A46134">
        <w:rPr>
          <w:rFonts w:ascii="Calibri" w:eastAsia="Calibri" w:hAnsi="Calibri" w:cs="Calibri"/>
        </w:rPr>
        <w:t>8</w:t>
      </w:r>
      <w:r w:rsidR="003E0A9D" w:rsidRPr="00603521">
        <w:rPr>
          <w:rFonts w:ascii="Calibri" w:eastAsia="Calibri" w:hAnsi="Calibri" w:cs="Calibri"/>
        </w:rPr>
        <w:t xml:space="preserve"> submissions)</w:t>
      </w:r>
    </w:p>
    <w:p w14:paraId="6E599123" w14:textId="1217B37E" w:rsidR="003E0A9D" w:rsidRPr="00603521" w:rsidRDefault="00EC1E16" w:rsidP="003E0A9D">
      <w:pPr>
        <w:numPr>
          <w:ilvl w:val="0"/>
          <w:numId w:val="79"/>
        </w:numPr>
        <w:tabs>
          <w:tab w:val="left" w:pos="2093"/>
        </w:tabs>
        <w:spacing w:line="360" w:lineRule="auto"/>
        <w:contextualSpacing/>
        <w:rPr>
          <w:rFonts w:ascii="Calibri" w:eastAsia="Calibri" w:hAnsi="Calibri" w:cs="Calibri"/>
        </w:rPr>
      </w:pPr>
      <w:r>
        <w:rPr>
          <w:rFonts w:ascii="Calibri" w:eastAsia="Calibri" w:hAnsi="Calibri" w:cs="Calibri"/>
        </w:rPr>
        <w:lastRenderedPageBreak/>
        <w:t>p</w:t>
      </w:r>
      <w:r w:rsidR="003E0A9D" w:rsidRPr="00603521">
        <w:rPr>
          <w:rFonts w:ascii="Calibri" w:eastAsia="Calibri" w:hAnsi="Calibri" w:cs="Calibri"/>
        </w:rPr>
        <w:t>rovide more flexible learning paths and courses (</w:t>
      </w:r>
      <w:r w:rsidR="00A46134">
        <w:rPr>
          <w:rFonts w:ascii="Calibri" w:eastAsia="Calibri" w:hAnsi="Calibri" w:cs="Calibri"/>
        </w:rPr>
        <w:t>4</w:t>
      </w:r>
      <w:r w:rsidR="003E0A9D" w:rsidRPr="00603521">
        <w:rPr>
          <w:rFonts w:ascii="Calibri" w:eastAsia="Calibri" w:hAnsi="Calibri" w:cs="Calibri"/>
        </w:rPr>
        <w:t xml:space="preserve"> submissions)</w:t>
      </w:r>
    </w:p>
    <w:p w14:paraId="7D21E206" w14:textId="67DA44A0" w:rsidR="003E0A9D" w:rsidRPr="00603521" w:rsidRDefault="00EC1E16" w:rsidP="003E0A9D">
      <w:pPr>
        <w:numPr>
          <w:ilvl w:val="0"/>
          <w:numId w:val="79"/>
        </w:numPr>
        <w:tabs>
          <w:tab w:val="left" w:pos="2093"/>
        </w:tabs>
        <w:spacing w:line="360" w:lineRule="auto"/>
        <w:contextualSpacing/>
        <w:rPr>
          <w:rFonts w:ascii="Calibri" w:eastAsia="Calibri" w:hAnsi="Calibri" w:cs="Calibri"/>
        </w:rPr>
      </w:pPr>
      <w:r>
        <w:rPr>
          <w:rFonts w:ascii="Calibri" w:eastAsia="Calibri" w:hAnsi="Calibri" w:cs="Calibri"/>
        </w:rPr>
        <w:t>c</w:t>
      </w:r>
      <w:r w:rsidR="003E0A9D" w:rsidRPr="00603521">
        <w:rPr>
          <w:rFonts w:ascii="Calibri" w:eastAsia="Calibri" w:hAnsi="Calibri" w:cs="Calibri"/>
        </w:rPr>
        <w:t>reate a centralised institute or resource to support students (</w:t>
      </w:r>
      <w:r w:rsidR="00A46134">
        <w:rPr>
          <w:rFonts w:ascii="Calibri" w:eastAsia="Calibri" w:hAnsi="Calibri" w:cs="Calibri"/>
        </w:rPr>
        <w:t>3</w:t>
      </w:r>
      <w:r w:rsidR="003E0A9D" w:rsidRPr="00603521">
        <w:rPr>
          <w:rFonts w:ascii="Calibri" w:eastAsia="Calibri" w:hAnsi="Calibri" w:cs="Calibri"/>
        </w:rPr>
        <w:t xml:space="preserve"> submissions)</w:t>
      </w:r>
    </w:p>
    <w:p w14:paraId="17E8F931" w14:textId="77777777" w:rsidR="003E0A9D" w:rsidRPr="00603521" w:rsidRDefault="003E0A9D" w:rsidP="003E0A9D">
      <w:pPr>
        <w:tabs>
          <w:tab w:val="left" w:pos="2093"/>
        </w:tabs>
        <w:rPr>
          <w:rFonts w:ascii="Calibri" w:eastAsia="Calibri" w:hAnsi="Calibri" w:cs="Calibri"/>
        </w:rPr>
      </w:pPr>
      <w:r w:rsidRPr="00603521">
        <w:rPr>
          <w:rFonts w:ascii="Calibri" w:eastAsia="Calibri" w:hAnsi="Calibri" w:cs="Calibri"/>
        </w:rPr>
        <w:t>These points are discussed in detail below.</w:t>
      </w:r>
    </w:p>
    <w:p w14:paraId="5FAC8DC3" w14:textId="77777777" w:rsidR="003E0A9D" w:rsidRPr="00603521" w:rsidRDefault="003E0A9D" w:rsidP="003E0A9D">
      <w:pPr>
        <w:pStyle w:val="Heading5"/>
        <w:rPr>
          <w:rFonts w:cs="Calibri"/>
        </w:rPr>
      </w:pPr>
      <w:r w:rsidRPr="00603521">
        <w:rPr>
          <w:rFonts w:cs="Calibri"/>
        </w:rPr>
        <w:t>Increase financial support for students</w:t>
      </w:r>
    </w:p>
    <w:p w14:paraId="79C75E2F" w14:textId="77777777" w:rsidR="003E0A9D" w:rsidRPr="00603521" w:rsidRDefault="003E0A9D" w:rsidP="003E0A9D">
      <w:pPr>
        <w:rPr>
          <w:rFonts w:ascii="Calibri" w:eastAsia="Calibri" w:hAnsi="Calibri" w:cs="Calibri"/>
        </w:rPr>
      </w:pPr>
      <w:r w:rsidRPr="00603521">
        <w:rPr>
          <w:rFonts w:ascii="Calibri" w:eastAsia="Calibri" w:hAnsi="Calibri" w:cs="Calibri"/>
        </w:rPr>
        <w:t>56 submissions argued that addressing the financial burden on students is critical to addressing barriers to success. Most predominant was the call for a comprehensive review of student income support systems, as highlighted by 38 submissions.</w:t>
      </w:r>
    </w:p>
    <w:p w14:paraId="707523F0" w14:textId="77777777" w:rsidR="003E0A9D" w:rsidRPr="00603521" w:rsidRDefault="003E0A9D" w:rsidP="003E0A9D">
      <w:pPr>
        <w:rPr>
          <w:rFonts w:ascii="Calibri" w:eastAsia="Calibri" w:hAnsi="Calibri" w:cs="Calibri"/>
        </w:rPr>
      </w:pPr>
      <w:r w:rsidRPr="00603521">
        <w:rPr>
          <w:rFonts w:ascii="Calibri" w:eastAsia="Calibri" w:hAnsi="Calibri" w:cs="Calibri"/>
        </w:rPr>
        <w:t>70 per cent of these submissions (27 submissions) argued that support provided through Centrelink, including AUSTUDY, ABSTUDY, Youth Allowance, Rent Assistance and the Tertiary Access Scheme, should be reviewed with a view to increase financial support to students and increase the number of students eligible for support, particularly those from under-represented groups. In addition to increasing payments, submissions identified a number of unfair eligibility requirements that limited student access to Centrelink, including:</w:t>
      </w:r>
    </w:p>
    <w:p w14:paraId="58F0998F" w14:textId="77777777" w:rsidR="003E0A9D" w:rsidRPr="00603521" w:rsidRDefault="003E0A9D" w:rsidP="003E0A9D">
      <w:pPr>
        <w:pStyle w:val="ListParagraph"/>
        <w:numPr>
          <w:ilvl w:val="0"/>
          <w:numId w:val="91"/>
        </w:numPr>
        <w:spacing w:line="276" w:lineRule="auto"/>
        <w:rPr>
          <w:rFonts w:eastAsia="Calibri" w:cs="Calibri"/>
        </w:rPr>
      </w:pPr>
      <w:r w:rsidRPr="00603521">
        <w:rPr>
          <w:rFonts w:eastAsia="Calibri" w:cs="Calibri"/>
        </w:rPr>
        <w:t>The restrictive definition of independence</w:t>
      </w:r>
    </w:p>
    <w:p w14:paraId="213FE808" w14:textId="77777777" w:rsidR="003E0A9D" w:rsidRPr="00603521" w:rsidRDefault="003E0A9D" w:rsidP="003E0A9D">
      <w:pPr>
        <w:pStyle w:val="ListParagraph"/>
        <w:numPr>
          <w:ilvl w:val="0"/>
          <w:numId w:val="91"/>
        </w:numPr>
        <w:spacing w:line="276" w:lineRule="auto"/>
        <w:rPr>
          <w:rFonts w:eastAsia="Calibri" w:cs="Calibri"/>
        </w:rPr>
      </w:pPr>
      <w:r w:rsidRPr="00603521">
        <w:rPr>
          <w:rFonts w:eastAsia="Calibri" w:cs="Calibri"/>
        </w:rPr>
        <w:t>The need to maintain a full-time study load, regardless of student circumstances</w:t>
      </w:r>
    </w:p>
    <w:p w14:paraId="2BB52FA8" w14:textId="77777777" w:rsidR="003E0A9D" w:rsidRPr="00603521" w:rsidRDefault="003E0A9D" w:rsidP="003E0A9D">
      <w:pPr>
        <w:pStyle w:val="ListParagraph"/>
        <w:numPr>
          <w:ilvl w:val="0"/>
          <w:numId w:val="91"/>
        </w:numPr>
        <w:spacing w:line="276" w:lineRule="auto"/>
        <w:rPr>
          <w:rFonts w:eastAsia="Calibri" w:cs="Calibri"/>
        </w:rPr>
      </w:pPr>
      <w:r w:rsidRPr="00603521">
        <w:rPr>
          <w:rFonts w:eastAsia="Calibri" w:cs="Calibri"/>
        </w:rPr>
        <w:t>Parental income thresholds that do not accurately judge parental support or incomes that change year to year (e.g., farming income)</w:t>
      </w:r>
    </w:p>
    <w:p w14:paraId="60F21513" w14:textId="77777777" w:rsidR="003E0A9D" w:rsidRPr="00603521" w:rsidRDefault="003E0A9D" w:rsidP="003E0A9D">
      <w:pPr>
        <w:rPr>
          <w:rFonts w:ascii="Calibri" w:eastAsia="Calibri" w:hAnsi="Calibri" w:cs="Calibri"/>
        </w:rPr>
      </w:pPr>
      <w:r w:rsidRPr="00603521">
        <w:rPr>
          <w:rFonts w:ascii="Calibri" w:eastAsia="Calibri" w:hAnsi="Calibri" w:cs="Calibri"/>
        </w:rPr>
        <w:t>Other recommendations to review student income support systems include:</w:t>
      </w:r>
    </w:p>
    <w:p w14:paraId="421F59F6" w14:textId="19C232A1"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r</w:t>
      </w:r>
      <w:r w:rsidR="003E0A9D" w:rsidRPr="00603521">
        <w:rPr>
          <w:rFonts w:ascii="Calibri" w:eastAsia="Calibri" w:hAnsi="Calibri" w:cs="Calibri"/>
        </w:rPr>
        <w:t>eassess indexation associated with HECS-HELP loans, with a view to halting indexation (</w:t>
      </w:r>
      <w:r w:rsidR="00A46134">
        <w:rPr>
          <w:rFonts w:ascii="Calibri" w:eastAsia="Calibri" w:hAnsi="Calibri" w:cs="Calibri"/>
        </w:rPr>
        <w:t>3</w:t>
      </w:r>
      <w:r w:rsidR="003E0A9D" w:rsidRPr="00603521">
        <w:rPr>
          <w:rFonts w:ascii="Calibri" w:eastAsia="Calibri" w:hAnsi="Calibri" w:cs="Calibri"/>
        </w:rPr>
        <w:t xml:space="preserve"> submissions)</w:t>
      </w:r>
    </w:p>
    <w:p w14:paraId="47CB06F6" w14:textId="5758A69B"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c</w:t>
      </w:r>
      <w:r w:rsidR="003E0A9D" w:rsidRPr="00603521">
        <w:rPr>
          <w:rFonts w:ascii="Calibri" w:eastAsia="Calibri" w:hAnsi="Calibri" w:cs="Calibri"/>
        </w:rPr>
        <w:t>ap course prices upon enrolment to safeguard students from rate increases during their study program (</w:t>
      </w:r>
      <w:r w:rsidR="00A46134">
        <w:rPr>
          <w:rFonts w:ascii="Calibri" w:eastAsia="Calibri" w:hAnsi="Calibri" w:cs="Calibri"/>
        </w:rPr>
        <w:t>1</w:t>
      </w:r>
      <w:r w:rsidR="003E0A9D" w:rsidRPr="00603521">
        <w:rPr>
          <w:rFonts w:ascii="Calibri" w:eastAsia="Calibri" w:hAnsi="Calibri" w:cs="Calibri"/>
        </w:rPr>
        <w:t xml:space="preserve"> submission)</w:t>
      </w:r>
    </w:p>
    <w:p w14:paraId="52D6E7FA" w14:textId="3495CEBC"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c</w:t>
      </w:r>
      <w:r w:rsidR="003E0A9D" w:rsidRPr="00603521">
        <w:rPr>
          <w:rFonts w:ascii="Calibri" w:eastAsia="Calibri" w:hAnsi="Calibri" w:cs="Calibri"/>
        </w:rPr>
        <w:t>reate a National Participation Fund to provide funds to underrepresented students to address living costs and improve access (</w:t>
      </w:r>
      <w:r w:rsidR="00A46134">
        <w:rPr>
          <w:rFonts w:ascii="Calibri" w:eastAsia="Calibri" w:hAnsi="Calibri" w:cs="Calibri"/>
        </w:rPr>
        <w:t>3</w:t>
      </w:r>
      <w:r w:rsidR="003E0A9D" w:rsidRPr="00603521">
        <w:rPr>
          <w:rFonts w:ascii="Calibri" w:eastAsia="Calibri" w:hAnsi="Calibri" w:cs="Calibri"/>
        </w:rPr>
        <w:t xml:space="preserve"> submissions)</w:t>
      </w:r>
    </w:p>
    <w:p w14:paraId="198E4F25" w14:textId="23168D76"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a</w:t>
      </w:r>
      <w:r w:rsidR="003E0A9D" w:rsidRPr="00603521">
        <w:rPr>
          <w:rFonts w:ascii="Calibri" w:eastAsia="Calibri" w:hAnsi="Calibri" w:cs="Calibri"/>
        </w:rPr>
        <w:t>ddress the cost and availability of housing, through increased support and greater availability of appropriate student accommodation (</w:t>
      </w:r>
      <w:r w:rsidR="00A46134">
        <w:rPr>
          <w:rFonts w:ascii="Calibri" w:eastAsia="Calibri" w:hAnsi="Calibri" w:cs="Calibri"/>
        </w:rPr>
        <w:t>6</w:t>
      </w:r>
      <w:r w:rsidR="003E0A9D" w:rsidRPr="00603521">
        <w:rPr>
          <w:rFonts w:ascii="Calibri" w:eastAsia="Calibri" w:hAnsi="Calibri" w:cs="Calibri"/>
        </w:rPr>
        <w:t xml:space="preserve"> submissions)</w:t>
      </w:r>
    </w:p>
    <w:p w14:paraId="037EF272" w14:textId="5E7A4542"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s</w:t>
      </w:r>
      <w:r w:rsidR="003E0A9D" w:rsidRPr="00603521">
        <w:rPr>
          <w:rFonts w:ascii="Calibri" w:eastAsia="Calibri" w:hAnsi="Calibri" w:cs="Calibri"/>
        </w:rPr>
        <w:t>upplement other student costs, such as field studies and textbooks, to facilitate student engagement and success (</w:t>
      </w:r>
      <w:r w:rsidR="00A46134">
        <w:rPr>
          <w:rFonts w:ascii="Calibri" w:eastAsia="Calibri" w:hAnsi="Calibri" w:cs="Calibri"/>
        </w:rPr>
        <w:t>2</w:t>
      </w:r>
      <w:r w:rsidR="003E0A9D" w:rsidRPr="00603521">
        <w:rPr>
          <w:rFonts w:ascii="Calibri" w:eastAsia="Calibri" w:hAnsi="Calibri" w:cs="Calibri"/>
        </w:rPr>
        <w:t xml:space="preserve"> submissions) </w:t>
      </w:r>
    </w:p>
    <w:p w14:paraId="3827B523" w14:textId="4381962A"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i</w:t>
      </w:r>
      <w:r w:rsidR="003E0A9D" w:rsidRPr="00603521">
        <w:rPr>
          <w:rFonts w:ascii="Calibri" w:eastAsia="Calibri" w:hAnsi="Calibri" w:cs="Calibri"/>
        </w:rPr>
        <w:t>ncrease accessibility to the Disability Support Pension to improve access to higher education for students with disability (</w:t>
      </w:r>
      <w:r w:rsidR="00A46134">
        <w:rPr>
          <w:rFonts w:ascii="Calibri" w:eastAsia="Calibri" w:hAnsi="Calibri" w:cs="Calibri"/>
        </w:rPr>
        <w:t>1</w:t>
      </w:r>
      <w:r w:rsidR="003E0A9D" w:rsidRPr="00603521">
        <w:rPr>
          <w:rFonts w:ascii="Calibri" w:eastAsia="Calibri" w:hAnsi="Calibri" w:cs="Calibri"/>
        </w:rPr>
        <w:t xml:space="preserve"> submission)</w:t>
      </w:r>
    </w:p>
    <w:p w14:paraId="665CE29E" w14:textId="5C70653D" w:rsidR="003E0A9D" w:rsidRPr="00603521" w:rsidRDefault="007A44F7" w:rsidP="003E0A9D">
      <w:pPr>
        <w:numPr>
          <w:ilvl w:val="0"/>
          <w:numId w:val="83"/>
        </w:numPr>
        <w:spacing w:line="360" w:lineRule="auto"/>
        <w:contextualSpacing/>
        <w:rPr>
          <w:rFonts w:ascii="Calibri" w:eastAsia="Calibri" w:hAnsi="Calibri" w:cs="Calibri"/>
        </w:rPr>
      </w:pPr>
      <w:r>
        <w:rPr>
          <w:rFonts w:ascii="Calibri" w:eastAsia="Calibri" w:hAnsi="Calibri" w:cs="Calibri"/>
        </w:rPr>
        <w:t>m</w:t>
      </w:r>
      <w:r w:rsidR="003E0A9D" w:rsidRPr="00603521">
        <w:rPr>
          <w:rFonts w:ascii="Calibri" w:eastAsia="Calibri" w:hAnsi="Calibri" w:cs="Calibri"/>
        </w:rPr>
        <w:t>ake education expenses tax deductible (</w:t>
      </w:r>
      <w:r w:rsidR="00A46134">
        <w:rPr>
          <w:rFonts w:ascii="Calibri" w:eastAsia="Calibri" w:hAnsi="Calibri" w:cs="Calibri"/>
        </w:rPr>
        <w:t>1</w:t>
      </w:r>
      <w:r w:rsidR="003E0A9D" w:rsidRPr="00603521">
        <w:rPr>
          <w:rFonts w:ascii="Calibri" w:eastAsia="Calibri" w:hAnsi="Calibri" w:cs="Calibri"/>
        </w:rPr>
        <w:t xml:space="preserve"> submission)</w:t>
      </w:r>
    </w:p>
    <w:p w14:paraId="146EBE9D" w14:textId="443CC9B1" w:rsidR="003E0A9D" w:rsidRPr="00603521" w:rsidRDefault="003E0A9D" w:rsidP="003E0A9D">
      <w:pPr>
        <w:rPr>
          <w:rFonts w:ascii="Calibri" w:eastAsia="Calibri" w:hAnsi="Calibri" w:cs="Calibri"/>
        </w:rPr>
      </w:pPr>
      <w:r w:rsidRPr="00603521">
        <w:rPr>
          <w:rFonts w:ascii="Calibri" w:eastAsia="Calibri" w:hAnsi="Calibri" w:cs="Calibri"/>
        </w:rPr>
        <w:t xml:space="preserve">Seven submissions argued for an increase in the number of scholarships, especially for underrepresented cohorts. However, two of these submissions noted that scholarships alone were not sufficient to address the needs of students, and that they should be considered together with other supports for students: </w:t>
      </w:r>
    </w:p>
    <w:p w14:paraId="77934022" w14:textId="77777777" w:rsidR="003E0A9D" w:rsidRPr="00603521" w:rsidRDefault="003E0A9D" w:rsidP="003E0A9D">
      <w:pPr>
        <w:ind w:left="360"/>
        <w:rPr>
          <w:rFonts w:ascii="Calibri" w:eastAsia="Calibri" w:hAnsi="Calibri" w:cs="Calibri"/>
        </w:rPr>
      </w:pPr>
      <w:r w:rsidRPr="00603521">
        <w:rPr>
          <w:rFonts w:ascii="Calibri" w:eastAsia="Calibri" w:hAnsi="Calibri" w:cs="Calibri"/>
          <w:i/>
        </w:rPr>
        <w:lastRenderedPageBreak/>
        <w:t xml:space="preserve">“Despite the value of such scholarship funds, The Smith Family’s experience working with young people experiencing disadvantage is that they are not, in isolation, sufficient to support significant numbers of young people to complete tertiary education. While scholarships assist students in financial need enough to stay at university, they can only do so much to overcome the effects of complex personal lives… for optimal outcomes, scholarships need to be embedded in comprehensive support systems that support students to navigate systems, overcome personal barriers to participation and provide access to networks and career supportive opportunities.” </w:t>
      </w:r>
      <w:r w:rsidRPr="00603521">
        <w:rPr>
          <w:rFonts w:ascii="Calibri" w:eastAsia="Calibri" w:hAnsi="Calibri" w:cs="Calibri"/>
        </w:rPr>
        <w:t>The Smith Family</w:t>
      </w:r>
    </w:p>
    <w:p w14:paraId="671053E8" w14:textId="77777777" w:rsidR="003E0A9D" w:rsidRPr="00603521" w:rsidRDefault="003E0A9D" w:rsidP="003E0A9D">
      <w:pPr>
        <w:rPr>
          <w:rFonts w:ascii="Calibri" w:eastAsia="Calibri" w:hAnsi="Calibri" w:cs="Calibri"/>
        </w:rPr>
      </w:pPr>
      <w:r w:rsidRPr="00603521">
        <w:rPr>
          <w:rFonts w:ascii="Calibri" w:eastAsia="Calibri" w:hAnsi="Calibri" w:cs="Calibri"/>
        </w:rPr>
        <w:t>Five submissions recommended the PhD stipend be increased to better support and recognise the role of the students in higher degrees by research (HDRs). Four of these submissions explicitly argued the stipend be at least equivalent to minimum wage.</w:t>
      </w:r>
    </w:p>
    <w:p w14:paraId="786FD959" w14:textId="77777777" w:rsidR="003E0A9D" w:rsidRPr="00603521" w:rsidRDefault="003E0A9D" w:rsidP="003E0A9D">
      <w:pPr>
        <w:rPr>
          <w:rFonts w:ascii="Calibri" w:eastAsia="Calibri" w:hAnsi="Calibri" w:cs="Calibri"/>
        </w:rPr>
      </w:pPr>
      <w:r w:rsidRPr="00603521">
        <w:rPr>
          <w:rFonts w:ascii="Calibri" w:eastAsia="Calibri" w:hAnsi="Calibri" w:cs="Calibri"/>
        </w:rPr>
        <w:t>The scope of loan programs for students was addressed by six submissions. Recommendations to improve Australia’s current loan system include:</w:t>
      </w:r>
    </w:p>
    <w:p w14:paraId="75F22503" w14:textId="07609F4E" w:rsidR="003E0A9D" w:rsidRPr="00603521" w:rsidRDefault="007A44F7" w:rsidP="003E0A9D">
      <w:pPr>
        <w:numPr>
          <w:ilvl w:val="0"/>
          <w:numId w:val="89"/>
        </w:numPr>
        <w:spacing w:line="360" w:lineRule="auto"/>
        <w:contextualSpacing/>
        <w:rPr>
          <w:rFonts w:ascii="Calibri" w:eastAsia="Calibri" w:hAnsi="Calibri" w:cs="Calibri"/>
        </w:rPr>
      </w:pPr>
      <w:r>
        <w:rPr>
          <w:rFonts w:ascii="Calibri" w:eastAsia="Calibri" w:hAnsi="Calibri" w:cs="Calibri"/>
        </w:rPr>
        <w:t>e</w:t>
      </w:r>
      <w:r w:rsidR="003E0A9D" w:rsidRPr="00603521">
        <w:rPr>
          <w:rFonts w:ascii="Calibri" w:eastAsia="Calibri" w:hAnsi="Calibri" w:cs="Calibri"/>
        </w:rPr>
        <w:t>xtend available loans such as HECS-HELP to cover living expenses, with controls to limit excessive borrowing (</w:t>
      </w:r>
      <w:r>
        <w:rPr>
          <w:rFonts w:ascii="Calibri" w:eastAsia="Calibri" w:hAnsi="Calibri" w:cs="Calibri"/>
        </w:rPr>
        <w:t>3</w:t>
      </w:r>
      <w:r w:rsidR="003E0A9D" w:rsidRPr="00603521">
        <w:rPr>
          <w:rFonts w:ascii="Calibri" w:eastAsia="Calibri" w:hAnsi="Calibri" w:cs="Calibri"/>
        </w:rPr>
        <w:t xml:space="preserve"> submissions)</w:t>
      </w:r>
    </w:p>
    <w:p w14:paraId="6582E3B1" w14:textId="53E580A1" w:rsidR="003E0A9D" w:rsidRPr="00603521" w:rsidRDefault="007A44F7" w:rsidP="003E0A9D">
      <w:pPr>
        <w:numPr>
          <w:ilvl w:val="0"/>
          <w:numId w:val="89"/>
        </w:numPr>
        <w:spacing w:line="360" w:lineRule="auto"/>
        <w:contextualSpacing/>
        <w:rPr>
          <w:rFonts w:ascii="Calibri" w:eastAsia="Calibri" w:hAnsi="Calibri" w:cs="Calibri"/>
        </w:rPr>
      </w:pPr>
      <w:r>
        <w:rPr>
          <w:rFonts w:ascii="Calibri" w:eastAsia="Calibri" w:hAnsi="Calibri" w:cs="Calibri"/>
        </w:rPr>
        <w:t>c</w:t>
      </w:r>
      <w:r w:rsidR="003E0A9D" w:rsidRPr="00603521">
        <w:rPr>
          <w:rFonts w:ascii="Calibri" w:eastAsia="Calibri" w:hAnsi="Calibri" w:cs="Calibri"/>
        </w:rPr>
        <w:t>onsolidate existing loan programs into a national flexible loan program (</w:t>
      </w:r>
      <w:r>
        <w:rPr>
          <w:rFonts w:ascii="Calibri" w:eastAsia="Calibri" w:hAnsi="Calibri" w:cs="Calibri"/>
        </w:rPr>
        <w:t>1</w:t>
      </w:r>
      <w:r w:rsidR="003E0A9D" w:rsidRPr="00603521">
        <w:rPr>
          <w:rFonts w:ascii="Calibri" w:eastAsia="Calibri" w:hAnsi="Calibri" w:cs="Calibri"/>
        </w:rPr>
        <w:t xml:space="preserve"> submission)</w:t>
      </w:r>
    </w:p>
    <w:p w14:paraId="6965E406" w14:textId="445E2E4A" w:rsidR="003E0A9D" w:rsidRPr="00603521" w:rsidRDefault="007A44F7" w:rsidP="003E0A9D">
      <w:pPr>
        <w:numPr>
          <w:ilvl w:val="0"/>
          <w:numId w:val="89"/>
        </w:numPr>
        <w:spacing w:line="360" w:lineRule="auto"/>
        <w:contextualSpacing/>
        <w:rPr>
          <w:rFonts w:ascii="Calibri" w:eastAsia="Calibri" w:hAnsi="Calibri" w:cs="Calibri"/>
        </w:rPr>
      </w:pPr>
      <w:r>
        <w:rPr>
          <w:rFonts w:ascii="Calibri" w:eastAsia="Calibri" w:hAnsi="Calibri" w:cs="Calibri"/>
        </w:rPr>
        <w:t>r</w:t>
      </w:r>
      <w:r w:rsidR="003E0A9D" w:rsidRPr="00603521">
        <w:rPr>
          <w:rFonts w:ascii="Calibri" w:eastAsia="Calibri" w:hAnsi="Calibri" w:cs="Calibri"/>
        </w:rPr>
        <w:t>emove the student loan tax for students taking out a VET Student Loan (</w:t>
      </w:r>
      <w:r>
        <w:rPr>
          <w:rFonts w:ascii="Calibri" w:eastAsia="Calibri" w:hAnsi="Calibri" w:cs="Calibri"/>
        </w:rPr>
        <w:t>1</w:t>
      </w:r>
      <w:r w:rsidR="003E0A9D" w:rsidRPr="00603521">
        <w:rPr>
          <w:rFonts w:ascii="Calibri" w:eastAsia="Calibri" w:hAnsi="Calibri" w:cs="Calibri"/>
        </w:rPr>
        <w:t xml:space="preserve"> submission)</w:t>
      </w:r>
    </w:p>
    <w:p w14:paraId="04E9BB83" w14:textId="77777777" w:rsidR="003E0A9D" w:rsidRPr="00603521" w:rsidRDefault="003E0A9D" w:rsidP="003E0A9D">
      <w:pPr>
        <w:rPr>
          <w:rFonts w:ascii="Calibri" w:eastAsia="Calibri" w:hAnsi="Calibri" w:cs="Calibri"/>
        </w:rPr>
      </w:pPr>
      <w:r w:rsidRPr="00603521">
        <w:rPr>
          <w:rFonts w:ascii="Calibri" w:eastAsia="Calibri" w:hAnsi="Calibri" w:cs="Calibri"/>
        </w:rPr>
        <w:t>Five submissions argued that Commonwealth Supported Places (CSPs) should be extended. Three of these submissions argued CSPs should be guaranteed to students from underrepresented cohorts, and one submission argued that there should be greater provision for postgraduate students to be allocated CSPs.</w:t>
      </w:r>
    </w:p>
    <w:p w14:paraId="15CB3156" w14:textId="77777777" w:rsidR="003E0A9D" w:rsidRPr="00603521" w:rsidRDefault="003E0A9D" w:rsidP="003E0A9D">
      <w:pPr>
        <w:ind w:left="360"/>
        <w:rPr>
          <w:rFonts w:ascii="Calibri" w:eastAsia="Calibri" w:hAnsi="Calibri" w:cs="Calibri"/>
        </w:rPr>
      </w:pPr>
      <w:r w:rsidRPr="00603521">
        <w:rPr>
          <w:rFonts w:ascii="Calibri" w:eastAsia="Calibri" w:hAnsi="Calibri" w:cs="Calibri"/>
          <w:i/>
        </w:rPr>
        <w:t xml:space="preserve">“The recently implemented guarantee of a Commonwealth supported place for Aboriginal and Torres Strait Islander students from regional and remote communities is a welcome initiative, but it does not go far enough. In order to see a sizable and sustained increase in participation from underrepresented groups, this initiative should not only be extended to all Aboriginal and Torres Strait Islander students (regardless of location), but to other underrepresented cohorts, including regional and remote students, students with disability, and students from low socio-economic backgrounds.” </w:t>
      </w:r>
      <w:r w:rsidRPr="00603521">
        <w:rPr>
          <w:rFonts w:ascii="Calibri" w:eastAsia="Calibri" w:hAnsi="Calibri" w:cs="Calibri"/>
        </w:rPr>
        <w:t>South Australian Department for Industry, Innovation and Science</w:t>
      </w:r>
    </w:p>
    <w:p w14:paraId="2F30722E" w14:textId="77777777" w:rsidR="003E0A9D" w:rsidRPr="00603521" w:rsidRDefault="003E0A9D" w:rsidP="003E0A9D">
      <w:pPr>
        <w:rPr>
          <w:rFonts w:ascii="Calibri" w:eastAsia="Calibri" w:hAnsi="Calibri" w:cs="Calibri"/>
        </w:rPr>
      </w:pPr>
      <w:r w:rsidRPr="00603521">
        <w:rPr>
          <w:rFonts w:ascii="Calibri" w:eastAsia="Calibri" w:hAnsi="Calibri" w:cs="Calibri"/>
        </w:rPr>
        <w:t>Finally, seven submissions argued for student friendly employment options to improve completion rates and reduce attrition. This included four submissions recommending paid internships or WIL, or the provision of greater financial support for students undertaking such placements.</w:t>
      </w:r>
    </w:p>
    <w:p w14:paraId="7099228E" w14:textId="77777777" w:rsidR="003E0A9D" w:rsidRPr="00603521" w:rsidRDefault="003E0A9D" w:rsidP="003E0A9D">
      <w:pPr>
        <w:ind w:left="360"/>
        <w:rPr>
          <w:rFonts w:ascii="Calibri" w:eastAsia="Calibri" w:hAnsi="Calibri" w:cs="Calibri"/>
        </w:rPr>
      </w:pPr>
      <w:r w:rsidRPr="00603521">
        <w:rPr>
          <w:rFonts w:ascii="Calibri" w:eastAsia="Calibri" w:hAnsi="Calibri" w:cs="Calibri"/>
          <w:i/>
        </w:rPr>
        <w:t xml:space="preserve">“The extensive hours of expected study hours and the demand of compulsory placement leaves many medical students time-poor and with an unpredictable </w:t>
      </w:r>
      <w:proofErr w:type="gramStart"/>
      <w:r w:rsidRPr="00603521">
        <w:rPr>
          <w:rFonts w:ascii="Calibri" w:eastAsia="Calibri" w:hAnsi="Calibri" w:cs="Calibri"/>
          <w:i/>
        </w:rPr>
        <w:t>time-table</w:t>
      </w:r>
      <w:proofErr w:type="gramEnd"/>
      <w:r w:rsidRPr="00603521">
        <w:rPr>
          <w:rFonts w:ascii="Calibri" w:eastAsia="Calibri" w:hAnsi="Calibri" w:cs="Calibri"/>
          <w:i/>
        </w:rPr>
        <w:t xml:space="preserve">. This means many students aren’t able to secure or maintain employment and thus a steady income. Compiled with the costs of studying, fuel, equipment and everyday costs, many students are ﬁnancially stressed.” </w:t>
      </w:r>
      <w:r w:rsidRPr="00603521">
        <w:rPr>
          <w:rFonts w:ascii="Calibri" w:eastAsia="Calibri" w:hAnsi="Calibri" w:cs="Calibri"/>
        </w:rPr>
        <w:t>Australian Medical Students Association</w:t>
      </w:r>
    </w:p>
    <w:p w14:paraId="3DCF853E" w14:textId="77777777" w:rsidR="003E0A9D" w:rsidRPr="00603521" w:rsidRDefault="003E0A9D" w:rsidP="003E0A9D">
      <w:pPr>
        <w:pStyle w:val="Heading5"/>
        <w:rPr>
          <w:rFonts w:cs="Calibri"/>
        </w:rPr>
      </w:pPr>
      <w:r w:rsidRPr="00603521">
        <w:rPr>
          <w:rFonts w:cs="Calibri"/>
        </w:rPr>
        <w:t xml:space="preserve">Increase support and utilisation of services in regional and remote Australia </w:t>
      </w:r>
    </w:p>
    <w:p w14:paraId="5D37657A" w14:textId="77777777" w:rsidR="003E0A9D" w:rsidRPr="00603521" w:rsidRDefault="003E0A9D" w:rsidP="003E0A9D">
      <w:pPr>
        <w:rPr>
          <w:rFonts w:ascii="Calibri" w:eastAsia="Calibri" w:hAnsi="Calibri" w:cs="Calibri"/>
        </w:rPr>
      </w:pPr>
      <w:r w:rsidRPr="00603521">
        <w:rPr>
          <w:rFonts w:ascii="Calibri" w:eastAsia="Calibri" w:hAnsi="Calibri" w:cs="Calibri"/>
        </w:rPr>
        <w:t xml:space="preserve">Nine submissions noted the importance of adequate services for students in regional and remote Australia. Challenges identified by submissions for regional and remote students include relocation </w:t>
      </w:r>
      <w:r w:rsidRPr="00603521">
        <w:rPr>
          <w:rFonts w:ascii="Calibri" w:eastAsia="Calibri" w:hAnsi="Calibri" w:cs="Calibri"/>
        </w:rPr>
        <w:lastRenderedPageBreak/>
        <w:t>and the cost of accommodation (two submissions) and concerns about leaving the local area (one submission). Five submissions noted that tertiary education attainment rates of regional Australia continue to lag the national average.</w:t>
      </w:r>
    </w:p>
    <w:p w14:paraId="313CDDE0" w14:textId="77777777" w:rsidR="003E0A9D" w:rsidRPr="00603521" w:rsidRDefault="003E0A9D" w:rsidP="003E0A9D">
      <w:pPr>
        <w:rPr>
          <w:rFonts w:ascii="Calibri" w:eastAsia="Calibri" w:hAnsi="Calibri" w:cs="Calibri"/>
        </w:rPr>
      </w:pPr>
      <w:r w:rsidRPr="00603521">
        <w:rPr>
          <w:rFonts w:ascii="Calibri" w:eastAsia="Calibri" w:hAnsi="Calibri" w:cs="Calibri"/>
        </w:rPr>
        <w:t>Four submissions noted the important role of Regional University Centres (RUCs) and Country University Centres (CUCs) in the delivery of remote learning for students from regional, rural and remote locations. These submissions recommended ongoing baseline funding be provided for RUCs and CUCs to cement their role in Australian tertiary education, and to explore the use and establishment of RUCs and CUCs in a greater number of locations across Australia to better support regional and remote students.</w:t>
      </w:r>
    </w:p>
    <w:p w14:paraId="0718AB14"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“Ongoing funding and expansion of the Regional University Centre program in its current form, and exploration of low population models that incorporate vocational training within smaller RUCs. Incentivise libraries, regional university campuses and vocational education providers to provide study support and communities of practice for online students in their own communities, regardless of their home institution (in communities where there is not access to an RUC).”</w:t>
      </w:r>
      <w:r w:rsidRPr="00603521">
        <w:rPr>
          <w:rFonts w:ascii="Calibri" w:eastAsia="Calibri" w:hAnsi="Calibri" w:cs="Calibri"/>
        </w:rPr>
        <w:t xml:space="preserve"> – Society for the Provision of Education in Rural Australia.</w:t>
      </w:r>
    </w:p>
    <w:p w14:paraId="5867C36E"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“Support the RUCs through baseline funding to ensure continuity instead of as a program that could be abolished in the future. Utilise RUCs in rural and remote locations to improve access to VET participation in low population models to create pathways into higher education. Utilise the RUCs in locations where there are underrepresented groups to help provide targeted services that increase equitable access to, and success in, education. Explore utilisation of RUCs in remote and very remote locations to support Distance Education to create better education outcomes and pipeline of students into tertiary education.”</w:t>
      </w:r>
      <w:r w:rsidRPr="00603521">
        <w:rPr>
          <w:rFonts w:ascii="Calibri" w:eastAsia="Calibri" w:hAnsi="Calibri" w:cs="Calibri"/>
        </w:rPr>
        <w:t xml:space="preserve"> – Country Universities Centre Balonne.</w:t>
      </w:r>
    </w:p>
    <w:p w14:paraId="1FC13066" w14:textId="00BA61F2" w:rsidR="003E0A9D" w:rsidRPr="0068750A" w:rsidRDefault="003E0A9D" w:rsidP="003E0A9D">
      <w:pPr>
        <w:rPr>
          <w:rFonts w:ascii="Calibri" w:eastAsia="Calibri" w:hAnsi="Calibri" w:cs="Calibri"/>
          <w:i/>
          <w:iCs/>
          <w:u w:val="single"/>
        </w:rPr>
      </w:pPr>
      <w:r w:rsidRPr="00603521">
        <w:rPr>
          <w:rFonts w:ascii="Calibri" w:eastAsia="Calibri" w:hAnsi="Calibri" w:cs="Calibri"/>
        </w:rPr>
        <w:t>This is explored further in</w:t>
      </w:r>
      <w:r w:rsidR="009E38D3">
        <w:rPr>
          <w:rFonts w:ascii="Calibri" w:eastAsia="Calibri" w:hAnsi="Calibri" w:cs="Calibri"/>
        </w:rPr>
        <w:t xml:space="preserve"> the</w:t>
      </w:r>
      <w:r w:rsidRPr="00603521">
        <w:rPr>
          <w:rFonts w:ascii="Calibri" w:eastAsia="Calibri" w:hAnsi="Calibri" w:cs="Calibri"/>
        </w:rPr>
        <w:t xml:space="preserve"> </w:t>
      </w:r>
      <w:r w:rsidRPr="0068750A">
        <w:rPr>
          <w:rFonts w:ascii="Calibri" w:eastAsia="Calibri" w:hAnsi="Calibri" w:cs="Calibri"/>
        </w:rPr>
        <w:t>section</w:t>
      </w:r>
      <w:r w:rsidR="00EC58CE" w:rsidRPr="00EC58CE">
        <w:rPr>
          <w:rFonts w:ascii="Calibri" w:eastAsia="Calibri" w:hAnsi="Calibri" w:cs="Calibri"/>
          <w:i/>
          <w:iCs/>
          <w:u w:val="single"/>
        </w:rPr>
        <w:t xml:space="preserve"> </w:t>
      </w:r>
      <w:r w:rsidR="00EC58CE" w:rsidRPr="00EC58CE">
        <w:rPr>
          <w:rFonts w:ascii="Calibri" w:eastAsia="Calibri" w:hAnsi="Calibri" w:cs="Calibri"/>
          <w:i/>
          <w:iCs/>
          <w:u w:val="single"/>
        </w:rPr>
        <w:fldChar w:fldCharType="begin"/>
      </w:r>
      <w:r w:rsidR="00EC58CE" w:rsidRPr="00EC58CE">
        <w:rPr>
          <w:rFonts w:ascii="Calibri" w:eastAsia="Calibri" w:hAnsi="Calibri" w:cs="Calibri"/>
          <w:i/>
          <w:iCs/>
          <w:u w:val="single"/>
        </w:rPr>
        <w:instrText xml:space="preserve"> REF _Ref135209074 \h  \* MERGEFORMAT </w:instrText>
      </w:r>
      <w:r w:rsidR="00EC58CE" w:rsidRPr="00EC58CE">
        <w:rPr>
          <w:rFonts w:ascii="Calibri" w:eastAsia="Calibri" w:hAnsi="Calibri" w:cs="Calibri"/>
          <w:i/>
          <w:iCs/>
          <w:u w:val="single"/>
        </w:rPr>
      </w:r>
      <w:r w:rsidR="00EC58CE" w:rsidRPr="00EC58CE">
        <w:rPr>
          <w:rFonts w:ascii="Calibri" w:eastAsia="Calibri" w:hAnsi="Calibri" w:cs="Calibri"/>
          <w:i/>
          <w:iCs/>
          <w:u w:val="single"/>
        </w:rPr>
        <w:fldChar w:fldCharType="separate"/>
      </w:r>
      <w:r w:rsidR="00EC58CE" w:rsidRPr="00EC58CE">
        <w:rPr>
          <w:i/>
          <w:iCs/>
          <w:u w:val="single"/>
        </w:rPr>
        <w:t xml:space="preserve">Connection to local, </w:t>
      </w:r>
      <w:proofErr w:type="gramStart"/>
      <w:r w:rsidR="00EC58CE" w:rsidRPr="00EC58CE">
        <w:rPr>
          <w:i/>
          <w:iCs/>
          <w:u w:val="single"/>
        </w:rPr>
        <w:t>regional</w:t>
      </w:r>
      <w:proofErr w:type="gramEnd"/>
      <w:r w:rsidR="00EC58CE" w:rsidRPr="00EC58CE">
        <w:rPr>
          <w:i/>
          <w:iCs/>
          <w:u w:val="single"/>
        </w:rPr>
        <w:t xml:space="preserve"> and international communities</w:t>
      </w:r>
      <w:r w:rsidR="00EC58CE" w:rsidRPr="00EC58CE">
        <w:rPr>
          <w:rFonts w:ascii="Calibri" w:eastAsia="Calibri" w:hAnsi="Calibri" w:cs="Calibri"/>
          <w:i/>
          <w:iCs/>
          <w:u w:val="single"/>
        </w:rPr>
        <w:fldChar w:fldCharType="end"/>
      </w:r>
      <w:r w:rsidR="00EC58CE">
        <w:rPr>
          <w:rFonts w:ascii="Calibri" w:eastAsia="Calibri" w:hAnsi="Calibri" w:cs="Calibri"/>
          <w:i/>
          <w:iCs/>
          <w:u w:val="single"/>
        </w:rPr>
        <w:t>.</w:t>
      </w:r>
      <w:r w:rsidRPr="0068750A">
        <w:rPr>
          <w:rFonts w:ascii="Calibri" w:eastAsia="Calibri" w:hAnsi="Calibri" w:cs="Calibri"/>
        </w:rPr>
        <w:t xml:space="preserve"> </w:t>
      </w:r>
    </w:p>
    <w:p w14:paraId="516A7FF0" w14:textId="77777777" w:rsidR="003E0A9D" w:rsidRPr="00603521" w:rsidRDefault="003E0A9D" w:rsidP="003E0A9D">
      <w:pPr>
        <w:pStyle w:val="Heading5"/>
        <w:rPr>
          <w:rFonts w:cs="Calibri"/>
        </w:rPr>
      </w:pPr>
      <w:r w:rsidRPr="00603521">
        <w:rPr>
          <w:rFonts w:cs="Calibri"/>
        </w:rPr>
        <w:t xml:space="preserve">Introduce greater flexibility and support for students at universities </w:t>
      </w:r>
    </w:p>
    <w:p w14:paraId="7DBAED94" w14:textId="77777777" w:rsidR="003E0A9D" w:rsidRPr="00603521" w:rsidRDefault="003E0A9D" w:rsidP="003E0A9D">
      <w:pPr>
        <w:rPr>
          <w:rFonts w:ascii="Calibri" w:eastAsia="Calibri" w:hAnsi="Calibri" w:cs="Calibri"/>
        </w:rPr>
      </w:pPr>
      <w:r w:rsidRPr="00603521">
        <w:rPr>
          <w:rFonts w:ascii="Calibri" w:eastAsia="Calibri" w:hAnsi="Calibri" w:cs="Calibri"/>
        </w:rPr>
        <w:t>Seven submissions noted the need for greater flexibility and support for students at university, especially for students with disability. Deakin University noted that although there had been a substantial increase in enrolments from students with disability, these students had lower overall employment rates compared to students without disability. The need for more flexible university support structures (three submissions), more accessible campuses (two submissions) and legislative reform (one submission) was highlighted as a pathway to bring about equality in the higher education landscape.</w:t>
      </w:r>
    </w:p>
    <w:p w14:paraId="07394D57" w14:textId="77777777" w:rsidR="003E0A9D" w:rsidRPr="00603521" w:rsidRDefault="003E0A9D" w:rsidP="003E0A9D">
      <w:pPr>
        <w:ind w:left="360"/>
        <w:rPr>
          <w:rFonts w:ascii="Calibri" w:eastAsia="Calibri" w:hAnsi="Calibri" w:cs="Calibri"/>
        </w:rPr>
      </w:pPr>
      <w:r w:rsidRPr="00603521">
        <w:rPr>
          <w:rFonts w:ascii="Calibri" w:eastAsia="Calibri" w:hAnsi="Calibri" w:cs="Calibri"/>
          <w:i/>
        </w:rPr>
        <w:t xml:space="preserve">“As persons with more complex disabilities and different vulnerabilities seek access to higher education, it is vitally important to ensure that education systems are reformed and made inclusive, and that there is increased focus on ensuring students can transition from education to work, and then through the different stages of their careers. The Universities Accord process can and should play a transformational role in this process.” </w:t>
      </w:r>
      <w:r w:rsidRPr="00603521">
        <w:rPr>
          <w:rFonts w:ascii="Calibri" w:eastAsia="Calibri" w:hAnsi="Calibri" w:cs="Calibri"/>
        </w:rPr>
        <w:t>Associate Professor Paul Harpur, affiliated with the Harvard Law School Project on Disability.</w:t>
      </w:r>
    </w:p>
    <w:p w14:paraId="3C58BEC6" w14:textId="77777777" w:rsidR="003E0A9D" w:rsidRPr="00603521" w:rsidRDefault="003E0A9D" w:rsidP="003E0A9D">
      <w:pPr>
        <w:pStyle w:val="Heading5"/>
        <w:rPr>
          <w:rFonts w:cs="Calibri"/>
        </w:rPr>
      </w:pPr>
      <w:r w:rsidRPr="00603521">
        <w:rPr>
          <w:rFonts w:cs="Calibri"/>
        </w:rPr>
        <w:lastRenderedPageBreak/>
        <w:t>Improving remote learning options at universities</w:t>
      </w:r>
    </w:p>
    <w:p w14:paraId="339B864D" w14:textId="77777777" w:rsidR="003E0A9D" w:rsidRPr="00603521" w:rsidRDefault="003E0A9D" w:rsidP="003E0A9D">
      <w:pPr>
        <w:rPr>
          <w:rFonts w:ascii="Calibri" w:eastAsia="Calibri" w:hAnsi="Calibri" w:cs="Calibri"/>
        </w:rPr>
      </w:pPr>
      <w:r w:rsidRPr="00603521">
        <w:rPr>
          <w:rFonts w:ascii="Calibri" w:eastAsia="Calibri" w:hAnsi="Calibri" w:cs="Calibri"/>
        </w:rPr>
        <w:t>Eight submissions identified that online and remote learning is one of the most valued and accessible means of increasing participation from underrepresented students.</w:t>
      </w:r>
    </w:p>
    <w:p w14:paraId="707BFFAD"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“The delivery of online learning has an important place in university, widening participation outreach programs. This includes being able to deliver outreach programs at a distance and reaching more students in regional and low socio-economic areas.”</w:t>
      </w:r>
      <w:r w:rsidRPr="00603521">
        <w:rPr>
          <w:rFonts w:ascii="Calibri" w:eastAsia="Calibri" w:hAnsi="Calibri" w:cs="Calibri"/>
        </w:rPr>
        <w:t xml:space="preserve"> – Australian Association of Social Workers.</w:t>
      </w:r>
    </w:p>
    <w:p w14:paraId="600C8988" w14:textId="77777777" w:rsidR="003E0A9D" w:rsidRPr="00603521" w:rsidRDefault="003E0A9D" w:rsidP="003E0A9D">
      <w:pPr>
        <w:rPr>
          <w:rFonts w:ascii="Calibri" w:eastAsia="Calibri" w:hAnsi="Calibri" w:cs="Calibri"/>
        </w:rPr>
      </w:pPr>
      <w:r w:rsidRPr="00603521">
        <w:rPr>
          <w:rFonts w:ascii="Calibri" w:eastAsia="Calibri" w:hAnsi="Calibri" w:cs="Calibri"/>
        </w:rPr>
        <w:t>The submissions noted this online learning was essential to maintain and expand access especially to indigenous and rural and remote students.</w:t>
      </w:r>
    </w:p>
    <w:p w14:paraId="5C04FFA5"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“Utilise best practice remote learning to deliver all or parts of courses ‘On Country’ allowing First Nations students to remain close to their family, cultural responsibilities, and decrease costs of living in major centres.”</w:t>
      </w:r>
      <w:r w:rsidRPr="00603521">
        <w:rPr>
          <w:rFonts w:ascii="Calibri" w:eastAsia="Calibri" w:hAnsi="Calibri" w:cs="Calibri"/>
        </w:rPr>
        <w:t xml:space="preserve"> – University of Technology Sydney.</w:t>
      </w:r>
    </w:p>
    <w:p w14:paraId="46D04398" w14:textId="77777777" w:rsidR="003E0A9D" w:rsidRPr="00603521" w:rsidRDefault="003E0A9D" w:rsidP="003E0A9D">
      <w:pPr>
        <w:rPr>
          <w:rFonts w:ascii="Calibri" w:eastAsia="Calibri" w:hAnsi="Calibri" w:cs="Calibri"/>
        </w:rPr>
      </w:pPr>
      <w:r w:rsidRPr="00603521">
        <w:rPr>
          <w:rFonts w:ascii="Calibri" w:eastAsia="Calibri" w:hAnsi="Calibri" w:cs="Calibri"/>
        </w:rPr>
        <w:t>The Council of Deans of Nursing and Midwifery (Australia &amp; New Zealand) also cautioned that new online learning models should consider and include the social interactions and professional engagement that is often missing in the delivery and online learning to ensure best practice.</w:t>
      </w:r>
    </w:p>
    <w:p w14:paraId="3EBDF237" w14:textId="77777777" w:rsidR="003E0A9D" w:rsidRPr="00603521" w:rsidRDefault="003E0A9D" w:rsidP="003E0A9D">
      <w:pPr>
        <w:ind w:left="720"/>
        <w:rPr>
          <w:rFonts w:ascii="Calibri" w:eastAsia="Calibri" w:hAnsi="Calibri" w:cs="Calibri"/>
          <w:i/>
        </w:rPr>
      </w:pPr>
      <w:r w:rsidRPr="00603521">
        <w:rPr>
          <w:rFonts w:ascii="Calibri" w:eastAsia="Calibri" w:hAnsi="Calibri" w:cs="Calibri"/>
          <w:i/>
        </w:rPr>
        <w:t xml:space="preserve">“The removal of opportunities for students to interact in person via the delivery of online learning has the potential to undermine humanistic approaches to learning and teaching and practice. </w:t>
      </w:r>
    </w:p>
    <w:p w14:paraId="1801F336"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The curriculum must prioritise learning opportunities for students to interact, use functional English and professional language, demonstrate professional behaviours, and practise relational skills. These are essential not optional or serendipitous learning experiences and must be integrated across the curriculum.”</w:t>
      </w:r>
      <w:r w:rsidRPr="00603521">
        <w:rPr>
          <w:rFonts w:ascii="Calibri" w:eastAsia="Calibri" w:hAnsi="Calibri" w:cs="Calibri"/>
        </w:rPr>
        <w:t xml:space="preserve"> – Council of Deans of Nursing and Midwifery (Australia &amp; New Zealand).</w:t>
      </w:r>
    </w:p>
    <w:p w14:paraId="1DDC202F" w14:textId="77777777" w:rsidR="003E0A9D" w:rsidRPr="00603521" w:rsidRDefault="003E0A9D" w:rsidP="003E0A9D">
      <w:pPr>
        <w:pStyle w:val="Heading5"/>
        <w:rPr>
          <w:rFonts w:cs="Calibri"/>
        </w:rPr>
      </w:pPr>
      <w:r w:rsidRPr="00603521">
        <w:rPr>
          <w:rFonts w:cs="Calibri"/>
        </w:rPr>
        <w:t>Provide more flexible learning paths and courses</w:t>
      </w:r>
    </w:p>
    <w:p w14:paraId="20CB5C14" w14:textId="6AFC8C33" w:rsidR="003E0A9D" w:rsidRPr="00603521" w:rsidRDefault="003E0A9D" w:rsidP="003E0A9D">
      <w:pPr>
        <w:rPr>
          <w:rFonts w:ascii="Calibri" w:eastAsia="Calibri" w:hAnsi="Calibri" w:cs="Calibri"/>
        </w:rPr>
      </w:pPr>
      <w:r w:rsidRPr="00603521">
        <w:rPr>
          <w:rFonts w:ascii="Calibri" w:eastAsia="Calibri" w:hAnsi="Calibri" w:cs="Calibri"/>
        </w:rPr>
        <w:t xml:space="preserve">Four submissions identified that underrepresented students require more support due to other commitments to work, families and their communities. They suggested flexible learning paths, shorter courses and microcredentials would allow </w:t>
      </w:r>
      <w:r w:rsidR="00A77E1B">
        <w:rPr>
          <w:rFonts w:ascii="Calibri" w:eastAsia="Calibri" w:hAnsi="Calibri" w:cs="Calibri"/>
        </w:rPr>
        <w:t>such</w:t>
      </w:r>
      <w:r w:rsidRPr="00603521">
        <w:rPr>
          <w:rFonts w:ascii="Calibri" w:eastAsia="Calibri" w:hAnsi="Calibri" w:cs="Calibri"/>
        </w:rPr>
        <w:t xml:space="preserve"> students to better access higher education.</w:t>
      </w:r>
    </w:p>
    <w:p w14:paraId="34983D2A" w14:textId="759B68AD" w:rsidR="003E0A9D" w:rsidRPr="00603521" w:rsidRDefault="003E0A9D" w:rsidP="003E0A9D">
      <w:pPr>
        <w:rPr>
          <w:rFonts w:ascii="Calibri" w:eastAsia="Calibri" w:hAnsi="Calibri" w:cs="Calibri"/>
        </w:rPr>
      </w:pPr>
      <w:r w:rsidRPr="00603521">
        <w:rPr>
          <w:rFonts w:ascii="Calibri" w:eastAsia="Calibri" w:hAnsi="Calibri" w:cs="Calibri"/>
        </w:rPr>
        <w:t>Ernst &amp; Young also proposed the current model of two semesters annually could be replaced by a tri-semester model</w:t>
      </w:r>
      <w:r w:rsidR="00A77E1B">
        <w:rPr>
          <w:rFonts w:ascii="Calibri" w:eastAsia="Calibri" w:hAnsi="Calibri" w:cs="Calibri"/>
        </w:rPr>
        <w:t>,</w:t>
      </w:r>
      <w:r w:rsidRPr="00603521">
        <w:rPr>
          <w:rFonts w:ascii="Calibri" w:eastAsia="Calibri" w:hAnsi="Calibri" w:cs="Calibri"/>
        </w:rPr>
        <w:t xml:space="preserve"> which would reduce the degree length and reduce participation costs.</w:t>
      </w:r>
    </w:p>
    <w:p w14:paraId="4F6F3C30"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t xml:space="preserve">“The current model for the majority of universities is delivery over two semesters annually, for a </w:t>
      </w:r>
      <w:proofErr w:type="spellStart"/>
      <w:proofErr w:type="gramStart"/>
      <w:r w:rsidRPr="00603521">
        <w:rPr>
          <w:rFonts w:ascii="Calibri" w:eastAsia="Calibri" w:hAnsi="Calibri" w:cs="Calibri"/>
          <w:i/>
        </w:rPr>
        <w:t>bachelors</w:t>
      </w:r>
      <w:proofErr w:type="spellEnd"/>
      <w:proofErr w:type="gramEnd"/>
      <w:r w:rsidRPr="00603521">
        <w:rPr>
          <w:rFonts w:ascii="Calibri" w:eastAsia="Calibri" w:hAnsi="Calibri" w:cs="Calibri"/>
          <w:i/>
        </w:rPr>
        <w:t xml:space="preserve"> degree over three to four years. Some universities have implemented a </w:t>
      </w:r>
      <w:proofErr w:type="spellStart"/>
      <w:r w:rsidRPr="00603521">
        <w:rPr>
          <w:rFonts w:ascii="Calibri" w:eastAsia="Calibri" w:hAnsi="Calibri" w:cs="Calibri"/>
          <w:i/>
        </w:rPr>
        <w:t>trisemester</w:t>
      </w:r>
      <w:proofErr w:type="spellEnd"/>
      <w:r w:rsidRPr="00603521">
        <w:rPr>
          <w:rFonts w:ascii="Calibri" w:eastAsia="Calibri" w:hAnsi="Calibri" w:cs="Calibri"/>
          <w:i/>
        </w:rPr>
        <w:t xml:space="preserve"> model, so that a </w:t>
      </w:r>
      <w:proofErr w:type="spellStart"/>
      <w:r w:rsidRPr="00603521">
        <w:rPr>
          <w:rFonts w:ascii="Calibri" w:eastAsia="Calibri" w:hAnsi="Calibri" w:cs="Calibri"/>
          <w:i/>
        </w:rPr>
        <w:t>bachelors</w:t>
      </w:r>
      <w:proofErr w:type="spellEnd"/>
      <w:r w:rsidRPr="00603521">
        <w:rPr>
          <w:rFonts w:ascii="Calibri" w:eastAsia="Calibri" w:hAnsi="Calibri" w:cs="Calibri"/>
          <w:i/>
        </w:rPr>
        <w:t xml:space="preserve"> degree could be complete over a shorter time period, and infrastructure and resourcing is optimised. The operating cost base is therefore </w:t>
      </w:r>
      <w:proofErr w:type="gramStart"/>
      <w:r w:rsidRPr="00603521">
        <w:rPr>
          <w:rFonts w:ascii="Calibri" w:eastAsia="Calibri" w:hAnsi="Calibri" w:cs="Calibri"/>
          <w:i/>
        </w:rPr>
        <w:t>reduced</w:t>
      </w:r>
      <w:proofErr w:type="gramEnd"/>
      <w:r w:rsidRPr="00603521">
        <w:rPr>
          <w:rFonts w:ascii="Calibri" w:eastAsia="Calibri" w:hAnsi="Calibri" w:cs="Calibri"/>
          <w:i/>
        </w:rPr>
        <w:t xml:space="preserve"> and participation cost reductions can be passed onto students.”</w:t>
      </w:r>
      <w:r w:rsidRPr="00603521">
        <w:rPr>
          <w:rFonts w:ascii="Calibri" w:eastAsia="Calibri" w:hAnsi="Calibri" w:cs="Calibri"/>
        </w:rPr>
        <w:t xml:space="preserve"> – Ernst &amp; Young.</w:t>
      </w:r>
    </w:p>
    <w:p w14:paraId="7964E5A9" w14:textId="77777777" w:rsidR="003E0A9D" w:rsidRPr="00603521" w:rsidRDefault="003E0A9D" w:rsidP="003E0A9D">
      <w:pPr>
        <w:pStyle w:val="Heading5"/>
        <w:rPr>
          <w:rFonts w:cs="Calibri"/>
        </w:rPr>
      </w:pPr>
      <w:r w:rsidRPr="00603521">
        <w:rPr>
          <w:rFonts w:cs="Calibri"/>
        </w:rPr>
        <w:t>Create a centralised institute or resource to support students</w:t>
      </w:r>
    </w:p>
    <w:p w14:paraId="2ECB77A3" w14:textId="77777777" w:rsidR="003E0A9D" w:rsidRPr="00603521" w:rsidRDefault="003E0A9D" w:rsidP="003E0A9D">
      <w:pPr>
        <w:rPr>
          <w:rFonts w:ascii="Calibri" w:eastAsia="Calibri" w:hAnsi="Calibri" w:cs="Calibri"/>
        </w:rPr>
      </w:pPr>
      <w:r w:rsidRPr="00603521">
        <w:rPr>
          <w:rFonts w:ascii="Calibri" w:eastAsia="Calibri" w:hAnsi="Calibri" w:cs="Calibri"/>
        </w:rPr>
        <w:t>Three submissions put forward the need for a central resource to provide coordinated support for students from underrepresented groups. Such a resource could help students obtain resources and provide sector wide training and best practices that can be disseminated across institutions.</w:t>
      </w:r>
    </w:p>
    <w:p w14:paraId="4EB969C7" w14:textId="77777777" w:rsidR="003E0A9D" w:rsidRPr="00603521" w:rsidRDefault="003E0A9D" w:rsidP="003E0A9D">
      <w:pPr>
        <w:ind w:left="720"/>
        <w:rPr>
          <w:rFonts w:ascii="Calibri" w:eastAsia="Calibri" w:hAnsi="Calibri" w:cs="Calibri"/>
        </w:rPr>
      </w:pPr>
      <w:r w:rsidRPr="00603521">
        <w:rPr>
          <w:rFonts w:ascii="Calibri" w:eastAsia="Calibri" w:hAnsi="Calibri" w:cs="Calibri"/>
          <w:i/>
        </w:rPr>
        <w:lastRenderedPageBreak/>
        <w:t>“Maybe we need to consider Australian wide support, research, best practice, etc. that can coordinate centralised support for students from traditionally underrepresented students no matter how or where they are studying. This could include ensuring that there are scholarships or grants to support those students obtain the resources (computers, internet, etc.) they need to undertake remote study. This could be similar to the Office for Students in the UK, which advocates and supports students without being affiliated or biased towards one particular institution.”</w:t>
      </w:r>
      <w:r w:rsidRPr="00603521">
        <w:rPr>
          <w:rFonts w:ascii="Calibri" w:eastAsia="Calibri" w:hAnsi="Calibri" w:cs="Calibri"/>
        </w:rPr>
        <w:t xml:space="preserve"> – Sarah Walker, professional staff at ANU.</w:t>
      </w:r>
    </w:p>
    <w:p w14:paraId="3A1BCEA9" w14:textId="77777777" w:rsidR="003E0A9D" w:rsidRPr="00603521" w:rsidRDefault="003E0A9D" w:rsidP="003E0A9D">
      <w:pPr>
        <w:rPr>
          <w:rFonts w:ascii="Calibri" w:eastAsia="Calibri" w:hAnsi="Calibri" w:cs="Calibri"/>
        </w:rPr>
      </w:pPr>
      <w:r w:rsidRPr="00603521">
        <w:rPr>
          <w:rFonts w:ascii="Calibri" w:eastAsia="Calibri" w:hAnsi="Calibri" w:cs="Calibri"/>
        </w:rPr>
        <w:t>One submission from the Universities Australia DVC-A network suggested this could be achieved through the creation of a National Centre for Student Success, which would provide thought leadership, manage awards to recognise excellence in teaching and learning and provide a framework for innovation and collaboration in teaching and learning.</w:t>
      </w:r>
    </w:p>
    <w:p w14:paraId="57D3FB4A" w14:textId="77777777" w:rsidR="003E0A9D" w:rsidRPr="00603521" w:rsidRDefault="003E0A9D" w:rsidP="003E0A9D">
      <w:pPr>
        <w:rPr>
          <w:rFonts w:ascii="Calibri" w:eastAsia="Calibri" w:hAnsi="Calibri" w:cs="Calibri"/>
        </w:rPr>
      </w:pPr>
      <w:r w:rsidRPr="00603521">
        <w:rPr>
          <w:rFonts w:ascii="Calibri" w:eastAsia="Calibri" w:hAnsi="Calibri" w:cs="Calibri"/>
        </w:rPr>
        <w:t>It should be noted that two submissions provided counterarguments to the case for a centralised resource, arguing that best practices are not homogenous and helping students from underrepresented groups is a matter of time and effort for teachers and staff rather than a singular approach.</w:t>
      </w:r>
    </w:p>
    <w:p w14:paraId="7A5C342D" w14:textId="0C43C8ED" w:rsidR="003E0A9D" w:rsidRPr="00603521" w:rsidRDefault="003E0A9D" w:rsidP="003E0A9D">
      <w:pPr>
        <w:ind w:left="720"/>
        <w:rPr>
          <w:rFonts w:ascii="Calibri" w:hAnsi="Calibri" w:cs="Calibri"/>
        </w:rPr>
      </w:pPr>
      <w:r w:rsidRPr="00603521">
        <w:rPr>
          <w:rFonts w:ascii="Calibri" w:eastAsia="Calibri" w:hAnsi="Calibri" w:cs="Calibri"/>
          <w:i/>
        </w:rPr>
        <w:t>“There is no such thing as ‘best practice’ in teaching and learning situations. There is always a variety of approaches because students differ in what may suit them, and some approaches may be better than others, but that’s all.... Helping students from under-represented groups, those with language and/or writing difficulties, and/or those who are disadvantaged is primarily a question of time and effort for many academic and teaching support staff who have marked individual student contact, responsibility and involvement, whether it’s face-to</w:t>
      </w:r>
      <w:r w:rsidR="009E38D3">
        <w:rPr>
          <w:rFonts w:ascii="Calibri" w:eastAsia="Calibri" w:hAnsi="Calibri" w:cs="Calibri"/>
          <w:i/>
        </w:rPr>
        <w:t>-</w:t>
      </w:r>
      <w:r w:rsidRPr="00603521">
        <w:rPr>
          <w:rFonts w:ascii="Calibri" w:eastAsia="Calibri" w:hAnsi="Calibri" w:cs="Calibri"/>
          <w:i/>
        </w:rPr>
        <w:t>face or online. Again, it’s a question of available resources and recognition of the extra work created for individual staff. Universities have a very important role to play, but they cannot in all cases make up for the inequality that pervades school education.”</w:t>
      </w:r>
      <w:r w:rsidRPr="00603521">
        <w:rPr>
          <w:rFonts w:ascii="Calibri" w:eastAsia="Calibri" w:hAnsi="Calibri" w:cs="Calibri"/>
        </w:rPr>
        <w:t xml:space="preserve"> – Independent Scholars Association</w:t>
      </w:r>
    </w:p>
    <w:p w14:paraId="2A28A063" w14:textId="2A8FD9FD" w:rsidR="003D046C" w:rsidRDefault="003D046C" w:rsidP="003D046C">
      <w:pPr>
        <w:pStyle w:val="Heading4"/>
      </w:pPr>
      <w:r>
        <w:t xml:space="preserve">Improve student wellbeing </w:t>
      </w:r>
    </w:p>
    <w:p w14:paraId="739DC469" w14:textId="77777777" w:rsidR="003D046C" w:rsidRDefault="003D046C" w:rsidP="003D046C">
      <w:r>
        <w:t>The Discussion Paper notes that factors beyond a quality teaching and learning environment impact student wellbeing.</w:t>
      </w:r>
    </w:p>
    <w:p w14:paraId="0684F72B" w14:textId="77777777" w:rsidR="003D046C" w:rsidRDefault="003D046C" w:rsidP="003D046C">
      <w:pPr>
        <w:ind w:left="720"/>
      </w:pPr>
      <w:r w:rsidRPr="00F72878">
        <w:rPr>
          <w:i/>
          <w:iCs/>
        </w:rPr>
        <w:t>“A range of factors affects a student’s experiences including how well they can balance their studies against competing demands of family and cultural responsibilities and paid employment. The Panel heard that many students experience challenges with their wellbeing and safety, including navigating mental health concerns. The 2021 National Student Safety Survey found that one in 20 students had experienced sexual assault since starting university.”</w:t>
      </w:r>
      <w:r>
        <w:rPr>
          <w:i/>
          <w:iCs/>
        </w:rPr>
        <w:t xml:space="preserve"> </w:t>
      </w:r>
      <w:r w:rsidRPr="00F72878">
        <w:t xml:space="preserve">Australian Universities Accord Discussion paper, February 2023, p. </w:t>
      </w:r>
      <w:r>
        <w:t>31.</w:t>
      </w:r>
    </w:p>
    <w:p w14:paraId="360AEC63" w14:textId="77777777" w:rsidR="003D046C" w:rsidRPr="001A0B99" w:rsidRDefault="003D046C" w:rsidP="003D046C">
      <w:r>
        <w:t>These factors can impact all students in higher education, however, students from underrepresented groups are more likely to face these challenges.</w:t>
      </w:r>
    </w:p>
    <w:p w14:paraId="5C1B5B8B" w14:textId="1C25457C" w:rsidR="003D046C" w:rsidRDefault="003D046C" w:rsidP="003D046C">
      <w:r>
        <w:t xml:space="preserve">The Discussion Paper asked stakeholders what reforms </w:t>
      </w:r>
      <w:r w:rsidR="009E38D3">
        <w:t xml:space="preserve">are </w:t>
      </w:r>
      <w:r>
        <w:t xml:space="preserve">needed to ensure that all students have a quality student experience, and what changes could be made to ensure all students are physically and culturally safe while studying. </w:t>
      </w:r>
    </w:p>
    <w:p w14:paraId="2093CB93" w14:textId="77777777" w:rsidR="003D046C" w:rsidRDefault="003D046C" w:rsidP="003D046C">
      <w:r w:rsidRPr="00434A05">
        <w:lastRenderedPageBreak/>
        <w:t>52 submissions</w:t>
      </w:r>
      <w:r>
        <w:t xml:space="preserve"> responded to these questions. The four main enablers to improve student wellbeing are:</w:t>
      </w:r>
    </w:p>
    <w:p w14:paraId="60F58557" w14:textId="3D096B81" w:rsidR="003D046C" w:rsidRDefault="007A44F7" w:rsidP="003D046C">
      <w:pPr>
        <w:pStyle w:val="ListParagraph"/>
        <w:numPr>
          <w:ilvl w:val="0"/>
          <w:numId w:val="94"/>
        </w:numPr>
      </w:pPr>
      <w:r>
        <w:t>e</w:t>
      </w:r>
      <w:r w:rsidR="003D046C">
        <w:t>nsure safety from sexual, domestic and gender-based violence (</w:t>
      </w:r>
      <w:r>
        <w:t>6</w:t>
      </w:r>
      <w:r w:rsidR="003D046C">
        <w:t xml:space="preserve"> submissions)</w:t>
      </w:r>
    </w:p>
    <w:p w14:paraId="46094AA0" w14:textId="725E2091" w:rsidR="003D046C" w:rsidRDefault="007A44F7" w:rsidP="003D046C">
      <w:pPr>
        <w:pStyle w:val="ListParagraph"/>
        <w:numPr>
          <w:ilvl w:val="0"/>
          <w:numId w:val="94"/>
        </w:numPr>
      </w:pPr>
      <w:r>
        <w:t>p</w:t>
      </w:r>
      <w:r w:rsidR="003D046C">
        <w:t>rovide support for victims (</w:t>
      </w:r>
      <w:r>
        <w:t>5</w:t>
      </w:r>
      <w:r w:rsidR="003D046C">
        <w:t xml:space="preserve"> submissions)</w:t>
      </w:r>
    </w:p>
    <w:p w14:paraId="6D80A4CE" w14:textId="48709597" w:rsidR="003D046C" w:rsidRDefault="007A44F7" w:rsidP="003D046C">
      <w:pPr>
        <w:pStyle w:val="ListParagraph"/>
        <w:numPr>
          <w:ilvl w:val="0"/>
          <w:numId w:val="94"/>
        </w:numPr>
      </w:pPr>
      <w:r>
        <w:t>p</w:t>
      </w:r>
      <w:r w:rsidR="003D046C">
        <w:t>rovide mental health support (</w:t>
      </w:r>
      <w:r>
        <w:t>5</w:t>
      </w:r>
      <w:r w:rsidR="003D046C">
        <w:t xml:space="preserve"> submissions)</w:t>
      </w:r>
    </w:p>
    <w:p w14:paraId="7B3F5404" w14:textId="272E3769" w:rsidR="003D046C" w:rsidRPr="00F72878" w:rsidRDefault="00F035D3" w:rsidP="003D046C">
      <w:pPr>
        <w:pStyle w:val="ListParagraph"/>
        <w:numPr>
          <w:ilvl w:val="0"/>
          <w:numId w:val="94"/>
        </w:numPr>
      </w:pPr>
      <w:r>
        <w:t>e</w:t>
      </w:r>
      <w:r w:rsidR="003D046C">
        <w:t>nsure cultural safety (11 submissions)</w:t>
      </w:r>
    </w:p>
    <w:p w14:paraId="47870DEC" w14:textId="77777777" w:rsidR="003D046C" w:rsidRDefault="003D046C" w:rsidP="003D046C">
      <w:r>
        <w:t>These points are discussed in more detail below.</w:t>
      </w:r>
    </w:p>
    <w:p w14:paraId="232DE2F0" w14:textId="77777777" w:rsidR="003D046C" w:rsidRDefault="003D046C" w:rsidP="003D046C">
      <w:pPr>
        <w:pStyle w:val="Heading5"/>
      </w:pPr>
      <w:r>
        <w:t>Ensure safety from sexual, domestic and gender-based violence</w:t>
      </w:r>
    </w:p>
    <w:p w14:paraId="3267E09D" w14:textId="77777777" w:rsidR="003D046C" w:rsidRDefault="003D046C" w:rsidP="003D046C">
      <w:r>
        <w:t>Five submissions noted the prevalence of sexual violence and sexual assault on university campuses, and one submission noted the prevalence of domestic and gender-based violence. They argued for greater support for students to ensure safety from sexual and domestic violence, including consideration of how this can adversely affect other aspects of life.</w:t>
      </w:r>
    </w:p>
    <w:p w14:paraId="5620AF31" w14:textId="77777777" w:rsidR="003D046C" w:rsidRDefault="003D046C" w:rsidP="003D046C">
      <w:pPr>
        <w:ind w:left="720"/>
      </w:pPr>
      <w:r w:rsidRPr="00AC0941">
        <w:rPr>
          <w:i/>
          <w:iCs/>
        </w:rPr>
        <w:t>“Students cannot have a quality experience if their university environment puts them at risk of sexual violence. They cannot have a quality university experience if they are prevented from: achieving academic success; completing their studies; or attending lectures, tutorials, or campus resources like libraries - because their institution does not appropriately respond to a report of sexual assault by another student or staff member.”</w:t>
      </w:r>
      <w:r>
        <w:t xml:space="preserve">  End Rape on Campus Australia and Fair Agenda</w:t>
      </w:r>
    </w:p>
    <w:p w14:paraId="3EEDC191" w14:textId="77777777" w:rsidR="003D046C" w:rsidRDefault="003D046C" w:rsidP="003D046C">
      <w:r>
        <w:t>Recommendations provided by submissions to prevent and address sexual, domestic and gender-based violence include:</w:t>
      </w:r>
    </w:p>
    <w:p w14:paraId="56A38594" w14:textId="3FEC3080" w:rsidR="00E9266B" w:rsidRDefault="007A44F7" w:rsidP="009F0583">
      <w:pPr>
        <w:pStyle w:val="ListParagraph"/>
        <w:numPr>
          <w:ilvl w:val="0"/>
          <w:numId w:val="76"/>
        </w:numPr>
      </w:pPr>
      <w:r>
        <w:t>c</w:t>
      </w:r>
      <w:r w:rsidR="003D046C">
        <w:t xml:space="preserve">reate an independent expert-led accountability and oversight mechanism, such as a Taskforce on University Sexual Violence, to oversee the university response to sexual violence </w:t>
      </w:r>
      <w:r w:rsidR="00E9266B">
        <w:t>(2 submissions)</w:t>
      </w:r>
    </w:p>
    <w:p w14:paraId="09C61020" w14:textId="3DC556E6" w:rsidR="003D046C" w:rsidRDefault="007A44F7" w:rsidP="009F0583">
      <w:pPr>
        <w:pStyle w:val="ListParagraph"/>
        <w:numPr>
          <w:ilvl w:val="0"/>
          <w:numId w:val="76"/>
        </w:numPr>
      </w:pPr>
      <w:r>
        <w:t>e</w:t>
      </w:r>
      <w:r w:rsidR="003D046C">
        <w:t>ndorse student voices in designing solutions - for example, include student representation on the afore-mentioned Taskforce (</w:t>
      </w:r>
      <w:r w:rsidR="00A46134">
        <w:t>1</w:t>
      </w:r>
      <w:r w:rsidR="003D046C">
        <w:t xml:space="preserve"> submission)</w:t>
      </w:r>
    </w:p>
    <w:p w14:paraId="0E655A7E" w14:textId="6C99FFAA" w:rsidR="003D046C" w:rsidRDefault="007A44F7" w:rsidP="003D046C">
      <w:pPr>
        <w:pStyle w:val="ListParagraph"/>
        <w:numPr>
          <w:ilvl w:val="0"/>
          <w:numId w:val="76"/>
        </w:numPr>
      </w:pPr>
      <w:r>
        <w:t>i</w:t>
      </w:r>
      <w:r w:rsidR="003D046C">
        <w:t>mprove standards of sexual violence prevention education (</w:t>
      </w:r>
      <w:r w:rsidR="00A46134">
        <w:t>1</w:t>
      </w:r>
      <w:r w:rsidR="003D046C">
        <w:t xml:space="preserve"> submission)</w:t>
      </w:r>
    </w:p>
    <w:p w14:paraId="614D5675" w14:textId="60AD9065" w:rsidR="003D046C" w:rsidRPr="00FE3005" w:rsidRDefault="007A44F7" w:rsidP="003D046C">
      <w:pPr>
        <w:pStyle w:val="ListParagraph"/>
        <w:numPr>
          <w:ilvl w:val="0"/>
          <w:numId w:val="76"/>
        </w:numPr>
      </w:pPr>
      <w:r>
        <w:t>r</w:t>
      </w:r>
      <w:r w:rsidR="003D046C">
        <w:t>eform the current self-regulatory approach to campus sexual violence as it is inadequate and lacks accountability and transparency (</w:t>
      </w:r>
      <w:r w:rsidR="00A46134">
        <w:t>1</w:t>
      </w:r>
      <w:r w:rsidR="003D046C">
        <w:t xml:space="preserve"> submission)</w:t>
      </w:r>
    </w:p>
    <w:p w14:paraId="6EFAB9AB" w14:textId="77777777" w:rsidR="003D046C" w:rsidRDefault="003D046C" w:rsidP="003D046C">
      <w:pPr>
        <w:pStyle w:val="Heading5"/>
      </w:pPr>
      <w:r>
        <w:t>Provide support for victims</w:t>
      </w:r>
    </w:p>
    <w:p w14:paraId="6A76806C" w14:textId="48EAA7F6" w:rsidR="00E9266B" w:rsidRDefault="003D046C" w:rsidP="003D046C">
      <w:r>
        <w:t xml:space="preserve">Five submissions argued for greater support for victims of abuse, violence, bullying and harassment. One submission recommended </w:t>
      </w:r>
      <w:proofErr w:type="gramStart"/>
      <w:r>
        <w:t>universities</w:t>
      </w:r>
      <w:proofErr w:type="gramEnd"/>
      <w:r>
        <w:t xml:space="preserve"> provide designated case work</w:t>
      </w:r>
      <w:r w:rsidR="00F035D3">
        <w:t>er</w:t>
      </w:r>
      <w:r>
        <w:t xml:space="preserve">s to support victims and provide third-party intervention where incidents are intertwined with supervisors or staff. The submission argued that the involvement of a third party would reduce the victim’s burden and stress as such complaints are typically addressed at a </w:t>
      </w:r>
      <w:r w:rsidR="00904625">
        <w:t>s</w:t>
      </w:r>
      <w:r>
        <w:t>chool level.</w:t>
      </w:r>
    </w:p>
    <w:p w14:paraId="739D3902" w14:textId="51D81A51" w:rsidR="003D046C" w:rsidRDefault="003D046C" w:rsidP="003D046C">
      <w:r>
        <w:lastRenderedPageBreak/>
        <w:t>A second submission argued for more resources to be made available to victims such as counselling, legal support and other forms of advocacy.</w:t>
      </w:r>
    </w:p>
    <w:p w14:paraId="71A101DA" w14:textId="77777777" w:rsidR="003D046C" w:rsidRPr="006E458B" w:rsidRDefault="003D046C" w:rsidP="003D046C">
      <w:r>
        <w:t>Finally, one submission recommended that the mechanisms available to workers to ensure they safe at their place of employment should be extended to students while studying, using the example of veterinary students. The submission argued that this would ensure students have access to the worker’s compensation system if injured during placements and WIL.</w:t>
      </w:r>
    </w:p>
    <w:p w14:paraId="48D0F969" w14:textId="77777777" w:rsidR="003D046C" w:rsidRDefault="003D046C" w:rsidP="003D046C">
      <w:pPr>
        <w:pStyle w:val="Heading5"/>
      </w:pPr>
      <w:r>
        <w:t>Provide mental health support</w:t>
      </w:r>
    </w:p>
    <w:p w14:paraId="13FD1CAB" w14:textId="77777777" w:rsidR="003D046C" w:rsidRDefault="003D046C" w:rsidP="003D046C">
      <w:r>
        <w:t>Five submissions noted the growing mental health crisis in students and recommended greater support for students be made available to help address this. The University of Melbourne Student Union raised that the underlying causes of mental health problems in students need to be addressed:</w:t>
      </w:r>
    </w:p>
    <w:p w14:paraId="704198B2" w14:textId="77777777" w:rsidR="003D046C" w:rsidRPr="00113D8A" w:rsidRDefault="003D046C" w:rsidP="003D046C">
      <w:pPr>
        <w:ind w:left="720"/>
      </w:pPr>
      <w:r>
        <w:rPr>
          <w:i/>
          <w:iCs/>
        </w:rPr>
        <w:t>“I</w:t>
      </w:r>
      <w:r w:rsidRPr="00DD7F5A">
        <w:rPr>
          <w:i/>
          <w:iCs/>
        </w:rPr>
        <w:t xml:space="preserve">t was noted that students are increasingly facing mental health problems due to the </w:t>
      </w:r>
      <w:proofErr w:type="gramStart"/>
      <w:r w:rsidRPr="00DD7F5A">
        <w:rPr>
          <w:i/>
          <w:iCs/>
        </w:rPr>
        <w:t>cost of living</w:t>
      </w:r>
      <w:proofErr w:type="gramEnd"/>
      <w:r w:rsidRPr="00DD7F5A">
        <w:rPr>
          <w:i/>
          <w:iCs/>
        </w:rPr>
        <w:t xml:space="preserve"> crisis, including issues with housing and transportation costs. The mood of students is generally one of stress and disillusionment, which is not conducive to learning. The government needs to take these issues seriously and tackle the big challenges raised through these conversations to ensure that students are not left behind.</w:t>
      </w:r>
      <w:r>
        <w:rPr>
          <w:i/>
          <w:iCs/>
        </w:rPr>
        <w:t xml:space="preserve">” </w:t>
      </w:r>
      <w:r>
        <w:t>University of Melbourne Student Union</w:t>
      </w:r>
    </w:p>
    <w:p w14:paraId="1F8BD6EF" w14:textId="77777777" w:rsidR="003D046C" w:rsidRDefault="003D046C" w:rsidP="003D046C">
      <w:r>
        <w:t xml:space="preserve">One submission suggested </w:t>
      </w:r>
      <w:proofErr w:type="gramStart"/>
      <w:r>
        <w:t>providers</w:t>
      </w:r>
      <w:proofErr w:type="gramEnd"/>
      <w:r>
        <w:t xml:space="preserve"> explore policies </w:t>
      </w:r>
      <w:r w:rsidRPr="00B56152">
        <w:t xml:space="preserve">to incentivise the development of accessible mental health </w:t>
      </w:r>
      <w:r>
        <w:t>support. The submission notes that turning up in person or making a phone call is not always an option for students struggling with their mental health, and alternative methods of support could help address this.</w:t>
      </w:r>
    </w:p>
    <w:p w14:paraId="52C14273" w14:textId="77777777" w:rsidR="003D046C" w:rsidRDefault="003D046C" w:rsidP="003D046C">
      <w:r>
        <w:t>One submission argued for f</w:t>
      </w:r>
      <w:r w:rsidRPr="008A7B4C">
        <w:t>ree access to mental health first aid for students at a higher risk of mental illness and suicide</w:t>
      </w:r>
      <w:r>
        <w:t>, such as medical students. The Australian Medical Students Association noted that medical students would benefit from this access to prevent personal mental health problems but also to identify and respond to mental health problems in others.</w:t>
      </w:r>
    </w:p>
    <w:p w14:paraId="5B1F1562" w14:textId="77777777" w:rsidR="003D046C" w:rsidRDefault="003D046C" w:rsidP="003D046C">
      <w:r>
        <w:t xml:space="preserve">Finally, one submission echoed a recommendation from the </w:t>
      </w:r>
      <w:r w:rsidRPr="005202DA">
        <w:t xml:space="preserve">Higher Education Standards Panel and Productivity Commission </w:t>
      </w:r>
      <w:r>
        <w:t>that</w:t>
      </w:r>
      <w:r w:rsidRPr="005202DA">
        <w:t xml:space="preserve"> </w:t>
      </w:r>
      <w:r>
        <w:t>argued for</w:t>
      </w:r>
      <w:r w:rsidRPr="005202DA">
        <w:t xml:space="preserve"> every university </w:t>
      </w:r>
      <w:r>
        <w:t>to have</w:t>
      </w:r>
      <w:r w:rsidRPr="005202DA">
        <w:t xml:space="preserve"> a mental health strategy</w:t>
      </w:r>
      <w:r>
        <w:t>.</w:t>
      </w:r>
    </w:p>
    <w:p w14:paraId="5284481D" w14:textId="77777777" w:rsidR="003D046C" w:rsidRPr="00F72878" w:rsidRDefault="003D046C" w:rsidP="003D046C">
      <w:pPr>
        <w:pStyle w:val="Heading5"/>
      </w:pPr>
      <w:r>
        <w:t>Ensure cultural safety</w:t>
      </w:r>
    </w:p>
    <w:p w14:paraId="37CF4F83" w14:textId="77777777" w:rsidR="003D046C" w:rsidRDefault="003D046C" w:rsidP="003D046C">
      <w:r>
        <w:t>11 submissions called for greater awareness, training and support in higher education providers to ensure cultural safety, especially for First Nations and international students.</w:t>
      </w:r>
    </w:p>
    <w:p w14:paraId="272A194D" w14:textId="592DEA5B" w:rsidR="003D046C" w:rsidRDefault="003D046C" w:rsidP="003D046C">
      <w:pPr>
        <w:ind w:left="360"/>
      </w:pPr>
      <w:r>
        <w:rPr>
          <w:i/>
          <w:iCs/>
        </w:rPr>
        <w:t>“</w:t>
      </w:r>
      <w:r w:rsidRPr="006B5E35">
        <w:rPr>
          <w:i/>
          <w:iCs/>
        </w:rPr>
        <w:t>To thrive in higher education, First Nations students and staff need to feel culturally safe in the higher education system. Cultural safety means that First Nations people are in an inherently safe and respectful environment. In order to provide cultural safety an organisation must be culturally competent. First Nations peoples’ beliefs and way of life differ according to geographical location, language, culture and history. There is no ‘one size fits all’ approach to every community or every situation. It is the responsibility of institutions to make efforts to understand First Nations communities and valuing</w:t>
      </w:r>
      <w:r w:rsidR="00904625">
        <w:rPr>
          <w:i/>
          <w:iCs/>
        </w:rPr>
        <w:t xml:space="preserve"> </w:t>
      </w:r>
      <w:r w:rsidRPr="006B5E35">
        <w:rPr>
          <w:i/>
          <w:iCs/>
        </w:rPr>
        <w:t>their knowledge</w:t>
      </w:r>
      <w:r w:rsidR="00E9266B">
        <w:rPr>
          <w:i/>
          <w:iCs/>
        </w:rPr>
        <w:t xml:space="preserve"> [sic]</w:t>
      </w:r>
      <w:r w:rsidRPr="006B5E35">
        <w:rPr>
          <w:i/>
          <w:iCs/>
        </w:rPr>
        <w:t>.</w:t>
      </w:r>
      <w:r>
        <w:rPr>
          <w:i/>
          <w:iCs/>
        </w:rPr>
        <w:t xml:space="preserve">” </w:t>
      </w:r>
      <w:r>
        <w:t>National Indigenous Australians Agency</w:t>
      </w:r>
    </w:p>
    <w:p w14:paraId="1519681B" w14:textId="77777777" w:rsidR="003D046C" w:rsidRDefault="003D046C" w:rsidP="003D046C">
      <w:r>
        <w:t>To ensure cultural safety for students, five submissions recommended training s</w:t>
      </w:r>
      <w:r w:rsidRPr="006E0E72">
        <w:t xml:space="preserve">upervisors and teachers </w:t>
      </w:r>
      <w:r>
        <w:t xml:space="preserve">in cultural </w:t>
      </w:r>
      <w:r w:rsidRPr="006E0E72">
        <w:t>sensitivity and awareness to accommodate their students in cultural aspects</w:t>
      </w:r>
      <w:r>
        <w:t xml:space="preserve">, </w:t>
      </w:r>
      <w:r w:rsidRPr="006E0E72">
        <w:lastRenderedPageBreak/>
        <w:t>especially with regard to First Nations students</w:t>
      </w:r>
      <w:r>
        <w:t>. As part of this training, staff</w:t>
      </w:r>
      <w:r w:rsidRPr="008260C0">
        <w:t xml:space="preserve"> should be trained to look for signs of cultural conflicts and struggles in their studen</w:t>
      </w:r>
      <w:r>
        <w:t>ts.</w:t>
      </w:r>
    </w:p>
    <w:p w14:paraId="288AECA7" w14:textId="56808567" w:rsidR="00A22897" w:rsidRPr="00A22897" w:rsidRDefault="003D046C" w:rsidP="00A22897">
      <w:r>
        <w:t>Two submissions also noted the role of mentoring and private tutoring for First Nations students</w:t>
      </w:r>
      <w:r w:rsidRPr="00F00F8A">
        <w:t xml:space="preserve"> </w:t>
      </w:r>
      <w:r>
        <w:t>to create a peer support network, as well as the role of embedding First Nations approaches to teaching and learning in university learning. This idea is exp</w:t>
      </w:r>
      <w:r w:rsidRPr="008D4E95">
        <w:t>lored further in</w:t>
      </w:r>
      <w:r w:rsidR="009E38D3">
        <w:t xml:space="preserve"> the</w:t>
      </w:r>
      <w:r w:rsidRPr="008D4E95">
        <w:t xml:space="preserve"> </w:t>
      </w:r>
      <w:r w:rsidR="008D4E95" w:rsidRPr="00E9266B">
        <w:t>section</w:t>
      </w:r>
      <w:r w:rsidR="00600C56">
        <w:t xml:space="preserve"> </w:t>
      </w:r>
      <w:r w:rsidR="00600C56" w:rsidRPr="00600C56">
        <w:rPr>
          <w:i/>
          <w:iCs/>
          <w:u w:val="single"/>
        </w:rPr>
        <w:fldChar w:fldCharType="begin"/>
      </w:r>
      <w:r w:rsidR="00600C56" w:rsidRPr="00600C56">
        <w:rPr>
          <w:i/>
          <w:iCs/>
          <w:u w:val="single"/>
        </w:rPr>
        <w:instrText xml:space="preserve"> REF _Ref134794875 \h  \* MERGEFORMAT </w:instrText>
      </w:r>
      <w:r w:rsidR="00600C56" w:rsidRPr="00600C56">
        <w:rPr>
          <w:i/>
          <w:iCs/>
          <w:u w:val="single"/>
        </w:rPr>
      </w:r>
      <w:r w:rsidR="00600C56" w:rsidRPr="00600C56">
        <w:rPr>
          <w:i/>
          <w:iCs/>
          <w:u w:val="single"/>
        </w:rPr>
        <w:fldChar w:fldCharType="separate"/>
      </w:r>
      <w:r w:rsidR="00600C56" w:rsidRPr="00600C56">
        <w:rPr>
          <w:i/>
          <w:iCs/>
          <w:u w:val="single"/>
        </w:rPr>
        <w:t>Quality teaching to deliver quality learning</w:t>
      </w:r>
      <w:r w:rsidR="00600C56" w:rsidRPr="00600C56">
        <w:rPr>
          <w:i/>
          <w:iCs/>
          <w:u w:val="single"/>
        </w:rPr>
        <w:fldChar w:fldCharType="end"/>
      </w:r>
      <w:r w:rsidR="00600C56">
        <w:rPr>
          <w:i/>
          <w:iCs/>
          <w:u w:val="single"/>
        </w:rPr>
        <w:t>.</w:t>
      </w:r>
    </w:p>
    <w:p w14:paraId="0138C9E3" w14:textId="283A41F6" w:rsidR="00803247" w:rsidRDefault="003C763D" w:rsidP="00467ECC">
      <w:pPr>
        <w:pStyle w:val="Heading3"/>
      </w:pPr>
      <w:bookmarkStart w:id="43" w:name="_Toc134807418"/>
      <w:r>
        <w:t>N</w:t>
      </w:r>
      <w:r w:rsidR="00467ECC">
        <w:t xml:space="preserve">ew knowledge, innovation </w:t>
      </w:r>
      <w:r w:rsidR="00803247">
        <w:t>and capability</w:t>
      </w:r>
      <w:bookmarkEnd w:id="43"/>
    </w:p>
    <w:p w14:paraId="6A2E7239" w14:textId="6913F102" w:rsidR="000B39B6" w:rsidRDefault="000B39B6" w:rsidP="000B39B6">
      <w:r>
        <w:t>The Discussion Paper recognise</w:t>
      </w:r>
      <w:r w:rsidR="00686647">
        <w:t>s</w:t>
      </w:r>
      <w:r>
        <w:t xml:space="preserve"> the high quality of Australian research and </w:t>
      </w:r>
      <w:r w:rsidR="00686647">
        <w:t xml:space="preserve">highlights </w:t>
      </w:r>
      <w:r>
        <w:t xml:space="preserve">the key role higher education plays in its delivery. </w:t>
      </w:r>
      <w:r w:rsidR="009F639A">
        <w:t xml:space="preserve">It </w:t>
      </w:r>
      <w:r>
        <w:t xml:space="preserve">also </w:t>
      </w:r>
      <w:r w:rsidR="00F013A3">
        <w:t xml:space="preserve">acknowledges </w:t>
      </w:r>
      <w:r>
        <w:t xml:space="preserve">shortcomings in innovation and industry collaboration to </w:t>
      </w:r>
      <w:r w:rsidR="00F728B0">
        <w:t>apply new knowledge to achieve outcomes</w:t>
      </w:r>
      <w:r>
        <w:t>.</w:t>
      </w:r>
    </w:p>
    <w:p w14:paraId="12E0D7B1" w14:textId="6C4D85E5" w:rsidR="000B39B6" w:rsidRDefault="000B39B6" w:rsidP="000B39B6">
      <w:pPr>
        <w:ind w:left="720"/>
      </w:pPr>
      <w:r>
        <w:rPr>
          <w:i/>
          <w:iCs/>
        </w:rPr>
        <w:t>“</w:t>
      </w:r>
      <w:r w:rsidRPr="00A153B4">
        <w:rPr>
          <w:i/>
          <w:iCs/>
        </w:rPr>
        <w:t>While universities are good at collaborating with other research organisations, an ongoing, multi-decadal question in</w:t>
      </w:r>
      <w:r>
        <w:rPr>
          <w:i/>
          <w:iCs/>
        </w:rPr>
        <w:t xml:space="preserve"> </w:t>
      </w:r>
      <w:r w:rsidRPr="00A153B4">
        <w:rPr>
          <w:i/>
          <w:iCs/>
        </w:rPr>
        <w:t>Australia is why the links and collaboration between industry and universities are not stronger and more productive. There</w:t>
      </w:r>
      <w:r>
        <w:rPr>
          <w:i/>
          <w:iCs/>
        </w:rPr>
        <w:t xml:space="preserve"> </w:t>
      </w:r>
      <w:r w:rsidRPr="00A153B4">
        <w:rPr>
          <w:i/>
          <w:iCs/>
        </w:rPr>
        <w:t>are several examples of excellent collaboration, especially where formal research brokering bodies (AMIRA Global, research</w:t>
      </w:r>
      <w:r>
        <w:rPr>
          <w:i/>
          <w:iCs/>
        </w:rPr>
        <w:t xml:space="preserve"> </w:t>
      </w:r>
      <w:r w:rsidRPr="00A153B4">
        <w:rPr>
          <w:i/>
          <w:iCs/>
        </w:rPr>
        <w:t>and development corporations, etc) are active. But the synergies between industry and universities are not extensive,</w:t>
      </w:r>
      <w:r>
        <w:rPr>
          <w:i/>
          <w:iCs/>
        </w:rPr>
        <w:t xml:space="preserve"> </w:t>
      </w:r>
      <w:r w:rsidRPr="00A153B4">
        <w:rPr>
          <w:i/>
          <w:iCs/>
        </w:rPr>
        <w:t>despite long-running grant programs such as the ARC Linkage grants and programs which</w:t>
      </w:r>
      <w:r>
        <w:rPr>
          <w:i/>
          <w:iCs/>
        </w:rPr>
        <w:t xml:space="preserve"> </w:t>
      </w:r>
      <w:r w:rsidRPr="00A153B4">
        <w:rPr>
          <w:i/>
          <w:iCs/>
        </w:rPr>
        <w:t>incentivise collaboration such as</w:t>
      </w:r>
      <w:r>
        <w:rPr>
          <w:i/>
          <w:iCs/>
        </w:rPr>
        <w:t xml:space="preserve"> </w:t>
      </w:r>
      <w:r w:rsidRPr="00A153B4">
        <w:rPr>
          <w:i/>
          <w:iCs/>
        </w:rPr>
        <w:t>the Cooperative Research Centres program, and the growing focus on universities as anchor tenants of innovation precincts</w:t>
      </w:r>
      <w:r>
        <w:rPr>
          <w:i/>
          <w:iCs/>
        </w:rPr>
        <w:t xml:space="preserve"> </w:t>
      </w:r>
      <w:r w:rsidRPr="00A153B4">
        <w:rPr>
          <w:i/>
          <w:iCs/>
        </w:rPr>
        <w:t>around Australia with the intended role of fostering entrepreneurship, job creation and innovation ecosystems</w:t>
      </w:r>
      <w:r w:rsidRPr="00BA7739">
        <w:rPr>
          <w:i/>
          <w:iCs/>
        </w:rPr>
        <w:t>.</w:t>
      </w:r>
      <w:r>
        <w:rPr>
          <w:i/>
          <w:iCs/>
        </w:rPr>
        <w:t xml:space="preserve">” </w:t>
      </w:r>
      <w:r>
        <w:t xml:space="preserve">– </w:t>
      </w:r>
      <w:r w:rsidRPr="00711039">
        <w:t xml:space="preserve">Australian Universities Accord </w:t>
      </w:r>
      <w:r>
        <w:t xml:space="preserve">Discussion </w:t>
      </w:r>
      <w:r w:rsidR="00F728B0">
        <w:t>P</w:t>
      </w:r>
      <w:r>
        <w:t>aper, February 2023, p. 20</w:t>
      </w:r>
    </w:p>
    <w:p w14:paraId="19F976D1" w14:textId="1D2AB85A" w:rsidR="00EF4893" w:rsidRDefault="00C338D3" w:rsidP="00EF4893">
      <w:r>
        <w:t xml:space="preserve">One hundred and four submissions included responses about Australia’s knowledge, innovation and capability. Key topics included: </w:t>
      </w:r>
    </w:p>
    <w:p w14:paraId="111EBA61" w14:textId="70A434F1" w:rsidR="00C338D3" w:rsidRDefault="00601482" w:rsidP="00C338D3">
      <w:pPr>
        <w:pStyle w:val="ListParagraph"/>
        <w:numPr>
          <w:ilvl w:val="0"/>
          <w:numId w:val="95"/>
        </w:numPr>
      </w:pPr>
      <w:r w:rsidRPr="00601482">
        <w:t>Increase collaboration between industry, government and universities</w:t>
      </w:r>
      <w:r w:rsidR="008077D6">
        <w:t xml:space="preserve"> </w:t>
      </w:r>
      <w:r w:rsidR="00322D3C">
        <w:t>(</w:t>
      </w:r>
      <w:r w:rsidR="006814D0">
        <w:t>76 submissions)</w:t>
      </w:r>
    </w:p>
    <w:p w14:paraId="2EEC1A74" w14:textId="1893295C" w:rsidR="00601482" w:rsidRDefault="00601482" w:rsidP="00C338D3">
      <w:pPr>
        <w:pStyle w:val="ListParagraph"/>
        <w:numPr>
          <w:ilvl w:val="0"/>
          <w:numId w:val="95"/>
        </w:numPr>
      </w:pPr>
      <w:r w:rsidRPr="00601482">
        <w:t>Stimulate greater industry investment in research and effective collaboration</w:t>
      </w:r>
      <w:r w:rsidR="006814D0">
        <w:t xml:space="preserve"> (32 submissions)</w:t>
      </w:r>
    </w:p>
    <w:p w14:paraId="04D7A79E" w14:textId="335A62A7" w:rsidR="00601482" w:rsidRDefault="006B4652" w:rsidP="00C338D3">
      <w:pPr>
        <w:pStyle w:val="ListParagraph"/>
        <w:numPr>
          <w:ilvl w:val="0"/>
          <w:numId w:val="95"/>
        </w:numPr>
      </w:pPr>
      <w:r>
        <w:t>Leverage Australia’s research strengths to address global challenges</w:t>
      </w:r>
      <w:r w:rsidR="006814D0">
        <w:t xml:space="preserve"> </w:t>
      </w:r>
      <w:r w:rsidR="005F149B">
        <w:t>(39 submissions)</w:t>
      </w:r>
    </w:p>
    <w:p w14:paraId="33483B48" w14:textId="53EE829F" w:rsidR="00601482" w:rsidRDefault="00601482" w:rsidP="00601482">
      <w:pPr>
        <w:pStyle w:val="ListParagraph"/>
        <w:numPr>
          <w:ilvl w:val="0"/>
          <w:numId w:val="95"/>
        </w:numPr>
      </w:pPr>
      <w:r w:rsidRPr="00601482">
        <w:t>Maintain and improve Australia’s research quality</w:t>
      </w:r>
      <w:r w:rsidR="006814D0">
        <w:t xml:space="preserve"> (33 submissions)</w:t>
      </w:r>
    </w:p>
    <w:p w14:paraId="3BC7A7BE" w14:textId="1A8A4955" w:rsidR="001139F3" w:rsidRPr="001139F3" w:rsidRDefault="001D6DCF" w:rsidP="002A6F7F">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7</w:t>
      </w:r>
      <w:r w:rsidR="008444D3">
        <w:rPr>
          <w:noProof/>
        </w:rPr>
        <w:fldChar w:fldCharType="end"/>
      </w:r>
      <w:r>
        <w:t xml:space="preserve"> | </w:t>
      </w:r>
      <w:r w:rsidR="00B94772" w:rsidRPr="00B94772">
        <w:t>Distribution of submissions – Delivering new knowledge, innovation and capability (N=104)</w:t>
      </w:r>
      <w:r w:rsidR="002A6F7F" w:rsidRPr="002A6F7F">
        <w:t xml:space="preserve"> </w:t>
      </w:r>
      <w:r w:rsidR="002A6F7F" w:rsidRPr="002A6F7F">
        <w:rPr>
          <w:noProof/>
        </w:rPr>
        <w:drawing>
          <wp:inline distT="0" distB="0" distL="0" distR="0" wp14:anchorId="43F94636" wp14:editId="20E587F6">
            <wp:extent cx="5835650" cy="3608070"/>
            <wp:effectExtent l="0" t="0" r="0" b="0"/>
            <wp:docPr id="55" name="Picture 55" descr="Bar graph. &#10;Universities were the largest cohort to respond to the topic ‘delivering new knowledge innovation and capability’ with 23 submissions.&#10;Graph data:&#10;University - 23&#10;Individual - 16&#10;Other advocacy - 15&#10;University staff - 12&#10;University school, centre, faculty, or college - 7&#10;Other higher education - 5&#10;Higher education peak body - 5&#10;Professional association - 4&#10;Student representatives - 3&#10;Independent provider - 3&#10;Discipline group&#10;State or Commonwealth government body - 2&#10;Other - 2&#10;Regional networks and support services - 1&#10;Business - 1&#10;First Nations organisations - 1&#10;Other peak body - 1&#10;Unio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Bar graph. &#10;Universities were the largest cohort to respond to the topic ‘delivering new knowledge innovation and capability’ with 23 submissions.&#10;Graph data:&#10;University - 23&#10;Individual - 16&#10;Other advocacy - 15&#10;University staff - 12&#10;University school, centre, faculty, or college - 7&#10;Other higher education - 5&#10;Higher education peak body - 5&#10;Professional association - 4&#10;Student representatives - 3&#10;Independent provider - 3&#10;Discipline group&#10;State or Commonwealth government body - 2&#10;Other - 2&#10;Regional networks and support services - 1&#10;Business - 1&#10;First Nations organisations - 1&#10;Other peak body - 1&#10;Union -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35650" cy="3608070"/>
                    </a:xfrm>
                    <a:prstGeom prst="rect">
                      <a:avLst/>
                    </a:prstGeom>
                    <a:noFill/>
                    <a:ln>
                      <a:noFill/>
                    </a:ln>
                  </pic:spPr>
                </pic:pic>
              </a:graphicData>
            </a:graphic>
          </wp:inline>
        </w:drawing>
      </w:r>
    </w:p>
    <w:p w14:paraId="56BF52C1" w14:textId="55CB6A7B" w:rsidR="000B39B6" w:rsidRDefault="000B39B6" w:rsidP="000B39B6">
      <w:pPr>
        <w:pStyle w:val="Heading4"/>
      </w:pPr>
      <w:r>
        <w:t>Increas</w:t>
      </w:r>
      <w:r w:rsidR="001E289A">
        <w:t>e</w:t>
      </w:r>
      <w:r>
        <w:t xml:space="preserve"> collaboration between industry, government and universities</w:t>
      </w:r>
    </w:p>
    <w:p w14:paraId="04D68B76" w14:textId="77777777" w:rsidR="000B39B6" w:rsidRDefault="000B39B6" w:rsidP="000B39B6">
      <w:r>
        <w:t>The Discussion Paper asked respondents how the Accord could help increase collaboration between universities and industry for better research translation and innovation to solve big challenges.</w:t>
      </w:r>
    </w:p>
    <w:p w14:paraId="35B0DD13" w14:textId="50AC6988" w:rsidR="000B39B6" w:rsidRDefault="000B39B6" w:rsidP="000B39B6">
      <w:r>
        <w:t xml:space="preserve">Twenty-five percent of submissions (76 submissions) responded to this question with </w:t>
      </w:r>
      <w:r w:rsidR="00DD0069">
        <w:t>the following</w:t>
      </w:r>
      <w:r w:rsidR="00AA1F01">
        <w:t xml:space="preserve"> </w:t>
      </w:r>
      <w:r w:rsidR="00983BCE">
        <w:t>key recommendations</w:t>
      </w:r>
      <w:r w:rsidR="00613B69">
        <w:t>:</w:t>
      </w:r>
    </w:p>
    <w:p w14:paraId="5F0DDF33" w14:textId="30D36203" w:rsidR="000B39B6" w:rsidRDefault="00AB273D" w:rsidP="000B39B6">
      <w:pPr>
        <w:pStyle w:val="ListParagraph"/>
        <w:numPr>
          <w:ilvl w:val="0"/>
          <w:numId w:val="68"/>
        </w:numPr>
        <w:spacing w:after="120" w:line="259" w:lineRule="auto"/>
      </w:pPr>
      <w:r>
        <w:t>d</w:t>
      </w:r>
      <w:r w:rsidR="000D7E72">
        <w:t>evelop b</w:t>
      </w:r>
      <w:r w:rsidR="000B39B6">
        <w:t>etter incentives for industry to collaborate with universities (12 submissions)</w:t>
      </w:r>
    </w:p>
    <w:p w14:paraId="323886C3" w14:textId="6788B935" w:rsidR="000B39B6" w:rsidRDefault="00AB273D" w:rsidP="000B39B6">
      <w:pPr>
        <w:pStyle w:val="ListParagraph"/>
        <w:numPr>
          <w:ilvl w:val="0"/>
          <w:numId w:val="68"/>
        </w:numPr>
        <w:spacing w:after="120" w:line="259" w:lineRule="auto"/>
      </w:pPr>
      <w:r>
        <w:t>e</w:t>
      </w:r>
      <w:r w:rsidR="000B39B6">
        <w:t>stablish research and learning precincts (5 submissions)</w:t>
      </w:r>
    </w:p>
    <w:p w14:paraId="3D96BB82" w14:textId="4A32A471" w:rsidR="000B39B6" w:rsidRDefault="00AB273D" w:rsidP="000B39B6">
      <w:pPr>
        <w:pStyle w:val="ListParagraph"/>
        <w:numPr>
          <w:ilvl w:val="0"/>
          <w:numId w:val="68"/>
        </w:numPr>
        <w:spacing w:after="120" w:line="259" w:lineRule="auto"/>
      </w:pPr>
      <w:r>
        <w:t>r</w:t>
      </w:r>
      <w:r w:rsidR="000B39B6">
        <w:t xml:space="preserve">eform, </w:t>
      </w:r>
      <w:r w:rsidR="00613B69">
        <w:t xml:space="preserve">consolidate </w:t>
      </w:r>
      <w:r w:rsidR="000B39B6">
        <w:t xml:space="preserve">and </w:t>
      </w:r>
      <w:r w:rsidR="00613B69">
        <w:t xml:space="preserve">expand </w:t>
      </w:r>
      <w:r w:rsidR="000B39B6">
        <w:t>existing schemes (5 submissions)</w:t>
      </w:r>
    </w:p>
    <w:p w14:paraId="5AA44DCE" w14:textId="61CC7C66" w:rsidR="000B39B6" w:rsidRDefault="00AB273D" w:rsidP="000B39B6">
      <w:pPr>
        <w:pStyle w:val="ListParagraph"/>
        <w:numPr>
          <w:ilvl w:val="0"/>
          <w:numId w:val="68"/>
        </w:numPr>
        <w:spacing w:after="120" w:line="259" w:lineRule="auto"/>
      </w:pPr>
      <w:r>
        <w:t>e</w:t>
      </w:r>
      <w:r w:rsidR="000B39B6">
        <w:t>stablish</w:t>
      </w:r>
      <w:r w:rsidR="00C02AD1">
        <w:t xml:space="preserve"> </w:t>
      </w:r>
      <w:r w:rsidR="000B39B6">
        <w:t>an R&amp;D ecosystem (5 submissions)</w:t>
      </w:r>
    </w:p>
    <w:p w14:paraId="6C49C108" w14:textId="678CAD5A" w:rsidR="000B39B6" w:rsidRDefault="00AB273D" w:rsidP="000B39B6">
      <w:pPr>
        <w:pStyle w:val="ListParagraph"/>
        <w:numPr>
          <w:ilvl w:val="0"/>
          <w:numId w:val="68"/>
        </w:numPr>
        <w:spacing w:after="120" w:line="259" w:lineRule="auto"/>
      </w:pPr>
      <w:r>
        <w:t>d</w:t>
      </w:r>
      <w:r w:rsidR="00613B69">
        <w:t>evelop b</w:t>
      </w:r>
      <w:r w:rsidR="000B39B6">
        <w:t>etter incentives for researchers to collaborate with industry (4 submissions)</w:t>
      </w:r>
    </w:p>
    <w:p w14:paraId="69D67930" w14:textId="60CAEDCB" w:rsidR="000B39B6" w:rsidRDefault="006736A7" w:rsidP="000B39B6">
      <w:pPr>
        <w:pStyle w:val="Heading5"/>
      </w:pPr>
      <w:bookmarkStart w:id="44" w:name="_Ref135210005"/>
      <w:r>
        <w:t>Develop b</w:t>
      </w:r>
      <w:r w:rsidR="000B39B6">
        <w:t>etter incentives for industry to collaborate with universities</w:t>
      </w:r>
      <w:bookmarkEnd w:id="44"/>
    </w:p>
    <w:p w14:paraId="2AC96B16" w14:textId="43FDF612" w:rsidR="00D00EA9" w:rsidRDefault="00D63379" w:rsidP="00D00EA9">
      <w:r>
        <w:t>Six</w:t>
      </w:r>
      <w:r w:rsidR="00D00EA9">
        <w:t xml:space="preserve"> submissions that addressed this issue</w:t>
      </w:r>
      <w:r w:rsidR="00D00EA9" w:rsidDel="00181C05">
        <w:t xml:space="preserve"> </w:t>
      </w:r>
      <w:r w:rsidR="00D00EA9">
        <w:t xml:space="preserve">claimed that although the Research and Development Tax Incentive (R&amp;D tax incentive) constitutes a significant expenditure for the government it has not had the intended effect of generating new knowledge or research partnerships. </w:t>
      </w:r>
    </w:p>
    <w:p w14:paraId="27B4DC2D" w14:textId="77777777" w:rsidR="000B39B6" w:rsidRDefault="000B39B6" w:rsidP="000B39B6">
      <w:pPr>
        <w:ind w:left="720"/>
      </w:pPr>
      <w:r>
        <w:rPr>
          <w:i/>
          <w:iCs/>
        </w:rPr>
        <w:t>“</w:t>
      </w:r>
      <w:r w:rsidRPr="00A032E6">
        <w:rPr>
          <w:i/>
          <w:iCs/>
        </w:rPr>
        <w:t>At present, a major criticism of the R&amp;D tax incentive is that it is predominantly used to support reducing the tax burden of participants, rather than stimulating R&amp;D as was intended</w:t>
      </w:r>
      <w:r w:rsidRPr="006C2447">
        <w:rPr>
          <w:i/>
          <w:iCs/>
        </w:rPr>
        <w:t>.”</w:t>
      </w:r>
      <w:r>
        <w:rPr>
          <w:i/>
          <w:iCs/>
        </w:rPr>
        <w:t xml:space="preserve"> - </w:t>
      </w:r>
      <w:r>
        <w:t>University of New South Wales.</w:t>
      </w:r>
    </w:p>
    <w:p w14:paraId="54A8492C" w14:textId="77777777" w:rsidR="00417165" w:rsidRDefault="00417165" w:rsidP="00417165">
      <w:r>
        <w:t>Western Sydney University also noted that the R&amp;D tax incentive is not targeted to national priorities and specifically excludes research in humanities and social sciences, despite this being central to the successful adoption of many scientific discoveries.</w:t>
      </w:r>
    </w:p>
    <w:p w14:paraId="064E82D5" w14:textId="403E3ED9" w:rsidR="006109FC" w:rsidRDefault="006109FC" w:rsidP="006109FC">
      <w:r>
        <w:lastRenderedPageBreak/>
        <w:t xml:space="preserve">Eleven submissions called for the introduction of </w:t>
      </w:r>
      <w:r w:rsidR="005D2C85">
        <w:t>a</w:t>
      </w:r>
      <w:r>
        <w:t xml:space="preserve"> collaboration premium to incentivise collaborations between industry and universities. Four submissions directly referenced the recommendation from the 2016 review of the R&amp;D tax incentive by Ferris, Finkel and Fraser, which called for a collaboration premium of up to 20 per cent on non-refundable tax offsets to support expenditures undertaken with publicly funded research organisations and universities.</w:t>
      </w:r>
    </w:p>
    <w:p w14:paraId="3C133A87" w14:textId="77777777" w:rsidR="005D4E59" w:rsidRDefault="005D4E59" w:rsidP="005D4E59">
      <w:r>
        <w:t>Five submissions also identified the need for greater support and incentives for small to medium enterprises (SMEs) to collaborate with universities given their predominance in the Australian economy, especially in rural, regional and remote Australia. Submissions suggested this could be provided through higher tax credits, vouchers or dedicated programs such as a small business innovation research program to remove the barriers to access for SMEs.</w:t>
      </w:r>
    </w:p>
    <w:p w14:paraId="16AC224B" w14:textId="77777777" w:rsidR="000B39B6" w:rsidRDefault="000B39B6" w:rsidP="000B39B6">
      <w:pPr>
        <w:pStyle w:val="Normal0"/>
        <w:ind w:left="720"/>
        <w:rPr>
          <w:rFonts w:ascii="Segoe UI" w:hAnsi="Segoe UI" w:cs="Segoe UI"/>
          <w:sz w:val="20"/>
          <w:szCs w:val="20"/>
        </w:rPr>
      </w:pPr>
      <w:r w:rsidRPr="00F728CC">
        <w:rPr>
          <w:i/>
          <w:iCs/>
        </w:rPr>
        <w:t>“</w:t>
      </w:r>
      <w:r w:rsidRPr="00F728CC">
        <w:rPr>
          <w:rFonts w:ascii="Segoe UI" w:hAnsi="Segoe UI" w:cs="Segoe UI"/>
          <w:i/>
          <w:iCs/>
          <w:sz w:val="20"/>
          <w:szCs w:val="20"/>
        </w:rPr>
        <w:t>SMEs in particular need greater support to participate in university R&amp;D. The 2008 Cutler Review of the National Innovation System proposed making a tax credit of 50 percent available to SMEs (compared to 40 percent for large firms) and, also, recommended vouchers for collaboration between SMEs and public research organisations.”</w:t>
      </w:r>
      <w:r>
        <w:rPr>
          <w:rFonts w:ascii="Segoe UI" w:hAnsi="Segoe UI" w:cs="Segoe UI"/>
          <w:sz w:val="20"/>
          <w:szCs w:val="20"/>
        </w:rPr>
        <w:t xml:space="preserve"> – University of New South Wales</w:t>
      </w:r>
    </w:p>
    <w:p w14:paraId="55D3BA25" w14:textId="443CD674" w:rsidR="0036393A" w:rsidRDefault="0036393A" w:rsidP="0036393A">
      <w:pPr>
        <w:pStyle w:val="Heading5"/>
      </w:pPr>
      <w:r>
        <w:t>Establish research and learning precincts</w:t>
      </w:r>
    </w:p>
    <w:p w14:paraId="3699090A" w14:textId="77777777" w:rsidR="0036393A" w:rsidRDefault="0036393A" w:rsidP="0036393A">
      <w:r>
        <w:t>Five submissions called for government support to enable universities to host or co-locate industry to develop partnerships and promote collaboration. All five submissions that raised this topic proposed the development of research and learning precincts as the best way forward.</w:t>
      </w:r>
    </w:p>
    <w:p w14:paraId="27FC982E" w14:textId="77777777" w:rsidR="0036393A" w:rsidRDefault="0036393A" w:rsidP="0036393A">
      <w:pPr>
        <w:ind w:left="720"/>
      </w:pPr>
      <w:r w:rsidRPr="00146515">
        <w:rPr>
          <w:i/>
          <w:iCs/>
        </w:rPr>
        <w:t>“Create learning precincts, whereby industry partners with higher education institutions to participate in research, to improve industry innovation.”</w:t>
      </w:r>
      <w:r>
        <w:t xml:space="preserve"> – Victorian Chamber of Commerce and Industry</w:t>
      </w:r>
    </w:p>
    <w:p w14:paraId="2066E47F" w14:textId="77777777" w:rsidR="0036393A" w:rsidRDefault="0036393A" w:rsidP="0036393A">
      <w:pPr>
        <w:pStyle w:val="Heading5"/>
      </w:pPr>
      <w:r>
        <w:t>Reform, consolidate and expand existing schemes</w:t>
      </w:r>
    </w:p>
    <w:p w14:paraId="26589010" w14:textId="77777777" w:rsidR="0036393A" w:rsidRDefault="0036393A" w:rsidP="0036393A">
      <w:r>
        <w:t>Five submissions noted that</w:t>
      </w:r>
      <w:r w:rsidDel="00A639F8">
        <w:t xml:space="preserve"> </w:t>
      </w:r>
      <w:r>
        <w:t>government schemes such as the ARC Linkage grants, Industry Fellowships and the Trailblazer Universities Program incentivise industry investment and collaboration. These submissions suggested reforms and expansion of such programs to improve industry-university collaboration.</w:t>
      </w:r>
    </w:p>
    <w:p w14:paraId="2E9B8AEF" w14:textId="77777777" w:rsidR="0036393A" w:rsidRDefault="0036393A" w:rsidP="0036393A">
      <w:pPr>
        <w:ind w:left="720"/>
      </w:pPr>
      <w:r w:rsidRPr="007A2464">
        <w:rPr>
          <w:i/>
          <w:iCs/>
        </w:rPr>
        <w:t>“</w:t>
      </w:r>
      <w:r>
        <w:rPr>
          <w:i/>
          <w:iCs/>
        </w:rPr>
        <w:t>Reviewing the suite of ARC Linkage Schemes, Industry Fellowships, and Industry Laureates to make sure they work in the context of an economy dominated by SMEs</w:t>
      </w:r>
      <w:r w:rsidRPr="007A2464">
        <w:rPr>
          <w:i/>
          <w:iCs/>
        </w:rPr>
        <w:t>.”</w:t>
      </w:r>
      <w:r>
        <w:t xml:space="preserve"> – University of Technology Sydney</w:t>
      </w:r>
    </w:p>
    <w:p w14:paraId="202DB37D" w14:textId="77777777" w:rsidR="0036393A" w:rsidRDefault="0036393A" w:rsidP="0036393A">
      <w:pPr>
        <w:ind w:left="720"/>
      </w:pPr>
      <w:r w:rsidRPr="007A2464">
        <w:rPr>
          <w:i/>
          <w:iCs/>
        </w:rPr>
        <w:t>“Consolidation and alignment of research, innovation and commercialisation schemes offered by government and others and making them more visible and accessible through a concierge and brokerage service.”</w:t>
      </w:r>
      <w:r>
        <w:t xml:space="preserve"> – Deakin University</w:t>
      </w:r>
    </w:p>
    <w:p w14:paraId="144B92E3" w14:textId="77777777" w:rsidR="0036393A" w:rsidRDefault="0036393A" w:rsidP="0036393A">
      <w:r>
        <w:t xml:space="preserve">One submission also called for the </w:t>
      </w:r>
      <w:r w:rsidRPr="001F3A51">
        <w:t>National Collaborative Research Infrastructure Strategy (NCRIS)</w:t>
      </w:r>
      <w:r w:rsidRPr="001F3A51" w:rsidDel="001F3A51">
        <w:t xml:space="preserve"> </w:t>
      </w:r>
      <w:r>
        <w:t xml:space="preserve">and ARC’s </w:t>
      </w:r>
      <w:r w:rsidRPr="001F3A51">
        <w:t xml:space="preserve">Linkage Infrastructure, Equipment and Facilities (LIEF) </w:t>
      </w:r>
      <w:r>
        <w:t>scheme to be reformed and expanded to include research and innovation development platforms to enable industry to advance their commercialisation pipelines on the road to market.</w:t>
      </w:r>
    </w:p>
    <w:p w14:paraId="324EC517" w14:textId="77777777" w:rsidR="0036393A" w:rsidRDefault="0036393A" w:rsidP="0036393A">
      <w:r>
        <w:t>Another submission recommended a greater emphasis on long-term, program-based collaborations and research networks, rather than</w:t>
      </w:r>
      <w:r w:rsidDel="0095756A">
        <w:t xml:space="preserve"> </w:t>
      </w:r>
      <w:r>
        <w:t>project-based, transactional relationships between university researchers and industry.</w:t>
      </w:r>
    </w:p>
    <w:p w14:paraId="12EBC6CB" w14:textId="77777777" w:rsidR="0036393A" w:rsidRDefault="0036393A" w:rsidP="0036393A">
      <w:pPr>
        <w:pStyle w:val="Heading5"/>
      </w:pPr>
      <w:r>
        <w:lastRenderedPageBreak/>
        <w:t>Establish</w:t>
      </w:r>
      <w:r w:rsidDel="000F3E33">
        <w:t xml:space="preserve"> </w:t>
      </w:r>
      <w:r>
        <w:t>an R&amp;D ecosystem and mechanisms for collaboration</w:t>
      </w:r>
    </w:p>
    <w:p w14:paraId="7A361F80" w14:textId="77777777" w:rsidR="0036393A" w:rsidRDefault="0036393A" w:rsidP="0036393A">
      <w:pPr>
        <w:rPr>
          <w:lang w:eastAsia="en-AU"/>
        </w:rPr>
      </w:pPr>
      <w:r>
        <w:rPr>
          <w:lang w:eastAsia="en-AU"/>
        </w:rPr>
        <w:t>Five submissions stressed the importance of supporting industry-university R&amp;D collaboration initiatives and the development of a comprehensive ecosystem.</w:t>
      </w:r>
    </w:p>
    <w:p w14:paraId="096375D4" w14:textId="77777777" w:rsidR="0036393A" w:rsidRDefault="0036393A" w:rsidP="0036393A">
      <w:pPr>
        <w:ind w:left="720"/>
      </w:pPr>
      <w:r w:rsidRPr="00713000">
        <w:rPr>
          <w:i/>
          <w:iCs/>
          <w:lang w:eastAsia="en-AU"/>
        </w:rPr>
        <w:t>“</w:t>
      </w:r>
      <w:r w:rsidRPr="00713000">
        <w:rPr>
          <w:i/>
          <w:iCs/>
        </w:rPr>
        <w:t>This should extend to a national integrated research ecosystem, which would reflect a living network of diverse Australian universities, research institutes and industry partners working together ethically and sustainably across disciplines to develop new sovereign capabilities and solve intersectional problems. This would build on collaboration between existing institutions, and also incorporate research and industry hubs that are either physical or network based.”</w:t>
      </w:r>
      <w:r>
        <w:t xml:space="preserve"> – RMIT University</w:t>
      </w:r>
    </w:p>
    <w:p w14:paraId="6A8635E8" w14:textId="32A81DE1" w:rsidR="00FD27F9" w:rsidRDefault="00946EEB" w:rsidP="00FD27F9">
      <w:r>
        <w:t>Another submission suggested supporting programs to nurture early-stage research and providing access to seed funding to support commercialisation pathways.</w:t>
      </w:r>
      <w:r w:rsidR="00FD27F9">
        <w:t xml:space="preserve"> </w:t>
      </w:r>
      <w:r w:rsidR="000B39B6">
        <w:t>Three submissions suggested that industry is often not aware of the mechanisms currently available to support business-research collaboration and there is a need to increase this awareness</w:t>
      </w:r>
      <w:r w:rsidR="00996EBF">
        <w:t xml:space="preserve">: </w:t>
      </w:r>
    </w:p>
    <w:p w14:paraId="1CD56ABD" w14:textId="69C94C6F" w:rsidR="000B39B6" w:rsidRDefault="000B39B6" w:rsidP="00FD27F9">
      <w:pPr>
        <w:pStyle w:val="ListParagraph"/>
        <w:numPr>
          <w:ilvl w:val="0"/>
          <w:numId w:val="86"/>
        </w:numPr>
      </w:pPr>
      <w:r>
        <w:t xml:space="preserve">Cooperative Research Australia proposed the formation of a coordinating body </w:t>
      </w:r>
      <w:r w:rsidR="0051174A">
        <w:t xml:space="preserve">to </w:t>
      </w:r>
      <w:r w:rsidR="003C7805">
        <w:t>ensure</w:t>
      </w:r>
      <w:r>
        <w:t xml:space="preserve"> the interaction between different programs and policies is well understood.</w:t>
      </w:r>
    </w:p>
    <w:p w14:paraId="426CA369" w14:textId="77777777" w:rsidR="000B39B6" w:rsidRDefault="000B39B6" w:rsidP="00FD27F9">
      <w:pPr>
        <w:pStyle w:val="ListBullet"/>
        <w:numPr>
          <w:ilvl w:val="0"/>
          <w:numId w:val="86"/>
        </w:numPr>
      </w:pPr>
      <w:r>
        <w:t>The Victorian Chamber of Commerce and Industry suggested establishing sectoral-based R&amp;D brokers to connect researchers with appropriate industry partners to transform innovations to viable products and services for market.</w:t>
      </w:r>
    </w:p>
    <w:p w14:paraId="5CC5C950" w14:textId="72673C41" w:rsidR="000B39B6" w:rsidRDefault="000B39B6" w:rsidP="00FD27F9">
      <w:pPr>
        <w:pStyle w:val="ListBullet"/>
        <w:numPr>
          <w:ilvl w:val="0"/>
          <w:numId w:val="86"/>
        </w:numPr>
      </w:pPr>
      <w:r>
        <w:t xml:space="preserve">The Australian Publishers Association identified that </w:t>
      </w:r>
      <w:r w:rsidDel="00704DCC">
        <w:t xml:space="preserve">researchers may </w:t>
      </w:r>
      <w:r>
        <w:t>require support such as training programs and mentorship schemes to effectively communicate their research outcomes to industry partners.</w:t>
      </w:r>
    </w:p>
    <w:p w14:paraId="76024616" w14:textId="6B9B3551" w:rsidR="000B39B6" w:rsidRDefault="00D6684A" w:rsidP="000B39B6">
      <w:pPr>
        <w:pStyle w:val="Heading5"/>
      </w:pPr>
      <w:r>
        <w:t>Develop b</w:t>
      </w:r>
      <w:r w:rsidR="000B39B6">
        <w:t>etter incentives for researchers to collaborate with industry</w:t>
      </w:r>
    </w:p>
    <w:p w14:paraId="5047C296" w14:textId="77777777" w:rsidR="000B39B6" w:rsidRDefault="000B39B6" w:rsidP="000B39B6">
      <w:r>
        <w:t>In addition to providing better incentives for industry to form collaborations, four submissions also identified the need to provide better incentives and pathways for researchers to be more engaged with industry.</w:t>
      </w:r>
    </w:p>
    <w:p w14:paraId="6C00D36D" w14:textId="489F3277" w:rsidR="000B39B6" w:rsidRDefault="000B39B6" w:rsidP="000B39B6">
      <w:r>
        <w:t xml:space="preserve">Three submissions proposed the use of PhD students and their research projects </w:t>
      </w:r>
      <w:r w:rsidR="00DE1BFE">
        <w:t>to</w:t>
      </w:r>
      <w:r>
        <w:t xml:space="preserve"> increase engagement between universities and industry.</w:t>
      </w:r>
    </w:p>
    <w:p w14:paraId="76BBDBC1" w14:textId="5D87F0A8" w:rsidR="000B39B6" w:rsidRDefault="000B39B6" w:rsidP="000B39B6">
      <w:pPr>
        <w:ind w:left="720"/>
      </w:pPr>
      <w:r w:rsidRPr="008D77A2">
        <w:rPr>
          <w:i/>
          <w:iCs/>
        </w:rPr>
        <w:t>“Adapt PhD courses to ensure that more research projects are demand-led, meaning businesses put forward research problems that PhD researchers solve through working full time in industry, to increase innovation and solve industry problems.”</w:t>
      </w:r>
      <w:r>
        <w:t xml:space="preserve"> – Victorian Chamber of Commerce and Industry</w:t>
      </w:r>
    </w:p>
    <w:p w14:paraId="1FEA6F54" w14:textId="7D8AE41B" w:rsidR="000B39B6" w:rsidRDefault="000B39B6" w:rsidP="000B39B6">
      <w:r>
        <w:t>Cruxes Innovation noted the need to create more ‘slack’ in the current research and teaching system to allow researchers to take more risk</w:t>
      </w:r>
      <w:r w:rsidR="0037162F">
        <w:t>,</w:t>
      </w:r>
      <w:r>
        <w:t xml:space="preserve"> especially where collaborations might not immediately result in highly cited papers</w:t>
      </w:r>
      <w:r w:rsidR="0078232E">
        <w:t>:</w:t>
      </w:r>
    </w:p>
    <w:p w14:paraId="7FBDB8DC" w14:textId="52FB21FD" w:rsidR="000B39B6" w:rsidRDefault="000B39B6" w:rsidP="000B39B6">
      <w:pPr>
        <w:ind w:left="720"/>
      </w:pPr>
      <w:r w:rsidRPr="00D70B7B">
        <w:rPr>
          <w:i/>
          <w:iCs/>
        </w:rPr>
        <w:t xml:space="preserve">“Continue long-term investment in the establishment of compelling, prestigious alternative promotion systems that give academics conﬁdence to pursue a career pathway that isn’t </w:t>
      </w:r>
      <w:r w:rsidRPr="00D70B7B">
        <w:rPr>
          <w:i/>
          <w:iCs/>
        </w:rPr>
        <w:lastRenderedPageBreak/>
        <w:t>determined by publications. For example, offer highly prestigious government-funded positions for researchers focused on industry collaboration and entrepreneurship - equivalents of the ARC’s DECRA, Future and Laureate Fellowships - to incentivise changes in university promotion criteria.”</w:t>
      </w:r>
      <w:r>
        <w:t xml:space="preserve"> – Cruxes Innovation</w:t>
      </w:r>
      <w:r w:rsidR="00A93D6A">
        <w:t>.</w:t>
      </w:r>
    </w:p>
    <w:p w14:paraId="49E4C688" w14:textId="371CE3C0" w:rsidR="00A93D6A" w:rsidRDefault="00A93D6A" w:rsidP="00A93D6A">
      <w:pPr>
        <w:pStyle w:val="Heading4"/>
      </w:pPr>
      <w:r>
        <w:t>Stimulat</w:t>
      </w:r>
      <w:r w:rsidR="001E289A">
        <w:t>e</w:t>
      </w:r>
      <w:r>
        <w:t xml:space="preserve"> greater industry investment in research and effective collaboration</w:t>
      </w:r>
    </w:p>
    <w:p w14:paraId="68A12160" w14:textId="4FEC33ED" w:rsidR="00A93D6A" w:rsidRDefault="00F815BE" w:rsidP="00A93D6A">
      <w:r>
        <w:t>The Discussion Paper</w:t>
      </w:r>
      <w:r w:rsidR="00A93D6A">
        <w:t xml:space="preserve"> asked respondents how Australia could stimulate greater industry investment in research and more effective collaboration). Eleven percent of submissions (32 submissions) responded to this question and recommended:</w:t>
      </w:r>
    </w:p>
    <w:p w14:paraId="088A5524" w14:textId="77777777" w:rsidR="00A93D6A" w:rsidRDefault="00A93D6A" w:rsidP="00A93D6A">
      <w:pPr>
        <w:pStyle w:val="ListParagraph"/>
        <w:numPr>
          <w:ilvl w:val="0"/>
          <w:numId w:val="69"/>
        </w:numPr>
        <w:spacing w:after="120" w:line="259" w:lineRule="auto"/>
      </w:pPr>
      <w:r>
        <w:t>Broaden the definition of industry and translation (6 submissions)</w:t>
      </w:r>
    </w:p>
    <w:p w14:paraId="3DF103D2" w14:textId="77777777" w:rsidR="00A93D6A" w:rsidRDefault="00A93D6A" w:rsidP="00A93D6A">
      <w:pPr>
        <w:pStyle w:val="ListParagraph"/>
        <w:numPr>
          <w:ilvl w:val="0"/>
          <w:numId w:val="69"/>
        </w:numPr>
        <w:spacing w:after="120" w:line="259" w:lineRule="auto"/>
      </w:pPr>
      <w:r>
        <w:t>Revision of the R&amp;D tax incentive (5 submissions)</w:t>
      </w:r>
    </w:p>
    <w:p w14:paraId="622C5C8A" w14:textId="77777777" w:rsidR="00A93D6A" w:rsidRDefault="00A93D6A" w:rsidP="00A93D6A">
      <w:pPr>
        <w:pStyle w:val="ListParagraph"/>
        <w:numPr>
          <w:ilvl w:val="0"/>
          <w:numId w:val="69"/>
        </w:numPr>
        <w:spacing w:after="120" w:line="259" w:lineRule="auto"/>
      </w:pPr>
      <w:r>
        <w:t>Improved mechanisms for collaboration (3 submissions)</w:t>
      </w:r>
    </w:p>
    <w:p w14:paraId="54CFE4EB" w14:textId="049767BA" w:rsidR="00D63379" w:rsidRPr="00D63379" w:rsidRDefault="00D63379" w:rsidP="00D63379">
      <w:pPr>
        <w:spacing w:after="120" w:line="259" w:lineRule="auto"/>
        <w:rPr>
          <w:i/>
          <w:iCs/>
          <w:u w:val="single"/>
        </w:rPr>
      </w:pPr>
      <w:r>
        <w:t>Two of these themes, ‘Revision of the R&amp;D tax incentive’ and ‘Improved mechanisms for collaboration’ have been explored in the</w:t>
      </w:r>
      <w:r w:rsidR="00600C56">
        <w:t xml:space="preserve"> previous</w:t>
      </w:r>
      <w:r>
        <w:t xml:space="preserve"> section </w:t>
      </w:r>
      <w:r w:rsidRPr="00D63379">
        <w:rPr>
          <w:i/>
          <w:iCs/>
          <w:u w:val="single"/>
        </w:rPr>
        <w:fldChar w:fldCharType="begin"/>
      </w:r>
      <w:r w:rsidRPr="00D63379">
        <w:rPr>
          <w:i/>
          <w:iCs/>
          <w:u w:val="single"/>
        </w:rPr>
        <w:instrText xml:space="preserve"> REF _Ref135210005 \h  \* MERGEFORMAT </w:instrText>
      </w:r>
      <w:r w:rsidRPr="00D63379">
        <w:rPr>
          <w:i/>
          <w:iCs/>
          <w:u w:val="single"/>
        </w:rPr>
      </w:r>
      <w:r w:rsidRPr="00D63379">
        <w:rPr>
          <w:i/>
          <w:iCs/>
          <w:u w:val="single"/>
        </w:rPr>
        <w:fldChar w:fldCharType="separate"/>
      </w:r>
      <w:r w:rsidRPr="00D63379">
        <w:rPr>
          <w:i/>
          <w:iCs/>
          <w:u w:val="single"/>
        </w:rPr>
        <w:t>Develop better incentives for industry to collaborate with universities</w:t>
      </w:r>
      <w:r w:rsidRPr="00D63379">
        <w:rPr>
          <w:i/>
          <w:iCs/>
          <w:u w:val="single"/>
        </w:rPr>
        <w:fldChar w:fldCharType="end"/>
      </w:r>
      <w:r w:rsidRPr="00D63379">
        <w:rPr>
          <w:i/>
          <w:iCs/>
          <w:u w:val="single"/>
        </w:rPr>
        <w:t>.</w:t>
      </w:r>
    </w:p>
    <w:p w14:paraId="09998E8E" w14:textId="442CB4E9" w:rsidR="00A80E9E" w:rsidRDefault="00A80E9E" w:rsidP="00A80E9E">
      <w:pPr>
        <w:pStyle w:val="Heading5"/>
      </w:pPr>
      <w:r>
        <w:t>Broaden the definition of industry and translation</w:t>
      </w:r>
    </w:p>
    <w:p w14:paraId="62FE84B2" w14:textId="77777777" w:rsidR="00A80E9E" w:rsidRDefault="00A80E9E" w:rsidP="00A80E9E">
      <w:pPr>
        <w:rPr>
          <w:lang w:eastAsia="en-AU"/>
        </w:rPr>
      </w:pPr>
      <w:r>
        <w:rPr>
          <w:lang w:eastAsia="en-AU"/>
        </w:rPr>
        <w:t>Six submissions noted it was important that the Accord recognises that translation from knowledge into outcomes does not only equate to commercialisation. Commercialisation is only one pathway to translation, and translation into policy and practice is also common and effective, as noted by the University of Canberra:</w:t>
      </w:r>
    </w:p>
    <w:p w14:paraId="593599D2" w14:textId="77777777" w:rsidR="00A80E9E" w:rsidRDefault="00A80E9E" w:rsidP="00A80E9E">
      <w:pPr>
        <w:ind w:left="720"/>
        <w:rPr>
          <w:lang w:eastAsia="en-AU"/>
        </w:rPr>
      </w:pPr>
      <w:r w:rsidRPr="00E60ED2">
        <w:rPr>
          <w:i/>
          <w:iCs/>
          <w:lang w:eastAsia="en-AU"/>
        </w:rPr>
        <w:t>“The University of Canberra is keen that commercialisation of research is part of a balanced approach to research in Australia, across the cycle of basic, applied and translational research, and across disciplines. Too strong a focus on commercialisation is not a sound long-term strategy, given the need for renewal of ideas. It is important that non-commercial ideas are also translated for the benefit of society, for example into Government policy, health care practices, or teaching methods.”</w:t>
      </w:r>
      <w:r>
        <w:rPr>
          <w:lang w:eastAsia="en-AU"/>
        </w:rPr>
        <w:t xml:space="preserve"> – University of Canberra</w:t>
      </w:r>
    </w:p>
    <w:p w14:paraId="33331621" w14:textId="4B999CBB" w:rsidR="00A93D6A" w:rsidRDefault="00A80E9E" w:rsidP="00A93D6A">
      <w:pPr>
        <w:rPr>
          <w:lang w:eastAsia="en-AU"/>
        </w:rPr>
      </w:pPr>
      <w:r>
        <w:rPr>
          <w:lang w:eastAsia="en-AU"/>
        </w:rPr>
        <w:t>The International Australian Studies Association put forward that for humanities and social science research, the most obvious industry partners are often galleries, libraries, archives and museums (the GLAM sector). This sector has limited financial and staffing resources compared to the private sector to support translation efforts, and therefore government support, such as through Australian Research Council (ARC) Linkage grants, is important to enable collaboration.</w:t>
      </w:r>
    </w:p>
    <w:p w14:paraId="2C69DDD6" w14:textId="70396BE6" w:rsidR="000B39B6" w:rsidRDefault="000B39B6" w:rsidP="000B39B6">
      <w:pPr>
        <w:pStyle w:val="Heading4"/>
      </w:pPr>
      <w:r>
        <w:t>Leverag</w:t>
      </w:r>
      <w:r w:rsidR="001E289A">
        <w:t>e</w:t>
      </w:r>
      <w:r>
        <w:t xml:space="preserve"> Australia’s research strengths to address global challenges</w:t>
      </w:r>
    </w:p>
    <w:p w14:paraId="747035C7" w14:textId="4DB10447" w:rsidR="000B39B6" w:rsidRDefault="000B39B6" w:rsidP="000B39B6">
      <w:r>
        <w:t xml:space="preserve">The Discussion Paper </w:t>
      </w:r>
      <w:r w:rsidR="0078232E">
        <w:t>asked</w:t>
      </w:r>
      <w:r w:rsidR="00B96064">
        <w:t xml:space="preserve"> how</w:t>
      </w:r>
      <w:r>
        <w:t xml:space="preserve"> Australian research capacity can be best ensured, enhanced and used most effectively to develop new capabilities and focus on missions of national importance.</w:t>
      </w:r>
    </w:p>
    <w:p w14:paraId="0FCC07BC" w14:textId="29F8B937" w:rsidR="000B39B6" w:rsidRDefault="000B39B6" w:rsidP="000B39B6">
      <w:r>
        <w:t xml:space="preserve">Thirteen percent of submissions (39 submissions) responded </w:t>
      </w:r>
      <w:r w:rsidR="00FA46D1">
        <w:t xml:space="preserve">to </w:t>
      </w:r>
      <w:r>
        <w:t xml:space="preserve">this topic </w:t>
      </w:r>
      <w:r w:rsidR="00FA46D1">
        <w:t>and provided the following recommendations</w:t>
      </w:r>
      <w:r>
        <w:t>:</w:t>
      </w:r>
    </w:p>
    <w:p w14:paraId="21517544" w14:textId="277BA758" w:rsidR="000B39B6" w:rsidRPr="00487CD0" w:rsidRDefault="00B24AE0" w:rsidP="000B39B6">
      <w:pPr>
        <w:pStyle w:val="ListParagraph"/>
        <w:numPr>
          <w:ilvl w:val="0"/>
          <w:numId w:val="68"/>
        </w:numPr>
        <w:spacing w:after="120" w:line="259" w:lineRule="auto"/>
      </w:pPr>
      <w:r>
        <w:t>s</w:t>
      </w:r>
      <w:r w:rsidR="000B39B6">
        <w:t>trengthen multidisciplinary</w:t>
      </w:r>
      <w:r>
        <w:t>, interdisciplinary</w:t>
      </w:r>
      <w:r w:rsidR="000B39B6">
        <w:t xml:space="preserve"> and transdisciplinary research (7 submissions)</w:t>
      </w:r>
    </w:p>
    <w:p w14:paraId="4D0C6D7F" w14:textId="315E7D25" w:rsidR="000B39B6" w:rsidRDefault="00B24AE0" w:rsidP="000B39B6">
      <w:pPr>
        <w:pStyle w:val="ListParagraph"/>
        <w:numPr>
          <w:ilvl w:val="0"/>
          <w:numId w:val="68"/>
        </w:numPr>
        <w:spacing w:after="120" w:line="259" w:lineRule="auto"/>
      </w:pPr>
      <w:r>
        <w:t>r</w:t>
      </w:r>
      <w:r w:rsidR="00FA46D1">
        <w:t xml:space="preserve">educe </w:t>
      </w:r>
      <w:r w:rsidR="000B39B6">
        <w:t xml:space="preserve">competition and </w:t>
      </w:r>
      <w:r w:rsidR="00A32272">
        <w:t xml:space="preserve">enhance </w:t>
      </w:r>
      <w:r w:rsidR="000B39B6">
        <w:t>collaboration (5 submissions)</w:t>
      </w:r>
      <w:r w:rsidR="000B39B6" w:rsidRPr="008337BE">
        <w:t xml:space="preserve"> </w:t>
      </w:r>
    </w:p>
    <w:p w14:paraId="70D17906" w14:textId="711B75E8" w:rsidR="000B39B6" w:rsidRDefault="00B24AE0" w:rsidP="000B39B6">
      <w:pPr>
        <w:pStyle w:val="ListParagraph"/>
        <w:numPr>
          <w:ilvl w:val="0"/>
          <w:numId w:val="68"/>
        </w:numPr>
        <w:spacing w:after="120" w:line="259" w:lineRule="auto"/>
      </w:pPr>
      <w:r>
        <w:t>s</w:t>
      </w:r>
      <w:r w:rsidR="000B39B6">
        <w:t>upport for regional research (5 submissions)</w:t>
      </w:r>
    </w:p>
    <w:p w14:paraId="2F1CDDDB" w14:textId="71451A95" w:rsidR="000B39B6" w:rsidRDefault="00B24AE0" w:rsidP="000B39B6">
      <w:pPr>
        <w:pStyle w:val="ListParagraph"/>
        <w:numPr>
          <w:ilvl w:val="0"/>
          <w:numId w:val="68"/>
        </w:numPr>
        <w:spacing w:after="120" w:line="259" w:lineRule="auto"/>
      </w:pPr>
      <w:r>
        <w:lastRenderedPageBreak/>
        <w:t>r</w:t>
      </w:r>
      <w:r w:rsidR="000B39B6">
        <w:t>esearch funding for strategic priorities (5 submissions)</w:t>
      </w:r>
    </w:p>
    <w:p w14:paraId="0177EC03" w14:textId="39E7B564" w:rsidR="000B39B6" w:rsidRDefault="00FF58A9" w:rsidP="000B39B6">
      <w:pPr>
        <w:pStyle w:val="ListParagraph"/>
        <w:numPr>
          <w:ilvl w:val="0"/>
          <w:numId w:val="68"/>
        </w:numPr>
        <w:spacing w:after="120" w:line="259" w:lineRule="auto"/>
      </w:pPr>
      <w:r>
        <w:t xml:space="preserve">put </w:t>
      </w:r>
      <w:r w:rsidR="00B24AE0">
        <w:t>g</w:t>
      </w:r>
      <w:r w:rsidR="000B39B6">
        <w:t>reater focus on basic research (4 submissions)</w:t>
      </w:r>
    </w:p>
    <w:p w14:paraId="70A5CD35" w14:textId="3DAC968C" w:rsidR="000B39B6" w:rsidRDefault="000B39B6" w:rsidP="000B39B6">
      <w:pPr>
        <w:pStyle w:val="Heading5"/>
        <w:rPr>
          <w:rFonts w:cs="Segoe UI"/>
          <w:szCs w:val="20"/>
        </w:rPr>
      </w:pPr>
      <w:r>
        <w:t>Strengthen multidisciplinary</w:t>
      </w:r>
      <w:r w:rsidR="005441A8">
        <w:t>, interdisciplinary</w:t>
      </w:r>
      <w:r>
        <w:t xml:space="preserve"> and transdisciplinary research</w:t>
      </w:r>
    </w:p>
    <w:p w14:paraId="23BE6B35" w14:textId="77B6177A" w:rsidR="000B39B6" w:rsidRDefault="00B95AF3" w:rsidP="000B39B6">
      <w:r>
        <w:t>Seven s</w:t>
      </w:r>
      <w:r w:rsidR="000B39B6">
        <w:t xml:space="preserve">ubmissions identified </w:t>
      </w:r>
      <w:r w:rsidR="00356128">
        <w:t xml:space="preserve">that </w:t>
      </w:r>
      <w:r w:rsidR="000B39B6">
        <w:t xml:space="preserve">breaking down research silos and bringing together researchers from different fields to collaborate </w:t>
      </w:r>
      <w:r w:rsidR="00356128">
        <w:t>i</w:t>
      </w:r>
      <w:r w:rsidR="000B39B6">
        <w:t>s essential to effectively us</w:t>
      </w:r>
      <w:r w:rsidR="00356128">
        <w:t>e</w:t>
      </w:r>
      <w:r w:rsidR="000B39B6">
        <w:t xml:space="preserve"> Australia’s research capability to solve wicked problems. They also provided insight on the barriers to </w:t>
      </w:r>
      <w:r w:rsidR="00FF7A35">
        <w:t>trans</w:t>
      </w:r>
      <w:r w:rsidR="000B39B6">
        <w:t>disciplinary research and recommendations to address them.</w:t>
      </w:r>
    </w:p>
    <w:p w14:paraId="5B23A67F" w14:textId="77777777" w:rsidR="000B39B6" w:rsidRDefault="000B39B6" w:rsidP="000B39B6">
      <w:pPr>
        <w:ind w:left="720"/>
      </w:pPr>
      <w:r w:rsidRPr="008C371D">
        <w:rPr>
          <w:i/>
          <w:iCs/>
        </w:rPr>
        <w:t>“If Australia is to address the major changes underway in our society, economy, and environment—and the wicked problems they present—then universities need an interdisciplinary approach, one that leads to high quality and impactful results. However, incentive structures don’t support this approach.”</w:t>
      </w:r>
      <w:r>
        <w:t xml:space="preserve"> – Macquarie University.</w:t>
      </w:r>
    </w:p>
    <w:p w14:paraId="01B7329A" w14:textId="4F374917" w:rsidR="000B39B6" w:rsidRDefault="000B39B6" w:rsidP="000B39B6">
      <w:r>
        <w:t xml:space="preserve">Three submissions identified current research funding schemes and incentives as a barrier to transdisciplinary research as they focus on disciplinary depth and track record </w:t>
      </w:r>
      <w:r w:rsidR="00166A2F">
        <w:t>rather than</w:t>
      </w:r>
      <w:r w:rsidDel="005D0DCB">
        <w:t xml:space="preserve"> </w:t>
      </w:r>
      <w:r>
        <w:t>innovative ideas with unrealised potential for impact. Submissions instead called for dedicated funding and support to enable the organisational and systematic changes necessary to nurture and grow transdisciplinary research.</w:t>
      </w:r>
    </w:p>
    <w:p w14:paraId="6C1CF6F7" w14:textId="77777777" w:rsidR="000B39B6" w:rsidRDefault="000B39B6" w:rsidP="000B39B6">
      <w:pPr>
        <w:ind w:left="720"/>
      </w:pPr>
      <w:r w:rsidRPr="008030BA">
        <w:rPr>
          <w:i/>
          <w:iCs/>
        </w:rPr>
        <w:t>“Current research funding schemes systematically screen out transdisciplinary and interdisciplinary research due to the structure of disciplinary assessment panels such as in ARC funding schemes. Transdisciplinary and interdisciplinary research tends to be innovative at its heart and have real-world relevance, however, it does not have the support of the disciplinary hierarchies and structures due to the existing prestige structures”</w:t>
      </w:r>
      <w:r>
        <w:t xml:space="preserve"> – TD School, University of Technology Sydney.</w:t>
      </w:r>
    </w:p>
    <w:p w14:paraId="2E3B4457" w14:textId="77777777" w:rsidR="000B39B6" w:rsidRDefault="000B39B6" w:rsidP="000B39B6">
      <w:r>
        <w:t>Two submissions noted the important role of humanities, arts and social sciences in addressing wicked problems and translating research into practical impact.</w:t>
      </w:r>
    </w:p>
    <w:p w14:paraId="32B989A9" w14:textId="77777777" w:rsidR="000B39B6" w:rsidRDefault="000B39B6" w:rsidP="000B39B6">
      <w:pPr>
        <w:ind w:left="720"/>
      </w:pPr>
      <w:r w:rsidRPr="00E02D7F">
        <w:rPr>
          <w:i/>
          <w:iCs/>
        </w:rPr>
        <w:t>“More critically, for breakthrough science and research to be commercialised, translated and adopted, humanities, arts, and social science research disciplines, with their focus on human behaviour, social structures and policy, will play a vital role.”</w:t>
      </w:r>
      <w:r>
        <w:t xml:space="preserve"> – Cruxes Innovation.</w:t>
      </w:r>
    </w:p>
    <w:p w14:paraId="12E2D9E3" w14:textId="27AB6890" w:rsidR="000B39B6" w:rsidRDefault="00CB268D" w:rsidP="000B39B6">
      <w:pPr>
        <w:pStyle w:val="Heading5"/>
      </w:pPr>
      <w:r>
        <w:t xml:space="preserve">Reduce </w:t>
      </w:r>
      <w:r w:rsidR="000B39B6">
        <w:t xml:space="preserve">competition and </w:t>
      </w:r>
      <w:r w:rsidR="00D316DB">
        <w:t xml:space="preserve">enhance </w:t>
      </w:r>
      <w:r w:rsidR="000B39B6">
        <w:t>collaboration</w:t>
      </w:r>
    </w:p>
    <w:p w14:paraId="23CD8380" w14:textId="34A7F383" w:rsidR="000B39B6" w:rsidRDefault="00356E7D" w:rsidP="000B39B6">
      <w:pPr>
        <w:rPr>
          <w:lang w:eastAsia="en-AU"/>
        </w:rPr>
      </w:pPr>
      <w:r>
        <w:rPr>
          <w:lang w:eastAsia="en-AU"/>
        </w:rPr>
        <w:t>Five s</w:t>
      </w:r>
      <w:r w:rsidR="000B39B6">
        <w:rPr>
          <w:lang w:eastAsia="en-AU"/>
        </w:rPr>
        <w:t xml:space="preserve">ubmissions noted </w:t>
      </w:r>
      <w:r w:rsidR="00AE0A25">
        <w:rPr>
          <w:lang w:eastAsia="en-AU"/>
        </w:rPr>
        <w:t xml:space="preserve">that </w:t>
      </w:r>
      <w:r w:rsidR="000B39B6">
        <w:rPr>
          <w:lang w:eastAsia="en-AU"/>
        </w:rPr>
        <w:t>the research funding system promotes competition between researchers and organisations</w:t>
      </w:r>
      <w:r w:rsidR="00AE0A25">
        <w:rPr>
          <w:lang w:eastAsia="en-AU"/>
        </w:rPr>
        <w:t xml:space="preserve">, rather than </w:t>
      </w:r>
      <w:r w:rsidR="000B39B6">
        <w:rPr>
          <w:lang w:eastAsia="en-AU"/>
        </w:rPr>
        <w:t xml:space="preserve">collaboration. This approach can </w:t>
      </w:r>
      <w:r w:rsidR="002672B9">
        <w:rPr>
          <w:lang w:eastAsia="en-AU"/>
        </w:rPr>
        <w:t>stifle</w:t>
      </w:r>
      <w:r w:rsidR="000B39B6">
        <w:rPr>
          <w:lang w:eastAsia="en-AU"/>
        </w:rPr>
        <w:t xml:space="preserve"> innovation and </w:t>
      </w:r>
      <w:r w:rsidR="002672B9">
        <w:rPr>
          <w:lang w:eastAsia="en-AU"/>
        </w:rPr>
        <w:t xml:space="preserve">waste </w:t>
      </w:r>
      <w:r w:rsidR="000B39B6">
        <w:rPr>
          <w:lang w:eastAsia="en-AU"/>
        </w:rPr>
        <w:t>time and resources. Submissions recommended that instead</w:t>
      </w:r>
      <w:r w:rsidR="00962332">
        <w:rPr>
          <w:lang w:eastAsia="en-AU"/>
        </w:rPr>
        <w:t>,</w:t>
      </w:r>
      <w:r w:rsidR="000B39B6">
        <w:rPr>
          <w:lang w:eastAsia="en-AU"/>
        </w:rPr>
        <w:t xml:space="preserve"> there should be greater emphasis on removing barriers between universities and encouraging cross-institution collaboration.</w:t>
      </w:r>
    </w:p>
    <w:p w14:paraId="1E3A9B85" w14:textId="77777777" w:rsidR="000B39B6" w:rsidRDefault="000B39B6" w:rsidP="000B39B6">
      <w:pPr>
        <w:ind w:left="720"/>
        <w:rPr>
          <w:lang w:eastAsia="en-AU"/>
        </w:rPr>
      </w:pPr>
      <w:r w:rsidRPr="00671CD3">
        <w:rPr>
          <w:i/>
          <w:iCs/>
          <w:lang w:eastAsia="en-AU"/>
        </w:rPr>
        <w:t xml:space="preserve">“Our current research system relies entirely on researchers putting in grant proposals, in competition with others. Some proposals are </w:t>
      </w:r>
      <w:proofErr w:type="gramStart"/>
      <w:r w:rsidRPr="00671CD3">
        <w:rPr>
          <w:i/>
          <w:iCs/>
          <w:lang w:eastAsia="en-AU"/>
        </w:rPr>
        <w:t>funded</w:t>
      </w:r>
      <w:proofErr w:type="gramEnd"/>
      <w:r w:rsidRPr="00671CD3">
        <w:rPr>
          <w:i/>
          <w:iCs/>
          <w:lang w:eastAsia="en-AU"/>
        </w:rPr>
        <w:t xml:space="preserve"> and teams may gradually build critical mass in certain areas. Although this organic system creates great research, there is limited strategic alignment with Australia’s needs.”</w:t>
      </w:r>
      <w:r>
        <w:rPr>
          <w:lang w:eastAsia="en-AU"/>
        </w:rPr>
        <w:t xml:space="preserve"> – Swinburne University of Technology.</w:t>
      </w:r>
    </w:p>
    <w:p w14:paraId="496D04DF" w14:textId="36FC7EC6" w:rsidR="000B39B6" w:rsidRDefault="000B39B6" w:rsidP="000B39B6">
      <w:pPr>
        <w:ind w:left="720"/>
      </w:pPr>
      <w:r w:rsidRPr="003E6A69">
        <w:rPr>
          <w:i/>
          <w:iCs/>
          <w:lang w:eastAsia="en-AU"/>
        </w:rPr>
        <w:t>“</w:t>
      </w:r>
      <w:r w:rsidRPr="003E6A69">
        <w:rPr>
          <w:i/>
          <w:iCs/>
        </w:rPr>
        <w:t xml:space="preserve">We have a system in which the public makes a substantial investment, and the public is owed collaboration between governments, sectors, institutions and individuals to deliver the best </w:t>
      </w:r>
      <w:r w:rsidRPr="003E6A69">
        <w:rPr>
          <w:i/>
          <w:iCs/>
        </w:rPr>
        <w:lastRenderedPageBreak/>
        <w:t>outcomes in the most cost-effective way. In contrast, competition, particularly over small amounts, can be wasteful in time and resources. A collaborative education system within a framework of cooperative federalism is a goal that we urge the Accord Panel to pursue in a bi-partisan way.”</w:t>
      </w:r>
      <w:r>
        <w:t xml:space="preserve"> – University Chancellors Council.</w:t>
      </w:r>
    </w:p>
    <w:p w14:paraId="7660CAC1" w14:textId="700DC5BC" w:rsidR="000B39B6" w:rsidRPr="004F4CDA" w:rsidRDefault="00AE0A25" w:rsidP="000B39B6">
      <w:pPr>
        <w:rPr>
          <w:lang w:eastAsia="en-AU"/>
        </w:rPr>
      </w:pPr>
      <w:r>
        <w:rPr>
          <w:lang w:eastAsia="en-AU"/>
        </w:rPr>
        <w:t xml:space="preserve">The </w:t>
      </w:r>
      <w:r w:rsidR="000B39B6">
        <w:rPr>
          <w:lang w:eastAsia="en-AU"/>
        </w:rPr>
        <w:t xml:space="preserve">University of Newcastle recommended creating a national research pilot using the principles of the NCRIS program. They noted </w:t>
      </w:r>
      <w:r>
        <w:rPr>
          <w:lang w:eastAsia="en-AU"/>
        </w:rPr>
        <w:t xml:space="preserve">that the </w:t>
      </w:r>
      <w:r w:rsidR="000B39B6">
        <w:rPr>
          <w:lang w:eastAsia="en-AU"/>
        </w:rPr>
        <w:t xml:space="preserve">NCRIS strategy </w:t>
      </w:r>
      <w:r w:rsidR="00762582">
        <w:rPr>
          <w:lang w:eastAsia="en-AU"/>
        </w:rPr>
        <w:t>has been</w:t>
      </w:r>
      <w:r w:rsidR="000B39B6">
        <w:rPr>
          <w:lang w:eastAsia="en-AU"/>
        </w:rPr>
        <w:t xml:space="preserve"> successful at creating partnerships, sharing resources and </w:t>
      </w:r>
      <w:r>
        <w:rPr>
          <w:lang w:eastAsia="en-AU"/>
        </w:rPr>
        <w:t xml:space="preserve">creating </w:t>
      </w:r>
      <w:r w:rsidR="000B39B6">
        <w:rPr>
          <w:lang w:eastAsia="en-AU"/>
        </w:rPr>
        <w:t>impact on national problems</w:t>
      </w:r>
      <w:r w:rsidR="0008650E">
        <w:rPr>
          <w:lang w:eastAsia="en-AU"/>
        </w:rPr>
        <w:t>,</w:t>
      </w:r>
      <w:r w:rsidR="000B39B6">
        <w:rPr>
          <w:lang w:eastAsia="en-AU"/>
        </w:rPr>
        <w:t xml:space="preserve"> using a limited pool of funds.</w:t>
      </w:r>
    </w:p>
    <w:p w14:paraId="7A4F55F4" w14:textId="5B67B901" w:rsidR="000B39B6" w:rsidRDefault="000B39B6" w:rsidP="000B39B6">
      <w:pPr>
        <w:pStyle w:val="Heading5"/>
      </w:pPr>
      <w:r>
        <w:t>Support regional research</w:t>
      </w:r>
    </w:p>
    <w:p w14:paraId="50A17DFB" w14:textId="04238CD4" w:rsidR="000B39B6" w:rsidRDefault="00C254AE" w:rsidP="000B39B6">
      <w:pPr>
        <w:rPr>
          <w:lang w:eastAsia="en-AU"/>
        </w:rPr>
      </w:pPr>
      <w:r>
        <w:rPr>
          <w:lang w:eastAsia="en-AU"/>
        </w:rPr>
        <w:t>F</w:t>
      </w:r>
      <w:r w:rsidR="0093798A">
        <w:rPr>
          <w:lang w:eastAsia="en-AU"/>
        </w:rPr>
        <w:t xml:space="preserve">ive </w:t>
      </w:r>
      <w:r w:rsidR="00AE0A25">
        <w:rPr>
          <w:lang w:eastAsia="en-AU"/>
        </w:rPr>
        <w:t>s</w:t>
      </w:r>
      <w:r w:rsidR="000B39B6">
        <w:rPr>
          <w:lang w:eastAsia="en-AU"/>
        </w:rPr>
        <w:t>ubmissions stressed the importance of recognising regional research and expertise as valuable contributors.</w:t>
      </w:r>
    </w:p>
    <w:p w14:paraId="5E6AE843" w14:textId="77777777" w:rsidR="000B39B6" w:rsidRDefault="000B39B6" w:rsidP="000B39B6">
      <w:pPr>
        <w:ind w:left="720"/>
      </w:pPr>
      <w:r w:rsidRPr="007C3C4A">
        <w:rPr>
          <w:i/>
          <w:iCs/>
          <w:lang w:eastAsia="en-AU"/>
        </w:rPr>
        <w:t>“</w:t>
      </w:r>
      <w:r w:rsidRPr="007C3C4A">
        <w:rPr>
          <w:i/>
          <w:iCs/>
        </w:rPr>
        <w:t>Acknowledge that regional universities provide valuable applied research to industry in their communities and that there is scope for greater collaboration between institutions in the national interest”</w:t>
      </w:r>
      <w:r>
        <w:t xml:space="preserve"> – Federation University.</w:t>
      </w:r>
    </w:p>
    <w:p w14:paraId="465D49A0" w14:textId="6DB26C7C" w:rsidR="000B39B6" w:rsidRDefault="000B39B6" w:rsidP="000B39B6">
      <w:r>
        <w:t>Three submissions raised the issue of research funding becoming concentrated</w:t>
      </w:r>
      <w:r w:rsidR="00AE0A25">
        <w:t>. They advocated for</w:t>
      </w:r>
      <w:r>
        <w:t xml:space="preserve"> a more equitable distribution to ensure regional and smaller universities continue to be supported in their research efforts.</w:t>
      </w:r>
    </w:p>
    <w:p w14:paraId="03DE5F90" w14:textId="2E8FC415" w:rsidR="000B39B6" w:rsidRDefault="000B39B6" w:rsidP="000B39B6">
      <w:r>
        <w:t>James Cook University noted that smaller and regional universities need greater support as they have less capability to respond to short-notice, ad-hoc government research funding calls.</w:t>
      </w:r>
    </w:p>
    <w:p w14:paraId="22942830" w14:textId="0750757D" w:rsidR="000B39B6" w:rsidRPr="002514D8" w:rsidRDefault="000B39B6" w:rsidP="002514D8">
      <w:pPr>
        <w:ind w:left="720"/>
      </w:pPr>
      <w:r w:rsidRPr="001B53B9">
        <w:rPr>
          <w:i/>
          <w:iCs/>
        </w:rPr>
        <w:t>“For smaller and regional universities there is simply less latent capability that can be deployed to respond to short-notice, ad-hoc, government research funding calls. Whilst smaller institutions can be flexible and agile and can have particularly strong abilities to bring together multi-disciplinary teams, there needs to be sufficient lead times and timeframes established if we are to be given a fair chance at establishing our case.”</w:t>
      </w:r>
      <w:r>
        <w:t xml:space="preserve"> – James Cook University.</w:t>
      </w:r>
    </w:p>
    <w:p w14:paraId="28D68245" w14:textId="77777777" w:rsidR="000B39B6" w:rsidRDefault="000B39B6" w:rsidP="000B39B6">
      <w:pPr>
        <w:pStyle w:val="Heading5"/>
      </w:pPr>
      <w:r>
        <w:t>Research funding for strategic priorities</w:t>
      </w:r>
    </w:p>
    <w:p w14:paraId="485059D2" w14:textId="63C8A56B" w:rsidR="000B39B6" w:rsidRDefault="000B39B6" w:rsidP="000B39B6">
      <w:r>
        <w:t xml:space="preserve">Five submissions suggested the government should adopt a ‘top-down’ approach </w:t>
      </w:r>
      <w:r w:rsidR="006A6A08">
        <w:t xml:space="preserve">to </w:t>
      </w:r>
      <w:r>
        <w:t>research funding to support national strategic priorities</w:t>
      </w:r>
      <w:r w:rsidR="00037AC7">
        <w:t>,</w:t>
      </w:r>
      <w:r>
        <w:t xml:space="preserve"> identified by the government</w:t>
      </w:r>
      <w:r w:rsidR="00037AC7">
        <w:t>,</w:t>
      </w:r>
      <w:r>
        <w:t xml:space="preserve"> </w:t>
      </w:r>
      <w:r w:rsidR="00E072C5">
        <w:t>that are</w:t>
      </w:r>
      <w:r>
        <w:t xml:space="preserve"> necessary to drive national prosperity and address grand challenges.</w:t>
      </w:r>
    </w:p>
    <w:p w14:paraId="4D92B570" w14:textId="77777777" w:rsidR="000B39B6" w:rsidRDefault="000B39B6" w:rsidP="000B39B6">
      <w:pPr>
        <w:ind w:left="720"/>
      </w:pPr>
      <w:r w:rsidRPr="002B4FF7">
        <w:rPr>
          <w:i/>
          <w:iCs/>
        </w:rPr>
        <w:t>“Australia also needs a “top down” method for allocating strategic research priority funding, where priority areas are identified as driving national prosperity in the next decade (e.g., quantum technology, manufacturing expertise, space and defence capabilities, biotechnology, cyber and AI). These priorities should be driven via direct financial support for the formation of a national network of complementary (rather than competing) expertise with specific national goals reflecting national needs. Strategic research priority funding should be long term (</w:t>
      </w:r>
      <w:proofErr w:type="gramStart"/>
      <w:r w:rsidRPr="002B4FF7">
        <w:rPr>
          <w:i/>
          <w:iCs/>
        </w:rPr>
        <w:t>e.g.</w:t>
      </w:r>
      <w:proofErr w:type="gramEnd"/>
      <w:r w:rsidRPr="002B4FF7">
        <w:rPr>
          <w:i/>
          <w:iCs/>
        </w:rPr>
        <w:t xml:space="preserve"> a decade) and cover researcher salaries, PhD stipends and key research infrastructure.”</w:t>
      </w:r>
      <w:r>
        <w:t xml:space="preserve"> – Swinburne University of Technology.</w:t>
      </w:r>
    </w:p>
    <w:p w14:paraId="104775F6" w14:textId="751C201A" w:rsidR="000B39B6" w:rsidRDefault="000B39B6" w:rsidP="000B39B6">
      <w:r>
        <w:t>CSIRO suggested that such an approach would help underpin stability of funding and provide a long-term strategy</w:t>
      </w:r>
      <w:r w:rsidR="00E072C5">
        <w:t xml:space="preserve">. CSIRO </w:t>
      </w:r>
      <w:r>
        <w:t xml:space="preserve">noted </w:t>
      </w:r>
      <w:r w:rsidR="00E072C5">
        <w:t xml:space="preserve">that </w:t>
      </w:r>
      <w:r>
        <w:t>a similar approach was taken in the University Research Commercialisation Action Plan.</w:t>
      </w:r>
    </w:p>
    <w:p w14:paraId="208523E7" w14:textId="66A46809" w:rsidR="000B39B6" w:rsidRDefault="00E072C5" w:rsidP="000B39B6">
      <w:r>
        <w:lastRenderedPageBreak/>
        <w:t xml:space="preserve">The </w:t>
      </w:r>
      <w:r w:rsidR="000B39B6">
        <w:t>University of Newcastle put forward the risks of not supporting strategic priority funding by using the example of Australia’s response to COVID-19.</w:t>
      </w:r>
    </w:p>
    <w:p w14:paraId="2EBF1DF9" w14:textId="6FB26BB7" w:rsidR="000B39B6" w:rsidRDefault="000B39B6" w:rsidP="000B39B6">
      <w:pPr>
        <w:ind w:left="720"/>
      </w:pPr>
      <w:r w:rsidRPr="00837843">
        <w:rPr>
          <w:i/>
          <w:iCs/>
        </w:rPr>
        <w:t xml:space="preserve">“It was notable that during COVID-19 our nation did not pull its scientific capabilities together across institutions to focus on major technical solutions </w:t>
      </w:r>
      <w:proofErr w:type="gramStart"/>
      <w:r w:rsidRPr="00837843">
        <w:rPr>
          <w:i/>
          <w:iCs/>
        </w:rPr>
        <w:t>e.g.</w:t>
      </w:r>
      <w:proofErr w:type="gramEnd"/>
      <w:r w:rsidRPr="00837843">
        <w:rPr>
          <w:i/>
          <w:iCs/>
        </w:rPr>
        <w:t xml:space="preserve"> a vaccine, instead we worked in existing local groupings on a competitive basis, thus limiting the possible scope of solutions.”</w:t>
      </w:r>
      <w:r>
        <w:t xml:space="preserve"> – </w:t>
      </w:r>
      <w:r w:rsidR="00E072C5">
        <w:t xml:space="preserve">the </w:t>
      </w:r>
      <w:r>
        <w:t>University of Newcastle.</w:t>
      </w:r>
    </w:p>
    <w:p w14:paraId="74EDB71D" w14:textId="1F8E2FBB" w:rsidR="000B39B6" w:rsidRDefault="00E072C5" w:rsidP="000B39B6">
      <w:pPr>
        <w:pStyle w:val="Heading5"/>
      </w:pPr>
      <w:r>
        <w:t>Put g</w:t>
      </w:r>
      <w:r w:rsidR="000B39B6">
        <w:t>reater focus on basic research</w:t>
      </w:r>
    </w:p>
    <w:p w14:paraId="5E96D5AF" w14:textId="0D6A4E36" w:rsidR="000B39B6" w:rsidRDefault="000B39B6" w:rsidP="000B39B6">
      <w:pPr>
        <w:rPr>
          <w:lang w:eastAsia="en-AU"/>
        </w:rPr>
      </w:pPr>
      <w:r>
        <w:rPr>
          <w:lang w:eastAsia="en-AU"/>
        </w:rPr>
        <w:t>Four submissions recommended that the government should increase its focus on basic</w:t>
      </w:r>
      <w:r w:rsidR="00F02A37">
        <w:rPr>
          <w:lang w:eastAsia="en-AU"/>
        </w:rPr>
        <w:t xml:space="preserve"> and funda</w:t>
      </w:r>
      <w:r w:rsidR="00F45271">
        <w:rPr>
          <w:lang w:eastAsia="en-AU"/>
        </w:rPr>
        <w:t>mental</w:t>
      </w:r>
      <w:r>
        <w:rPr>
          <w:lang w:eastAsia="en-AU"/>
        </w:rPr>
        <w:t xml:space="preserve"> research and recognise </w:t>
      </w:r>
      <w:r w:rsidR="006F6533">
        <w:rPr>
          <w:lang w:eastAsia="en-AU"/>
        </w:rPr>
        <w:t xml:space="preserve">the </w:t>
      </w:r>
      <w:r>
        <w:rPr>
          <w:lang w:eastAsia="en-AU"/>
        </w:rPr>
        <w:t>vital role this type of research plays in innovation and generating big ideas.</w:t>
      </w:r>
    </w:p>
    <w:p w14:paraId="5B90880B" w14:textId="78F50C3B" w:rsidR="000B39B6" w:rsidRDefault="000B39B6" w:rsidP="000B39B6">
      <w:pPr>
        <w:ind w:left="720"/>
      </w:pPr>
      <w:r w:rsidRPr="00001089">
        <w:rPr>
          <w:i/>
          <w:iCs/>
          <w:lang w:eastAsia="en-AU"/>
        </w:rPr>
        <w:t>“B</w:t>
      </w:r>
      <w:r w:rsidRPr="00001089">
        <w:rPr>
          <w:i/>
          <w:iCs/>
        </w:rPr>
        <w:t>asic research expands knowledge and underpins the breakthrough technologies, skills development and innovations that support long-term productivity growth and wellbeing at an individual and societal level. Yet the OECD has recently raised concerns about the trend in many countries favouring applied over basic research.”</w:t>
      </w:r>
      <w:r>
        <w:t xml:space="preserve">  - </w:t>
      </w:r>
      <w:r w:rsidR="00E072C5">
        <w:t xml:space="preserve">the </w:t>
      </w:r>
      <w:r>
        <w:t>University of Sydney.</w:t>
      </w:r>
    </w:p>
    <w:p w14:paraId="52BFF64C" w14:textId="77777777" w:rsidR="000B39B6" w:rsidRDefault="000B39B6" w:rsidP="000B39B6">
      <w:pPr>
        <w:ind w:left="720"/>
      </w:pPr>
      <w:r w:rsidRPr="00F16F2E">
        <w:rPr>
          <w:i/>
          <w:iCs/>
        </w:rPr>
        <w:t xml:space="preserve">“Research for discovery or fundamental research as opposed to applied research is crucial to the development of new technologies and capabilities. Research with no practical use in mind has historically led to significant discoveries of many innovations we now take for granted. Discoveries made from fundamental research become the bedrock of future discoveries in applied research.” </w:t>
      </w:r>
      <w:r>
        <w:t>– Curtin Student Guild.</w:t>
      </w:r>
    </w:p>
    <w:p w14:paraId="29589575" w14:textId="5DAF6115" w:rsidR="000B39B6" w:rsidRDefault="000B39B6" w:rsidP="000B39B6">
      <w:pPr>
        <w:pStyle w:val="Heading4"/>
      </w:pPr>
      <w:r>
        <w:t>Maintain and improv</w:t>
      </w:r>
      <w:r w:rsidR="000B165D">
        <w:t>e</w:t>
      </w:r>
      <w:r>
        <w:t xml:space="preserve"> Australia’s research quality</w:t>
      </w:r>
    </w:p>
    <w:p w14:paraId="466A66CC" w14:textId="09FB9A72" w:rsidR="000B39B6" w:rsidRDefault="000B39B6" w:rsidP="000B39B6">
      <w:r>
        <w:t>The</w:t>
      </w:r>
      <w:r w:rsidR="00E072C5">
        <w:t xml:space="preserve"> Discussion Paper outlined the</w:t>
      </w:r>
      <w:r>
        <w:t xml:space="preserve"> importance of assessing the quality and value of research and benchmarking performance across institutions and disciplines.</w:t>
      </w:r>
    </w:p>
    <w:p w14:paraId="7AF669E9" w14:textId="1460B75F" w:rsidR="000B39B6" w:rsidRDefault="000B39B6" w:rsidP="000B39B6">
      <w:pPr>
        <w:ind w:left="720"/>
      </w:pPr>
      <w:r w:rsidRPr="00634E4A">
        <w:rPr>
          <w:i/>
          <w:iCs/>
        </w:rPr>
        <w:t>“</w:t>
      </w:r>
      <w:r w:rsidRPr="00D63379">
        <w:rPr>
          <w:rFonts w:cs="Myriad Pro"/>
          <w:i/>
          <w:iCs/>
          <w:color w:val="000000"/>
        </w:rPr>
        <w:t>Providing assurance of the quality and value of research impact is an important component of building social licence for the continuing level of investment in both the system and institutions.</w:t>
      </w:r>
      <w:r w:rsidRPr="00634E4A">
        <w:rPr>
          <w:rFonts w:cs="Myriad Pro"/>
          <w:i/>
          <w:iCs/>
          <w:color w:val="000000"/>
        </w:rPr>
        <w:t>”</w:t>
      </w:r>
      <w:r>
        <w:rPr>
          <w:rFonts w:cs="Myriad Pro"/>
          <w:color w:val="000000"/>
          <w:szCs w:val="19"/>
        </w:rPr>
        <w:t xml:space="preserve"> – Australian Universities Accord Discussion Paper, p. 31.</w:t>
      </w:r>
    </w:p>
    <w:p w14:paraId="5A4A0CA0" w14:textId="6717B839" w:rsidR="000B39B6" w:rsidRDefault="000B39B6" w:rsidP="000B39B6">
      <w:r>
        <w:t xml:space="preserve">The Discussion Paper asked for submissions </w:t>
      </w:r>
      <w:r w:rsidR="004C026E">
        <w:t xml:space="preserve">about </w:t>
      </w:r>
      <w:r>
        <w:t>how Australia’s research quality should be prioritised and supported over the next decade.</w:t>
      </w:r>
    </w:p>
    <w:p w14:paraId="65D32F10" w14:textId="5E5E5013" w:rsidR="000B39B6" w:rsidRDefault="000B39B6" w:rsidP="000B39B6">
      <w:r>
        <w:t>Eleven percent of submissions (33 submissions) responded to this question</w:t>
      </w:r>
      <w:r w:rsidR="00DD21EF">
        <w:t xml:space="preserve">. </w:t>
      </w:r>
      <w:r>
        <w:t xml:space="preserve"> </w:t>
      </w:r>
      <w:r w:rsidR="00DD21EF">
        <w:t>T</w:t>
      </w:r>
      <w:r>
        <w:t xml:space="preserve">he most </w:t>
      </w:r>
      <w:r w:rsidR="00E072C5">
        <w:t>common suggestion</w:t>
      </w:r>
      <w:r>
        <w:t xml:space="preserve"> </w:t>
      </w:r>
      <w:r w:rsidR="00DD21EF">
        <w:t>was</w:t>
      </w:r>
      <w:r>
        <w:t xml:space="preserve"> </w:t>
      </w:r>
      <w:r w:rsidR="008932F5">
        <w:t>to</w:t>
      </w:r>
      <w:r w:rsidDel="008932F5">
        <w:t xml:space="preserve"> </w:t>
      </w:r>
      <w:r w:rsidR="008932F5">
        <w:t xml:space="preserve">increase </w:t>
      </w:r>
      <w:r>
        <w:t>research funding with emphasis on funding the full cost of research.</w:t>
      </w:r>
    </w:p>
    <w:p w14:paraId="71C169F4" w14:textId="77777777" w:rsidR="000B39B6" w:rsidRDefault="000B39B6" w:rsidP="000B39B6">
      <w:r>
        <w:t>Seven submissions called for greater funding to ensure universities and researchers are best supported to continue delivering high quality research. Submissions noted that competitive research grants only cover the direct costs of research (not always in full</w:t>
      </w:r>
      <w:proofErr w:type="gramStart"/>
      <w:r>
        <w:t>)</w:t>
      </w:r>
      <w:proofErr w:type="gramEnd"/>
      <w:r>
        <w:t xml:space="preserve"> and block grant funding has not kept up with the rising costs of research.</w:t>
      </w:r>
    </w:p>
    <w:p w14:paraId="240A9A1F" w14:textId="77777777" w:rsidR="000B39B6" w:rsidRDefault="000B39B6" w:rsidP="000B39B6">
      <w:pPr>
        <w:ind w:left="720"/>
      </w:pPr>
      <w:r w:rsidRPr="005B6749">
        <w:rPr>
          <w:i/>
          <w:iCs/>
        </w:rPr>
        <w:t>“Competitive research grants and block grant funding do not meet the full cost of research, and universities are increasingly relying on external funders, mostly industry partners, and internal cross-subsidisation from student revenue, to fund their research.”</w:t>
      </w:r>
      <w:r>
        <w:t xml:space="preserve"> – Edith Cowan University.</w:t>
      </w:r>
    </w:p>
    <w:p w14:paraId="45C76111" w14:textId="1F1FECC2" w:rsidR="000B39B6" w:rsidRDefault="000B39B6" w:rsidP="000B39B6">
      <w:r>
        <w:lastRenderedPageBreak/>
        <w:t>Murdoch University recommended full cost recovery for all Category 1 research grants.</w:t>
      </w:r>
    </w:p>
    <w:p w14:paraId="0CE39FCC" w14:textId="2E83BC10" w:rsidR="000B39B6" w:rsidRDefault="000B39B6" w:rsidP="000B39B6">
      <w:r>
        <w:t xml:space="preserve">Aside from research funding, six submissions commented on the assessment of research quality, metrics and </w:t>
      </w:r>
      <w:r w:rsidR="00181E7E">
        <w:t>Excellence in Research for Australia (</w:t>
      </w:r>
      <w:r>
        <w:t>ERA</w:t>
      </w:r>
      <w:r w:rsidR="00181E7E">
        <w:t>)</w:t>
      </w:r>
      <w:r>
        <w:t xml:space="preserve">. Most submissions recognised the important role ERA has played in the past in lifting national research performance in terms of outputs and </w:t>
      </w:r>
      <w:proofErr w:type="gramStart"/>
      <w:r>
        <w:t>quality</w:t>
      </w:r>
      <w:proofErr w:type="gramEnd"/>
      <w:r>
        <w:t xml:space="preserve"> but they also acknowledged its methodology </w:t>
      </w:r>
      <w:r w:rsidR="00824F92">
        <w:t>has</w:t>
      </w:r>
      <w:r>
        <w:t xml:space="preserve"> created problems for the sector.</w:t>
      </w:r>
    </w:p>
    <w:p w14:paraId="137607B0" w14:textId="29608A37" w:rsidR="000B39B6" w:rsidRPr="006917FB" w:rsidRDefault="000B39B6" w:rsidP="000B39B6">
      <w:pPr>
        <w:ind w:left="720"/>
      </w:pPr>
      <w:r w:rsidRPr="006917FB">
        <w:rPr>
          <w:i/>
          <w:iCs/>
        </w:rPr>
        <w:t>“Research quality has also increasingly been evaluated via the pursuit of citations and international rankings, both which are increasingly viewed as unreliable and inaccurate measures of either research or teaching quality and where it is well known that gaming has occurred globally.”</w:t>
      </w:r>
      <w:r>
        <w:t xml:space="preserve"> – Alison Downham Moore</w:t>
      </w:r>
      <w:r w:rsidR="000E04BA">
        <w:t xml:space="preserve">, Associate Professor at </w:t>
      </w:r>
      <w:r w:rsidR="00B278E7">
        <w:t>Western Sydney University.</w:t>
      </w:r>
    </w:p>
    <w:p w14:paraId="3211B5B8" w14:textId="4271F3F7" w:rsidR="000B39B6" w:rsidRDefault="000B39B6" w:rsidP="000B39B6">
      <w:r>
        <w:t>Three submissions noted that ERA had fostered systemic disadvantage against fields of research such as humanities, arts and social science research due to the over-reliance on citations. In addition, Graeme Turner</w:t>
      </w:r>
      <w:r w:rsidR="00C5426E">
        <w:t xml:space="preserve">, Emeritus Professor at </w:t>
      </w:r>
      <w:r w:rsidR="00181E7E">
        <w:t xml:space="preserve">the </w:t>
      </w:r>
      <w:r w:rsidR="00C5426E">
        <w:t>University of Queensland,</w:t>
      </w:r>
      <w:r>
        <w:t xml:space="preserve"> noted that the focus on research disciplines allowed for exploitation and gaming of the system as outputs could be moved around the discipline codes to seek advantage.</w:t>
      </w:r>
    </w:p>
    <w:p w14:paraId="6C7511F5" w14:textId="77777777" w:rsidR="000B39B6" w:rsidRDefault="000B39B6" w:rsidP="000B39B6">
      <w:r>
        <w:t>Two submissions proposed the adoption of an automated assessment system with data driven insights.</w:t>
      </w:r>
    </w:p>
    <w:p w14:paraId="623ED418" w14:textId="77777777" w:rsidR="000B39B6" w:rsidRDefault="000B39B6" w:rsidP="000B39B6">
      <w:pPr>
        <w:ind w:left="720"/>
      </w:pPr>
      <w:r w:rsidRPr="005340D5">
        <w:rPr>
          <w:i/>
          <w:iCs/>
        </w:rPr>
        <w:t>“Replacing the Excellence in Research for Australia (ERA) process with an automated assessment system would allow access to a continuously available set of performance data, while reducing the administrative burden on the ARC and universities. Increasing transparency in the assessment methodology, and improving consistency between disciplines, will promote trust in the process and better reflect Australian universities’ research excellence.”</w:t>
      </w:r>
      <w:r>
        <w:t xml:space="preserve"> – Edith Cowan University.</w:t>
      </w:r>
    </w:p>
    <w:p w14:paraId="1FE9E68A" w14:textId="531C8941" w:rsidR="000B39B6" w:rsidRPr="000B39B6" w:rsidRDefault="000B39B6" w:rsidP="000B39B6">
      <w:pPr>
        <w:pStyle w:val="Normal0"/>
        <w:rPr>
          <w:rFonts w:ascii="Segoe UI" w:hAnsi="Segoe UI" w:cs="Segoe UI"/>
          <w:sz w:val="20"/>
          <w:szCs w:val="20"/>
        </w:rPr>
      </w:pPr>
      <w:r>
        <w:rPr>
          <w:rFonts w:ascii="Segoe UI" w:hAnsi="Segoe UI" w:cs="Segoe UI"/>
          <w:sz w:val="20"/>
          <w:szCs w:val="20"/>
        </w:rPr>
        <w:t>The Australian Academy of the Humanities proposed the adoption of a less frequent State of Research Report model where the government has line of sight over performance, capability and priorities.</w:t>
      </w:r>
    </w:p>
    <w:p w14:paraId="59E627A9" w14:textId="19CFBE26" w:rsidR="00022AF0" w:rsidRDefault="00022AF0" w:rsidP="00020C80">
      <w:pPr>
        <w:pStyle w:val="Heading3"/>
      </w:pPr>
      <w:bookmarkStart w:id="45" w:name="_Toc134807419"/>
      <w:bookmarkStart w:id="46" w:name="_Ref135209074"/>
      <w:r>
        <w:t>Connection to local, regional and international communities</w:t>
      </w:r>
      <w:bookmarkEnd w:id="45"/>
      <w:bookmarkEnd w:id="46"/>
    </w:p>
    <w:p w14:paraId="1F0F26B1" w14:textId="0915D6FC" w:rsidR="00DF1ACA" w:rsidRDefault="001556D1" w:rsidP="00DF1ACA">
      <w:r>
        <w:t xml:space="preserve">The </w:t>
      </w:r>
      <w:r w:rsidR="004C5068">
        <w:t>D</w:t>
      </w:r>
      <w:r>
        <w:t xml:space="preserve">iscussion </w:t>
      </w:r>
      <w:r w:rsidR="004C5068">
        <w:t>P</w:t>
      </w:r>
      <w:r>
        <w:t xml:space="preserve">aper </w:t>
      </w:r>
      <w:r w:rsidR="00E63044">
        <w:t xml:space="preserve">notes the </w:t>
      </w:r>
      <w:r w:rsidR="00991B86">
        <w:t>contribution of higher education providers to developing “diverse and multi-layered communities</w:t>
      </w:r>
      <w:r w:rsidR="00FF7DE6">
        <w:t>” (p.26</w:t>
      </w:r>
      <w:r w:rsidR="00100398">
        <w:t>)</w:t>
      </w:r>
      <w:r w:rsidR="00C83E6E">
        <w:t xml:space="preserve">. </w:t>
      </w:r>
      <w:r w:rsidR="00401DF3">
        <w:t>S</w:t>
      </w:r>
      <w:r w:rsidR="00100398">
        <w:t xml:space="preserve">ubmissions </w:t>
      </w:r>
      <w:r w:rsidR="00507DE3">
        <w:t>argued that there is still work to be done to ensure that “</w:t>
      </w:r>
      <w:r w:rsidR="004D4429" w:rsidRPr="004D4429">
        <w:t>institutions are supported to continue to develop and contribute to the communities they serve.</w:t>
      </w:r>
      <w:r w:rsidR="004D4429">
        <w:t>”</w:t>
      </w:r>
    </w:p>
    <w:p w14:paraId="0BFD062C" w14:textId="7120AB4D" w:rsidR="00847FF2" w:rsidRDefault="00A71EEC" w:rsidP="00DF1ACA">
      <w:r>
        <w:t>Seventy-</w:t>
      </w:r>
      <w:r w:rsidR="000421FD">
        <w:t>two</w:t>
      </w:r>
      <w:r w:rsidR="00847FF2">
        <w:t xml:space="preserve"> submissions responded to these sections of the discussion paper</w:t>
      </w:r>
      <w:r w:rsidR="00A218F4">
        <w:t xml:space="preserve">. </w:t>
      </w:r>
      <w:r w:rsidR="00401DF3">
        <w:t>K</w:t>
      </w:r>
      <w:r w:rsidR="00703F30">
        <w:t xml:space="preserve">ey </w:t>
      </w:r>
      <w:r w:rsidR="00107ADD">
        <w:t xml:space="preserve">points </w:t>
      </w:r>
      <w:r w:rsidR="007E6E6A">
        <w:t>were:</w:t>
      </w:r>
    </w:p>
    <w:p w14:paraId="335E38B9" w14:textId="76F37B8E" w:rsidR="00D16887" w:rsidRDefault="00A71EEC" w:rsidP="00D16887">
      <w:pPr>
        <w:pStyle w:val="ListParagraph"/>
        <w:numPr>
          <w:ilvl w:val="0"/>
          <w:numId w:val="61"/>
        </w:numPr>
      </w:pPr>
      <w:r>
        <w:t>h</w:t>
      </w:r>
      <w:r w:rsidR="007A4BC5">
        <w:t>igher costs of educating in the regions</w:t>
      </w:r>
      <w:r w:rsidR="0055011E">
        <w:t xml:space="preserve"> (11 submissions)</w:t>
      </w:r>
    </w:p>
    <w:p w14:paraId="0560CD43" w14:textId="7823A0B6" w:rsidR="00F76EC2" w:rsidRDefault="00A71EEC" w:rsidP="00D16887">
      <w:pPr>
        <w:pStyle w:val="ListParagraph"/>
        <w:numPr>
          <w:ilvl w:val="0"/>
          <w:numId w:val="61"/>
        </w:numPr>
      </w:pPr>
      <w:r>
        <w:t>m</w:t>
      </w:r>
      <w:r w:rsidR="00B843B2">
        <w:t>ission-based funding model (21 submissions)</w:t>
      </w:r>
    </w:p>
    <w:p w14:paraId="6006EC97" w14:textId="5DC191B7" w:rsidR="00B843B2" w:rsidRDefault="007E6E6A" w:rsidP="00D16887">
      <w:pPr>
        <w:pStyle w:val="ListParagraph"/>
        <w:numPr>
          <w:ilvl w:val="0"/>
          <w:numId w:val="61"/>
        </w:numPr>
      </w:pPr>
      <w:r>
        <w:t>regional delivery loading to compensate regional universities</w:t>
      </w:r>
      <w:r w:rsidR="00634E4A">
        <w:t>’</w:t>
      </w:r>
      <w:r>
        <w:t xml:space="preserve"> higher costs of delivery (four submissions)</w:t>
      </w:r>
    </w:p>
    <w:p w14:paraId="0A442005" w14:textId="6A1AEC51" w:rsidR="007E6E6A" w:rsidRDefault="00A71EEC" w:rsidP="00D16887">
      <w:pPr>
        <w:pStyle w:val="ListParagraph"/>
        <w:numPr>
          <w:ilvl w:val="0"/>
          <w:numId w:val="61"/>
        </w:numPr>
      </w:pPr>
      <w:r>
        <w:t>i</w:t>
      </w:r>
      <w:r w:rsidR="00EC0F63">
        <w:t>ntroduce funding programs linked to performance criteria (three submissions)</w:t>
      </w:r>
    </w:p>
    <w:p w14:paraId="05B8C2FE" w14:textId="721A122F" w:rsidR="00D90830" w:rsidRDefault="00A71EEC" w:rsidP="00D16887">
      <w:pPr>
        <w:pStyle w:val="ListParagraph"/>
        <w:numPr>
          <w:ilvl w:val="0"/>
          <w:numId w:val="61"/>
        </w:numPr>
      </w:pPr>
      <w:r>
        <w:t>t</w:t>
      </w:r>
      <w:r w:rsidR="00D90830">
        <w:t>he role of Regional University Centres and place-based hubs (six submissions)</w:t>
      </w:r>
    </w:p>
    <w:p w14:paraId="21813E87" w14:textId="2BFD9669" w:rsidR="00D90830" w:rsidRDefault="00A71EEC" w:rsidP="00D90830">
      <w:pPr>
        <w:pStyle w:val="ListParagraph"/>
        <w:numPr>
          <w:ilvl w:val="0"/>
          <w:numId w:val="61"/>
        </w:numPr>
      </w:pPr>
      <w:r>
        <w:lastRenderedPageBreak/>
        <w:t>m</w:t>
      </w:r>
      <w:r w:rsidR="00D90830">
        <w:t>odels tailored for regional delivery (four submissions)</w:t>
      </w:r>
    </w:p>
    <w:p w14:paraId="76488766" w14:textId="5BCE1BC6" w:rsidR="00D90830" w:rsidRDefault="00A71EEC" w:rsidP="00D90830">
      <w:pPr>
        <w:pStyle w:val="ListParagraph"/>
        <w:numPr>
          <w:ilvl w:val="0"/>
          <w:numId w:val="61"/>
        </w:numPr>
      </w:pPr>
      <w:r>
        <w:t>e</w:t>
      </w:r>
      <w:r w:rsidR="00D90830">
        <w:t>ffective community engagement (four submissions)</w:t>
      </w:r>
    </w:p>
    <w:p w14:paraId="7B0B9089" w14:textId="2E420E0C" w:rsidR="00D90830" w:rsidRDefault="00A71EEC" w:rsidP="00D16887">
      <w:pPr>
        <w:pStyle w:val="ListParagraph"/>
        <w:numPr>
          <w:ilvl w:val="0"/>
          <w:numId w:val="61"/>
        </w:numPr>
      </w:pPr>
      <w:r>
        <w:t>i</w:t>
      </w:r>
      <w:r w:rsidR="00D90830">
        <w:t>mproving Australia visa policy to</w:t>
      </w:r>
      <w:r w:rsidR="007146F4">
        <w:t xml:space="preserve"> improve </w:t>
      </w:r>
      <w:r w:rsidR="00C71329">
        <w:t>international student experience (17 submissions)</w:t>
      </w:r>
    </w:p>
    <w:p w14:paraId="3EBE9AE8" w14:textId="246BC022" w:rsidR="00C71329" w:rsidRDefault="00A71EEC" w:rsidP="00D16887">
      <w:pPr>
        <w:pStyle w:val="ListParagraph"/>
        <w:numPr>
          <w:ilvl w:val="0"/>
          <w:numId w:val="61"/>
        </w:numPr>
      </w:pPr>
      <w:r>
        <w:t>s</w:t>
      </w:r>
      <w:r w:rsidR="0005600A">
        <w:t>trengthening Australia’s international education offering (three submissions)</w:t>
      </w:r>
    </w:p>
    <w:p w14:paraId="5319FF88" w14:textId="7BABC3D6" w:rsidR="0005600A" w:rsidRDefault="00A71EEC" w:rsidP="00D16887">
      <w:pPr>
        <w:pStyle w:val="ListParagraph"/>
        <w:numPr>
          <w:ilvl w:val="0"/>
          <w:numId w:val="61"/>
        </w:numPr>
      </w:pPr>
      <w:r>
        <w:t>s</w:t>
      </w:r>
      <w:r w:rsidR="00E2152B">
        <w:t>haring the benefits of higher education (11 submissions)</w:t>
      </w:r>
    </w:p>
    <w:p w14:paraId="4267F7A9" w14:textId="77777777" w:rsidR="00703F30" w:rsidRDefault="00703F30" w:rsidP="00703F30">
      <w:r>
        <w:t>These points are discussed in detail below.</w:t>
      </w:r>
    </w:p>
    <w:p w14:paraId="60B4C90A" w14:textId="1126861F" w:rsidR="000C1757" w:rsidRDefault="000C1757" w:rsidP="000C1757">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8</w:t>
      </w:r>
      <w:r w:rsidR="008444D3">
        <w:rPr>
          <w:noProof/>
        </w:rPr>
        <w:fldChar w:fldCharType="end"/>
      </w:r>
      <w:r>
        <w:t xml:space="preserve"> | </w:t>
      </w:r>
      <w:r w:rsidR="0042044D" w:rsidRPr="0042044D">
        <w:t>Distribution of submissions – Connection to local, regional and international communities (N=72)</w:t>
      </w:r>
    </w:p>
    <w:p w14:paraId="1E6A48FF" w14:textId="2C76AE95" w:rsidR="000421FD" w:rsidRDefault="000D74E5" w:rsidP="00703F30">
      <w:r w:rsidRPr="000D74E5">
        <w:rPr>
          <w:noProof/>
        </w:rPr>
        <w:drawing>
          <wp:inline distT="0" distB="0" distL="0" distR="0" wp14:anchorId="0020EB43" wp14:editId="253A4D5D">
            <wp:extent cx="5835650" cy="3583940"/>
            <wp:effectExtent l="0" t="0" r="0" b="0"/>
            <wp:docPr id="56" name="Picture 56" descr="Bar graph. &#10;Individuals were less likely to comment on the topic ‘connection to local, regional and international communities’. Thirteen per cent responded to this topic compared to twenty-five per cent of all submissions.&#10;Graph data:&#10;University - 18 (25%)&#10;Other advocacy - 11 (15%)&#10;Individual - 9 (13%)&#10;Higher education peak body - 4 (6%)&#10;Regional networks and support services - 4 (6%)&#10;University staff - 3 (4%)&#10;Other higher education - 3 (4%)&#10;Professional association - 3 (4%)&#10;Local government body - 3 (4%)&#10;Student representatives - 2 (3%)&#10;Independent provider - - 2 (3%)&#10;Discipline group - 2 (3%)&#10;State or Commonwealth government body - 2 (3%)&#10;Other peak body - 2 (3%)&#10;University school, centre, faculty, or college - 1 (1%)&#10;Other - 1 (1%)&#10;First Nations organisation - 1 (1%)&#10;Union -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Bar graph. &#10;Individuals were less likely to comment on the topic ‘connection to local, regional and international communities’. Thirteen per cent responded to this topic compared to twenty-five per cent of all submissions.&#10;Graph data:&#10;University - 18 (25%)&#10;Other advocacy - 11 (15%)&#10;Individual - 9 (13%)&#10;Higher education peak body - 4 (6%)&#10;Regional networks and support services - 4 (6%)&#10;University staff - 3 (4%)&#10;Other higher education - 3 (4%)&#10;Professional association - 3 (4%)&#10;Local government body - 3 (4%)&#10;Student representatives - 2 (3%)&#10;Independent provider - - 2 (3%)&#10;Discipline group - 2 (3%)&#10;State or Commonwealth government body - 2 (3%)&#10;Other peak body - 2 (3%)&#10;University school, centre, faculty, or college - 1 (1%)&#10;Other - 1 (1%)&#10;First Nations organisation - 1 (1%)&#10;Union - 1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35650" cy="3583940"/>
                    </a:xfrm>
                    <a:prstGeom prst="rect">
                      <a:avLst/>
                    </a:prstGeom>
                    <a:noFill/>
                    <a:ln>
                      <a:noFill/>
                    </a:ln>
                  </pic:spPr>
                </pic:pic>
              </a:graphicData>
            </a:graphic>
          </wp:inline>
        </w:drawing>
      </w:r>
    </w:p>
    <w:p w14:paraId="17D09FBC" w14:textId="77777777" w:rsidR="00E454E0" w:rsidRDefault="00E454E0" w:rsidP="00E454E0">
      <w:pPr>
        <w:pStyle w:val="Heading4"/>
      </w:pPr>
      <w:r>
        <w:t>The role of universities in regional communities</w:t>
      </w:r>
    </w:p>
    <w:p w14:paraId="0B9B4CE0" w14:textId="77777777" w:rsidR="00FC3676" w:rsidRDefault="00FC3676" w:rsidP="00FC3676">
      <w:r>
        <w:t xml:space="preserve">Regional universities contribute to the communities they operate in. They play an important role by supporting local students’ access higher education (6 submissions), retaining skills in local regions (5 submissions) and acting as anchors in the community (2 submissions). </w:t>
      </w:r>
    </w:p>
    <w:p w14:paraId="5FE0E066" w14:textId="77777777" w:rsidR="00FC3676" w:rsidRDefault="00FC3676" w:rsidP="00FC3676">
      <w:r>
        <w:t xml:space="preserve">Eleven submissions argued that regional higher education providers face higher operating costs. Regional Development Australia Moreton Bay stated: </w:t>
      </w:r>
    </w:p>
    <w:p w14:paraId="510D9DA4" w14:textId="77777777" w:rsidR="00FC3676" w:rsidRDefault="00FC3676" w:rsidP="00FC3676">
      <w:pPr>
        <w:ind w:left="720"/>
      </w:pPr>
      <w:r>
        <w:rPr>
          <w:i/>
          <w:iCs/>
        </w:rPr>
        <w:t>“</w:t>
      </w:r>
      <w:r w:rsidRPr="00815E69">
        <w:rPr>
          <w:i/>
          <w:iCs/>
        </w:rPr>
        <w:t xml:space="preserve">Recognition and provision for the unique funding needs of regional universities </w:t>
      </w:r>
      <w:proofErr w:type="gramStart"/>
      <w:r w:rsidRPr="00815E69">
        <w:rPr>
          <w:i/>
          <w:iCs/>
        </w:rPr>
        <w:t>e.g.</w:t>
      </w:r>
      <w:proofErr w:type="gramEnd"/>
      <w:r w:rsidRPr="00815E69">
        <w:rPr>
          <w:i/>
          <w:iCs/>
        </w:rPr>
        <w:t xml:space="preserve"> student types / higher cost of delivery, diseconomies of scale, greater reliance on Commonwealth Supported Places revenue i.e. less revenue from international students, research, philanthropy and investments</w:t>
      </w:r>
      <w:r>
        <w:rPr>
          <w:i/>
          <w:iCs/>
        </w:rPr>
        <w:t xml:space="preserve">” </w:t>
      </w:r>
      <w:r>
        <w:t xml:space="preserve">– </w:t>
      </w:r>
      <w:r w:rsidRPr="00815E69">
        <w:t>Regional Development Australia Moreton Bay</w:t>
      </w:r>
      <w:r>
        <w:t xml:space="preserve"> </w:t>
      </w:r>
    </w:p>
    <w:p w14:paraId="12658EB2" w14:textId="77777777" w:rsidR="00FC3676" w:rsidRDefault="00FC3676" w:rsidP="00FC3676">
      <w:r>
        <w:t>Other submissions included recommendations about how to meet the additional costs faced by regional universities by:</w:t>
      </w:r>
    </w:p>
    <w:p w14:paraId="5D200EA4" w14:textId="77777777" w:rsidR="00FC3676" w:rsidRDefault="00FC3676" w:rsidP="00FC3676">
      <w:pPr>
        <w:pStyle w:val="ListParagraph"/>
        <w:numPr>
          <w:ilvl w:val="0"/>
          <w:numId w:val="87"/>
        </w:numPr>
      </w:pPr>
      <w:r>
        <w:lastRenderedPageBreak/>
        <w:t>introducing mission-based funding (21 submissions)</w:t>
      </w:r>
    </w:p>
    <w:p w14:paraId="31DE8A76" w14:textId="77777777" w:rsidR="00FC3676" w:rsidRDefault="00FC3676" w:rsidP="00FC3676">
      <w:pPr>
        <w:pStyle w:val="ListParagraph"/>
        <w:numPr>
          <w:ilvl w:val="0"/>
          <w:numId w:val="87"/>
        </w:numPr>
      </w:pPr>
      <w:r>
        <w:t>including a regional delivery adjustment/loading (3 submissions)</w:t>
      </w:r>
    </w:p>
    <w:p w14:paraId="4172A563" w14:textId="77777777" w:rsidR="00FC3676" w:rsidRDefault="00FC3676" w:rsidP="00FC3676">
      <w:pPr>
        <w:pStyle w:val="ListParagraph"/>
        <w:numPr>
          <w:ilvl w:val="0"/>
          <w:numId w:val="87"/>
        </w:numPr>
      </w:pPr>
      <w:r>
        <w:t>tying funding to performance criteria (3 submissions)</w:t>
      </w:r>
    </w:p>
    <w:p w14:paraId="663F9C9B" w14:textId="77777777" w:rsidR="00FC3676" w:rsidRDefault="00FC3676" w:rsidP="00FC3676">
      <w:pPr>
        <w:pStyle w:val="ListParagraph"/>
        <w:numPr>
          <w:ilvl w:val="0"/>
          <w:numId w:val="87"/>
        </w:numPr>
      </w:pPr>
      <w:r>
        <w:t xml:space="preserve">introducing the regional futures fund (1 submission). </w:t>
      </w:r>
    </w:p>
    <w:p w14:paraId="7AAD95AA" w14:textId="40691C69" w:rsidR="0012763F" w:rsidRPr="00815E69" w:rsidRDefault="000638F1" w:rsidP="00815E69">
      <w:r>
        <w:t>M</w:t>
      </w:r>
      <w:r w:rsidR="00E57049">
        <w:t>ission-based</w:t>
      </w:r>
      <w:r w:rsidR="00974692">
        <w:t xml:space="preserve"> funding </w:t>
      </w:r>
      <w:r w:rsidR="00CF6AA7">
        <w:t xml:space="preserve">was identified as </w:t>
      </w:r>
      <w:r w:rsidR="00E92DAF">
        <w:t>beneficial</w:t>
      </w:r>
      <w:r w:rsidR="00CF6AA7">
        <w:t xml:space="preserve"> for regional communities as it </w:t>
      </w:r>
      <w:r w:rsidR="009F584A">
        <w:t xml:space="preserve">could allow </w:t>
      </w:r>
      <w:r w:rsidR="00E92DAF">
        <w:t xml:space="preserve">a more diverse range of </w:t>
      </w:r>
      <w:r w:rsidR="009F584A">
        <w:t xml:space="preserve">regional </w:t>
      </w:r>
      <w:r w:rsidR="0067194E">
        <w:t>universities</w:t>
      </w:r>
      <w:r w:rsidR="009F584A">
        <w:t xml:space="preserve"> to focus on</w:t>
      </w:r>
      <w:r w:rsidR="00CF6AA7">
        <w:t xml:space="preserve"> </w:t>
      </w:r>
      <w:r w:rsidR="005433CF">
        <w:t>their distinct mission</w:t>
      </w:r>
      <w:r w:rsidR="00A83222">
        <w:t xml:space="preserve">. </w:t>
      </w:r>
      <w:r w:rsidR="00B8712F">
        <w:t xml:space="preserve">Brian Schmidt argued this point. </w:t>
      </w:r>
    </w:p>
    <w:p w14:paraId="209E0A4F" w14:textId="08720D70" w:rsidR="00B8712F" w:rsidRPr="00B8712F" w:rsidRDefault="00B8712F" w:rsidP="00B8712F">
      <w:pPr>
        <w:ind w:left="720"/>
      </w:pPr>
      <w:r>
        <w:rPr>
          <w:i/>
          <w:iCs/>
        </w:rPr>
        <w:t>“</w:t>
      </w:r>
      <w:r w:rsidRPr="00B8712F">
        <w:rPr>
          <w:i/>
          <w:iCs/>
        </w:rPr>
        <w:t>University Mission Funding: Each university has a distinct mission, but one-size fits all funding arrangements do not always support these missions. For example, Universities whose mission is to serve rural and regional areas have more expensive cost structures than large metropolitan universities. Students from disadvantaged backgrounds require extra support for success, and these students are not evenly distributed across universities, and their support could be funded via this mechanism, where accountability for outcomes could be incorporated. Universities specialise in specific areas of study/research of national interest which do not fit the global cost structures. If universities are expected to undertake research, and this is not funded through students or another mechanism, it could be included as part of Universities’ missions funding to help create the sovereign research capability.</w:t>
      </w:r>
      <w:r>
        <w:rPr>
          <w:i/>
          <w:iCs/>
        </w:rPr>
        <w:t>”</w:t>
      </w:r>
      <w:r>
        <w:t xml:space="preserve"> – </w:t>
      </w:r>
      <w:r w:rsidR="00ED1A86">
        <w:t>Professor</w:t>
      </w:r>
      <w:r>
        <w:t xml:space="preserve"> Brian </w:t>
      </w:r>
      <w:r w:rsidR="00ED1A86">
        <w:t xml:space="preserve">P. </w:t>
      </w:r>
      <w:r>
        <w:t>Schmidt</w:t>
      </w:r>
      <w:r w:rsidR="00ED1A86">
        <w:t xml:space="preserve"> as Distinguished Professor, The Australian National University</w:t>
      </w:r>
      <w:r w:rsidR="00EE3C22">
        <w:t>.</w:t>
      </w:r>
    </w:p>
    <w:p w14:paraId="31449BB8" w14:textId="4D9B1475" w:rsidR="00B6048E" w:rsidRPr="00B8712F" w:rsidRDefault="00170040" w:rsidP="00B6048E">
      <w:r>
        <w:t>Four</w:t>
      </w:r>
      <w:r w:rsidR="00341934">
        <w:t xml:space="preserve"> submission</w:t>
      </w:r>
      <w:r w:rsidR="00E33354">
        <w:t>s</w:t>
      </w:r>
      <w:r w:rsidR="00341934">
        <w:t xml:space="preserve"> argued for including a regional delivery loading to compensate </w:t>
      </w:r>
      <w:r w:rsidR="00B60781">
        <w:t xml:space="preserve">regional universities </w:t>
      </w:r>
      <w:r w:rsidR="00C33833">
        <w:t xml:space="preserve">that </w:t>
      </w:r>
      <w:r w:rsidR="00B60781">
        <w:t xml:space="preserve">face higher costs of delivery. </w:t>
      </w:r>
      <w:r w:rsidR="00064D4C">
        <w:t xml:space="preserve">As noted by </w:t>
      </w:r>
      <w:r w:rsidR="00037C00">
        <w:t>Geraldton Universities Centre</w:t>
      </w:r>
      <w:r w:rsidR="00064D4C">
        <w:t>:</w:t>
      </w:r>
      <w:r w:rsidR="00037C00">
        <w:t xml:space="preserve"> </w:t>
      </w:r>
    </w:p>
    <w:p w14:paraId="46ECD94C" w14:textId="3E5C504F" w:rsidR="002A7928" w:rsidRDefault="00E44F3E" w:rsidP="002A7928">
      <w:pPr>
        <w:ind w:left="720"/>
      </w:pPr>
      <w:r>
        <w:rPr>
          <w:i/>
          <w:iCs/>
        </w:rPr>
        <w:t>“</w:t>
      </w:r>
      <w:r w:rsidR="00E145C4" w:rsidRPr="00E145C4">
        <w:rPr>
          <w:i/>
          <w:iCs/>
        </w:rPr>
        <w:t>Regional loading is critical to address the imbalance in the costs of providing higher education in thin regional markets. This loading should more adequately reflect the very real costs incurred by regional universities and indeed RUCs.</w:t>
      </w:r>
      <w:r w:rsidR="00E145C4">
        <w:rPr>
          <w:i/>
          <w:iCs/>
        </w:rPr>
        <w:t>”</w:t>
      </w:r>
      <w:r w:rsidR="00E145C4">
        <w:rPr>
          <w:i/>
          <w:iCs/>
        </w:rPr>
        <w:softHyphen/>
      </w:r>
      <w:r w:rsidR="002A7928">
        <w:t xml:space="preserve"> – Geraldton Universities Centre.</w:t>
      </w:r>
    </w:p>
    <w:p w14:paraId="73C4682B" w14:textId="77777777" w:rsidR="00AB44AF" w:rsidRDefault="00AB44AF" w:rsidP="00AB44AF">
      <w:r>
        <w:t xml:space="preserve">Three submissions argued for the introduction of funding linked to performance criteria. The performance criteria should encourage a stronger focus on teaching quality, student satisfaction and outcomes and effective community engagement. For example, the Moreton Bay Regional Council said: </w:t>
      </w:r>
    </w:p>
    <w:p w14:paraId="1CD8F30B" w14:textId="4A79363D" w:rsidR="00211D13" w:rsidRDefault="001F3F6F" w:rsidP="00211D13">
      <w:pPr>
        <w:ind w:left="720"/>
      </w:pPr>
      <w:r>
        <w:rPr>
          <w:i/>
          <w:iCs/>
        </w:rPr>
        <w:t>“</w:t>
      </w:r>
      <w:r w:rsidR="00003BA1" w:rsidRPr="00003BA1">
        <w:rPr>
          <w:i/>
          <w:iCs/>
        </w:rPr>
        <w:t>Reviewing measures of success tied to performance funding, with a stronger focus on teaching quality, student satisfaction, graduate outcomes, employer satisfaction and nuanced for regional and peri-urban universities (</w:t>
      </w:r>
      <w:proofErr w:type="gramStart"/>
      <w:r w:rsidR="00003BA1" w:rsidRPr="00003BA1">
        <w:rPr>
          <w:i/>
          <w:iCs/>
        </w:rPr>
        <w:t>e.g.</w:t>
      </w:r>
      <w:proofErr w:type="gramEnd"/>
      <w:r w:rsidR="00003BA1" w:rsidRPr="00003BA1">
        <w:rPr>
          <w:i/>
          <w:iCs/>
        </w:rPr>
        <w:t xml:space="preserve"> allow for longer study durations and higher attrition rates due to student types/choices)</w:t>
      </w:r>
      <w:r w:rsidR="00C11A78">
        <w:rPr>
          <w:i/>
          <w:iCs/>
        </w:rPr>
        <w:t>”</w:t>
      </w:r>
      <w:r w:rsidR="00C11A78">
        <w:t xml:space="preserve"> – Moreton Bay Regional Council</w:t>
      </w:r>
      <w:r w:rsidR="00211D13">
        <w:t>.</w:t>
      </w:r>
    </w:p>
    <w:p w14:paraId="3C1BCF1B" w14:textId="1C2C254A" w:rsidR="00211D13" w:rsidRPr="00C11A78" w:rsidRDefault="00EE3C22" w:rsidP="00211D13">
      <w:r>
        <w:t xml:space="preserve">One submission from </w:t>
      </w:r>
      <w:r w:rsidR="00C94E1B">
        <w:t xml:space="preserve">the University </w:t>
      </w:r>
      <w:r w:rsidR="00634E4A">
        <w:t xml:space="preserve">of </w:t>
      </w:r>
      <w:r w:rsidR="00C94E1B">
        <w:t xml:space="preserve">Wollongong argued for the establishment of a Regional Futures Fund. </w:t>
      </w:r>
    </w:p>
    <w:p w14:paraId="7EDB8AAB" w14:textId="64315A54" w:rsidR="00C94E1B" w:rsidRDefault="00C94E1B" w:rsidP="003E495F">
      <w:pPr>
        <w:ind w:left="720"/>
      </w:pPr>
      <w:r>
        <w:rPr>
          <w:i/>
          <w:iCs/>
        </w:rPr>
        <w:t>“</w:t>
      </w:r>
      <w:r w:rsidR="003E495F">
        <w:rPr>
          <w:i/>
          <w:iCs/>
        </w:rPr>
        <w:t>…</w:t>
      </w:r>
      <w:r w:rsidR="003E495F" w:rsidRPr="003E495F">
        <w:rPr>
          <w:i/>
          <w:iCs/>
        </w:rPr>
        <w:t xml:space="preserve">UOW proposes the establishment of a Regional Futures Fund to provide targeted funding to more formally reflect the role </w:t>
      </w:r>
      <w:proofErr w:type="gramStart"/>
      <w:r w:rsidR="003E495F" w:rsidRPr="003E495F">
        <w:rPr>
          <w:i/>
          <w:iCs/>
        </w:rPr>
        <w:t>regionally-based</w:t>
      </w:r>
      <w:proofErr w:type="gramEnd"/>
      <w:r w:rsidR="003E495F" w:rsidRPr="003E495F">
        <w:rPr>
          <w:i/>
          <w:iCs/>
        </w:rPr>
        <w:t xml:space="preserve"> universities play as anchor institutions within the respective communities and regions they serve.</w:t>
      </w:r>
      <w:r w:rsidR="003E495F">
        <w:rPr>
          <w:i/>
          <w:iCs/>
        </w:rPr>
        <w:t>”</w:t>
      </w:r>
      <w:r w:rsidR="003E495F">
        <w:t xml:space="preserve"> – University of Wollongong.</w:t>
      </w:r>
    </w:p>
    <w:p w14:paraId="7CA51225" w14:textId="7E4BFF2F" w:rsidR="003E495F" w:rsidRPr="003E495F" w:rsidRDefault="00E71EA4" w:rsidP="003F2A20">
      <w:pPr>
        <w:pStyle w:val="Heading5"/>
      </w:pPr>
      <w:r>
        <w:lastRenderedPageBreak/>
        <w:t xml:space="preserve">Nurturing regional higher education </w:t>
      </w:r>
    </w:p>
    <w:p w14:paraId="4A15F33D" w14:textId="2CF704F6" w:rsidR="00B343CD" w:rsidRDefault="006C5B7A" w:rsidP="00D8284F">
      <w:r>
        <w:t>Nineteen</w:t>
      </w:r>
      <w:r w:rsidR="00CD7434">
        <w:t xml:space="preserve"> submissions discussed the importance of nurturing higher education in regional Australia. </w:t>
      </w:r>
      <w:r w:rsidR="000327CD">
        <w:t xml:space="preserve">Four key themes appeared in the </w:t>
      </w:r>
      <w:r w:rsidR="002D1AF5">
        <w:t xml:space="preserve">submissions. </w:t>
      </w:r>
    </w:p>
    <w:p w14:paraId="25C30491" w14:textId="0CA78F42" w:rsidR="003446AD" w:rsidRDefault="004A4185" w:rsidP="00054202">
      <w:pPr>
        <w:pStyle w:val="ListParagraph"/>
        <w:numPr>
          <w:ilvl w:val="0"/>
          <w:numId w:val="48"/>
        </w:numPr>
      </w:pPr>
      <w:r>
        <w:t>t</w:t>
      </w:r>
      <w:r w:rsidR="003446AD">
        <w:t>he role of Regional University Centres and place</w:t>
      </w:r>
      <w:r w:rsidR="00BD341C">
        <w:t>-based</w:t>
      </w:r>
      <w:r w:rsidR="003446AD">
        <w:t xml:space="preserve"> hubs (</w:t>
      </w:r>
      <w:r>
        <w:t>6</w:t>
      </w:r>
      <w:r w:rsidR="003446AD">
        <w:t xml:space="preserve"> submissions)</w:t>
      </w:r>
    </w:p>
    <w:p w14:paraId="51291235" w14:textId="210D7F41" w:rsidR="002D1AF5" w:rsidRDefault="004A4185" w:rsidP="00054202">
      <w:pPr>
        <w:pStyle w:val="ListParagraph"/>
        <w:numPr>
          <w:ilvl w:val="0"/>
          <w:numId w:val="48"/>
        </w:numPr>
      </w:pPr>
      <w:r>
        <w:t>m</w:t>
      </w:r>
      <w:r w:rsidR="002D1AF5">
        <w:t>odels tailored for regional delivery</w:t>
      </w:r>
      <w:r w:rsidR="001D34AB">
        <w:t xml:space="preserve"> </w:t>
      </w:r>
      <w:r w:rsidR="00990335">
        <w:t>(</w:t>
      </w:r>
      <w:r>
        <w:t>4</w:t>
      </w:r>
      <w:r w:rsidR="00990335">
        <w:t xml:space="preserve"> submissions)</w:t>
      </w:r>
    </w:p>
    <w:p w14:paraId="55E65CEB" w14:textId="771EB110" w:rsidR="002D1AF5" w:rsidRDefault="004A4185" w:rsidP="00054202">
      <w:pPr>
        <w:pStyle w:val="ListParagraph"/>
        <w:numPr>
          <w:ilvl w:val="0"/>
          <w:numId w:val="48"/>
        </w:numPr>
      </w:pPr>
      <w:r>
        <w:t>e</w:t>
      </w:r>
      <w:r w:rsidR="002D1AF5">
        <w:t>ffective community engagement</w:t>
      </w:r>
      <w:r w:rsidR="00990335">
        <w:t xml:space="preserve"> (</w:t>
      </w:r>
      <w:r>
        <w:t>4</w:t>
      </w:r>
      <w:r w:rsidR="006C02AE">
        <w:t xml:space="preserve"> submissions)</w:t>
      </w:r>
    </w:p>
    <w:p w14:paraId="3F15956F" w14:textId="77777777" w:rsidR="002D1AF5" w:rsidRDefault="002D1AF5" w:rsidP="00D8284F">
      <w:r w:rsidRPr="002D1AF5">
        <w:t>These points are discussed in detail below.</w:t>
      </w:r>
    </w:p>
    <w:p w14:paraId="270663F7" w14:textId="77777777" w:rsidR="005A4445" w:rsidRDefault="005A4445" w:rsidP="005A4445">
      <w:r>
        <w:t xml:space="preserve">Five submissions argued that the Regional University Centres (RUCs) should have their funding increased and methods applied more broadly, as they play an important role in supporting local communities and facilitating engagement across local communities. For example, Paroo Shire Council noted the benefits the RUC model as a cost-effective way to broaden the reach of higher education: </w:t>
      </w:r>
    </w:p>
    <w:p w14:paraId="312EA6B4" w14:textId="27006E9C" w:rsidR="00D33AF9" w:rsidRPr="00D33AF9" w:rsidRDefault="00D33AF9" w:rsidP="005C052C">
      <w:pPr>
        <w:ind w:left="720"/>
      </w:pPr>
      <w:r>
        <w:rPr>
          <w:i/>
          <w:iCs/>
        </w:rPr>
        <w:t>“</w:t>
      </w:r>
      <w:r w:rsidRPr="00D33AF9">
        <w:rPr>
          <w:i/>
          <w:iCs/>
        </w:rPr>
        <w:t xml:space="preserve">Working with community organisations or local government, the RUC model is a </w:t>
      </w:r>
      <w:proofErr w:type="gramStart"/>
      <w:r w:rsidRPr="00D33AF9">
        <w:rPr>
          <w:i/>
          <w:iCs/>
        </w:rPr>
        <w:t>cost effective</w:t>
      </w:r>
      <w:proofErr w:type="gramEnd"/>
      <w:r w:rsidRPr="00D33AF9">
        <w:rPr>
          <w:i/>
          <w:iCs/>
        </w:rPr>
        <w:t xml:space="preserve"> way to broaden the reach of higher education, making it a viable option for many more students. It’s designed to equip students with a supportive environment, study facilities, access to high-speed internet, modern technology and general academic support.</w:t>
      </w:r>
      <w:r>
        <w:rPr>
          <w:i/>
          <w:iCs/>
        </w:rPr>
        <w:t>”</w:t>
      </w:r>
      <w:r>
        <w:t xml:space="preserve"> – Paroo Shire Council</w:t>
      </w:r>
    </w:p>
    <w:p w14:paraId="4C0B71EF" w14:textId="238A0A5A" w:rsidR="005C052C" w:rsidRPr="005C052C" w:rsidRDefault="005C052C" w:rsidP="005C052C">
      <w:r>
        <w:t xml:space="preserve">One submission </w:t>
      </w:r>
      <w:r w:rsidR="00861859">
        <w:t xml:space="preserve">from James Cook University argued that </w:t>
      </w:r>
      <w:r w:rsidR="004A532E">
        <w:t>the RUC model can increase the burden of community engagement</w:t>
      </w:r>
      <w:r w:rsidR="003C6CCC">
        <w:t xml:space="preserve"> if not carefully considered</w:t>
      </w:r>
      <w:r w:rsidR="004A532E">
        <w:t>.</w:t>
      </w:r>
    </w:p>
    <w:p w14:paraId="22E14A2E" w14:textId="5348CC10" w:rsidR="003C6CCC" w:rsidRPr="003C6CCC" w:rsidRDefault="004A532E" w:rsidP="003C6CCC">
      <w:pPr>
        <w:ind w:left="720"/>
      </w:pPr>
      <w:r>
        <w:rPr>
          <w:i/>
          <w:iCs/>
        </w:rPr>
        <w:t>“</w:t>
      </w:r>
      <w:r w:rsidR="003C6CCC" w:rsidRPr="003C6CCC">
        <w:rPr>
          <w:i/>
          <w:iCs/>
        </w:rPr>
        <w:t>If Regional University Centres act as discount shopfronts for metro universities, then the burden of engagement for the local business and community sector, for example through work-integrated learning, can be increased. Without careful partnership-making, the Regional University Centres program design has the potential to further erode the student load of anchor institutions and weaken the social contract with our communities. With careful partnership making between the anchor local University and VET/TAFEs, the Regional University Centre program could support increased service provision and choice, and better success for online and multi-modal students. Again, taking a place-based approach to design and deliver programs such as the Regional University Centre program would lead to solutions that are more locally appropriate but also nationally consistent with the principles of proportionality, accountability and fairness</w:t>
      </w:r>
      <w:r w:rsidR="003C6CCC">
        <w:rPr>
          <w:i/>
          <w:iCs/>
        </w:rPr>
        <w:t>.</w:t>
      </w:r>
      <w:r w:rsidR="003C6CCC">
        <w:t xml:space="preserve"> – James Cook University</w:t>
      </w:r>
    </w:p>
    <w:p w14:paraId="271FE7D6" w14:textId="2C7DC6F3" w:rsidR="004A532E" w:rsidRPr="003C6CCC" w:rsidRDefault="00970BFE" w:rsidP="005C052C">
      <w:r>
        <w:t xml:space="preserve">Four submissions </w:t>
      </w:r>
      <w:r w:rsidR="00D63F8E">
        <w:t xml:space="preserve">identified the value </w:t>
      </w:r>
      <w:r w:rsidR="0095789A">
        <w:t xml:space="preserve">of </w:t>
      </w:r>
      <w:r w:rsidR="003E2E11">
        <w:t xml:space="preserve">local </w:t>
      </w:r>
      <w:r w:rsidR="008379AA">
        <w:t>campuses in regional locations and encouraged the Accord to</w:t>
      </w:r>
      <w:r w:rsidR="00634C76">
        <w:t xml:space="preserve"> seek opportunities to </w:t>
      </w:r>
      <w:r w:rsidR="00DA5FCA">
        <w:t xml:space="preserve">increase the number of regional campuses. </w:t>
      </w:r>
      <w:r w:rsidR="009D59AD">
        <w:t xml:space="preserve">One submission provided a specific model of a distributed (networked) university proposed by Stephen Leeder and Richard Heller. </w:t>
      </w:r>
    </w:p>
    <w:p w14:paraId="708B2426" w14:textId="01BBF22B" w:rsidR="007A0EA8" w:rsidRPr="007A0EA8" w:rsidRDefault="009D59AD" w:rsidP="007A0EA8">
      <w:pPr>
        <w:ind w:left="720"/>
        <w:rPr>
          <w:i/>
          <w:iCs/>
        </w:rPr>
      </w:pPr>
      <w:r>
        <w:rPr>
          <w:i/>
          <w:iCs/>
        </w:rPr>
        <w:t>“</w:t>
      </w:r>
      <w:r w:rsidR="007A0EA8" w:rsidRPr="007A0EA8">
        <w:rPr>
          <w:i/>
          <w:iCs/>
        </w:rPr>
        <w:t xml:space="preserve">The distributed (networked) university would ensure that education is provided close to where it is needed, reducing local and global inequalities in access. It would avoid the limitations of a highly centralised university in which capital investment and operations are concentrated on a central campus. It would emphasise local relevance and foster the distribution of knowledge creation.  </w:t>
      </w:r>
    </w:p>
    <w:p w14:paraId="4BAACC5C" w14:textId="7471B4F5" w:rsidR="009D59AD" w:rsidRDefault="007A0EA8" w:rsidP="007A0EA8">
      <w:pPr>
        <w:ind w:left="720"/>
      </w:pPr>
      <w:r w:rsidRPr="007A0EA8">
        <w:rPr>
          <w:i/>
          <w:iCs/>
        </w:rPr>
        <w:lastRenderedPageBreak/>
        <w:t>Virtual or physical hubs distributed over long distances would improve opportunities for regional and international access. It would allow for changes in learning needs over the life that are locally relevant. It would have a low impact on the environment</w:t>
      </w:r>
      <w:r>
        <w:rPr>
          <w:i/>
          <w:iCs/>
        </w:rPr>
        <w:t>.”</w:t>
      </w:r>
      <w:r>
        <w:t xml:space="preserve"> – Stephen Leeder and Richard Heller</w:t>
      </w:r>
    </w:p>
    <w:p w14:paraId="04680C5C" w14:textId="282896B3" w:rsidR="007A0EA8" w:rsidRPr="007A0EA8" w:rsidRDefault="00BA55BA" w:rsidP="007A0EA8">
      <w:r>
        <w:t xml:space="preserve">Four submissions also commented on the importance of effective community engagement </w:t>
      </w:r>
      <w:r w:rsidR="0028135F">
        <w:t>in regional communities</w:t>
      </w:r>
      <w:r w:rsidR="002F0A6B">
        <w:t>, particularly</w:t>
      </w:r>
      <w:r w:rsidR="00A60C53">
        <w:t xml:space="preserve"> with First Nations communities.</w:t>
      </w:r>
      <w:r w:rsidR="00F56B15">
        <w:t xml:space="preserve"> The Congress of Aboriginal and Torres Strait Islander Nurses and Midwives posed this argument. </w:t>
      </w:r>
    </w:p>
    <w:p w14:paraId="41EE3F97" w14:textId="5BFBD668" w:rsidR="00F56B15" w:rsidRDefault="00F56B15" w:rsidP="007441F8">
      <w:pPr>
        <w:ind w:left="720"/>
      </w:pPr>
      <w:r>
        <w:rPr>
          <w:i/>
          <w:iCs/>
        </w:rPr>
        <w:t>“</w:t>
      </w:r>
      <w:r w:rsidR="007441F8" w:rsidRPr="007441F8">
        <w:rPr>
          <w:i/>
          <w:iCs/>
        </w:rPr>
        <w:t>Authentic community engagement and consultation needs to be a key part of retention and completion strategies in higher education. Community consultation should also include Aboriginal and Torres Strait Islander student voices in curriculum development, and opportunities for Aboriginal and Torres Strait Islander academics to nurture community relationships as part of their roles.</w:t>
      </w:r>
      <w:r w:rsidR="007441F8">
        <w:rPr>
          <w:i/>
          <w:iCs/>
        </w:rPr>
        <w:t>”</w:t>
      </w:r>
      <w:r w:rsidR="007441F8">
        <w:t xml:space="preserve"> - </w:t>
      </w:r>
      <w:r w:rsidR="007441F8" w:rsidRPr="007441F8">
        <w:t>The Congress of Aboriginal and Torres Strait Islander Nurses and Midwives</w:t>
      </w:r>
      <w:r w:rsidR="007441F8">
        <w:t>.</w:t>
      </w:r>
    </w:p>
    <w:p w14:paraId="01022984" w14:textId="0BA6145E" w:rsidR="00803247" w:rsidRDefault="00AF49E8" w:rsidP="00803247">
      <w:pPr>
        <w:pStyle w:val="Heading4"/>
      </w:pPr>
      <w:r>
        <w:t>The r</w:t>
      </w:r>
      <w:r w:rsidR="00803247">
        <w:t>ole of international education</w:t>
      </w:r>
    </w:p>
    <w:p w14:paraId="673FAD18" w14:textId="6AB95361" w:rsidR="00D244A1" w:rsidRDefault="00D244A1" w:rsidP="00D244A1">
      <w:r>
        <w:t xml:space="preserve">The role of international education was discussed in 15% of submissions (45 submissions). The discussions focussed on three main </w:t>
      </w:r>
      <w:r w:rsidR="00E109F5">
        <w:t xml:space="preserve">recommendations: </w:t>
      </w:r>
    </w:p>
    <w:p w14:paraId="10E06483" w14:textId="0FAD3A67" w:rsidR="00D244A1" w:rsidRDefault="00E109F5" w:rsidP="00D244A1">
      <w:pPr>
        <w:pStyle w:val="ListParagraph"/>
        <w:numPr>
          <w:ilvl w:val="0"/>
          <w:numId w:val="88"/>
        </w:numPr>
      </w:pPr>
      <w:r>
        <w:t>improve</w:t>
      </w:r>
      <w:r w:rsidR="00D244A1">
        <w:t xml:space="preserve"> the international student experience </w:t>
      </w:r>
    </w:p>
    <w:p w14:paraId="0B7CB38F" w14:textId="1E7C5BA9" w:rsidR="00D244A1" w:rsidRDefault="0047588E" w:rsidP="00D244A1">
      <w:pPr>
        <w:pStyle w:val="ListParagraph"/>
        <w:numPr>
          <w:ilvl w:val="0"/>
          <w:numId w:val="88"/>
        </w:numPr>
      </w:pPr>
      <w:r>
        <w:t>strengthen</w:t>
      </w:r>
      <w:r w:rsidR="00D244A1">
        <w:t xml:space="preserve"> Australia’s international education offer </w:t>
      </w:r>
    </w:p>
    <w:p w14:paraId="4A0130BE" w14:textId="7FABA84B" w:rsidR="00D244A1" w:rsidRDefault="0008743D" w:rsidP="00D244A1">
      <w:pPr>
        <w:pStyle w:val="ListParagraph"/>
        <w:numPr>
          <w:ilvl w:val="0"/>
          <w:numId w:val="88"/>
        </w:numPr>
      </w:pPr>
      <w:r>
        <w:t>share</w:t>
      </w:r>
      <w:r w:rsidR="00D244A1">
        <w:t xml:space="preserve"> the benefits of international education across the sector. </w:t>
      </w:r>
    </w:p>
    <w:p w14:paraId="256DC688" w14:textId="1485B901" w:rsidR="00711F19" w:rsidRPr="00711F19" w:rsidRDefault="002C3627" w:rsidP="000228B5">
      <w:pPr>
        <w:pStyle w:val="Heading5"/>
      </w:pPr>
      <w:r>
        <w:t>Improv</w:t>
      </w:r>
      <w:r w:rsidR="00E109F5">
        <w:t>e</w:t>
      </w:r>
      <w:r>
        <w:t xml:space="preserve"> </w:t>
      </w:r>
      <w:r w:rsidR="00854AD0">
        <w:t xml:space="preserve">the </w:t>
      </w:r>
      <w:r>
        <w:t>experience</w:t>
      </w:r>
      <w:r w:rsidR="00854AD0" w:rsidRPr="00854AD0">
        <w:t xml:space="preserve"> </w:t>
      </w:r>
      <w:r w:rsidR="00E345EB">
        <w:t xml:space="preserve">of </w:t>
      </w:r>
      <w:r w:rsidR="00854AD0">
        <w:t>international student</w:t>
      </w:r>
      <w:r w:rsidR="00DF06DF">
        <w:t>s</w:t>
      </w:r>
    </w:p>
    <w:p w14:paraId="7E8ABA19" w14:textId="64ED4C47" w:rsidR="00861E8B" w:rsidRDefault="00A53D81" w:rsidP="003D3817">
      <w:r>
        <w:t xml:space="preserve">Improving the experience of international students was identified as </w:t>
      </w:r>
      <w:r w:rsidR="0086514A">
        <w:t xml:space="preserve">an important step to </w:t>
      </w:r>
      <w:r w:rsidR="00296C58">
        <w:t>progress</w:t>
      </w:r>
      <w:r w:rsidR="005E229F">
        <w:t xml:space="preserve"> Australia’s access to skilled workforces and </w:t>
      </w:r>
      <w:r w:rsidR="00205405">
        <w:t xml:space="preserve">to </w:t>
      </w:r>
      <w:r w:rsidR="005E229F">
        <w:t xml:space="preserve">keep Australia’s </w:t>
      </w:r>
      <w:r w:rsidR="00861E8B">
        <w:t xml:space="preserve">international higher education offer strong. </w:t>
      </w:r>
    </w:p>
    <w:p w14:paraId="4A3BA170" w14:textId="7FB60EAD" w:rsidR="00A25BD7" w:rsidRDefault="00A421DA" w:rsidP="003D3817">
      <w:r>
        <w:t>Seventeen</w:t>
      </w:r>
      <w:r w:rsidR="00861E8B">
        <w:t xml:space="preserve"> submissions argued that improving Australia’s visa policy and proc</w:t>
      </w:r>
      <w:r w:rsidR="00A25BD7">
        <w:t xml:space="preserve">esses was an important step. The recommendations included: </w:t>
      </w:r>
    </w:p>
    <w:p w14:paraId="28611062" w14:textId="009D6188" w:rsidR="00A25BD7" w:rsidRDefault="0040010D" w:rsidP="00054202">
      <w:pPr>
        <w:pStyle w:val="ListParagraph"/>
        <w:numPr>
          <w:ilvl w:val="0"/>
          <w:numId w:val="49"/>
        </w:numPr>
      </w:pPr>
      <w:r>
        <w:t>e</w:t>
      </w:r>
      <w:r w:rsidR="00A25BD7">
        <w:t>stablish clearer pathways to permanent residency</w:t>
      </w:r>
      <w:r w:rsidR="00CF36DD">
        <w:t xml:space="preserve"> (</w:t>
      </w:r>
      <w:r>
        <w:t>9</w:t>
      </w:r>
      <w:r w:rsidR="00CF36DD">
        <w:t xml:space="preserve"> submissions)</w:t>
      </w:r>
    </w:p>
    <w:p w14:paraId="4DCC8171" w14:textId="6AE31691" w:rsidR="00A25BD7" w:rsidRDefault="0040010D" w:rsidP="00054202">
      <w:pPr>
        <w:pStyle w:val="ListParagraph"/>
        <w:numPr>
          <w:ilvl w:val="0"/>
          <w:numId w:val="49"/>
        </w:numPr>
      </w:pPr>
      <w:r>
        <w:t>e</w:t>
      </w:r>
      <w:r w:rsidR="00A25BD7">
        <w:t>xtend the</w:t>
      </w:r>
      <w:r w:rsidR="00CF36DD">
        <w:t xml:space="preserve"> time granted under the</w:t>
      </w:r>
      <w:r w:rsidR="00A25BD7">
        <w:t xml:space="preserve"> temporary graduate vis</w:t>
      </w:r>
      <w:r w:rsidR="00CF36DD">
        <w:t>a (</w:t>
      </w:r>
      <w:r>
        <w:t>2</w:t>
      </w:r>
      <w:r w:rsidR="00CF36DD">
        <w:t xml:space="preserve"> submissions)</w:t>
      </w:r>
    </w:p>
    <w:p w14:paraId="60CBEC92" w14:textId="0975CA06" w:rsidR="00CF36DD" w:rsidRDefault="0040010D" w:rsidP="00054202">
      <w:pPr>
        <w:pStyle w:val="ListParagraph"/>
        <w:numPr>
          <w:ilvl w:val="0"/>
          <w:numId w:val="49"/>
        </w:numPr>
      </w:pPr>
      <w:r>
        <w:t>i</w:t>
      </w:r>
      <w:r w:rsidR="00CF36DD">
        <w:t>ntroduce a salary threshold for the permanent graduate visa as a replacement to the occupation list (</w:t>
      </w:r>
      <w:r>
        <w:t>2</w:t>
      </w:r>
      <w:r w:rsidR="00CF36DD">
        <w:t xml:space="preserve"> submissions)</w:t>
      </w:r>
    </w:p>
    <w:p w14:paraId="04FD70A1" w14:textId="1DDDA3B1" w:rsidR="00CF36DD" w:rsidRDefault="0040010D" w:rsidP="00054202">
      <w:pPr>
        <w:pStyle w:val="ListParagraph"/>
        <w:numPr>
          <w:ilvl w:val="0"/>
          <w:numId w:val="49"/>
        </w:numPr>
      </w:pPr>
      <w:r>
        <w:t>i</w:t>
      </w:r>
      <w:r w:rsidR="00CF36DD">
        <w:t>mprove visa processing times (</w:t>
      </w:r>
      <w:r w:rsidR="00E45B57">
        <w:t>2 submissions)</w:t>
      </w:r>
    </w:p>
    <w:p w14:paraId="535CA333" w14:textId="031BB142" w:rsidR="00380B37" w:rsidRDefault="00380B37" w:rsidP="00380B37">
      <w:r>
        <w:t>Two submissions also argued for greater government assistance for international students in Australia</w:t>
      </w:r>
      <w:r w:rsidR="00D43D7F">
        <w:t xml:space="preserve">, including access to </w:t>
      </w:r>
      <w:r w:rsidR="00053101">
        <w:t>Medicare</w:t>
      </w:r>
      <w:r w:rsidR="006A7490">
        <w:t xml:space="preserve"> and student support payments. </w:t>
      </w:r>
    </w:p>
    <w:p w14:paraId="085700E2" w14:textId="64059A38" w:rsidR="008B0287" w:rsidRPr="00711F19" w:rsidRDefault="001C4ADA" w:rsidP="00A0377F">
      <w:pPr>
        <w:pStyle w:val="Heading5"/>
      </w:pPr>
      <w:r>
        <w:t xml:space="preserve">Strengthen Australia’s </w:t>
      </w:r>
      <w:r w:rsidR="00AE33E3">
        <w:t>international education offer</w:t>
      </w:r>
    </w:p>
    <w:p w14:paraId="6DA04996" w14:textId="0F8C3694" w:rsidR="00056F6E" w:rsidRDefault="00275CCD" w:rsidP="00056F6E">
      <w:r>
        <w:t xml:space="preserve">In addition to </w:t>
      </w:r>
      <w:r w:rsidR="00C1556E">
        <w:t>improving the visa</w:t>
      </w:r>
      <w:r w:rsidR="00007A1F">
        <w:t xml:space="preserve"> system, t</w:t>
      </w:r>
      <w:r w:rsidR="00056F6E">
        <w:t xml:space="preserve">hree suggestions </w:t>
      </w:r>
      <w:r>
        <w:t>to strengthen Australia’s international education offer</w:t>
      </w:r>
      <w:r w:rsidR="00460604">
        <w:t xml:space="preserve"> </w:t>
      </w:r>
      <w:r w:rsidR="00056F6E">
        <w:t>were posed</w:t>
      </w:r>
      <w:r w:rsidR="00460604">
        <w:t>:</w:t>
      </w:r>
      <w:r w:rsidR="00056F6E">
        <w:t xml:space="preserve"> </w:t>
      </w:r>
    </w:p>
    <w:p w14:paraId="6EC0F890" w14:textId="06D3F597" w:rsidR="00056F6E" w:rsidRPr="00A0377F" w:rsidRDefault="00560785" w:rsidP="00054202">
      <w:pPr>
        <w:pStyle w:val="ListParagraph"/>
        <w:numPr>
          <w:ilvl w:val="0"/>
          <w:numId w:val="50"/>
        </w:numPr>
      </w:pPr>
      <w:r>
        <w:lastRenderedPageBreak/>
        <w:t>t</w:t>
      </w:r>
      <w:r w:rsidR="00056F6E">
        <w:t>arget a more diverse range of countries (</w:t>
      </w:r>
      <w:r>
        <w:t>3</w:t>
      </w:r>
      <w:r w:rsidR="00056F6E">
        <w:t xml:space="preserve"> submissions)</w:t>
      </w:r>
    </w:p>
    <w:p w14:paraId="2A9C1304" w14:textId="6A081377" w:rsidR="00A0377F" w:rsidRPr="00A0377F" w:rsidRDefault="00560785" w:rsidP="00054202">
      <w:pPr>
        <w:pStyle w:val="ListParagraph"/>
        <w:numPr>
          <w:ilvl w:val="0"/>
          <w:numId w:val="50"/>
        </w:numPr>
      </w:pPr>
      <w:r>
        <w:t>i</w:t>
      </w:r>
      <w:r w:rsidR="001A4C5D">
        <w:t>mprove</w:t>
      </w:r>
      <w:r w:rsidR="00F13C0D">
        <w:t xml:space="preserve"> </w:t>
      </w:r>
      <w:r w:rsidR="00C97D97">
        <w:t xml:space="preserve">Australia’s </w:t>
      </w:r>
      <w:r w:rsidR="002101EB">
        <w:t>teaching</w:t>
      </w:r>
      <w:r w:rsidR="00C97D97">
        <w:t xml:space="preserve"> offer, </w:t>
      </w:r>
      <w:r w:rsidR="00F13C0D">
        <w:t>for example through</w:t>
      </w:r>
      <w:r w:rsidR="00C97D97">
        <w:t xml:space="preserve"> </w:t>
      </w:r>
      <w:r w:rsidR="002101EB">
        <w:t>online learning</w:t>
      </w:r>
      <w:r w:rsidR="00056F6E">
        <w:t xml:space="preserve"> (</w:t>
      </w:r>
      <w:r>
        <w:t>3</w:t>
      </w:r>
      <w:r w:rsidR="000D1E92">
        <w:t xml:space="preserve"> submissions)</w:t>
      </w:r>
    </w:p>
    <w:p w14:paraId="37317AC4" w14:textId="0C81582F" w:rsidR="0029512F" w:rsidRPr="00A0377F" w:rsidRDefault="00560785" w:rsidP="001E2BF6">
      <w:pPr>
        <w:pStyle w:val="ListParagraph"/>
        <w:numPr>
          <w:ilvl w:val="0"/>
          <w:numId w:val="25"/>
        </w:numPr>
      </w:pPr>
      <w:r>
        <w:t>s</w:t>
      </w:r>
      <w:r w:rsidR="00144004">
        <w:t>trengthen relationships with international partner institutions</w:t>
      </w:r>
      <w:r w:rsidR="000D1E92">
        <w:t xml:space="preserve"> (</w:t>
      </w:r>
      <w:r>
        <w:t>2</w:t>
      </w:r>
      <w:r w:rsidR="000D1E92">
        <w:t xml:space="preserve"> submissions)</w:t>
      </w:r>
    </w:p>
    <w:p w14:paraId="4CFD90C2" w14:textId="29DA7182" w:rsidR="009D2410" w:rsidRPr="00A0377F" w:rsidRDefault="0074092E" w:rsidP="00DE735F">
      <w:pPr>
        <w:pStyle w:val="Heading5"/>
      </w:pPr>
      <w:r>
        <w:t>Shar</w:t>
      </w:r>
      <w:r w:rsidR="00582702">
        <w:t>e</w:t>
      </w:r>
      <w:r w:rsidR="009D2410">
        <w:t xml:space="preserve"> the </w:t>
      </w:r>
      <w:r>
        <w:t xml:space="preserve">benefits of </w:t>
      </w:r>
      <w:r w:rsidR="00B904FD">
        <w:t>international</w:t>
      </w:r>
      <w:r>
        <w:t xml:space="preserve"> education</w:t>
      </w:r>
    </w:p>
    <w:p w14:paraId="46995CD3" w14:textId="5B70BF15" w:rsidR="00FE220B" w:rsidRDefault="00843EA9" w:rsidP="00560785">
      <w:r>
        <w:t>Eleven</w:t>
      </w:r>
      <w:r w:rsidR="00081D70">
        <w:t xml:space="preserve"> </w:t>
      </w:r>
      <w:r w:rsidR="00831481">
        <w:t xml:space="preserve">submissions </w:t>
      </w:r>
      <w:r w:rsidR="002C387C">
        <w:t>discussed</w:t>
      </w:r>
      <w:r w:rsidR="00081D70">
        <w:t xml:space="preserve"> how the benefits </w:t>
      </w:r>
      <w:r w:rsidR="00013776">
        <w:t>of</w:t>
      </w:r>
      <w:r w:rsidR="00081D70">
        <w:t xml:space="preserve"> international education can be shared more broadly</w:t>
      </w:r>
      <w:r w:rsidR="001C7646">
        <w:t xml:space="preserve"> in the higher education sector</w:t>
      </w:r>
      <w:r w:rsidR="002541F2">
        <w:t>. Suggestions include</w:t>
      </w:r>
      <w:r w:rsidR="00E01A65">
        <w:t>d</w:t>
      </w:r>
      <w:r w:rsidR="0057568C">
        <w:t>:</w:t>
      </w:r>
      <w:r w:rsidR="00081D70">
        <w:t xml:space="preserve"> </w:t>
      </w:r>
    </w:p>
    <w:p w14:paraId="23FC125C" w14:textId="5920AAA3" w:rsidR="00A5322B" w:rsidRPr="00DE735F" w:rsidRDefault="00E01A65" w:rsidP="00FE220B">
      <w:pPr>
        <w:pStyle w:val="ListParagraph"/>
        <w:numPr>
          <w:ilvl w:val="0"/>
          <w:numId w:val="25"/>
        </w:numPr>
      </w:pPr>
      <w:r>
        <w:t>d</w:t>
      </w:r>
      <w:r w:rsidR="00A5322B">
        <w:t>istribute the revenue from international student fees (</w:t>
      </w:r>
      <w:r>
        <w:t>3</w:t>
      </w:r>
      <w:r w:rsidR="00A5322B">
        <w:t xml:space="preserve"> submissions)</w:t>
      </w:r>
    </w:p>
    <w:p w14:paraId="402BC13F" w14:textId="6DC135F7" w:rsidR="00DE735F" w:rsidRDefault="00E01A65" w:rsidP="001E2BF6">
      <w:pPr>
        <w:pStyle w:val="ListParagraph"/>
        <w:numPr>
          <w:ilvl w:val="0"/>
          <w:numId w:val="26"/>
        </w:numPr>
      </w:pPr>
      <w:r>
        <w:t>i</w:t>
      </w:r>
      <w:r w:rsidR="00DE735F">
        <w:t>ncrease the incentives for international students to study in the regions</w:t>
      </w:r>
      <w:r w:rsidR="00A5322B">
        <w:t xml:space="preserve"> (</w:t>
      </w:r>
      <w:r>
        <w:t>2</w:t>
      </w:r>
      <w:r w:rsidR="00B039B9">
        <w:t xml:space="preserve"> submissions)</w:t>
      </w:r>
    </w:p>
    <w:p w14:paraId="45B4C7BA" w14:textId="553F0575" w:rsidR="00BC164C" w:rsidRPr="00DE735F" w:rsidRDefault="00E01A65" w:rsidP="001E2BF6">
      <w:pPr>
        <w:pStyle w:val="ListParagraph"/>
        <w:numPr>
          <w:ilvl w:val="0"/>
          <w:numId w:val="26"/>
        </w:numPr>
      </w:pPr>
      <w:r>
        <w:t>e</w:t>
      </w:r>
      <w:r w:rsidR="00B039B9">
        <w:t xml:space="preserve">stablish a unit within Jobs and Skills Australia to provide advice </w:t>
      </w:r>
      <w:r w:rsidR="003F3B83">
        <w:t>on migration related issues, including</w:t>
      </w:r>
      <w:r w:rsidR="00B039B9">
        <w:t xml:space="preserve"> how to </w:t>
      </w:r>
      <w:r w:rsidR="003F3B83">
        <w:t>fill skills in regions</w:t>
      </w:r>
      <w:r w:rsidR="00B039B9">
        <w:t xml:space="preserve"> (</w:t>
      </w:r>
      <w:r>
        <w:t>1</w:t>
      </w:r>
      <w:r w:rsidR="00B039B9">
        <w:t xml:space="preserve"> submission)</w:t>
      </w:r>
    </w:p>
    <w:p w14:paraId="0E6A94F9" w14:textId="77777777" w:rsidR="007644D9" w:rsidRDefault="007644D9" w:rsidP="007644D9">
      <w:pPr>
        <w:pStyle w:val="Heading2"/>
      </w:pPr>
      <w:bookmarkStart w:id="47" w:name="_Toc134807420"/>
      <w:r>
        <w:t>Important enablers for the higher education sector</w:t>
      </w:r>
      <w:bookmarkEnd w:id="47"/>
    </w:p>
    <w:p w14:paraId="21D12CAB" w14:textId="0BEF3788" w:rsidR="00A63E5C" w:rsidRPr="00A02ACB" w:rsidRDefault="00A63E5C" w:rsidP="00A63E5C">
      <w:r>
        <w:t xml:space="preserve">This section of the report focusses on the enablers that are </w:t>
      </w:r>
      <w:r w:rsidR="005212BC">
        <w:t>important for the future</w:t>
      </w:r>
      <w:r>
        <w:t xml:space="preserve"> of the higher education sector. This section includes </w:t>
      </w:r>
      <w:r w:rsidR="005212BC">
        <w:t>four</w:t>
      </w:r>
      <w:r>
        <w:t xml:space="preserve"> subsections: </w:t>
      </w:r>
    </w:p>
    <w:p w14:paraId="2A07D248" w14:textId="4A7D691C" w:rsidR="00B66AAA" w:rsidRDefault="005A69D3" w:rsidP="00A63E5C">
      <w:pPr>
        <w:pStyle w:val="ListParagraph"/>
        <w:numPr>
          <w:ilvl w:val="0"/>
          <w:numId w:val="64"/>
        </w:numPr>
      </w:pPr>
      <w:r>
        <w:t>c</w:t>
      </w:r>
      <w:r w:rsidR="007644D9">
        <w:t>oherence</w:t>
      </w:r>
      <w:bookmarkStart w:id="48" w:name="_Ref134720281"/>
      <w:r w:rsidR="007644D9">
        <w:t xml:space="preserve"> and integration between the VET and higher education systems</w:t>
      </w:r>
      <w:bookmarkEnd w:id="48"/>
      <w:r w:rsidR="00B66AAA" w:rsidRPr="00B66AAA">
        <w:t xml:space="preserve"> </w:t>
      </w:r>
    </w:p>
    <w:p w14:paraId="19D9A9FE" w14:textId="649B13E3" w:rsidR="002447DE" w:rsidRDefault="005A69D3" w:rsidP="00A63E5C">
      <w:pPr>
        <w:pStyle w:val="ListParagraph"/>
        <w:numPr>
          <w:ilvl w:val="0"/>
          <w:numId w:val="64"/>
        </w:numPr>
      </w:pPr>
      <w:r>
        <w:t>s</w:t>
      </w:r>
      <w:r w:rsidR="002447DE" w:rsidRPr="002447DE">
        <w:t xml:space="preserve">ecure, affordable funding arrangements and incentives </w:t>
      </w:r>
    </w:p>
    <w:p w14:paraId="514F1820" w14:textId="18DBE780" w:rsidR="00832D5E" w:rsidRDefault="005A69D3" w:rsidP="00A63E5C">
      <w:pPr>
        <w:pStyle w:val="ListParagraph"/>
        <w:numPr>
          <w:ilvl w:val="0"/>
          <w:numId w:val="64"/>
        </w:numPr>
      </w:pPr>
      <w:r>
        <w:t>s</w:t>
      </w:r>
      <w:r w:rsidR="00832D5E" w:rsidRPr="00832D5E">
        <w:t xml:space="preserve">trong governance and accountability </w:t>
      </w:r>
    </w:p>
    <w:p w14:paraId="5D8A6853" w14:textId="6AD5E82B" w:rsidR="00A63E5C" w:rsidRPr="00A63E5C" w:rsidRDefault="005A69D3" w:rsidP="00A63E5C">
      <w:pPr>
        <w:pStyle w:val="ListParagraph"/>
        <w:numPr>
          <w:ilvl w:val="0"/>
          <w:numId w:val="64"/>
        </w:numPr>
      </w:pPr>
      <w:r>
        <w:t>i</w:t>
      </w:r>
      <w:r w:rsidR="0027662A" w:rsidRPr="0027662A">
        <w:t xml:space="preserve">nvestment in capability and recognition of the higher education workforce  </w:t>
      </w:r>
    </w:p>
    <w:p w14:paraId="2EC3C8CC" w14:textId="6BCE5906" w:rsidR="007644D9" w:rsidRDefault="007644D9" w:rsidP="007644D9">
      <w:pPr>
        <w:pStyle w:val="Heading3"/>
      </w:pPr>
      <w:bookmarkStart w:id="49" w:name="_Toc134807421"/>
      <w:r>
        <w:t>Coherence and integration between the VET and higher education systems</w:t>
      </w:r>
      <w:bookmarkEnd w:id="49"/>
    </w:p>
    <w:p w14:paraId="56A201B1" w14:textId="30CDDA13" w:rsidR="004860CC" w:rsidRPr="006E4D4B" w:rsidRDefault="005A70EE" w:rsidP="004860CC">
      <w:r>
        <w:t xml:space="preserve">The Discussion Paper </w:t>
      </w:r>
      <w:r w:rsidR="00584DD9">
        <w:t xml:space="preserve">identified that </w:t>
      </w:r>
      <w:r w:rsidR="00584DD9" w:rsidRPr="006D1AE1">
        <w:rPr>
          <w:i/>
          <w:iCs/>
        </w:rPr>
        <w:t>“</w:t>
      </w:r>
      <w:r w:rsidR="00647587" w:rsidRPr="006D1AE1">
        <w:rPr>
          <w:i/>
          <w:iCs/>
        </w:rPr>
        <w:t xml:space="preserve">While </w:t>
      </w:r>
      <w:r w:rsidR="006D1AE1" w:rsidRPr="006D1AE1">
        <w:rPr>
          <w:i/>
          <w:iCs/>
        </w:rPr>
        <w:t>the two systems have different approaches to learning, as well as different funding and regulation settings, they are becoming increasingly intertwined. In consultations the Panel has heard that there is increasing overlap in relation to diplomas and advanced diplomas”</w:t>
      </w:r>
      <w:r w:rsidR="006E4D4B">
        <w:t xml:space="preserve">. </w:t>
      </w:r>
      <w:r w:rsidR="00581F3E">
        <w:t>Ninety-eight s</w:t>
      </w:r>
      <w:r w:rsidR="006E4D4B">
        <w:t xml:space="preserve">ubmissions </w:t>
      </w:r>
      <w:r w:rsidR="00581F3E">
        <w:t>discussed</w:t>
      </w:r>
      <w:r w:rsidR="006E4D4B">
        <w:t xml:space="preserve"> </w:t>
      </w:r>
      <w:r w:rsidR="00FB1AF0">
        <w:t>recommendations for improving the coherence between the sectors</w:t>
      </w:r>
      <w:r w:rsidR="00581F3E">
        <w:t xml:space="preserve">. Key topics included: </w:t>
      </w:r>
    </w:p>
    <w:p w14:paraId="22E1043C" w14:textId="55DEAEF2" w:rsidR="00581F3E" w:rsidRDefault="00581F3E" w:rsidP="00581F3E">
      <w:pPr>
        <w:pStyle w:val="ListParagraph"/>
        <w:numPr>
          <w:ilvl w:val="0"/>
          <w:numId w:val="93"/>
        </w:numPr>
      </w:pPr>
      <w:r>
        <w:t>s</w:t>
      </w:r>
      <w:r w:rsidRPr="00581F3E">
        <w:t>trengthen the tertiary system by creating greater alignment between higher education and the VET sector</w:t>
      </w:r>
    </w:p>
    <w:p w14:paraId="227FCF81" w14:textId="2C067BC3" w:rsidR="00581F3E" w:rsidRDefault="00581F3E" w:rsidP="00581F3E">
      <w:pPr>
        <w:pStyle w:val="ListParagraph"/>
        <w:numPr>
          <w:ilvl w:val="0"/>
          <w:numId w:val="93"/>
        </w:numPr>
      </w:pPr>
      <w:r>
        <w:t>p</w:t>
      </w:r>
      <w:r w:rsidRPr="00581F3E">
        <w:t>athways for students between VET and higher education</w:t>
      </w:r>
    </w:p>
    <w:p w14:paraId="69AD4F84" w14:textId="64C2C7CC" w:rsidR="00581F3E" w:rsidRPr="00581F3E" w:rsidRDefault="00994EB7" w:rsidP="007C7113">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9</w:t>
      </w:r>
      <w:r w:rsidR="008444D3">
        <w:rPr>
          <w:noProof/>
        </w:rPr>
        <w:fldChar w:fldCharType="end"/>
      </w:r>
      <w:r>
        <w:t xml:space="preserve"> | </w:t>
      </w:r>
      <w:r w:rsidR="007D4097" w:rsidRPr="007D4097">
        <w:t>Distribution of submissions – Coherence and integration between the VET and higher education systems (N=98)</w:t>
      </w:r>
    </w:p>
    <w:p w14:paraId="64186547" w14:textId="452AA9E0" w:rsidR="007C7113" w:rsidRPr="00581F3E" w:rsidRDefault="00AF5DC7" w:rsidP="00581F3E">
      <w:r w:rsidRPr="00AF5DC7">
        <w:rPr>
          <w:noProof/>
        </w:rPr>
        <w:lastRenderedPageBreak/>
        <w:drawing>
          <wp:inline distT="0" distB="0" distL="0" distR="0" wp14:anchorId="12BB627E" wp14:editId="568A91D4">
            <wp:extent cx="5835650" cy="3603625"/>
            <wp:effectExtent l="0" t="0" r="0" b="0"/>
            <wp:docPr id="1" name="Picture 1" descr="Bar graph showing other advocacy groups were the largest cohort to the topic 'coherence and integration between the VET and higher education systems' with 22 submissions. Universities were the second largest cohort wit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graph showing other advocacy groups were the largest cohort to the topic 'coherence and integration between the VET and higher education systems' with 22 submissions. Universities were the second largest cohort with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35650" cy="3603625"/>
                    </a:xfrm>
                    <a:prstGeom prst="rect">
                      <a:avLst/>
                    </a:prstGeom>
                    <a:noFill/>
                    <a:ln>
                      <a:noFill/>
                    </a:ln>
                  </pic:spPr>
                </pic:pic>
              </a:graphicData>
            </a:graphic>
          </wp:inline>
        </w:drawing>
      </w:r>
      <w:r w:rsidRPr="00AF5DC7">
        <w:t xml:space="preserve"> </w:t>
      </w:r>
    </w:p>
    <w:p w14:paraId="1645DD1B" w14:textId="7CB00475" w:rsidR="007644D9" w:rsidRDefault="007644D9" w:rsidP="007644D9">
      <w:pPr>
        <w:pStyle w:val="Heading4"/>
      </w:pPr>
      <w:r>
        <w:t>Strengthen</w:t>
      </w:r>
      <w:r w:rsidR="005E2705">
        <w:t xml:space="preserve"> the</w:t>
      </w:r>
      <w:r>
        <w:t xml:space="preserve"> tertiary system</w:t>
      </w:r>
      <w:r w:rsidR="00A65DA2">
        <w:t xml:space="preserve"> </w:t>
      </w:r>
      <w:r w:rsidR="0044538D">
        <w:t>through</w:t>
      </w:r>
      <w:r w:rsidR="005E2705">
        <w:t xml:space="preserve"> greater alignment between higher education and the VET sector</w:t>
      </w:r>
    </w:p>
    <w:p w14:paraId="419B3427" w14:textId="61ECCA17" w:rsidR="000E23E5" w:rsidRPr="00530E9D" w:rsidRDefault="000E23E5" w:rsidP="000E23E5">
      <w:r>
        <w:t xml:space="preserve">The Discussion Paper notes that the historical divide between the </w:t>
      </w:r>
      <w:r w:rsidR="00773AB2">
        <w:t>vocational education and training (</w:t>
      </w:r>
      <w:r>
        <w:t>VET</w:t>
      </w:r>
      <w:r w:rsidR="00773AB2">
        <w:t>)</w:t>
      </w:r>
      <w:r>
        <w:t xml:space="preserve"> and higher education systems is being replaced by increasing integration between the two systems. </w:t>
      </w:r>
      <w:r w:rsidR="006A1B5E">
        <w:t xml:space="preserve">However, challenges remain </w:t>
      </w:r>
      <w:r w:rsidR="007E01A6">
        <w:t xml:space="preserve">in building a </w:t>
      </w:r>
      <w:r w:rsidR="0017119B">
        <w:t>“stronger, more coherent relationship between the two systems</w:t>
      </w:r>
      <w:r w:rsidR="00414243">
        <w:t>,” (p. 18).</w:t>
      </w:r>
    </w:p>
    <w:p w14:paraId="0F1F5F64" w14:textId="6E3E4351" w:rsidR="000E23E5" w:rsidRDefault="006E0579" w:rsidP="006E0579">
      <w:pPr>
        <w:ind w:left="360"/>
      </w:pPr>
      <w:r>
        <w:rPr>
          <w:i/>
          <w:iCs/>
        </w:rPr>
        <w:t>“</w:t>
      </w:r>
      <w:r w:rsidRPr="006E0579">
        <w:rPr>
          <w:i/>
          <w:iCs/>
        </w:rPr>
        <w:t>Both systems are vital to meeting Australia’s skills needs, and both offer students a pathway to meaningful careers and strong employment outcomes. How to enable them to work more effectively together, with parity of esteem and collaboration across governments, providers and industry partners, remains a complex challenge.</w:t>
      </w:r>
      <w:r>
        <w:rPr>
          <w:i/>
          <w:iCs/>
        </w:rPr>
        <w:t xml:space="preserve">” </w:t>
      </w:r>
      <w:r w:rsidRPr="006E0579">
        <w:t xml:space="preserve">Australian Universities Accord Discussion </w:t>
      </w:r>
      <w:r w:rsidR="0012363B">
        <w:t>P</w:t>
      </w:r>
      <w:r w:rsidRPr="006E0579">
        <w:t xml:space="preserve">aper, February 2023, p. </w:t>
      </w:r>
      <w:r>
        <w:t>18</w:t>
      </w:r>
      <w:r w:rsidRPr="006E0579">
        <w:t>.</w:t>
      </w:r>
    </w:p>
    <w:p w14:paraId="48D75B4C" w14:textId="2BCB5E67" w:rsidR="00605B9A" w:rsidRDefault="000B3A82" w:rsidP="000B3A82">
      <w:r>
        <w:t>The Discussion Paper asked stakehold</w:t>
      </w:r>
      <w:r w:rsidR="00C1263D">
        <w:t xml:space="preserve">ers for suggestions to support better alignment and connection across the tertiary education system </w:t>
      </w:r>
      <w:r w:rsidR="000B6386">
        <w:t xml:space="preserve">as a whole </w:t>
      </w:r>
      <w:r w:rsidR="00C1263D">
        <w:t>and to provide input on</w:t>
      </w:r>
      <w:r w:rsidR="008806F6">
        <w:t xml:space="preserve"> what a more effective and collaborative national governance approach would look like.</w:t>
      </w:r>
      <w:r w:rsidR="009953F9">
        <w:t xml:space="preserve"> S</w:t>
      </w:r>
      <w:r w:rsidR="008806F6">
        <w:t xml:space="preserve">takeholders were </w:t>
      </w:r>
      <w:r w:rsidR="009953F9">
        <w:t xml:space="preserve">also </w:t>
      </w:r>
      <w:r w:rsidR="008806F6">
        <w:t>asked to consider the role of the Australian Qualifications Framework (AQF)</w:t>
      </w:r>
      <w:r w:rsidR="008F3CB9">
        <w:t xml:space="preserve">, and whether reform of the AQF could support </w:t>
      </w:r>
      <w:r w:rsidR="004E5D67">
        <w:t xml:space="preserve">this alignment. </w:t>
      </w:r>
    </w:p>
    <w:p w14:paraId="136A3945" w14:textId="6C563154" w:rsidR="00E955BC" w:rsidRDefault="006A604F" w:rsidP="000B3A82">
      <w:r>
        <w:t>Fourteen per cent</w:t>
      </w:r>
      <w:r w:rsidR="002715CE">
        <w:t xml:space="preserve"> of</w:t>
      </w:r>
      <w:r w:rsidR="00DB6020">
        <w:t xml:space="preserve"> submissions </w:t>
      </w:r>
      <w:r w:rsidR="002715CE">
        <w:t>(</w:t>
      </w:r>
      <w:r w:rsidR="00DB6020">
        <w:t>42 submissions</w:t>
      </w:r>
      <w:r w:rsidR="002715CE">
        <w:t>)</w:t>
      </w:r>
      <w:r w:rsidR="00DB6020">
        <w:t xml:space="preserve"> responded to these question</w:t>
      </w:r>
      <w:r w:rsidR="002F3018">
        <w:t>s</w:t>
      </w:r>
      <w:r w:rsidR="00DE0B66">
        <w:t xml:space="preserve">. </w:t>
      </w:r>
      <w:r w:rsidR="00496E3C">
        <w:t>Six</w:t>
      </w:r>
      <w:r w:rsidR="00DE0B66">
        <w:t xml:space="preserve"> key recommendations were outlined:</w:t>
      </w:r>
    </w:p>
    <w:p w14:paraId="4DBEBDBD" w14:textId="5E0E407C" w:rsidR="00DE0B66" w:rsidRDefault="000C7305" w:rsidP="00054202">
      <w:pPr>
        <w:pStyle w:val="ListParagraph"/>
        <w:numPr>
          <w:ilvl w:val="0"/>
          <w:numId w:val="45"/>
        </w:numPr>
      </w:pPr>
      <w:bookmarkStart w:id="50" w:name="_Hlk134805359"/>
      <w:r>
        <w:t>e</w:t>
      </w:r>
      <w:r w:rsidR="00DE0B66">
        <w:t xml:space="preserve">stablish a single, integrated tertiary </w:t>
      </w:r>
      <w:r w:rsidR="00AB0D74">
        <w:t xml:space="preserve">education </w:t>
      </w:r>
      <w:r w:rsidR="00DE0B66">
        <w:t>system (1</w:t>
      </w:r>
      <w:r w:rsidR="00AB0D74">
        <w:t>8</w:t>
      </w:r>
      <w:r w:rsidR="00DE0B66">
        <w:t xml:space="preserve"> submissions)</w:t>
      </w:r>
    </w:p>
    <w:p w14:paraId="74898570" w14:textId="4DE85B52" w:rsidR="00DE0B66" w:rsidRDefault="000C7305" w:rsidP="00054202">
      <w:pPr>
        <w:pStyle w:val="ListParagraph"/>
        <w:numPr>
          <w:ilvl w:val="0"/>
          <w:numId w:val="45"/>
        </w:numPr>
      </w:pPr>
      <w:r>
        <w:t>r</w:t>
      </w:r>
      <w:r w:rsidR="00DE0B66">
        <w:t xml:space="preserve">aise the status of </w:t>
      </w:r>
      <w:r w:rsidR="00FE0501">
        <w:t>vocation education and training (</w:t>
      </w:r>
      <w:r w:rsidR="00DE0B66">
        <w:t>VET</w:t>
      </w:r>
      <w:r w:rsidR="00FE0501">
        <w:t>)</w:t>
      </w:r>
      <w:r w:rsidR="00DE0B66">
        <w:t xml:space="preserve"> (</w:t>
      </w:r>
      <w:r w:rsidR="00FE0501">
        <w:t>3</w:t>
      </w:r>
      <w:r w:rsidR="00DE0B66">
        <w:t xml:space="preserve"> </w:t>
      </w:r>
      <w:r w:rsidR="005B047F">
        <w:t>submissions</w:t>
      </w:r>
      <w:r w:rsidR="00DE0B66">
        <w:t>)</w:t>
      </w:r>
    </w:p>
    <w:p w14:paraId="5AD107FB" w14:textId="4AE332FA" w:rsidR="00DE0B66" w:rsidRDefault="000C7305" w:rsidP="00054202">
      <w:pPr>
        <w:pStyle w:val="ListParagraph"/>
        <w:numPr>
          <w:ilvl w:val="0"/>
          <w:numId w:val="45"/>
        </w:numPr>
      </w:pPr>
      <w:r>
        <w:t>p</w:t>
      </w:r>
      <w:r w:rsidR="00DE0B66">
        <w:t>ursue a dual-sector study model (</w:t>
      </w:r>
      <w:r w:rsidR="00FE0501">
        <w:t>5</w:t>
      </w:r>
      <w:r w:rsidR="005B047F">
        <w:t xml:space="preserve"> submissions)</w:t>
      </w:r>
    </w:p>
    <w:p w14:paraId="202C1069" w14:textId="4CAD3F24" w:rsidR="00DE0B66" w:rsidRDefault="000C7305" w:rsidP="00054202">
      <w:pPr>
        <w:pStyle w:val="ListParagraph"/>
        <w:numPr>
          <w:ilvl w:val="0"/>
          <w:numId w:val="45"/>
        </w:numPr>
      </w:pPr>
      <w:r>
        <w:lastRenderedPageBreak/>
        <w:t>p</w:t>
      </w:r>
      <w:r w:rsidR="00DE0B66">
        <w:t xml:space="preserve">romote cross-institutional </w:t>
      </w:r>
      <w:r w:rsidR="005B047F">
        <w:t>collaboration (</w:t>
      </w:r>
      <w:r w:rsidR="00FE0501">
        <w:t>2</w:t>
      </w:r>
      <w:r w:rsidR="005B047F">
        <w:t xml:space="preserve"> submissions)</w:t>
      </w:r>
    </w:p>
    <w:p w14:paraId="557E5905" w14:textId="573F94E8" w:rsidR="00DE0B66" w:rsidRDefault="000C7305" w:rsidP="00054202">
      <w:pPr>
        <w:pStyle w:val="ListParagraph"/>
        <w:numPr>
          <w:ilvl w:val="0"/>
          <w:numId w:val="45"/>
        </w:numPr>
      </w:pPr>
      <w:r>
        <w:t>r</w:t>
      </w:r>
      <w:r w:rsidR="00DE0B66">
        <w:t xml:space="preserve">eform </w:t>
      </w:r>
      <w:r w:rsidR="004D26DD">
        <w:t xml:space="preserve">of </w:t>
      </w:r>
      <w:r w:rsidR="00DE0B66">
        <w:t>the AQF</w:t>
      </w:r>
      <w:r w:rsidR="007A58F2">
        <w:t xml:space="preserve"> (</w:t>
      </w:r>
      <w:r w:rsidR="004D26DD">
        <w:t xml:space="preserve">16 submissions) </w:t>
      </w:r>
    </w:p>
    <w:p w14:paraId="39904FCF" w14:textId="43379E6A" w:rsidR="00DE0B66" w:rsidRDefault="000C7305" w:rsidP="00054202">
      <w:pPr>
        <w:pStyle w:val="ListParagraph"/>
        <w:numPr>
          <w:ilvl w:val="0"/>
          <w:numId w:val="45"/>
        </w:numPr>
      </w:pPr>
      <w:r>
        <w:t>c</w:t>
      </w:r>
      <w:r w:rsidR="00DE0B66">
        <w:t>reate a national framework for the recognition of prior learning</w:t>
      </w:r>
      <w:r w:rsidR="00B027FE">
        <w:t xml:space="preserve"> (</w:t>
      </w:r>
      <w:r w:rsidR="00FE0501">
        <w:t>6</w:t>
      </w:r>
      <w:r w:rsidR="00B027FE">
        <w:t xml:space="preserve"> submissions)</w:t>
      </w:r>
    </w:p>
    <w:bookmarkEnd w:id="50"/>
    <w:p w14:paraId="0008EC36" w14:textId="3213408C" w:rsidR="00CD3519" w:rsidRDefault="00CD3519" w:rsidP="00CD3519">
      <w:r>
        <w:t>These points are discussed in detail below.</w:t>
      </w:r>
    </w:p>
    <w:p w14:paraId="4739F177" w14:textId="40FD0DBD" w:rsidR="00AD56DF" w:rsidRDefault="008E6F93" w:rsidP="00AD56DF">
      <w:pPr>
        <w:pStyle w:val="Heading5"/>
      </w:pPr>
      <w:r>
        <w:t>Establish a single, integrated tertiary system</w:t>
      </w:r>
    </w:p>
    <w:p w14:paraId="171BD3A9" w14:textId="5784A4F9" w:rsidR="00001415" w:rsidRDefault="006C5278" w:rsidP="00E955BC">
      <w:r>
        <w:t>Eighteen</w:t>
      </w:r>
      <w:r w:rsidR="00F5162B">
        <w:t xml:space="preserve"> submissions</w:t>
      </w:r>
      <w:r w:rsidR="00F44E56">
        <w:t xml:space="preserve"> made suggestions supporting a transition to a</w:t>
      </w:r>
      <w:r w:rsidR="007B3628">
        <w:t xml:space="preserve">n integrated </w:t>
      </w:r>
      <w:r w:rsidR="00604FEE">
        <w:t>n</w:t>
      </w:r>
      <w:r w:rsidR="00F44E56">
        <w:t>ational tertiary education system</w:t>
      </w:r>
      <w:r w:rsidR="00604FEE">
        <w:t>.</w:t>
      </w:r>
      <w:r w:rsidR="00B56257">
        <w:t xml:space="preserve"> </w:t>
      </w:r>
      <w:r w:rsidR="000A7FC8">
        <w:t>Submissions</w:t>
      </w:r>
      <w:r w:rsidR="00B56257">
        <w:t xml:space="preserve"> noted that </w:t>
      </w:r>
      <w:r w:rsidR="00E47377">
        <w:t xml:space="preserve">a unified approach to </w:t>
      </w:r>
      <w:r w:rsidR="000A7FC8">
        <w:t>funding</w:t>
      </w:r>
      <w:r w:rsidR="00240896">
        <w:t xml:space="preserve">, </w:t>
      </w:r>
      <w:r w:rsidR="000A7FC8">
        <w:t>regulat</w:t>
      </w:r>
      <w:r w:rsidR="0088694C">
        <w:t>ion</w:t>
      </w:r>
      <w:r w:rsidR="00240896">
        <w:t xml:space="preserve"> and credit</w:t>
      </w:r>
      <w:r w:rsidR="00E47377">
        <w:t xml:space="preserve"> </w:t>
      </w:r>
      <w:r w:rsidR="00240896">
        <w:t>recognition</w:t>
      </w:r>
      <w:r w:rsidR="000A7FC8">
        <w:t xml:space="preserve"> </w:t>
      </w:r>
      <w:r w:rsidR="008155E0">
        <w:t>would better enable pathways for students</w:t>
      </w:r>
      <w:r w:rsidR="005D6F90">
        <w:t xml:space="preserve"> and</w:t>
      </w:r>
      <w:r w:rsidR="00754917">
        <w:t xml:space="preserve"> </w:t>
      </w:r>
      <w:r w:rsidR="00BA0B32">
        <w:t xml:space="preserve">would </w:t>
      </w:r>
      <w:r w:rsidR="008155E0">
        <w:t>reduce funding imbalances</w:t>
      </w:r>
      <w:r w:rsidR="00754917">
        <w:t xml:space="preserve"> </w:t>
      </w:r>
      <w:r w:rsidR="005D6F90">
        <w:t>between VET and higher education</w:t>
      </w:r>
      <w:r w:rsidR="003A1064">
        <w:t xml:space="preserve">. </w:t>
      </w:r>
      <w:r w:rsidR="008C0088">
        <w:t xml:space="preserve">Integration would </w:t>
      </w:r>
      <w:r w:rsidR="00EF4B33">
        <w:t xml:space="preserve">also </w:t>
      </w:r>
      <w:r w:rsidR="008C0088">
        <w:t>ensure that vocational</w:t>
      </w:r>
      <w:r w:rsidR="00870230">
        <w:t xml:space="preserve"> education</w:t>
      </w:r>
      <w:r w:rsidR="008C0088">
        <w:t xml:space="preserve"> and higher education are equally valued and have an equal role to play in preparing Australia for the challenges of the next 30 years.</w:t>
      </w:r>
    </w:p>
    <w:p w14:paraId="4C94FAF7" w14:textId="61C48653" w:rsidR="003C6F62" w:rsidRDefault="00053414" w:rsidP="00E955BC">
      <w:r>
        <w:t>Four of these</w:t>
      </w:r>
      <w:r w:rsidR="003C6F62">
        <w:t xml:space="preserve"> submissions noted that an integrated </w:t>
      </w:r>
      <w:r w:rsidR="00C04AF7">
        <w:t>tertiary</w:t>
      </w:r>
      <w:r w:rsidR="003C6F62">
        <w:t xml:space="preserve"> education system would better place Australia to pursue</w:t>
      </w:r>
      <w:r w:rsidR="006B6AB2">
        <w:t xml:space="preserve"> a</w:t>
      </w:r>
      <w:r w:rsidR="00C04AF7">
        <w:t xml:space="preserve"> culture of</w:t>
      </w:r>
      <w:r w:rsidR="003C6F62">
        <w:t xml:space="preserve"> lifelong learning.</w:t>
      </w:r>
    </w:p>
    <w:p w14:paraId="38572322" w14:textId="4F1167D4" w:rsidR="00001415" w:rsidRPr="004731BC" w:rsidRDefault="004731BC" w:rsidP="004731BC">
      <w:pPr>
        <w:ind w:left="720"/>
      </w:pPr>
      <w:r>
        <w:rPr>
          <w:i/>
          <w:iCs/>
        </w:rPr>
        <w:t>“</w:t>
      </w:r>
      <w:r w:rsidRPr="004731BC">
        <w:rPr>
          <w:i/>
          <w:iCs/>
        </w:rPr>
        <w:t>The higher education and vocational training systems should be redesigned to form an integrated tertiary education sector oriented to lifelong learning. This sector should incorporate flexible pathways between vocational training and higher education in both directions and at various qualification levels – including research training.</w:t>
      </w:r>
      <w:r>
        <w:rPr>
          <w:i/>
          <w:iCs/>
        </w:rPr>
        <w:t xml:space="preserve">” </w:t>
      </w:r>
      <w:r>
        <w:t>The Group of Eight</w:t>
      </w:r>
    </w:p>
    <w:p w14:paraId="22806A31" w14:textId="57CC549B" w:rsidR="008E6F93" w:rsidRDefault="008E6F93" w:rsidP="00E955BC">
      <w:pPr>
        <w:pStyle w:val="Heading5"/>
      </w:pPr>
      <w:r>
        <w:t xml:space="preserve">Raise the status of </w:t>
      </w:r>
      <w:r w:rsidR="00DC36AB">
        <w:t>vocational education and training (</w:t>
      </w:r>
      <w:r>
        <w:t>VET</w:t>
      </w:r>
      <w:r w:rsidR="00DC36AB">
        <w:t>)</w:t>
      </w:r>
    </w:p>
    <w:p w14:paraId="0E12B83B" w14:textId="6C5060CA" w:rsidR="00CD67D1" w:rsidRDefault="00C77072" w:rsidP="00CD67D1">
      <w:r>
        <w:t xml:space="preserve">Four submissions </w:t>
      </w:r>
      <w:r w:rsidR="00CC1D18">
        <w:t>mentioned t</w:t>
      </w:r>
      <w:r w:rsidR="004238F0">
        <w:t xml:space="preserve">he need to raise the status of </w:t>
      </w:r>
      <w:r w:rsidR="009E7579">
        <w:t xml:space="preserve">vocational education and training. </w:t>
      </w:r>
      <w:r w:rsidR="00F643A4">
        <w:t>As noted by Victoria University, “</w:t>
      </w:r>
      <w:r w:rsidR="00F643A4" w:rsidRPr="00F643A4">
        <w:t>VET is a declining pathway for young people to take from school to the workplace and VET continues to struggle for parity of esteem with the higher education sector.</w:t>
      </w:r>
      <w:r w:rsidR="00F643A4">
        <w:t xml:space="preserve">” </w:t>
      </w:r>
    </w:p>
    <w:p w14:paraId="7B46641E" w14:textId="6137BF0D" w:rsidR="00857F4D" w:rsidRPr="00CD67D1" w:rsidRDefault="004160DD" w:rsidP="00CD67D1">
      <w:r>
        <w:t>The</w:t>
      </w:r>
      <w:r w:rsidR="00FE09EF">
        <w:t>se</w:t>
      </w:r>
      <w:r>
        <w:t xml:space="preserve"> four submissions called for greater</w:t>
      </w:r>
      <w:r w:rsidR="00131930">
        <w:t xml:space="preserve"> communication and education for students about the </w:t>
      </w:r>
      <w:r w:rsidR="006F2FC7">
        <w:t xml:space="preserve">purpose and potential of the </w:t>
      </w:r>
      <w:r w:rsidR="00131930">
        <w:t>VET sector</w:t>
      </w:r>
      <w:r w:rsidR="00266E92">
        <w:t xml:space="preserve">. </w:t>
      </w:r>
      <w:r w:rsidR="00E5163E">
        <w:t xml:space="preserve">They </w:t>
      </w:r>
      <w:r w:rsidR="00170D99">
        <w:t xml:space="preserve">noted the </w:t>
      </w:r>
      <w:r w:rsidR="006F2FC7">
        <w:t>opportunity</w:t>
      </w:r>
      <w:r w:rsidR="00170D99">
        <w:t xml:space="preserve"> to streamline </w:t>
      </w:r>
      <w:r w:rsidR="00602FD5">
        <w:t xml:space="preserve">the </w:t>
      </w:r>
      <w:r w:rsidR="00FF58B4">
        <w:t xml:space="preserve">VET </w:t>
      </w:r>
      <w:r w:rsidR="00602FD5">
        <w:t>sector’s</w:t>
      </w:r>
      <w:r w:rsidR="003D04B8">
        <w:t xml:space="preserve"> policy, funding and governance structur</w:t>
      </w:r>
      <w:r w:rsidR="000B276B">
        <w:t>es with structures in the higher education sector</w:t>
      </w:r>
      <w:r w:rsidR="006060D3">
        <w:t xml:space="preserve"> to promot</w:t>
      </w:r>
      <w:r w:rsidR="00170D99">
        <w:t xml:space="preserve">e </w:t>
      </w:r>
      <w:r w:rsidR="002B25C4">
        <w:t>parity</w:t>
      </w:r>
      <w:r w:rsidR="000941D4">
        <w:t xml:space="preserve"> between the two.</w:t>
      </w:r>
      <w:r w:rsidR="002B25C4">
        <w:t xml:space="preserve"> </w:t>
      </w:r>
    </w:p>
    <w:p w14:paraId="702CB750" w14:textId="2642B2C8" w:rsidR="00DB761A" w:rsidRDefault="00DB761A" w:rsidP="00E955BC">
      <w:pPr>
        <w:pStyle w:val="Heading5"/>
      </w:pPr>
      <w:r>
        <w:t>Pursue a dual-sector study model</w:t>
      </w:r>
    </w:p>
    <w:p w14:paraId="3DBAB47E" w14:textId="05FF4D9F" w:rsidR="004774E2" w:rsidRDefault="008A0E2B" w:rsidP="007921C5">
      <w:r>
        <w:t xml:space="preserve">Five submissions recommended </w:t>
      </w:r>
      <w:r w:rsidR="00FE6F4E">
        <w:t>consideration of</w:t>
      </w:r>
      <w:r>
        <w:t xml:space="preserve"> dual-</w:t>
      </w:r>
      <w:r w:rsidR="00FA12E6">
        <w:t xml:space="preserve">sector study models </w:t>
      </w:r>
      <w:r>
        <w:t xml:space="preserve">as a future pathway for Australia’s </w:t>
      </w:r>
      <w:r w:rsidR="007D3307">
        <w:t>tertiary</w:t>
      </w:r>
      <w:r>
        <w:t xml:space="preserve"> education sector. </w:t>
      </w:r>
      <w:r w:rsidR="00E2490B">
        <w:t>As stated by Swinburne University, d</w:t>
      </w:r>
      <w:r w:rsidR="00FA12E6">
        <w:t xml:space="preserve">ual sector </w:t>
      </w:r>
      <w:r w:rsidR="00215FE2">
        <w:t>institutions</w:t>
      </w:r>
      <w:r w:rsidR="00FA12E6">
        <w:t xml:space="preserve"> </w:t>
      </w:r>
      <w:r w:rsidR="00E70FE7">
        <w:t>offer both</w:t>
      </w:r>
      <w:r w:rsidR="005F5637">
        <w:t xml:space="preserve"> vocational and higher education</w:t>
      </w:r>
      <w:r w:rsidR="004774E2">
        <w:t xml:space="preserve"> </w:t>
      </w:r>
      <w:r w:rsidR="007F5F2E">
        <w:t>program</w:t>
      </w:r>
      <w:r w:rsidR="00F03FA5">
        <w:t>s</w:t>
      </w:r>
      <w:r w:rsidR="004774E2">
        <w:t xml:space="preserve">, </w:t>
      </w:r>
      <w:r w:rsidR="00904678">
        <w:t>allowing students</w:t>
      </w:r>
      <w:r w:rsidR="00C27AD3">
        <w:t xml:space="preserve"> to </w:t>
      </w:r>
      <w:r w:rsidR="004774E2">
        <w:t>gain</w:t>
      </w:r>
      <w:r w:rsidR="00D25338">
        <w:t xml:space="preserve"> a variety of knowledge and experiences t</w:t>
      </w:r>
      <w:r w:rsidR="00E438A1">
        <w:t>o prepare</w:t>
      </w:r>
      <w:r w:rsidR="00D25338">
        <w:t xml:space="preserve"> them for the </w:t>
      </w:r>
      <w:r w:rsidR="00E438A1">
        <w:t>changing needs of the</w:t>
      </w:r>
      <w:r w:rsidR="00D25338">
        <w:t xml:space="preserve"> workforce. Certain dual study models</w:t>
      </w:r>
      <w:r w:rsidR="00E70FE7">
        <w:t xml:space="preserve">, such as that of the </w:t>
      </w:r>
      <w:r w:rsidR="00384DC3">
        <w:t>German International University of Applied Sciences,</w:t>
      </w:r>
      <w:r w:rsidR="00D25338">
        <w:t xml:space="preserve"> also incorporate practical work experience into the qualification</w:t>
      </w:r>
      <w:r w:rsidR="006068A2">
        <w:t xml:space="preserve"> to allow students to apply their learning in a work setting. </w:t>
      </w:r>
    </w:p>
    <w:p w14:paraId="40D3FEE5" w14:textId="33C9B14E" w:rsidR="00CC175E" w:rsidRPr="00CC175E" w:rsidRDefault="00C829BD" w:rsidP="00CC175E">
      <w:r>
        <w:t xml:space="preserve">The six Australian dual-sector universities, as well as the German International University of Applied Sciences, are </w:t>
      </w:r>
      <w:r w:rsidR="005D6646">
        <w:t>suggested</w:t>
      </w:r>
      <w:r>
        <w:t xml:space="preserve"> as examples of successful integration</w:t>
      </w:r>
      <w:r w:rsidR="00DD45F4">
        <w:t>.</w:t>
      </w:r>
      <w:r>
        <w:t xml:space="preserve"> </w:t>
      </w:r>
      <w:r w:rsidR="00E10189">
        <w:t xml:space="preserve">Two submissions also call for dual-sector universities </w:t>
      </w:r>
      <w:r w:rsidR="007F376A">
        <w:t>to be able to self-accredit</w:t>
      </w:r>
      <w:r w:rsidR="00F75877">
        <w:t xml:space="preserve"> </w:t>
      </w:r>
      <w:r w:rsidR="00736076">
        <w:t>their courses</w:t>
      </w:r>
      <w:r w:rsidR="00604FFA">
        <w:t xml:space="preserve"> to allow greater flexibility in their offerings.</w:t>
      </w:r>
    </w:p>
    <w:p w14:paraId="675D6B71" w14:textId="7DD19961" w:rsidR="00DB761A" w:rsidRDefault="00DB761A" w:rsidP="00E955BC">
      <w:pPr>
        <w:pStyle w:val="Heading5"/>
      </w:pPr>
      <w:r>
        <w:lastRenderedPageBreak/>
        <w:t>Promote cross-institutional collaboration</w:t>
      </w:r>
    </w:p>
    <w:p w14:paraId="77683307" w14:textId="5A73DEFA" w:rsidR="005F27F7" w:rsidRDefault="008B6003" w:rsidP="005F27F7">
      <w:r>
        <w:t>Two submissions</w:t>
      </w:r>
      <w:r w:rsidR="00B86EE4">
        <w:t xml:space="preserve"> </w:t>
      </w:r>
      <w:r w:rsidR="00370331">
        <w:t xml:space="preserve">note that </w:t>
      </w:r>
      <w:r w:rsidR="000B72FB">
        <w:t>limitations in the availability of offerings in some regions</w:t>
      </w:r>
      <w:r w:rsidR="00F426B6">
        <w:t xml:space="preserve"> indicates a need for cross-institutional collaboratio</w:t>
      </w:r>
      <w:r w:rsidR="001B232B">
        <w:t>n.</w:t>
      </w:r>
    </w:p>
    <w:p w14:paraId="63D84BE1" w14:textId="03A8475C" w:rsidR="00927464" w:rsidRDefault="00927464" w:rsidP="00927464">
      <w:pPr>
        <w:ind w:left="360"/>
      </w:pPr>
      <w:r>
        <w:rPr>
          <w:i/>
          <w:iCs/>
        </w:rPr>
        <w:t>“</w:t>
      </w:r>
      <w:r w:rsidR="00160AB2" w:rsidRPr="00160AB2">
        <w:rPr>
          <w:i/>
          <w:iCs/>
        </w:rPr>
        <w:t>The multiplicity of higher educational offerings across Australia is a strength, and diversity has value. Nonetheless, there are circumstances where course content is limited by locally available expertise. It would be helpful if a framework were established that supported cross-institutional collaboration in course development and delivery.</w:t>
      </w:r>
      <w:r w:rsidR="00160AB2">
        <w:rPr>
          <w:i/>
          <w:iCs/>
        </w:rPr>
        <w:t xml:space="preserve">” </w:t>
      </w:r>
      <w:r w:rsidR="00160AB2">
        <w:t xml:space="preserve">Public Universities </w:t>
      </w:r>
      <w:r w:rsidR="00791D13">
        <w:t>Australia</w:t>
      </w:r>
    </w:p>
    <w:p w14:paraId="0E6D901D" w14:textId="751D542D" w:rsidR="001B232B" w:rsidRPr="00927464" w:rsidRDefault="001B232B" w:rsidP="001B232B">
      <w:r>
        <w:t>This form of collaboration would ensure students and academics have access to resources and current</w:t>
      </w:r>
      <w:r w:rsidR="006A5034">
        <w:t xml:space="preserve"> best practices in </w:t>
      </w:r>
      <w:r w:rsidR="00FE5CDD">
        <w:t>delivery</w:t>
      </w:r>
      <w:r w:rsidR="006A5034">
        <w:t xml:space="preserve"> from across Australia</w:t>
      </w:r>
      <w:r w:rsidR="00FE5CDD">
        <w:t xml:space="preserve"> to promote </w:t>
      </w:r>
      <w:r w:rsidR="00EF70CC">
        <w:t xml:space="preserve">inter-disciplinary collaboration and the use of </w:t>
      </w:r>
      <w:r w:rsidR="00A803B4">
        <w:t xml:space="preserve">diverse </w:t>
      </w:r>
      <w:r w:rsidR="00FE5CDD">
        <w:t xml:space="preserve">learning </w:t>
      </w:r>
      <w:r w:rsidR="00690E32">
        <w:t>methods</w:t>
      </w:r>
      <w:r w:rsidR="00EF70CC">
        <w:t>.</w:t>
      </w:r>
      <w:r w:rsidR="00A803B4">
        <w:t xml:space="preserve"> </w:t>
      </w:r>
    </w:p>
    <w:p w14:paraId="1D39D2A0" w14:textId="458EAC1C" w:rsidR="007F0081" w:rsidRDefault="007F0081" w:rsidP="00E955BC">
      <w:pPr>
        <w:pStyle w:val="Heading5"/>
      </w:pPr>
      <w:r>
        <w:t xml:space="preserve">Reform the </w:t>
      </w:r>
      <w:r w:rsidR="00D01A49">
        <w:t>Australian Qualifications Framework (</w:t>
      </w:r>
      <w:r w:rsidR="005C7844">
        <w:t>AQF</w:t>
      </w:r>
      <w:r w:rsidR="00D01A49">
        <w:t>)</w:t>
      </w:r>
    </w:p>
    <w:p w14:paraId="61B745CD" w14:textId="572F788F" w:rsidR="00893F6B" w:rsidRDefault="009851CC" w:rsidP="00893F6B">
      <w:r>
        <w:t>Sixteen</w:t>
      </w:r>
      <w:r w:rsidR="00C6756B">
        <w:t xml:space="preserve"> submissions responded with suggestions for the future role of the AQF. These were split into t</w:t>
      </w:r>
      <w:r w:rsidR="00E2179F">
        <w:t>wo major themes:</w:t>
      </w:r>
    </w:p>
    <w:p w14:paraId="6D473231" w14:textId="6B812DC2" w:rsidR="00E2179F" w:rsidRDefault="00BE01E9" w:rsidP="00054202">
      <w:pPr>
        <w:pStyle w:val="ListParagraph"/>
        <w:numPr>
          <w:ilvl w:val="0"/>
          <w:numId w:val="46"/>
        </w:numPr>
      </w:pPr>
      <w:r>
        <w:t>i</w:t>
      </w:r>
      <w:r w:rsidR="00E2179F">
        <w:t>mplement the recommendations from the 2019 Australian Qualifications Review (</w:t>
      </w:r>
      <w:r w:rsidR="0099367F">
        <w:t>7</w:t>
      </w:r>
      <w:r w:rsidR="00E2179F">
        <w:t xml:space="preserve"> submissions)</w:t>
      </w:r>
    </w:p>
    <w:p w14:paraId="5F5D6946" w14:textId="224BADCB" w:rsidR="00E2179F" w:rsidRDefault="00BE01E9" w:rsidP="00054202">
      <w:pPr>
        <w:pStyle w:val="ListParagraph"/>
        <w:numPr>
          <w:ilvl w:val="0"/>
          <w:numId w:val="46"/>
        </w:numPr>
      </w:pPr>
      <w:r>
        <w:t>r</w:t>
      </w:r>
      <w:r w:rsidR="00E2179F">
        <w:t>evise the AQF to include frameworks for VET and other higher education qualifications, micro-credentials and short courses (</w:t>
      </w:r>
      <w:r w:rsidR="00F24A13">
        <w:t>9</w:t>
      </w:r>
      <w:r w:rsidR="00E2179F">
        <w:t xml:space="preserve"> submissions)</w:t>
      </w:r>
    </w:p>
    <w:p w14:paraId="0C215BE3" w14:textId="221D0B5C" w:rsidR="00E2179F" w:rsidRDefault="00130440" w:rsidP="00E2179F">
      <w:r>
        <w:t>Seven submissio</w:t>
      </w:r>
      <w:r w:rsidR="001E2BF6">
        <w:t xml:space="preserve">ns called for </w:t>
      </w:r>
      <w:r w:rsidR="00CC3598">
        <w:t xml:space="preserve">full </w:t>
      </w:r>
      <w:r w:rsidR="001E2BF6">
        <w:t xml:space="preserve">implementation of </w:t>
      </w:r>
      <w:r w:rsidR="00D325E6">
        <w:t>all</w:t>
      </w:r>
      <w:r w:rsidR="001E2BF6">
        <w:t xml:space="preserve"> </w:t>
      </w:r>
      <w:r w:rsidR="00222971">
        <w:t xml:space="preserve">21 </w:t>
      </w:r>
      <w:r w:rsidR="002E47DF">
        <w:t xml:space="preserve">recommendations </w:t>
      </w:r>
      <w:r w:rsidR="001F4848">
        <w:t>made in</w:t>
      </w:r>
      <w:r w:rsidR="002E47DF">
        <w:t xml:space="preserve"> the 2019 Australian Qualifications Review</w:t>
      </w:r>
      <w:r w:rsidR="00222971">
        <w:t>.</w:t>
      </w:r>
      <w:r w:rsidR="008D3DFE">
        <w:t xml:space="preserve"> </w:t>
      </w:r>
      <w:r w:rsidR="00906D61">
        <w:t>Three</w:t>
      </w:r>
      <w:r w:rsidR="008D3DFE">
        <w:t xml:space="preserve"> submissions </w:t>
      </w:r>
      <w:r w:rsidR="00906D61">
        <w:t xml:space="preserve">explicitly </w:t>
      </w:r>
      <w:r w:rsidR="00605CE8">
        <w:t>mentioned the recommendation</w:t>
      </w:r>
      <w:r w:rsidR="005819D1">
        <w:t xml:space="preserve"> to establish a</w:t>
      </w:r>
      <w:r w:rsidR="00D325E6">
        <w:t xml:space="preserve"> governing body </w:t>
      </w:r>
      <w:r w:rsidR="0026600C">
        <w:t xml:space="preserve">for the AQF </w:t>
      </w:r>
      <w:r w:rsidR="00D325E6">
        <w:t xml:space="preserve">with stakeholder </w:t>
      </w:r>
      <w:r w:rsidR="00CC3598">
        <w:t>representatio</w:t>
      </w:r>
      <w:r w:rsidR="00605CE8">
        <w:t>n</w:t>
      </w:r>
      <w:r w:rsidR="00906D61">
        <w:t>.</w:t>
      </w:r>
      <w:r w:rsidR="006766D3">
        <w:t xml:space="preserve"> </w:t>
      </w:r>
    </w:p>
    <w:p w14:paraId="06DEFD55" w14:textId="1C766437" w:rsidR="00605CE8" w:rsidRDefault="00AE405F" w:rsidP="00E2179F">
      <w:r>
        <w:t xml:space="preserve">A further nine submissions recommended </w:t>
      </w:r>
      <w:r w:rsidR="008B2C3A">
        <w:t xml:space="preserve">that </w:t>
      </w:r>
      <w:r>
        <w:t xml:space="preserve">the AQF </w:t>
      </w:r>
      <w:r w:rsidR="001C170F">
        <w:t xml:space="preserve">should </w:t>
      </w:r>
      <w:r>
        <w:t>be revised</w:t>
      </w:r>
      <w:r w:rsidR="00DF797E">
        <w:t xml:space="preserve"> to include frameworks </w:t>
      </w:r>
      <w:r w:rsidR="00A2208A">
        <w:t>f</w:t>
      </w:r>
      <w:r w:rsidR="00DF797E">
        <w:t xml:space="preserve">or </w:t>
      </w:r>
      <w:r w:rsidR="00B71E02">
        <w:t>micro-credentials</w:t>
      </w:r>
      <w:r w:rsidR="005245EB">
        <w:t xml:space="preserve">, short courses, VET </w:t>
      </w:r>
      <w:r w:rsidR="00B71E02">
        <w:t>and other higher education qualifications.</w:t>
      </w:r>
      <w:r w:rsidR="00D21EB9">
        <w:t xml:space="preserve"> </w:t>
      </w:r>
      <w:r w:rsidR="002651F5">
        <w:t>The University of Newcastle</w:t>
      </w:r>
      <w:r w:rsidR="00872A3E">
        <w:t xml:space="preserve"> suggest</w:t>
      </w:r>
      <w:r w:rsidR="002651F5">
        <w:t>ed</w:t>
      </w:r>
      <w:r w:rsidR="00872A3E">
        <w:t xml:space="preserve"> this </w:t>
      </w:r>
      <w:r w:rsidR="00C41DF8">
        <w:t>would address a need</w:t>
      </w:r>
      <w:r w:rsidR="00E24699">
        <w:t xml:space="preserve"> to harmonise </w:t>
      </w:r>
      <w:r w:rsidR="00B06E46">
        <w:t>micro-credentials and other short course</w:t>
      </w:r>
      <w:r w:rsidR="00EE0D00">
        <w:t xml:space="preserve"> offerings</w:t>
      </w:r>
      <w:r w:rsidR="00A810C6">
        <w:t>, which</w:t>
      </w:r>
      <w:r w:rsidR="002651F5">
        <w:t xml:space="preserve"> would further promote their uptake and increase employer recognition</w:t>
      </w:r>
      <w:r w:rsidR="000109B9">
        <w:t xml:space="preserve"> of such credentials</w:t>
      </w:r>
      <w:r w:rsidR="002651F5">
        <w:t xml:space="preserve">. </w:t>
      </w:r>
    </w:p>
    <w:p w14:paraId="54304DE8" w14:textId="3DC151D6" w:rsidR="00E955BC" w:rsidRPr="008E6F93" w:rsidRDefault="00E955BC" w:rsidP="00E955BC">
      <w:pPr>
        <w:pStyle w:val="Heading5"/>
      </w:pPr>
      <w:r>
        <w:t>Create a national framework for the recognition of prior learning</w:t>
      </w:r>
    </w:p>
    <w:p w14:paraId="21646FCB" w14:textId="566E6405" w:rsidR="004E5D67" w:rsidRDefault="00EC2BBD" w:rsidP="000B3A82">
      <w:r>
        <w:t>Five</w:t>
      </w:r>
      <w:r w:rsidR="00F73584">
        <w:t xml:space="preserve"> submissio</w:t>
      </w:r>
      <w:r w:rsidR="00ED28FA">
        <w:t xml:space="preserve">ns noted the need </w:t>
      </w:r>
      <w:r w:rsidR="009B7F58">
        <w:t xml:space="preserve">for </w:t>
      </w:r>
      <w:r w:rsidR="0090425F">
        <w:t xml:space="preserve">a national framework for the recognition of prior learning. Such a framework </w:t>
      </w:r>
      <w:r w:rsidR="00843496">
        <w:t xml:space="preserve">would </w:t>
      </w:r>
      <w:r w:rsidR="00C31510">
        <w:t>streamline</w:t>
      </w:r>
      <w:r w:rsidR="00843496">
        <w:t xml:space="preserve"> the process of </w:t>
      </w:r>
      <w:r w:rsidR="00C31510">
        <w:t>awarding credit</w:t>
      </w:r>
      <w:r w:rsidR="002A4FE9">
        <w:t xml:space="preserve"> to students</w:t>
      </w:r>
      <w:r w:rsidR="009D4099">
        <w:t>, improve</w:t>
      </w:r>
      <w:r w:rsidR="002A4FE9">
        <w:t xml:space="preserve"> </w:t>
      </w:r>
      <w:r w:rsidR="00F07276">
        <w:t>the</w:t>
      </w:r>
      <w:r w:rsidR="002A4FE9">
        <w:t xml:space="preserve"> portability </w:t>
      </w:r>
      <w:r w:rsidR="00964B40">
        <w:t xml:space="preserve">of credit </w:t>
      </w:r>
      <w:r w:rsidR="002A4FE9">
        <w:t>between institutions</w:t>
      </w:r>
      <w:r w:rsidR="002C78AB">
        <w:t xml:space="preserve"> an</w:t>
      </w:r>
      <w:r w:rsidR="009D4099">
        <w:t xml:space="preserve">d increase student </w:t>
      </w:r>
      <w:r w:rsidR="0094526E">
        <w:t>uptake</w:t>
      </w:r>
      <w:r w:rsidR="009D4099">
        <w:t xml:space="preserve"> of credit towards qualifications.</w:t>
      </w:r>
    </w:p>
    <w:p w14:paraId="3D5E1C30" w14:textId="0E28421D" w:rsidR="007832D8" w:rsidRDefault="007832D8" w:rsidP="007832D8">
      <w:pPr>
        <w:ind w:left="360"/>
      </w:pPr>
      <w:r w:rsidRPr="007832D8">
        <w:rPr>
          <w:i/>
          <w:iCs/>
        </w:rPr>
        <w:t>“At present, institutions are conflicted when awarding credit. A national register would: a) encourage providers to produce curriculum that will be recognised as ‘portable’ on the register; and b) increase the portability of credit attained by students. At present, credit goes unused, sometimes needlessly.”</w:t>
      </w:r>
      <w:r>
        <w:rPr>
          <w:i/>
          <w:iCs/>
        </w:rPr>
        <w:t xml:space="preserve"> </w:t>
      </w:r>
      <w:r w:rsidR="00504101">
        <w:t xml:space="preserve">- </w:t>
      </w:r>
      <w:r>
        <w:t>Australian Catholic University</w:t>
      </w:r>
    </w:p>
    <w:p w14:paraId="47446694" w14:textId="061D1FFD" w:rsidR="00A136E1" w:rsidRDefault="00390D7F" w:rsidP="00A136E1">
      <w:r>
        <w:t xml:space="preserve">The Heads of Student Administration (Australia and New Zealand) </w:t>
      </w:r>
      <w:r w:rsidR="00712406">
        <w:t>(</w:t>
      </w:r>
      <w:proofErr w:type="spellStart"/>
      <w:r w:rsidR="00712406">
        <w:t>HoSA</w:t>
      </w:r>
      <w:proofErr w:type="spellEnd"/>
      <w:r w:rsidR="00712406">
        <w:t xml:space="preserve">) </w:t>
      </w:r>
      <w:r>
        <w:t xml:space="preserve">made a further recommendation </w:t>
      </w:r>
      <w:r w:rsidR="000B51E0">
        <w:t>to establish a National Credentials Platform, building off the current My</w:t>
      </w:r>
      <w:r w:rsidR="00B759B4">
        <w:t xml:space="preserve"> </w:t>
      </w:r>
      <w:proofErr w:type="spellStart"/>
      <w:r w:rsidR="00EE0D00">
        <w:t>eQ</w:t>
      </w:r>
      <w:r w:rsidR="000B51E0">
        <w:t>uals</w:t>
      </w:r>
      <w:proofErr w:type="spellEnd"/>
      <w:r w:rsidR="000B51E0">
        <w:t xml:space="preserve"> platform. </w:t>
      </w:r>
      <w:r w:rsidR="00002876">
        <w:t>While</w:t>
      </w:r>
      <w:r w:rsidR="00DB0B5C">
        <w:t xml:space="preserve"> steps were taken by the Australian Government to establish such a platform in 2019, </w:t>
      </w:r>
      <w:proofErr w:type="spellStart"/>
      <w:r w:rsidR="00B3145D">
        <w:lastRenderedPageBreak/>
        <w:t>HoSA</w:t>
      </w:r>
      <w:proofErr w:type="spellEnd"/>
      <w:r w:rsidR="00B3145D">
        <w:t xml:space="preserve"> advoca</w:t>
      </w:r>
      <w:r w:rsidR="00664338">
        <w:t xml:space="preserve">tes for a </w:t>
      </w:r>
      <w:r w:rsidR="00F70042">
        <w:t>review of the</w:t>
      </w:r>
      <w:r w:rsidR="00E279BA">
        <w:t xml:space="preserve"> </w:t>
      </w:r>
      <w:r w:rsidR="00664338">
        <w:t>design process</w:t>
      </w:r>
      <w:r w:rsidR="0001503B">
        <w:t xml:space="preserve"> to </w:t>
      </w:r>
      <w:r w:rsidR="00BC5BC7">
        <w:t>better a</w:t>
      </w:r>
      <w:r w:rsidR="0001503B">
        <w:t xml:space="preserve">ddress the challenges faced by learners </w:t>
      </w:r>
      <w:r w:rsidR="00781789">
        <w:t>“</w:t>
      </w:r>
      <w:r w:rsidR="00781789" w:rsidRPr="00781789">
        <w:t>when attempting to access or resume further education at various points in their lives</w:t>
      </w:r>
      <w:r w:rsidR="003207CA">
        <w:t>”.</w:t>
      </w:r>
    </w:p>
    <w:p w14:paraId="4F902AF9" w14:textId="29CC10BF" w:rsidR="007644D9" w:rsidRDefault="007644D9" w:rsidP="007644D9">
      <w:pPr>
        <w:pStyle w:val="Heading4"/>
      </w:pPr>
      <w:r>
        <w:t>Pathways for students</w:t>
      </w:r>
      <w:r w:rsidR="0043440B">
        <w:t xml:space="preserve"> between VET and </w:t>
      </w:r>
      <w:r w:rsidR="00596AD0">
        <w:t>higher education</w:t>
      </w:r>
    </w:p>
    <w:p w14:paraId="3258996D" w14:textId="4E30A42E" w:rsidR="00E32825" w:rsidRDefault="00326426" w:rsidP="00E32825">
      <w:r>
        <w:t>The Discussion Pap</w:t>
      </w:r>
      <w:r w:rsidR="001B06BC">
        <w:t>er</w:t>
      </w:r>
      <w:r w:rsidR="00045871">
        <w:t xml:space="preserve"> notes that pathways between the VET and higher education systems need improvement.</w:t>
      </w:r>
    </w:p>
    <w:p w14:paraId="6A7EFC03" w14:textId="31DF3010" w:rsidR="00FB26AC" w:rsidRDefault="006859D9" w:rsidP="00FB26AC">
      <w:pPr>
        <w:ind w:left="360"/>
      </w:pPr>
      <w:r w:rsidRPr="006859D9">
        <w:rPr>
          <w:i/>
          <w:iCs/>
        </w:rPr>
        <w:t xml:space="preserve">“In consultations to date, the Panel has heard concerns from industry and students that navigating the pathway between the two systems is complicated. Getting this pathway right is a crucial element of our review.” </w:t>
      </w:r>
      <w:r w:rsidR="00FB26AC" w:rsidRPr="006E0579">
        <w:t xml:space="preserve">Australian Universities Accord Discussion </w:t>
      </w:r>
      <w:r w:rsidR="00DD4F9E">
        <w:t>P</w:t>
      </w:r>
      <w:r w:rsidR="00FB26AC" w:rsidRPr="006E0579">
        <w:t xml:space="preserve">aper, February 2023, p. </w:t>
      </w:r>
      <w:r w:rsidR="00FB26AC">
        <w:t>19</w:t>
      </w:r>
      <w:r w:rsidR="00FB26AC" w:rsidRPr="006E0579">
        <w:t>.</w:t>
      </w:r>
    </w:p>
    <w:p w14:paraId="4C5949B6" w14:textId="39F892DF" w:rsidR="00E72923" w:rsidRDefault="002630ED" w:rsidP="003C352D">
      <w:pPr>
        <w:tabs>
          <w:tab w:val="left" w:pos="6645"/>
        </w:tabs>
      </w:pPr>
      <w:r>
        <w:t>T</w:t>
      </w:r>
      <w:r w:rsidR="00E72923">
        <w:t>he Discussion Pap</w:t>
      </w:r>
      <w:r w:rsidR="008D31CF">
        <w:t>er asked stakeholders</w:t>
      </w:r>
      <w:r w:rsidR="003C352D">
        <w:t xml:space="preserve"> how pathways </w:t>
      </w:r>
      <w:r w:rsidR="003C352D" w:rsidRPr="003C352D">
        <w:t>between VET and higher education</w:t>
      </w:r>
      <w:r w:rsidR="003C352D">
        <w:t xml:space="preserve"> could</w:t>
      </w:r>
      <w:r w:rsidR="003C352D" w:rsidRPr="003C352D">
        <w:t xml:space="preserve"> be improved</w:t>
      </w:r>
      <w:r w:rsidR="003C352D">
        <w:t xml:space="preserve"> and </w:t>
      </w:r>
      <w:r w:rsidR="00B74B32">
        <w:t xml:space="preserve">how students could be helped to navigate these pathways. </w:t>
      </w:r>
      <w:r w:rsidR="00D23A2D">
        <w:t xml:space="preserve">The </w:t>
      </w:r>
      <w:r w:rsidR="00AD065F">
        <w:t>D</w:t>
      </w:r>
      <w:r w:rsidR="00D23A2D">
        <w:t xml:space="preserve">iscussion </w:t>
      </w:r>
      <w:r w:rsidR="00AD065F">
        <w:t>P</w:t>
      </w:r>
      <w:r w:rsidR="00D23A2D">
        <w:t>aper asked for examples</w:t>
      </w:r>
      <w:r w:rsidR="00B74B32">
        <w:t xml:space="preserve"> of successful linka</w:t>
      </w:r>
      <w:r w:rsidR="003324EF">
        <w:t>ges between VET and higher education</w:t>
      </w:r>
      <w:r w:rsidR="00130A38">
        <w:t xml:space="preserve"> </w:t>
      </w:r>
      <w:r w:rsidR="009A53BC">
        <w:t>and</w:t>
      </w:r>
      <w:r w:rsidR="00E41CC7">
        <w:t xml:space="preserve"> for recommendations on the role of tertiary entrance and admissions systems in matching learners to pathways and supporting an increase in tertiary participation and success.</w:t>
      </w:r>
      <w:r w:rsidR="003C352D">
        <w:tab/>
      </w:r>
    </w:p>
    <w:p w14:paraId="0F596FC6" w14:textId="11B09455" w:rsidR="009A0773" w:rsidRDefault="000F7FE3" w:rsidP="009A0773">
      <w:r>
        <w:t>Sixty</w:t>
      </w:r>
      <w:r w:rsidR="00F33C5E">
        <w:t>-</w:t>
      </w:r>
      <w:r>
        <w:t>four</w:t>
      </w:r>
      <w:r w:rsidR="00345CD1">
        <w:t xml:space="preserve"> submissions responded to these questions</w:t>
      </w:r>
      <w:r w:rsidR="00B81FB2">
        <w:t>, and</w:t>
      </w:r>
      <w:r w:rsidR="0029792C">
        <w:t xml:space="preserve"> </w:t>
      </w:r>
      <w:r w:rsidR="00DA4CD5">
        <w:t>five</w:t>
      </w:r>
      <w:r w:rsidR="0029792C">
        <w:t xml:space="preserve"> key recommendations were identified:</w:t>
      </w:r>
    </w:p>
    <w:p w14:paraId="65F3898B" w14:textId="0045334D" w:rsidR="0029792C" w:rsidRDefault="00DE24C9" w:rsidP="00054202">
      <w:pPr>
        <w:pStyle w:val="ListParagraph"/>
        <w:numPr>
          <w:ilvl w:val="0"/>
          <w:numId w:val="47"/>
        </w:numPr>
      </w:pPr>
      <w:bookmarkStart w:id="51" w:name="_Hlk134805422"/>
      <w:r>
        <w:t>c</w:t>
      </w:r>
      <w:r w:rsidR="0029792C">
        <w:t>onsider a single national admissions framework</w:t>
      </w:r>
      <w:r w:rsidR="0063611E">
        <w:t xml:space="preserve"> (</w:t>
      </w:r>
      <w:r>
        <w:t>5</w:t>
      </w:r>
      <w:r w:rsidR="0063611E">
        <w:t xml:space="preserve"> submissions).</w:t>
      </w:r>
    </w:p>
    <w:p w14:paraId="4F2B3BAC" w14:textId="65F64173" w:rsidR="0029792C" w:rsidRDefault="00DE24C9" w:rsidP="00054202">
      <w:pPr>
        <w:pStyle w:val="ListParagraph"/>
        <w:numPr>
          <w:ilvl w:val="0"/>
          <w:numId w:val="47"/>
        </w:numPr>
      </w:pPr>
      <w:r>
        <w:t>i</w:t>
      </w:r>
      <w:r w:rsidR="0029792C">
        <w:t>mprove information dissemination</w:t>
      </w:r>
      <w:r w:rsidR="00AD1C8A">
        <w:t xml:space="preserve"> to students about available pathways</w:t>
      </w:r>
      <w:r w:rsidR="0063611E">
        <w:t xml:space="preserve"> </w:t>
      </w:r>
      <w:r w:rsidR="00385157">
        <w:t>(</w:t>
      </w:r>
      <w:r>
        <w:t>9</w:t>
      </w:r>
      <w:r w:rsidR="00385157">
        <w:t xml:space="preserve"> submissions).</w:t>
      </w:r>
    </w:p>
    <w:p w14:paraId="65542B05" w14:textId="499CD104" w:rsidR="00AD1C8A" w:rsidRDefault="00DE24C9" w:rsidP="00054202">
      <w:pPr>
        <w:pStyle w:val="ListParagraph"/>
        <w:numPr>
          <w:ilvl w:val="0"/>
          <w:numId w:val="47"/>
        </w:numPr>
      </w:pPr>
      <w:r>
        <w:t>r</w:t>
      </w:r>
      <w:r w:rsidR="00AD1C8A">
        <w:t xml:space="preserve">ecognise and </w:t>
      </w:r>
      <w:r w:rsidR="00AD1C8A" w:rsidRPr="00AD1C8A">
        <w:t>promote alternate entry pathways for equity students</w:t>
      </w:r>
      <w:r w:rsidR="001E426A">
        <w:t xml:space="preserve"> </w:t>
      </w:r>
      <w:r w:rsidR="00385157">
        <w:t>(</w:t>
      </w:r>
      <w:r>
        <w:t>4</w:t>
      </w:r>
      <w:r w:rsidR="00BE6D76">
        <w:t xml:space="preserve"> submissions)</w:t>
      </w:r>
      <w:r w:rsidR="00020579">
        <w:t>.</w:t>
      </w:r>
    </w:p>
    <w:p w14:paraId="058BC791" w14:textId="6E022CED" w:rsidR="001E426A" w:rsidRDefault="00DE24C9" w:rsidP="00054202">
      <w:pPr>
        <w:pStyle w:val="ListParagraph"/>
        <w:numPr>
          <w:ilvl w:val="0"/>
          <w:numId w:val="47"/>
        </w:numPr>
      </w:pPr>
      <w:r>
        <w:t>i</w:t>
      </w:r>
      <w:r w:rsidR="001E426A">
        <w:t>mprove data collection of student movement across the VET and higher education sectors</w:t>
      </w:r>
      <w:r w:rsidR="00A412B1">
        <w:t xml:space="preserve"> (</w:t>
      </w:r>
      <w:r>
        <w:t>2</w:t>
      </w:r>
      <w:r w:rsidR="00AD6C89">
        <w:t xml:space="preserve"> submissions)</w:t>
      </w:r>
      <w:r w:rsidR="00020579">
        <w:t>.</w:t>
      </w:r>
    </w:p>
    <w:p w14:paraId="0F99D213" w14:textId="7D7B1BFA" w:rsidR="001E426A" w:rsidRDefault="00DE24C9" w:rsidP="00054202">
      <w:pPr>
        <w:pStyle w:val="ListParagraph"/>
        <w:numPr>
          <w:ilvl w:val="0"/>
          <w:numId w:val="47"/>
        </w:numPr>
      </w:pPr>
      <w:r>
        <w:t>s</w:t>
      </w:r>
      <w:r w:rsidR="001E426A">
        <w:t>tandardise student subsidies and funding agreements for VET courses</w:t>
      </w:r>
      <w:r w:rsidR="00AD6C89">
        <w:t xml:space="preserve"> (</w:t>
      </w:r>
      <w:r>
        <w:t>3</w:t>
      </w:r>
      <w:r w:rsidR="006605F5">
        <w:t xml:space="preserve"> submissions)</w:t>
      </w:r>
      <w:r w:rsidR="00020579">
        <w:t>.</w:t>
      </w:r>
    </w:p>
    <w:bookmarkEnd w:id="51"/>
    <w:p w14:paraId="22704CCD" w14:textId="07889B56" w:rsidR="001E426A" w:rsidRDefault="00BE6EB8" w:rsidP="001E426A">
      <w:r>
        <w:t xml:space="preserve">These points are discussed in detail below. </w:t>
      </w:r>
    </w:p>
    <w:p w14:paraId="0BF1FDF2" w14:textId="07CF8B55" w:rsidR="00BE6EB8" w:rsidRDefault="00BE6EB8" w:rsidP="00BE6EB8">
      <w:pPr>
        <w:pStyle w:val="Heading5"/>
      </w:pPr>
      <w:r>
        <w:t>Consider a single</w:t>
      </w:r>
      <w:r w:rsidR="006D7C9B">
        <w:t>,</w:t>
      </w:r>
      <w:r>
        <w:t xml:space="preserve"> national admissions framework</w:t>
      </w:r>
    </w:p>
    <w:p w14:paraId="5633D87E" w14:textId="291E5703" w:rsidR="00930442" w:rsidRDefault="003F654A" w:rsidP="00930442">
      <w:r>
        <w:t>Five</w:t>
      </w:r>
      <w:r w:rsidR="008464F6">
        <w:t xml:space="preserve"> submissions made a recommen</w:t>
      </w:r>
      <w:r w:rsidR="0092169C">
        <w:t>dat</w:t>
      </w:r>
      <w:r w:rsidR="009F2401">
        <w:t>ion to move Australia from several state and territory-based admissions centres</w:t>
      </w:r>
      <w:r w:rsidR="008F2F8A">
        <w:t xml:space="preserve"> to a single national b</w:t>
      </w:r>
      <w:r w:rsidR="00375EDA">
        <w:t xml:space="preserve">ody. </w:t>
      </w:r>
    </w:p>
    <w:p w14:paraId="696CBA80" w14:textId="77777777" w:rsidR="001E0510" w:rsidRPr="00F57EBE" w:rsidRDefault="001E0510" w:rsidP="001E0510">
      <w:pPr>
        <w:ind w:left="720"/>
      </w:pPr>
      <w:r>
        <w:rPr>
          <w:i/>
          <w:iCs/>
        </w:rPr>
        <w:t>“</w:t>
      </w:r>
      <w:r w:rsidRPr="00F57EBE">
        <w:rPr>
          <w:i/>
          <w:iCs/>
        </w:rPr>
        <w:t>The accord process offers a unique opportunity to genuinely explore the establishment of a national tertiary admissions body and system to consolidate and focus sector investment to deliver long-term national priority outcomes. The scale of a national body could enable greater admissions efficiencies, capabilities and innovation, as well as the potential for reduced/removal of applicant fees and improved applicant outcomes.</w:t>
      </w:r>
      <w:r>
        <w:rPr>
          <w:i/>
          <w:iCs/>
        </w:rPr>
        <w:t xml:space="preserve">” </w:t>
      </w:r>
      <w:r>
        <w:t>South Australian Tertiary Admissions Centre</w:t>
      </w:r>
    </w:p>
    <w:p w14:paraId="61432656" w14:textId="5D7D7662" w:rsidR="001E0510" w:rsidRPr="00930442" w:rsidRDefault="00725846" w:rsidP="00930442">
      <w:r>
        <w:t>The</w:t>
      </w:r>
      <w:r w:rsidR="00375EDA">
        <w:t xml:space="preserve"> aim</w:t>
      </w:r>
      <w:r>
        <w:t xml:space="preserve"> of </w:t>
      </w:r>
      <w:r w:rsidR="00375EDA">
        <w:t>this</w:t>
      </w:r>
      <w:r>
        <w:t xml:space="preserve"> would be</w:t>
      </w:r>
      <w:r w:rsidR="00375EDA">
        <w:t xml:space="preserve"> to reduce applicant fees and improve outcomes through greater access to pathways and courses. A national body would also fac</w:t>
      </w:r>
      <w:r w:rsidR="00375EDA" w:rsidRPr="00375EDA">
        <w:t>ilitate the capture of sector-wide data sets</w:t>
      </w:r>
      <w:r w:rsidR="00375EDA">
        <w:t xml:space="preserve"> </w:t>
      </w:r>
      <w:r w:rsidR="00822AAE">
        <w:t>t</w:t>
      </w:r>
      <w:r w:rsidR="005B318E">
        <w:t>hat could highlight local needs</w:t>
      </w:r>
      <w:r w:rsidR="00911A91">
        <w:t>,</w:t>
      </w:r>
      <w:r w:rsidR="00375EDA">
        <w:t xml:space="preserve"> inform </w:t>
      </w:r>
      <w:r w:rsidR="00375EDA" w:rsidRPr="00375EDA">
        <w:t>provider offerings</w:t>
      </w:r>
      <w:r w:rsidR="00911A91">
        <w:t xml:space="preserve"> </w:t>
      </w:r>
      <w:r w:rsidR="00375EDA">
        <w:t>and provide</w:t>
      </w:r>
      <w:r w:rsidR="00375EDA" w:rsidRPr="00375EDA">
        <w:t xml:space="preserve"> insights to government for forward planning and policy making</w:t>
      </w:r>
      <w:r w:rsidR="00375EDA">
        <w:t>.</w:t>
      </w:r>
    </w:p>
    <w:p w14:paraId="5DA7E269" w14:textId="2DD36B2E" w:rsidR="00BE6EB8" w:rsidRDefault="00BE6EB8" w:rsidP="00BE6EB8">
      <w:pPr>
        <w:pStyle w:val="Heading5"/>
      </w:pPr>
      <w:r>
        <w:lastRenderedPageBreak/>
        <w:t xml:space="preserve">Improve information dissemination to students about available </w:t>
      </w:r>
      <w:r w:rsidR="0035615E">
        <w:t>pathways</w:t>
      </w:r>
    </w:p>
    <w:p w14:paraId="48A4E228" w14:textId="3B57714F" w:rsidR="00C330E8" w:rsidRDefault="00B07445" w:rsidP="00C330E8">
      <w:r>
        <w:t xml:space="preserve">Seven submissions noted the need </w:t>
      </w:r>
      <w:r w:rsidR="00A3555C">
        <w:t>for more comprehensive and accessible</w:t>
      </w:r>
      <w:r w:rsidR="00836320">
        <w:t xml:space="preserve"> information about available pathways between VET and higher education. </w:t>
      </w:r>
      <w:r w:rsidR="003B4299">
        <w:t>This included two submissions</w:t>
      </w:r>
      <w:r w:rsidR="003A23B4">
        <w:t xml:space="preserve"> that</w:t>
      </w:r>
      <w:r w:rsidR="003B4299">
        <w:t xml:space="preserve"> directly referenc</w:t>
      </w:r>
      <w:r w:rsidR="00C75B40">
        <w:t>ed</w:t>
      </w:r>
      <w:r w:rsidR="003B4299">
        <w:t xml:space="preserve"> enabling </w:t>
      </w:r>
      <w:r w:rsidR="005762F0">
        <w:t>programs</w:t>
      </w:r>
      <w:r w:rsidR="00FE51C9">
        <w:t xml:space="preserve"> and their </w:t>
      </w:r>
      <w:r w:rsidR="0062402C">
        <w:t xml:space="preserve">role in providing </w:t>
      </w:r>
      <w:r w:rsidR="00576D73">
        <w:t xml:space="preserve">pathways to higher education </w:t>
      </w:r>
      <w:r w:rsidR="0062402C">
        <w:t xml:space="preserve">for </w:t>
      </w:r>
      <w:r w:rsidR="006F1770">
        <w:t>underrepresented</w:t>
      </w:r>
      <w:r w:rsidR="0062402C">
        <w:t xml:space="preserve"> groups.</w:t>
      </w:r>
    </w:p>
    <w:p w14:paraId="6F64455F" w14:textId="7B09A3D5" w:rsidR="00237B67" w:rsidRDefault="00A753FD" w:rsidP="00C330E8">
      <w:r>
        <w:t xml:space="preserve">The opportunity for </w:t>
      </w:r>
      <w:r w:rsidR="004C185B">
        <w:t>tertiary admissions centres</w:t>
      </w:r>
      <w:r w:rsidR="007418A9">
        <w:t xml:space="preserve"> (TACs)</w:t>
      </w:r>
      <w:r w:rsidR="004C185B">
        <w:t xml:space="preserve"> to play a role in information dissemination was highlighted by two additional submissions</w:t>
      </w:r>
      <w:r w:rsidR="007418A9">
        <w:t xml:space="preserve">. One submission noted </w:t>
      </w:r>
      <w:r w:rsidR="003E55C0">
        <w:t xml:space="preserve">that </w:t>
      </w:r>
      <w:r w:rsidR="007418A9">
        <w:t xml:space="preserve">the expertise of TACs in </w:t>
      </w:r>
      <w:r w:rsidR="001A3F67">
        <w:t>relaying information</w:t>
      </w:r>
      <w:r w:rsidR="00775CEF">
        <w:t xml:space="preserve"> could be harnessed</w:t>
      </w:r>
      <w:r w:rsidR="005251AA">
        <w:t xml:space="preserve"> to support access and opportunity initiatives</w:t>
      </w:r>
      <w:r w:rsidR="00E62B05">
        <w:t xml:space="preserve">. The </w:t>
      </w:r>
      <w:r w:rsidR="005251AA">
        <w:t xml:space="preserve">second submission </w:t>
      </w:r>
      <w:r w:rsidR="00F61D91">
        <w:t xml:space="preserve">noted </w:t>
      </w:r>
      <w:r w:rsidR="00736B52">
        <w:t xml:space="preserve">that </w:t>
      </w:r>
      <w:r w:rsidR="00F61D91">
        <w:t xml:space="preserve">TACs could play a greater role </w:t>
      </w:r>
      <w:r w:rsidR="003D5E9E">
        <w:t xml:space="preserve">as a resource </w:t>
      </w:r>
      <w:r w:rsidR="008A34FD">
        <w:t>in secondary schools</w:t>
      </w:r>
      <w:r w:rsidR="00B772CB">
        <w:t xml:space="preserve"> to</w:t>
      </w:r>
      <w:r w:rsidR="00DF0F9F">
        <w:t xml:space="preserve"> </w:t>
      </w:r>
      <w:r w:rsidR="00B772CB">
        <w:t>inform students about the diversity of pathways available in the tertiary education sector.</w:t>
      </w:r>
    </w:p>
    <w:p w14:paraId="0CA5CA83" w14:textId="2E0DF9AE" w:rsidR="00BE6EB8" w:rsidRDefault="00BE6EB8" w:rsidP="00BE6EB8">
      <w:pPr>
        <w:pStyle w:val="Heading5"/>
      </w:pPr>
      <w:r>
        <w:t xml:space="preserve">Recognise and </w:t>
      </w:r>
      <w:r w:rsidRPr="00AD1C8A">
        <w:t>promote alternat</w:t>
      </w:r>
      <w:r w:rsidR="00BD239B">
        <w:t>ive</w:t>
      </w:r>
      <w:r w:rsidRPr="00AD1C8A">
        <w:t xml:space="preserve"> entry </w:t>
      </w:r>
      <w:r w:rsidR="004C185B">
        <w:t>p</w:t>
      </w:r>
      <w:r w:rsidRPr="00AD1C8A">
        <w:t xml:space="preserve">athways for </w:t>
      </w:r>
      <w:r w:rsidR="00911A91">
        <w:t>underrepresented</w:t>
      </w:r>
      <w:r w:rsidRPr="00AD1C8A">
        <w:t xml:space="preserve"> students</w:t>
      </w:r>
      <w:r>
        <w:t xml:space="preserve"> </w:t>
      </w:r>
    </w:p>
    <w:p w14:paraId="42E81795" w14:textId="6602D2A2" w:rsidR="0017397E" w:rsidRDefault="00BD2C54" w:rsidP="003A5531">
      <w:r>
        <w:t>Four</w:t>
      </w:r>
      <w:r w:rsidR="00E86552">
        <w:t xml:space="preserve"> submissions</w:t>
      </w:r>
      <w:r w:rsidR="00306ED6">
        <w:t xml:space="preserve"> recomm</w:t>
      </w:r>
      <w:r w:rsidR="00413EA6">
        <w:t>ended greater support for alternat</w:t>
      </w:r>
      <w:r w:rsidR="00342D85">
        <w:t>ive</w:t>
      </w:r>
      <w:r w:rsidR="00413EA6">
        <w:t xml:space="preserve"> entry programs for </w:t>
      </w:r>
      <w:r w:rsidR="00B759B4" w:rsidRPr="00ED3715">
        <w:t>underrepresented</w:t>
      </w:r>
      <w:r w:rsidR="00413EA6" w:rsidRPr="00ED3715">
        <w:t xml:space="preserve"> students</w:t>
      </w:r>
      <w:r w:rsidR="009E009C">
        <w:t xml:space="preserve"> into VET and universit</w:t>
      </w:r>
      <w:r w:rsidR="00665F61">
        <w:t>y</w:t>
      </w:r>
      <w:r w:rsidR="00B759B4">
        <w:t>.</w:t>
      </w:r>
      <w:r w:rsidR="00665F61">
        <w:t xml:space="preserve"> </w:t>
      </w:r>
      <w:r w:rsidR="00991499">
        <w:t xml:space="preserve">Methods </w:t>
      </w:r>
      <w:r w:rsidR="00E007A2">
        <w:t xml:space="preserve">recommended </w:t>
      </w:r>
      <w:r w:rsidR="00991499">
        <w:t>include</w:t>
      </w:r>
      <w:r w:rsidR="0017397E">
        <w:t>:</w:t>
      </w:r>
    </w:p>
    <w:p w14:paraId="14746E2A" w14:textId="043D45AC" w:rsidR="0017397E" w:rsidRDefault="003F4478" w:rsidP="00054202">
      <w:pPr>
        <w:pStyle w:val="ListParagraph"/>
        <w:numPr>
          <w:ilvl w:val="0"/>
          <w:numId w:val="51"/>
        </w:numPr>
      </w:pPr>
      <w:r>
        <w:t>i</w:t>
      </w:r>
      <w:r w:rsidR="001E3AAE">
        <w:t>ntroduce u</w:t>
      </w:r>
      <w:r w:rsidR="00E12E4E">
        <w:t>niform entry schemes</w:t>
      </w:r>
      <w:r w:rsidR="00E1445C">
        <w:t xml:space="preserve"> for equity students (</w:t>
      </w:r>
      <w:r w:rsidR="00267569">
        <w:t>1</w:t>
      </w:r>
      <w:r w:rsidR="00E1445C">
        <w:t xml:space="preserve"> submission)</w:t>
      </w:r>
    </w:p>
    <w:p w14:paraId="6F5D6A82" w14:textId="703FD973" w:rsidR="0017397E" w:rsidRDefault="003F4478" w:rsidP="00054202">
      <w:pPr>
        <w:pStyle w:val="ListParagraph"/>
        <w:numPr>
          <w:ilvl w:val="0"/>
          <w:numId w:val="51"/>
        </w:numPr>
      </w:pPr>
      <w:r>
        <w:t>i</w:t>
      </w:r>
      <w:r w:rsidR="001E3AAE">
        <w:t>ncrease</w:t>
      </w:r>
      <w:r w:rsidR="007254B6">
        <w:t xml:space="preserve"> funding</w:t>
      </w:r>
      <w:r w:rsidR="00866CA1">
        <w:t xml:space="preserve"> for enabling programs</w:t>
      </w:r>
      <w:r w:rsidR="007254B6">
        <w:t xml:space="preserve"> (</w:t>
      </w:r>
      <w:r w:rsidR="00267569">
        <w:t>3</w:t>
      </w:r>
      <w:r w:rsidR="007254B6">
        <w:t xml:space="preserve"> submission</w:t>
      </w:r>
      <w:r w:rsidR="00907B26">
        <w:t>s</w:t>
      </w:r>
      <w:r w:rsidR="007254B6">
        <w:t>)</w:t>
      </w:r>
    </w:p>
    <w:p w14:paraId="6CECFD54" w14:textId="71579443" w:rsidR="0017397E" w:rsidRPr="00801F7B" w:rsidRDefault="003F4478" w:rsidP="00054202">
      <w:pPr>
        <w:pStyle w:val="ListParagraph"/>
        <w:numPr>
          <w:ilvl w:val="0"/>
          <w:numId w:val="51"/>
        </w:numPr>
      </w:pPr>
      <w:r>
        <w:t>a</w:t>
      </w:r>
      <w:r w:rsidR="001E3AAE">
        <w:t>dd</w:t>
      </w:r>
      <w:r w:rsidR="002A0BC1">
        <w:t xml:space="preserve"> </w:t>
      </w:r>
      <w:r w:rsidR="002A0BC1" w:rsidRPr="00801F7B">
        <w:t>enabling program</w:t>
      </w:r>
      <w:r w:rsidR="004D1205" w:rsidRPr="00801F7B">
        <w:t xml:space="preserve"> student</w:t>
      </w:r>
      <w:r w:rsidR="002A0BC1" w:rsidRPr="00801F7B">
        <w:t xml:space="preserve"> </w:t>
      </w:r>
      <w:r w:rsidR="00586E06" w:rsidRPr="00801F7B">
        <w:t>contributions to</w:t>
      </w:r>
      <w:r w:rsidR="002A0BC1" w:rsidRPr="00801F7B">
        <w:t xml:space="preserve"> HECS-HELP</w:t>
      </w:r>
      <w:r w:rsidR="00586E06" w:rsidRPr="00801F7B">
        <w:t xml:space="preserve"> (</w:t>
      </w:r>
      <w:r w:rsidR="00267569">
        <w:t>1</w:t>
      </w:r>
      <w:r w:rsidR="00586E06" w:rsidRPr="00801F7B">
        <w:t xml:space="preserve"> submission)</w:t>
      </w:r>
    </w:p>
    <w:p w14:paraId="6F21DE15" w14:textId="0C57EF8E" w:rsidR="00A30630" w:rsidRPr="003A5531" w:rsidRDefault="003F4478" w:rsidP="00054202">
      <w:pPr>
        <w:pStyle w:val="ListParagraph"/>
        <w:numPr>
          <w:ilvl w:val="0"/>
          <w:numId w:val="51"/>
        </w:numPr>
      </w:pPr>
      <w:r>
        <w:t>e</w:t>
      </w:r>
      <w:r w:rsidR="001E3AAE" w:rsidRPr="00801F7B">
        <w:t>nsure</w:t>
      </w:r>
      <w:r w:rsidR="00CC4DE2" w:rsidRPr="00801F7B">
        <w:t xml:space="preserve"> enabling programs</w:t>
      </w:r>
      <w:r w:rsidR="00CC4DE2">
        <w:t xml:space="preserve"> </w:t>
      </w:r>
      <w:r w:rsidR="006132B1">
        <w:t>are recognised in</w:t>
      </w:r>
      <w:r w:rsidR="00CC4DE2">
        <w:t xml:space="preserve"> the </w:t>
      </w:r>
      <w:r w:rsidR="00226E2A">
        <w:t>Australian Qualification Framework (</w:t>
      </w:r>
      <w:r w:rsidR="00CC4DE2">
        <w:t>AQF</w:t>
      </w:r>
      <w:r w:rsidR="00226E2A">
        <w:t>)</w:t>
      </w:r>
      <w:r w:rsidR="00AC2542">
        <w:t xml:space="preserve"> </w:t>
      </w:r>
      <w:r w:rsidR="006132B1">
        <w:t xml:space="preserve">to support transitions between courses </w:t>
      </w:r>
      <w:r w:rsidR="00AC2542">
        <w:t>(</w:t>
      </w:r>
      <w:r w:rsidR="00267569">
        <w:t>1</w:t>
      </w:r>
      <w:r w:rsidR="00AC2542">
        <w:t xml:space="preserve"> submission)</w:t>
      </w:r>
    </w:p>
    <w:p w14:paraId="4F56BA70" w14:textId="44A87118" w:rsidR="00BE6EB8" w:rsidRDefault="00BE6EB8" w:rsidP="00BE6EB8">
      <w:pPr>
        <w:pStyle w:val="Heading5"/>
      </w:pPr>
      <w:r>
        <w:t xml:space="preserve">Improve data collection of student movement across the VET and higher education sectors </w:t>
      </w:r>
    </w:p>
    <w:p w14:paraId="261B1A6A" w14:textId="4A4ECB0C" w:rsidR="00FD1AC6" w:rsidRDefault="006D5265" w:rsidP="00FD1AC6">
      <w:r>
        <w:t>Two submissions highlighted</w:t>
      </w:r>
      <w:r w:rsidR="00061D95">
        <w:t xml:space="preserve"> </w:t>
      </w:r>
      <w:r w:rsidR="00F02465">
        <w:t xml:space="preserve">a </w:t>
      </w:r>
      <w:r w:rsidR="00061D95">
        <w:t xml:space="preserve">need for improved data collection </w:t>
      </w:r>
      <w:r w:rsidR="00EB436F">
        <w:t>on</w:t>
      </w:r>
      <w:r w:rsidR="00061D95">
        <w:t xml:space="preserve"> student movements in the tertiary education sector. These submissions noted the benefit of data to </w:t>
      </w:r>
      <w:r w:rsidR="00710716">
        <w:t xml:space="preserve">better track success and enable higher education providers to tailor </w:t>
      </w:r>
      <w:r w:rsidR="00991FCD">
        <w:t xml:space="preserve">their </w:t>
      </w:r>
      <w:r w:rsidR="00710716">
        <w:t>offerings</w:t>
      </w:r>
      <w:r w:rsidR="00AC258B">
        <w:t>, support students</w:t>
      </w:r>
      <w:r w:rsidR="00710716">
        <w:t xml:space="preserve"> and focus efforts on areas of</w:t>
      </w:r>
      <w:r w:rsidR="0005060D">
        <w:t xml:space="preserve"> need</w:t>
      </w:r>
      <w:r w:rsidR="00C41E52">
        <w:t xml:space="preserve">. </w:t>
      </w:r>
    </w:p>
    <w:p w14:paraId="7BC490A6" w14:textId="10E503FB" w:rsidR="00917840" w:rsidRDefault="00917840" w:rsidP="00FD1AC6">
      <w:r>
        <w:t>The South Australia Tertiary Admissions Centre is current</w:t>
      </w:r>
      <w:r w:rsidR="004220BB">
        <w:t xml:space="preserve">ly transforming their approach to data </w:t>
      </w:r>
      <w:r w:rsidR="0009106E">
        <w:t>with this goal in mind:</w:t>
      </w:r>
    </w:p>
    <w:p w14:paraId="2D7DCA73" w14:textId="720EE865" w:rsidR="002941E9" w:rsidRPr="002941E9" w:rsidRDefault="004220BB" w:rsidP="009527F0">
      <w:pPr>
        <w:ind w:left="360"/>
      </w:pPr>
      <w:r w:rsidRPr="00107878">
        <w:rPr>
          <w:i/>
          <w:iCs/>
        </w:rPr>
        <w:t>“</w:t>
      </w:r>
      <w:r w:rsidR="00107878">
        <w:rPr>
          <w:i/>
          <w:iCs/>
        </w:rPr>
        <w:t>This initiative</w:t>
      </w:r>
      <w:r w:rsidR="006B7B8D">
        <w:rPr>
          <w:i/>
          <w:iCs/>
        </w:rPr>
        <w:t>…</w:t>
      </w:r>
      <w:r w:rsidR="00107878">
        <w:rPr>
          <w:i/>
          <w:iCs/>
        </w:rPr>
        <w:t xml:space="preserve"> </w:t>
      </w:r>
      <w:r w:rsidR="00107878" w:rsidRPr="00107878">
        <w:rPr>
          <w:i/>
          <w:iCs/>
        </w:rPr>
        <w:t>will provide a better understanding of applicant behaviour and potential barriers to application and acceptance, such that we can proactively engage with applicants to encourage and support them through the process. Working with key stakeholders and relevant datasets, we intend to develop predictive data models to understand the likelihood of tertiary participation and success for different learners and pathways such that learner engagement and admissions pathways can be designed to deliver improved outcomes in priority areas such as proportionate participation and success for students from under-represented groups.</w:t>
      </w:r>
      <w:r w:rsidR="00215658">
        <w:rPr>
          <w:i/>
          <w:iCs/>
        </w:rPr>
        <w:t>”</w:t>
      </w:r>
      <w:r w:rsidR="0009106E">
        <w:rPr>
          <w:i/>
          <w:iCs/>
        </w:rPr>
        <w:t xml:space="preserve"> </w:t>
      </w:r>
      <w:r w:rsidR="0009106E">
        <w:t>South Australia Tertiary Admissions Centre</w:t>
      </w:r>
    </w:p>
    <w:p w14:paraId="3B54E2A5" w14:textId="2356B0D4" w:rsidR="001E426A" w:rsidRDefault="00BE6EB8" w:rsidP="00BE6EB8">
      <w:pPr>
        <w:pStyle w:val="Heading5"/>
      </w:pPr>
      <w:r>
        <w:t>Standardise student subsidies and funding agreements for VET courses</w:t>
      </w:r>
    </w:p>
    <w:p w14:paraId="23C953D3" w14:textId="10C3D1A4" w:rsidR="00707064" w:rsidRPr="004D1B87" w:rsidRDefault="00963D51" w:rsidP="004D1B87">
      <w:r>
        <w:t xml:space="preserve">Three submissions </w:t>
      </w:r>
      <w:r w:rsidR="00AE3757">
        <w:t>recommended that funding discrepancies between the VET and higher education sectors be addressed</w:t>
      </w:r>
      <w:r w:rsidR="008F6018">
        <w:t>, including extending HECS-HELP loans to VET,</w:t>
      </w:r>
      <w:r w:rsidR="00D824AF">
        <w:t xml:space="preserve"> to ensure </w:t>
      </w:r>
      <w:r w:rsidR="008F6018">
        <w:t>equitable</w:t>
      </w:r>
      <w:r w:rsidR="00D824AF">
        <w:t xml:space="preserve"> access to VET</w:t>
      </w:r>
      <w:r w:rsidR="008F6018">
        <w:t xml:space="preserve"> qualifications</w:t>
      </w:r>
      <w:r w:rsidR="004A2D05">
        <w:t xml:space="preserve">. This is explored further in </w:t>
      </w:r>
      <w:r w:rsidR="009E38D3">
        <w:t xml:space="preserve">the </w:t>
      </w:r>
      <w:r w:rsidR="004D1B87">
        <w:t xml:space="preserve">section </w:t>
      </w:r>
      <w:r w:rsidR="004D1B87" w:rsidRPr="004D1B87">
        <w:rPr>
          <w:i/>
          <w:iCs/>
          <w:u w:val="single"/>
        </w:rPr>
        <w:fldChar w:fldCharType="begin"/>
      </w:r>
      <w:r w:rsidR="004D1B87" w:rsidRPr="004D1B87">
        <w:rPr>
          <w:i/>
          <w:iCs/>
          <w:u w:val="single"/>
        </w:rPr>
        <w:instrText xml:space="preserve"> REF _Ref134795967 \h  \* MERGEFORMAT </w:instrText>
      </w:r>
      <w:r w:rsidR="004D1B87" w:rsidRPr="004D1B87">
        <w:rPr>
          <w:i/>
          <w:iCs/>
          <w:u w:val="single"/>
        </w:rPr>
      </w:r>
      <w:r w:rsidR="004D1B87" w:rsidRPr="004D1B87">
        <w:rPr>
          <w:i/>
          <w:iCs/>
          <w:u w:val="single"/>
        </w:rPr>
        <w:fldChar w:fldCharType="separate"/>
      </w:r>
      <w:r w:rsidR="009D26B2" w:rsidRPr="009D26B2">
        <w:rPr>
          <w:i/>
          <w:iCs/>
          <w:u w:val="single"/>
        </w:rPr>
        <w:t>Secure, affordable funding arrangements and incentives</w:t>
      </w:r>
      <w:r w:rsidR="004D1B87" w:rsidRPr="004D1B87">
        <w:rPr>
          <w:i/>
          <w:iCs/>
          <w:u w:val="single"/>
        </w:rPr>
        <w:fldChar w:fldCharType="end"/>
      </w:r>
      <w:r w:rsidR="00AF5DC7">
        <w:rPr>
          <w:i/>
          <w:iCs/>
          <w:u w:val="single"/>
        </w:rPr>
        <w:t>.</w:t>
      </w:r>
    </w:p>
    <w:p w14:paraId="52EAF190" w14:textId="7802F04B" w:rsidR="007644D9" w:rsidRDefault="007644D9" w:rsidP="007644D9">
      <w:pPr>
        <w:pStyle w:val="Heading3"/>
      </w:pPr>
      <w:bookmarkStart w:id="52" w:name="_Ref134795967"/>
      <w:bookmarkStart w:id="53" w:name="_Toc134807422"/>
      <w:r>
        <w:lastRenderedPageBreak/>
        <w:t>Secure, affordable funding arrangements and incentives</w:t>
      </w:r>
      <w:bookmarkEnd w:id="52"/>
      <w:bookmarkEnd w:id="53"/>
    </w:p>
    <w:p w14:paraId="6FFE4237" w14:textId="36518AA5" w:rsidR="00F412D3" w:rsidRDefault="00C81198" w:rsidP="00BD51DD">
      <w:r>
        <w:t>The Discussion Paper</w:t>
      </w:r>
      <w:r w:rsidR="00675B12">
        <w:t xml:space="preserve"> </w:t>
      </w:r>
      <w:r w:rsidR="009E33A7">
        <w:t>notes th</w:t>
      </w:r>
      <w:r w:rsidR="00327A79">
        <w:t xml:space="preserve">at </w:t>
      </w:r>
      <w:r w:rsidR="009E33A7">
        <w:t>the funding system</w:t>
      </w:r>
      <w:r w:rsidR="009960F8">
        <w:t xml:space="preserve"> needs</w:t>
      </w:r>
      <w:r w:rsidR="009E33A7">
        <w:t xml:space="preserve"> to “meet the parallel needs across teaching, </w:t>
      </w:r>
      <w:r w:rsidR="001540BA">
        <w:t xml:space="preserve">student support, research, research training, engagement, administration and infrastructure, and capital investment.” </w:t>
      </w:r>
      <w:r w:rsidR="00CA45AB">
        <w:t>It notes the</w:t>
      </w:r>
      <w:r w:rsidR="009F7D6A">
        <w:t xml:space="preserve"> risks of the current funding </w:t>
      </w:r>
      <w:r w:rsidR="007B1AC9">
        <w:t>arrangements</w:t>
      </w:r>
      <w:r w:rsidR="004C4310">
        <w:t xml:space="preserve"> “The </w:t>
      </w:r>
      <w:r w:rsidR="00D34855">
        <w:t>pandemic</w:t>
      </w:r>
      <w:r w:rsidR="00456D0C">
        <w:t xml:space="preserve"> exposed </w:t>
      </w:r>
      <w:r w:rsidR="0032192D">
        <w:t xml:space="preserve">the </w:t>
      </w:r>
      <w:r w:rsidR="00BD51DD">
        <w:t xml:space="preserve">current complex funding arrangements and vulnerabilities within the international student market and demonstrated the challenges of managing various and precarious revenue streams.” </w:t>
      </w:r>
      <w:r w:rsidR="007916F7">
        <w:t>(</w:t>
      </w:r>
      <w:r w:rsidR="005E129C" w:rsidRPr="006E0579">
        <w:t xml:space="preserve">Australian Universities Accord Discussion </w:t>
      </w:r>
      <w:r w:rsidR="007916F7">
        <w:t>P</w:t>
      </w:r>
      <w:r w:rsidR="005E129C" w:rsidRPr="006E0579">
        <w:t xml:space="preserve">aper, February 2023, p. </w:t>
      </w:r>
      <w:r w:rsidR="005E129C">
        <w:t>33</w:t>
      </w:r>
      <w:r w:rsidR="00F91BA8">
        <w:t>)</w:t>
      </w:r>
      <w:r w:rsidR="005E129C" w:rsidRPr="006E0579">
        <w:t>.</w:t>
      </w:r>
    </w:p>
    <w:p w14:paraId="20253A10" w14:textId="0AF31B5A" w:rsidR="00D37E63" w:rsidRDefault="00CA7AF7" w:rsidP="00D37E63">
      <w:r>
        <w:t>The level, distribution and source of funding for the</w:t>
      </w:r>
      <w:r w:rsidR="00BA58B9">
        <w:t xml:space="preserve"> tertiary sector was </w:t>
      </w:r>
      <w:r>
        <w:t xml:space="preserve">a frequently discussed topic across the submissions, being included in </w:t>
      </w:r>
      <w:r w:rsidR="00870948">
        <w:t>40</w:t>
      </w:r>
      <w:r w:rsidR="00AE5844">
        <w:t>% of submissions</w:t>
      </w:r>
      <w:r w:rsidR="00E20026">
        <w:t xml:space="preserve"> (131 submissions)</w:t>
      </w:r>
      <w:r w:rsidR="00AE5844">
        <w:t>.</w:t>
      </w:r>
      <w:r w:rsidR="00395012">
        <w:t xml:space="preserve">  </w:t>
      </w:r>
      <w:r w:rsidR="00AF6D7B">
        <w:t>Most</w:t>
      </w:r>
      <w:r w:rsidR="00395012">
        <w:t xml:space="preserve"> of these submissions called for increases in the total funding pool allocated to the sector or increases in funding for particular initiatives. </w:t>
      </w:r>
    </w:p>
    <w:p w14:paraId="10A29FDB" w14:textId="05969E46" w:rsidR="00E20026" w:rsidRDefault="00F7355A" w:rsidP="00D37E63">
      <w:r>
        <w:t>K</w:t>
      </w:r>
      <w:r w:rsidR="00E20026">
        <w:t xml:space="preserve">ey recommendations </w:t>
      </w:r>
      <w:r w:rsidR="00AE257A">
        <w:t>were made as follows</w:t>
      </w:r>
      <w:r w:rsidR="00E20026">
        <w:t xml:space="preserve">: </w:t>
      </w:r>
    </w:p>
    <w:p w14:paraId="7FD9CBD9" w14:textId="74A46A49" w:rsidR="00E20026" w:rsidRDefault="002829DA" w:rsidP="00E20026">
      <w:pPr>
        <w:pStyle w:val="ListParagraph"/>
        <w:numPr>
          <w:ilvl w:val="0"/>
          <w:numId w:val="67"/>
        </w:numPr>
      </w:pPr>
      <w:r>
        <w:t>i</w:t>
      </w:r>
      <w:r w:rsidR="00E20026">
        <w:t>ntroduce a more simple and stable funding model (22 submissions)</w:t>
      </w:r>
    </w:p>
    <w:p w14:paraId="507A6E0B" w14:textId="09BDA408" w:rsidR="00E20026" w:rsidRDefault="002829DA" w:rsidP="00E20026">
      <w:pPr>
        <w:pStyle w:val="ListParagraph"/>
        <w:numPr>
          <w:ilvl w:val="0"/>
          <w:numId w:val="67"/>
        </w:numPr>
      </w:pPr>
      <w:r>
        <w:t>i</w:t>
      </w:r>
      <w:r w:rsidR="00E20026">
        <w:t>ncrease the total funding for research (27 submissions</w:t>
      </w:r>
      <w:r w:rsidR="00A94D9C">
        <w:t>)</w:t>
      </w:r>
    </w:p>
    <w:p w14:paraId="7DF58C6A" w14:textId="04D5614D" w:rsidR="00A26BAE" w:rsidRDefault="002829DA" w:rsidP="00E20026">
      <w:pPr>
        <w:pStyle w:val="ListParagraph"/>
        <w:numPr>
          <w:ilvl w:val="0"/>
          <w:numId w:val="67"/>
        </w:numPr>
      </w:pPr>
      <w:r>
        <w:t>r</w:t>
      </w:r>
      <w:r w:rsidR="00A26BAE">
        <w:t>evise the level of student contributions (</w:t>
      </w:r>
      <w:r w:rsidR="00796D90">
        <w:t>35 submissions)</w:t>
      </w:r>
    </w:p>
    <w:p w14:paraId="773FA580" w14:textId="08149486" w:rsidR="00796D90" w:rsidRDefault="002829DA" w:rsidP="00E20026">
      <w:pPr>
        <w:pStyle w:val="ListParagraph"/>
        <w:numPr>
          <w:ilvl w:val="0"/>
          <w:numId w:val="67"/>
        </w:numPr>
      </w:pPr>
      <w:r>
        <w:t>i</w:t>
      </w:r>
      <w:r w:rsidR="00CA135B">
        <w:t>ncrease infrastructure funding (18 submissions)</w:t>
      </w:r>
    </w:p>
    <w:p w14:paraId="1FD3DFB1" w14:textId="592033BB" w:rsidR="007862E3" w:rsidRDefault="007862E3" w:rsidP="007862E3">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10</w:t>
      </w:r>
      <w:r w:rsidR="008444D3">
        <w:rPr>
          <w:noProof/>
        </w:rPr>
        <w:fldChar w:fldCharType="end"/>
      </w:r>
      <w:r>
        <w:t xml:space="preserve"> | </w:t>
      </w:r>
      <w:r w:rsidR="009D0277" w:rsidRPr="009D0277">
        <w:t>Distribution of submissions – Secure, affordable funding arrangements and incentives (N=131)</w:t>
      </w:r>
    </w:p>
    <w:p w14:paraId="540AD4EA" w14:textId="770A827E" w:rsidR="00457DA6" w:rsidRDefault="00473AEB" w:rsidP="00457DA6">
      <w:r w:rsidRPr="00473AEB">
        <w:rPr>
          <w:noProof/>
        </w:rPr>
        <w:drawing>
          <wp:inline distT="0" distB="0" distL="0" distR="0" wp14:anchorId="5E49726D" wp14:editId="101793EB">
            <wp:extent cx="5835650" cy="3580765"/>
            <wp:effectExtent l="0" t="0" r="0" b="635"/>
            <wp:docPr id="58" name="Picture 58" descr="Bar graph. &#10;Universities and university staff were more likely to comment on ‘secure, affordable funding arrangements and incentives ’ than other groups. They respectively made up 20 per cent and 9 per cent of submissions aligned to this topic, compared to 13 per cent and 6 per cent of all submissions.&#10;Graph data:&#10;University - 26 (20%)&#10;Individual - 20 (15%)&#10;Other advocacy - 19 (15%)&#10;University staff - 12 (9%)&#10;Professional association - 9 (7%)&#10;Other higher education - 7 (5%)&#10;University school, centre, faculty, or college - 6 (5%)&#10;Student representatives - 6 (5%)&#10;Higher education peak body - 5 (4%)&#10;Discipline group - 5 (4%)&#10;Independent provider - 3 (2%)&#10;Business - 3 (2%)&#10;Other peak body - 2 (2%)&#10;State or Commonwealth government body - 2 (2%)&#10;Regional networks and support services - 1 (1%)&#10;First Nations organisation - 1 (1%)&#10;Union - 1 (1%)&#10;Other provider - 1 (1%)&#10;Local government body - 1 (1%)&#10;Other - 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Bar graph. &#10;Universities and university staff were more likely to comment on ‘secure, affordable funding arrangements and incentives ’ than other groups. They respectively made up 20 per cent and 9 per cent of submissions aligned to this topic, compared to 13 per cent and 6 per cent of all submissions.&#10;Graph data:&#10;University - 26 (20%)&#10;Individual - 20 (15%)&#10;Other advocacy - 19 (15%)&#10;University staff - 12 (9%)&#10;Professional association - 9 (7%)&#10;Other higher education - 7 (5%)&#10;University school, centre, faculty, or college - 6 (5%)&#10;Student representatives - 6 (5%)&#10;Higher education peak body - 5 (4%)&#10;Discipline group - 5 (4%)&#10;Independent provider - 3 (2%)&#10;Business - 3 (2%)&#10;Other peak body - 2 (2%)&#10;State or Commonwealth government body - 2 (2%)&#10;Regional networks and support services - 1 (1%)&#10;First Nations organisation - 1 (1%)&#10;Union - 1 (1%)&#10;Other provider - 1 (1%)&#10;Local government body - 1 (1%)&#10;Other - 1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35650" cy="3580765"/>
                    </a:xfrm>
                    <a:prstGeom prst="rect">
                      <a:avLst/>
                    </a:prstGeom>
                    <a:noFill/>
                    <a:ln>
                      <a:noFill/>
                    </a:ln>
                  </pic:spPr>
                </pic:pic>
              </a:graphicData>
            </a:graphic>
          </wp:inline>
        </w:drawing>
      </w:r>
    </w:p>
    <w:p w14:paraId="2D5B5834" w14:textId="77777777" w:rsidR="00EF77C9" w:rsidRDefault="00EF77C9" w:rsidP="00457DA6"/>
    <w:p w14:paraId="37265E4E" w14:textId="77777777" w:rsidR="00EF77C9" w:rsidRDefault="00EF77C9" w:rsidP="00457DA6"/>
    <w:p w14:paraId="6BD71060" w14:textId="40E7D93A" w:rsidR="00EF77C9" w:rsidRDefault="00EF77C9" w:rsidP="00A909F7">
      <w:pPr>
        <w:pStyle w:val="Heading4"/>
        <w:rPr>
          <w:iCs w:val="0"/>
        </w:rPr>
      </w:pPr>
      <w:r>
        <w:lastRenderedPageBreak/>
        <w:t>I</w:t>
      </w:r>
      <w:r w:rsidRPr="00EF77C9">
        <w:t xml:space="preserve">ntroduce a more simple and stable funding </w:t>
      </w:r>
    </w:p>
    <w:p w14:paraId="349C255E" w14:textId="77777777" w:rsidR="00435AF7" w:rsidRDefault="00435AF7" w:rsidP="00435AF7">
      <w:r>
        <w:t xml:space="preserve">Twenty-two submissions argued for simplicity and stability in any funding model proposed. Seven of these submissions argued that a stable funding model will support universities’ long-term planning. This point was emphasised by the University of New South Wales: </w:t>
      </w:r>
    </w:p>
    <w:p w14:paraId="65524F9A" w14:textId="77777777" w:rsidR="00FB30A3" w:rsidRDefault="00186DA8" w:rsidP="009F64B0">
      <w:pPr>
        <w:ind w:left="720"/>
      </w:pPr>
      <w:r>
        <w:rPr>
          <w:i/>
          <w:iCs/>
        </w:rPr>
        <w:t>“</w:t>
      </w:r>
      <w:r w:rsidRPr="00186DA8">
        <w:rPr>
          <w:i/>
          <w:iCs/>
        </w:rPr>
        <w:t>Recognising that government’s ability to fund the sector is finite, the key feature of any funding model underpinning both infrastructure and recurrent spending in the university sector should be its reliability, giving providers certainty to allocate their resources and plan for the future.</w:t>
      </w:r>
      <w:r>
        <w:rPr>
          <w:i/>
          <w:iCs/>
        </w:rPr>
        <w:t xml:space="preserve">” – </w:t>
      </w:r>
      <w:r w:rsidR="008359B6">
        <w:t>University of New South Wales</w:t>
      </w:r>
    </w:p>
    <w:p w14:paraId="21C4B996" w14:textId="6C9563E7" w:rsidR="00186DA8" w:rsidRDefault="00922EE9" w:rsidP="00201767">
      <w:r>
        <w:t xml:space="preserve">Fifteen submissions argued for a </w:t>
      </w:r>
      <w:r w:rsidR="004374EA">
        <w:t>simpler</w:t>
      </w:r>
      <w:r w:rsidR="008159DC">
        <w:t xml:space="preserve"> funding model</w:t>
      </w:r>
      <w:r w:rsidR="00FE5507">
        <w:t>.</w:t>
      </w:r>
      <w:r w:rsidR="00514ADD">
        <w:t xml:space="preserve"> These </w:t>
      </w:r>
      <w:r w:rsidR="00DF0247">
        <w:t xml:space="preserve">submissions </w:t>
      </w:r>
      <w:r w:rsidR="009F64B0">
        <w:t>focussed on a</w:t>
      </w:r>
      <w:r w:rsidR="00DF0247">
        <w:t xml:space="preserve"> reduction in the number of </w:t>
      </w:r>
      <w:r w:rsidR="00FE5533">
        <w:t xml:space="preserve">funding sources and the bureaucracy involved, particularly in research funding. </w:t>
      </w:r>
      <w:r w:rsidR="00884E3A">
        <w:t>The fragmented funding ecosystem was observed by the University Chancellors Council</w:t>
      </w:r>
      <w:r w:rsidR="005801C2">
        <w:t>:</w:t>
      </w:r>
      <w:r w:rsidR="00884E3A">
        <w:t xml:space="preserve"> </w:t>
      </w:r>
    </w:p>
    <w:p w14:paraId="131085E3" w14:textId="77777777" w:rsidR="00884E3A" w:rsidRDefault="00884E3A" w:rsidP="00884E3A">
      <w:pPr>
        <w:ind w:left="720"/>
      </w:pPr>
      <w:r>
        <w:rPr>
          <w:i/>
          <w:iCs/>
        </w:rPr>
        <w:t>“</w:t>
      </w:r>
      <w:r w:rsidRPr="00884E3A">
        <w:rPr>
          <w:i/>
          <w:iCs/>
        </w:rPr>
        <w:t>Chancellors observe enormous amounts of time and resources devoted by academic staff to applying for relatively small sums of money from schemes that are so competitive that the success rate is low. There has also been a proliferation of agencies and schemes distributing research funds, all of which must be administered and paid for by someone somewhere. The UCC would support moves towards consolidating funding bodies as part of streamlining the whole tertiary education and research ecosystem.</w:t>
      </w:r>
      <w:r>
        <w:rPr>
          <w:i/>
          <w:iCs/>
        </w:rPr>
        <w:t xml:space="preserve">” – </w:t>
      </w:r>
      <w:r>
        <w:t>University Chancellors Council</w:t>
      </w:r>
    </w:p>
    <w:p w14:paraId="7BED197F" w14:textId="77777777" w:rsidR="00A37FCA" w:rsidRDefault="00116F5F" w:rsidP="00A37FCA">
      <w:r>
        <w:t xml:space="preserve">In addition to a more simple and stable funding model, </w:t>
      </w:r>
      <w:r w:rsidR="008E6721">
        <w:t>17</w:t>
      </w:r>
      <w:r>
        <w:t xml:space="preserve"> submissions argued for a </w:t>
      </w:r>
      <w:r w:rsidR="001A3CEA">
        <w:t>more flexible funding model, tailored to</w:t>
      </w:r>
      <w:r w:rsidR="00C53D6D">
        <w:t xml:space="preserve"> </w:t>
      </w:r>
      <w:r w:rsidR="001A3CEA">
        <w:t>university missions</w:t>
      </w:r>
      <w:r w:rsidR="00402B25">
        <w:t>.</w:t>
      </w:r>
      <w:r w:rsidR="001A3CEA">
        <w:t xml:space="preserve"> </w:t>
      </w:r>
      <w:r w:rsidR="00114738">
        <w:t>It was argued that the</w:t>
      </w:r>
      <w:r w:rsidR="008B1EE3">
        <w:t xml:space="preserve"> current funding model does not support diversification. This point was emphasised by Western Sydney University. </w:t>
      </w:r>
    </w:p>
    <w:p w14:paraId="51F81AA4" w14:textId="77777777" w:rsidR="008B1EE3" w:rsidRPr="000069AB" w:rsidRDefault="008B1EE3" w:rsidP="00DA0044">
      <w:pPr>
        <w:ind w:left="720"/>
      </w:pPr>
      <w:r>
        <w:rPr>
          <w:i/>
          <w:iCs/>
        </w:rPr>
        <w:t>“</w:t>
      </w:r>
      <w:r w:rsidR="00DA0044" w:rsidRPr="00DA0044">
        <w:rPr>
          <w:i/>
          <w:iCs/>
        </w:rPr>
        <w:t xml:space="preserve">Our current funding model is fractured into multiple programs which separate the intrinsic link between quality education and research, with different accounting and accountability requirements leading to increasingly complex rules and red tape which can detract from achieving outcomes for learners. It does not support diversification in the nature of the </w:t>
      </w:r>
      <w:proofErr w:type="gramStart"/>
      <w:r w:rsidR="00DA0044" w:rsidRPr="00DA0044">
        <w:rPr>
          <w:i/>
          <w:iCs/>
        </w:rPr>
        <w:t>programs</w:t>
      </w:r>
      <w:proofErr w:type="gramEnd"/>
      <w:r w:rsidR="00DA0044" w:rsidRPr="00DA0044">
        <w:rPr>
          <w:i/>
          <w:iCs/>
        </w:rPr>
        <w:t xml:space="preserve"> universities deliver. Above all else, universities need to be agile. As institutions defined by their capacity to both engage and provoke new innovations, a funding model is needed that supports synergy with industry, and a capacity to drive and support industry to capitalise on new and emerging opportunities. That cannot occur within a one-size-fits all model.</w:t>
      </w:r>
      <w:r w:rsidR="00DA0044">
        <w:rPr>
          <w:i/>
          <w:iCs/>
        </w:rPr>
        <w:t>”</w:t>
      </w:r>
      <w:r w:rsidR="000069AB">
        <w:t xml:space="preserve"> – Wester Sydney University</w:t>
      </w:r>
    </w:p>
    <w:p w14:paraId="3622E902" w14:textId="77777777" w:rsidR="00E76660" w:rsidRDefault="00E76660" w:rsidP="00E76660">
      <w:r>
        <w:t>Nine submissions proposed variations of a revised funding approach, such as to consolidate the funding pools received by universities into batch funding which universities have the freedom to allocate however best serves their mission. Within this ‘batch’ funding, buckets were recommended to differentiate the funding for teaching and learning and research funding. Specific examples included:</w:t>
      </w:r>
    </w:p>
    <w:p w14:paraId="7451CCFD" w14:textId="77777777" w:rsidR="00FE6FDE" w:rsidRDefault="00B33F57" w:rsidP="00054202">
      <w:pPr>
        <w:pStyle w:val="ListParagraph"/>
        <w:numPr>
          <w:ilvl w:val="0"/>
          <w:numId w:val="34"/>
        </w:numPr>
      </w:pPr>
      <w:r>
        <w:t>f</w:t>
      </w:r>
      <w:r w:rsidR="00E0559E">
        <w:t>unding distributed for different</w:t>
      </w:r>
      <w:r w:rsidR="00306302">
        <w:t xml:space="preserve"> time horizons</w:t>
      </w:r>
      <w:r w:rsidR="00E0559E">
        <w:t>;</w:t>
      </w:r>
      <w:r w:rsidR="00306302">
        <w:t xml:space="preserve"> long term (20</w:t>
      </w:r>
      <w:r w:rsidR="00DC4F63">
        <w:t xml:space="preserve"> to </w:t>
      </w:r>
      <w:r w:rsidR="00306302">
        <w:t>30 + years), innovative horizon (</w:t>
      </w:r>
      <w:r w:rsidR="0012086E">
        <w:t>two to five</w:t>
      </w:r>
      <w:r w:rsidR="00306302">
        <w:t xml:space="preserve"> years), and short term (less than </w:t>
      </w:r>
      <w:r w:rsidR="004C6793">
        <w:t>two</w:t>
      </w:r>
      <w:r w:rsidR="00306302">
        <w:t xml:space="preserve"> years), </w:t>
      </w:r>
    </w:p>
    <w:p w14:paraId="0131E8E5" w14:textId="77777777" w:rsidR="00306302" w:rsidRDefault="00B33F57" w:rsidP="00054202">
      <w:pPr>
        <w:pStyle w:val="ListParagraph"/>
        <w:numPr>
          <w:ilvl w:val="0"/>
          <w:numId w:val="34"/>
        </w:numPr>
      </w:pPr>
      <w:r>
        <w:t>f</w:t>
      </w:r>
      <w:r w:rsidR="00E0559E">
        <w:t xml:space="preserve">unding </w:t>
      </w:r>
      <w:r w:rsidR="00B8250C">
        <w:t>for</w:t>
      </w:r>
      <w:r w:rsidR="00306302">
        <w:t xml:space="preserve"> core teaching and a block grant for particular circumstances and outcomes</w:t>
      </w:r>
      <w:r w:rsidR="009A774B">
        <w:t>,</w:t>
      </w:r>
    </w:p>
    <w:p w14:paraId="72C04AB7" w14:textId="77777777" w:rsidR="00306302" w:rsidRDefault="00B33F57" w:rsidP="00054202">
      <w:pPr>
        <w:pStyle w:val="ListParagraph"/>
        <w:numPr>
          <w:ilvl w:val="0"/>
          <w:numId w:val="34"/>
        </w:numPr>
      </w:pPr>
      <w:r>
        <w:t>t</w:t>
      </w:r>
      <w:r w:rsidR="009A774B">
        <w:t>wo funding buckets, teaching and learning and research</w:t>
      </w:r>
      <w:r w:rsidR="00987890">
        <w:t>.</w:t>
      </w:r>
    </w:p>
    <w:p w14:paraId="79EA19FA" w14:textId="36DDA71B" w:rsidR="00214615" w:rsidRDefault="00237E35" w:rsidP="00E3509F">
      <w:pPr>
        <w:pStyle w:val="Heading4"/>
      </w:pPr>
      <w:r>
        <w:lastRenderedPageBreak/>
        <w:t>Increase t</w:t>
      </w:r>
      <w:r w:rsidR="00860A49">
        <w:t>otal</w:t>
      </w:r>
      <w:r w:rsidR="00A918DA">
        <w:t xml:space="preserve"> funding</w:t>
      </w:r>
      <w:r w:rsidR="00214615">
        <w:t xml:space="preserve"> for research</w:t>
      </w:r>
    </w:p>
    <w:p w14:paraId="2BDB5101" w14:textId="0A68C6F9" w:rsidR="00A768B4" w:rsidRDefault="002E7B03" w:rsidP="00004453">
      <w:r>
        <w:t>The amount of funding allocated to r</w:t>
      </w:r>
      <w:r w:rsidR="00004453">
        <w:t xml:space="preserve">esearch </w:t>
      </w:r>
      <w:r w:rsidR="003D1379">
        <w:t>by government</w:t>
      </w:r>
      <w:r w:rsidR="00004453">
        <w:t xml:space="preserve"> </w:t>
      </w:r>
      <w:r>
        <w:t xml:space="preserve">and how this funding is distributed was </w:t>
      </w:r>
      <w:r w:rsidR="00F3709C">
        <w:t xml:space="preserve">explicitly discussed </w:t>
      </w:r>
      <w:r w:rsidR="009E3949">
        <w:t xml:space="preserve">in </w:t>
      </w:r>
      <w:r w:rsidR="00A768B4">
        <w:t xml:space="preserve">~9% </w:t>
      </w:r>
      <w:r w:rsidR="009E3949">
        <w:t>of</w:t>
      </w:r>
      <w:r w:rsidR="00A768B4">
        <w:t xml:space="preserve"> submissions</w:t>
      </w:r>
      <w:r w:rsidR="0080057A">
        <w:t xml:space="preserve"> (27 submissions)</w:t>
      </w:r>
      <w:r w:rsidR="00A768B4">
        <w:t>.</w:t>
      </w:r>
      <w:r w:rsidR="00A20B50">
        <w:t xml:space="preserve"> Of these submissions, 15 called for an increase in research funding</w:t>
      </w:r>
      <w:r w:rsidR="00DC756F">
        <w:t xml:space="preserve">, including six submissions </w:t>
      </w:r>
      <w:r w:rsidR="00094F49">
        <w:t xml:space="preserve">that </w:t>
      </w:r>
      <w:r w:rsidR="00DC756F">
        <w:t>argued for Australia’s spending as a percentage of GDP to be increased to either the OECD average</w:t>
      </w:r>
      <w:r w:rsidR="00B32D7B">
        <w:t>,</w:t>
      </w:r>
      <w:r w:rsidR="002B7F68">
        <w:t xml:space="preserve"> the OECD</w:t>
      </w:r>
      <w:r w:rsidR="00B32D7B">
        <w:t xml:space="preserve"> top quartile, </w:t>
      </w:r>
      <w:r w:rsidR="002B7F68">
        <w:t xml:space="preserve">the OECD </w:t>
      </w:r>
      <w:r w:rsidR="00B32D7B">
        <w:t>top quintile</w:t>
      </w:r>
      <w:r w:rsidR="00DC756F">
        <w:t xml:space="preserve"> or </w:t>
      </w:r>
      <w:r w:rsidR="00B32D7B">
        <w:t>3% of GDP.</w:t>
      </w:r>
      <w:r w:rsidR="00D81D8F">
        <w:t xml:space="preserve"> </w:t>
      </w:r>
    </w:p>
    <w:p w14:paraId="7181010A" w14:textId="1345AE7A" w:rsidR="00470D14" w:rsidRDefault="00D4008B" w:rsidP="00004453">
      <w:r>
        <w:t xml:space="preserve">Among the </w:t>
      </w:r>
      <w:r w:rsidR="00164C48">
        <w:t>reasons</w:t>
      </w:r>
      <w:r>
        <w:t xml:space="preserve"> to increase the amount of funding allocated to research,</w:t>
      </w:r>
      <w:r w:rsidR="005D5CBB">
        <w:t xml:space="preserve"> ten submissions argued </w:t>
      </w:r>
      <w:r w:rsidR="00A26D4B">
        <w:t xml:space="preserve">to </w:t>
      </w:r>
      <w:r w:rsidR="00B956F7">
        <w:t xml:space="preserve">fully fund research. </w:t>
      </w:r>
      <w:r w:rsidR="003C3FAC">
        <w:t xml:space="preserve">Two arguments were posed </w:t>
      </w:r>
      <w:r w:rsidR="009A4667">
        <w:t xml:space="preserve">to </w:t>
      </w:r>
      <w:r w:rsidR="002D123A">
        <w:t xml:space="preserve">support </w:t>
      </w:r>
      <w:r w:rsidR="008F691B">
        <w:t>fully fund</w:t>
      </w:r>
      <w:r w:rsidR="002D123A">
        <w:t>ing</w:t>
      </w:r>
      <w:r w:rsidR="008F691B">
        <w:t xml:space="preserve"> research. </w:t>
      </w:r>
      <w:r w:rsidR="004A295F">
        <w:t>The first</w:t>
      </w:r>
      <w:r w:rsidR="0052187E">
        <w:t>,</w:t>
      </w:r>
      <w:r w:rsidR="004A295F">
        <w:t xml:space="preserve"> </w:t>
      </w:r>
      <w:r w:rsidR="009C0904">
        <w:t xml:space="preserve">was </w:t>
      </w:r>
      <w:r w:rsidR="004A295F">
        <w:t>that fully funded research is valuable for strengthening Australia’s sovereign capabi</w:t>
      </w:r>
      <w:r w:rsidR="0052187E">
        <w:t xml:space="preserve">lity. </w:t>
      </w:r>
      <w:r w:rsidR="00470D14">
        <w:t xml:space="preserve">This perspective was argued by University of South Australia. </w:t>
      </w:r>
    </w:p>
    <w:p w14:paraId="08649ABB" w14:textId="53DBD010" w:rsidR="00470D14" w:rsidRPr="00376E89" w:rsidRDefault="00470D14" w:rsidP="00821F68">
      <w:pPr>
        <w:ind w:left="720"/>
      </w:pPr>
      <w:r>
        <w:rPr>
          <w:i/>
          <w:iCs/>
        </w:rPr>
        <w:t>“</w:t>
      </w:r>
      <w:r w:rsidR="00794A24" w:rsidRPr="00794A24">
        <w:rPr>
          <w:i/>
          <w:iCs/>
        </w:rPr>
        <w:t>Research in national priority areas to establish sovereign capability should be fully funded – with a target of 3% of GDP – and provided on a block grant basis over an extended period.</w:t>
      </w:r>
      <w:r w:rsidR="00794A24">
        <w:rPr>
          <w:i/>
          <w:iCs/>
        </w:rPr>
        <w:t>”</w:t>
      </w:r>
      <w:r w:rsidR="00376E89">
        <w:t xml:space="preserve"> – University of South Australia</w:t>
      </w:r>
    </w:p>
    <w:p w14:paraId="2B0FC6A8" w14:textId="5804088E" w:rsidR="000039F2" w:rsidRDefault="0052187E" w:rsidP="00004453">
      <w:r>
        <w:t>The second</w:t>
      </w:r>
      <w:r w:rsidR="004902B6">
        <w:t xml:space="preserve"> argument</w:t>
      </w:r>
      <w:r w:rsidR="00336D4C">
        <w:t xml:space="preserve"> was</w:t>
      </w:r>
      <w:r>
        <w:t xml:space="preserve">, that fully funding research will stop </w:t>
      </w:r>
      <w:r w:rsidR="00AA77A5">
        <w:t xml:space="preserve">or make explicit </w:t>
      </w:r>
      <w:r>
        <w:t xml:space="preserve">the cross subsidisation of research with </w:t>
      </w:r>
      <w:r w:rsidR="000039F2">
        <w:t>teaching and learning funding</w:t>
      </w:r>
      <w:r w:rsidR="00D05C78">
        <w:t>, in particular international student revenue (</w:t>
      </w:r>
      <w:r w:rsidR="00AA77A5">
        <w:t>eight</w:t>
      </w:r>
      <w:r w:rsidR="00D05C78">
        <w:t xml:space="preserve"> submissions)</w:t>
      </w:r>
      <w:r w:rsidR="000039F2">
        <w:t xml:space="preserve">. </w:t>
      </w:r>
      <w:r w:rsidR="00376E89">
        <w:t xml:space="preserve">The cross subsidisation of research was identified by The Australian Historical Association. </w:t>
      </w:r>
    </w:p>
    <w:p w14:paraId="4F1F302C" w14:textId="001DD32A" w:rsidR="00376E89" w:rsidRPr="00821F68" w:rsidRDefault="00376E89" w:rsidP="00821F68">
      <w:pPr>
        <w:ind w:left="720"/>
      </w:pPr>
      <w:r>
        <w:rPr>
          <w:i/>
          <w:iCs/>
        </w:rPr>
        <w:t>“</w:t>
      </w:r>
      <w:r w:rsidR="00821F68" w:rsidRPr="00821F68">
        <w:rPr>
          <w:i/>
          <w:iCs/>
        </w:rPr>
        <w:t>The under-funding of research (such as through inadequate payment to universities for overheads) has meant that fees derived from teaching, and especially from international students, have been used to cross-subsidise research.</w:t>
      </w:r>
      <w:r w:rsidR="00821F68">
        <w:rPr>
          <w:i/>
          <w:iCs/>
        </w:rPr>
        <w:t>”</w:t>
      </w:r>
      <w:r w:rsidR="00821F68">
        <w:t xml:space="preserve"> – The Australian Historical Association</w:t>
      </w:r>
    </w:p>
    <w:p w14:paraId="220AF10D" w14:textId="77777777" w:rsidR="007A5D69" w:rsidRDefault="007A5D69" w:rsidP="007A5D69">
      <w:r>
        <w:t xml:space="preserve">The Group of Eight noted that cross-subsidies can create perverse incentives and sub-optimal outcomes: </w:t>
      </w:r>
    </w:p>
    <w:p w14:paraId="7DFB0798" w14:textId="77777777" w:rsidR="00890910" w:rsidRPr="00890910" w:rsidRDefault="00890910" w:rsidP="009A5546">
      <w:pPr>
        <w:ind w:left="720"/>
        <w:rPr>
          <w:i/>
          <w:iCs/>
        </w:rPr>
      </w:pPr>
      <w:r>
        <w:rPr>
          <w:i/>
          <w:iCs/>
        </w:rPr>
        <w:t>“</w:t>
      </w:r>
      <w:r w:rsidRPr="00890910">
        <w:rPr>
          <w:i/>
          <w:iCs/>
        </w:rPr>
        <w:t xml:space="preserve">Despite cross-subsidisation helping fund potentially vital activities such as research and teaching in fields of importance that would not otherwise be financially viable, there are valid concerns regarding the influence of cross-subsidies on students, education providers, and on the overall system. </w:t>
      </w:r>
    </w:p>
    <w:p w14:paraId="7D20D36F" w14:textId="3257D8DE" w:rsidR="009A5546" w:rsidRPr="009A5546" w:rsidRDefault="00714E90" w:rsidP="009A5546">
      <w:pPr>
        <w:ind w:left="720"/>
        <w:rPr>
          <w:i/>
          <w:iCs/>
        </w:rPr>
      </w:pPr>
      <w:r>
        <w:rPr>
          <w:i/>
          <w:iCs/>
        </w:rPr>
        <w:t>..</w:t>
      </w:r>
      <w:r w:rsidR="00890910" w:rsidRPr="00890910">
        <w:rPr>
          <w:i/>
          <w:iCs/>
        </w:rPr>
        <w:t>.</w:t>
      </w:r>
      <w:r w:rsidR="009A5546" w:rsidRPr="009A5546">
        <w:t xml:space="preserve"> </w:t>
      </w:r>
      <w:r w:rsidR="009A5546" w:rsidRPr="009A5546">
        <w:rPr>
          <w:i/>
          <w:iCs/>
        </w:rPr>
        <w:t xml:space="preserve">These include the creation of perverse incentives. Moreover, the composition of student places offered may be tilted towards courses able to deliver a surplus (even as cross-subsidies allow for low demand courses to be maintained). In turn, this may translate to oversupply of graduates in some fields, and undersupply in other fields. Hence these perverse incentives can potentially lead to sub-optimal educational quality and student outcomes. </w:t>
      </w:r>
    </w:p>
    <w:p w14:paraId="6F5C4CE5" w14:textId="6E32CB8F" w:rsidR="009A5546" w:rsidRPr="009A5546" w:rsidRDefault="009A5546" w:rsidP="009A5546">
      <w:pPr>
        <w:ind w:left="720"/>
        <w:rPr>
          <w:i/>
          <w:iCs/>
        </w:rPr>
      </w:pPr>
      <w:r w:rsidRPr="009A5546">
        <w:rPr>
          <w:i/>
          <w:iCs/>
        </w:rPr>
        <w:t xml:space="preserve">Allocation of resources may also be less than optimal because of cross subsidies. Cross-subsidies may not necessarily be allocated based on criteria such as the quality and importance of research or teaching fields. Hence apart from being a less transparent use of resources, inefficient outcomes can result from misallocation. </w:t>
      </w:r>
    </w:p>
    <w:p w14:paraId="0D20D980" w14:textId="55E23E90" w:rsidR="00890910" w:rsidRPr="00E863E5" w:rsidRDefault="009A5546" w:rsidP="009A5546">
      <w:pPr>
        <w:ind w:left="720"/>
      </w:pPr>
      <w:r w:rsidRPr="009A5546">
        <w:rPr>
          <w:i/>
          <w:iCs/>
        </w:rPr>
        <w:t>To have a tertiary education sector that is diverse in its offerings requires a diversity of providers. This is currently not supported by the Australian system. To enable a differentiation of the system, reliance on cross-subsidies must be minimised.</w:t>
      </w:r>
      <w:r w:rsidR="00E863E5">
        <w:rPr>
          <w:i/>
          <w:iCs/>
        </w:rPr>
        <w:t xml:space="preserve">” </w:t>
      </w:r>
      <w:r w:rsidR="00E863E5">
        <w:t>– The Group of Eight</w:t>
      </w:r>
    </w:p>
    <w:p w14:paraId="0025A681" w14:textId="4486C267" w:rsidR="00004453" w:rsidRPr="00004453" w:rsidRDefault="00A918DA" w:rsidP="00004453">
      <w:r>
        <w:lastRenderedPageBreak/>
        <w:t xml:space="preserve">Other submissions </w:t>
      </w:r>
      <w:r w:rsidR="00DA41E3">
        <w:t>(</w:t>
      </w:r>
      <w:r w:rsidR="00CD082A">
        <w:t>seven</w:t>
      </w:r>
      <w:r w:rsidR="00DA41E3">
        <w:t xml:space="preserve"> submissions) argued for an increase in </w:t>
      </w:r>
      <w:r w:rsidR="00853DD5">
        <w:t xml:space="preserve">funding for </w:t>
      </w:r>
      <w:r w:rsidR="00DA41E3">
        <w:t xml:space="preserve">the </w:t>
      </w:r>
      <w:r w:rsidR="00853DD5">
        <w:t xml:space="preserve">indirect and overhead costs of research. </w:t>
      </w:r>
      <w:r w:rsidR="002E2816">
        <w:t xml:space="preserve">The Committee for Sydney </w:t>
      </w:r>
      <w:r w:rsidR="00936D0F">
        <w:t>stated</w:t>
      </w:r>
      <w:r w:rsidR="003E5346">
        <w:t xml:space="preserve">. </w:t>
      </w:r>
    </w:p>
    <w:p w14:paraId="21A74CB3" w14:textId="7D182A09" w:rsidR="003E5346" w:rsidRDefault="003E5346" w:rsidP="003E5346">
      <w:pPr>
        <w:ind w:left="720"/>
      </w:pPr>
      <w:r>
        <w:rPr>
          <w:i/>
          <w:iCs/>
        </w:rPr>
        <w:t>“</w:t>
      </w:r>
      <w:r w:rsidRPr="003E5346">
        <w:rPr>
          <w:i/>
          <w:iCs/>
        </w:rPr>
        <w:t>Research Block Grant funding does not go far enough for universities to be able to cover the overhead costs of research – including the cost of library services, laboratories and support staff. For example, to cover the full costs of its research, the University of Sydney estimates it spends around $1.50 for every $1 of research income it earns from governments, industry or philanthropy to deliver research projects – equivalent to around $750 million each year. Inadequate Research Block Grant funding has led universities to cross-subsidise research from other revenue sources – such as international student fees and teaching income. The pandemic has shown these revenue streams can be volatile and should not be relied upon.</w:t>
      </w:r>
      <w:r>
        <w:rPr>
          <w:i/>
          <w:iCs/>
        </w:rPr>
        <w:t xml:space="preserve">” </w:t>
      </w:r>
      <w:r>
        <w:t>– Committee for Sydney</w:t>
      </w:r>
    </w:p>
    <w:p w14:paraId="0CAAE6AF" w14:textId="77777777" w:rsidR="00D04F0F" w:rsidRPr="00F90593" w:rsidRDefault="00D04F0F" w:rsidP="00D04F0F">
      <w:r>
        <w:t xml:space="preserve">Six submissions affiliated with specific sectors or with experience supporting specific sectors argued for increases in funding for certain sectors. These included climate change, paramedicine, nursing, veterinary science, and social work. </w:t>
      </w:r>
    </w:p>
    <w:p w14:paraId="55647D24" w14:textId="4CB395C0" w:rsidR="00CA2C97" w:rsidRDefault="003B2FFF" w:rsidP="00E3509F">
      <w:pPr>
        <w:pStyle w:val="Heading4"/>
      </w:pPr>
      <w:r>
        <w:t xml:space="preserve">The </w:t>
      </w:r>
      <w:r w:rsidR="00214615">
        <w:t>funding syst</w:t>
      </w:r>
      <w:r w:rsidR="00CA2C97">
        <w:t xml:space="preserve">em </w:t>
      </w:r>
      <w:r w:rsidR="00625312">
        <w:t xml:space="preserve">must </w:t>
      </w:r>
      <w:r w:rsidR="005267A3">
        <w:t>ensure</w:t>
      </w:r>
      <w:r w:rsidR="00524E74">
        <w:t xml:space="preserve"> access and</w:t>
      </w:r>
      <w:r w:rsidR="003A543B">
        <w:t xml:space="preserve"> </w:t>
      </w:r>
      <w:r w:rsidR="00BE59D3">
        <w:t>support</w:t>
      </w:r>
      <w:r w:rsidR="00B97BCF">
        <w:t xml:space="preserve"> enough</w:t>
      </w:r>
      <w:r w:rsidR="006F40DB" w:rsidDel="00C0650B">
        <w:t xml:space="preserve"> </w:t>
      </w:r>
      <w:r w:rsidR="00CA2C97">
        <w:t xml:space="preserve">students </w:t>
      </w:r>
      <w:r w:rsidR="00B97BCF">
        <w:t>for</w:t>
      </w:r>
      <w:r w:rsidR="00CA2C97">
        <w:t xml:space="preserve"> future skill needs</w:t>
      </w:r>
    </w:p>
    <w:p w14:paraId="240572D3" w14:textId="77777777" w:rsidR="004E5B62" w:rsidRDefault="004E5B62" w:rsidP="004E5B62">
      <w:r>
        <w:t>Twelve per cent of submissions (35 submissions) discussed the level of student contribution and the Higher Education Loan Program (HELP). A majority focussed their discussion on the need to reduce the financial burden on students and methods for doing this.</w:t>
      </w:r>
    </w:p>
    <w:p w14:paraId="41374BC4" w14:textId="22EA0E7D" w:rsidR="00F204BE" w:rsidRPr="00F204BE" w:rsidRDefault="00E863E5" w:rsidP="00A544C9">
      <w:pPr>
        <w:pStyle w:val="Heading5"/>
      </w:pPr>
      <w:r>
        <w:t>N</w:t>
      </w:r>
      <w:r w:rsidR="00986B18">
        <w:t>ew or amended student</w:t>
      </w:r>
      <w:r w:rsidR="008F2F1C">
        <w:t xml:space="preserve"> </w:t>
      </w:r>
      <w:r w:rsidR="00986B18">
        <w:t>contribution frameworks</w:t>
      </w:r>
    </w:p>
    <w:p w14:paraId="57602633" w14:textId="34ED290B" w:rsidR="00081E67" w:rsidRDefault="00081E67" w:rsidP="00081E67">
      <w:r>
        <w:t>Suggestions about the best model for student contributions were diverse across the submissions, with little coalescence. However, three themes were identified: introducing a ‘flat fee’ model for student contributions</w:t>
      </w:r>
      <w:r w:rsidR="006B0CEC">
        <w:t>,</w:t>
      </w:r>
      <w:r>
        <w:t xml:space="preserve"> a tiered system of fees linked to the cost of delivering courses, and providing free education for some or all students. These points are considered further below.</w:t>
      </w:r>
    </w:p>
    <w:p w14:paraId="64455E9A" w14:textId="77777777" w:rsidR="00224CFE" w:rsidRDefault="00224CFE" w:rsidP="00224CFE">
      <w:r>
        <w:t xml:space="preserve">Five submissions argued for the introduction of a flat-fee model, where students contribute the same amount for government funded university places irrespective of the course. The full cost of their education would be covered by a variable contribution from government. The Group of Eight argued for a flat-fee model on the basis that higher-earning graduates would be taxed progressively by the income tax system later: </w:t>
      </w:r>
    </w:p>
    <w:p w14:paraId="03D64715" w14:textId="797F84A7" w:rsidR="00FA5BB0" w:rsidRPr="000F2EFB" w:rsidRDefault="00FA5BB0" w:rsidP="000F2EFB">
      <w:pPr>
        <w:ind w:left="360"/>
      </w:pPr>
      <w:r>
        <w:rPr>
          <w:i/>
          <w:iCs/>
        </w:rPr>
        <w:t xml:space="preserve">“Staged implementation of a flat-fee model for student contributions to government funded places in higher education… </w:t>
      </w:r>
      <w:r w:rsidR="000F2EFB" w:rsidRPr="000F2EFB">
        <w:rPr>
          <w:i/>
          <w:iCs/>
        </w:rPr>
        <w:t>The funding model involves having a single student contribution irrespective of qualification and a Commonwealth contribution to reflect the variability of the given qualification cost. A limited number of exceptions could continue under this proposed funding model, for example, medicine, where the number of Commonwealth supported places is currently capped. Under this proposed funding model, graduates from courses that lead to higher private financial benefit will be progressively taxed by the income tax system as they enter the workforce. Other graduates may accrue private benefits that might not be financial – that is where Australia’s income contingent loan (ICL) system is important.</w:t>
      </w:r>
      <w:r w:rsidR="000F2EFB">
        <w:rPr>
          <w:i/>
          <w:iCs/>
        </w:rPr>
        <w:t xml:space="preserve">” </w:t>
      </w:r>
      <w:r w:rsidR="000F2EFB">
        <w:t>– The Group of Eight</w:t>
      </w:r>
    </w:p>
    <w:p w14:paraId="4596FE2D" w14:textId="77777777" w:rsidR="00A90CAC" w:rsidRPr="00986B18" w:rsidRDefault="00A90CAC" w:rsidP="00A90CAC">
      <w:r>
        <w:lastRenderedPageBreak/>
        <w:t xml:space="preserve">On the other hand, the Australian Council of Deans of Arts, Social Sciences and Humanities proposed that fees should reflect the cost of delivering the course: </w:t>
      </w:r>
    </w:p>
    <w:p w14:paraId="39137F2E" w14:textId="30ACDA58" w:rsidR="00CF0D84" w:rsidRDefault="00CF0D84" w:rsidP="00CF0D84">
      <w:pPr>
        <w:ind w:left="360"/>
      </w:pPr>
      <w:r w:rsidRPr="00CF0D84">
        <w:rPr>
          <w:i/>
          <w:iCs/>
        </w:rPr>
        <w:t>“University fees should reflect the cost of university education which includes research…The variance between student and Commonwealth contributions must be consistent across all disciplines.”</w:t>
      </w:r>
      <w:r>
        <w:t xml:space="preserve"> – The Australian Council of Deans of Arts, Social Sciences and Humanities</w:t>
      </w:r>
    </w:p>
    <w:p w14:paraId="38436F8A" w14:textId="752C679C" w:rsidR="002C0481" w:rsidRPr="002C0481" w:rsidRDefault="00725023" w:rsidP="002C0481">
      <w:r>
        <w:t>Both the University of Queensland and Chartered Accountants Australia and New Zealand argued for student contribution rates to be linked in a tiered system to employment outcomes and potential earnings.</w:t>
      </w:r>
    </w:p>
    <w:p w14:paraId="680F9D6B" w14:textId="20CAE07C" w:rsidR="002278E0" w:rsidRPr="00EF77C9" w:rsidRDefault="00CB2BE9" w:rsidP="00B50A4C">
      <w:r>
        <w:t>Other submissions (</w:t>
      </w:r>
      <w:r w:rsidR="009B4C3D">
        <w:t>three</w:t>
      </w:r>
      <w:r>
        <w:t xml:space="preserve"> submissions) argued for the complete or partial re-introduction of fee free education</w:t>
      </w:r>
      <w:r w:rsidR="006544EB">
        <w:t>.</w:t>
      </w:r>
      <w:r>
        <w:t xml:space="preserve"> </w:t>
      </w:r>
      <w:r w:rsidR="00FE17A6">
        <w:t>Suggested v</w:t>
      </w:r>
      <w:r w:rsidR="00766E15">
        <w:t>ariations on fee free tertiary education included</w:t>
      </w:r>
      <w:r w:rsidR="009B4C3D">
        <w:t xml:space="preserve"> a</w:t>
      </w:r>
      <w:r w:rsidR="00085F47">
        <w:t xml:space="preserve">ll </w:t>
      </w:r>
      <w:r w:rsidR="002278E0">
        <w:t xml:space="preserve">initial degrees to be </w:t>
      </w:r>
      <w:r w:rsidR="009B4C3D">
        <w:t xml:space="preserve">free and </w:t>
      </w:r>
      <w:r w:rsidR="009B4C3D" w:rsidRPr="00EF77C9">
        <w:t>diploma level</w:t>
      </w:r>
      <w:r w:rsidR="00B50A4C" w:rsidRPr="00EF77C9">
        <w:t xml:space="preserve"> qualifications to be free. </w:t>
      </w:r>
    </w:p>
    <w:p w14:paraId="235BAF67" w14:textId="33056D94" w:rsidR="00CA2C97" w:rsidRPr="00EF77C9" w:rsidRDefault="00237E35" w:rsidP="00E3509F">
      <w:pPr>
        <w:pStyle w:val="Heading4"/>
      </w:pPr>
      <w:r w:rsidRPr="00EF77C9">
        <w:t>Increase funding available for new and upgraded i</w:t>
      </w:r>
      <w:r w:rsidR="00CA2C97" w:rsidRPr="00EF77C9">
        <w:t xml:space="preserve">nfrastructure </w:t>
      </w:r>
    </w:p>
    <w:p w14:paraId="4B431FEB" w14:textId="592B0FB4" w:rsidR="00764687" w:rsidRPr="00764687" w:rsidRDefault="00303549" w:rsidP="00837E78">
      <w:r w:rsidRPr="00EF77C9">
        <w:t>Six per</w:t>
      </w:r>
      <w:r w:rsidR="001C01B1" w:rsidRPr="00EF77C9">
        <w:t xml:space="preserve"> </w:t>
      </w:r>
      <w:r w:rsidRPr="00EF77C9">
        <w:t xml:space="preserve">cent </w:t>
      </w:r>
      <w:r w:rsidR="00922882" w:rsidRPr="00EF77C9">
        <w:t>of submissions (18 submission</w:t>
      </w:r>
      <w:r w:rsidR="001C01B1" w:rsidRPr="00EF77C9">
        <w:t>s</w:t>
      </w:r>
      <w:r w:rsidR="00922882" w:rsidRPr="00EF77C9">
        <w:t>) noted that i</w:t>
      </w:r>
      <w:r w:rsidR="00465F2F" w:rsidRPr="00EF77C9">
        <w:t>ncrease</w:t>
      </w:r>
      <w:r w:rsidR="00922882" w:rsidRPr="00EF77C9">
        <w:t>d</w:t>
      </w:r>
      <w:r w:rsidR="00465F2F" w:rsidRPr="00EF77C9">
        <w:t xml:space="preserve"> f</w:t>
      </w:r>
      <w:r w:rsidR="009D5F34" w:rsidRPr="00EF77C9">
        <w:t xml:space="preserve">unding </w:t>
      </w:r>
      <w:r w:rsidR="00465F2F" w:rsidRPr="00EF77C9">
        <w:t>to support</w:t>
      </w:r>
      <w:r w:rsidR="009D5F34" w:rsidRPr="00EF77C9">
        <w:t xml:space="preserve"> the ongoing costs of maintaining and upgrading infrastructure was a </w:t>
      </w:r>
      <w:r w:rsidR="00465F2F" w:rsidRPr="00EF77C9">
        <w:t>priority</w:t>
      </w:r>
      <w:r w:rsidR="009D5F34" w:rsidRPr="00EF77C9">
        <w:t xml:space="preserve"> in</w:t>
      </w:r>
      <w:r w:rsidR="00DF32AB" w:rsidRPr="00EF77C9">
        <w:t xml:space="preserve">. </w:t>
      </w:r>
      <w:r w:rsidR="00837D77" w:rsidRPr="00EF77C9">
        <w:t xml:space="preserve">Overall, the submissions provided limited detail </w:t>
      </w:r>
      <w:r w:rsidR="00DF32AB" w:rsidRPr="00EF77C9">
        <w:t>about</w:t>
      </w:r>
      <w:r w:rsidR="00837D77" w:rsidRPr="00EF77C9">
        <w:t xml:space="preserve"> how to finance an increase in infrastructure funding.</w:t>
      </w:r>
      <w:r w:rsidR="00837D77">
        <w:t xml:space="preserve"> </w:t>
      </w:r>
    </w:p>
    <w:p w14:paraId="429A603B" w14:textId="77777777" w:rsidR="006D139E" w:rsidRDefault="006D139E" w:rsidP="006D139E">
      <w:r>
        <w:t>Six submissions recommended the introduction of an infrastructure fund, including five that recommended a national fund which coordinates efforts with the states. It was recommended that this fund target regional and research infrastructure:</w:t>
      </w:r>
    </w:p>
    <w:p w14:paraId="7E5A39C5" w14:textId="12CD50E3" w:rsidR="00DA268E" w:rsidRPr="003A28CA" w:rsidRDefault="007E292C" w:rsidP="006D139E">
      <w:pPr>
        <w:ind w:left="720"/>
      </w:pPr>
      <w:r>
        <w:rPr>
          <w:i/>
          <w:iCs/>
        </w:rPr>
        <w:t>“</w:t>
      </w:r>
      <w:r w:rsidR="00F02FB4" w:rsidRPr="00F02FB4">
        <w:rPr>
          <w:i/>
          <w:iCs/>
        </w:rPr>
        <w:t>Increase funding and infrastructure that grows the research capacity, infrastructure and workforces of regional Australia and their universities</w:t>
      </w:r>
      <w:r w:rsidR="00F02FB4">
        <w:rPr>
          <w:i/>
          <w:iCs/>
        </w:rPr>
        <w:t xml:space="preserve">… </w:t>
      </w:r>
      <w:r w:rsidR="003A28CA" w:rsidRPr="003A28CA">
        <w:rPr>
          <w:i/>
          <w:iCs/>
        </w:rPr>
        <w:t>Re-establish a dedicated, significant education infrastructure fund</w:t>
      </w:r>
      <w:r w:rsidR="003A28CA">
        <w:rPr>
          <w:i/>
          <w:iCs/>
        </w:rPr>
        <w:t>”</w:t>
      </w:r>
      <w:r w:rsidR="003A28CA">
        <w:t xml:space="preserve"> – Regional Universities Network</w:t>
      </w:r>
    </w:p>
    <w:p w14:paraId="09B5656F" w14:textId="19691934" w:rsidR="00677FE1" w:rsidRDefault="00784388" w:rsidP="00E3509F">
      <w:pPr>
        <w:pStyle w:val="Heading4"/>
      </w:pPr>
      <w:bookmarkStart w:id="54" w:name="_Ref135208184"/>
      <w:r>
        <w:t xml:space="preserve">Change the </w:t>
      </w:r>
      <w:r w:rsidR="00DC711C">
        <w:t>Job</w:t>
      </w:r>
      <w:r>
        <w:t>-</w:t>
      </w:r>
      <w:r w:rsidR="00964D05">
        <w:t>r</w:t>
      </w:r>
      <w:r w:rsidR="00DC711C">
        <w:t xml:space="preserve">eady </w:t>
      </w:r>
      <w:r>
        <w:t>G</w:t>
      </w:r>
      <w:r w:rsidR="00DC711C">
        <w:t xml:space="preserve">raduates </w:t>
      </w:r>
      <w:r>
        <w:t>P</w:t>
      </w:r>
      <w:r w:rsidR="00DC711C">
        <w:t>ackage</w:t>
      </w:r>
      <w:bookmarkEnd w:id="54"/>
      <w:r w:rsidR="00837D77">
        <w:t xml:space="preserve"> </w:t>
      </w:r>
    </w:p>
    <w:p w14:paraId="3EBB56B5" w14:textId="77777777" w:rsidR="00086594" w:rsidRPr="00804425" w:rsidRDefault="00086594" w:rsidP="00086594">
      <w:r>
        <w:t>Nineteen per cent of submissions (58 submissions) discussed the Job-ready Graduates Package (JRG). All of these submissions called for changes to the JRG, including submissions that called for its partial or complete replacement.</w:t>
      </w:r>
    </w:p>
    <w:p w14:paraId="6AFAD9EF" w14:textId="77777777" w:rsidR="005314C9" w:rsidRPr="00804425" w:rsidRDefault="005314C9" w:rsidP="005314C9">
      <w:pPr>
        <w:pStyle w:val="Heading5"/>
      </w:pPr>
      <w:r>
        <w:t xml:space="preserve">Elements of </w:t>
      </w:r>
      <w:bookmarkStart w:id="55" w:name="_Hlk134702307"/>
      <w:r w:rsidRPr="008C4732">
        <w:t>Job-ready Graduates Package</w:t>
      </w:r>
      <w:r w:rsidRPr="008C4732" w:rsidDel="008C4732">
        <w:t xml:space="preserve"> </w:t>
      </w:r>
      <w:bookmarkEnd w:id="55"/>
      <w:r>
        <w:t>to be removed or replaced</w:t>
      </w:r>
    </w:p>
    <w:p w14:paraId="348789A1" w14:textId="77777777" w:rsidR="005314C9" w:rsidRPr="00E652DA" w:rsidRDefault="005314C9" w:rsidP="005314C9">
      <w:r>
        <w:t>Sixteen submissions discussed the JRG’s course completion and 50% pass requirements. This was the element of JRG that was most subject to suggestions that it should be removed. The most common reasoning for removing this element was that it has an unequal impact on cohorts that are underrepresented in higher education. For example, the Arts, Education and Law Group, Griffith University argued for discontinuation of the low completion rate measures:</w:t>
      </w:r>
    </w:p>
    <w:p w14:paraId="4EB7BD3B" w14:textId="77777777" w:rsidR="005314C9" w:rsidRPr="00E652DA" w:rsidRDefault="005314C9" w:rsidP="005314C9">
      <w:pPr>
        <w:ind w:left="360"/>
      </w:pPr>
      <w:r>
        <w:rPr>
          <w:i/>
          <w:iCs/>
        </w:rPr>
        <w:t>“</w:t>
      </w:r>
      <w:r w:rsidRPr="00E22D20">
        <w:rPr>
          <w:i/>
          <w:iCs/>
        </w:rPr>
        <w:t>These measures withdraw Commonwealth support for students who have failed more than 50 percent of their units after they have studied eight or more units. Low SES student cohorts are generally more adversely impacted than others through these measures. An increase in proactive student learning support and guidance intervention mechanisms would be more effective in enabling these student cohorts.</w:t>
      </w:r>
      <w:r>
        <w:rPr>
          <w:i/>
          <w:iCs/>
        </w:rPr>
        <w:t>”</w:t>
      </w:r>
      <w:r>
        <w:t xml:space="preserve"> – Arts, Education and Law Group, Griffith University</w:t>
      </w:r>
    </w:p>
    <w:p w14:paraId="461B1813" w14:textId="77777777" w:rsidR="002D70BC" w:rsidRPr="00E22D20" w:rsidRDefault="002D70BC" w:rsidP="002D70BC">
      <w:r>
        <w:lastRenderedPageBreak/>
        <w:t>Seven submissions suggested removing the price differences between courses, arguing that the change in prices has had limited impact on students’ decisions and does not consider the broader role higher education has in developing core work and career skills. This point was argued by Universities Australia:</w:t>
      </w:r>
    </w:p>
    <w:p w14:paraId="7428149B" w14:textId="5B2C91AF" w:rsidR="0060441B" w:rsidRDefault="0060441B" w:rsidP="001A7CB3">
      <w:pPr>
        <w:ind w:left="360"/>
      </w:pPr>
      <w:r>
        <w:rPr>
          <w:i/>
          <w:iCs/>
        </w:rPr>
        <w:t>“</w:t>
      </w:r>
      <w:r w:rsidR="001A7CB3" w:rsidRPr="001A7CB3">
        <w:rPr>
          <w:i/>
          <w:iCs/>
        </w:rPr>
        <w:t>Price signalling and student contribution amounts</w:t>
      </w:r>
      <w:r w:rsidR="001A7CB3">
        <w:rPr>
          <w:i/>
          <w:iCs/>
        </w:rPr>
        <w:t xml:space="preserve">. </w:t>
      </w:r>
      <w:r w:rsidR="001A7CB3" w:rsidRPr="001A7CB3">
        <w:rPr>
          <w:i/>
          <w:iCs/>
        </w:rPr>
        <w:t>JRG has vastly widened the range of student contribution amounts (SCAs). The restructured SCAs were intended to influence student choices when picking courses. By providing incentives to study some courses over others, more students were expected to take up courses which the government viewed as national priorities. Price signalling as a driver of student choice in degrees does not work. Students’ interests and career aspirations have a far greater impact on their choice of degree. Policy should, therefore, be focused on promoting the value and quality of degrees, rather than relying on pricing strategies to attract students into certain areas of study. Focusing on price signalling also ignores the role of higher education in providing students with a solid foundation for lifelong learning. One of the goals of higher education should be to provide students with the knowledge, skills and experiences they need to thrive in their career and contribute positively to the advancement of our nation, regardless of the course they choose to study.</w:t>
      </w:r>
      <w:r w:rsidR="001A7CB3">
        <w:rPr>
          <w:i/>
          <w:iCs/>
        </w:rPr>
        <w:t>”</w:t>
      </w:r>
      <w:r w:rsidR="001A7CB3">
        <w:t xml:space="preserve"> – Universities Australia </w:t>
      </w:r>
    </w:p>
    <w:p w14:paraId="221F73C6" w14:textId="77777777" w:rsidR="00210B55" w:rsidRDefault="00210B55" w:rsidP="00210B55">
      <w:r>
        <w:t>Three submissions called for a</w:t>
      </w:r>
      <w:r w:rsidDel="00A5131F">
        <w:t xml:space="preserve"> </w:t>
      </w:r>
      <w:r>
        <w:t xml:space="preserve">reversal of the decrease in funding available for enabling programs. They reasoned that these programs have an important role in supporting underrepresented cohorts to access higher education. </w:t>
      </w:r>
    </w:p>
    <w:p w14:paraId="2BA93B76" w14:textId="7F79E4E0" w:rsidR="00210B55" w:rsidRPr="00E652DA" w:rsidRDefault="00210B55" w:rsidP="00210B55">
      <w:r>
        <w:t xml:space="preserve">Finally, </w:t>
      </w:r>
      <w:r w:rsidR="00E57BEA">
        <w:t>four</w:t>
      </w:r>
      <w:r>
        <w:t xml:space="preserve"> submissions argued for a reversal of the JRG’s change to the funding arrangements which reduced the per-student funding received by universities. </w:t>
      </w:r>
    </w:p>
    <w:p w14:paraId="345D73C6" w14:textId="79E4F7AE" w:rsidR="003C09BD" w:rsidRPr="00E652DA" w:rsidRDefault="003C09BD" w:rsidP="00FF3A65">
      <w:pPr>
        <w:pStyle w:val="Heading5"/>
      </w:pPr>
      <w:r>
        <w:t xml:space="preserve">Elements of </w:t>
      </w:r>
      <w:r w:rsidR="008262C6" w:rsidRPr="008C4732">
        <w:t>Job-ready Graduates Package</w:t>
      </w:r>
      <w:r w:rsidR="008262C6" w:rsidRPr="008C4732" w:rsidDel="008C4732">
        <w:t xml:space="preserve"> </w:t>
      </w:r>
      <w:r>
        <w:t>to be retained</w:t>
      </w:r>
    </w:p>
    <w:p w14:paraId="6263C902" w14:textId="77777777" w:rsidR="00325D0E" w:rsidRDefault="00325D0E" w:rsidP="00325D0E">
      <w:r>
        <w:t xml:space="preserve">Submissions identified some elements of the Job-ready Graduates Package as successful. These include: </w:t>
      </w:r>
    </w:p>
    <w:p w14:paraId="5A0856FC" w14:textId="3892DB26" w:rsidR="00DA06A9" w:rsidRDefault="00325D0E" w:rsidP="001E2BF6">
      <w:pPr>
        <w:pStyle w:val="ListParagraph"/>
        <w:numPr>
          <w:ilvl w:val="0"/>
          <w:numId w:val="12"/>
        </w:numPr>
      </w:pPr>
      <w:r>
        <w:t>l</w:t>
      </w:r>
      <w:r w:rsidR="00FF3A65">
        <w:t>inking f</w:t>
      </w:r>
      <w:r w:rsidR="00DA06A9">
        <w:t xml:space="preserve">unding </w:t>
      </w:r>
      <w:r w:rsidR="00FF3A65">
        <w:t xml:space="preserve">to inflation </w:t>
      </w:r>
      <w:r w:rsidR="002615A5">
        <w:t>(3 submissions)</w:t>
      </w:r>
      <w:r w:rsidR="00FF3A65">
        <w:t>,</w:t>
      </w:r>
      <w:r w:rsidR="00DA06A9">
        <w:t xml:space="preserve"> </w:t>
      </w:r>
    </w:p>
    <w:p w14:paraId="5CAD2338" w14:textId="6B9E1356" w:rsidR="002615A5" w:rsidRDefault="00325D0E" w:rsidP="001E2BF6">
      <w:pPr>
        <w:pStyle w:val="ListParagraph"/>
        <w:numPr>
          <w:ilvl w:val="0"/>
          <w:numId w:val="12"/>
        </w:numPr>
      </w:pPr>
      <w:r>
        <w:t>t</w:t>
      </w:r>
      <w:r w:rsidR="002615A5">
        <w:t>he increase in demand-driven places for regional First Nations students (2 submissions) and,</w:t>
      </w:r>
    </w:p>
    <w:p w14:paraId="767BA0D2" w14:textId="54E73A07" w:rsidR="00DA06A9" w:rsidRPr="00E652DA" w:rsidRDefault="00DA06A9" w:rsidP="001E2BF6">
      <w:pPr>
        <w:pStyle w:val="ListParagraph"/>
        <w:numPr>
          <w:ilvl w:val="0"/>
          <w:numId w:val="12"/>
        </w:numPr>
      </w:pPr>
      <w:r>
        <w:t>The transitional funding arrangements introduced to support the change</w:t>
      </w:r>
      <w:r w:rsidR="002615A5">
        <w:t xml:space="preserve"> (2 submissions)</w:t>
      </w:r>
      <w:r>
        <w:t>.</w:t>
      </w:r>
      <w:r w:rsidR="003B6341">
        <w:t xml:space="preserve"> It was argued that any future changes should be accompanied with transitional funding arrangements.</w:t>
      </w:r>
    </w:p>
    <w:p w14:paraId="7DB8181D" w14:textId="77777777" w:rsidR="00677FE1" w:rsidRDefault="00677FE1" w:rsidP="00677FE1">
      <w:pPr>
        <w:pStyle w:val="Heading3"/>
      </w:pPr>
      <w:bookmarkStart w:id="56" w:name="_Ref134716659"/>
      <w:bookmarkStart w:id="57" w:name="_Toc134807423"/>
      <w:r>
        <w:t>Strong governance and accountability</w:t>
      </w:r>
      <w:bookmarkEnd w:id="56"/>
      <w:bookmarkEnd w:id="57"/>
    </w:p>
    <w:p w14:paraId="0CF847E5" w14:textId="02F77238" w:rsidR="00BD738E" w:rsidRDefault="007824BF" w:rsidP="005B15B5">
      <w:r>
        <w:t>The</w:t>
      </w:r>
      <w:r w:rsidR="00325D0E">
        <w:t xml:space="preserve"> D</w:t>
      </w:r>
      <w:r>
        <w:t xml:space="preserve">iscussion </w:t>
      </w:r>
      <w:r w:rsidR="00325D0E">
        <w:t>P</w:t>
      </w:r>
      <w:r>
        <w:t>aper n</w:t>
      </w:r>
      <w:r w:rsidR="00AC1EB5">
        <w:t xml:space="preserve">oted that </w:t>
      </w:r>
      <w:r w:rsidR="0077793E">
        <w:t>“</w:t>
      </w:r>
      <w:r w:rsidR="001E4B3E">
        <w:t>t</w:t>
      </w:r>
      <w:r w:rsidR="0077793E">
        <w:t>he</w:t>
      </w:r>
      <w:r w:rsidR="00E57A81" w:rsidRPr="00E57A81">
        <w:t xml:space="preserve"> regulatory and reporting landscape for higher education is crowded and complicated</w:t>
      </w:r>
      <w:r w:rsidR="00E57A81">
        <w:t>”</w:t>
      </w:r>
      <w:r w:rsidR="00841FC2">
        <w:t>.</w:t>
      </w:r>
    </w:p>
    <w:p w14:paraId="3F0A12B5" w14:textId="31730B34" w:rsidR="003A0ABA" w:rsidRDefault="00BD738E" w:rsidP="005B15B5">
      <w:r>
        <w:t>Governance and accountability</w:t>
      </w:r>
      <w:r w:rsidR="0078576D">
        <w:t xml:space="preserve"> </w:t>
      </w:r>
      <w:proofErr w:type="gramStart"/>
      <w:r w:rsidR="0078576D">
        <w:t>was</w:t>
      </w:r>
      <w:proofErr w:type="gramEnd"/>
      <w:r w:rsidR="0078576D">
        <w:t xml:space="preserve"> a prominent topic in the submissions, included in 1</w:t>
      </w:r>
      <w:r w:rsidR="00B203B1">
        <w:t>7</w:t>
      </w:r>
      <w:r w:rsidR="0078576D">
        <w:t>% of submissions (5</w:t>
      </w:r>
      <w:r w:rsidR="00FD7E3E">
        <w:t>3</w:t>
      </w:r>
      <w:r w:rsidR="0078576D">
        <w:t xml:space="preserve"> </w:t>
      </w:r>
      <w:r w:rsidR="0078576D" w:rsidRPr="00B658C2">
        <w:t>submissions).</w:t>
      </w:r>
      <w:r w:rsidR="001F07D7">
        <w:t xml:space="preserve"> </w:t>
      </w:r>
      <w:r w:rsidR="00841FC2">
        <w:t>K</w:t>
      </w:r>
      <w:r w:rsidR="003A0ABA">
        <w:t>ey recommendations</w:t>
      </w:r>
      <w:r w:rsidR="00841FC2">
        <w:t xml:space="preserve"> were</w:t>
      </w:r>
      <w:r w:rsidR="003A0ABA">
        <w:t xml:space="preserve">: </w:t>
      </w:r>
    </w:p>
    <w:p w14:paraId="6A3A7D57" w14:textId="74404A60" w:rsidR="00E57A81" w:rsidRPr="005B15B5" w:rsidRDefault="00841FC2" w:rsidP="003A0ABA">
      <w:pPr>
        <w:pStyle w:val="ListParagraph"/>
        <w:numPr>
          <w:ilvl w:val="0"/>
          <w:numId w:val="70"/>
        </w:numPr>
      </w:pPr>
      <w:r>
        <w:t>develop a</w:t>
      </w:r>
      <w:r w:rsidR="003A0ABA">
        <w:t xml:space="preserve"> coordinated national approach to regulating the sector (13 submissions)</w:t>
      </w:r>
    </w:p>
    <w:p w14:paraId="7EFFD843" w14:textId="255FDA66" w:rsidR="003A0ABA" w:rsidRDefault="00841FC2" w:rsidP="003A0ABA">
      <w:pPr>
        <w:pStyle w:val="ListParagraph"/>
        <w:numPr>
          <w:ilvl w:val="0"/>
          <w:numId w:val="70"/>
        </w:numPr>
      </w:pPr>
      <w:r>
        <w:t>review the Tertiary Education Quality and Standards Agency (</w:t>
      </w:r>
      <w:r w:rsidR="003A0ABA">
        <w:t>TEQSA</w:t>
      </w:r>
      <w:r>
        <w:t>)</w:t>
      </w:r>
      <w:r w:rsidR="003A0ABA">
        <w:t xml:space="preserve"> (</w:t>
      </w:r>
      <w:r>
        <w:t>9</w:t>
      </w:r>
      <w:r w:rsidR="003A0ABA">
        <w:t xml:space="preserve"> submissions)</w:t>
      </w:r>
    </w:p>
    <w:p w14:paraId="11F029EC" w14:textId="560A9F2E" w:rsidR="003A0ABA" w:rsidRDefault="003D0205" w:rsidP="003A0ABA">
      <w:pPr>
        <w:pStyle w:val="ListParagraph"/>
        <w:numPr>
          <w:ilvl w:val="0"/>
          <w:numId w:val="70"/>
        </w:numPr>
      </w:pPr>
      <w:r>
        <w:lastRenderedPageBreak/>
        <w:t>i</w:t>
      </w:r>
      <w:r w:rsidR="003A0ABA">
        <w:t>ntroduce improved academic integrity approaches (16 submissions)</w:t>
      </w:r>
    </w:p>
    <w:p w14:paraId="4F43279F" w14:textId="77777777" w:rsidR="003A0ABA" w:rsidRDefault="003A0ABA" w:rsidP="003A0ABA">
      <w:r>
        <w:t>These points are discussed in detail below.</w:t>
      </w:r>
    </w:p>
    <w:p w14:paraId="44E0F7D3" w14:textId="31D73E80" w:rsidR="00CA7076" w:rsidRDefault="00314DEE" w:rsidP="00314DEE">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11</w:t>
      </w:r>
      <w:r w:rsidR="008444D3">
        <w:rPr>
          <w:noProof/>
        </w:rPr>
        <w:fldChar w:fldCharType="end"/>
      </w:r>
      <w:r>
        <w:t xml:space="preserve"> | </w:t>
      </w:r>
      <w:r w:rsidR="00926942" w:rsidRPr="00926942">
        <w:t>Distribution of submissions – Strong governance and accountability (N=53)</w:t>
      </w:r>
    </w:p>
    <w:p w14:paraId="240A5C0B" w14:textId="1A79A164" w:rsidR="008C2D23" w:rsidRDefault="001204A3" w:rsidP="003A0ABA">
      <w:r w:rsidRPr="001204A3">
        <w:rPr>
          <w:noProof/>
        </w:rPr>
        <w:drawing>
          <wp:inline distT="0" distB="0" distL="0" distR="0" wp14:anchorId="2D78F475" wp14:editId="7DE48BD7">
            <wp:extent cx="5835650" cy="2615565"/>
            <wp:effectExtent l="0" t="0" r="0" b="0"/>
            <wp:docPr id="59" name="Picture 59" descr="Bar graph. &#10;Fifty three submissions responded to the topic, strong governance and accountability.&#10;Graph data:&#10;Individual - 17&#10;Other advocacy - 9&#10;University - 6&#10;University staff - 5&#10;Other higher education - 5&#10;Professional association - 4&#10;Student representatives - 2&#10;First Nations organisation - 2&#10;Higher education peak body - 1&#10;Independent - 1&#10;Regional networks and support services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Bar graph. &#10;Fifty three submissions responded to the topic, strong governance and accountability.&#10;Graph data:&#10;Individual - 17&#10;Other advocacy - 9&#10;University - 6&#10;University staff - 5&#10;Other higher education - 5&#10;Professional association - 4&#10;Student representatives - 2&#10;First Nations organisation - 2&#10;Higher education peak body - 1&#10;Independent - 1&#10;Regional networks and support services -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5650" cy="2615565"/>
                    </a:xfrm>
                    <a:prstGeom prst="rect">
                      <a:avLst/>
                    </a:prstGeom>
                    <a:noFill/>
                    <a:ln>
                      <a:noFill/>
                    </a:ln>
                  </pic:spPr>
                </pic:pic>
              </a:graphicData>
            </a:graphic>
          </wp:inline>
        </w:drawing>
      </w:r>
    </w:p>
    <w:p w14:paraId="567EAA18" w14:textId="3CA1B883" w:rsidR="00856041" w:rsidRDefault="00CC3EF0" w:rsidP="00856041">
      <w:pPr>
        <w:pStyle w:val="Heading4"/>
      </w:pPr>
      <w:r>
        <w:t>Reform the sector’s r</w:t>
      </w:r>
      <w:r w:rsidR="00856041">
        <w:t>egulat</w:t>
      </w:r>
      <w:r>
        <w:t>ory</w:t>
      </w:r>
      <w:r w:rsidR="00856041">
        <w:t xml:space="preserve"> and governance</w:t>
      </w:r>
      <w:r>
        <w:t xml:space="preserve"> environment</w:t>
      </w:r>
    </w:p>
    <w:p w14:paraId="651DC608" w14:textId="0DC49207" w:rsidR="006F06BE" w:rsidRPr="00E3240C" w:rsidRDefault="007C3FE7" w:rsidP="006F06BE">
      <w:r w:rsidRPr="00B658C2">
        <w:t>The discussion</w:t>
      </w:r>
      <w:r>
        <w:t xml:space="preserve"> paper posed two questions about regulation and governance to unpack</w:t>
      </w:r>
      <w:r w:rsidR="00415AD2">
        <w:t>:</w:t>
      </w:r>
      <w:r>
        <w:t xml:space="preserve"> what reforms would enable the higher education sector to meet contemporary demands</w:t>
      </w:r>
      <w:r w:rsidR="00084E99">
        <w:t>;</w:t>
      </w:r>
      <w:r>
        <w:t xml:space="preserve"> and how a more coherent national governance system for higher education could be achieved. </w:t>
      </w:r>
    </w:p>
    <w:p w14:paraId="430321C3" w14:textId="7D74804A" w:rsidR="00F7359C" w:rsidRDefault="00F7359C" w:rsidP="00F7359C">
      <w:pPr>
        <w:pStyle w:val="Heading5"/>
      </w:pPr>
      <w:r>
        <w:t>Reducing the burden of regulation</w:t>
      </w:r>
    </w:p>
    <w:p w14:paraId="43EC9E1C" w14:textId="77777777" w:rsidR="00D8719F" w:rsidRDefault="00D8719F" w:rsidP="00D8719F">
      <w:r>
        <w:t xml:space="preserve">Submissions made a variety of suggestions, with little commonality among them, for reducing the burden of regulation in the higher education sector. The submissions did, however, largely agree on a set of common principles for higher education regulation: </w:t>
      </w:r>
    </w:p>
    <w:p w14:paraId="63336BB9" w14:textId="52F67B37" w:rsidR="00D164EC" w:rsidRDefault="00D164EC" w:rsidP="00054202">
      <w:pPr>
        <w:pStyle w:val="ListParagraph"/>
        <w:numPr>
          <w:ilvl w:val="0"/>
          <w:numId w:val="43"/>
        </w:numPr>
      </w:pPr>
      <w:r>
        <w:t>The Accord should not increase regulatory compliance obligations</w:t>
      </w:r>
      <w:r w:rsidR="00E56B6C">
        <w:t>.</w:t>
      </w:r>
    </w:p>
    <w:p w14:paraId="7535EA72" w14:textId="54E1D62E" w:rsidR="00D164EC" w:rsidRDefault="00D164EC" w:rsidP="00054202">
      <w:pPr>
        <w:pStyle w:val="ListParagraph"/>
        <w:numPr>
          <w:ilvl w:val="0"/>
          <w:numId w:val="43"/>
        </w:numPr>
      </w:pPr>
      <w:r>
        <w:t>The need for accountability is balanced with streamlining obligations for institutions</w:t>
      </w:r>
      <w:r w:rsidR="00E56B6C">
        <w:t>.</w:t>
      </w:r>
    </w:p>
    <w:p w14:paraId="2B567DA3" w14:textId="49B8D5FF" w:rsidR="00D164EC" w:rsidRDefault="003D5943" w:rsidP="00054202">
      <w:pPr>
        <w:pStyle w:val="ListParagraph"/>
        <w:numPr>
          <w:ilvl w:val="0"/>
          <w:numId w:val="43"/>
        </w:numPr>
      </w:pPr>
      <w:r>
        <w:t>The regulatory environment should encourage collaboration between stakeholders in the sector</w:t>
      </w:r>
      <w:r w:rsidR="00E56B6C">
        <w:t>.</w:t>
      </w:r>
    </w:p>
    <w:p w14:paraId="7092D122" w14:textId="5AFC3071" w:rsidR="005B103C" w:rsidRDefault="00577551" w:rsidP="006B7BFF">
      <w:r>
        <w:t>Thirteen</w:t>
      </w:r>
      <w:r w:rsidR="000537C3">
        <w:t xml:space="preserve"> submissions argued for a more coordinated national approach to regulating the sector</w:t>
      </w:r>
      <w:r>
        <w:t>. H</w:t>
      </w:r>
      <w:r w:rsidR="00105ADA">
        <w:t>owever</w:t>
      </w:r>
      <w:r w:rsidR="00740E0E">
        <w:t>,</w:t>
      </w:r>
      <w:r w:rsidR="00105ADA">
        <w:t xml:space="preserve"> there was limited alignment over the best approach and which elements of the regulatory environment </w:t>
      </w:r>
      <w:r w:rsidR="005145CC">
        <w:t>to focus on.</w:t>
      </w:r>
      <w:r w:rsidR="000537C3">
        <w:t xml:space="preserve"> </w:t>
      </w:r>
    </w:p>
    <w:p w14:paraId="588A0F13" w14:textId="705A063A" w:rsidR="005145CC" w:rsidRDefault="00244BB9" w:rsidP="006B7BFF">
      <w:r>
        <w:t xml:space="preserve">Five submissions </w:t>
      </w:r>
      <w:r w:rsidR="00982817">
        <w:t xml:space="preserve">argued for a </w:t>
      </w:r>
      <w:r w:rsidR="00AE19CD">
        <w:t>n</w:t>
      </w:r>
      <w:r w:rsidR="00982817">
        <w:t xml:space="preserve">ational </w:t>
      </w:r>
      <w:r w:rsidR="00341E15">
        <w:t xml:space="preserve">body to </w:t>
      </w:r>
      <w:r w:rsidR="00F0479E">
        <w:t xml:space="preserve">coordinate and lead regulation across the sector. </w:t>
      </w:r>
      <w:r w:rsidR="00A90B58">
        <w:t xml:space="preserve">This included two submissions </w:t>
      </w:r>
      <w:r w:rsidR="00036765">
        <w:t xml:space="preserve">that </w:t>
      </w:r>
      <w:r w:rsidR="00490ABD">
        <w:t xml:space="preserve">encouraged the </w:t>
      </w:r>
      <w:r w:rsidR="00B718C8">
        <w:t xml:space="preserve">re-establishment of the Tertiary Education Commission </w:t>
      </w:r>
      <w:r w:rsidR="00BB404C">
        <w:t>as a body which would sit</w:t>
      </w:r>
      <w:r w:rsidR="00A84D67">
        <w:t xml:space="preserve"> between government and the tertiary education sector. The Group of Eight </w:t>
      </w:r>
      <w:r w:rsidR="006144FB">
        <w:t>described the potential role of the Tertiary Education Commission.</w:t>
      </w:r>
    </w:p>
    <w:p w14:paraId="18C857EA" w14:textId="3D57CA15" w:rsidR="006144FB" w:rsidRDefault="006144FB" w:rsidP="00800FF9">
      <w:pPr>
        <w:ind w:left="720"/>
      </w:pPr>
      <w:r>
        <w:rPr>
          <w:i/>
          <w:iCs/>
        </w:rPr>
        <w:t>“</w:t>
      </w:r>
      <w:r w:rsidR="00800FF9" w:rsidRPr="00800FF9">
        <w:rPr>
          <w:i/>
          <w:iCs/>
        </w:rPr>
        <w:t xml:space="preserve">The role of the Commission, in general terms, would be to provide long term, coordinated, and expert advice to government on higher education policy matters. This would ensure that </w:t>
      </w:r>
      <w:r w:rsidR="00800FF9" w:rsidRPr="00800FF9">
        <w:rPr>
          <w:i/>
          <w:iCs/>
        </w:rPr>
        <w:lastRenderedPageBreak/>
        <w:t>the tertiary education sector is established and maintained as a seamless sector, responsive to the changing needs of the Australian community and economy and with a continuity of approach across electoral cycles.</w:t>
      </w:r>
      <w:r w:rsidR="00800FF9">
        <w:rPr>
          <w:i/>
          <w:iCs/>
        </w:rPr>
        <w:t>”</w:t>
      </w:r>
      <w:r w:rsidR="00800FF9">
        <w:t xml:space="preserve"> – The Group of Eight</w:t>
      </w:r>
    </w:p>
    <w:p w14:paraId="75A7E481" w14:textId="4EAA7FEA" w:rsidR="00C07E61" w:rsidRDefault="00C07E61" w:rsidP="00C07E61">
      <w:r>
        <w:t>Short of establishing a new oversight body, five submissions suggested alternative approaches to creating a more coordinated national approach to regulation. These included establishing a national regulation governance framework which encourages collaboration between universities. In addition, three submissions argued that the Australian Government should work to coordinate effort with state governments. This was recommended by the University of New South Wales:</w:t>
      </w:r>
    </w:p>
    <w:p w14:paraId="44F61895" w14:textId="77777777" w:rsidR="00C07E61" w:rsidRDefault="00C07E61" w:rsidP="00C07E61">
      <w:pPr>
        <w:ind w:left="720"/>
      </w:pPr>
      <w:r>
        <w:rPr>
          <w:i/>
          <w:iCs/>
        </w:rPr>
        <w:t>“</w:t>
      </w:r>
      <w:r w:rsidRPr="009379F4">
        <w:rPr>
          <w:i/>
          <w:iCs/>
        </w:rPr>
        <w:t>Recommendation 24: Work should be undertaken between the Commonwealth and state governments to better harmonise regulations and funding models covering the different types of education.</w:t>
      </w:r>
      <w:r>
        <w:rPr>
          <w:i/>
          <w:iCs/>
        </w:rPr>
        <w:t>”</w:t>
      </w:r>
      <w:r>
        <w:t xml:space="preserve"> – University of New South Wales</w:t>
      </w:r>
      <w:r w:rsidDel="003409E6">
        <w:t xml:space="preserve"> </w:t>
      </w:r>
    </w:p>
    <w:p w14:paraId="3019DF60" w14:textId="77777777" w:rsidR="00C07E61" w:rsidRDefault="00C07E61" w:rsidP="00C07E61">
      <w:r>
        <w:t xml:space="preserve">On the other hand, two submissions challenged the perspective that the sector should adopt a more national approach, arguing that an approach that values the specific needs of each state, local region or university would have better outcomes. </w:t>
      </w:r>
    </w:p>
    <w:p w14:paraId="6B9B3825" w14:textId="77777777" w:rsidR="00C07E61" w:rsidRDefault="00C07E61" w:rsidP="00C07E61">
      <w:r>
        <w:t xml:space="preserve">Nine submissions called for a review of TEQSA to focus on different topics to investigate: </w:t>
      </w:r>
    </w:p>
    <w:p w14:paraId="3CC5CE37" w14:textId="77777777" w:rsidR="00C07E61" w:rsidRDefault="00C07E61" w:rsidP="00C07E61">
      <w:pPr>
        <w:pStyle w:val="ListParagraph"/>
        <w:numPr>
          <w:ilvl w:val="0"/>
          <w:numId w:val="42"/>
        </w:numPr>
      </w:pPr>
      <w:r>
        <w:t>the potential for TEQSA to regulate both the higher education and VET sectors (5 submissions)</w:t>
      </w:r>
    </w:p>
    <w:p w14:paraId="0B84E7AE" w14:textId="77777777" w:rsidR="00C07E61" w:rsidRDefault="00C07E61" w:rsidP="00C07E61">
      <w:pPr>
        <w:pStyle w:val="ListParagraph"/>
        <w:numPr>
          <w:ilvl w:val="0"/>
          <w:numId w:val="42"/>
        </w:numPr>
      </w:pPr>
      <w:r>
        <w:t>TEQSA’s role in tackling sexual assault and harassment on university campuses (2 submissions)</w:t>
      </w:r>
    </w:p>
    <w:p w14:paraId="04B8AD92" w14:textId="77777777" w:rsidR="00C07E61" w:rsidRDefault="00C07E61" w:rsidP="00C07E61">
      <w:pPr>
        <w:pStyle w:val="ListParagraph"/>
        <w:numPr>
          <w:ilvl w:val="0"/>
          <w:numId w:val="42"/>
        </w:numPr>
      </w:pPr>
      <w:r>
        <w:t>increased flexibility to allow TEQSA to engage with businesses (1 submission)</w:t>
      </w:r>
    </w:p>
    <w:p w14:paraId="3BE765B9" w14:textId="77777777" w:rsidR="00C07E61" w:rsidRDefault="00C07E61" w:rsidP="00C07E61">
      <w:pPr>
        <w:pStyle w:val="ListParagraph"/>
        <w:numPr>
          <w:ilvl w:val="0"/>
          <w:numId w:val="42"/>
        </w:numPr>
      </w:pPr>
      <w:r>
        <w:t>expanding TEQSA’s role in reviewing social work programs (1 submission).</w:t>
      </w:r>
    </w:p>
    <w:p w14:paraId="3BF75B8F" w14:textId="5A2AF3BC" w:rsidR="00677FE1" w:rsidRDefault="00237E35" w:rsidP="00677FE1">
      <w:pPr>
        <w:pStyle w:val="Heading4"/>
      </w:pPr>
      <w:r>
        <w:t>Reinforce academic integrity in higher education</w:t>
      </w:r>
    </w:p>
    <w:p w14:paraId="36CFF11D" w14:textId="77777777" w:rsidR="00C829CA" w:rsidRDefault="00C829CA" w:rsidP="00C829CA">
      <w:r>
        <w:t xml:space="preserve">Sixteen submissions commented on academic integrity and encouraged greater efforts to promote academic integrity in higher education. The primary challenge to academic integrity identified across the submissions is managing the risks associated with new technologies, in particular the increasing use of artificial intelligence (AI). Potential solutions were proposed:  </w:t>
      </w:r>
    </w:p>
    <w:p w14:paraId="6261AA9E" w14:textId="77777777" w:rsidR="00C829CA" w:rsidRDefault="00C829CA" w:rsidP="00C829CA">
      <w:pPr>
        <w:pStyle w:val="ListParagraph"/>
        <w:numPr>
          <w:ilvl w:val="0"/>
          <w:numId w:val="21"/>
        </w:numPr>
      </w:pPr>
      <w:r>
        <w:t>educate students on the effective use of AI and incorporate AI usage into curriculum (4 submissions)</w:t>
      </w:r>
    </w:p>
    <w:p w14:paraId="57DB5B5E" w14:textId="77777777" w:rsidR="00C829CA" w:rsidRDefault="00C829CA" w:rsidP="00C829CA">
      <w:pPr>
        <w:pStyle w:val="ListParagraph"/>
        <w:numPr>
          <w:ilvl w:val="0"/>
          <w:numId w:val="21"/>
        </w:numPr>
      </w:pPr>
      <w:r>
        <w:t>incentivise high quality teaching and learning practices that incorporate technology into curriculum and increase opportunities for feedback (4 submissions)</w:t>
      </w:r>
    </w:p>
    <w:p w14:paraId="154D1B8A" w14:textId="77777777" w:rsidR="00C829CA" w:rsidRDefault="00C829CA" w:rsidP="00C829CA">
      <w:pPr>
        <w:pStyle w:val="ListParagraph"/>
        <w:numPr>
          <w:ilvl w:val="0"/>
          <w:numId w:val="21"/>
        </w:numPr>
      </w:pPr>
      <w:r>
        <w:t>emphasise the importance of peer review and the role of publishers in monitoring plagiarism (2 submissions)</w:t>
      </w:r>
    </w:p>
    <w:p w14:paraId="4A26304F" w14:textId="77777777" w:rsidR="00C829CA" w:rsidRDefault="00C829CA" w:rsidP="00C829CA">
      <w:pPr>
        <w:pStyle w:val="ListParagraph"/>
        <w:numPr>
          <w:ilvl w:val="0"/>
          <w:numId w:val="21"/>
        </w:numPr>
      </w:pPr>
      <w:r>
        <w:t>increase the use of work-integrated learning to ensure students can apply theoretical skill sets. Using industry-based assessment to replace written assessment reduces the incentive for students to undertake academic misconduct (2 submissions)</w:t>
      </w:r>
    </w:p>
    <w:p w14:paraId="361822DD" w14:textId="77777777" w:rsidR="00C829CA" w:rsidRDefault="00C829CA" w:rsidP="00C829CA">
      <w:pPr>
        <w:pStyle w:val="ListParagraph"/>
        <w:numPr>
          <w:ilvl w:val="0"/>
          <w:numId w:val="21"/>
        </w:numPr>
      </w:pPr>
      <w:r>
        <w:t>increase the use of technology to detect integrity malpractice (1 submission).</w:t>
      </w:r>
    </w:p>
    <w:p w14:paraId="181B32C9" w14:textId="5CA3DC07" w:rsidR="00677FE1" w:rsidRDefault="00CC3EF0" w:rsidP="00677FE1">
      <w:pPr>
        <w:pStyle w:val="Heading4"/>
      </w:pPr>
      <w:r>
        <w:lastRenderedPageBreak/>
        <w:t>Redesign i</w:t>
      </w:r>
      <w:r w:rsidR="00677FE1">
        <w:t>nstitutional governance structures</w:t>
      </w:r>
    </w:p>
    <w:p w14:paraId="1FD1FF0A" w14:textId="77777777" w:rsidR="00EE6239" w:rsidRDefault="00EE6239" w:rsidP="00EE6239">
      <w:bookmarkStart w:id="58" w:name="_Ref134721500"/>
      <w:r>
        <w:t>The submissions contained limited discussion about the appropriate institutional governance structures (3 submissions). These submissions proposed regulations that restructure university boards to include greater representation from students, staff, alumni and underrepresented cohorts.</w:t>
      </w:r>
    </w:p>
    <w:p w14:paraId="5631D86E" w14:textId="4C59B016" w:rsidR="00EE6239" w:rsidRPr="006354B7" w:rsidRDefault="00EE6239" w:rsidP="00EE6239">
      <w:pPr>
        <w:rPr>
          <w:i/>
          <w:iCs/>
          <w:u w:val="single"/>
        </w:rPr>
      </w:pPr>
      <w:r>
        <w:t>Seven submissions argued for the creation of individual university accords to replace the existing compacts and funding arrangements with federal government. A more in-depth discussion about individual university accords is in the</w:t>
      </w:r>
      <w:r w:rsidR="00AF5DC7">
        <w:t xml:space="preserve"> section</w:t>
      </w:r>
      <w:r w:rsidR="00DE7F14">
        <w:t xml:space="preserve"> </w:t>
      </w:r>
      <w:r w:rsidR="00DE7F14" w:rsidRPr="00DE7F14">
        <w:rPr>
          <w:i/>
          <w:iCs/>
          <w:u w:val="single"/>
        </w:rPr>
        <w:fldChar w:fldCharType="begin"/>
      </w:r>
      <w:r w:rsidR="00DE7F14" w:rsidRPr="00DE7F14">
        <w:rPr>
          <w:i/>
          <w:iCs/>
          <w:u w:val="single"/>
        </w:rPr>
        <w:instrText xml:space="preserve"> REF _Ref135211810 \h  \* MERGEFORMAT </w:instrText>
      </w:r>
      <w:r w:rsidR="00DE7F14" w:rsidRPr="00DE7F14">
        <w:rPr>
          <w:i/>
          <w:iCs/>
          <w:u w:val="single"/>
        </w:rPr>
      </w:r>
      <w:r w:rsidR="00DE7F14" w:rsidRPr="00DE7F14">
        <w:rPr>
          <w:i/>
          <w:iCs/>
          <w:u w:val="single"/>
        </w:rPr>
        <w:fldChar w:fldCharType="separate"/>
      </w:r>
      <w:r w:rsidR="00DE7F14" w:rsidRPr="00DE7F14">
        <w:rPr>
          <w:i/>
          <w:iCs/>
          <w:u w:val="single"/>
        </w:rPr>
        <w:t>The role of Higher Education for Australia</w:t>
      </w:r>
      <w:r w:rsidR="00DE7F14" w:rsidRPr="00DE7F14">
        <w:rPr>
          <w:i/>
          <w:iCs/>
          <w:u w:val="single"/>
        </w:rPr>
        <w:fldChar w:fldCharType="end"/>
      </w:r>
      <w:r w:rsidR="00AF5DC7">
        <w:t>.</w:t>
      </w:r>
      <w:r>
        <w:t xml:space="preserve"> </w:t>
      </w:r>
    </w:p>
    <w:p w14:paraId="6920C657" w14:textId="0BD2BFC9" w:rsidR="00677FE1" w:rsidRDefault="00677FE1" w:rsidP="005A7245">
      <w:pPr>
        <w:pStyle w:val="Heading3"/>
      </w:pPr>
      <w:bookmarkStart w:id="59" w:name="_Toc134807424"/>
      <w:bookmarkStart w:id="60" w:name="_Ref135208356"/>
      <w:bookmarkStart w:id="61" w:name="_Ref135208398"/>
      <w:r>
        <w:t xml:space="preserve">Investment in capability and recognition of the </w:t>
      </w:r>
      <w:r w:rsidR="00EF064D">
        <w:t>higher education</w:t>
      </w:r>
      <w:r>
        <w:t xml:space="preserve"> workforce</w:t>
      </w:r>
      <w:bookmarkEnd w:id="58"/>
      <w:bookmarkEnd w:id="59"/>
      <w:bookmarkEnd w:id="60"/>
      <w:bookmarkEnd w:id="61"/>
    </w:p>
    <w:p w14:paraId="1EFD7641" w14:textId="04AC2C53" w:rsidR="008D3FEC" w:rsidRDefault="008D3FEC" w:rsidP="008D3FEC">
      <w:r>
        <w:t>The Discussion Paper discusses the</w:t>
      </w:r>
      <w:r w:rsidR="001C7B62">
        <w:t xml:space="preserve"> </w:t>
      </w:r>
      <w:r w:rsidR="00730024">
        <w:t>important role</w:t>
      </w:r>
      <w:r w:rsidR="001C7B62">
        <w:t xml:space="preserve"> of the academic workforce</w:t>
      </w:r>
      <w:r w:rsidR="001420AC">
        <w:t xml:space="preserve">, and the need for </w:t>
      </w:r>
      <w:r w:rsidR="00A31C3E">
        <w:t>sustainable employment practi</w:t>
      </w:r>
      <w:r w:rsidR="00F9443D">
        <w:t xml:space="preserve">ces to support staff in </w:t>
      </w:r>
      <w:r w:rsidR="002E27DD">
        <w:t>higher education.</w:t>
      </w:r>
    </w:p>
    <w:p w14:paraId="42A4F84F" w14:textId="243845D9" w:rsidR="00CA16FA" w:rsidRPr="00CD5A18" w:rsidRDefault="008D3FEC" w:rsidP="00FD2684">
      <w:pPr>
        <w:ind w:left="720"/>
      </w:pPr>
      <w:r w:rsidRPr="00FD2684">
        <w:rPr>
          <w:i/>
          <w:iCs/>
        </w:rPr>
        <w:t>“Australia needs a capable and highly skilled academic workforce to deliver future skills needs through teaching and learning and to boost innovation through the research system.”</w:t>
      </w:r>
      <w:r w:rsidR="00CD5A18">
        <w:rPr>
          <w:i/>
          <w:iCs/>
        </w:rPr>
        <w:t xml:space="preserve"> </w:t>
      </w:r>
      <w:r w:rsidR="00CD5A18" w:rsidRPr="00CD5A18">
        <w:t xml:space="preserve">Australian Universities Accord Discussion </w:t>
      </w:r>
      <w:r w:rsidR="003C2246">
        <w:t>P</w:t>
      </w:r>
      <w:r w:rsidR="00CD5A18" w:rsidRPr="00CD5A18">
        <w:t xml:space="preserve">aper, February 2023, p. </w:t>
      </w:r>
      <w:r w:rsidR="00DE0177">
        <w:t>27</w:t>
      </w:r>
      <w:r w:rsidR="00CD5A18" w:rsidRPr="00CD5A18">
        <w:t>.</w:t>
      </w:r>
    </w:p>
    <w:p w14:paraId="72B15FAE" w14:textId="216B40A2" w:rsidR="00841AE6" w:rsidRDefault="00841AE6" w:rsidP="00841AE6">
      <w:r>
        <w:t xml:space="preserve">The Discussion Paper also notes several areas of concern </w:t>
      </w:r>
      <w:r w:rsidR="00D01C97">
        <w:t xml:space="preserve">previously </w:t>
      </w:r>
      <w:r w:rsidR="002740BE">
        <w:t>identified</w:t>
      </w:r>
      <w:r w:rsidR="00D01C97">
        <w:t xml:space="preserve"> by stakeholders</w:t>
      </w:r>
      <w:r w:rsidR="00F61010">
        <w:t xml:space="preserve"> about insecure work and underpayment in the higher education sector</w:t>
      </w:r>
      <w:r w:rsidR="00D01C97">
        <w:t>:</w:t>
      </w:r>
    </w:p>
    <w:p w14:paraId="0C1B5538" w14:textId="346945E9" w:rsidR="00D01C97" w:rsidRPr="00282C2A" w:rsidRDefault="00282C2A" w:rsidP="00282C2A">
      <w:pPr>
        <w:ind w:left="720"/>
        <w:rPr>
          <w:i/>
          <w:iCs/>
        </w:rPr>
      </w:pPr>
      <w:r w:rsidRPr="00282C2A">
        <w:rPr>
          <w:i/>
          <w:iCs/>
        </w:rPr>
        <w:t>“</w:t>
      </w:r>
      <w:r w:rsidR="00592E01" w:rsidRPr="00282C2A">
        <w:rPr>
          <w:i/>
          <w:iCs/>
        </w:rPr>
        <w:t>Several stakeholders indicated that financial uncertainty, including government funding changes, can influence</w:t>
      </w:r>
      <w:r w:rsidRPr="00282C2A">
        <w:rPr>
          <w:i/>
          <w:iCs/>
        </w:rPr>
        <w:t xml:space="preserve"> </w:t>
      </w:r>
      <w:r w:rsidR="00592E01" w:rsidRPr="00282C2A">
        <w:rPr>
          <w:i/>
          <w:iCs/>
        </w:rPr>
        <w:t>the employment decisions of providers</w:t>
      </w:r>
      <w:r w:rsidRPr="00282C2A">
        <w:rPr>
          <w:i/>
          <w:iCs/>
        </w:rPr>
        <w:t>…. [and] many stakeholders raised concerns about insecure work and underpayment in the higher education sector, particularly for casual or sessional staff.”</w:t>
      </w:r>
      <w:r w:rsidR="00DE0177">
        <w:rPr>
          <w:i/>
          <w:iCs/>
        </w:rPr>
        <w:t xml:space="preserve"> </w:t>
      </w:r>
      <w:r w:rsidR="00DE0177" w:rsidRPr="00DE0177">
        <w:t xml:space="preserve">Australian Universities Accord Discussion paper, February 2023, p. </w:t>
      </w:r>
      <w:r w:rsidR="00DE0177">
        <w:t>28-29</w:t>
      </w:r>
      <w:r w:rsidR="00DE0177" w:rsidRPr="00DE0177">
        <w:t>.</w:t>
      </w:r>
    </w:p>
    <w:p w14:paraId="4A7F3105" w14:textId="2CF35217" w:rsidR="002E27DD" w:rsidRDefault="005776B9" w:rsidP="002E27DD">
      <w:r>
        <w:t>Stakeholders were asked</w:t>
      </w:r>
      <w:r w:rsidR="002E27DD">
        <w:t xml:space="preserve"> for recommendations on how the Accord </w:t>
      </w:r>
      <w:r w:rsidR="00936BE0">
        <w:t xml:space="preserve">can </w:t>
      </w:r>
      <w:r w:rsidR="002E27DD">
        <w:t>best support higher education providers to adopt sector-leading employment practices.</w:t>
      </w:r>
    </w:p>
    <w:p w14:paraId="5D34B51E" w14:textId="26C45910" w:rsidR="002E27DD" w:rsidRDefault="00F61010" w:rsidP="002E27DD">
      <w:r>
        <w:t>Sixteen per cent</w:t>
      </w:r>
      <w:r w:rsidR="00BC4B67">
        <w:t xml:space="preserve"> of submissions (49 submissions) responded to this question</w:t>
      </w:r>
      <w:r>
        <w:t>. Key themes were</w:t>
      </w:r>
      <w:r w:rsidR="00961A54">
        <w:t>:</w:t>
      </w:r>
    </w:p>
    <w:p w14:paraId="35561A00" w14:textId="7C42665E" w:rsidR="00961A54" w:rsidRDefault="00F61010" w:rsidP="00961A54">
      <w:pPr>
        <w:pStyle w:val="ListParagraph"/>
        <w:numPr>
          <w:ilvl w:val="0"/>
          <w:numId w:val="60"/>
        </w:numPr>
      </w:pPr>
      <w:r>
        <w:t>e</w:t>
      </w:r>
      <w:r w:rsidR="006900C8">
        <w:t>nsure</w:t>
      </w:r>
      <w:r w:rsidR="00961A54">
        <w:t xml:space="preserve"> </w:t>
      </w:r>
      <w:r w:rsidR="006900C8">
        <w:t>greater certainty for</w:t>
      </w:r>
      <w:r w:rsidR="00961A54">
        <w:t xml:space="preserve"> staff (</w:t>
      </w:r>
      <w:r w:rsidR="00FE02C0">
        <w:t>16</w:t>
      </w:r>
      <w:r w:rsidR="00823F93">
        <w:t xml:space="preserve"> submissions)</w:t>
      </w:r>
    </w:p>
    <w:p w14:paraId="3D0F1C73" w14:textId="2812C8F7" w:rsidR="00961A54" w:rsidRDefault="00F61010" w:rsidP="00961A54">
      <w:pPr>
        <w:pStyle w:val="ListParagraph"/>
        <w:numPr>
          <w:ilvl w:val="0"/>
          <w:numId w:val="60"/>
        </w:numPr>
      </w:pPr>
      <w:r>
        <w:t>s</w:t>
      </w:r>
      <w:r w:rsidR="00A5406C">
        <w:t xml:space="preserve">upport </w:t>
      </w:r>
      <w:r w:rsidR="0047035E">
        <w:t>greater career mobility</w:t>
      </w:r>
      <w:r w:rsidR="00823F93">
        <w:t xml:space="preserve"> (</w:t>
      </w:r>
      <w:r w:rsidR="00D75ACD">
        <w:t>5</w:t>
      </w:r>
      <w:r w:rsidR="003F39D6">
        <w:t xml:space="preserve"> submissions)</w:t>
      </w:r>
    </w:p>
    <w:p w14:paraId="327F9902" w14:textId="6C644704" w:rsidR="00961A54" w:rsidRDefault="00F61010" w:rsidP="00961A54">
      <w:pPr>
        <w:pStyle w:val="ListParagraph"/>
        <w:numPr>
          <w:ilvl w:val="0"/>
          <w:numId w:val="60"/>
        </w:numPr>
      </w:pPr>
      <w:r>
        <w:t>i</w:t>
      </w:r>
      <w:r w:rsidR="00961A54">
        <w:t>ncrease employment of underrepresented staff</w:t>
      </w:r>
      <w:r w:rsidR="003F39D6">
        <w:t xml:space="preserve"> (</w:t>
      </w:r>
      <w:r w:rsidR="00B164A1">
        <w:t>10 submissions)</w:t>
      </w:r>
    </w:p>
    <w:p w14:paraId="53C926A3" w14:textId="0C05400C" w:rsidR="00961A54" w:rsidRDefault="00F61010" w:rsidP="00961A54">
      <w:pPr>
        <w:pStyle w:val="ListParagraph"/>
        <w:numPr>
          <w:ilvl w:val="0"/>
          <w:numId w:val="60"/>
        </w:numPr>
      </w:pPr>
      <w:r>
        <w:t>r</w:t>
      </w:r>
      <w:r w:rsidR="00961A54">
        <w:t>educe administrative burden for academics and researchers</w:t>
      </w:r>
      <w:r w:rsidR="00B164A1">
        <w:t xml:space="preserve"> (</w:t>
      </w:r>
      <w:r w:rsidR="006C26C1">
        <w:t>4 submissions)</w:t>
      </w:r>
    </w:p>
    <w:p w14:paraId="14A54A02" w14:textId="255435CE" w:rsidR="00961A54" w:rsidRDefault="00F61010" w:rsidP="00961A54">
      <w:pPr>
        <w:pStyle w:val="ListParagraph"/>
        <w:numPr>
          <w:ilvl w:val="0"/>
          <w:numId w:val="60"/>
        </w:numPr>
      </w:pPr>
      <w:r>
        <w:t>s</w:t>
      </w:r>
      <w:r w:rsidR="00961A54">
        <w:t xml:space="preserve">upport initiatives </w:t>
      </w:r>
      <w:r w:rsidR="00203ABB">
        <w:t xml:space="preserve">that </w:t>
      </w:r>
      <w:r w:rsidR="00961A54">
        <w:t>develop the skills of academic and professional staff</w:t>
      </w:r>
      <w:r w:rsidR="006C26C1">
        <w:t xml:space="preserve"> (7 submissions)</w:t>
      </w:r>
    </w:p>
    <w:p w14:paraId="3C793F91" w14:textId="7B46E2A6" w:rsidR="00961A54" w:rsidRDefault="00F61010" w:rsidP="00961A54">
      <w:pPr>
        <w:pStyle w:val="ListParagraph"/>
        <w:numPr>
          <w:ilvl w:val="0"/>
          <w:numId w:val="60"/>
        </w:numPr>
      </w:pPr>
      <w:r>
        <w:t>r</w:t>
      </w:r>
      <w:r w:rsidR="00961A54">
        <w:t>ecognise and provide support for psychological stress on staff</w:t>
      </w:r>
      <w:r w:rsidR="006C26C1">
        <w:t xml:space="preserve"> (</w:t>
      </w:r>
      <w:r w:rsidR="00D16C2F">
        <w:t>3 submissions)</w:t>
      </w:r>
    </w:p>
    <w:p w14:paraId="41683C9B" w14:textId="07410DEF" w:rsidR="00B60480" w:rsidRDefault="00B60480" w:rsidP="00B60480">
      <w:r>
        <w:t>These points are discussed in detail below.</w:t>
      </w:r>
    </w:p>
    <w:p w14:paraId="592754F2" w14:textId="278D8779" w:rsidR="006E0F39" w:rsidRPr="002E27DD" w:rsidRDefault="006A0503" w:rsidP="00D23980">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12</w:t>
      </w:r>
      <w:r w:rsidR="008444D3">
        <w:rPr>
          <w:noProof/>
        </w:rPr>
        <w:fldChar w:fldCharType="end"/>
      </w:r>
      <w:r>
        <w:t xml:space="preserve"> | </w:t>
      </w:r>
      <w:r w:rsidRPr="006A0503">
        <w:t>Distribution of submissions – Investment in capability and recognition of the higher education workforce (N=52)</w:t>
      </w:r>
    </w:p>
    <w:p w14:paraId="183E0114" w14:textId="5D1404DE" w:rsidR="008D08F7" w:rsidRPr="002E27DD" w:rsidRDefault="008D08F7" w:rsidP="00B60480">
      <w:r w:rsidRPr="008D08F7">
        <w:rPr>
          <w:noProof/>
        </w:rPr>
        <w:lastRenderedPageBreak/>
        <w:drawing>
          <wp:inline distT="0" distB="0" distL="0" distR="0" wp14:anchorId="3532B2A8" wp14:editId="6D2C43AC">
            <wp:extent cx="5835650" cy="3020060"/>
            <wp:effectExtent l="0" t="0" r="0" b="8890"/>
            <wp:docPr id="62" name="Picture 62" descr="Bar graph. &#10;Fifty eight per cent submissions to Investment in capability and recognition of the higher education workforce were from individuals, other advocacy groups or universities.&#10;Graph data:&#10;Individual - 11 (21%)&#10;Other advocacy - 10 (19%)&#10;University - 9 (17%)&#10;University staff -  6 (12%)&#10;Discipline group - 3 (6%)&#10;University school, centre, faculty, or college - 3 (6%)&#10;Other - 2 (4%)&#10;Student representatives - 2 (4%)&#10;Business - 1 (2%)&#10;First Nations organisations - 1 (2%)&#10;Higher education peak body - 1 (2%)&#10;Independent provider - 1 (2%)&#10;Other higher education - 1 (2%)&#10;State or Commonwealth government body -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Bar graph. &#10;Fifty eight per cent submissions to Investment in capability and recognition of the higher education workforce were from individuals, other advocacy groups or universities.&#10;Graph data:&#10;Individual - 11 (21%)&#10;Other advocacy - 10 (19%)&#10;University - 9 (17%)&#10;University staff -  6 (12%)&#10;Discipline group - 3 (6%)&#10;University school, centre, faculty, or college - 3 (6%)&#10;Other - 2 (4%)&#10;Student representatives - 2 (4%)&#10;Business - 1 (2%)&#10;First Nations organisations - 1 (2%)&#10;Higher education peak body - 1 (2%)&#10;Independent provider - 1 (2%)&#10;Other higher education - 1 (2%)&#10;State or Commonwealth government body - 1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5650" cy="3020060"/>
                    </a:xfrm>
                    <a:prstGeom prst="rect">
                      <a:avLst/>
                    </a:prstGeom>
                    <a:noFill/>
                    <a:ln>
                      <a:noFill/>
                    </a:ln>
                  </pic:spPr>
                </pic:pic>
              </a:graphicData>
            </a:graphic>
          </wp:inline>
        </w:drawing>
      </w:r>
    </w:p>
    <w:p w14:paraId="5391859F" w14:textId="6172D44C" w:rsidR="00C23A83" w:rsidRDefault="006900C8" w:rsidP="00C23A83">
      <w:pPr>
        <w:pStyle w:val="Heading4"/>
      </w:pPr>
      <w:r>
        <w:t>Ensure greater certainty</w:t>
      </w:r>
      <w:r w:rsidR="008A030E">
        <w:t xml:space="preserve"> for staff</w:t>
      </w:r>
      <w:r w:rsidR="00036108">
        <w:t xml:space="preserve"> </w:t>
      </w:r>
    </w:p>
    <w:p w14:paraId="41EE9732" w14:textId="77777777" w:rsidR="00453F17" w:rsidRDefault="00453F17" w:rsidP="00453F17">
      <w:r>
        <w:t xml:space="preserve">Of the 49 submissions that responded to the question on employment practices, 33% (16 submissions) suggested the Accord should ensure greater certainty through reduced casualisation (10 submissions) and reduced job insecurity (9 </w:t>
      </w:r>
      <w:r w:rsidRPr="00554552">
        <w:t>submissions).</w:t>
      </w:r>
    </w:p>
    <w:p w14:paraId="2025973F" w14:textId="739028BF" w:rsidR="00A879BF" w:rsidRDefault="00A879BF" w:rsidP="00A879BF">
      <w:pPr>
        <w:pStyle w:val="Heading5"/>
      </w:pPr>
      <w:r>
        <w:t>Reduce casualisation of the higher education workforce</w:t>
      </w:r>
    </w:p>
    <w:p w14:paraId="4666BA39" w14:textId="7E546FDF" w:rsidR="00054E60" w:rsidRDefault="00453F17" w:rsidP="006522E9">
      <w:r>
        <w:t>Eleven</w:t>
      </w:r>
      <w:r w:rsidR="00166F4F">
        <w:t xml:space="preserve"> submissions </w:t>
      </w:r>
      <w:r w:rsidR="00057132">
        <w:t>argued</w:t>
      </w:r>
      <w:r w:rsidR="00312DCF">
        <w:t xml:space="preserve"> </w:t>
      </w:r>
      <w:r w:rsidR="00816BDA">
        <w:t xml:space="preserve">that steps </w:t>
      </w:r>
      <w:r>
        <w:t xml:space="preserve">should </w:t>
      </w:r>
      <w:r w:rsidR="00816BDA">
        <w:t xml:space="preserve">be taken to </w:t>
      </w:r>
      <w:r w:rsidR="00797ADD">
        <w:t>address</w:t>
      </w:r>
      <w:r w:rsidR="00312DCF">
        <w:t xml:space="preserve"> the</w:t>
      </w:r>
      <w:r w:rsidR="0076107A">
        <w:t xml:space="preserve"> </w:t>
      </w:r>
      <w:r w:rsidR="0069016B">
        <w:t>over-casualisation of the higher education workforce</w:t>
      </w:r>
      <w:r w:rsidR="00FA3592">
        <w:t>.</w:t>
      </w:r>
      <w:r w:rsidR="00353920">
        <w:t xml:space="preserve"> </w:t>
      </w:r>
      <w:r w:rsidR="00273D51">
        <w:t>One</w:t>
      </w:r>
      <w:r w:rsidR="00353920">
        <w:t xml:space="preserve"> submission suggested</w:t>
      </w:r>
      <w:r w:rsidR="00E566AB">
        <w:t xml:space="preserve"> government should develop</w:t>
      </w:r>
      <w:r w:rsidR="00353920">
        <w:t xml:space="preserve"> incentives for </w:t>
      </w:r>
      <w:r w:rsidR="003B01AE">
        <w:t>employers</w:t>
      </w:r>
      <w:r w:rsidR="007E4EBE">
        <w:t xml:space="preserve"> </w:t>
      </w:r>
      <w:r w:rsidR="00E566AB">
        <w:t>to adopt competitive employment practices.</w:t>
      </w:r>
    </w:p>
    <w:p w14:paraId="2481FB4F" w14:textId="38522BED" w:rsidR="00AA5A4B" w:rsidRDefault="00AA5A4B" w:rsidP="00AA5A4B">
      <w:pPr>
        <w:ind w:left="720"/>
      </w:pPr>
      <w:r>
        <w:rPr>
          <w:i/>
          <w:iCs/>
        </w:rPr>
        <w:t>“</w:t>
      </w:r>
      <w:r w:rsidRPr="00AA5A4B">
        <w:rPr>
          <w:i/>
          <w:iCs/>
        </w:rPr>
        <w:t>Reassessment and formalisation of the roles of sessional (such as staff engaged to support a tutorial group for a term</w:t>
      </w:r>
      <w:proofErr w:type="gramStart"/>
      <w:r w:rsidRPr="00AA5A4B">
        <w:rPr>
          <w:i/>
          <w:iCs/>
        </w:rPr>
        <w:t>)</w:t>
      </w:r>
      <w:proofErr w:type="gramEnd"/>
      <w:r w:rsidRPr="00AA5A4B">
        <w:rPr>
          <w:i/>
          <w:iCs/>
        </w:rPr>
        <w:t xml:space="preserve"> and casual staff would also assist in creating a more equitable, secure and supported academic workforce. This would include proper assistance built into teaching roles, sessional staff being afforded the security – yet flexibility – they deserve, long-term casuals shifting to more secure fixed-term contracts, and casual contracts being used only for truly casual roles.</w:t>
      </w:r>
      <w:r>
        <w:rPr>
          <w:i/>
          <w:iCs/>
        </w:rPr>
        <w:t xml:space="preserve">” </w:t>
      </w:r>
      <w:r>
        <w:t>Science &amp; Technology Australia</w:t>
      </w:r>
    </w:p>
    <w:p w14:paraId="6DF97E6B" w14:textId="179E0C21" w:rsidR="007472A2" w:rsidRDefault="001D062C" w:rsidP="007472A2">
      <w:r>
        <w:t>Two</w:t>
      </w:r>
      <w:r w:rsidR="007472A2">
        <w:t xml:space="preserve"> of these submissions noted cases of exploitation of casual staff</w:t>
      </w:r>
      <w:r w:rsidR="001A492F">
        <w:t xml:space="preserve"> an</w:t>
      </w:r>
      <w:r w:rsidR="0016416E">
        <w:t>d recommended reducing casualisat</w:t>
      </w:r>
      <w:r w:rsidR="00F96A65">
        <w:t>ion</w:t>
      </w:r>
      <w:r w:rsidR="00397FD3">
        <w:t xml:space="preserve"> and awarding security to workers</w:t>
      </w:r>
      <w:r w:rsidR="00AB2B73" w:rsidRPr="00AB2B73">
        <w:t xml:space="preserve"> </w:t>
      </w:r>
      <w:r w:rsidR="00AB2B73">
        <w:t>to alleviate this issue</w:t>
      </w:r>
      <w:r w:rsidR="00397FD3">
        <w:t>.</w:t>
      </w:r>
      <w:r w:rsidR="00CB0E55">
        <w:t xml:space="preserve"> </w:t>
      </w:r>
    </w:p>
    <w:p w14:paraId="1269A99A" w14:textId="5633F5FB" w:rsidR="00CA09BE" w:rsidRPr="007472A2" w:rsidRDefault="00CA09BE" w:rsidP="00702106">
      <w:pPr>
        <w:ind w:left="720"/>
      </w:pPr>
      <w:r>
        <w:rPr>
          <w:i/>
          <w:iCs/>
        </w:rPr>
        <w:t>“</w:t>
      </w:r>
      <w:r w:rsidRPr="005C3987">
        <w:rPr>
          <w:i/>
          <w:iCs/>
        </w:rPr>
        <w:t>The casualisation of educators and precarious employment has become dangerously widespread and problematic in teaching and research roles combined with a lack of tenured opportunities. Higher education employment needs to be secure and attractive in order to provide the quality of teaching and research students deserve whilst flexibilities for workers to enter and exit the sector and their flexibility within the system need to be revisited.</w:t>
      </w:r>
      <w:r w:rsidR="00F96A65">
        <w:rPr>
          <w:i/>
          <w:iCs/>
        </w:rPr>
        <w:t>”</w:t>
      </w:r>
      <w:r>
        <w:rPr>
          <w:i/>
          <w:iCs/>
        </w:rPr>
        <w:t xml:space="preserve"> </w:t>
      </w:r>
      <w:r>
        <w:t>Education and Youth Affairs Policy Committee, Victorian Branch, ALP</w:t>
      </w:r>
    </w:p>
    <w:p w14:paraId="564C52D3" w14:textId="454A9D42" w:rsidR="00A879BF" w:rsidRDefault="00A879BF" w:rsidP="00A879BF">
      <w:pPr>
        <w:pStyle w:val="Heading5"/>
      </w:pPr>
      <w:r>
        <w:lastRenderedPageBreak/>
        <w:t>Reduce job insecurity</w:t>
      </w:r>
    </w:p>
    <w:p w14:paraId="6D702458" w14:textId="23217963" w:rsidR="00D413BF" w:rsidRDefault="009C4D4C" w:rsidP="00D413BF">
      <w:r>
        <w:t xml:space="preserve">In line with calls to reduce casualisation, </w:t>
      </w:r>
      <w:r w:rsidR="00797ADD">
        <w:t>nine</w:t>
      </w:r>
      <w:r w:rsidR="00A75AC0">
        <w:t xml:space="preserve"> submissions noted the need for greater job security for all </w:t>
      </w:r>
      <w:r w:rsidR="002A1BC6">
        <w:t>higher education staff.</w:t>
      </w:r>
      <w:r w:rsidR="00CA5324">
        <w:t xml:space="preserve"> </w:t>
      </w:r>
      <w:r w:rsidR="000801A1">
        <w:t>Three</w:t>
      </w:r>
      <w:r w:rsidR="00D45AF1">
        <w:t xml:space="preserve"> </w:t>
      </w:r>
      <w:r w:rsidR="007656F0">
        <w:t xml:space="preserve">submissions called for </w:t>
      </w:r>
      <w:r w:rsidR="00D45AF1">
        <w:t>staff with</w:t>
      </w:r>
      <w:r w:rsidR="0025793D">
        <w:t xml:space="preserve"> sessional,</w:t>
      </w:r>
      <w:r w:rsidR="00D45AF1">
        <w:t xml:space="preserve"> part-time and short</w:t>
      </w:r>
      <w:r w:rsidR="002E2923">
        <w:t>-term contrac</w:t>
      </w:r>
      <w:r w:rsidR="007656F0">
        <w:t xml:space="preserve">ts to be </w:t>
      </w:r>
      <w:r w:rsidR="00D7160D">
        <w:t xml:space="preserve">engaged on </w:t>
      </w:r>
      <w:r w:rsidR="00470A22">
        <w:t xml:space="preserve">longer </w:t>
      </w:r>
      <w:r w:rsidR="001B7EF5">
        <w:t>fixed term or continuing contracts</w:t>
      </w:r>
      <w:r w:rsidR="00453F17">
        <w:t xml:space="preserve">. A </w:t>
      </w:r>
      <w:r w:rsidR="002B77F4">
        <w:t xml:space="preserve">further </w:t>
      </w:r>
      <w:r w:rsidR="0042791F" w:rsidRPr="0042791F">
        <w:t>three</w:t>
      </w:r>
      <w:r w:rsidR="008D730E" w:rsidRPr="0042791F">
        <w:t xml:space="preserve"> submissions</w:t>
      </w:r>
      <w:r w:rsidR="008D730E">
        <w:t xml:space="preserve"> noted the pressures short-term contracts place on employees</w:t>
      </w:r>
      <w:r w:rsidR="00094877">
        <w:t xml:space="preserve">, including </w:t>
      </w:r>
      <w:r w:rsidR="004825BA">
        <w:t>in</w:t>
      </w:r>
      <w:r w:rsidR="007D5974">
        <w:t>secure pay</w:t>
      </w:r>
      <w:r w:rsidR="00AD692D">
        <w:t xml:space="preserve"> and uncertainty over future employment</w:t>
      </w:r>
      <w:r w:rsidR="008D730E">
        <w:t>.</w:t>
      </w:r>
      <w:r w:rsidR="002D6801">
        <w:t xml:space="preserve"> </w:t>
      </w:r>
      <w:r w:rsidR="00037453" w:rsidRPr="00037453">
        <w:t>Two</w:t>
      </w:r>
      <w:r w:rsidR="00C5355B" w:rsidRPr="00037453">
        <w:t xml:space="preserve"> </w:t>
      </w:r>
      <w:r w:rsidR="00502535" w:rsidRPr="00037453">
        <w:t>submissions</w:t>
      </w:r>
      <w:r w:rsidR="00502535">
        <w:t xml:space="preserve"> noted the importance of long-term employment </w:t>
      </w:r>
      <w:r w:rsidR="007B6A3B">
        <w:t>to achieve</w:t>
      </w:r>
      <w:r w:rsidR="00502535">
        <w:t xml:space="preserve"> </w:t>
      </w:r>
      <w:r w:rsidR="0084664C">
        <w:t>quality learning</w:t>
      </w:r>
      <w:r w:rsidR="005E7C1B">
        <w:t xml:space="preserve"> and </w:t>
      </w:r>
      <w:r w:rsidR="007B6A3B">
        <w:t xml:space="preserve">pursue </w:t>
      </w:r>
      <w:r w:rsidR="00076F11">
        <w:t>medium and long-term research</w:t>
      </w:r>
      <w:r w:rsidR="0084664C">
        <w:t xml:space="preserve"> objectives</w:t>
      </w:r>
      <w:r w:rsidR="005E7C1B">
        <w:t>.</w:t>
      </w:r>
    </w:p>
    <w:p w14:paraId="1AB0E1E1" w14:textId="45F7293B" w:rsidR="00A26F8A" w:rsidRPr="00D413BF" w:rsidRDefault="00A26F8A" w:rsidP="00A26F8A">
      <w:r>
        <w:t>However</w:t>
      </w:r>
      <w:r w:rsidRPr="00A97A47">
        <w:t>,</w:t>
      </w:r>
      <w:r w:rsidRPr="00A97A47" w:rsidDel="00DF67FE">
        <w:t xml:space="preserve"> </w:t>
      </w:r>
      <w:r w:rsidR="00DF67FE">
        <w:t>two</w:t>
      </w:r>
      <w:r w:rsidRPr="00A97A47">
        <w:t xml:space="preserve"> submissions</w:t>
      </w:r>
      <w:r>
        <w:t xml:space="preserve"> also noted that the higher education sector currently acts as an enabler for insecure employment. The desire of researchers and postgraduate students to remain in academia allows short-term research grants and casual or short-term tenures to remain prominent and common forms of employment in the higher education sector.</w:t>
      </w:r>
    </w:p>
    <w:p w14:paraId="5D7EA969" w14:textId="79F13E7A" w:rsidR="00C84F2B" w:rsidRPr="00C84F2B" w:rsidRDefault="00C84F2B" w:rsidP="00C84F2B">
      <w:pPr>
        <w:ind w:left="720"/>
      </w:pPr>
      <w:r>
        <w:rPr>
          <w:i/>
          <w:iCs/>
        </w:rPr>
        <w:t>“</w:t>
      </w:r>
      <w:r w:rsidRPr="00C84F2B">
        <w:rPr>
          <w:i/>
          <w:iCs/>
        </w:rPr>
        <w:t xml:space="preserve">The challenge for the higher education sector is that research funding is not </w:t>
      </w:r>
      <w:proofErr w:type="gramStart"/>
      <w:r w:rsidRPr="00C84F2B">
        <w:rPr>
          <w:i/>
          <w:iCs/>
        </w:rPr>
        <w:t>ongoing</w:t>
      </w:r>
      <w:proofErr w:type="gramEnd"/>
      <w:r w:rsidRPr="00C84F2B">
        <w:rPr>
          <w:i/>
          <w:iCs/>
        </w:rPr>
        <w:t xml:space="preserve"> and many researchers are left to move from one contract to the next, sometimes for many years. Such contracts are usually several years in duration at a time, but this can lead to a prolonged period of uncertainty for researchers who play a significant role in Australia’s research success.</w:t>
      </w:r>
      <w:r>
        <w:rPr>
          <w:i/>
          <w:iCs/>
        </w:rPr>
        <w:t xml:space="preserve">” </w:t>
      </w:r>
      <w:r>
        <w:t>Australian Higher Education Industrial Association</w:t>
      </w:r>
    </w:p>
    <w:p w14:paraId="102F0294" w14:textId="1BAA21C4" w:rsidR="00F778D0" w:rsidRPr="00D413BF" w:rsidRDefault="00D413BF" w:rsidP="00D413BF">
      <w:pPr>
        <w:ind w:left="720"/>
      </w:pPr>
      <w:r>
        <w:rPr>
          <w:i/>
          <w:iCs/>
        </w:rPr>
        <w:t>“</w:t>
      </w:r>
      <w:r w:rsidR="00F778D0" w:rsidRPr="00F778D0">
        <w:rPr>
          <w:i/>
          <w:iCs/>
        </w:rPr>
        <w:t>Some of this can be attributed to inappropriate funding for teaching and research, causing institutions to look for cost savings, but some of it must be attributed to institutions putting other objectives ahead of the reasonable treatment of staff. At present, Higher Education is able to behave in a way that other sectors cannot, because so many of our PhD graduates wish to stay in academia, and are prepared to do what it takes to maximise their chances.</w:t>
      </w:r>
      <w:r>
        <w:rPr>
          <w:i/>
          <w:iCs/>
        </w:rPr>
        <w:t xml:space="preserve">” </w:t>
      </w:r>
      <w:r>
        <w:t>Brian Schmidt, Vice Chancellor of the Australian National University.</w:t>
      </w:r>
    </w:p>
    <w:p w14:paraId="04116173" w14:textId="0B80F001" w:rsidR="008902B6" w:rsidRDefault="00EF1482" w:rsidP="00691105">
      <w:pPr>
        <w:pStyle w:val="Heading4"/>
      </w:pPr>
      <w:r>
        <w:t>Support greater career mobility</w:t>
      </w:r>
    </w:p>
    <w:p w14:paraId="33F47E96" w14:textId="0F44511A" w:rsidR="000B4D7A" w:rsidRDefault="00D75ACD" w:rsidP="00C20B6E">
      <w:r>
        <w:t>Five</w:t>
      </w:r>
      <w:r w:rsidR="00A03C22">
        <w:t xml:space="preserve"> submissions</w:t>
      </w:r>
      <w:r w:rsidR="00FC6696">
        <w:t xml:space="preserve"> noted there was an opportunity </w:t>
      </w:r>
      <w:r w:rsidR="00545316">
        <w:t>to provider greater support</w:t>
      </w:r>
      <w:r w:rsidR="004E3B77">
        <w:t xml:space="preserve"> for career </w:t>
      </w:r>
      <w:r w:rsidR="00AB0132">
        <w:t>mobility</w:t>
      </w:r>
      <w:r w:rsidR="007A7B2D">
        <w:t xml:space="preserve">. </w:t>
      </w:r>
      <w:r w:rsidR="00321FBF">
        <w:t>Three</w:t>
      </w:r>
      <w:r w:rsidR="00DD1155">
        <w:t xml:space="preserve"> submissions noted </w:t>
      </w:r>
      <w:r w:rsidR="006E244D">
        <w:t xml:space="preserve">that mobility between the </w:t>
      </w:r>
      <w:r w:rsidR="00167B80">
        <w:t xml:space="preserve">higher education </w:t>
      </w:r>
      <w:r w:rsidR="006E244D">
        <w:t xml:space="preserve">sector, industry and government would benefit staff and </w:t>
      </w:r>
      <w:r w:rsidR="00167B80">
        <w:t>universities</w:t>
      </w:r>
      <w:r w:rsidR="006E244D">
        <w:t xml:space="preserve"> by providing </w:t>
      </w:r>
      <w:r w:rsidR="00FE35B6">
        <w:t xml:space="preserve">an </w:t>
      </w:r>
      <w:r w:rsidR="006E244D">
        <w:t>opportunity to develop new experiences, knowledge and skills</w:t>
      </w:r>
      <w:r w:rsidR="00652E59">
        <w:t xml:space="preserve">. Western Sydney University stated it would also serve to </w:t>
      </w:r>
      <w:r w:rsidR="00E077C5">
        <w:t>“enhance program relevance and stimula</w:t>
      </w:r>
      <w:r w:rsidR="00652E59">
        <w:t xml:space="preserve">te </w:t>
      </w:r>
      <w:r w:rsidR="00E077C5">
        <w:t xml:space="preserve">innovation in key sectors.” </w:t>
      </w:r>
      <w:r w:rsidR="00470DF2">
        <w:t xml:space="preserve"> </w:t>
      </w:r>
    </w:p>
    <w:p w14:paraId="5B56086E" w14:textId="28AE634C" w:rsidR="00C20B6E" w:rsidRPr="00C20B6E" w:rsidRDefault="00652E59" w:rsidP="00C20B6E">
      <w:r>
        <w:t>Additionally,</w:t>
      </w:r>
      <w:r w:rsidR="00CE4377">
        <w:t xml:space="preserve"> two</w:t>
      </w:r>
      <w:r w:rsidR="00CE34C0">
        <w:t xml:space="preserve"> submissions highlighted the need for </w:t>
      </w:r>
      <w:r w:rsidR="00BA1488">
        <w:t xml:space="preserve">greater flexibility and mobility for </w:t>
      </w:r>
      <w:r w:rsidR="00E9616A">
        <w:t>careers</w:t>
      </w:r>
      <w:r w:rsidR="00BA1488">
        <w:t xml:space="preserve"> within the higher education sector.</w:t>
      </w:r>
      <w:r w:rsidR="000C20A9">
        <w:t xml:space="preserve"> </w:t>
      </w:r>
      <w:r w:rsidR="000B4D7A">
        <w:t>D</w:t>
      </w:r>
      <w:r w:rsidR="00135F67">
        <w:t xml:space="preserve">eakin University noted it was important to “ensure </w:t>
      </w:r>
      <w:r w:rsidR="00671BC9" w:rsidRPr="00671BC9">
        <w:t>that we have career paths for academics who specialise in education, research, or industry engagement, that can sit alongside the more traditional portfolios.</w:t>
      </w:r>
      <w:r w:rsidR="00671BC9">
        <w:t>”</w:t>
      </w:r>
      <w:r w:rsidR="008913B1">
        <w:t xml:space="preserve"> </w:t>
      </w:r>
      <w:r w:rsidR="003A54A3">
        <w:t>It was argued that d</w:t>
      </w:r>
      <w:r w:rsidR="008913B1">
        <w:t>ivers</w:t>
      </w:r>
      <w:r w:rsidR="00AC6065">
        <w:t xml:space="preserve">ification of career pathways within academia beyond the traditional roles of teaching and research </w:t>
      </w:r>
      <w:r w:rsidR="006F775A">
        <w:t xml:space="preserve">would enable </w:t>
      </w:r>
      <w:r w:rsidR="00167B80">
        <w:t>universities</w:t>
      </w:r>
      <w:r w:rsidR="006F775A">
        <w:t xml:space="preserve"> to me</w:t>
      </w:r>
      <w:r w:rsidR="005A4A19">
        <w:t>et the changing needs of society</w:t>
      </w:r>
      <w:r w:rsidR="00E227D6">
        <w:t>, as well as allowing the higher education workforce to pursue</w:t>
      </w:r>
      <w:r w:rsidR="00FB28B3">
        <w:t xml:space="preserve"> roles </w:t>
      </w:r>
      <w:r w:rsidR="00B24E01">
        <w:t xml:space="preserve">that align </w:t>
      </w:r>
      <w:r w:rsidR="00FB28B3">
        <w:t>with their strengths and interests.</w:t>
      </w:r>
    </w:p>
    <w:p w14:paraId="2C126015" w14:textId="70D37B4C" w:rsidR="00C4724A" w:rsidRDefault="00C4724A" w:rsidP="00F6218D">
      <w:pPr>
        <w:pStyle w:val="Heading4"/>
      </w:pPr>
      <w:r>
        <w:t>Increase</w:t>
      </w:r>
      <w:r w:rsidR="00336507">
        <w:t xml:space="preserve"> </w:t>
      </w:r>
      <w:r>
        <w:t>employment of underrepresented staff</w:t>
      </w:r>
      <w:r w:rsidR="005158A5">
        <w:t xml:space="preserve"> </w:t>
      </w:r>
    </w:p>
    <w:p w14:paraId="58BA1AA1" w14:textId="62371948" w:rsidR="00B01542" w:rsidRDefault="00167B80" w:rsidP="00B01542">
      <w:r>
        <w:t>Ten</w:t>
      </w:r>
      <w:r w:rsidR="00EC2316">
        <w:t xml:space="preserve"> submissions noted that</w:t>
      </w:r>
      <w:r w:rsidR="00677361">
        <w:t xml:space="preserve">, to </w:t>
      </w:r>
      <w:r w:rsidR="00EE245B">
        <w:t xml:space="preserve">adopt </w:t>
      </w:r>
      <w:r w:rsidR="00EC2316" w:rsidRPr="00EC2316">
        <w:t>sector-leading employment practic</w:t>
      </w:r>
      <w:r w:rsidR="00EC2316">
        <w:t>es</w:t>
      </w:r>
      <w:r w:rsidR="00677361">
        <w:t>, the higher education sector should increas</w:t>
      </w:r>
      <w:r w:rsidR="00976800">
        <w:t>e the representation of</w:t>
      </w:r>
      <w:r w:rsidR="0069479C">
        <w:t>, and available support for,</w:t>
      </w:r>
      <w:r w:rsidR="00976800">
        <w:t xml:space="preserve"> groups</w:t>
      </w:r>
      <w:r>
        <w:t xml:space="preserve"> that are underrepresented</w:t>
      </w:r>
      <w:r w:rsidR="00976800">
        <w:t xml:space="preserve"> in staff cohorts. This </w:t>
      </w:r>
      <w:r w:rsidR="00E36E3B">
        <w:t>include</w:t>
      </w:r>
      <w:r w:rsidR="0069479C">
        <w:t>s:</w:t>
      </w:r>
    </w:p>
    <w:p w14:paraId="022C05F9" w14:textId="057C7DD3" w:rsidR="004F05AB" w:rsidRDefault="004F05AB" w:rsidP="004F05AB">
      <w:pPr>
        <w:pStyle w:val="ListParagraph"/>
        <w:numPr>
          <w:ilvl w:val="0"/>
          <w:numId w:val="62"/>
        </w:numPr>
      </w:pPr>
      <w:r>
        <w:lastRenderedPageBreak/>
        <w:t xml:space="preserve">First Nations </w:t>
      </w:r>
      <w:r w:rsidR="00E36E3B">
        <w:t>staff</w:t>
      </w:r>
      <w:r w:rsidR="00EC297E">
        <w:t xml:space="preserve"> (</w:t>
      </w:r>
      <w:r w:rsidR="00767392">
        <w:t>6</w:t>
      </w:r>
      <w:r w:rsidR="00EC297E">
        <w:t xml:space="preserve"> submissions)</w:t>
      </w:r>
    </w:p>
    <w:p w14:paraId="4C147DA6" w14:textId="0B051425" w:rsidR="00EC297E" w:rsidRDefault="00E36E3B" w:rsidP="00E36E3B">
      <w:pPr>
        <w:pStyle w:val="ListParagraph"/>
        <w:numPr>
          <w:ilvl w:val="0"/>
          <w:numId w:val="62"/>
        </w:numPr>
      </w:pPr>
      <w:r>
        <w:t>Staff</w:t>
      </w:r>
      <w:r w:rsidR="00EC297E">
        <w:t xml:space="preserve"> with disability (</w:t>
      </w:r>
      <w:r w:rsidR="00767392">
        <w:t>3</w:t>
      </w:r>
      <w:r>
        <w:t xml:space="preserve"> submissions)</w:t>
      </w:r>
    </w:p>
    <w:p w14:paraId="6609AB7F" w14:textId="76AE9B18" w:rsidR="00E36E3B" w:rsidRDefault="0069479C" w:rsidP="004F05AB">
      <w:pPr>
        <w:pStyle w:val="ListParagraph"/>
        <w:numPr>
          <w:ilvl w:val="0"/>
          <w:numId w:val="62"/>
        </w:numPr>
      </w:pPr>
      <w:r>
        <w:t>Staff in regional areas (</w:t>
      </w:r>
      <w:r w:rsidR="00767392">
        <w:t>1</w:t>
      </w:r>
      <w:r>
        <w:t xml:space="preserve"> submission)</w:t>
      </w:r>
    </w:p>
    <w:p w14:paraId="224F70DE" w14:textId="055220A2" w:rsidR="0069479C" w:rsidRDefault="0069479C" w:rsidP="0069479C">
      <w:pPr>
        <w:pStyle w:val="Heading5"/>
      </w:pPr>
      <w:r>
        <w:t>Increase representation of First Nations staff</w:t>
      </w:r>
    </w:p>
    <w:p w14:paraId="28FD262E" w14:textId="734DB5CB" w:rsidR="00EC7584" w:rsidRDefault="00C720FA" w:rsidP="00EC7584">
      <w:r>
        <w:t>Six submissions noted the importance of increasing the representation of, and support for, First Nations staff in the higher education sector.</w:t>
      </w:r>
      <w:r w:rsidR="00F265A4">
        <w:t xml:space="preserve"> </w:t>
      </w:r>
      <w:r w:rsidR="0077115E">
        <w:t xml:space="preserve">Of these, </w:t>
      </w:r>
      <w:r w:rsidR="003F0B90">
        <w:t>three</w:t>
      </w:r>
      <w:r w:rsidR="0077115E">
        <w:t xml:space="preserve"> submissions </w:t>
      </w:r>
      <w:r w:rsidR="00091BC8">
        <w:t>noted</w:t>
      </w:r>
      <w:r w:rsidR="00987F88">
        <w:t xml:space="preserve"> the importance of recognising and </w:t>
      </w:r>
      <w:r w:rsidR="00091BC8">
        <w:t>providing additional support for</w:t>
      </w:r>
      <w:r w:rsidR="00987F88">
        <w:t xml:space="preserve"> </w:t>
      </w:r>
      <w:r w:rsidR="00091BC8">
        <w:t xml:space="preserve">the </w:t>
      </w:r>
      <w:r w:rsidR="00844791">
        <w:t xml:space="preserve">cultural load </w:t>
      </w:r>
      <w:r w:rsidR="00091BC8">
        <w:t>of</w:t>
      </w:r>
      <w:r w:rsidR="00844791">
        <w:t xml:space="preserve"> First Nations staff.</w:t>
      </w:r>
      <w:r w:rsidR="008C321D">
        <w:t xml:space="preserve"> </w:t>
      </w:r>
      <w:r w:rsidR="002B37CB">
        <w:t xml:space="preserve">This included suggestions to </w:t>
      </w:r>
      <w:r w:rsidR="00075C1F">
        <w:t xml:space="preserve">provide cultural safety training to all staff to </w:t>
      </w:r>
      <w:r w:rsidR="0008231F">
        <w:t>create a safer working environment.</w:t>
      </w:r>
    </w:p>
    <w:p w14:paraId="1750EF0A" w14:textId="7CC1C4BD" w:rsidR="007E081C" w:rsidRPr="00EC7584" w:rsidRDefault="00086FF2" w:rsidP="00EC7584">
      <w:r>
        <w:t>Two</w:t>
      </w:r>
      <w:r w:rsidR="007E081C">
        <w:t xml:space="preserve"> submissions recommended </w:t>
      </w:r>
      <w:r w:rsidR="002B4A55">
        <w:t>that universities should</w:t>
      </w:r>
      <w:r w:rsidR="00002BFA">
        <w:t xml:space="preserve"> </w:t>
      </w:r>
      <w:r w:rsidR="00420BB1">
        <w:t>be required to have First Nations employment strategies</w:t>
      </w:r>
      <w:r w:rsidR="006E54D0">
        <w:t xml:space="preserve"> to </w:t>
      </w:r>
      <w:r w:rsidR="00E64037">
        <w:t>build First Nations representation in the workforce</w:t>
      </w:r>
      <w:r w:rsidR="0075072E">
        <w:t xml:space="preserve"> and monitor outcomes. </w:t>
      </w:r>
      <w:r w:rsidR="00975160">
        <w:t>Four</w:t>
      </w:r>
      <w:r w:rsidR="00CA6EAF">
        <w:t xml:space="preserve"> submissions</w:t>
      </w:r>
      <w:r w:rsidR="00215873">
        <w:t xml:space="preserve"> specified that pathways to leadership for First Nations st</w:t>
      </w:r>
      <w:r w:rsidR="00C21887">
        <w:t>aff were also required</w:t>
      </w:r>
      <w:r w:rsidR="00975160">
        <w:t xml:space="preserve">, to increase representation of First Nations peoples at all levels of employment. </w:t>
      </w:r>
      <w:r w:rsidR="002B4A55">
        <w:t>Suggested methods</w:t>
      </w:r>
      <w:r w:rsidR="00A32162">
        <w:t xml:space="preserve"> to support these pathways included </w:t>
      </w:r>
      <w:r w:rsidR="007804BF">
        <w:t>increased funding</w:t>
      </w:r>
      <w:r w:rsidR="00D67569">
        <w:t xml:space="preserve"> and</w:t>
      </w:r>
      <w:r w:rsidR="00A32162">
        <w:t xml:space="preserve"> the provision</w:t>
      </w:r>
      <w:r w:rsidR="00D67569">
        <w:t xml:space="preserve"> </w:t>
      </w:r>
      <w:r w:rsidR="004C7BC3">
        <w:t xml:space="preserve">of </w:t>
      </w:r>
      <w:r w:rsidR="00A32162">
        <w:t>leadership and development courses</w:t>
      </w:r>
      <w:r w:rsidR="00C21887">
        <w:t>.</w:t>
      </w:r>
    </w:p>
    <w:p w14:paraId="3D981097" w14:textId="10145F91" w:rsidR="0069479C" w:rsidRDefault="0069479C" w:rsidP="0069479C">
      <w:pPr>
        <w:pStyle w:val="Heading5"/>
      </w:pPr>
      <w:r>
        <w:t>Increase representation of staff with disability</w:t>
      </w:r>
    </w:p>
    <w:p w14:paraId="20E5444A" w14:textId="4D2A9C1B" w:rsidR="00A46B40" w:rsidRDefault="00790FF0" w:rsidP="00975160">
      <w:r>
        <w:t xml:space="preserve">Three submissions </w:t>
      </w:r>
      <w:r w:rsidR="004B05AB">
        <w:t xml:space="preserve">emphasised the need </w:t>
      </w:r>
      <w:r w:rsidR="00D80000">
        <w:t>for the higher education sector to employ more staff with disability</w:t>
      </w:r>
      <w:r w:rsidR="00877941">
        <w:t>. T</w:t>
      </w:r>
      <w:r w:rsidR="00661096">
        <w:t xml:space="preserve">his could </w:t>
      </w:r>
      <w:r w:rsidR="00D84DA4">
        <w:t>improve</w:t>
      </w:r>
      <w:r w:rsidR="00661096">
        <w:t xml:space="preserve"> the experience for students with disability (</w:t>
      </w:r>
      <w:r w:rsidR="00AF5DC7">
        <w:t>1</w:t>
      </w:r>
      <w:r w:rsidR="00661096">
        <w:t xml:space="preserve"> submission)</w:t>
      </w:r>
      <w:r w:rsidR="004F4519">
        <w:t xml:space="preserve"> and </w:t>
      </w:r>
      <w:r w:rsidR="00296B78">
        <w:t xml:space="preserve">reduce </w:t>
      </w:r>
      <w:r w:rsidR="00E82536">
        <w:t>bias in research about disability</w:t>
      </w:r>
      <w:r w:rsidR="00963E1A">
        <w:t xml:space="preserve"> (</w:t>
      </w:r>
      <w:r w:rsidR="00AF5DC7">
        <w:t>1</w:t>
      </w:r>
      <w:r w:rsidR="00963E1A">
        <w:t xml:space="preserve"> submission).</w:t>
      </w:r>
      <w:r w:rsidR="00A46B40">
        <w:t xml:space="preserve"> However, one submissio</w:t>
      </w:r>
      <w:r w:rsidR="00450E6E">
        <w:t>n</w:t>
      </w:r>
      <w:r w:rsidR="00A46B40">
        <w:t xml:space="preserve"> </w:t>
      </w:r>
      <w:r w:rsidR="00AC6CAA">
        <w:t>noted that an employment policy alone is not enough: the whole work environment needs to be improved to support staff with disability:</w:t>
      </w:r>
    </w:p>
    <w:p w14:paraId="19285FE9" w14:textId="4551CA01" w:rsidR="00A46B40" w:rsidRPr="00A46B40" w:rsidRDefault="00A46B40" w:rsidP="00D23E3F">
      <w:pPr>
        <w:ind w:left="720"/>
      </w:pPr>
      <w:r>
        <w:rPr>
          <w:i/>
          <w:iCs/>
        </w:rPr>
        <w:t>“</w:t>
      </w:r>
      <w:r w:rsidRPr="00A46B40">
        <w:rPr>
          <w:i/>
          <w:iCs/>
        </w:rPr>
        <w:t>There is little point employing more researchers with disability in the Australian academy if many of these people are ultimately forced out by unwelcoming, unaccommodating and ableist environments. Negative attitudes towards researchers with disability in the academy are persisting… Researchers should be able to proudly and openly disclose their disability in the Australian academy without the fear of negative repercussions.</w:t>
      </w:r>
      <w:r>
        <w:rPr>
          <w:i/>
          <w:iCs/>
        </w:rPr>
        <w:t xml:space="preserve">” </w:t>
      </w:r>
      <w:r>
        <w:t xml:space="preserve">Damian </w:t>
      </w:r>
      <w:proofErr w:type="spellStart"/>
      <w:r>
        <w:t>Mellifont</w:t>
      </w:r>
      <w:proofErr w:type="spellEnd"/>
      <w:r>
        <w:t>, a neurodivergent researcher.</w:t>
      </w:r>
    </w:p>
    <w:p w14:paraId="062C4249" w14:textId="550D9004" w:rsidR="0069479C" w:rsidRPr="00B01542" w:rsidRDefault="0069479C" w:rsidP="0069479C">
      <w:pPr>
        <w:pStyle w:val="Heading5"/>
      </w:pPr>
      <w:r>
        <w:t>Increase</w:t>
      </w:r>
      <w:r w:rsidR="00EC7584">
        <w:t xml:space="preserve"> the recruitment of s</w:t>
      </w:r>
      <w:r>
        <w:t>taff in regional areas</w:t>
      </w:r>
    </w:p>
    <w:p w14:paraId="4A9083EE" w14:textId="60C12A57" w:rsidR="008E3170" w:rsidRPr="00D23E3F" w:rsidRDefault="0058305B" w:rsidP="00D23E3F">
      <w:r>
        <w:t xml:space="preserve">One submission </w:t>
      </w:r>
      <w:r w:rsidR="00F8296A">
        <w:t xml:space="preserve">noted </w:t>
      </w:r>
      <w:r w:rsidR="00802623">
        <w:t xml:space="preserve">the need </w:t>
      </w:r>
      <w:r w:rsidR="008E3170">
        <w:t>to increase the recruitment of staff to regional areas, and the potential role incentives could play in achieving thi</w:t>
      </w:r>
      <w:r w:rsidR="00BD2D4D">
        <w:t>s</w:t>
      </w:r>
      <w:r w:rsidR="00CB6B53">
        <w:t xml:space="preserve">, especially in regions </w:t>
      </w:r>
      <w:r w:rsidR="00C445C3">
        <w:t>suitable housing is in short supply</w:t>
      </w:r>
      <w:r w:rsidR="00CB6B53">
        <w:t>.</w:t>
      </w:r>
    </w:p>
    <w:p w14:paraId="0656C3F5" w14:textId="5CF1A759" w:rsidR="00C4724A" w:rsidRDefault="002B41BD" w:rsidP="00F6218D">
      <w:pPr>
        <w:pStyle w:val="Heading4"/>
      </w:pPr>
      <w:r>
        <w:t xml:space="preserve">Reduce administrative burden </w:t>
      </w:r>
      <w:r w:rsidR="008903D9">
        <w:t>on</w:t>
      </w:r>
      <w:r>
        <w:t xml:space="preserve"> </w:t>
      </w:r>
      <w:r w:rsidR="005158A5">
        <w:t>academics and researchers</w:t>
      </w:r>
    </w:p>
    <w:p w14:paraId="2A54DF50" w14:textId="1572AB50" w:rsidR="00CB6B53" w:rsidRDefault="00AF7900" w:rsidP="00CB6B53">
      <w:r>
        <w:t xml:space="preserve">Four submissions noted the </w:t>
      </w:r>
      <w:r w:rsidR="00D231BA">
        <w:t xml:space="preserve">increasing pressures on academics and researchers, including </w:t>
      </w:r>
      <w:r w:rsidR="00F7180E">
        <w:t xml:space="preserve">increased </w:t>
      </w:r>
      <w:r w:rsidR="000D1A8D">
        <w:t>administrative burden</w:t>
      </w:r>
      <w:r w:rsidR="008903D9">
        <w:t>s</w:t>
      </w:r>
      <w:r w:rsidR="000D1A8D">
        <w:t xml:space="preserve"> (</w:t>
      </w:r>
      <w:r w:rsidR="00AF5DC7">
        <w:t>4</w:t>
      </w:r>
      <w:r w:rsidR="00942E73">
        <w:t xml:space="preserve"> submissions), reduced capacity to undertake research (</w:t>
      </w:r>
      <w:r w:rsidR="00AF5DC7">
        <w:t>2</w:t>
      </w:r>
      <w:r w:rsidR="00942E73">
        <w:t xml:space="preserve"> submissions), and </w:t>
      </w:r>
      <w:r w:rsidR="001A360B">
        <w:t xml:space="preserve">loss of support </w:t>
      </w:r>
      <w:r w:rsidR="00F7256D">
        <w:t xml:space="preserve">from decreasing numbers of </w:t>
      </w:r>
      <w:r w:rsidR="001A360B">
        <w:t>non-academic support staff (</w:t>
      </w:r>
      <w:r w:rsidR="00AF5DC7">
        <w:t>1</w:t>
      </w:r>
      <w:r w:rsidR="001A360B">
        <w:t xml:space="preserve"> submission).</w:t>
      </w:r>
      <w:r w:rsidR="00EB768C">
        <w:t xml:space="preserve"> One submission noted the relation</w:t>
      </w:r>
      <w:r w:rsidR="00D04AD2">
        <w:t>ship</w:t>
      </w:r>
      <w:r w:rsidR="00EB768C">
        <w:t xml:space="preserve"> between these </w:t>
      </w:r>
      <w:r w:rsidR="00D04AD2">
        <w:t>increased requirements</w:t>
      </w:r>
      <w:r w:rsidR="00EB768C">
        <w:t xml:space="preserve"> and </w:t>
      </w:r>
      <w:r w:rsidR="00D04AD2">
        <w:t>staff burnout.</w:t>
      </w:r>
    </w:p>
    <w:p w14:paraId="5A6B1102" w14:textId="544920AF" w:rsidR="00D04AD2" w:rsidRPr="00CB6B53" w:rsidRDefault="00EA15DC" w:rsidP="00CB6B53">
      <w:r>
        <w:t>T</w:t>
      </w:r>
      <w:r w:rsidR="000F41AF">
        <w:t>hese</w:t>
      </w:r>
      <w:r w:rsidR="00BE7CB3">
        <w:t xml:space="preserve"> four submissions recommended reducing administrative and bureaucratic pressures on higher education staff</w:t>
      </w:r>
      <w:r w:rsidR="008944E7">
        <w:t xml:space="preserve">. </w:t>
      </w:r>
      <w:r w:rsidR="00CC2D34">
        <w:t>Methods to address this include</w:t>
      </w:r>
      <w:r w:rsidR="004E741C">
        <w:t xml:space="preserve"> </w:t>
      </w:r>
      <w:r w:rsidR="009A2ADA">
        <w:t>regulatory intervention</w:t>
      </w:r>
      <w:r w:rsidR="00640F0B">
        <w:t xml:space="preserve"> to ensure</w:t>
      </w:r>
      <w:r w:rsidR="00037C92">
        <w:t xml:space="preserve"> </w:t>
      </w:r>
      <w:r w:rsidR="00306543">
        <w:t xml:space="preserve">workplace conditions </w:t>
      </w:r>
      <w:r w:rsidR="008554AE">
        <w:t>remain</w:t>
      </w:r>
      <w:r w:rsidR="000527D6">
        <w:t xml:space="preserve"> </w:t>
      </w:r>
      <w:r w:rsidR="00D54029">
        <w:t xml:space="preserve">within </w:t>
      </w:r>
      <w:r w:rsidR="00C16E98">
        <w:t>legislat</w:t>
      </w:r>
      <w:r w:rsidR="00C14D85">
        <w:t>ed</w:t>
      </w:r>
      <w:r w:rsidR="00C16E98">
        <w:t xml:space="preserve"> standards (</w:t>
      </w:r>
      <w:r w:rsidR="00AF5DC7">
        <w:t>1</w:t>
      </w:r>
      <w:r w:rsidR="00C16E98">
        <w:t xml:space="preserve"> submission)</w:t>
      </w:r>
      <w:r w:rsidR="00F14FF1">
        <w:t xml:space="preserve"> and </w:t>
      </w:r>
      <w:r w:rsidR="00E04796">
        <w:t xml:space="preserve">reducing unnecessary bureaucratic </w:t>
      </w:r>
      <w:r w:rsidR="00E04796">
        <w:lastRenderedPageBreak/>
        <w:t xml:space="preserve">hurdles at a provider level, </w:t>
      </w:r>
      <w:r w:rsidR="006668D8">
        <w:t>with Curtin University</w:t>
      </w:r>
      <w:r w:rsidR="00830DCE">
        <w:t xml:space="preserve">’s “Battling Bureaucracy” </w:t>
      </w:r>
      <w:r w:rsidR="00C14D85">
        <w:t xml:space="preserve">project </w:t>
      </w:r>
      <w:r w:rsidR="00830DCE">
        <w:t>given as an example (</w:t>
      </w:r>
      <w:r w:rsidR="00AF5DC7">
        <w:t>1</w:t>
      </w:r>
      <w:r w:rsidR="00830DCE">
        <w:t xml:space="preserve"> submission).</w:t>
      </w:r>
    </w:p>
    <w:p w14:paraId="537EA40D" w14:textId="0B29E10D" w:rsidR="005158A5" w:rsidRDefault="005158A5" w:rsidP="00F6218D">
      <w:pPr>
        <w:pStyle w:val="Heading4"/>
      </w:pPr>
      <w:r>
        <w:t>Support initiatives which develop the skills of academic and professional staff</w:t>
      </w:r>
    </w:p>
    <w:p w14:paraId="4497266D" w14:textId="158663B2" w:rsidR="00C14D85" w:rsidRDefault="00EA15DC" w:rsidP="00C14D85">
      <w:r>
        <w:t>Seven submissions noted t</w:t>
      </w:r>
      <w:r w:rsidR="009160FC">
        <w:t xml:space="preserve">he need to support the </w:t>
      </w:r>
      <w:r w:rsidR="00345878">
        <w:t xml:space="preserve">skills development of academic and professional staff. </w:t>
      </w:r>
      <w:r w:rsidR="007605A2">
        <w:t>Methods</w:t>
      </w:r>
      <w:r w:rsidR="00926FE5">
        <w:t xml:space="preserve"> suggested</w:t>
      </w:r>
      <w:r w:rsidR="007605A2">
        <w:t xml:space="preserve"> to</w:t>
      </w:r>
      <w:r w:rsidR="00F968D5">
        <w:t xml:space="preserve"> achieve this included:</w:t>
      </w:r>
    </w:p>
    <w:p w14:paraId="2BB43CE7" w14:textId="7B849677" w:rsidR="00F12270" w:rsidRDefault="00EA15DC" w:rsidP="00F12270">
      <w:pPr>
        <w:pStyle w:val="ListParagraph"/>
        <w:numPr>
          <w:ilvl w:val="0"/>
          <w:numId w:val="63"/>
        </w:numPr>
      </w:pPr>
      <w:r>
        <w:t>d</w:t>
      </w:r>
      <w:r w:rsidR="00F12270">
        <w:t>evelop a sector-wide academic career development framework that outlines examples of excellence (</w:t>
      </w:r>
      <w:r w:rsidR="00AF5DC7">
        <w:t>1</w:t>
      </w:r>
      <w:r w:rsidR="00F12270">
        <w:t xml:space="preserve"> submission)</w:t>
      </w:r>
    </w:p>
    <w:p w14:paraId="1EC3D951" w14:textId="5205ACCA" w:rsidR="00F968D5" w:rsidRDefault="00EA15DC" w:rsidP="00F968D5">
      <w:pPr>
        <w:pStyle w:val="ListParagraph"/>
        <w:numPr>
          <w:ilvl w:val="0"/>
          <w:numId w:val="63"/>
        </w:numPr>
      </w:pPr>
      <w:r>
        <w:t>c</w:t>
      </w:r>
      <w:r w:rsidR="009D579D">
        <w:t xml:space="preserve">onsider </w:t>
      </w:r>
      <w:r w:rsidR="00926FE5">
        <w:t>a national graduate recruitment program for professional staff (</w:t>
      </w:r>
      <w:r w:rsidR="00AF5DC7">
        <w:t>1</w:t>
      </w:r>
      <w:r w:rsidR="00926FE5">
        <w:t xml:space="preserve"> submission)</w:t>
      </w:r>
    </w:p>
    <w:p w14:paraId="25B95C44" w14:textId="4D3F2F0E" w:rsidR="00926FE5" w:rsidRDefault="00EA15DC" w:rsidP="00F968D5">
      <w:pPr>
        <w:pStyle w:val="ListParagraph"/>
        <w:numPr>
          <w:ilvl w:val="0"/>
          <w:numId w:val="63"/>
        </w:numPr>
      </w:pPr>
      <w:r>
        <w:t>r</w:t>
      </w:r>
      <w:r w:rsidR="00BD5896">
        <w:t>eview current processes and structures for the recruitment and development of staff</w:t>
      </w:r>
      <w:r w:rsidR="00A42CBE">
        <w:t>,</w:t>
      </w:r>
      <w:r w:rsidR="0030445A">
        <w:t xml:space="preserve"> including identifying current structural inequalities,</w:t>
      </w:r>
      <w:r w:rsidR="00A42CBE">
        <w:t xml:space="preserve"> to ensure the sector</w:t>
      </w:r>
      <w:r w:rsidR="0030445A">
        <w:t xml:space="preserve"> is best placed to meet </w:t>
      </w:r>
      <w:r w:rsidR="00222D9F">
        <w:t>changing needs (</w:t>
      </w:r>
      <w:r w:rsidR="00AF5DC7">
        <w:t>1</w:t>
      </w:r>
      <w:r w:rsidR="00222D9F">
        <w:t xml:space="preserve"> submission)</w:t>
      </w:r>
    </w:p>
    <w:p w14:paraId="339B4F00" w14:textId="0782681F" w:rsidR="00E36152" w:rsidRDefault="00EA15DC" w:rsidP="00E36152">
      <w:pPr>
        <w:pStyle w:val="ListParagraph"/>
        <w:numPr>
          <w:ilvl w:val="0"/>
          <w:numId w:val="63"/>
        </w:numPr>
      </w:pPr>
      <w:r>
        <w:t>r</w:t>
      </w:r>
      <w:r w:rsidR="002E5C28">
        <w:t>eview</w:t>
      </w:r>
      <w:r w:rsidR="000A7612">
        <w:t xml:space="preserve"> data</w:t>
      </w:r>
      <w:r w:rsidR="00754DC2">
        <w:t xml:space="preserve"> points</w:t>
      </w:r>
      <w:r w:rsidR="000A7612">
        <w:t xml:space="preserve"> </w:t>
      </w:r>
      <w:r w:rsidR="00754DC2">
        <w:t>collected</w:t>
      </w:r>
      <w:r w:rsidR="00051822">
        <w:t xml:space="preserve"> </w:t>
      </w:r>
      <w:r w:rsidR="00754DC2">
        <w:t>nationally for</w:t>
      </w:r>
      <w:r w:rsidR="00051822">
        <w:t xml:space="preserve"> professional </w:t>
      </w:r>
      <w:r w:rsidR="003E36D4">
        <w:t>staff</w:t>
      </w:r>
      <w:r w:rsidR="00FB27C2">
        <w:t xml:space="preserve"> </w:t>
      </w:r>
      <w:r w:rsidR="006C398C">
        <w:t xml:space="preserve">to </w:t>
      </w:r>
      <w:r w:rsidR="00BC47D5">
        <w:t>assist university plannin</w:t>
      </w:r>
      <w:r w:rsidR="00E36152">
        <w:t>g (</w:t>
      </w:r>
      <w:r w:rsidR="00AF5DC7">
        <w:t>1</w:t>
      </w:r>
      <w:r w:rsidR="00E36152">
        <w:t xml:space="preserve"> submission)</w:t>
      </w:r>
    </w:p>
    <w:p w14:paraId="4352CD94" w14:textId="4ABCC149" w:rsidR="00991E6E" w:rsidRPr="00C14D85" w:rsidRDefault="00A83712" w:rsidP="004904FE">
      <w:pPr>
        <w:pStyle w:val="ListParagraph"/>
        <w:numPr>
          <w:ilvl w:val="0"/>
          <w:numId w:val="63"/>
        </w:numPr>
      </w:pPr>
      <w:r>
        <w:t>b</w:t>
      </w:r>
      <w:r w:rsidR="009A1CFC">
        <w:t xml:space="preserve">uild capacity </w:t>
      </w:r>
      <w:r w:rsidR="00B347E5">
        <w:t>and understanding i</w:t>
      </w:r>
      <w:r w:rsidR="009A1CFC">
        <w:t>n all staff</w:t>
      </w:r>
      <w:r w:rsidR="0061523F">
        <w:t xml:space="preserve"> </w:t>
      </w:r>
      <w:r w:rsidR="00B347E5">
        <w:t>to ensure inclusive teaching methods</w:t>
      </w:r>
      <w:r w:rsidR="006E61B8">
        <w:t xml:space="preserve">, for example, </w:t>
      </w:r>
      <w:r w:rsidR="00991E6E">
        <w:t>disability awareness (</w:t>
      </w:r>
      <w:r w:rsidR="00AF5DC7">
        <w:t>2</w:t>
      </w:r>
      <w:r w:rsidR="00991E6E">
        <w:t xml:space="preserve"> submission</w:t>
      </w:r>
      <w:r w:rsidR="00F72428">
        <w:t>s</w:t>
      </w:r>
      <w:r w:rsidR="00991E6E">
        <w:t>)</w:t>
      </w:r>
    </w:p>
    <w:p w14:paraId="3C7540B0" w14:textId="413214FB" w:rsidR="002B41BD" w:rsidRPr="008A030E" w:rsidRDefault="00A60C13" w:rsidP="00691105">
      <w:pPr>
        <w:pStyle w:val="Heading4"/>
      </w:pPr>
      <w:r>
        <w:t>Recognise and provide support for p</w:t>
      </w:r>
      <w:r w:rsidR="00F6218D">
        <w:t>sychological stress on staff</w:t>
      </w:r>
    </w:p>
    <w:p w14:paraId="2428812A" w14:textId="3DD27E3F" w:rsidR="009F4B03" w:rsidRDefault="00B03BB7" w:rsidP="009F4B03">
      <w:r>
        <w:t xml:space="preserve">Finally, three submissions </w:t>
      </w:r>
      <w:r w:rsidR="002F6B6E">
        <w:t xml:space="preserve">emphasised the </w:t>
      </w:r>
      <w:r w:rsidR="004741C4">
        <w:t>growing</w:t>
      </w:r>
      <w:r w:rsidR="001E7ADB">
        <w:t xml:space="preserve"> </w:t>
      </w:r>
      <w:r w:rsidR="007A3E3D">
        <w:t xml:space="preserve">mental health crisis in higher education staff. </w:t>
      </w:r>
    </w:p>
    <w:p w14:paraId="6302B14D" w14:textId="3713E40B" w:rsidR="0004221F" w:rsidRDefault="0004221F" w:rsidP="0004221F">
      <w:pPr>
        <w:ind w:left="720"/>
      </w:pPr>
      <w:r>
        <w:rPr>
          <w:i/>
          <w:iCs/>
        </w:rPr>
        <w:t>“</w:t>
      </w:r>
      <w:r w:rsidRPr="0004221F">
        <w:rPr>
          <w:i/>
          <w:iCs/>
        </w:rPr>
        <w:t>We are appealing to the members of the Australian University Accord Review to take seriously the mental health crisis in our universities. If this Accord is serious about advancing the sector, prioritising our people should be a key consideration of any change. The teaching of our next generations and our research capabilities will be fundamentally hamstrung if we remain mired in a workplace climate which entrenches burnout and distress.</w:t>
      </w:r>
      <w:r>
        <w:rPr>
          <w:i/>
          <w:iCs/>
        </w:rPr>
        <w:t xml:space="preserve">” </w:t>
      </w:r>
      <w:r w:rsidR="003D41D7" w:rsidRPr="003D41D7">
        <w:t>UniSA Psychosocial Safety Climate Global Observatory</w:t>
      </w:r>
    </w:p>
    <w:p w14:paraId="7A97E6BE" w14:textId="720CB65D" w:rsidR="006E6C1C" w:rsidRDefault="00E133C0" w:rsidP="006E6C1C">
      <w:r>
        <w:t>Submissions</w:t>
      </w:r>
      <w:r w:rsidR="00ED378C">
        <w:t xml:space="preserve"> noted </w:t>
      </w:r>
      <w:r w:rsidR="00FD2B87">
        <w:t xml:space="preserve">as causes of psychological stress </w:t>
      </w:r>
      <w:r w:rsidR="00BD28DE">
        <w:t xml:space="preserve">poor workplace </w:t>
      </w:r>
      <w:r w:rsidR="00467C35">
        <w:t>conditions (</w:t>
      </w:r>
      <w:r w:rsidR="00FD2B87">
        <w:t xml:space="preserve">for example, </w:t>
      </w:r>
      <w:r w:rsidR="00467C35">
        <w:t xml:space="preserve">job insecurity) </w:t>
      </w:r>
      <w:r w:rsidR="006D47CB">
        <w:t>(</w:t>
      </w:r>
      <w:r w:rsidR="00AF5DC7">
        <w:t>2</w:t>
      </w:r>
      <w:r w:rsidR="006D47CB">
        <w:t xml:space="preserve"> submissions)</w:t>
      </w:r>
      <w:r w:rsidR="00BD28DE">
        <w:t xml:space="preserve">, </w:t>
      </w:r>
      <w:r w:rsidR="00296DF8">
        <w:t xml:space="preserve">recent policy changes (including but not exclusive to those announced </w:t>
      </w:r>
      <w:r w:rsidR="006D47CB">
        <w:t>during the</w:t>
      </w:r>
      <w:r w:rsidR="00296DF8">
        <w:t xml:space="preserve"> COVID-19 pandemic)</w:t>
      </w:r>
      <w:r w:rsidR="006D47CB">
        <w:t xml:space="preserve"> (</w:t>
      </w:r>
      <w:r w:rsidR="00AF5DC7">
        <w:t>1</w:t>
      </w:r>
      <w:r w:rsidR="006D47CB">
        <w:t xml:space="preserve"> submission) and a history of inefficiency in the sector (</w:t>
      </w:r>
      <w:r w:rsidR="00AF5DC7">
        <w:t>1</w:t>
      </w:r>
      <w:r w:rsidR="006D47CB">
        <w:t xml:space="preserve"> submission)</w:t>
      </w:r>
      <w:r w:rsidR="00FD2B87">
        <w:t>.</w:t>
      </w:r>
    </w:p>
    <w:p w14:paraId="2D5FD43A" w14:textId="77777777" w:rsidR="00693F84" w:rsidRDefault="001362F3" w:rsidP="006E6C1C">
      <w:pPr>
        <w:sectPr w:rsidR="00693F84" w:rsidSect="00BC3DE9">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18" w:right="1440" w:bottom="1560" w:left="1276" w:header="708" w:footer="708" w:gutter="0"/>
          <w:pgNumType w:start="0"/>
          <w:cols w:space="708"/>
          <w:titlePg/>
          <w:docGrid w:linePitch="360"/>
        </w:sectPr>
      </w:pPr>
      <w:r>
        <w:t>To address this issue, two submissions noted th</w:t>
      </w:r>
      <w:r w:rsidR="00B46D9A">
        <w:t>e role</w:t>
      </w:r>
      <w:r w:rsidR="00F336B9">
        <w:t xml:space="preserve"> and responsibility of universities in helping address, and mitigate, mental health issues in the workforce.</w:t>
      </w:r>
      <w:r w:rsidR="0002174E">
        <w:t xml:space="preserve"> </w:t>
      </w:r>
      <w:r w:rsidR="0096407C">
        <w:t xml:space="preserve">One submission </w:t>
      </w:r>
      <w:r w:rsidR="004A0085">
        <w:t xml:space="preserve">recommended </w:t>
      </w:r>
      <w:r w:rsidR="003F30AC">
        <w:t>the development of a sector-wide mental health strategy</w:t>
      </w:r>
      <w:r w:rsidR="00351DE1">
        <w:t>.</w:t>
      </w:r>
    </w:p>
    <w:p w14:paraId="4758F340" w14:textId="78F1C35D" w:rsidR="00BC3DE9" w:rsidRDefault="00BC3DE9" w:rsidP="00B21937">
      <w:pPr>
        <w:pStyle w:val="Heading2"/>
      </w:pPr>
      <w:bookmarkStart w:id="62" w:name="_Toc134807425"/>
      <w:r>
        <w:lastRenderedPageBreak/>
        <w:t>Appendix</w:t>
      </w:r>
      <w:bookmarkEnd w:id="62"/>
    </w:p>
    <w:p w14:paraId="57B1A2EB" w14:textId="5A5A14B1" w:rsidR="00B21937" w:rsidRDefault="00B21937" w:rsidP="00BC3DE9">
      <w:pPr>
        <w:pStyle w:val="Heading3"/>
      </w:pPr>
      <w:bookmarkStart w:id="63" w:name="_Toc134807426"/>
      <w:r>
        <w:t>Responses to the discussion paper</w:t>
      </w:r>
      <w:bookmarkEnd w:id="63"/>
    </w:p>
    <w:p w14:paraId="2E0CBEF2" w14:textId="51048A97" w:rsidR="0071028C" w:rsidRPr="0071028C" w:rsidRDefault="0071028C" w:rsidP="0071028C">
      <w:pPr>
        <w:pStyle w:val="Caption"/>
      </w:pPr>
      <w:r>
        <w:t xml:space="preserve">Figure </w:t>
      </w:r>
      <w:r w:rsidR="008444D3">
        <w:fldChar w:fldCharType="begin"/>
      </w:r>
      <w:r w:rsidR="008444D3">
        <w:instrText xml:space="preserve"> SEQ Figure</w:instrText>
      </w:r>
      <w:r w:rsidR="008444D3">
        <w:instrText xml:space="preserve"> \* ARABIC </w:instrText>
      </w:r>
      <w:r w:rsidR="008444D3">
        <w:fldChar w:fldCharType="separate"/>
      </w:r>
      <w:r w:rsidR="009D26B2">
        <w:rPr>
          <w:noProof/>
        </w:rPr>
        <w:t>13</w:t>
      </w:r>
      <w:r w:rsidR="008444D3">
        <w:rPr>
          <w:noProof/>
        </w:rPr>
        <w:fldChar w:fldCharType="end"/>
      </w:r>
      <w:r>
        <w:t xml:space="preserve"> | </w:t>
      </w:r>
      <w:r w:rsidR="00E0193E" w:rsidRPr="00E0193E">
        <w:t>Distribution of responses received from individuals in response to the Discussion Paper (N=77)</w:t>
      </w:r>
    </w:p>
    <w:p w14:paraId="63241FD6" w14:textId="34426739" w:rsidR="00484D95" w:rsidRDefault="0071028C" w:rsidP="00484D95">
      <w:r w:rsidRPr="0071028C">
        <w:rPr>
          <w:noProof/>
        </w:rPr>
        <w:drawing>
          <wp:inline distT="0" distB="0" distL="0" distR="0" wp14:anchorId="6036087C" wp14:editId="7FCA8A2A">
            <wp:extent cx="5835650" cy="3201670"/>
            <wp:effectExtent l="0" t="0" r="0" b="0"/>
            <wp:docPr id="36" name="Picture 36" descr="Bar graph showing distribution of responses received from individuals in response to the Discussion Paper (N=77). The role of international education and quality and sustainability were the most frequent categories of response, both wit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Bar graph showing distribution of responses received from individuals in response to the Discussion Paper (N=77). The role of international education and quality and sustainability were the most frequent categories of response, both with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39647B57" w14:textId="3BCEC13C" w:rsidR="00D74C10" w:rsidRDefault="00D74C10" w:rsidP="00D74C10">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14</w:t>
      </w:r>
      <w:r w:rsidR="008444D3">
        <w:rPr>
          <w:noProof/>
        </w:rPr>
        <w:fldChar w:fldCharType="end"/>
      </w:r>
      <w:r>
        <w:t xml:space="preserve"> | </w:t>
      </w:r>
      <w:r w:rsidR="00DD6C47" w:rsidRPr="00DD6C47">
        <w:t>Distribution of responses received from other advocacy groups in response to the Discussion Paper (N=40)</w:t>
      </w:r>
    </w:p>
    <w:p w14:paraId="544524B0" w14:textId="2DB8D113" w:rsidR="00D74C10" w:rsidRDefault="00D74C10" w:rsidP="00484D95">
      <w:r w:rsidRPr="00D74C10">
        <w:rPr>
          <w:noProof/>
        </w:rPr>
        <w:drawing>
          <wp:inline distT="0" distB="0" distL="0" distR="0" wp14:anchorId="158B5E9A" wp14:editId="5F8B4A19">
            <wp:extent cx="5835650" cy="3201670"/>
            <wp:effectExtent l="0" t="0" r="0" b="0"/>
            <wp:docPr id="39" name="Picture 39" descr="Bar graph showing distribution of responses received from other advocacy groups in response to the Discussion Paper (N=40). The role of international education, regulation and governance and quality and sustainability were the most frequent categories of response, with 23, 22 and 22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Bar graph showing distribution of responses received from other advocacy groups in response to the Discussion Paper (N=40). The role of international education, regulation and governance and quality and sustainability were the most frequent categories of response, with 23, 22 and 22 respectively.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2922D601" w14:textId="77777777" w:rsidR="00016761" w:rsidRDefault="00016761" w:rsidP="00484D95"/>
    <w:p w14:paraId="075A0C18" w14:textId="77777777" w:rsidR="00016761" w:rsidRDefault="00016761" w:rsidP="00484D95"/>
    <w:p w14:paraId="309BD604" w14:textId="1730AD67" w:rsidR="00D937A6" w:rsidRDefault="00D937A6" w:rsidP="00D937A6">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15</w:t>
      </w:r>
      <w:r w:rsidR="008444D3">
        <w:rPr>
          <w:noProof/>
        </w:rPr>
        <w:fldChar w:fldCharType="end"/>
      </w:r>
      <w:r>
        <w:t xml:space="preserve"> | </w:t>
      </w:r>
      <w:r w:rsidR="000B036A" w:rsidRPr="000B036A">
        <w:t>Distribution of responses received from universities in response to the Discussion Paper (N=40)</w:t>
      </w:r>
    </w:p>
    <w:p w14:paraId="4EF2921D" w14:textId="6BEB7C59" w:rsidR="00D937A6" w:rsidRDefault="00D937A6" w:rsidP="00484D95">
      <w:r w:rsidRPr="00D937A6">
        <w:rPr>
          <w:noProof/>
        </w:rPr>
        <w:drawing>
          <wp:inline distT="0" distB="0" distL="0" distR="0" wp14:anchorId="63FA37F1" wp14:editId="5B579CA2">
            <wp:extent cx="5835650" cy="3201670"/>
            <wp:effectExtent l="0" t="0" r="0" b="0"/>
            <wp:docPr id="47" name="Picture 47" descr="Bar graph showing distribution of responses received from universities in response to the Discussion Paper (N=40). Connection between the vocational education and training and higher education systems and governance, accountability and community were the most frequent categories of response, with 26 and 25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Bar graph showing distribution of responses received from universities in response to the Discussion Paper (N=40). Connection between the vocational education and training and higher education systems and governance, accountability and community were the most frequent categories of response, with 26 and 25 respectively.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27B9E31D" w14:textId="0B9AF6DB" w:rsidR="00ED5CD0" w:rsidRDefault="00ED5CD0" w:rsidP="00ED5CD0">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16</w:t>
      </w:r>
      <w:r w:rsidR="008444D3">
        <w:rPr>
          <w:noProof/>
        </w:rPr>
        <w:fldChar w:fldCharType="end"/>
      </w:r>
      <w:r>
        <w:t xml:space="preserve"> | </w:t>
      </w:r>
      <w:r w:rsidR="00080560" w:rsidRPr="00080560">
        <w:t>Distribution of responses received from university schools, centres, faculties or colleges in response to the Discussion Paper (N=20)</w:t>
      </w:r>
    </w:p>
    <w:p w14:paraId="61C16A4D" w14:textId="55A9580E" w:rsidR="00ED5CD0" w:rsidRDefault="00ED5CD0" w:rsidP="00484D95">
      <w:r w:rsidRPr="00ED5CD0">
        <w:rPr>
          <w:noProof/>
        </w:rPr>
        <w:drawing>
          <wp:inline distT="0" distB="0" distL="0" distR="0" wp14:anchorId="26DE085F" wp14:editId="5064052F">
            <wp:extent cx="5835650" cy="3211830"/>
            <wp:effectExtent l="0" t="0" r="0" b="7620"/>
            <wp:docPr id="48" name="Picture 48" descr="Bar graph showing distribution of responses received from university schools, centres, faculties or colleges in response to the Discussion Paper (N=20). Governance, accountability and community and regulation and governance were the most frequent categories of response with 8 and 7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Bar graph showing distribution of responses received from university schools, centres, faculties or colleges in response to the Discussion Paper (N=20). Governance, accountability and community and regulation and governance were the most frequent categories of response with 8 and 7 respectively.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35650" cy="3211830"/>
                    </a:xfrm>
                    <a:prstGeom prst="rect">
                      <a:avLst/>
                    </a:prstGeom>
                    <a:noFill/>
                    <a:ln>
                      <a:noFill/>
                    </a:ln>
                  </pic:spPr>
                </pic:pic>
              </a:graphicData>
            </a:graphic>
          </wp:inline>
        </w:drawing>
      </w:r>
    </w:p>
    <w:p w14:paraId="661F175F" w14:textId="77777777" w:rsidR="00E86A3B" w:rsidRDefault="00E86A3B" w:rsidP="00484D95"/>
    <w:p w14:paraId="380B8674" w14:textId="77777777" w:rsidR="00E86A3B" w:rsidRDefault="00E86A3B" w:rsidP="00484D95"/>
    <w:p w14:paraId="6ADF4269" w14:textId="77777777" w:rsidR="00E86A3B" w:rsidRDefault="00E86A3B" w:rsidP="00484D95"/>
    <w:p w14:paraId="2656DC5E" w14:textId="005E4161" w:rsidR="00096D01" w:rsidRDefault="00096D01" w:rsidP="00096D01">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17</w:t>
      </w:r>
      <w:r w:rsidR="008444D3">
        <w:rPr>
          <w:noProof/>
        </w:rPr>
        <w:fldChar w:fldCharType="end"/>
      </w:r>
      <w:r>
        <w:t xml:space="preserve"> | </w:t>
      </w:r>
      <w:r w:rsidR="00745DB6" w:rsidRPr="00745DB6">
        <w:t>Distribution of responses received from university staff in response to the Discussion Paper (N=19)</w:t>
      </w:r>
    </w:p>
    <w:p w14:paraId="1DE0AD1A" w14:textId="15FC8C98" w:rsidR="00985A9B" w:rsidRDefault="00985A9B" w:rsidP="00484D95">
      <w:r w:rsidRPr="00985A9B">
        <w:rPr>
          <w:noProof/>
        </w:rPr>
        <w:drawing>
          <wp:inline distT="0" distB="0" distL="0" distR="0" wp14:anchorId="7604E17E" wp14:editId="539D377A">
            <wp:extent cx="5835650" cy="3201670"/>
            <wp:effectExtent l="0" t="0" r="0" b="0"/>
            <wp:docPr id="49" name="Picture 49" descr="Bar graph showing distribution of responses received from university staff in response to the Discussion Paper (N=19). Governance, accountability and community, regulation and governance, and connection between the vocational education and training and higher education systems were the most frequent categories of response, with 15, 12 and 12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Bar graph showing distribution of responses received from university staff in response to the Discussion Paper (N=19). Governance, accountability and community, regulation and governance, and connection between the vocational education and training and higher education systems were the most frequent categories of response, with 15, 12 and 12 respectively.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2A66698A" w14:textId="46CF1DC7" w:rsidR="00D74214" w:rsidRDefault="00D74214" w:rsidP="00D74214">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18</w:t>
      </w:r>
      <w:r w:rsidR="008444D3">
        <w:rPr>
          <w:noProof/>
        </w:rPr>
        <w:fldChar w:fldCharType="end"/>
      </w:r>
      <w:r>
        <w:t xml:space="preserve"> | </w:t>
      </w:r>
      <w:r w:rsidR="00EE4687" w:rsidRPr="00EE4687">
        <w:t>Distribution of responses received from other higher education groups in response to the Discussion Paper (N=17)</w:t>
      </w:r>
    </w:p>
    <w:p w14:paraId="5A710440" w14:textId="02F12EFB" w:rsidR="00D74214" w:rsidRDefault="00D74214" w:rsidP="00484D95">
      <w:r w:rsidRPr="00D74214">
        <w:rPr>
          <w:noProof/>
        </w:rPr>
        <w:drawing>
          <wp:inline distT="0" distB="0" distL="0" distR="0" wp14:anchorId="350515B0" wp14:editId="0A8F9D5E">
            <wp:extent cx="5835650" cy="3201670"/>
            <wp:effectExtent l="0" t="0" r="0" b="0"/>
            <wp:docPr id="40" name="Picture 40" descr="Bar graph showing distribution of responses received from other higher education groups in response to the Discussion Paper (N=17). Governance, accountability and community and quality and sustainability were the most frequent categories of response, with 9 and 8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Bar graph showing distribution of responses received from other higher education groups in response to the Discussion Paper (N=17). Governance, accountability and community and quality and sustainability were the most frequent categories of response, with 9 and 8 respectively.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31831C95" w14:textId="77777777" w:rsidR="00E86A3B" w:rsidRDefault="00E86A3B" w:rsidP="00484D95"/>
    <w:p w14:paraId="3E7839F3" w14:textId="77777777" w:rsidR="00E86A3B" w:rsidRDefault="00E86A3B" w:rsidP="00484D95"/>
    <w:p w14:paraId="1F527F0D" w14:textId="77777777" w:rsidR="00E86A3B" w:rsidRDefault="00E86A3B" w:rsidP="00484D95"/>
    <w:p w14:paraId="06A1B20D" w14:textId="51F5CB9B" w:rsidR="00630C41" w:rsidRDefault="00630C41" w:rsidP="00630C41">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19</w:t>
      </w:r>
      <w:r w:rsidR="008444D3">
        <w:rPr>
          <w:noProof/>
        </w:rPr>
        <w:fldChar w:fldCharType="end"/>
      </w:r>
      <w:r>
        <w:t xml:space="preserve"> | </w:t>
      </w:r>
      <w:r w:rsidR="00F13537" w:rsidRPr="00F13537">
        <w:t>Distribution of responses received from professional associations in response to the Discussion Paper (N=12)</w:t>
      </w:r>
    </w:p>
    <w:p w14:paraId="161A03FD" w14:textId="21ECD24E" w:rsidR="00630C41" w:rsidRPr="00484D95" w:rsidRDefault="00630C41" w:rsidP="00484D95">
      <w:r w:rsidRPr="00630C41">
        <w:rPr>
          <w:noProof/>
        </w:rPr>
        <w:drawing>
          <wp:inline distT="0" distB="0" distL="0" distR="0" wp14:anchorId="52B4990B" wp14:editId="5C89EDE8">
            <wp:extent cx="5835650" cy="3201670"/>
            <wp:effectExtent l="0" t="0" r="0" b="0"/>
            <wp:docPr id="42" name="Picture 42" descr="Bar graph showing distribution of responses received from professional associations in response to the Discussion Paper (N=12). Connection between the vocational education and training and higher education systems, governance, accountability and community and quality and sustainability were the most frequent categories of response, with 9, 8 and 8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Bar graph showing distribution of responses received from professional associations in response to the Discussion Paper (N=12). Connection between the vocational education and training and higher education systems, governance, accountability and community and quality and sustainability were the most frequent categories of response, with 9, 8 and 8 respectively.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613E7998" w14:textId="13F87242" w:rsidR="007A1A30" w:rsidRPr="007A1A30" w:rsidRDefault="007A1A30" w:rsidP="007A1A30">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20</w:t>
      </w:r>
      <w:r w:rsidR="008444D3">
        <w:rPr>
          <w:noProof/>
        </w:rPr>
        <w:fldChar w:fldCharType="end"/>
      </w:r>
      <w:r>
        <w:t xml:space="preserve"> | </w:t>
      </w:r>
      <w:r w:rsidR="00484D95" w:rsidRPr="00484D95">
        <w:t>Distribution of responses received from discipline groups in response to the Discussion Paper (N=11)</w:t>
      </w:r>
    </w:p>
    <w:p w14:paraId="5895327F" w14:textId="77777777" w:rsidR="005B29D2" w:rsidRDefault="007A1A30" w:rsidP="004854AB">
      <w:pPr>
        <w:pStyle w:val="Caption"/>
      </w:pPr>
      <w:r w:rsidRPr="007A1A30">
        <w:rPr>
          <w:noProof/>
        </w:rPr>
        <w:drawing>
          <wp:inline distT="0" distB="0" distL="0" distR="0" wp14:anchorId="637F243F" wp14:editId="75CD411A">
            <wp:extent cx="5835650" cy="3170555"/>
            <wp:effectExtent l="0" t="0" r="0" b="0"/>
            <wp:docPr id="32" name="Picture 32" descr="Bar graph showing distribution of responses received from discipline groups in response to the Discussion Paper (N=11). Connection between the vocational education and training and higher education systems and governance, accountability and community were the most frequent categories of response, with 5 and 5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Bar graph showing distribution of responses received from discipline groups in response to the Discussion Paper (N=11). Connection between the vocational education and training and higher education systems and governance, accountability and community were the most frequent categories of response, with 5 and 5 respectively.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35650" cy="3170555"/>
                    </a:xfrm>
                    <a:prstGeom prst="rect">
                      <a:avLst/>
                    </a:prstGeom>
                    <a:noFill/>
                    <a:ln>
                      <a:noFill/>
                    </a:ln>
                  </pic:spPr>
                </pic:pic>
              </a:graphicData>
            </a:graphic>
          </wp:inline>
        </w:drawing>
      </w:r>
    </w:p>
    <w:p w14:paraId="5D70D13D" w14:textId="77777777" w:rsidR="00E86A3B" w:rsidRDefault="00E86A3B" w:rsidP="00E86A3B"/>
    <w:p w14:paraId="50BE2135" w14:textId="77777777" w:rsidR="00E86A3B" w:rsidRDefault="00E86A3B" w:rsidP="00E86A3B"/>
    <w:p w14:paraId="6DA3CD03" w14:textId="77777777" w:rsidR="00E86A3B" w:rsidRDefault="00E86A3B" w:rsidP="00E86A3B"/>
    <w:p w14:paraId="64AE6ED1" w14:textId="77777777" w:rsidR="00E86A3B" w:rsidRPr="00E86A3B" w:rsidRDefault="00E86A3B" w:rsidP="00E86A3B"/>
    <w:p w14:paraId="0C80DF3B" w14:textId="02E58DFD" w:rsidR="005B29D2" w:rsidRPr="005B29D2" w:rsidRDefault="005B29D2" w:rsidP="005B29D2">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21</w:t>
      </w:r>
      <w:r w:rsidR="008444D3">
        <w:rPr>
          <w:noProof/>
        </w:rPr>
        <w:fldChar w:fldCharType="end"/>
      </w:r>
      <w:r>
        <w:t xml:space="preserve"> | </w:t>
      </w:r>
      <w:r w:rsidR="0081293D" w:rsidRPr="0081293D">
        <w:t>Distribution of responses received from student representatives in response to the Discussion Paper (N=10)</w:t>
      </w:r>
    </w:p>
    <w:p w14:paraId="71344298" w14:textId="12DE33AD" w:rsidR="00297847" w:rsidRDefault="005B29D2" w:rsidP="004854AB">
      <w:pPr>
        <w:pStyle w:val="Caption"/>
      </w:pPr>
      <w:r w:rsidRPr="005B29D2">
        <w:rPr>
          <w:noProof/>
        </w:rPr>
        <w:drawing>
          <wp:inline distT="0" distB="0" distL="0" distR="0" wp14:anchorId="14B40EC5" wp14:editId="77A78828">
            <wp:extent cx="5835650" cy="3201670"/>
            <wp:effectExtent l="0" t="0" r="0" b="0"/>
            <wp:docPr id="45" name="Picture 45" descr="Bar graph showing distribution of responses received from student representatives in response to the Discussion Paper (N=10). Governance, accountability and community and quality and sustainability were the most frequent categories of response, with 8 and 7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Bar graph showing distribution of responses received from student representatives in response to the Discussion Paper (N=10). Governance, accountability and community and quality and sustainability were the most frequent categories of response, with 8 and 7 respectively.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79D9762B" w14:textId="3AD015CE" w:rsidR="00D43B0E" w:rsidRDefault="004854AB" w:rsidP="004854AB">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22</w:t>
      </w:r>
      <w:r w:rsidR="008444D3">
        <w:rPr>
          <w:noProof/>
        </w:rPr>
        <w:fldChar w:fldCharType="end"/>
      </w:r>
      <w:r>
        <w:t xml:space="preserve"> | </w:t>
      </w:r>
      <w:r w:rsidR="00297847" w:rsidRPr="00297847">
        <w:t>Distribution of responses received from independent providers in response to the Discussion Paper (N=9)</w:t>
      </w:r>
    </w:p>
    <w:p w14:paraId="1C1C52CF" w14:textId="659BD744" w:rsidR="004854AB" w:rsidRDefault="004854AB" w:rsidP="004854AB">
      <w:r w:rsidRPr="004854AB">
        <w:rPr>
          <w:noProof/>
        </w:rPr>
        <w:drawing>
          <wp:inline distT="0" distB="0" distL="0" distR="0" wp14:anchorId="74183278" wp14:editId="2EB2BFF7">
            <wp:extent cx="5835650" cy="3201670"/>
            <wp:effectExtent l="0" t="0" r="0" b="0"/>
            <wp:docPr id="35" name="Picture 35" descr="Bar graph showing distribution of responses received from independent providers in response to the Discussion Paper (N=9). Governance, accountability, and community, connection between the vocational education and training and higher education systems and regulation and governance were the most frequent categories of response, with 5 , 3 and 3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Bar graph showing distribution of responses received from independent providers in response to the Discussion Paper (N=9). Governance, accountability, and community, connection between the vocational education and training and higher education systems and regulation and governance were the most frequent categories of response, with 5 , 3 and 3 respectively.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1E239FA3" w14:textId="77777777" w:rsidR="00E86A3B" w:rsidRDefault="00E86A3B" w:rsidP="004854AB"/>
    <w:p w14:paraId="11ECCCE8" w14:textId="77777777" w:rsidR="00E86A3B" w:rsidRDefault="00E86A3B" w:rsidP="004854AB"/>
    <w:p w14:paraId="2226F94E" w14:textId="77777777" w:rsidR="00E86A3B" w:rsidRPr="004854AB" w:rsidRDefault="00E86A3B" w:rsidP="004854AB"/>
    <w:p w14:paraId="5A95596E" w14:textId="2A14C38E" w:rsidR="00333455" w:rsidRPr="00333455" w:rsidRDefault="00333455" w:rsidP="00333455">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23</w:t>
      </w:r>
      <w:r w:rsidR="008444D3">
        <w:rPr>
          <w:noProof/>
        </w:rPr>
        <w:fldChar w:fldCharType="end"/>
      </w:r>
      <w:r>
        <w:t xml:space="preserve"> | </w:t>
      </w:r>
      <w:r w:rsidR="00C66C8F" w:rsidRPr="00C66C8F">
        <w:t>Distribution of responses received from higher education peak bodies in response to the Discussion Paper (N=8)</w:t>
      </w:r>
    </w:p>
    <w:p w14:paraId="1282A9FF" w14:textId="12360BE2" w:rsidR="00D43B0E" w:rsidRDefault="00333455" w:rsidP="00D43B0E">
      <w:pPr>
        <w:pStyle w:val="Caption"/>
      </w:pPr>
      <w:r w:rsidRPr="00333455">
        <w:rPr>
          <w:noProof/>
        </w:rPr>
        <w:drawing>
          <wp:inline distT="0" distB="0" distL="0" distR="0" wp14:anchorId="2D95C2C3" wp14:editId="0D7FEEBE">
            <wp:extent cx="5835650" cy="3201670"/>
            <wp:effectExtent l="0" t="0" r="0" b="0"/>
            <wp:docPr id="34" name="Picture 34" descr="Bar graph showing distribution of responses received from higher education peak bodies in response to the Discussion Paper (N=8). Quality and sustainability was the most frequent category of response with 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Bar graph showing distribution of responses received from higher education peak bodies in response to the Discussion Paper (N=8). Quality and sustainability was the most frequent category of response with 6.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57BE33E7" w14:textId="39A614B2" w:rsidR="0037204D" w:rsidRPr="0037204D" w:rsidRDefault="00DE5844" w:rsidP="00DE5844">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24</w:t>
      </w:r>
      <w:r w:rsidR="008444D3">
        <w:rPr>
          <w:noProof/>
        </w:rPr>
        <w:fldChar w:fldCharType="end"/>
      </w:r>
      <w:r>
        <w:t xml:space="preserve"> | </w:t>
      </w:r>
      <w:r w:rsidRPr="00DE5844">
        <w:t>Distribution of responses received from regional networks and support services in response to the Discussion Paper (N=7)</w:t>
      </w:r>
    </w:p>
    <w:p w14:paraId="5B6A8F33" w14:textId="05EE7A1F" w:rsidR="0037204D" w:rsidRDefault="0037204D" w:rsidP="0037204D">
      <w:r w:rsidRPr="0037204D">
        <w:rPr>
          <w:noProof/>
        </w:rPr>
        <w:drawing>
          <wp:inline distT="0" distB="0" distL="0" distR="0" wp14:anchorId="00F61FF2" wp14:editId="4B78BCEE">
            <wp:extent cx="5835650" cy="3201670"/>
            <wp:effectExtent l="0" t="0" r="0" b="0"/>
            <wp:docPr id="43" name="Picture 43" descr="Bar graph showing distribution of responses received from regional networks and support services in response to the Discussion Paper (N=7). Quality and sustainability was the most frequent categories of response, with 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Bar graph showing distribution of responses received from regional networks and support services in response to the Discussion Paper (N=7). Quality and sustainability was the most frequent categories of response, with 5.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7019EA5E" w14:textId="77777777" w:rsidR="00E86A3B" w:rsidRDefault="00E86A3B" w:rsidP="0037204D"/>
    <w:p w14:paraId="351C48C5" w14:textId="77777777" w:rsidR="00E86A3B" w:rsidRDefault="00E86A3B" w:rsidP="0037204D"/>
    <w:p w14:paraId="108FCB9A" w14:textId="77777777" w:rsidR="00E86A3B" w:rsidRPr="0037204D" w:rsidRDefault="00E86A3B" w:rsidP="0037204D"/>
    <w:p w14:paraId="7AE4C406" w14:textId="19AF1891" w:rsidR="00AB3504" w:rsidRPr="00AB3504" w:rsidRDefault="00AB3504" w:rsidP="00AB3504">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25</w:t>
      </w:r>
      <w:r w:rsidR="008444D3">
        <w:rPr>
          <w:noProof/>
        </w:rPr>
        <w:fldChar w:fldCharType="end"/>
      </w:r>
      <w:r>
        <w:t xml:space="preserve"> | </w:t>
      </w:r>
      <w:r w:rsidR="00B35A19" w:rsidRPr="00B35A19">
        <w:t>Distribution of responses received from other respondents in response to the Discussion Paper (N=7)</w:t>
      </w:r>
    </w:p>
    <w:p w14:paraId="55F385BA" w14:textId="6328ABF6" w:rsidR="00AB3504" w:rsidRPr="00AB3504" w:rsidRDefault="00AB3504" w:rsidP="00AB3504">
      <w:r w:rsidRPr="00AB3504">
        <w:rPr>
          <w:noProof/>
        </w:rPr>
        <w:drawing>
          <wp:inline distT="0" distB="0" distL="0" distR="0" wp14:anchorId="4D8266C1" wp14:editId="4B1A27DE">
            <wp:extent cx="5835650" cy="3166110"/>
            <wp:effectExtent l="0" t="0" r="0" b="0"/>
            <wp:docPr id="38" name="Picture 38" descr="Bar graph showing distribution of responses received from other respondents in response to the Discussion Paper (N=7).The role of international education and regulation and governance were the most frequent categories of response with 2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Bar graph showing distribution of responses received from other respondents in response to the Discussion Paper (N=7).The role of international education and regulation and governance were the most frequent categories of response with 2 each."/>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35650" cy="3166110"/>
                    </a:xfrm>
                    <a:prstGeom prst="rect">
                      <a:avLst/>
                    </a:prstGeom>
                    <a:noFill/>
                    <a:ln>
                      <a:noFill/>
                    </a:ln>
                  </pic:spPr>
                </pic:pic>
              </a:graphicData>
            </a:graphic>
          </wp:inline>
        </w:drawing>
      </w:r>
    </w:p>
    <w:p w14:paraId="24931EA1" w14:textId="70546C6C" w:rsidR="00E86A3B" w:rsidRDefault="00E86A3B" w:rsidP="00E86A3B">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26</w:t>
      </w:r>
      <w:r w:rsidR="008444D3">
        <w:rPr>
          <w:noProof/>
        </w:rPr>
        <w:fldChar w:fldCharType="end"/>
      </w:r>
      <w:r>
        <w:t xml:space="preserve"> | </w:t>
      </w:r>
      <w:r w:rsidRPr="00A81390">
        <w:t>Distribution of responses received from State or Commonwealth government bodies in response to the Discussion Paper (N=6)</w:t>
      </w:r>
    </w:p>
    <w:p w14:paraId="0F3BBBED" w14:textId="77777777" w:rsidR="00E86A3B" w:rsidRDefault="00E86A3B" w:rsidP="00E86A3B">
      <w:pPr>
        <w:pStyle w:val="Caption"/>
      </w:pPr>
      <w:r w:rsidRPr="00195D04">
        <w:rPr>
          <w:noProof/>
        </w:rPr>
        <w:drawing>
          <wp:inline distT="0" distB="0" distL="0" distR="0" wp14:anchorId="278413C6" wp14:editId="07AE5176">
            <wp:extent cx="5835650" cy="3201670"/>
            <wp:effectExtent l="0" t="0" r="0" b="0"/>
            <wp:docPr id="44" name="Picture 44" descr="Bar graph showing distribution of responses received from State or Commonwealth government bodies in response to the Discussion Paper (N=6). Quality and sustainability, governance, accountability and community, the role of international education, investment and affordability, connection between the vocational education and training and higher education systems, regulation and governance and meeting Australia's knowledge and skills needs were the most frequent categories of response each wit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Bar graph showing distribution of responses received from State or Commonwealth government bodies in response to the Discussion Paper (N=6). Quality and sustainability, governance, accountability and community, the role of international education, investment and affordability, connection between the vocational education and training and higher education systems, regulation and governance and meeting Australia's knowledge and skills needs were the most frequent categories of response each with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3B7FFC23" w14:textId="77777777" w:rsidR="00E86A3B" w:rsidRDefault="00E86A3B" w:rsidP="00E86A3B">
      <w:pPr>
        <w:pStyle w:val="Caption"/>
      </w:pPr>
    </w:p>
    <w:p w14:paraId="5AAAE341" w14:textId="77777777" w:rsidR="00E86A3B" w:rsidRDefault="00E86A3B" w:rsidP="00E86A3B">
      <w:pPr>
        <w:pStyle w:val="Caption"/>
      </w:pPr>
    </w:p>
    <w:p w14:paraId="0332AD4F" w14:textId="77777777" w:rsidR="00E86A3B" w:rsidRDefault="00E86A3B" w:rsidP="00E86A3B">
      <w:pPr>
        <w:pStyle w:val="Caption"/>
      </w:pPr>
    </w:p>
    <w:p w14:paraId="7CF04AAE" w14:textId="0AFE3D56" w:rsidR="00D43B0E" w:rsidRPr="00D43B0E" w:rsidRDefault="00D43B0E" w:rsidP="00E86A3B">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27</w:t>
      </w:r>
      <w:r w:rsidR="008444D3">
        <w:rPr>
          <w:noProof/>
        </w:rPr>
        <w:fldChar w:fldCharType="end"/>
      </w:r>
      <w:r>
        <w:t xml:space="preserve"> | </w:t>
      </w:r>
      <w:r w:rsidRPr="00D43B0E">
        <w:t>Distribution of responses received from businesses in response to the Discussion Paper (N=6)</w:t>
      </w:r>
    </w:p>
    <w:p w14:paraId="2670BA06" w14:textId="0B7C71D7" w:rsidR="00195D04" w:rsidRDefault="00F757B8" w:rsidP="00F44A62">
      <w:r w:rsidRPr="00F757B8">
        <w:rPr>
          <w:noProof/>
        </w:rPr>
        <w:drawing>
          <wp:inline distT="0" distB="0" distL="0" distR="0" wp14:anchorId="1C86E83A" wp14:editId="6A2B1A1F">
            <wp:extent cx="5835650" cy="3150235"/>
            <wp:effectExtent l="0" t="0" r="0" b="0"/>
            <wp:docPr id="31" name="Picture 31" descr="Bar graph showing distribution of responses received from businesses in response to the Discussion Paper (N=6). Quality and sustainability, connection between the vocational education and training and higher education systems and governance, accountability and community were the most frequent categories of response with 4, 3 and 3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Bar graph showing distribution of responses received from businesses in response to the Discussion Paper (N=6). Quality and sustainability, connection between the vocational education and training and higher education systems and governance, accountability and community were the most frequent categories of response with 4, 3 and 3 respectively."/>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35650" cy="3150235"/>
                    </a:xfrm>
                    <a:prstGeom prst="rect">
                      <a:avLst/>
                    </a:prstGeom>
                    <a:noFill/>
                    <a:ln>
                      <a:noFill/>
                    </a:ln>
                  </pic:spPr>
                </pic:pic>
              </a:graphicData>
            </a:graphic>
          </wp:inline>
        </w:drawing>
      </w:r>
    </w:p>
    <w:p w14:paraId="44BAA08A" w14:textId="2A4D831E" w:rsidR="00F92AA6" w:rsidRDefault="00F92AA6" w:rsidP="00F92AA6">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28</w:t>
      </w:r>
      <w:r w:rsidR="008444D3">
        <w:rPr>
          <w:noProof/>
        </w:rPr>
        <w:fldChar w:fldCharType="end"/>
      </w:r>
      <w:r>
        <w:t xml:space="preserve"> | </w:t>
      </w:r>
      <w:r w:rsidR="0006726D" w:rsidRPr="0006726D">
        <w:t>Distribution of responses received from First Nations organisations in response to the Discussion Paper (N=4)</w:t>
      </w:r>
    </w:p>
    <w:p w14:paraId="66BF8F23" w14:textId="5A53451E" w:rsidR="00914759" w:rsidRDefault="00F92AA6" w:rsidP="00F44A62">
      <w:r w:rsidRPr="00F92AA6">
        <w:rPr>
          <w:noProof/>
        </w:rPr>
        <w:drawing>
          <wp:inline distT="0" distB="0" distL="0" distR="0" wp14:anchorId="797B3664" wp14:editId="43770F02">
            <wp:extent cx="5835650" cy="3201670"/>
            <wp:effectExtent l="0" t="0" r="0" b="0"/>
            <wp:docPr id="33" name="Picture 33" descr="Bar graph showing distribution of responses received from First Nations organisations in response to the Discussion Paper (N=4). Quality and sustainability, the role of international education, quality teaching and delivering quality teaching and the national challenges that higher education can help solve were the most frequent categories of response with 3, 2, 2, and 2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Bar graph showing distribution of responses received from First Nations organisations in response to the Discussion Paper (N=4). Quality and sustainability, the role of international education, quality teaching and delivering quality teaching and the national challenges that higher education can help solve were the most frequent categories of response with 3, 2, 2, and 2 respectively."/>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57336C6A" w14:textId="77777777" w:rsidR="006B778F" w:rsidRDefault="006B778F" w:rsidP="00F44A62"/>
    <w:p w14:paraId="3B491799" w14:textId="77777777" w:rsidR="006B778F" w:rsidRDefault="006B778F" w:rsidP="00F44A62"/>
    <w:p w14:paraId="720FDA63" w14:textId="77777777" w:rsidR="006B778F" w:rsidRDefault="006B778F" w:rsidP="00F44A62"/>
    <w:p w14:paraId="7BD44855" w14:textId="77777777" w:rsidR="006B778F" w:rsidRDefault="006B778F" w:rsidP="00F44A62"/>
    <w:p w14:paraId="45C9CDBF" w14:textId="55A027DB" w:rsidR="00685B57" w:rsidRDefault="00685B57" w:rsidP="00685B57">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29</w:t>
      </w:r>
      <w:r w:rsidR="008444D3">
        <w:rPr>
          <w:noProof/>
        </w:rPr>
        <w:fldChar w:fldCharType="end"/>
      </w:r>
      <w:r>
        <w:t xml:space="preserve"> | </w:t>
      </w:r>
      <w:r w:rsidR="00EF15EE" w:rsidRPr="00EF15EE">
        <w:t>Distribution of responses received from local government bodies in response to the Discussion Paper (N=4)</w:t>
      </w:r>
    </w:p>
    <w:p w14:paraId="24C6FDD2" w14:textId="7F1B0899" w:rsidR="00685B57" w:rsidRDefault="00685B57" w:rsidP="00F44A62">
      <w:r w:rsidRPr="00685B57">
        <w:rPr>
          <w:noProof/>
        </w:rPr>
        <w:drawing>
          <wp:inline distT="0" distB="0" distL="0" distR="0" wp14:anchorId="3FE2455A" wp14:editId="4E6CB757">
            <wp:extent cx="5835650" cy="3201670"/>
            <wp:effectExtent l="0" t="0" r="0" b="0"/>
            <wp:docPr id="37" name="Picture 37" descr="Bar graph showing distribution of responses received from local government bodies in response to the Discussion Paper (N=4). Quality and sustainability, the role of international education and investment and affordability were the most frequent categories of response with 4, 3, and 3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Bar graph showing distribution of responses received from local government bodies in response to the Discussion Paper (N=4). Quality and sustainability, the role of international education and investment and affordability were the most frequent categories of response with 4, 3, and 3 respectively."/>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5278F553" w14:textId="309630B8" w:rsidR="006149D4" w:rsidRDefault="006149D4" w:rsidP="006149D4">
      <w:pPr>
        <w:pStyle w:val="Caption"/>
      </w:pPr>
      <w:r>
        <w:t xml:space="preserve">Figure </w:t>
      </w:r>
      <w:r w:rsidR="008444D3">
        <w:fldChar w:fldCharType="begin"/>
      </w:r>
      <w:r w:rsidR="008444D3">
        <w:instrText xml:space="preserve"> SEQ Figure \* ARABIC </w:instrText>
      </w:r>
      <w:r w:rsidR="008444D3">
        <w:fldChar w:fldCharType="separate"/>
      </w:r>
      <w:r w:rsidR="009D26B2">
        <w:rPr>
          <w:noProof/>
        </w:rPr>
        <w:t>30</w:t>
      </w:r>
      <w:r w:rsidR="008444D3">
        <w:rPr>
          <w:noProof/>
        </w:rPr>
        <w:fldChar w:fldCharType="end"/>
      </w:r>
      <w:r>
        <w:t xml:space="preserve"> | </w:t>
      </w:r>
      <w:r w:rsidR="00404E43" w:rsidRPr="00404E43">
        <w:t>Distribution of responses received from other peak bodies in response to the Discussion Paper (N=3)</w:t>
      </w:r>
    </w:p>
    <w:p w14:paraId="7762EF1D" w14:textId="44F7869B" w:rsidR="006149D4" w:rsidRDefault="006149D4" w:rsidP="00F44A62">
      <w:r w:rsidRPr="006149D4">
        <w:rPr>
          <w:noProof/>
        </w:rPr>
        <w:drawing>
          <wp:inline distT="0" distB="0" distL="0" distR="0" wp14:anchorId="1C7F547E" wp14:editId="3B0E3C1B">
            <wp:extent cx="5835650" cy="3201670"/>
            <wp:effectExtent l="0" t="0" r="0" b="0"/>
            <wp:docPr id="41" name="Picture 41" descr="Bar graph showing distribution of responses received from other peak bodies in response to the Discussion Paper (N=3). Governance, accountability and community and communities were the most frequent categories of response each wit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Bar graph showing distribution of responses received from other peak bodies in response to the Discussion Paper (N=3). Governance, accountability and community and communities were the most frequent categories of response each with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104DD43C" w14:textId="77777777" w:rsidR="00AA7765" w:rsidRDefault="00AA7765" w:rsidP="00F44A62"/>
    <w:p w14:paraId="1ABE1A82" w14:textId="77777777" w:rsidR="00AA7765" w:rsidRDefault="00AA7765" w:rsidP="00F44A62"/>
    <w:p w14:paraId="7B68C7D3" w14:textId="77777777" w:rsidR="00AA7765" w:rsidRDefault="00AA7765" w:rsidP="00F44A62"/>
    <w:p w14:paraId="54C3D455" w14:textId="77777777" w:rsidR="00AA7765" w:rsidRDefault="00AA7765" w:rsidP="00F44A62"/>
    <w:p w14:paraId="4CD9B7A1" w14:textId="113F37A1" w:rsidR="00387C15" w:rsidRDefault="00387C15" w:rsidP="00387C15">
      <w:pPr>
        <w:pStyle w:val="Caption"/>
      </w:pPr>
      <w:r>
        <w:lastRenderedPageBreak/>
        <w:t xml:space="preserve">Figure </w:t>
      </w:r>
      <w:r w:rsidR="008444D3">
        <w:fldChar w:fldCharType="begin"/>
      </w:r>
      <w:r w:rsidR="008444D3">
        <w:instrText xml:space="preserve"> SEQ Figure \* ARABIC </w:instrText>
      </w:r>
      <w:r w:rsidR="008444D3">
        <w:fldChar w:fldCharType="separate"/>
      </w:r>
      <w:r w:rsidR="009D26B2">
        <w:rPr>
          <w:noProof/>
        </w:rPr>
        <w:t>31</w:t>
      </w:r>
      <w:r w:rsidR="008444D3">
        <w:rPr>
          <w:noProof/>
        </w:rPr>
        <w:fldChar w:fldCharType="end"/>
      </w:r>
      <w:r>
        <w:t xml:space="preserve"> | </w:t>
      </w:r>
      <w:r w:rsidR="002A4F80" w:rsidRPr="002A4F80">
        <w:t>Distribution of responses received from unions in response to the Discussion Paper (N=3)</w:t>
      </w:r>
    </w:p>
    <w:p w14:paraId="6030C9BE" w14:textId="281D1BDD" w:rsidR="00387C15" w:rsidRPr="00F44A62" w:rsidRDefault="00387C15" w:rsidP="00F44A62">
      <w:r w:rsidRPr="00387C15">
        <w:rPr>
          <w:noProof/>
        </w:rPr>
        <w:drawing>
          <wp:inline distT="0" distB="0" distL="0" distR="0" wp14:anchorId="330C9A89" wp14:editId="5BC0792D">
            <wp:extent cx="5835650" cy="3201670"/>
            <wp:effectExtent l="0" t="0" r="0" b="0"/>
            <wp:docPr id="46" name="Picture 46" descr="Bar graph showing distribution of responses received from unions in response to the Discussion Paper (N=3). Governance, accountability and community, quality and sustainability, connection between the vocational education and training and higher education systems, a system that delivers new knowledge, innovation and capability, the role of international education, regulation and governance, sector preferences for the Accord, investment and affordability, meeting Australia's knowledge and skills needs, communities and creating opportunity for all Australians were the most frequent categories of response each wi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Bar graph showing distribution of responses received from unions in response to the Discussion Paper (N=3). Governance, accountability and community, quality and sustainability, connection between the vocational education and training and higher education systems, a system that delivers new knowledge, innovation and capability, the role of international education, regulation and governance, sector preferences for the Accord, investment and affordability, meeting Australia's knowledge and skills needs, communities and creating opportunity for all Australians were the most frequent categories of response each with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35650" cy="3201670"/>
                    </a:xfrm>
                    <a:prstGeom prst="rect">
                      <a:avLst/>
                    </a:prstGeom>
                    <a:noFill/>
                    <a:ln>
                      <a:noFill/>
                    </a:ln>
                  </pic:spPr>
                </pic:pic>
              </a:graphicData>
            </a:graphic>
          </wp:inline>
        </w:drawing>
      </w:r>
    </w:p>
    <w:p w14:paraId="10622C39" w14:textId="4367DC11" w:rsidR="00B21937" w:rsidRDefault="00B21937" w:rsidP="00BC3DE9">
      <w:pPr>
        <w:pStyle w:val="Heading3"/>
      </w:pPr>
      <w:bookmarkStart w:id="64" w:name="_Toc134807427"/>
      <w:r>
        <w:t>Glossary</w:t>
      </w:r>
      <w:bookmarkEnd w:id="64"/>
    </w:p>
    <w:p w14:paraId="0EFFD54A" w14:textId="77777777" w:rsidR="00ED0B0E" w:rsidRDefault="00ED0B0E" w:rsidP="00ED0B0E">
      <w:r w:rsidRPr="00F16236">
        <w:rPr>
          <w:b/>
          <w:bCs/>
        </w:rPr>
        <w:t>ABSTUDY</w:t>
      </w:r>
      <w:r>
        <w:rPr>
          <w:b/>
          <w:bCs/>
        </w:rPr>
        <w:t xml:space="preserve"> -</w:t>
      </w:r>
      <w:r>
        <w:t xml:space="preserve"> a group of Commonwealth payments for Aboriginal and Torres Strait Islander students and apprentices</w:t>
      </w:r>
    </w:p>
    <w:p w14:paraId="07A639E6" w14:textId="77777777" w:rsidR="00ED0B0E" w:rsidRDefault="00ED0B0E" w:rsidP="00ED0B0E">
      <w:r w:rsidRPr="00F16236">
        <w:rPr>
          <w:b/>
          <w:bCs/>
        </w:rPr>
        <w:t>AI</w:t>
      </w:r>
      <w:r>
        <w:rPr>
          <w:b/>
          <w:bCs/>
        </w:rPr>
        <w:t xml:space="preserve"> - </w:t>
      </w:r>
      <w:r>
        <w:t>Artificial intelligence</w:t>
      </w:r>
    </w:p>
    <w:p w14:paraId="0F07E102" w14:textId="77777777" w:rsidR="00ED0B0E" w:rsidRDefault="00ED0B0E" w:rsidP="00ED0B0E">
      <w:r w:rsidRPr="00F16236">
        <w:rPr>
          <w:b/>
          <w:bCs/>
        </w:rPr>
        <w:t>AQF</w:t>
      </w:r>
      <w:r>
        <w:rPr>
          <w:b/>
          <w:bCs/>
        </w:rPr>
        <w:t xml:space="preserve"> -</w:t>
      </w:r>
      <w:r>
        <w:t xml:space="preserve"> Australian Qualifications Framework</w:t>
      </w:r>
    </w:p>
    <w:p w14:paraId="3C4FC2E6" w14:textId="77777777" w:rsidR="00ED0B0E" w:rsidRDefault="00ED0B0E" w:rsidP="00ED0B0E">
      <w:r w:rsidRPr="00F16236">
        <w:rPr>
          <w:b/>
          <w:bCs/>
        </w:rPr>
        <w:t>ARC</w:t>
      </w:r>
      <w:r>
        <w:t xml:space="preserve"> </w:t>
      </w:r>
      <w:r>
        <w:rPr>
          <w:b/>
          <w:bCs/>
        </w:rPr>
        <w:t>-</w:t>
      </w:r>
      <w:r>
        <w:t xml:space="preserve"> Australian Research Council</w:t>
      </w:r>
    </w:p>
    <w:p w14:paraId="5AF4BBBB" w14:textId="77777777" w:rsidR="00ED0B0E" w:rsidRDefault="00ED0B0E" w:rsidP="00ED0B0E">
      <w:r w:rsidRPr="002D482B">
        <w:rPr>
          <w:b/>
          <w:bCs/>
        </w:rPr>
        <w:t>ARC LIEF</w:t>
      </w:r>
      <w:r>
        <w:t xml:space="preserve"> </w:t>
      </w:r>
      <w:r>
        <w:rPr>
          <w:b/>
          <w:bCs/>
        </w:rPr>
        <w:t>-</w:t>
      </w:r>
      <w:r>
        <w:t xml:space="preserve"> Australian Research Council’s Linkage Infrastructure, Equipment and Facilities scheme</w:t>
      </w:r>
    </w:p>
    <w:p w14:paraId="79D2EE64" w14:textId="77777777" w:rsidR="00ED0B0E" w:rsidRDefault="00ED0B0E" w:rsidP="00ED0B0E">
      <w:r w:rsidRPr="002D482B">
        <w:rPr>
          <w:b/>
          <w:bCs/>
        </w:rPr>
        <w:t>AUSTUDY</w:t>
      </w:r>
      <w:r>
        <w:t xml:space="preserve"> </w:t>
      </w:r>
      <w:r>
        <w:rPr>
          <w:b/>
          <w:bCs/>
        </w:rPr>
        <w:t>-</w:t>
      </w:r>
      <w:r>
        <w:t xml:space="preserve"> A Commonwealth payment for mature age students (25 years or older) who are studying or doing an apprenticeship</w:t>
      </w:r>
    </w:p>
    <w:p w14:paraId="2C105D07" w14:textId="77777777" w:rsidR="00ED0B0E" w:rsidRDefault="00ED0B0E" w:rsidP="00ED0B0E">
      <w:r w:rsidRPr="002D482B">
        <w:rPr>
          <w:b/>
          <w:bCs/>
        </w:rPr>
        <w:t>CGS</w:t>
      </w:r>
      <w:r>
        <w:t xml:space="preserve"> </w:t>
      </w:r>
      <w:r>
        <w:rPr>
          <w:b/>
          <w:bCs/>
        </w:rPr>
        <w:t>-</w:t>
      </w:r>
      <w:r>
        <w:t xml:space="preserve"> Commonwealth Grant Scheme</w:t>
      </w:r>
    </w:p>
    <w:p w14:paraId="0ACDA233" w14:textId="77777777" w:rsidR="00ED0B0E" w:rsidRDefault="00ED0B0E" w:rsidP="00ED0B0E">
      <w:r w:rsidRPr="002D482B">
        <w:rPr>
          <w:b/>
          <w:bCs/>
        </w:rPr>
        <w:t>CSP</w:t>
      </w:r>
      <w:r>
        <w:t xml:space="preserve"> </w:t>
      </w:r>
      <w:r>
        <w:rPr>
          <w:b/>
          <w:bCs/>
        </w:rPr>
        <w:t>-</w:t>
      </w:r>
      <w:r>
        <w:t xml:space="preserve"> Commonwealth Supported Place</w:t>
      </w:r>
    </w:p>
    <w:p w14:paraId="0DD42B0A" w14:textId="77777777" w:rsidR="00ED0B0E" w:rsidRDefault="00ED0B0E" w:rsidP="00ED0B0E">
      <w:r w:rsidRPr="002D482B">
        <w:rPr>
          <w:b/>
          <w:bCs/>
        </w:rPr>
        <w:t>CUC</w:t>
      </w:r>
      <w:r>
        <w:t xml:space="preserve"> </w:t>
      </w:r>
      <w:r>
        <w:rPr>
          <w:b/>
          <w:bCs/>
        </w:rPr>
        <w:t>-</w:t>
      </w:r>
      <w:r>
        <w:t xml:space="preserve"> Country University Centre</w:t>
      </w:r>
    </w:p>
    <w:p w14:paraId="1F83CE11" w14:textId="77777777" w:rsidR="00ED0B0E" w:rsidRDefault="00ED0B0E" w:rsidP="00ED0B0E">
      <w:r w:rsidRPr="002D482B">
        <w:rPr>
          <w:b/>
          <w:bCs/>
        </w:rPr>
        <w:t>ERA</w:t>
      </w:r>
      <w:r>
        <w:t xml:space="preserve"> </w:t>
      </w:r>
      <w:r>
        <w:rPr>
          <w:b/>
          <w:bCs/>
        </w:rPr>
        <w:t>-</w:t>
      </w:r>
      <w:r>
        <w:t xml:space="preserve"> Excellence in Research for Australia </w:t>
      </w:r>
    </w:p>
    <w:p w14:paraId="1E8514D4" w14:textId="77777777" w:rsidR="00ED0B0E" w:rsidRDefault="00ED0B0E" w:rsidP="00ED0B0E">
      <w:r w:rsidRPr="002D482B">
        <w:rPr>
          <w:b/>
          <w:bCs/>
        </w:rPr>
        <w:t>GDP</w:t>
      </w:r>
      <w:r>
        <w:t xml:space="preserve"> </w:t>
      </w:r>
      <w:r>
        <w:rPr>
          <w:b/>
          <w:bCs/>
        </w:rPr>
        <w:t>-</w:t>
      </w:r>
      <w:r>
        <w:t xml:space="preserve"> Gross Domestic Product</w:t>
      </w:r>
    </w:p>
    <w:p w14:paraId="727CDAC2" w14:textId="77777777" w:rsidR="00ED0B0E" w:rsidRDefault="00ED0B0E" w:rsidP="00ED0B0E">
      <w:r w:rsidRPr="002D482B">
        <w:rPr>
          <w:b/>
          <w:bCs/>
        </w:rPr>
        <w:t>GLAM</w:t>
      </w:r>
      <w:r>
        <w:t xml:space="preserve"> </w:t>
      </w:r>
      <w:r>
        <w:rPr>
          <w:b/>
          <w:bCs/>
        </w:rPr>
        <w:t>-</w:t>
      </w:r>
      <w:r>
        <w:t xml:space="preserve"> Galleries, Libraries, Archives and Museums</w:t>
      </w:r>
    </w:p>
    <w:p w14:paraId="3AE14B33" w14:textId="77777777" w:rsidR="00ED0B0E" w:rsidRDefault="00ED0B0E" w:rsidP="00ED0B0E">
      <w:r w:rsidRPr="002D482B">
        <w:rPr>
          <w:b/>
          <w:bCs/>
        </w:rPr>
        <w:t>HASS</w:t>
      </w:r>
      <w:r>
        <w:t xml:space="preserve"> </w:t>
      </w:r>
      <w:r>
        <w:rPr>
          <w:b/>
          <w:bCs/>
        </w:rPr>
        <w:t>-</w:t>
      </w:r>
      <w:r>
        <w:t xml:space="preserve"> Humanities and social sciences</w:t>
      </w:r>
    </w:p>
    <w:p w14:paraId="700EADC7" w14:textId="77777777" w:rsidR="00ED0B0E" w:rsidRDefault="00ED0B0E" w:rsidP="00ED0B0E">
      <w:r w:rsidRPr="002D482B">
        <w:rPr>
          <w:b/>
          <w:bCs/>
        </w:rPr>
        <w:t>HDR</w:t>
      </w:r>
      <w:r>
        <w:t xml:space="preserve"> </w:t>
      </w:r>
      <w:r>
        <w:rPr>
          <w:b/>
          <w:bCs/>
        </w:rPr>
        <w:t>-</w:t>
      </w:r>
      <w:r>
        <w:t xml:space="preserve"> Higher degree by research</w:t>
      </w:r>
    </w:p>
    <w:p w14:paraId="7E2DABB7" w14:textId="77777777" w:rsidR="00ED0B0E" w:rsidRDefault="00ED0B0E" w:rsidP="00ED0B0E">
      <w:r w:rsidRPr="002D482B">
        <w:rPr>
          <w:b/>
          <w:bCs/>
        </w:rPr>
        <w:lastRenderedPageBreak/>
        <w:t>HE</w:t>
      </w:r>
      <w:r>
        <w:t xml:space="preserve"> </w:t>
      </w:r>
      <w:r>
        <w:rPr>
          <w:b/>
          <w:bCs/>
        </w:rPr>
        <w:t>-</w:t>
      </w:r>
      <w:r>
        <w:t xml:space="preserve"> Higher education </w:t>
      </w:r>
    </w:p>
    <w:p w14:paraId="39219892" w14:textId="77777777" w:rsidR="00ED0B0E" w:rsidRDefault="00ED0B0E" w:rsidP="00ED0B0E">
      <w:r w:rsidRPr="002D482B">
        <w:rPr>
          <w:b/>
          <w:bCs/>
        </w:rPr>
        <w:t>HECS</w:t>
      </w:r>
      <w:r>
        <w:t xml:space="preserve"> </w:t>
      </w:r>
      <w:r>
        <w:rPr>
          <w:b/>
          <w:bCs/>
        </w:rPr>
        <w:t>-</w:t>
      </w:r>
      <w:r>
        <w:t xml:space="preserve"> Higher Education Contribution Scheme</w:t>
      </w:r>
    </w:p>
    <w:p w14:paraId="58E6F413" w14:textId="77777777" w:rsidR="00ED0B0E" w:rsidRDefault="00ED0B0E" w:rsidP="00ED0B0E">
      <w:r w:rsidRPr="002D482B">
        <w:rPr>
          <w:b/>
          <w:bCs/>
        </w:rPr>
        <w:t>HELP</w:t>
      </w:r>
      <w:r>
        <w:t xml:space="preserve"> </w:t>
      </w:r>
      <w:r>
        <w:rPr>
          <w:b/>
          <w:bCs/>
        </w:rPr>
        <w:t>-</w:t>
      </w:r>
      <w:r>
        <w:t xml:space="preserve"> Higher Education Loan Program</w:t>
      </w:r>
    </w:p>
    <w:p w14:paraId="2F2E7158" w14:textId="77777777" w:rsidR="00ED0B0E" w:rsidRDefault="00ED0B0E" w:rsidP="00ED0B0E">
      <w:r w:rsidRPr="002D482B">
        <w:rPr>
          <w:b/>
          <w:bCs/>
        </w:rPr>
        <w:t>HEPPP</w:t>
      </w:r>
      <w:r>
        <w:t xml:space="preserve"> </w:t>
      </w:r>
      <w:r>
        <w:rPr>
          <w:b/>
          <w:bCs/>
        </w:rPr>
        <w:t>-</w:t>
      </w:r>
      <w:r>
        <w:t xml:space="preserve"> Higher Education Participation and Partnerships Program</w:t>
      </w:r>
    </w:p>
    <w:p w14:paraId="23BEFAC9" w14:textId="77777777" w:rsidR="00ED0B0E" w:rsidRDefault="00ED0B0E" w:rsidP="00ED0B0E">
      <w:r w:rsidRPr="002D482B">
        <w:rPr>
          <w:b/>
          <w:bCs/>
        </w:rPr>
        <w:t>JRG</w:t>
      </w:r>
      <w:r>
        <w:t xml:space="preserve"> </w:t>
      </w:r>
      <w:r>
        <w:rPr>
          <w:b/>
          <w:bCs/>
        </w:rPr>
        <w:t>–</w:t>
      </w:r>
      <w:r>
        <w:t xml:space="preserve"> Job-ready Graduates package</w:t>
      </w:r>
    </w:p>
    <w:p w14:paraId="70A7C53C" w14:textId="77777777" w:rsidR="00ED0B0E" w:rsidRDefault="00ED0B0E" w:rsidP="00ED0B0E">
      <w:r w:rsidRPr="002D482B">
        <w:rPr>
          <w:b/>
          <w:bCs/>
        </w:rPr>
        <w:t>JSA</w:t>
      </w:r>
      <w:r>
        <w:t xml:space="preserve"> </w:t>
      </w:r>
      <w:r>
        <w:rPr>
          <w:b/>
          <w:bCs/>
        </w:rPr>
        <w:t>-</w:t>
      </w:r>
      <w:r>
        <w:t xml:space="preserve"> Jobs and Skills Australia</w:t>
      </w:r>
    </w:p>
    <w:p w14:paraId="6F46954A" w14:textId="77777777" w:rsidR="00ED0B0E" w:rsidRDefault="00ED0B0E" w:rsidP="00ED0B0E">
      <w:r w:rsidRPr="002D482B">
        <w:rPr>
          <w:b/>
          <w:bCs/>
        </w:rPr>
        <w:t>LOTE</w:t>
      </w:r>
      <w:r>
        <w:t xml:space="preserve"> </w:t>
      </w:r>
      <w:r>
        <w:rPr>
          <w:b/>
          <w:bCs/>
        </w:rPr>
        <w:t>-</w:t>
      </w:r>
      <w:r>
        <w:t xml:space="preserve"> Languages other than English</w:t>
      </w:r>
    </w:p>
    <w:p w14:paraId="01DA39E3" w14:textId="77777777" w:rsidR="00ED0B0E" w:rsidRDefault="00ED0B0E" w:rsidP="00ED0B0E">
      <w:r w:rsidRPr="002D482B">
        <w:rPr>
          <w:b/>
          <w:bCs/>
        </w:rPr>
        <w:t>Microcredential</w:t>
      </w:r>
      <w:r>
        <w:t xml:space="preserve"> </w:t>
      </w:r>
      <w:r>
        <w:rPr>
          <w:b/>
          <w:bCs/>
        </w:rPr>
        <w:t>-</w:t>
      </w:r>
      <w:r>
        <w:t xml:space="preserve"> a short certification course provided by TAFE or university to learn new skills in a short period of time</w:t>
      </w:r>
    </w:p>
    <w:p w14:paraId="2BEB72A3" w14:textId="77777777" w:rsidR="00ED0B0E" w:rsidRDefault="00ED0B0E" w:rsidP="00ED0B0E">
      <w:r w:rsidRPr="002D482B">
        <w:rPr>
          <w:b/>
          <w:bCs/>
        </w:rPr>
        <w:t>NCRIS</w:t>
      </w:r>
      <w:r>
        <w:t xml:space="preserve"> </w:t>
      </w:r>
      <w:r>
        <w:rPr>
          <w:b/>
          <w:bCs/>
        </w:rPr>
        <w:t>-</w:t>
      </w:r>
      <w:r>
        <w:t xml:space="preserve"> National Collaborative Research Infrastructure Strategy</w:t>
      </w:r>
    </w:p>
    <w:p w14:paraId="0299A166" w14:textId="77777777" w:rsidR="00ED0B0E" w:rsidRDefault="00ED0B0E" w:rsidP="00ED0B0E">
      <w:r w:rsidRPr="002D482B">
        <w:rPr>
          <w:b/>
          <w:bCs/>
        </w:rPr>
        <w:t>NPILF</w:t>
      </w:r>
      <w:r>
        <w:t xml:space="preserve"> </w:t>
      </w:r>
      <w:r>
        <w:rPr>
          <w:b/>
          <w:bCs/>
        </w:rPr>
        <w:t>-</w:t>
      </w:r>
      <w:r>
        <w:t xml:space="preserve"> National Priorities and Industry Linkage Fund</w:t>
      </w:r>
    </w:p>
    <w:p w14:paraId="5AD189CA" w14:textId="77777777" w:rsidR="00ED0B0E" w:rsidRDefault="00ED0B0E" w:rsidP="00ED0B0E">
      <w:r w:rsidRPr="002D482B">
        <w:rPr>
          <w:b/>
          <w:bCs/>
        </w:rPr>
        <w:t>OECD</w:t>
      </w:r>
      <w:r>
        <w:t xml:space="preserve"> </w:t>
      </w:r>
      <w:r>
        <w:rPr>
          <w:b/>
          <w:bCs/>
        </w:rPr>
        <w:t>-</w:t>
      </w:r>
      <w:r>
        <w:t xml:space="preserve"> Organisation for Economic Co-operation and Development</w:t>
      </w:r>
    </w:p>
    <w:p w14:paraId="339FEC05" w14:textId="77777777" w:rsidR="00ED0B0E" w:rsidRDefault="00ED0B0E" w:rsidP="00ED0B0E">
      <w:r w:rsidRPr="002D482B">
        <w:rPr>
          <w:b/>
          <w:bCs/>
        </w:rPr>
        <w:t>OOHC</w:t>
      </w:r>
      <w:r>
        <w:t xml:space="preserve"> </w:t>
      </w:r>
      <w:r>
        <w:rPr>
          <w:b/>
          <w:bCs/>
        </w:rPr>
        <w:t>-</w:t>
      </w:r>
      <w:r>
        <w:t xml:space="preserve"> Out-of-home care</w:t>
      </w:r>
    </w:p>
    <w:p w14:paraId="192E39EF" w14:textId="77777777" w:rsidR="00ED0B0E" w:rsidRDefault="00ED0B0E" w:rsidP="00ED0B0E">
      <w:r w:rsidRPr="002D482B">
        <w:rPr>
          <w:b/>
          <w:bCs/>
        </w:rPr>
        <w:t xml:space="preserve">R&amp;D </w:t>
      </w:r>
      <w:r>
        <w:rPr>
          <w:b/>
          <w:bCs/>
        </w:rPr>
        <w:t>-</w:t>
      </w:r>
      <w:r>
        <w:t xml:space="preserve"> Research and development</w:t>
      </w:r>
    </w:p>
    <w:p w14:paraId="1D714F8E" w14:textId="77777777" w:rsidR="00ED0B0E" w:rsidRDefault="00ED0B0E" w:rsidP="00ED0B0E">
      <w:r w:rsidRPr="002D482B">
        <w:rPr>
          <w:b/>
          <w:bCs/>
        </w:rPr>
        <w:t>RUC</w:t>
      </w:r>
      <w:r>
        <w:t xml:space="preserve"> </w:t>
      </w:r>
      <w:r>
        <w:rPr>
          <w:b/>
          <w:bCs/>
        </w:rPr>
        <w:t>-</w:t>
      </w:r>
      <w:r>
        <w:t xml:space="preserve"> Regional University Centre </w:t>
      </w:r>
    </w:p>
    <w:p w14:paraId="1F05CA3D" w14:textId="77777777" w:rsidR="00ED0B0E" w:rsidRDefault="00ED0B0E" w:rsidP="00ED0B0E">
      <w:r w:rsidRPr="002D482B">
        <w:rPr>
          <w:b/>
          <w:bCs/>
        </w:rPr>
        <w:t>SCA</w:t>
      </w:r>
      <w:r>
        <w:t xml:space="preserve"> </w:t>
      </w:r>
      <w:r>
        <w:rPr>
          <w:b/>
          <w:bCs/>
        </w:rPr>
        <w:t>-</w:t>
      </w:r>
      <w:r>
        <w:t xml:space="preserve"> Student contribution amount</w:t>
      </w:r>
    </w:p>
    <w:p w14:paraId="3C2C3CDC" w14:textId="77777777" w:rsidR="00ED0B0E" w:rsidRDefault="00ED0B0E" w:rsidP="00ED0B0E">
      <w:r w:rsidRPr="002D482B">
        <w:rPr>
          <w:b/>
          <w:bCs/>
        </w:rPr>
        <w:t xml:space="preserve">SES </w:t>
      </w:r>
      <w:r>
        <w:rPr>
          <w:b/>
          <w:bCs/>
        </w:rPr>
        <w:t>-</w:t>
      </w:r>
      <w:r>
        <w:t xml:space="preserve"> Socioeconomic status</w:t>
      </w:r>
    </w:p>
    <w:p w14:paraId="08278E54" w14:textId="77777777" w:rsidR="00ED0B0E" w:rsidRDefault="00ED0B0E" w:rsidP="00ED0B0E">
      <w:r w:rsidRPr="002D482B">
        <w:rPr>
          <w:b/>
          <w:bCs/>
        </w:rPr>
        <w:t>SME</w:t>
      </w:r>
      <w:r>
        <w:t xml:space="preserve"> </w:t>
      </w:r>
      <w:r>
        <w:rPr>
          <w:b/>
          <w:bCs/>
        </w:rPr>
        <w:t>-</w:t>
      </w:r>
      <w:r>
        <w:t xml:space="preserve"> Small and medium enterprise</w:t>
      </w:r>
    </w:p>
    <w:p w14:paraId="708BEE26" w14:textId="77777777" w:rsidR="00ED0B0E" w:rsidRDefault="00ED0B0E" w:rsidP="00ED0B0E">
      <w:r w:rsidRPr="002D482B">
        <w:rPr>
          <w:b/>
          <w:bCs/>
        </w:rPr>
        <w:t>STEM</w:t>
      </w:r>
      <w:r>
        <w:t xml:space="preserve"> </w:t>
      </w:r>
      <w:r>
        <w:rPr>
          <w:b/>
          <w:bCs/>
        </w:rPr>
        <w:t>-</w:t>
      </w:r>
      <w:r>
        <w:t xml:space="preserve"> Science, technology, engineering and mathematics</w:t>
      </w:r>
    </w:p>
    <w:p w14:paraId="433C2C81" w14:textId="77777777" w:rsidR="00ED0B0E" w:rsidRDefault="00ED0B0E" w:rsidP="00ED0B0E">
      <w:r w:rsidRPr="002D482B">
        <w:rPr>
          <w:b/>
          <w:bCs/>
        </w:rPr>
        <w:t>TAC</w:t>
      </w:r>
      <w:r>
        <w:t xml:space="preserve"> </w:t>
      </w:r>
      <w:r>
        <w:rPr>
          <w:b/>
          <w:bCs/>
        </w:rPr>
        <w:t>-</w:t>
      </w:r>
      <w:r>
        <w:t xml:space="preserve"> Tertiary Admissions Centre</w:t>
      </w:r>
    </w:p>
    <w:p w14:paraId="76841EB6" w14:textId="77777777" w:rsidR="00ED0B0E" w:rsidRDefault="00ED0B0E" w:rsidP="00ED0B0E">
      <w:r w:rsidRPr="002D482B">
        <w:rPr>
          <w:b/>
          <w:bCs/>
        </w:rPr>
        <w:t>TAFE</w:t>
      </w:r>
      <w:r>
        <w:t xml:space="preserve"> </w:t>
      </w:r>
      <w:r>
        <w:rPr>
          <w:b/>
          <w:bCs/>
        </w:rPr>
        <w:t>-</w:t>
      </w:r>
      <w:r>
        <w:t xml:space="preserve"> Technical and Further Education</w:t>
      </w:r>
    </w:p>
    <w:p w14:paraId="459B21C1" w14:textId="77777777" w:rsidR="00ED0B0E" w:rsidRDefault="00ED0B0E" w:rsidP="00ED0B0E">
      <w:r w:rsidRPr="002D482B">
        <w:rPr>
          <w:b/>
          <w:bCs/>
        </w:rPr>
        <w:t>TEQSA</w:t>
      </w:r>
      <w:r>
        <w:t xml:space="preserve"> </w:t>
      </w:r>
      <w:r>
        <w:rPr>
          <w:b/>
          <w:bCs/>
        </w:rPr>
        <w:t>-</w:t>
      </w:r>
      <w:r>
        <w:t xml:space="preserve"> Tertiary Education Quality and Standards Agency</w:t>
      </w:r>
    </w:p>
    <w:p w14:paraId="6B6AC9D8" w14:textId="77777777" w:rsidR="00ED0B0E" w:rsidRDefault="00ED0B0E" w:rsidP="00ED0B0E">
      <w:r w:rsidRPr="002D482B">
        <w:rPr>
          <w:b/>
          <w:bCs/>
        </w:rPr>
        <w:t>VET</w:t>
      </w:r>
      <w:r>
        <w:t xml:space="preserve"> </w:t>
      </w:r>
      <w:r>
        <w:rPr>
          <w:b/>
          <w:bCs/>
        </w:rPr>
        <w:t>-</w:t>
      </w:r>
      <w:r>
        <w:t xml:space="preserve"> Vocational Education and Training</w:t>
      </w:r>
    </w:p>
    <w:p w14:paraId="7ACE5069" w14:textId="77777777" w:rsidR="00ED0B0E" w:rsidRPr="00F16236" w:rsidRDefault="00ED0B0E" w:rsidP="00ED0B0E">
      <w:r w:rsidRPr="002D482B">
        <w:rPr>
          <w:b/>
          <w:bCs/>
        </w:rPr>
        <w:t xml:space="preserve">WIL </w:t>
      </w:r>
      <w:r>
        <w:rPr>
          <w:b/>
          <w:bCs/>
        </w:rPr>
        <w:t>-</w:t>
      </w:r>
      <w:r>
        <w:t xml:space="preserve"> Work-integrated learning</w:t>
      </w:r>
    </w:p>
    <w:p w14:paraId="4E7238F4" w14:textId="77777777" w:rsidR="00ED0B0E" w:rsidRPr="00ED0B0E" w:rsidRDefault="00ED0B0E" w:rsidP="00ED0B0E"/>
    <w:p w14:paraId="234D3EB6" w14:textId="19050F89" w:rsidR="00A6679D" w:rsidRDefault="00A6679D" w:rsidP="00B21937">
      <w:pPr>
        <w:pStyle w:val="Heading2"/>
        <w:rPr>
          <w:b w:val="0"/>
        </w:rPr>
      </w:pPr>
    </w:p>
    <w:sectPr w:rsidR="00A6679D" w:rsidSect="00693F84">
      <w:pgSz w:w="11906" w:h="16838"/>
      <w:pgMar w:top="1418" w:right="1440" w:bottom="156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DE95" w14:textId="77777777" w:rsidR="003D5EFB" w:rsidRDefault="003D5EFB" w:rsidP="0051352E">
      <w:pPr>
        <w:spacing w:after="0" w:line="240" w:lineRule="auto"/>
      </w:pPr>
      <w:r>
        <w:separator/>
      </w:r>
    </w:p>
  </w:endnote>
  <w:endnote w:type="continuationSeparator" w:id="0">
    <w:p w14:paraId="4DBF2C7B" w14:textId="77777777" w:rsidR="003D5EFB" w:rsidRDefault="003D5EFB" w:rsidP="0051352E">
      <w:pPr>
        <w:spacing w:after="0" w:line="240" w:lineRule="auto"/>
      </w:pPr>
      <w:r>
        <w:continuationSeparator/>
      </w:r>
    </w:p>
  </w:endnote>
  <w:endnote w:type="continuationNotice" w:id="1">
    <w:p w14:paraId="1E058BDF" w14:textId="77777777" w:rsidR="003D5EFB" w:rsidRDefault="003D5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erif">
    <w:panose1 w:val="00000000000000000000"/>
    <w:charset w:val="00"/>
    <w:family w:val="roman"/>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7986" w14:textId="77777777" w:rsidR="00544E40" w:rsidRDefault="00544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2F2A4E0E" w:rsidR="00EA67FC" w:rsidRDefault="0005356F">
    <w:pPr>
      <w:pStyle w:val="Footer"/>
      <w:jc w:val="right"/>
    </w:pPr>
    <w:r>
      <w:t xml:space="preserve">Australian Universities Accord Discussion paper submission analysis - </w:t>
    </w:r>
    <w:r w:rsidR="0092296E">
      <w:t>consu</w:t>
    </w:r>
    <w:r w:rsidR="000C0BE5">
      <w:t>l</w:t>
    </w:r>
    <w:r w:rsidR="0092296E">
      <w:t xml:space="preserve">tation report </w:t>
    </w:r>
    <w:r w:rsidR="00EA67FC">
      <w:t xml:space="preserve">| </w:t>
    </w:r>
    <w:sdt>
      <w:sdtPr>
        <w:id w:val="1556817069"/>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8240" behindDoc="0" locked="0" layoutInCell="1" allowOverlap="1" wp14:anchorId="04F7627B" wp14:editId="4DBB28FF">
              <wp:simplePos x="0" y="0"/>
              <wp:positionH relativeFrom="page">
                <wp:posOffset>0</wp:posOffset>
              </wp:positionH>
              <wp:positionV relativeFrom="paragraph">
                <wp:posOffset>251509</wp:posOffset>
              </wp:positionV>
              <wp:extent cx="7559675" cy="197485"/>
              <wp:effectExtent l="0" t="0" r="3175"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18519" id="Rectangle 2"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" fillcolor="#002d3f"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1D3C" w14:textId="77777777" w:rsidR="00544E40" w:rsidRDefault="00544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D9DC" w14:textId="77777777" w:rsidR="003D5EFB" w:rsidRDefault="003D5EFB" w:rsidP="0051352E">
      <w:pPr>
        <w:spacing w:after="0" w:line="240" w:lineRule="auto"/>
      </w:pPr>
      <w:r>
        <w:separator/>
      </w:r>
    </w:p>
  </w:footnote>
  <w:footnote w:type="continuationSeparator" w:id="0">
    <w:p w14:paraId="1FA3F2C9" w14:textId="77777777" w:rsidR="003D5EFB" w:rsidRDefault="003D5EFB" w:rsidP="0051352E">
      <w:pPr>
        <w:spacing w:after="0" w:line="240" w:lineRule="auto"/>
      </w:pPr>
      <w:r>
        <w:continuationSeparator/>
      </w:r>
    </w:p>
  </w:footnote>
  <w:footnote w:type="continuationNotice" w:id="1">
    <w:p w14:paraId="440F27E1" w14:textId="77777777" w:rsidR="003D5EFB" w:rsidRDefault="003D5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DE75" w14:textId="77777777" w:rsidR="00544E40" w:rsidRDefault="00544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0593" w14:textId="77777777" w:rsidR="00544E40" w:rsidRDefault="0054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AE" w14:textId="77777777" w:rsidR="00544E40" w:rsidRDefault="0054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5EC"/>
    <w:multiLevelType w:val="hybridMultilevel"/>
    <w:tmpl w:val="51FA4BE2"/>
    <w:name w:val="List number2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DC29A8"/>
    <w:multiLevelType w:val="hybridMultilevel"/>
    <w:tmpl w:val="BE9E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A119CD"/>
    <w:multiLevelType w:val="hybridMultilevel"/>
    <w:tmpl w:val="020A7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112C3"/>
    <w:multiLevelType w:val="hybridMultilevel"/>
    <w:tmpl w:val="D99CD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FB1760"/>
    <w:multiLevelType w:val="hybridMultilevel"/>
    <w:tmpl w:val="FD6E1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795C92"/>
    <w:multiLevelType w:val="hybridMultilevel"/>
    <w:tmpl w:val="2EC223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75F05D0"/>
    <w:multiLevelType w:val="hybridMultilevel"/>
    <w:tmpl w:val="46AC8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C020E6"/>
    <w:multiLevelType w:val="hybridMultilevel"/>
    <w:tmpl w:val="B6683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E32840"/>
    <w:multiLevelType w:val="hybridMultilevel"/>
    <w:tmpl w:val="C86A2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D7D35B1"/>
    <w:multiLevelType w:val="hybridMultilevel"/>
    <w:tmpl w:val="2A28C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8B49B9"/>
    <w:multiLevelType w:val="hybridMultilevel"/>
    <w:tmpl w:val="0C50A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F67215"/>
    <w:multiLevelType w:val="hybridMultilevel"/>
    <w:tmpl w:val="CCE03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540754"/>
    <w:multiLevelType w:val="hybridMultilevel"/>
    <w:tmpl w:val="869A3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0F419E"/>
    <w:multiLevelType w:val="hybridMultilevel"/>
    <w:tmpl w:val="FD2E7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8105CD0"/>
    <w:multiLevelType w:val="hybridMultilevel"/>
    <w:tmpl w:val="E66E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2E23ED"/>
    <w:multiLevelType w:val="hybridMultilevel"/>
    <w:tmpl w:val="C7602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601D26"/>
    <w:multiLevelType w:val="hybridMultilevel"/>
    <w:tmpl w:val="F14EE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E75B16"/>
    <w:multiLevelType w:val="hybridMultilevel"/>
    <w:tmpl w:val="462C7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F5409C"/>
    <w:multiLevelType w:val="hybridMultilevel"/>
    <w:tmpl w:val="E7624B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BFF423E"/>
    <w:multiLevelType w:val="hybridMultilevel"/>
    <w:tmpl w:val="204AF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407E68"/>
    <w:multiLevelType w:val="hybridMultilevel"/>
    <w:tmpl w:val="7CC89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E7021B"/>
    <w:multiLevelType w:val="hybridMultilevel"/>
    <w:tmpl w:val="F8404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E6E1D51"/>
    <w:multiLevelType w:val="hybridMultilevel"/>
    <w:tmpl w:val="A496A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ED17E2E"/>
    <w:multiLevelType w:val="hybridMultilevel"/>
    <w:tmpl w:val="8C76EE16"/>
    <w:lvl w:ilvl="0" w:tplc="10C6E338">
      <w:start w:val="1"/>
      <w:numFmt w:val="bullet"/>
      <w:lvlText w:val=""/>
      <w:lvlJc w:val="left"/>
      <w:pPr>
        <w:ind w:left="1440" w:hanging="360"/>
      </w:pPr>
      <w:rPr>
        <w:rFonts w:ascii="Symbol" w:hAnsi="Symbol"/>
      </w:rPr>
    </w:lvl>
    <w:lvl w:ilvl="1" w:tplc="73EEE72A">
      <w:start w:val="1"/>
      <w:numFmt w:val="bullet"/>
      <w:lvlText w:val=""/>
      <w:lvlJc w:val="left"/>
      <w:pPr>
        <w:ind w:left="2160" w:hanging="360"/>
      </w:pPr>
      <w:rPr>
        <w:rFonts w:ascii="Symbol" w:hAnsi="Symbol"/>
      </w:rPr>
    </w:lvl>
    <w:lvl w:ilvl="2" w:tplc="3322F7B8">
      <w:start w:val="1"/>
      <w:numFmt w:val="bullet"/>
      <w:lvlText w:val=""/>
      <w:lvlJc w:val="left"/>
      <w:pPr>
        <w:ind w:left="1440" w:hanging="360"/>
      </w:pPr>
      <w:rPr>
        <w:rFonts w:ascii="Symbol" w:hAnsi="Symbol"/>
      </w:rPr>
    </w:lvl>
    <w:lvl w:ilvl="3" w:tplc="0CC8C998">
      <w:start w:val="1"/>
      <w:numFmt w:val="bullet"/>
      <w:lvlText w:val=""/>
      <w:lvlJc w:val="left"/>
      <w:pPr>
        <w:ind w:left="1440" w:hanging="360"/>
      </w:pPr>
      <w:rPr>
        <w:rFonts w:ascii="Symbol" w:hAnsi="Symbol"/>
      </w:rPr>
    </w:lvl>
    <w:lvl w:ilvl="4" w:tplc="76B0B28A">
      <w:start w:val="1"/>
      <w:numFmt w:val="bullet"/>
      <w:lvlText w:val=""/>
      <w:lvlJc w:val="left"/>
      <w:pPr>
        <w:ind w:left="1440" w:hanging="360"/>
      </w:pPr>
      <w:rPr>
        <w:rFonts w:ascii="Symbol" w:hAnsi="Symbol"/>
      </w:rPr>
    </w:lvl>
    <w:lvl w:ilvl="5" w:tplc="E50A55C8">
      <w:start w:val="1"/>
      <w:numFmt w:val="bullet"/>
      <w:lvlText w:val=""/>
      <w:lvlJc w:val="left"/>
      <w:pPr>
        <w:ind w:left="1440" w:hanging="360"/>
      </w:pPr>
      <w:rPr>
        <w:rFonts w:ascii="Symbol" w:hAnsi="Symbol"/>
      </w:rPr>
    </w:lvl>
    <w:lvl w:ilvl="6" w:tplc="5914E3D6">
      <w:start w:val="1"/>
      <w:numFmt w:val="bullet"/>
      <w:lvlText w:val=""/>
      <w:lvlJc w:val="left"/>
      <w:pPr>
        <w:ind w:left="1440" w:hanging="360"/>
      </w:pPr>
      <w:rPr>
        <w:rFonts w:ascii="Symbol" w:hAnsi="Symbol"/>
      </w:rPr>
    </w:lvl>
    <w:lvl w:ilvl="7" w:tplc="15DA9046">
      <w:start w:val="1"/>
      <w:numFmt w:val="bullet"/>
      <w:lvlText w:val=""/>
      <w:lvlJc w:val="left"/>
      <w:pPr>
        <w:ind w:left="1440" w:hanging="360"/>
      </w:pPr>
      <w:rPr>
        <w:rFonts w:ascii="Symbol" w:hAnsi="Symbol"/>
      </w:rPr>
    </w:lvl>
    <w:lvl w:ilvl="8" w:tplc="348A117A">
      <w:start w:val="1"/>
      <w:numFmt w:val="bullet"/>
      <w:lvlText w:val=""/>
      <w:lvlJc w:val="left"/>
      <w:pPr>
        <w:ind w:left="1440" w:hanging="360"/>
      </w:pPr>
      <w:rPr>
        <w:rFonts w:ascii="Symbol" w:hAnsi="Symbol"/>
      </w:rPr>
    </w:lvl>
  </w:abstractNum>
  <w:abstractNum w:abstractNumId="26" w15:restartNumberingAfterBreak="0">
    <w:nsid w:val="1FF53974"/>
    <w:multiLevelType w:val="hybridMultilevel"/>
    <w:tmpl w:val="B832F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0A3D26"/>
    <w:multiLevelType w:val="hybridMultilevel"/>
    <w:tmpl w:val="166A3D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1340880"/>
    <w:multiLevelType w:val="hybridMultilevel"/>
    <w:tmpl w:val="599409DC"/>
    <w:lvl w:ilvl="0" w:tplc="0C090001">
      <w:start w:val="1"/>
      <w:numFmt w:val="bullet"/>
      <w:lvlText w:val=""/>
      <w:lvlJc w:val="left"/>
      <w:pPr>
        <w:ind w:left="720" w:hanging="360"/>
      </w:pPr>
      <w:rPr>
        <w:rFonts w:ascii="Symbol" w:hAnsi="Symbol" w:hint="default"/>
      </w:rPr>
    </w:lvl>
    <w:lvl w:ilvl="1" w:tplc="6D36229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950646"/>
    <w:multiLevelType w:val="hybridMultilevel"/>
    <w:tmpl w:val="A9EE97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547596E"/>
    <w:multiLevelType w:val="hybridMultilevel"/>
    <w:tmpl w:val="52E82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0840A3"/>
    <w:multiLevelType w:val="hybridMultilevel"/>
    <w:tmpl w:val="BAA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2F7987"/>
    <w:multiLevelType w:val="hybridMultilevel"/>
    <w:tmpl w:val="12E42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99F7508"/>
    <w:multiLevelType w:val="hybridMultilevel"/>
    <w:tmpl w:val="02FE4B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A357C5F"/>
    <w:multiLevelType w:val="hybridMultilevel"/>
    <w:tmpl w:val="23FA7F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AF82FB5"/>
    <w:multiLevelType w:val="hybridMultilevel"/>
    <w:tmpl w:val="BC94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F90A44"/>
    <w:multiLevelType w:val="hybridMultilevel"/>
    <w:tmpl w:val="2A9E3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D961E3F"/>
    <w:multiLevelType w:val="hybridMultilevel"/>
    <w:tmpl w:val="07C42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0D62DE"/>
    <w:multiLevelType w:val="hybridMultilevel"/>
    <w:tmpl w:val="3C6C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360D3F"/>
    <w:multiLevelType w:val="hybridMultilevel"/>
    <w:tmpl w:val="B28EA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F685E03"/>
    <w:multiLevelType w:val="hybridMultilevel"/>
    <w:tmpl w:val="C7D4AD2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42" w15:restartNumberingAfterBreak="0">
    <w:nsid w:val="30D21E00"/>
    <w:multiLevelType w:val="hybridMultilevel"/>
    <w:tmpl w:val="166EC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0DC2592"/>
    <w:multiLevelType w:val="hybridMultilevel"/>
    <w:tmpl w:val="266C8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1A71CBC"/>
    <w:multiLevelType w:val="hybridMultilevel"/>
    <w:tmpl w:val="2C4CD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071544"/>
    <w:multiLevelType w:val="hybridMultilevel"/>
    <w:tmpl w:val="44ACF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8391508"/>
    <w:multiLevelType w:val="hybridMultilevel"/>
    <w:tmpl w:val="FF56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B770793"/>
    <w:multiLevelType w:val="hybridMultilevel"/>
    <w:tmpl w:val="33081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DA47814"/>
    <w:multiLevelType w:val="hybridMultilevel"/>
    <w:tmpl w:val="C874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9C6947"/>
    <w:multiLevelType w:val="hybridMultilevel"/>
    <w:tmpl w:val="0896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063A67"/>
    <w:multiLevelType w:val="hybridMultilevel"/>
    <w:tmpl w:val="7EAC25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71529C0"/>
    <w:multiLevelType w:val="hybridMultilevel"/>
    <w:tmpl w:val="EC5C3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83D0A0E"/>
    <w:multiLevelType w:val="hybridMultilevel"/>
    <w:tmpl w:val="FBFA3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9C41794"/>
    <w:multiLevelType w:val="hybridMultilevel"/>
    <w:tmpl w:val="6C42A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C297B15"/>
    <w:multiLevelType w:val="hybridMultilevel"/>
    <w:tmpl w:val="435C9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0645D6A"/>
    <w:multiLevelType w:val="hybridMultilevel"/>
    <w:tmpl w:val="EBC44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47609E0"/>
    <w:multiLevelType w:val="hybridMultilevel"/>
    <w:tmpl w:val="03588C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8" w15:restartNumberingAfterBreak="0">
    <w:nsid w:val="5597527B"/>
    <w:multiLevelType w:val="hybridMultilevel"/>
    <w:tmpl w:val="2236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5E46269"/>
    <w:multiLevelType w:val="hybridMultilevel"/>
    <w:tmpl w:val="2CCCD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7A35F44"/>
    <w:multiLevelType w:val="hybridMultilevel"/>
    <w:tmpl w:val="D61C957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8305F06"/>
    <w:multiLevelType w:val="hybridMultilevel"/>
    <w:tmpl w:val="675E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A860CFE"/>
    <w:multiLevelType w:val="hybridMultilevel"/>
    <w:tmpl w:val="387A083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3" w15:restartNumberingAfterBreak="0">
    <w:nsid w:val="5B407001"/>
    <w:multiLevelType w:val="hybridMultilevel"/>
    <w:tmpl w:val="3FBA2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C30544C"/>
    <w:multiLevelType w:val="hybridMultilevel"/>
    <w:tmpl w:val="58CE4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CD63CE6"/>
    <w:multiLevelType w:val="hybridMultilevel"/>
    <w:tmpl w:val="061E0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CE212D2"/>
    <w:multiLevelType w:val="hybridMultilevel"/>
    <w:tmpl w:val="8ADED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E83044B"/>
    <w:multiLevelType w:val="hybridMultilevel"/>
    <w:tmpl w:val="F0384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2040D5E"/>
    <w:multiLevelType w:val="hybridMultilevel"/>
    <w:tmpl w:val="E2741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3631511"/>
    <w:multiLevelType w:val="hybridMultilevel"/>
    <w:tmpl w:val="ABC64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48F09CD"/>
    <w:multiLevelType w:val="hybridMultilevel"/>
    <w:tmpl w:val="7390E2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5007367"/>
    <w:multiLevelType w:val="hybridMultilevel"/>
    <w:tmpl w:val="0492B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5D43089"/>
    <w:multiLevelType w:val="hybridMultilevel"/>
    <w:tmpl w:val="757A2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6D264E2"/>
    <w:multiLevelType w:val="hybridMultilevel"/>
    <w:tmpl w:val="F6526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7754CCB"/>
    <w:multiLevelType w:val="hybridMultilevel"/>
    <w:tmpl w:val="7AC09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88E54E0"/>
    <w:multiLevelType w:val="hybridMultilevel"/>
    <w:tmpl w:val="9C725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97E676A"/>
    <w:multiLevelType w:val="hybridMultilevel"/>
    <w:tmpl w:val="3D7A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9D02DC2"/>
    <w:multiLevelType w:val="hybridMultilevel"/>
    <w:tmpl w:val="73285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6A366332"/>
    <w:multiLevelType w:val="hybridMultilevel"/>
    <w:tmpl w:val="7DCC7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A370295"/>
    <w:multiLevelType w:val="hybridMultilevel"/>
    <w:tmpl w:val="5D18B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B2F361F"/>
    <w:multiLevelType w:val="hybridMultilevel"/>
    <w:tmpl w:val="1EBA0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BE91CCB"/>
    <w:multiLevelType w:val="hybridMultilevel"/>
    <w:tmpl w:val="ACC0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6CE02301"/>
    <w:multiLevelType w:val="hybridMultilevel"/>
    <w:tmpl w:val="2F52A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0786892"/>
    <w:multiLevelType w:val="hybridMultilevel"/>
    <w:tmpl w:val="0DD02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25B68C1"/>
    <w:multiLevelType w:val="hybridMultilevel"/>
    <w:tmpl w:val="1602B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36B30B8"/>
    <w:multiLevelType w:val="hybridMultilevel"/>
    <w:tmpl w:val="9258C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3CC31F6"/>
    <w:multiLevelType w:val="hybridMultilevel"/>
    <w:tmpl w:val="D5F0D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4DA1178"/>
    <w:multiLevelType w:val="hybridMultilevel"/>
    <w:tmpl w:val="ABCEA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71A00DC"/>
    <w:multiLevelType w:val="hybridMultilevel"/>
    <w:tmpl w:val="4E0ED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78E237D5"/>
    <w:multiLevelType w:val="hybridMultilevel"/>
    <w:tmpl w:val="55564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B280B05"/>
    <w:multiLevelType w:val="hybridMultilevel"/>
    <w:tmpl w:val="CC1CF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7BC339F1"/>
    <w:multiLevelType w:val="hybridMultilevel"/>
    <w:tmpl w:val="32DEE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D0D361A"/>
    <w:multiLevelType w:val="hybridMultilevel"/>
    <w:tmpl w:val="7958B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7DA04302"/>
    <w:multiLevelType w:val="hybridMultilevel"/>
    <w:tmpl w:val="C1964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2395409">
    <w:abstractNumId w:val="12"/>
  </w:num>
  <w:num w:numId="2" w16cid:durableId="1189371942">
    <w:abstractNumId w:val="40"/>
  </w:num>
  <w:num w:numId="3" w16cid:durableId="657926639">
    <w:abstractNumId w:val="45"/>
  </w:num>
  <w:num w:numId="4" w16cid:durableId="577709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4075720">
    <w:abstractNumId w:val="89"/>
  </w:num>
  <w:num w:numId="6" w16cid:durableId="1669554648">
    <w:abstractNumId w:val="65"/>
  </w:num>
  <w:num w:numId="7" w16cid:durableId="1100612084">
    <w:abstractNumId w:val="20"/>
  </w:num>
  <w:num w:numId="8" w16cid:durableId="1152721348">
    <w:abstractNumId w:val="21"/>
  </w:num>
  <w:num w:numId="9" w16cid:durableId="1507551614">
    <w:abstractNumId w:val="38"/>
  </w:num>
  <w:num w:numId="10" w16cid:durableId="1526674372">
    <w:abstractNumId w:val="68"/>
  </w:num>
  <w:num w:numId="11" w16cid:durableId="508641217">
    <w:abstractNumId w:val="1"/>
  </w:num>
  <w:num w:numId="12" w16cid:durableId="1039671358">
    <w:abstractNumId w:val="75"/>
  </w:num>
  <w:num w:numId="13" w16cid:durableId="437287916">
    <w:abstractNumId w:val="83"/>
  </w:num>
  <w:num w:numId="14" w16cid:durableId="139738499">
    <w:abstractNumId w:val="14"/>
  </w:num>
  <w:num w:numId="15" w16cid:durableId="333264955">
    <w:abstractNumId w:val="82"/>
  </w:num>
  <w:num w:numId="16" w16cid:durableId="1649895885">
    <w:abstractNumId w:val="18"/>
  </w:num>
  <w:num w:numId="17" w16cid:durableId="88163562">
    <w:abstractNumId w:val="19"/>
  </w:num>
  <w:num w:numId="18" w16cid:durableId="523977893">
    <w:abstractNumId w:val="36"/>
  </w:num>
  <w:num w:numId="19" w16cid:durableId="414522899">
    <w:abstractNumId w:val="79"/>
  </w:num>
  <w:num w:numId="20" w16cid:durableId="1185826934">
    <w:abstractNumId w:val="13"/>
  </w:num>
  <w:num w:numId="21" w16cid:durableId="1889993907">
    <w:abstractNumId w:val="62"/>
  </w:num>
  <w:num w:numId="22" w16cid:durableId="418908393">
    <w:abstractNumId w:val="46"/>
  </w:num>
  <w:num w:numId="23" w16cid:durableId="173501710">
    <w:abstractNumId w:val="44"/>
  </w:num>
  <w:num w:numId="24" w16cid:durableId="215969527">
    <w:abstractNumId w:val="29"/>
  </w:num>
  <w:num w:numId="25" w16cid:durableId="1950507459">
    <w:abstractNumId w:val="28"/>
  </w:num>
  <w:num w:numId="26" w16cid:durableId="1764255668">
    <w:abstractNumId w:val="47"/>
  </w:num>
  <w:num w:numId="27" w16cid:durableId="475413593">
    <w:abstractNumId w:val="22"/>
  </w:num>
  <w:num w:numId="28" w16cid:durableId="1518806249">
    <w:abstractNumId w:val="11"/>
  </w:num>
  <w:num w:numId="29" w16cid:durableId="403258166">
    <w:abstractNumId w:val="23"/>
  </w:num>
  <w:num w:numId="30" w16cid:durableId="1123576350">
    <w:abstractNumId w:val="33"/>
  </w:num>
  <w:num w:numId="31" w16cid:durableId="1559244477">
    <w:abstractNumId w:val="70"/>
  </w:num>
  <w:num w:numId="32" w16cid:durableId="1192260785">
    <w:abstractNumId w:val="27"/>
  </w:num>
  <w:num w:numId="33" w16cid:durableId="957637371">
    <w:abstractNumId w:val="7"/>
  </w:num>
  <w:num w:numId="34" w16cid:durableId="761490227">
    <w:abstractNumId w:val="41"/>
  </w:num>
  <w:num w:numId="35" w16cid:durableId="132523863">
    <w:abstractNumId w:val="60"/>
  </w:num>
  <w:num w:numId="36" w16cid:durableId="153958018">
    <w:abstractNumId w:val="25"/>
  </w:num>
  <w:num w:numId="37" w16cid:durableId="214313068">
    <w:abstractNumId w:val="91"/>
  </w:num>
  <w:num w:numId="38" w16cid:durableId="1278180756">
    <w:abstractNumId w:val="84"/>
  </w:num>
  <w:num w:numId="39" w16cid:durableId="301497467">
    <w:abstractNumId w:val="52"/>
  </w:num>
  <w:num w:numId="40" w16cid:durableId="1476751302">
    <w:abstractNumId w:val="59"/>
  </w:num>
  <w:num w:numId="41" w16cid:durableId="1417051707">
    <w:abstractNumId w:val="3"/>
  </w:num>
  <w:num w:numId="42" w16cid:durableId="22634333">
    <w:abstractNumId w:val="80"/>
  </w:num>
  <w:num w:numId="43" w16cid:durableId="494609266">
    <w:abstractNumId w:val="76"/>
  </w:num>
  <w:num w:numId="44" w16cid:durableId="1110052507">
    <w:abstractNumId w:val="93"/>
  </w:num>
  <w:num w:numId="45" w16cid:durableId="1102143979">
    <w:abstractNumId w:val="49"/>
  </w:num>
  <w:num w:numId="46" w16cid:durableId="166752395">
    <w:abstractNumId w:val="61"/>
  </w:num>
  <w:num w:numId="47" w16cid:durableId="943655482">
    <w:abstractNumId w:val="4"/>
  </w:num>
  <w:num w:numId="48" w16cid:durableId="46149805">
    <w:abstractNumId w:val="78"/>
  </w:num>
  <w:num w:numId="49" w16cid:durableId="99569074">
    <w:abstractNumId w:val="77"/>
  </w:num>
  <w:num w:numId="50" w16cid:durableId="1874149907">
    <w:abstractNumId w:val="71"/>
  </w:num>
  <w:num w:numId="51" w16cid:durableId="492919797">
    <w:abstractNumId w:val="5"/>
  </w:num>
  <w:num w:numId="52" w16cid:durableId="838616197">
    <w:abstractNumId w:val="34"/>
  </w:num>
  <w:num w:numId="53" w16cid:durableId="109059968">
    <w:abstractNumId w:val="0"/>
  </w:num>
  <w:num w:numId="54" w16cid:durableId="812214420">
    <w:abstractNumId w:val="15"/>
  </w:num>
  <w:num w:numId="55" w16cid:durableId="260647110">
    <w:abstractNumId w:val="73"/>
  </w:num>
  <w:num w:numId="56" w16cid:durableId="1664773940">
    <w:abstractNumId w:val="81"/>
  </w:num>
  <w:num w:numId="57" w16cid:durableId="1774401080">
    <w:abstractNumId w:val="26"/>
  </w:num>
  <w:num w:numId="58" w16cid:durableId="1052846432">
    <w:abstractNumId w:val="6"/>
  </w:num>
  <w:num w:numId="59" w16cid:durableId="2122070179">
    <w:abstractNumId w:val="16"/>
  </w:num>
  <w:num w:numId="60" w16cid:durableId="292759893">
    <w:abstractNumId w:val="63"/>
  </w:num>
  <w:num w:numId="61" w16cid:durableId="2020231357">
    <w:abstractNumId w:val="88"/>
  </w:num>
  <w:num w:numId="62" w16cid:durableId="534579362">
    <w:abstractNumId w:val="67"/>
  </w:num>
  <w:num w:numId="63" w16cid:durableId="742484956">
    <w:abstractNumId w:val="72"/>
  </w:num>
  <w:num w:numId="64" w16cid:durableId="553928209">
    <w:abstractNumId w:val="2"/>
  </w:num>
  <w:num w:numId="65" w16cid:durableId="1097218588">
    <w:abstractNumId w:val="9"/>
  </w:num>
  <w:num w:numId="66" w16cid:durableId="1995331369">
    <w:abstractNumId w:val="32"/>
  </w:num>
  <w:num w:numId="67" w16cid:durableId="85272825">
    <w:abstractNumId w:val="39"/>
  </w:num>
  <w:num w:numId="68" w16cid:durableId="275254630">
    <w:abstractNumId w:val="92"/>
  </w:num>
  <w:num w:numId="69" w16cid:durableId="735477141">
    <w:abstractNumId w:val="37"/>
  </w:num>
  <w:num w:numId="70" w16cid:durableId="390157515">
    <w:abstractNumId w:val="57"/>
  </w:num>
  <w:num w:numId="71" w16cid:durableId="970281393">
    <w:abstractNumId w:val="8"/>
  </w:num>
  <w:num w:numId="72" w16cid:durableId="740563913">
    <w:abstractNumId w:val="50"/>
  </w:num>
  <w:num w:numId="73" w16cid:durableId="392461328">
    <w:abstractNumId w:val="69"/>
  </w:num>
  <w:num w:numId="74" w16cid:durableId="430976120">
    <w:abstractNumId w:val="87"/>
  </w:num>
  <w:num w:numId="75" w16cid:durableId="733895040">
    <w:abstractNumId w:val="42"/>
  </w:num>
  <w:num w:numId="76" w16cid:durableId="988173173">
    <w:abstractNumId w:val="66"/>
  </w:num>
  <w:num w:numId="77" w16cid:durableId="1947035591">
    <w:abstractNumId w:val="30"/>
  </w:num>
  <w:num w:numId="78" w16cid:durableId="499391089">
    <w:abstractNumId w:val="31"/>
  </w:num>
  <w:num w:numId="79" w16cid:durableId="372735868">
    <w:abstractNumId w:val="24"/>
  </w:num>
  <w:num w:numId="80" w16cid:durableId="421100244">
    <w:abstractNumId w:val="74"/>
  </w:num>
  <w:num w:numId="81" w16cid:durableId="703990469">
    <w:abstractNumId w:val="35"/>
  </w:num>
  <w:num w:numId="82" w16cid:durableId="1486047242">
    <w:abstractNumId w:val="64"/>
  </w:num>
  <w:num w:numId="83" w16cid:durableId="687830192">
    <w:abstractNumId w:val="54"/>
  </w:num>
  <w:num w:numId="84" w16cid:durableId="672880514">
    <w:abstractNumId w:val="58"/>
  </w:num>
  <w:num w:numId="85" w16cid:durableId="1037117760">
    <w:abstractNumId w:val="43"/>
  </w:num>
  <w:num w:numId="86" w16cid:durableId="1890144509">
    <w:abstractNumId w:val="51"/>
  </w:num>
  <w:num w:numId="87" w16cid:durableId="41711473">
    <w:abstractNumId w:val="56"/>
  </w:num>
  <w:num w:numId="88" w16cid:durableId="1380663596">
    <w:abstractNumId w:val="55"/>
  </w:num>
  <w:num w:numId="89" w16cid:durableId="1291402818">
    <w:abstractNumId w:val="85"/>
  </w:num>
  <w:num w:numId="90" w16cid:durableId="507673142">
    <w:abstractNumId w:val="53"/>
  </w:num>
  <w:num w:numId="91" w16cid:durableId="854419747">
    <w:abstractNumId w:val="10"/>
  </w:num>
  <w:num w:numId="92" w16cid:durableId="1115254068">
    <w:abstractNumId w:val="48"/>
  </w:num>
  <w:num w:numId="93" w16cid:durableId="173149773">
    <w:abstractNumId w:val="90"/>
  </w:num>
  <w:num w:numId="94" w16cid:durableId="790829384">
    <w:abstractNumId w:val="17"/>
  </w:num>
  <w:num w:numId="95" w16cid:durableId="1107851811">
    <w:abstractNumId w:val="86"/>
  </w:num>
  <w:num w:numId="96" w16cid:durableId="2034113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18254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344480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021"/>
    <w:rsid w:val="00000044"/>
    <w:rsid w:val="00000933"/>
    <w:rsid w:val="00000FF2"/>
    <w:rsid w:val="0000116D"/>
    <w:rsid w:val="00001415"/>
    <w:rsid w:val="000014AF"/>
    <w:rsid w:val="000014DF"/>
    <w:rsid w:val="000014E9"/>
    <w:rsid w:val="000017C6"/>
    <w:rsid w:val="00001955"/>
    <w:rsid w:val="00001D44"/>
    <w:rsid w:val="00002543"/>
    <w:rsid w:val="00002811"/>
    <w:rsid w:val="00002876"/>
    <w:rsid w:val="000029D1"/>
    <w:rsid w:val="00002BFA"/>
    <w:rsid w:val="00002D8E"/>
    <w:rsid w:val="000035AD"/>
    <w:rsid w:val="000036E9"/>
    <w:rsid w:val="0000389F"/>
    <w:rsid w:val="000039F2"/>
    <w:rsid w:val="00003BA1"/>
    <w:rsid w:val="00003D40"/>
    <w:rsid w:val="0000400C"/>
    <w:rsid w:val="00004453"/>
    <w:rsid w:val="00004929"/>
    <w:rsid w:val="00004B28"/>
    <w:rsid w:val="00004C56"/>
    <w:rsid w:val="00004F08"/>
    <w:rsid w:val="00004F7F"/>
    <w:rsid w:val="000051FF"/>
    <w:rsid w:val="0000529F"/>
    <w:rsid w:val="000062CD"/>
    <w:rsid w:val="000069AB"/>
    <w:rsid w:val="00006C28"/>
    <w:rsid w:val="00006E0A"/>
    <w:rsid w:val="00007288"/>
    <w:rsid w:val="00007A1F"/>
    <w:rsid w:val="00007BB5"/>
    <w:rsid w:val="0001041E"/>
    <w:rsid w:val="000109B9"/>
    <w:rsid w:val="00010C0B"/>
    <w:rsid w:val="00010C51"/>
    <w:rsid w:val="00010E7E"/>
    <w:rsid w:val="00011168"/>
    <w:rsid w:val="000119AC"/>
    <w:rsid w:val="00011ED8"/>
    <w:rsid w:val="00011EF0"/>
    <w:rsid w:val="00011FB4"/>
    <w:rsid w:val="000124D0"/>
    <w:rsid w:val="0001274A"/>
    <w:rsid w:val="00013248"/>
    <w:rsid w:val="00013500"/>
    <w:rsid w:val="000136BE"/>
    <w:rsid w:val="00013776"/>
    <w:rsid w:val="000137FC"/>
    <w:rsid w:val="000138E5"/>
    <w:rsid w:val="0001399C"/>
    <w:rsid w:val="00013C5E"/>
    <w:rsid w:val="00013D2A"/>
    <w:rsid w:val="00013FA4"/>
    <w:rsid w:val="000140F2"/>
    <w:rsid w:val="00014170"/>
    <w:rsid w:val="0001420C"/>
    <w:rsid w:val="00014263"/>
    <w:rsid w:val="00014488"/>
    <w:rsid w:val="000148EF"/>
    <w:rsid w:val="0001498F"/>
    <w:rsid w:val="0001503B"/>
    <w:rsid w:val="000154AF"/>
    <w:rsid w:val="000154D5"/>
    <w:rsid w:val="0001557D"/>
    <w:rsid w:val="00016468"/>
    <w:rsid w:val="00016761"/>
    <w:rsid w:val="00016810"/>
    <w:rsid w:val="0001712D"/>
    <w:rsid w:val="000175C1"/>
    <w:rsid w:val="000176AB"/>
    <w:rsid w:val="0001786E"/>
    <w:rsid w:val="00017A4E"/>
    <w:rsid w:val="00017BF0"/>
    <w:rsid w:val="000200A7"/>
    <w:rsid w:val="00020204"/>
    <w:rsid w:val="0002041B"/>
    <w:rsid w:val="0002051C"/>
    <w:rsid w:val="00020579"/>
    <w:rsid w:val="00020B57"/>
    <w:rsid w:val="00020C80"/>
    <w:rsid w:val="00020F23"/>
    <w:rsid w:val="00020F71"/>
    <w:rsid w:val="00021095"/>
    <w:rsid w:val="000210C4"/>
    <w:rsid w:val="00021238"/>
    <w:rsid w:val="0002155B"/>
    <w:rsid w:val="0002174E"/>
    <w:rsid w:val="00021A28"/>
    <w:rsid w:val="00021FAB"/>
    <w:rsid w:val="00021FE4"/>
    <w:rsid w:val="00022290"/>
    <w:rsid w:val="000222D1"/>
    <w:rsid w:val="000228B5"/>
    <w:rsid w:val="0002296B"/>
    <w:rsid w:val="0002298F"/>
    <w:rsid w:val="00022AF0"/>
    <w:rsid w:val="00022B94"/>
    <w:rsid w:val="00023358"/>
    <w:rsid w:val="00023A84"/>
    <w:rsid w:val="00023B06"/>
    <w:rsid w:val="00023C75"/>
    <w:rsid w:val="00024246"/>
    <w:rsid w:val="0002449F"/>
    <w:rsid w:val="00024657"/>
    <w:rsid w:val="000248AC"/>
    <w:rsid w:val="00024982"/>
    <w:rsid w:val="0002520D"/>
    <w:rsid w:val="000252C2"/>
    <w:rsid w:val="000253EC"/>
    <w:rsid w:val="000256D2"/>
    <w:rsid w:val="00025B05"/>
    <w:rsid w:val="00025F30"/>
    <w:rsid w:val="000266FB"/>
    <w:rsid w:val="0002676E"/>
    <w:rsid w:val="0002677C"/>
    <w:rsid w:val="000268BC"/>
    <w:rsid w:val="00026994"/>
    <w:rsid w:val="00026E9A"/>
    <w:rsid w:val="000272CD"/>
    <w:rsid w:val="000278D2"/>
    <w:rsid w:val="00027C0C"/>
    <w:rsid w:val="00027D27"/>
    <w:rsid w:val="00027F0E"/>
    <w:rsid w:val="00027FB9"/>
    <w:rsid w:val="00027FFA"/>
    <w:rsid w:val="00030074"/>
    <w:rsid w:val="00030193"/>
    <w:rsid w:val="00030367"/>
    <w:rsid w:val="000303BC"/>
    <w:rsid w:val="00030B47"/>
    <w:rsid w:val="00030B4A"/>
    <w:rsid w:val="00030D6E"/>
    <w:rsid w:val="00031190"/>
    <w:rsid w:val="000311B7"/>
    <w:rsid w:val="000311E6"/>
    <w:rsid w:val="000314E4"/>
    <w:rsid w:val="000319C1"/>
    <w:rsid w:val="00031E63"/>
    <w:rsid w:val="000324FD"/>
    <w:rsid w:val="00032731"/>
    <w:rsid w:val="000327CD"/>
    <w:rsid w:val="000328DA"/>
    <w:rsid w:val="00032A82"/>
    <w:rsid w:val="00032B3E"/>
    <w:rsid w:val="00032D0B"/>
    <w:rsid w:val="000331E6"/>
    <w:rsid w:val="00033300"/>
    <w:rsid w:val="000333D4"/>
    <w:rsid w:val="00033534"/>
    <w:rsid w:val="0003353A"/>
    <w:rsid w:val="00033CB9"/>
    <w:rsid w:val="00033ED5"/>
    <w:rsid w:val="000340EB"/>
    <w:rsid w:val="00034184"/>
    <w:rsid w:val="00034695"/>
    <w:rsid w:val="000347F5"/>
    <w:rsid w:val="00034847"/>
    <w:rsid w:val="00034BBE"/>
    <w:rsid w:val="000354F0"/>
    <w:rsid w:val="00035614"/>
    <w:rsid w:val="00035969"/>
    <w:rsid w:val="00035978"/>
    <w:rsid w:val="000359F6"/>
    <w:rsid w:val="00035B41"/>
    <w:rsid w:val="00035CFF"/>
    <w:rsid w:val="00035F3D"/>
    <w:rsid w:val="000360C1"/>
    <w:rsid w:val="000360FF"/>
    <w:rsid w:val="00036108"/>
    <w:rsid w:val="000365C3"/>
    <w:rsid w:val="00036691"/>
    <w:rsid w:val="00036765"/>
    <w:rsid w:val="00036B90"/>
    <w:rsid w:val="000370CC"/>
    <w:rsid w:val="00037129"/>
    <w:rsid w:val="0003731F"/>
    <w:rsid w:val="00037453"/>
    <w:rsid w:val="000376BA"/>
    <w:rsid w:val="00037AC7"/>
    <w:rsid w:val="00037B5D"/>
    <w:rsid w:val="00037C00"/>
    <w:rsid w:val="00037C7A"/>
    <w:rsid w:val="00037C92"/>
    <w:rsid w:val="0004036E"/>
    <w:rsid w:val="0004037C"/>
    <w:rsid w:val="0004068B"/>
    <w:rsid w:val="000409D7"/>
    <w:rsid w:val="00040BD6"/>
    <w:rsid w:val="00040FC2"/>
    <w:rsid w:val="00041C60"/>
    <w:rsid w:val="00041D6B"/>
    <w:rsid w:val="00041F3E"/>
    <w:rsid w:val="000420F7"/>
    <w:rsid w:val="000421FD"/>
    <w:rsid w:val="0004221F"/>
    <w:rsid w:val="0004236E"/>
    <w:rsid w:val="0004237C"/>
    <w:rsid w:val="000426ED"/>
    <w:rsid w:val="00042C16"/>
    <w:rsid w:val="00042DA8"/>
    <w:rsid w:val="00042E92"/>
    <w:rsid w:val="00042EAD"/>
    <w:rsid w:val="00043061"/>
    <w:rsid w:val="0004337C"/>
    <w:rsid w:val="00043734"/>
    <w:rsid w:val="00043899"/>
    <w:rsid w:val="00043A1C"/>
    <w:rsid w:val="00043B1A"/>
    <w:rsid w:val="00043E36"/>
    <w:rsid w:val="0004442F"/>
    <w:rsid w:val="000448B3"/>
    <w:rsid w:val="000449FD"/>
    <w:rsid w:val="00044D40"/>
    <w:rsid w:val="000452BD"/>
    <w:rsid w:val="00045510"/>
    <w:rsid w:val="000456D1"/>
    <w:rsid w:val="000457AA"/>
    <w:rsid w:val="00045871"/>
    <w:rsid w:val="000458FA"/>
    <w:rsid w:val="00045958"/>
    <w:rsid w:val="0004602D"/>
    <w:rsid w:val="00046105"/>
    <w:rsid w:val="00046109"/>
    <w:rsid w:val="00046C41"/>
    <w:rsid w:val="00046C64"/>
    <w:rsid w:val="00047174"/>
    <w:rsid w:val="00047466"/>
    <w:rsid w:val="000475F3"/>
    <w:rsid w:val="000476A7"/>
    <w:rsid w:val="000479D3"/>
    <w:rsid w:val="00047C5E"/>
    <w:rsid w:val="00047D6B"/>
    <w:rsid w:val="00047DD2"/>
    <w:rsid w:val="00050034"/>
    <w:rsid w:val="00050347"/>
    <w:rsid w:val="0005041F"/>
    <w:rsid w:val="00050459"/>
    <w:rsid w:val="0005060D"/>
    <w:rsid w:val="0005072D"/>
    <w:rsid w:val="00050F4E"/>
    <w:rsid w:val="000510F8"/>
    <w:rsid w:val="0005144C"/>
    <w:rsid w:val="00051508"/>
    <w:rsid w:val="000517A8"/>
    <w:rsid w:val="00051822"/>
    <w:rsid w:val="00051A96"/>
    <w:rsid w:val="00051BB0"/>
    <w:rsid w:val="00052452"/>
    <w:rsid w:val="0005258E"/>
    <w:rsid w:val="000527D6"/>
    <w:rsid w:val="00052BBC"/>
    <w:rsid w:val="00052BE3"/>
    <w:rsid w:val="00052BF5"/>
    <w:rsid w:val="00052CA4"/>
    <w:rsid w:val="00052EF3"/>
    <w:rsid w:val="00053101"/>
    <w:rsid w:val="00053414"/>
    <w:rsid w:val="0005344F"/>
    <w:rsid w:val="000534A5"/>
    <w:rsid w:val="00053513"/>
    <w:rsid w:val="0005356F"/>
    <w:rsid w:val="0005368E"/>
    <w:rsid w:val="000537C3"/>
    <w:rsid w:val="000538AB"/>
    <w:rsid w:val="00053F8F"/>
    <w:rsid w:val="00054061"/>
    <w:rsid w:val="000541A3"/>
    <w:rsid w:val="00054202"/>
    <w:rsid w:val="0005455B"/>
    <w:rsid w:val="00054866"/>
    <w:rsid w:val="0005496F"/>
    <w:rsid w:val="00054A58"/>
    <w:rsid w:val="00054B88"/>
    <w:rsid w:val="00054E60"/>
    <w:rsid w:val="00055245"/>
    <w:rsid w:val="00055555"/>
    <w:rsid w:val="0005574F"/>
    <w:rsid w:val="00055B27"/>
    <w:rsid w:val="00055D91"/>
    <w:rsid w:val="00055DD4"/>
    <w:rsid w:val="0005600A"/>
    <w:rsid w:val="000561AD"/>
    <w:rsid w:val="0005652D"/>
    <w:rsid w:val="00056661"/>
    <w:rsid w:val="000567FF"/>
    <w:rsid w:val="00056F6E"/>
    <w:rsid w:val="0005710D"/>
    <w:rsid w:val="00057132"/>
    <w:rsid w:val="0005738C"/>
    <w:rsid w:val="000575F1"/>
    <w:rsid w:val="000603F6"/>
    <w:rsid w:val="00060A84"/>
    <w:rsid w:val="00060E0F"/>
    <w:rsid w:val="00060EB6"/>
    <w:rsid w:val="0006101C"/>
    <w:rsid w:val="00061174"/>
    <w:rsid w:val="000614C3"/>
    <w:rsid w:val="00061AD9"/>
    <w:rsid w:val="00061D3B"/>
    <w:rsid w:val="00061D95"/>
    <w:rsid w:val="00061F08"/>
    <w:rsid w:val="0006211C"/>
    <w:rsid w:val="00062382"/>
    <w:rsid w:val="000623AC"/>
    <w:rsid w:val="00062946"/>
    <w:rsid w:val="00062A84"/>
    <w:rsid w:val="00062D21"/>
    <w:rsid w:val="00062EE0"/>
    <w:rsid w:val="00063229"/>
    <w:rsid w:val="0006328D"/>
    <w:rsid w:val="00063381"/>
    <w:rsid w:val="00063488"/>
    <w:rsid w:val="000638F1"/>
    <w:rsid w:val="00063A38"/>
    <w:rsid w:val="000640C7"/>
    <w:rsid w:val="000648B3"/>
    <w:rsid w:val="00064A04"/>
    <w:rsid w:val="00064D4C"/>
    <w:rsid w:val="00065417"/>
    <w:rsid w:val="00065AEB"/>
    <w:rsid w:val="00065FF8"/>
    <w:rsid w:val="000663A6"/>
    <w:rsid w:val="000663F7"/>
    <w:rsid w:val="000664DD"/>
    <w:rsid w:val="00066515"/>
    <w:rsid w:val="00066D7D"/>
    <w:rsid w:val="0006726D"/>
    <w:rsid w:val="000673C3"/>
    <w:rsid w:val="00067480"/>
    <w:rsid w:val="00067C6B"/>
    <w:rsid w:val="000704EB"/>
    <w:rsid w:val="00070916"/>
    <w:rsid w:val="00070FC7"/>
    <w:rsid w:val="00071193"/>
    <w:rsid w:val="00071437"/>
    <w:rsid w:val="00071943"/>
    <w:rsid w:val="00071B8D"/>
    <w:rsid w:val="00071D0E"/>
    <w:rsid w:val="00071DDA"/>
    <w:rsid w:val="00071E2E"/>
    <w:rsid w:val="000721EF"/>
    <w:rsid w:val="00072487"/>
    <w:rsid w:val="0007249B"/>
    <w:rsid w:val="000729F4"/>
    <w:rsid w:val="00073530"/>
    <w:rsid w:val="000738EF"/>
    <w:rsid w:val="00073ED2"/>
    <w:rsid w:val="0007431D"/>
    <w:rsid w:val="000744AD"/>
    <w:rsid w:val="000745B5"/>
    <w:rsid w:val="000745B9"/>
    <w:rsid w:val="00074639"/>
    <w:rsid w:val="000746D7"/>
    <w:rsid w:val="00074943"/>
    <w:rsid w:val="00074D4B"/>
    <w:rsid w:val="000755E2"/>
    <w:rsid w:val="00075725"/>
    <w:rsid w:val="00075C1F"/>
    <w:rsid w:val="00075F06"/>
    <w:rsid w:val="0007621C"/>
    <w:rsid w:val="00076644"/>
    <w:rsid w:val="000768CC"/>
    <w:rsid w:val="00076AC4"/>
    <w:rsid w:val="00076B69"/>
    <w:rsid w:val="00076F11"/>
    <w:rsid w:val="00076F57"/>
    <w:rsid w:val="00077022"/>
    <w:rsid w:val="000770C5"/>
    <w:rsid w:val="00077129"/>
    <w:rsid w:val="0007718E"/>
    <w:rsid w:val="00077796"/>
    <w:rsid w:val="00077F9C"/>
    <w:rsid w:val="000801A1"/>
    <w:rsid w:val="00080560"/>
    <w:rsid w:val="000808D6"/>
    <w:rsid w:val="00080AD9"/>
    <w:rsid w:val="00080ECB"/>
    <w:rsid w:val="00080F94"/>
    <w:rsid w:val="00081362"/>
    <w:rsid w:val="000816EC"/>
    <w:rsid w:val="00081A31"/>
    <w:rsid w:val="00081D70"/>
    <w:rsid w:val="00081E67"/>
    <w:rsid w:val="00081FE5"/>
    <w:rsid w:val="0008231F"/>
    <w:rsid w:val="000824E6"/>
    <w:rsid w:val="00082902"/>
    <w:rsid w:val="0008291B"/>
    <w:rsid w:val="000832A4"/>
    <w:rsid w:val="00083406"/>
    <w:rsid w:val="000835D6"/>
    <w:rsid w:val="00083B74"/>
    <w:rsid w:val="00083B7A"/>
    <w:rsid w:val="00083C38"/>
    <w:rsid w:val="00083D71"/>
    <w:rsid w:val="00083E3C"/>
    <w:rsid w:val="000840EA"/>
    <w:rsid w:val="000842A7"/>
    <w:rsid w:val="000842F3"/>
    <w:rsid w:val="0008434D"/>
    <w:rsid w:val="000846D6"/>
    <w:rsid w:val="0008488E"/>
    <w:rsid w:val="00084E99"/>
    <w:rsid w:val="0008505B"/>
    <w:rsid w:val="000850D3"/>
    <w:rsid w:val="0008537B"/>
    <w:rsid w:val="0008537D"/>
    <w:rsid w:val="000853F0"/>
    <w:rsid w:val="000854F4"/>
    <w:rsid w:val="000855B5"/>
    <w:rsid w:val="0008565B"/>
    <w:rsid w:val="00085B35"/>
    <w:rsid w:val="00085F47"/>
    <w:rsid w:val="0008650E"/>
    <w:rsid w:val="00086513"/>
    <w:rsid w:val="00086594"/>
    <w:rsid w:val="00086F9F"/>
    <w:rsid w:val="00086FF2"/>
    <w:rsid w:val="000870F6"/>
    <w:rsid w:val="0008742B"/>
    <w:rsid w:val="0008743D"/>
    <w:rsid w:val="00087474"/>
    <w:rsid w:val="0008747C"/>
    <w:rsid w:val="00087D6B"/>
    <w:rsid w:val="00090109"/>
    <w:rsid w:val="000902C2"/>
    <w:rsid w:val="000908EE"/>
    <w:rsid w:val="0009097F"/>
    <w:rsid w:val="00090B24"/>
    <w:rsid w:val="00090B71"/>
    <w:rsid w:val="0009106E"/>
    <w:rsid w:val="00091071"/>
    <w:rsid w:val="000910E1"/>
    <w:rsid w:val="0009122A"/>
    <w:rsid w:val="0009187A"/>
    <w:rsid w:val="00091BC8"/>
    <w:rsid w:val="0009277A"/>
    <w:rsid w:val="00092D10"/>
    <w:rsid w:val="0009378B"/>
    <w:rsid w:val="0009388F"/>
    <w:rsid w:val="00093C46"/>
    <w:rsid w:val="00093E73"/>
    <w:rsid w:val="000941D4"/>
    <w:rsid w:val="000945B7"/>
    <w:rsid w:val="00094877"/>
    <w:rsid w:val="00094C3E"/>
    <w:rsid w:val="00094E5F"/>
    <w:rsid w:val="00094F49"/>
    <w:rsid w:val="000959F4"/>
    <w:rsid w:val="00095F53"/>
    <w:rsid w:val="00095FC5"/>
    <w:rsid w:val="00096265"/>
    <w:rsid w:val="000964F3"/>
    <w:rsid w:val="000966C0"/>
    <w:rsid w:val="00096902"/>
    <w:rsid w:val="00096AD8"/>
    <w:rsid w:val="00096D01"/>
    <w:rsid w:val="00096EEA"/>
    <w:rsid w:val="00097041"/>
    <w:rsid w:val="00097980"/>
    <w:rsid w:val="00097C75"/>
    <w:rsid w:val="00097C86"/>
    <w:rsid w:val="000A0015"/>
    <w:rsid w:val="000A02AB"/>
    <w:rsid w:val="000A033F"/>
    <w:rsid w:val="000A0474"/>
    <w:rsid w:val="000A068D"/>
    <w:rsid w:val="000A093A"/>
    <w:rsid w:val="000A0A4F"/>
    <w:rsid w:val="000A0D7E"/>
    <w:rsid w:val="000A0E15"/>
    <w:rsid w:val="000A0EAE"/>
    <w:rsid w:val="000A164A"/>
    <w:rsid w:val="000A176A"/>
    <w:rsid w:val="000A1776"/>
    <w:rsid w:val="000A2383"/>
    <w:rsid w:val="000A2680"/>
    <w:rsid w:val="000A2CB3"/>
    <w:rsid w:val="000A2E24"/>
    <w:rsid w:val="000A2FA8"/>
    <w:rsid w:val="000A30DC"/>
    <w:rsid w:val="000A31F2"/>
    <w:rsid w:val="000A329D"/>
    <w:rsid w:val="000A36EF"/>
    <w:rsid w:val="000A453D"/>
    <w:rsid w:val="000A4703"/>
    <w:rsid w:val="000A4747"/>
    <w:rsid w:val="000A4764"/>
    <w:rsid w:val="000A4E5F"/>
    <w:rsid w:val="000A52C5"/>
    <w:rsid w:val="000A53C8"/>
    <w:rsid w:val="000A5A24"/>
    <w:rsid w:val="000A6041"/>
    <w:rsid w:val="000A65DB"/>
    <w:rsid w:val="000A6643"/>
    <w:rsid w:val="000A6709"/>
    <w:rsid w:val="000A69B1"/>
    <w:rsid w:val="000A69CA"/>
    <w:rsid w:val="000A6E0F"/>
    <w:rsid w:val="000A6E80"/>
    <w:rsid w:val="000A6F72"/>
    <w:rsid w:val="000A70BA"/>
    <w:rsid w:val="000A7149"/>
    <w:rsid w:val="000A716F"/>
    <w:rsid w:val="000A7512"/>
    <w:rsid w:val="000A7534"/>
    <w:rsid w:val="000A7612"/>
    <w:rsid w:val="000A7AAF"/>
    <w:rsid w:val="000A7FC8"/>
    <w:rsid w:val="000B036A"/>
    <w:rsid w:val="000B0B33"/>
    <w:rsid w:val="000B0C8B"/>
    <w:rsid w:val="000B0DD0"/>
    <w:rsid w:val="000B1394"/>
    <w:rsid w:val="000B1528"/>
    <w:rsid w:val="000B165D"/>
    <w:rsid w:val="000B1671"/>
    <w:rsid w:val="000B1675"/>
    <w:rsid w:val="000B1748"/>
    <w:rsid w:val="000B1938"/>
    <w:rsid w:val="000B1D39"/>
    <w:rsid w:val="000B1F45"/>
    <w:rsid w:val="000B22BA"/>
    <w:rsid w:val="000B2448"/>
    <w:rsid w:val="000B276B"/>
    <w:rsid w:val="000B2C73"/>
    <w:rsid w:val="000B369B"/>
    <w:rsid w:val="000B39B6"/>
    <w:rsid w:val="000B39FF"/>
    <w:rsid w:val="000B3A82"/>
    <w:rsid w:val="000B3B3E"/>
    <w:rsid w:val="000B3EE3"/>
    <w:rsid w:val="000B43F0"/>
    <w:rsid w:val="000B46EE"/>
    <w:rsid w:val="000B470F"/>
    <w:rsid w:val="000B4A3D"/>
    <w:rsid w:val="000B4CD7"/>
    <w:rsid w:val="000B4D7A"/>
    <w:rsid w:val="000B4E9B"/>
    <w:rsid w:val="000B51E0"/>
    <w:rsid w:val="000B55C3"/>
    <w:rsid w:val="000B5903"/>
    <w:rsid w:val="000B5A43"/>
    <w:rsid w:val="000B6167"/>
    <w:rsid w:val="000B618B"/>
    <w:rsid w:val="000B6386"/>
    <w:rsid w:val="000B691A"/>
    <w:rsid w:val="000B6BA5"/>
    <w:rsid w:val="000B6BDD"/>
    <w:rsid w:val="000B7160"/>
    <w:rsid w:val="000B72FB"/>
    <w:rsid w:val="000B7586"/>
    <w:rsid w:val="000B79C0"/>
    <w:rsid w:val="000B7B0D"/>
    <w:rsid w:val="000C05C1"/>
    <w:rsid w:val="000C0BE5"/>
    <w:rsid w:val="000C0F07"/>
    <w:rsid w:val="000C138E"/>
    <w:rsid w:val="000C1471"/>
    <w:rsid w:val="000C1757"/>
    <w:rsid w:val="000C201E"/>
    <w:rsid w:val="000C20A9"/>
    <w:rsid w:val="000C2228"/>
    <w:rsid w:val="000C2762"/>
    <w:rsid w:val="000C27AC"/>
    <w:rsid w:val="000C2E51"/>
    <w:rsid w:val="000C2FEA"/>
    <w:rsid w:val="000C3016"/>
    <w:rsid w:val="000C309A"/>
    <w:rsid w:val="000C3116"/>
    <w:rsid w:val="000C33A3"/>
    <w:rsid w:val="000C358E"/>
    <w:rsid w:val="000C38A5"/>
    <w:rsid w:val="000C39AD"/>
    <w:rsid w:val="000C3AE8"/>
    <w:rsid w:val="000C3BAD"/>
    <w:rsid w:val="000C3C0B"/>
    <w:rsid w:val="000C43D2"/>
    <w:rsid w:val="000C44E6"/>
    <w:rsid w:val="000C4B02"/>
    <w:rsid w:val="000C4C15"/>
    <w:rsid w:val="000C4C62"/>
    <w:rsid w:val="000C5271"/>
    <w:rsid w:val="000C535C"/>
    <w:rsid w:val="000C54F4"/>
    <w:rsid w:val="000C58C3"/>
    <w:rsid w:val="000C5CC5"/>
    <w:rsid w:val="000C5E6B"/>
    <w:rsid w:val="000C6298"/>
    <w:rsid w:val="000C6602"/>
    <w:rsid w:val="000C665F"/>
    <w:rsid w:val="000C692C"/>
    <w:rsid w:val="000C6A5D"/>
    <w:rsid w:val="000C6D64"/>
    <w:rsid w:val="000C6D73"/>
    <w:rsid w:val="000C6DC6"/>
    <w:rsid w:val="000C6DE5"/>
    <w:rsid w:val="000C6FC8"/>
    <w:rsid w:val="000C70C1"/>
    <w:rsid w:val="000C7305"/>
    <w:rsid w:val="000C7335"/>
    <w:rsid w:val="000C738A"/>
    <w:rsid w:val="000C756D"/>
    <w:rsid w:val="000C7891"/>
    <w:rsid w:val="000C7A27"/>
    <w:rsid w:val="000C7B39"/>
    <w:rsid w:val="000C7DF1"/>
    <w:rsid w:val="000D062E"/>
    <w:rsid w:val="000D0972"/>
    <w:rsid w:val="000D0B54"/>
    <w:rsid w:val="000D104B"/>
    <w:rsid w:val="000D12AF"/>
    <w:rsid w:val="000D1324"/>
    <w:rsid w:val="000D14F1"/>
    <w:rsid w:val="000D196D"/>
    <w:rsid w:val="000D1A8D"/>
    <w:rsid w:val="000D1E92"/>
    <w:rsid w:val="000D3155"/>
    <w:rsid w:val="000D377C"/>
    <w:rsid w:val="000D3A73"/>
    <w:rsid w:val="000D3DBF"/>
    <w:rsid w:val="000D4009"/>
    <w:rsid w:val="000D41F7"/>
    <w:rsid w:val="000D4366"/>
    <w:rsid w:val="000D46CB"/>
    <w:rsid w:val="000D497B"/>
    <w:rsid w:val="000D4A0D"/>
    <w:rsid w:val="000D56C1"/>
    <w:rsid w:val="000D6579"/>
    <w:rsid w:val="000D65E2"/>
    <w:rsid w:val="000D680F"/>
    <w:rsid w:val="000D6937"/>
    <w:rsid w:val="000D6C64"/>
    <w:rsid w:val="000D74E5"/>
    <w:rsid w:val="000D7603"/>
    <w:rsid w:val="000D79C8"/>
    <w:rsid w:val="000D7E3D"/>
    <w:rsid w:val="000D7E72"/>
    <w:rsid w:val="000E0040"/>
    <w:rsid w:val="000E016F"/>
    <w:rsid w:val="000E04BA"/>
    <w:rsid w:val="000E0AE9"/>
    <w:rsid w:val="000E0EDC"/>
    <w:rsid w:val="000E1305"/>
    <w:rsid w:val="000E1682"/>
    <w:rsid w:val="000E1A26"/>
    <w:rsid w:val="000E1B42"/>
    <w:rsid w:val="000E2026"/>
    <w:rsid w:val="000E204F"/>
    <w:rsid w:val="000E21ED"/>
    <w:rsid w:val="000E23E5"/>
    <w:rsid w:val="000E2607"/>
    <w:rsid w:val="000E26C0"/>
    <w:rsid w:val="000E2B3A"/>
    <w:rsid w:val="000E2D50"/>
    <w:rsid w:val="000E35B5"/>
    <w:rsid w:val="000E3A26"/>
    <w:rsid w:val="000E3C42"/>
    <w:rsid w:val="000E3D80"/>
    <w:rsid w:val="000E435D"/>
    <w:rsid w:val="000E47B3"/>
    <w:rsid w:val="000E49B8"/>
    <w:rsid w:val="000E4CC5"/>
    <w:rsid w:val="000E4D19"/>
    <w:rsid w:val="000E4D74"/>
    <w:rsid w:val="000E4DAE"/>
    <w:rsid w:val="000E4F37"/>
    <w:rsid w:val="000E4F8D"/>
    <w:rsid w:val="000E5281"/>
    <w:rsid w:val="000E5624"/>
    <w:rsid w:val="000E5630"/>
    <w:rsid w:val="000E5AB7"/>
    <w:rsid w:val="000E5B10"/>
    <w:rsid w:val="000E5F70"/>
    <w:rsid w:val="000E6446"/>
    <w:rsid w:val="000E7878"/>
    <w:rsid w:val="000F031D"/>
    <w:rsid w:val="000F0F53"/>
    <w:rsid w:val="000F1322"/>
    <w:rsid w:val="000F13AD"/>
    <w:rsid w:val="000F1841"/>
    <w:rsid w:val="000F19CD"/>
    <w:rsid w:val="000F1E66"/>
    <w:rsid w:val="000F22E2"/>
    <w:rsid w:val="000F23F9"/>
    <w:rsid w:val="000F2891"/>
    <w:rsid w:val="000F2EFB"/>
    <w:rsid w:val="000F3387"/>
    <w:rsid w:val="000F34ED"/>
    <w:rsid w:val="000F3B82"/>
    <w:rsid w:val="000F3E33"/>
    <w:rsid w:val="000F410D"/>
    <w:rsid w:val="000F4160"/>
    <w:rsid w:val="000F41AF"/>
    <w:rsid w:val="000F41F7"/>
    <w:rsid w:val="000F4364"/>
    <w:rsid w:val="000F43AA"/>
    <w:rsid w:val="000F4578"/>
    <w:rsid w:val="000F4A83"/>
    <w:rsid w:val="000F4C64"/>
    <w:rsid w:val="000F4D5D"/>
    <w:rsid w:val="000F4FC5"/>
    <w:rsid w:val="000F518E"/>
    <w:rsid w:val="000F6411"/>
    <w:rsid w:val="000F6686"/>
    <w:rsid w:val="000F6713"/>
    <w:rsid w:val="000F67BA"/>
    <w:rsid w:val="000F693C"/>
    <w:rsid w:val="000F6B1E"/>
    <w:rsid w:val="000F6C7D"/>
    <w:rsid w:val="000F6CA9"/>
    <w:rsid w:val="000F7243"/>
    <w:rsid w:val="000F7A81"/>
    <w:rsid w:val="000F7AC9"/>
    <w:rsid w:val="000F7FE3"/>
    <w:rsid w:val="001002D6"/>
    <w:rsid w:val="00100398"/>
    <w:rsid w:val="001009BA"/>
    <w:rsid w:val="00100C0F"/>
    <w:rsid w:val="00100D4E"/>
    <w:rsid w:val="00100DA0"/>
    <w:rsid w:val="00101025"/>
    <w:rsid w:val="001010D9"/>
    <w:rsid w:val="0010121D"/>
    <w:rsid w:val="00101693"/>
    <w:rsid w:val="001016B0"/>
    <w:rsid w:val="00101749"/>
    <w:rsid w:val="00101D8E"/>
    <w:rsid w:val="00102721"/>
    <w:rsid w:val="001029E6"/>
    <w:rsid w:val="00102B31"/>
    <w:rsid w:val="00103562"/>
    <w:rsid w:val="001037B9"/>
    <w:rsid w:val="00103CA3"/>
    <w:rsid w:val="00103FA8"/>
    <w:rsid w:val="00104335"/>
    <w:rsid w:val="00104428"/>
    <w:rsid w:val="00104B7C"/>
    <w:rsid w:val="00104F17"/>
    <w:rsid w:val="00105068"/>
    <w:rsid w:val="0010513B"/>
    <w:rsid w:val="00105381"/>
    <w:rsid w:val="00105402"/>
    <w:rsid w:val="00105491"/>
    <w:rsid w:val="00105502"/>
    <w:rsid w:val="001056EA"/>
    <w:rsid w:val="00105ADA"/>
    <w:rsid w:val="00105E96"/>
    <w:rsid w:val="001065B5"/>
    <w:rsid w:val="00106800"/>
    <w:rsid w:val="00106B6E"/>
    <w:rsid w:val="00106DA2"/>
    <w:rsid w:val="00107000"/>
    <w:rsid w:val="00107537"/>
    <w:rsid w:val="00107600"/>
    <w:rsid w:val="001076D4"/>
    <w:rsid w:val="0010771F"/>
    <w:rsid w:val="00107878"/>
    <w:rsid w:val="001079D5"/>
    <w:rsid w:val="00107ADD"/>
    <w:rsid w:val="00107F32"/>
    <w:rsid w:val="001104FB"/>
    <w:rsid w:val="00110510"/>
    <w:rsid w:val="00110578"/>
    <w:rsid w:val="00110676"/>
    <w:rsid w:val="0011075D"/>
    <w:rsid w:val="001108A4"/>
    <w:rsid w:val="00110B38"/>
    <w:rsid w:val="00111193"/>
    <w:rsid w:val="001111DE"/>
    <w:rsid w:val="0011183F"/>
    <w:rsid w:val="001119D5"/>
    <w:rsid w:val="00112396"/>
    <w:rsid w:val="001123C2"/>
    <w:rsid w:val="0011272E"/>
    <w:rsid w:val="00112938"/>
    <w:rsid w:val="0011299A"/>
    <w:rsid w:val="001129EE"/>
    <w:rsid w:val="00112C8B"/>
    <w:rsid w:val="00113120"/>
    <w:rsid w:val="00113264"/>
    <w:rsid w:val="001139F3"/>
    <w:rsid w:val="0011425E"/>
    <w:rsid w:val="001142FA"/>
    <w:rsid w:val="001144DA"/>
    <w:rsid w:val="00114696"/>
    <w:rsid w:val="00114738"/>
    <w:rsid w:val="001148F0"/>
    <w:rsid w:val="00115757"/>
    <w:rsid w:val="00115A34"/>
    <w:rsid w:val="00115C50"/>
    <w:rsid w:val="00115D0D"/>
    <w:rsid w:val="00115F4D"/>
    <w:rsid w:val="001161CF"/>
    <w:rsid w:val="00116308"/>
    <w:rsid w:val="00116458"/>
    <w:rsid w:val="001164A6"/>
    <w:rsid w:val="001168DA"/>
    <w:rsid w:val="00116BE5"/>
    <w:rsid w:val="00116F5F"/>
    <w:rsid w:val="00116FBD"/>
    <w:rsid w:val="00117635"/>
    <w:rsid w:val="001178A2"/>
    <w:rsid w:val="0011796D"/>
    <w:rsid w:val="00117AEA"/>
    <w:rsid w:val="001204A3"/>
    <w:rsid w:val="0012086E"/>
    <w:rsid w:val="00120A1B"/>
    <w:rsid w:val="00120AE8"/>
    <w:rsid w:val="00120B13"/>
    <w:rsid w:val="00121442"/>
    <w:rsid w:val="00121A2D"/>
    <w:rsid w:val="00121E1D"/>
    <w:rsid w:val="00121EE0"/>
    <w:rsid w:val="00121EE5"/>
    <w:rsid w:val="00122118"/>
    <w:rsid w:val="00122651"/>
    <w:rsid w:val="001226F3"/>
    <w:rsid w:val="0012294B"/>
    <w:rsid w:val="00122BB8"/>
    <w:rsid w:val="00122C2C"/>
    <w:rsid w:val="00122E4A"/>
    <w:rsid w:val="00122EEF"/>
    <w:rsid w:val="0012363B"/>
    <w:rsid w:val="00123E6A"/>
    <w:rsid w:val="0012404B"/>
    <w:rsid w:val="001241E5"/>
    <w:rsid w:val="0012436F"/>
    <w:rsid w:val="001247C1"/>
    <w:rsid w:val="00124B57"/>
    <w:rsid w:val="0012508E"/>
    <w:rsid w:val="00125670"/>
    <w:rsid w:val="00125E54"/>
    <w:rsid w:val="00126AD4"/>
    <w:rsid w:val="00126DEC"/>
    <w:rsid w:val="00127017"/>
    <w:rsid w:val="00127066"/>
    <w:rsid w:val="0012763F"/>
    <w:rsid w:val="00127BEA"/>
    <w:rsid w:val="00127C03"/>
    <w:rsid w:val="00127E12"/>
    <w:rsid w:val="00127EF3"/>
    <w:rsid w:val="00130149"/>
    <w:rsid w:val="00130440"/>
    <w:rsid w:val="00130A38"/>
    <w:rsid w:val="00130E9B"/>
    <w:rsid w:val="00130ED3"/>
    <w:rsid w:val="0013109B"/>
    <w:rsid w:val="00131444"/>
    <w:rsid w:val="00131930"/>
    <w:rsid w:val="00132A62"/>
    <w:rsid w:val="00132BED"/>
    <w:rsid w:val="001335EE"/>
    <w:rsid w:val="00133788"/>
    <w:rsid w:val="00133B77"/>
    <w:rsid w:val="00133E7B"/>
    <w:rsid w:val="0013407D"/>
    <w:rsid w:val="001340F9"/>
    <w:rsid w:val="00134591"/>
    <w:rsid w:val="00134982"/>
    <w:rsid w:val="00134B01"/>
    <w:rsid w:val="00135241"/>
    <w:rsid w:val="001354F5"/>
    <w:rsid w:val="001355F7"/>
    <w:rsid w:val="00135F67"/>
    <w:rsid w:val="0013609C"/>
    <w:rsid w:val="001361B1"/>
    <w:rsid w:val="001362F3"/>
    <w:rsid w:val="00136311"/>
    <w:rsid w:val="00136398"/>
    <w:rsid w:val="0013657A"/>
    <w:rsid w:val="00136ADF"/>
    <w:rsid w:val="00136C67"/>
    <w:rsid w:val="00136DDE"/>
    <w:rsid w:val="00136FD6"/>
    <w:rsid w:val="00137029"/>
    <w:rsid w:val="001375AC"/>
    <w:rsid w:val="0013793C"/>
    <w:rsid w:val="001379E3"/>
    <w:rsid w:val="00137F3A"/>
    <w:rsid w:val="0014005F"/>
    <w:rsid w:val="00140821"/>
    <w:rsid w:val="00140C3F"/>
    <w:rsid w:val="001412BE"/>
    <w:rsid w:val="00141BCB"/>
    <w:rsid w:val="00141CBA"/>
    <w:rsid w:val="001420AC"/>
    <w:rsid w:val="001422AC"/>
    <w:rsid w:val="001427BE"/>
    <w:rsid w:val="00143276"/>
    <w:rsid w:val="001434F3"/>
    <w:rsid w:val="00143872"/>
    <w:rsid w:val="00143BBD"/>
    <w:rsid w:val="00144004"/>
    <w:rsid w:val="001441E6"/>
    <w:rsid w:val="0014448D"/>
    <w:rsid w:val="001444D5"/>
    <w:rsid w:val="00144D56"/>
    <w:rsid w:val="0014510D"/>
    <w:rsid w:val="001455E2"/>
    <w:rsid w:val="00145721"/>
    <w:rsid w:val="0014583C"/>
    <w:rsid w:val="00145E06"/>
    <w:rsid w:val="00146CEB"/>
    <w:rsid w:val="0014704C"/>
    <w:rsid w:val="001470CA"/>
    <w:rsid w:val="00147222"/>
    <w:rsid w:val="00147353"/>
    <w:rsid w:val="0014779C"/>
    <w:rsid w:val="001477D7"/>
    <w:rsid w:val="00147861"/>
    <w:rsid w:val="00150512"/>
    <w:rsid w:val="0015066A"/>
    <w:rsid w:val="001508F0"/>
    <w:rsid w:val="00150B15"/>
    <w:rsid w:val="00150B6E"/>
    <w:rsid w:val="00150C04"/>
    <w:rsid w:val="00151332"/>
    <w:rsid w:val="00151353"/>
    <w:rsid w:val="00151449"/>
    <w:rsid w:val="00151F3B"/>
    <w:rsid w:val="00151FC0"/>
    <w:rsid w:val="0015217B"/>
    <w:rsid w:val="00152348"/>
    <w:rsid w:val="0015242E"/>
    <w:rsid w:val="001524D1"/>
    <w:rsid w:val="00152539"/>
    <w:rsid w:val="00152662"/>
    <w:rsid w:val="0015299B"/>
    <w:rsid w:val="00152A6E"/>
    <w:rsid w:val="00152B55"/>
    <w:rsid w:val="00152BB4"/>
    <w:rsid w:val="00152C3A"/>
    <w:rsid w:val="00152E57"/>
    <w:rsid w:val="001530BC"/>
    <w:rsid w:val="00153B91"/>
    <w:rsid w:val="00153DAB"/>
    <w:rsid w:val="00154053"/>
    <w:rsid w:val="001540BA"/>
    <w:rsid w:val="001541D4"/>
    <w:rsid w:val="00154547"/>
    <w:rsid w:val="00154723"/>
    <w:rsid w:val="00154784"/>
    <w:rsid w:val="00154EF2"/>
    <w:rsid w:val="00154F06"/>
    <w:rsid w:val="0015510C"/>
    <w:rsid w:val="001551FC"/>
    <w:rsid w:val="0015535C"/>
    <w:rsid w:val="001556B7"/>
    <w:rsid w:val="001556D1"/>
    <w:rsid w:val="001556E2"/>
    <w:rsid w:val="00155ADF"/>
    <w:rsid w:val="00155B60"/>
    <w:rsid w:val="00155CCA"/>
    <w:rsid w:val="00155E79"/>
    <w:rsid w:val="00156395"/>
    <w:rsid w:val="001565AA"/>
    <w:rsid w:val="00156BF3"/>
    <w:rsid w:val="00156C1B"/>
    <w:rsid w:val="00156E37"/>
    <w:rsid w:val="00157974"/>
    <w:rsid w:val="00157B4B"/>
    <w:rsid w:val="00157CD0"/>
    <w:rsid w:val="00157E58"/>
    <w:rsid w:val="00157F35"/>
    <w:rsid w:val="00157F99"/>
    <w:rsid w:val="001605A7"/>
    <w:rsid w:val="0016079B"/>
    <w:rsid w:val="00160AB2"/>
    <w:rsid w:val="00160D5A"/>
    <w:rsid w:val="0016115D"/>
    <w:rsid w:val="001615CE"/>
    <w:rsid w:val="00161678"/>
    <w:rsid w:val="00161B05"/>
    <w:rsid w:val="00162051"/>
    <w:rsid w:val="00162330"/>
    <w:rsid w:val="00162337"/>
    <w:rsid w:val="00162A34"/>
    <w:rsid w:val="00163625"/>
    <w:rsid w:val="00164132"/>
    <w:rsid w:val="0016416E"/>
    <w:rsid w:val="00164B17"/>
    <w:rsid w:val="00164C48"/>
    <w:rsid w:val="00164C57"/>
    <w:rsid w:val="00164F86"/>
    <w:rsid w:val="00165249"/>
    <w:rsid w:val="001653D9"/>
    <w:rsid w:val="001655CC"/>
    <w:rsid w:val="0016568E"/>
    <w:rsid w:val="001657DB"/>
    <w:rsid w:val="00165A5C"/>
    <w:rsid w:val="00165DFD"/>
    <w:rsid w:val="00166307"/>
    <w:rsid w:val="0016636C"/>
    <w:rsid w:val="0016685B"/>
    <w:rsid w:val="00166A2F"/>
    <w:rsid w:val="00166B02"/>
    <w:rsid w:val="00166F4F"/>
    <w:rsid w:val="00167150"/>
    <w:rsid w:val="00167433"/>
    <w:rsid w:val="00167719"/>
    <w:rsid w:val="00167A82"/>
    <w:rsid w:val="00167B80"/>
    <w:rsid w:val="00170040"/>
    <w:rsid w:val="0017022C"/>
    <w:rsid w:val="00170294"/>
    <w:rsid w:val="0017037A"/>
    <w:rsid w:val="0017091A"/>
    <w:rsid w:val="00170AB6"/>
    <w:rsid w:val="00170B00"/>
    <w:rsid w:val="00170D99"/>
    <w:rsid w:val="0017119B"/>
    <w:rsid w:val="00171275"/>
    <w:rsid w:val="00171291"/>
    <w:rsid w:val="001719FD"/>
    <w:rsid w:val="00171A5B"/>
    <w:rsid w:val="00171ACA"/>
    <w:rsid w:val="00172017"/>
    <w:rsid w:val="00172531"/>
    <w:rsid w:val="001725E7"/>
    <w:rsid w:val="00172B72"/>
    <w:rsid w:val="00172E0B"/>
    <w:rsid w:val="00172F2D"/>
    <w:rsid w:val="00172F79"/>
    <w:rsid w:val="00173504"/>
    <w:rsid w:val="0017358C"/>
    <w:rsid w:val="00173633"/>
    <w:rsid w:val="001737BD"/>
    <w:rsid w:val="0017397E"/>
    <w:rsid w:val="00173AC1"/>
    <w:rsid w:val="001740CD"/>
    <w:rsid w:val="001742F5"/>
    <w:rsid w:val="00174306"/>
    <w:rsid w:val="00174404"/>
    <w:rsid w:val="001744A4"/>
    <w:rsid w:val="00175003"/>
    <w:rsid w:val="00175032"/>
    <w:rsid w:val="001750C1"/>
    <w:rsid w:val="00175442"/>
    <w:rsid w:val="0017560B"/>
    <w:rsid w:val="00175B2B"/>
    <w:rsid w:val="00175BF9"/>
    <w:rsid w:val="00175DAD"/>
    <w:rsid w:val="00176213"/>
    <w:rsid w:val="001762E5"/>
    <w:rsid w:val="001766B3"/>
    <w:rsid w:val="0017676C"/>
    <w:rsid w:val="001769E7"/>
    <w:rsid w:val="00176D10"/>
    <w:rsid w:val="00176DA0"/>
    <w:rsid w:val="00176FB6"/>
    <w:rsid w:val="001770E6"/>
    <w:rsid w:val="001775F4"/>
    <w:rsid w:val="001778B3"/>
    <w:rsid w:val="00177B38"/>
    <w:rsid w:val="00177CB3"/>
    <w:rsid w:val="00180270"/>
    <w:rsid w:val="001807A6"/>
    <w:rsid w:val="001809F4"/>
    <w:rsid w:val="00180DB5"/>
    <w:rsid w:val="00180DDC"/>
    <w:rsid w:val="0018119C"/>
    <w:rsid w:val="0018120C"/>
    <w:rsid w:val="001812D8"/>
    <w:rsid w:val="00181A4C"/>
    <w:rsid w:val="00181A66"/>
    <w:rsid w:val="00181C05"/>
    <w:rsid w:val="00181CB9"/>
    <w:rsid w:val="00181E7E"/>
    <w:rsid w:val="0018248E"/>
    <w:rsid w:val="00182515"/>
    <w:rsid w:val="00182B5A"/>
    <w:rsid w:val="00182BDA"/>
    <w:rsid w:val="00182FDC"/>
    <w:rsid w:val="00183187"/>
    <w:rsid w:val="00183BAC"/>
    <w:rsid w:val="00183D6F"/>
    <w:rsid w:val="0018418B"/>
    <w:rsid w:val="00184500"/>
    <w:rsid w:val="0018482D"/>
    <w:rsid w:val="00184FDA"/>
    <w:rsid w:val="001857F9"/>
    <w:rsid w:val="0018586D"/>
    <w:rsid w:val="00185A05"/>
    <w:rsid w:val="00185F96"/>
    <w:rsid w:val="00186184"/>
    <w:rsid w:val="0018663B"/>
    <w:rsid w:val="001869B7"/>
    <w:rsid w:val="00186C5A"/>
    <w:rsid w:val="00186D5F"/>
    <w:rsid w:val="00186DA8"/>
    <w:rsid w:val="001872B7"/>
    <w:rsid w:val="0018756C"/>
    <w:rsid w:val="0018784B"/>
    <w:rsid w:val="001879DC"/>
    <w:rsid w:val="00187B42"/>
    <w:rsid w:val="00187F0D"/>
    <w:rsid w:val="00190354"/>
    <w:rsid w:val="00190525"/>
    <w:rsid w:val="001907DD"/>
    <w:rsid w:val="0019110E"/>
    <w:rsid w:val="001912C1"/>
    <w:rsid w:val="00191761"/>
    <w:rsid w:val="00191803"/>
    <w:rsid w:val="00191814"/>
    <w:rsid w:val="001919BF"/>
    <w:rsid w:val="00191EE2"/>
    <w:rsid w:val="001920C6"/>
    <w:rsid w:val="0019211B"/>
    <w:rsid w:val="00192508"/>
    <w:rsid w:val="00192A78"/>
    <w:rsid w:val="00192A8C"/>
    <w:rsid w:val="00192DDA"/>
    <w:rsid w:val="00192F51"/>
    <w:rsid w:val="0019305F"/>
    <w:rsid w:val="001938AF"/>
    <w:rsid w:val="00193C47"/>
    <w:rsid w:val="00193D87"/>
    <w:rsid w:val="00193FBD"/>
    <w:rsid w:val="00194394"/>
    <w:rsid w:val="00194545"/>
    <w:rsid w:val="00194643"/>
    <w:rsid w:val="00194854"/>
    <w:rsid w:val="00194B1B"/>
    <w:rsid w:val="00194E5E"/>
    <w:rsid w:val="001957B4"/>
    <w:rsid w:val="00195994"/>
    <w:rsid w:val="00195D04"/>
    <w:rsid w:val="00195ECA"/>
    <w:rsid w:val="00195F8D"/>
    <w:rsid w:val="00195FEA"/>
    <w:rsid w:val="00196214"/>
    <w:rsid w:val="001962E3"/>
    <w:rsid w:val="00196B30"/>
    <w:rsid w:val="00196C49"/>
    <w:rsid w:val="00196E76"/>
    <w:rsid w:val="0019730D"/>
    <w:rsid w:val="00197575"/>
    <w:rsid w:val="00197C5C"/>
    <w:rsid w:val="00197E46"/>
    <w:rsid w:val="00197EB9"/>
    <w:rsid w:val="00197EF8"/>
    <w:rsid w:val="001A0331"/>
    <w:rsid w:val="001A0827"/>
    <w:rsid w:val="001A0A3A"/>
    <w:rsid w:val="001A0AC6"/>
    <w:rsid w:val="001A0C20"/>
    <w:rsid w:val="001A0DDB"/>
    <w:rsid w:val="001A0EE7"/>
    <w:rsid w:val="001A1515"/>
    <w:rsid w:val="001A18EC"/>
    <w:rsid w:val="001A1B3D"/>
    <w:rsid w:val="001A1DF9"/>
    <w:rsid w:val="001A200F"/>
    <w:rsid w:val="001A21DF"/>
    <w:rsid w:val="001A2679"/>
    <w:rsid w:val="001A2FAA"/>
    <w:rsid w:val="001A34DC"/>
    <w:rsid w:val="001A360B"/>
    <w:rsid w:val="001A37ED"/>
    <w:rsid w:val="001A3A2D"/>
    <w:rsid w:val="001A3CEA"/>
    <w:rsid w:val="001A3F67"/>
    <w:rsid w:val="001A4203"/>
    <w:rsid w:val="001A492F"/>
    <w:rsid w:val="001A4BEF"/>
    <w:rsid w:val="001A4C5D"/>
    <w:rsid w:val="001A5068"/>
    <w:rsid w:val="001A513E"/>
    <w:rsid w:val="001A5172"/>
    <w:rsid w:val="001A52D5"/>
    <w:rsid w:val="001A5301"/>
    <w:rsid w:val="001A55D2"/>
    <w:rsid w:val="001A5BB4"/>
    <w:rsid w:val="001A6136"/>
    <w:rsid w:val="001A6A14"/>
    <w:rsid w:val="001A6B8D"/>
    <w:rsid w:val="001A6CEC"/>
    <w:rsid w:val="001A7356"/>
    <w:rsid w:val="001A745E"/>
    <w:rsid w:val="001A753B"/>
    <w:rsid w:val="001A7597"/>
    <w:rsid w:val="001A771E"/>
    <w:rsid w:val="001A7C3D"/>
    <w:rsid w:val="001A7CB3"/>
    <w:rsid w:val="001B0402"/>
    <w:rsid w:val="001B06BC"/>
    <w:rsid w:val="001B0811"/>
    <w:rsid w:val="001B0EF6"/>
    <w:rsid w:val="001B136B"/>
    <w:rsid w:val="001B13E5"/>
    <w:rsid w:val="001B1421"/>
    <w:rsid w:val="001B173D"/>
    <w:rsid w:val="001B17E6"/>
    <w:rsid w:val="001B188F"/>
    <w:rsid w:val="001B1D23"/>
    <w:rsid w:val="001B1DB6"/>
    <w:rsid w:val="001B1DEE"/>
    <w:rsid w:val="001B1FAB"/>
    <w:rsid w:val="001B2020"/>
    <w:rsid w:val="001B232B"/>
    <w:rsid w:val="001B27DF"/>
    <w:rsid w:val="001B2A39"/>
    <w:rsid w:val="001B2EA3"/>
    <w:rsid w:val="001B2F5E"/>
    <w:rsid w:val="001B35B7"/>
    <w:rsid w:val="001B398E"/>
    <w:rsid w:val="001B3A18"/>
    <w:rsid w:val="001B3AE4"/>
    <w:rsid w:val="001B3D1D"/>
    <w:rsid w:val="001B3D4E"/>
    <w:rsid w:val="001B405E"/>
    <w:rsid w:val="001B43A8"/>
    <w:rsid w:val="001B4402"/>
    <w:rsid w:val="001B4769"/>
    <w:rsid w:val="001B4D8B"/>
    <w:rsid w:val="001B5028"/>
    <w:rsid w:val="001B5240"/>
    <w:rsid w:val="001B54AB"/>
    <w:rsid w:val="001B555D"/>
    <w:rsid w:val="001B55BF"/>
    <w:rsid w:val="001B56F3"/>
    <w:rsid w:val="001B5773"/>
    <w:rsid w:val="001B580C"/>
    <w:rsid w:val="001B593D"/>
    <w:rsid w:val="001B5B53"/>
    <w:rsid w:val="001B5CE1"/>
    <w:rsid w:val="001B6321"/>
    <w:rsid w:val="001B649C"/>
    <w:rsid w:val="001B65A4"/>
    <w:rsid w:val="001B6E69"/>
    <w:rsid w:val="001B7326"/>
    <w:rsid w:val="001B79CE"/>
    <w:rsid w:val="001B7BD4"/>
    <w:rsid w:val="001B7DA6"/>
    <w:rsid w:val="001B7EF5"/>
    <w:rsid w:val="001C01B1"/>
    <w:rsid w:val="001C01D0"/>
    <w:rsid w:val="001C0C29"/>
    <w:rsid w:val="001C0CC8"/>
    <w:rsid w:val="001C0DD0"/>
    <w:rsid w:val="001C0EF3"/>
    <w:rsid w:val="001C116B"/>
    <w:rsid w:val="001C12BB"/>
    <w:rsid w:val="001C1406"/>
    <w:rsid w:val="001C170F"/>
    <w:rsid w:val="001C1BFA"/>
    <w:rsid w:val="001C279D"/>
    <w:rsid w:val="001C29BF"/>
    <w:rsid w:val="001C2A40"/>
    <w:rsid w:val="001C2CD3"/>
    <w:rsid w:val="001C2CEE"/>
    <w:rsid w:val="001C3188"/>
    <w:rsid w:val="001C33FB"/>
    <w:rsid w:val="001C3656"/>
    <w:rsid w:val="001C3678"/>
    <w:rsid w:val="001C38E4"/>
    <w:rsid w:val="001C39FD"/>
    <w:rsid w:val="001C42A6"/>
    <w:rsid w:val="001C42B6"/>
    <w:rsid w:val="001C42E2"/>
    <w:rsid w:val="001C4315"/>
    <w:rsid w:val="001C4368"/>
    <w:rsid w:val="001C43E9"/>
    <w:rsid w:val="001C4475"/>
    <w:rsid w:val="001C4A65"/>
    <w:rsid w:val="001C4ADA"/>
    <w:rsid w:val="001C4B33"/>
    <w:rsid w:val="001C4BC3"/>
    <w:rsid w:val="001C5183"/>
    <w:rsid w:val="001C5C31"/>
    <w:rsid w:val="001C5C36"/>
    <w:rsid w:val="001C5D44"/>
    <w:rsid w:val="001C6269"/>
    <w:rsid w:val="001C62BB"/>
    <w:rsid w:val="001C6525"/>
    <w:rsid w:val="001C655D"/>
    <w:rsid w:val="001C659D"/>
    <w:rsid w:val="001C6844"/>
    <w:rsid w:val="001C6898"/>
    <w:rsid w:val="001C6963"/>
    <w:rsid w:val="001C69A7"/>
    <w:rsid w:val="001C6F26"/>
    <w:rsid w:val="001C72FD"/>
    <w:rsid w:val="001C7646"/>
    <w:rsid w:val="001C7982"/>
    <w:rsid w:val="001C7B62"/>
    <w:rsid w:val="001D0170"/>
    <w:rsid w:val="001D0198"/>
    <w:rsid w:val="001D062C"/>
    <w:rsid w:val="001D0C13"/>
    <w:rsid w:val="001D0E9A"/>
    <w:rsid w:val="001D0F1C"/>
    <w:rsid w:val="001D1EC0"/>
    <w:rsid w:val="001D1FD0"/>
    <w:rsid w:val="001D21BD"/>
    <w:rsid w:val="001D2243"/>
    <w:rsid w:val="001D2EE1"/>
    <w:rsid w:val="001D34AB"/>
    <w:rsid w:val="001D382C"/>
    <w:rsid w:val="001D3B97"/>
    <w:rsid w:val="001D3EF5"/>
    <w:rsid w:val="001D3F92"/>
    <w:rsid w:val="001D4171"/>
    <w:rsid w:val="001D4375"/>
    <w:rsid w:val="001D45E7"/>
    <w:rsid w:val="001D4980"/>
    <w:rsid w:val="001D513E"/>
    <w:rsid w:val="001D5B7F"/>
    <w:rsid w:val="001D6042"/>
    <w:rsid w:val="001D6349"/>
    <w:rsid w:val="001D659D"/>
    <w:rsid w:val="001D65A7"/>
    <w:rsid w:val="001D6B26"/>
    <w:rsid w:val="001D6DCF"/>
    <w:rsid w:val="001D72C3"/>
    <w:rsid w:val="001D75C9"/>
    <w:rsid w:val="001D762E"/>
    <w:rsid w:val="001D7822"/>
    <w:rsid w:val="001D7A14"/>
    <w:rsid w:val="001D7AE4"/>
    <w:rsid w:val="001D7BEC"/>
    <w:rsid w:val="001D7DEA"/>
    <w:rsid w:val="001E0510"/>
    <w:rsid w:val="001E077F"/>
    <w:rsid w:val="001E09BD"/>
    <w:rsid w:val="001E1504"/>
    <w:rsid w:val="001E16CB"/>
    <w:rsid w:val="001E1AC6"/>
    <w:rsid w:val="001E246A"/>
    <w:rsid w:val="001E25CB"/>
    <w:rsid w:val="001E289A"/>
    <w:rsid w:val="001E2BF6"/>
    <w:rsid w:val="001E2C69"/>
    <w:rsid w:val="001E2D37"/>
    <w:rsid w:val="001E300B"/>
    <w:rsid w:val="001E3056"/>
    <w:rsid w:val="001E3566"/>
    <w:rsid w:val="001E36D5"/>
    <w:rsid w:val="001E3AAE"/>
    <w:rsid w:val="001E3DD5"/>
    <w:rsid w:val="001E3FE6"/>
    <w:rsid w:val="001E426A"/>
    <w:rsid w:val="001E42FB"/>
    <w:rsid w:val="001E46B9"/>
    <w:rsid w:val="001E4762"/>
    <w:rsid w:val="001E4B3E"/>
    <w:rsid w:val="001E4B9A"/>
    <w:rsid w:val="001E4C04"/>
    <w:rsid w:val="001E52B9"/>
    <w:rsid w:val="001E5936"/>
    <w:rsid w:val="001E598F"/>
    <w:rsid w:val="001E5BDD"/>
    <w:rsid w:val="001E5DE3"/>
    <w:rsid w:val="001E5F87"/>
    <w:rsid w:val="001E63FD"/>
    <w:rsid w:val="001E64D4"/>
    <w:rsid w:val="001E6563"/>
    <w:rsid w:val="001E65E4"/>
    <w:rsid w:val="001E6746"/>
    <w:rsid w:val="001E71BE"/>
    <w:rsid w:val="001E7653"/>
    <w:rsid w:val="001E7771"/>
    <w:rsid w:val="001E7932"/>
    <w:rsid w:val="001E7ADB"/>
    <w:rsid w:val="001E7C0E"/>
    <w:rsid w:val="001E7D6B"/>
    <w:rsid w:val="001F012B"/>
    <w:rsid w:val="001F0198"/>
    <w:rsid w:val="001F049B"/>
    <w:rsid w:val="001F0611"/>
    <w:rsid w:val="001F07D7"/>
    <w:rsid w:val="001F09C4"/>
    <w:rsid w:val="001F0B54"/>
    <w:rsid w:val="001F1361"/>
    <w:rsid w:val="001F1531"/>
    <w:rsid w:val="001F1625"/>
    <w:rsid w:val="001F16F8"/>
    <w:rsid w:val="001F17F8"/>
    <w:rsid w:val="001F1861"/>
    <w:rsid w:val="001F1997"/>
    <w:rsid w:val="001F1D35"/>
    <w:rsid w:val="001F1D6A"/>
    <w:rsid w:val="001F1EE4"/>
    <w:rsid w:val="001F1FBA"/>
    <w:rsid w:val="001F2230"/>
    <w:rsid w:val="001F2396"/>
    <w:rsid w:val="001F254B"/>
    <w:rsid w:val="001F2819"/>
    <w:rsid w:val="001F28C2"/>
    <w:rsid w:val="001F2A86"/>
    <w:rsid w:val="001F2C00"/>
    <w:rsid w:val="001F2C32"/>
    <w:rsid w:val="001F2D6A"/>
    <w:rsid w:val="001F2FE2"/>
    <w:rsid w:val="001F338E"/>
    <w:rsid w:val="001F3403"/>
    <w:rsid w:val="001F345B"/>
    <w:rsid w:val="001F3B43"/>
    <w:rsid w:val="001F3CFA"/>
    <w:rsid w:val="001F3DF9"/>
    <w:rsid w:val="001F3F0A"/>
    <w:rsid w:val="001F3F6F"/>
    <w:rsid w:val="001F44E5"/>
    <w:rsid w:val="001F44E8"/>
    <w:rsid w:val="001F471B"/>
    <w:rsid w:val="001F4848"/>
    <w:rsid w:val="001F4AB4"/>
    <w:rsid w:val="001F4D44"/>
    <w:rsid w:val="001F51E4"/>
    <w:rsid w:val="001F5799"/>
    <w:rsid w:val="001F5B02"/>
    <w:rsid w:val="001F5C21"/>
    <w:rsid w:val="001F5C22"/>
    <w:rsid w:val="001F5C68"/>
    <w:rsid w:val="001F5E32"/>
    <w:rsid w:val="001F62E4"/>
    <w:rsid w:val="001F6DEE"/>
    <w:rsid w:val="001F70AB"/>
    <w:rsid w:val="001F7175"/>
    <w:rsid w:val="001F7967"/>
    <w:rsid w:val="001F7F8C"/>
    <w:rsid w:val="00200204"/>
    <w:rsid w:val="00200234"/>
    <w:rsid w:val="00200819"/>
    <w:rsid w:val="00200919"/>
    <w:rsid w:val="00200A1F"/>
    <w:rsid w:val="00200EDC"/>
    <w:rsid w:val="00200FC4"/>
    <w:rsid w:val="00201483"/>
    <w:rsid w:val="0020161B"/>
    <w:rsid w:val="00201767"/>
    <w:rsid w:val="00201DAF"/>
    <w:rsid w:val="00201DE2"/>
    <w:rsid w:val="00201E98"/>
    <w:rsid w:val="00201EEF"/>
    <w:rsid w:val="0020203A"/>
    <w:rsid w:val="002024AA"/>
    <w:rsid w:val="0020257A"/>
    <w:rsid w:val="00202618"/>
    <w:rsid w:val="00202ABF"/>
    <w:rsid w:val="00202AE4"/>
    <w:rsid w:val="00202C22"/>
    <w:rsid w:val="00202D72"/>
    <w:rsid w:val="00203062"/>
    <w:rsid w:val="002030F1"/>
    <w:rsid w:val="0020337B"/>
    <w:rsid w:val="00203539"/>
    <w:rsid w:val="0020359D"/>
    <w:rsid w:val="00203909"/>
    <w:rsid w:val="00203ABB"/>
    <w:rsid w:val="00203C31"/>
    <w:rsid w:val="00203F0B"/>
    <w:rsid w:val="00204056"/>
    <w:rsid w:val="00204318"/>
    <w:rsid w:val="00204A3D"/>
    <w:rsid w:val="00204B3B"/>
    <w:rsid w:val="00204F26"/>
    <w:rsid w:val="00205405"/>
    <w:rsid w:val="00205475"/>
    <w:rsid w:val="00205A40"/>
    <w:rsid w:val="00206027"/>
    <w:rsid w:val="00206516"/>
    <w:rsid w:val="00206D94"/>
    <w:rsid w:val="002071C7"/>
    <w:rsid w:val="002073C0"/>
    <w:rsid w:val="00207481"/>
    <w:rsid w:val="002074D1"/>
    <w:rsid w:val="00207615"/>
    <w:rsid w:val="00207AD7"/>
    <w:rsid w:val="00207B11"/>
    <w:rsid w:val="00207D84"/>
    <w:rsid w:val="0021012A"/>
    <w:rsid w:val="0021019A"/>
    <w:rsid w:val="002101EB"/>
    <w:rsid w:val="00210395"/>
    <w:rsid w:val="002104C9"/>
    <w:rsid w:val="00210502"/>
    <w:rsid w:val="002105C8"/>
    <w:rsid w:val="00210B55"/>
    <w:rsid w:val="00210C0E"/>
    <w:rsid w:val="00210C42"/>
    <w:rsid w:val="002110E2"/>
    <w:rsid w:val="0021182D"/>
    <w:rsid w:val="00211D13"/>
    <w:rsid w:val="00212451"/>
    <w:rsid w:val="0021277D"/>
    <w:rsid w:val="0021280A"/>
    <w:rsid w:val="002129C6"/>
    <w:rsid w:val="002130E9"/>
    <w:rsid w:val="002131EF"/>
    <w:rsid w:val="002133CD"/>
    <w:rsid w:val="00213611"/>
    <w:rsid w:val="00213732"/>
    <w:rsid w:val="00213870"/>
    <w:rsid w:val="00213DAF"/>
    <w:rsid w:val="00214112"/>
    <w:rsid w:val="0021434F"/>
    <w:rsid w:val="00214615"/>
    <w:rsid w:val="00214C46"/>
    <w:rsid w:val="00215038"/>
    <w:rsid w:val="00215522"/>
    <w:rsid w:val="00215658"/>
    <w:rsid w:val="00215873"/>
    <w:rsid w:val="00215C97"/>
    <w:rsid w:val="00215FE2"/>
    <w:rsid w:val="00216003"/>
    <w:rsid w:val="00216232"/>
    <w:rsid w:val="002163A3"/>
    <w:rsid w:val="002165D2"/>
    <w:rsid w:val="002167ED"/>
    <w:rsid w:val="00216802"/>
    <w:rsid w:val="0021680D"/>
    <w:rsid w:val="00216BB7"/>
    <w:rsid w:val="002172B6"/>
    <w:rsid w:val="00217346"/>
    <w:rsid w:val="00217A71"/>
    <w:rsid w:val="00217B03"/>
    <w:rsid w:val="00217EAB"/>
    <w:rsid w:val="00220070"/>
    <w:rsid w:val="0022067C"/>
    <w:rsid w:val="00220F81"/>
    <w:rsid w:val="00220FD1"/>
    <w:rsid w:val="002213B4"/>
    <w:rsid w:val="002218A8"/>
    <w:rsid w:val="00221DA2"/>
    <w:rsid w:val="002222AC"/>
    <w:rsid w:val="002224B9"/>
    <w:rsid w:val="002226AD"/>
    <w:rsid w:val="00222971"/>
    <w:rsid w:val="00222981"/>
    <w:rsid w:val="00222A40"/>
    <w:rsid w:val="00222B50"/>
    <w:rsid w:val="00222D9F"/>
    <w:rsid w:val="00222F60"/>
    <w:rsid w:val="00223054"/>
    <w:rsid w:val="00223352"/>
    <w:rsid w:val="0022338C"/>
    <w:rsid w:val="002233C5"/>
    <w:rsid w:val="00223414"/>
    <w:rsid w:val="0022376E"/>
    <w:rsid w:val="002238AC"/>
    <w:rsid w:val="002238CB"/>
    <w:rsid w:val="00223A07"/>
    <w:rsid w:val="00223D76"/>
    <w:rsid w:val="00223F7A"/>
    <w:rsid w:val="0022403A"/>
    <w:rsid w:val="00224204"/>
    <w:rsid w:val="0022469A"/>
    <w:rsid w:val="002248E3"/>
    <w:rsid w:val="0022498C"/>
    <w:rsid w:val="00224BF6"/>
    <w:rsid w:val="00224CFE"/>
    <w:rsid w:val="002252BA"/>
    <w:rsid w:val="00225381"/>
    <w:rsid w:val="0022597B"/>
    <w:rsid w:val="00225CF6"/>
    <w:rsid w:val="00225E6A"/>
    <w:rsid w:val="00226609"/>
    <w:rsid w:val="00226667"/>
    <w:rsid w:val="002269B2"/>
    <w:rsid w:val="00226B32"/>
    <w:rsid w:val="00226D37"/>
    <w:rsid w:val="00226E2A"/>
    <w:rsid w:val="00226F2F"/>
    <w:rsid w:val="0022701A"/>
    <w:rsid w:val="00227158"/>
    <w:rsid w:val="002275A6"/>
    <w:rsid w:val="002275CE"/>
    <w:rsid w:val="00227740"/>
    <w:rsid w:val="002278C3"/>
    <w:rsid w:val="002278E0"/>
    <w:rsid w:val="00227C7B"/>
    <w:rsid w:val="0023004E"/>
    <w:rsid w:val="002303F8"/>
    <w:rsid w:val="0023097D"/>
    <w:rsid w:val="00230996"/>
    <w:rsid w:val="00230E88"/>
    <w:rsid w:val="002311DC"/>
    <w:rsid w:val="0023162F"/>
    <w:rsid w:val="00231CD2"/>
    <w:rsid w:val="00231CDD"/>
    <w:rsid w:val="00231F02"/>
    <w:rsid w:val="0023225A"/>
    <w:rsid w:val="002322CB"/>
    <w:rsid w:val="002323A5"/>
    <w:rsid w:val="00232B96"/>
    <w:rsid w:val="00232FC2"/>
    <w:rsid w:val="00233024"/>
    <w:rsid w:val="002331E7"/>
    <w:rsid w:val="002338CF"/>
    <w:rsid w:val="00233A3A"/>
    <w:rsid w:val="00233B98"/>
    <w:rsid w:val="00233D09"/>
    <w:rsid w:val="002340FC"/>
    <w:rsid w:val="00234119"/>
    <w:rsid w:val="0023491D"/>
    <w:rsid w:val="00234B49"/>
    <w:rsid w:val="00234D4A"/>
    <w:rsid w:val="00234EAB"/>
    <w:rsid w:val="00235512"/>
    <w:rsid w:val="002356D5"/>
    <w:rsid w:val="00235F30"/>
    <w:rsid w:val="00235F89"/>
    <w:rsid w:val="0023613F"/>
    <w:rsid w:val="0023616D"/>
    <w:rsid w:val="002362A7"/>
    <w:rsid w:val="0023689B"/>
    <w:rsid w:val="00237535"/>
    <w:rsid w:val="002376DC"/>
    <w:rsid w:val="0023778D"/>
    <w:rsid w:val="00237AA5"/>
    <w:rsid w:val="00237B67"/>
    <w:rsid w:val="00237C97"/>
    <w:rsid w:val="00237E35"/>
    <w:rsid w:val="00237E8B"/>
    <w:rsid w:val="00237EB9"/>
    <w:rsid w:val="0024012B"/>
    <w:rsid w:val="00240896"/>
    <w:rsid w:val="00240BFD"/>
    <w:rsid w:val="00240DC4"/>
    <w:rsid w:val="00240F69"/>
    <w:rsid w:val="00240F79"/>
    <w:rsid w:val="00240F97"/>
    <w:rsid w:val="00240FF7"/>
    <w:rsid w:val="0024134E"/>
    <w:rsid w:val="00241571"/>
    <w:rsid w:val="00241971"/>
    <w:rsid w:val="002419CD"/>
    <w:rsid w:val="00241C0A"/>
    <w:rsid w:val="00241DE6"/>
    <w:rsid w:val="00241F23"/>
    <w:rsid w:val="00242193"/>
    <w:rsid w:val="002421C3"/>
    <w:rsid w:val="00242269"/>
    <w:rsid w:val="00242CDB"/>
    <w:rsid w:val="00242F2F"/>
    <w:rsid w:val="002430E7"/>
    <w:rsid w:val="002434A3"/>
    <w:rsid w:val="00243CC8"/>
    <w:rsid w:val="00243D4A"/>
    <w:rsid w:val="00243D53"/>
    <w:rsid w:val="00243EC4"/>
    <w:rsid w:val="002440B1"/>
    <w:rsid w:val="0024475D"/>
    <w:rsid w:val="002447D0"/>
    <w:rsid w:val="002447DE"/>
    <w:rsid w:val="00244B00"/>
    <w:rsid w:val="00244BB9"/>
    <w:rsid w:val="00244FD5"/>
    <w:rsid w:val="002453F1"/>
    <w:rsid w:val="0024588E"/>
    <w:rsid w:val="00245967"/>
    <w:rsid w:val="00245A79"/>
    <w:rsid w:val="00245B11"/>
    <w:rsid w:val="00245CE0"/>
    <w:rsid w:val="00245EED"/>
    <w:rsid w:val="00245F07"/>
    <w:rsid w:val="00246027"/>
    <w:rsid w:val="00246273"/>
    <w:rsid w:val="00246BD9"/>
    <w:rsid w:val="00246E4E"/>
    <w:rsid w:val="00246F4F"/>
    <w:rsid w:val="00247105"/>
    <w:rsid w:val="00247285"/>
    <w:rsid w:val="002473DB"/>
    <w:rsid w:val="0024776F"/>
    <w:rsid w:val="00247C07"/>
    <w:rsid w:val="00247C66"/>
    <w:rsid w:val="00250DA7"/>
    <w:rsid w:val="00250FD4"/>
    <w:rsid w:val="002512D3"/>
    <w:rsid w:val="002514D8"/>
    <w:rsid w:val="002519D7"/>
    <w:rsid w:val="00252699"/>
    <w:rsid w:val="0025291E"/>
    <w:rsid w:val="002530CB"/>
    <w:rsid w:val="002531B8"/>
    <w:rsid w:val="002534E9"/>
    <w:rsid w:val="00253BC5"/>
    <w:rsid w:val="00253EDB"/>
    <w:rsid w:val="00253F3F"/>
    <w:rsid w:val="00253FD2"/>
    <w:rsid w:val="0025416D"/>
    <w:rsid w:val="002541F2"/>
    <w:rsid w:val="0025424C"/>
    <w:rsid w:val="002546D6"/>
    <w:rsid w:val="002548D0"/>
    <w:rsid w:val="00254D65"/>
    <w:rsid w:val="00255703"/>
    <w:rsid w:val="00255B2A"/>
    <w:rsid w:val="00256012"/>
    <w:rsid w:val="002562DB"/>
    <w:rsid w:val="002563D8"/>
    <w:rsid w:val="00256726"/>
    <w:rsid w:val="002568ED"/>
    <w:rsid w:val="002573E3"/>
    <w:rsid w:val="00257544"/>
    <w:rsid w:val="0025762D"/>
    <w:rsid w:val="0025793D"/>
    <w:rsid w:val="00257A11"/>
    <w:rsid w:val="00257BAB"/>
    <w:rsid w:val="00257E57"/>
    <w:rsid w:val="0026017A"/>
    <w:rsid w:val="00260A44"/>
    <w:rsid w:val="00260CF8"/>
    <w:rsid w:val="00261408"/>
    <w:rsid w:val="002615A5"/>
    <w:rsid w:val="002615AB"/>
    <w:rsid w:val="002615F9"/>
    <w:rsid w:val="0026221D"/>
    <w:rsid w:val="00262241"/>
    <w:rsid w:val="00262448"/>
    <w:rsid w:val="002630ED"/>
    <w:rsid w:val="0026323B"/>
    <w:rsid w:val="002633C9"/>
    <w:rsid w:val="0026341C"/>
    <w:rsid w:val="0026377A"/>
    <w:rsid w:val="00263DCF"/>
    <w:rsid w:val="00263EDF"/>
    <w:rsid w:val="00263F65"/>
    <w:rsid w:val="00264029"/>
    <w:rsid w:val="002642A0"/>
    <w:rsid w:val="0026436B"/>
    <w:rsid w:val="0026436C"/>
    <w:rsid w:val="00264517"/>
    <w:rsid w:val="00264660"/>
    <w:rsid w:val="00264717"/>
    <w:rsid w:val="00264DD2"/>
    <w:rsid w:val="00264DEC"/>
    <w:rsid w:val="00264F4E"/>
    <w:rsid w:val="00264F57"/>
    <w:rsid w:val="00265079"/>
    <w:rsid w:val="002651F5"/>
    <w:rsid w:val="00265423"/>
    <w:rsid w:val="0026558E"/>
    <w:rsid w:val="002656D8"/>
    <w:rsid w:val="00265C6D"/>
    <w:rsid w:val="0026600C"/>
    <w:rsid w:val="0026647D"/>
    <w:rsid w:val="00266782"/>
    <w:rsid w:val="0026692A"/>
    <w:rsid w:val="00266B88"/>
    <w:rsid w:val="00266E92"/>
    <w:rsid w:val="002672B9"/>
    <w:rsid w:val="00267569"/>
    <w:rsid w:val="002678B3"/>
    <w:rsid w:val="00267D32"/>
    <w:rsid w:val="00270021"/>
    <w:rsid w:val="002700FB"/>
    <w:rsid w:val="0027077F"/>
    <w:rsid w:val="00270D5B"/>
    <w:rsid w:val="002710E8"/>
    <w:rsid w:val="00271131"/>
    <w:rsid w:val="00271149"/>
    <w:rsid w:val="002715CE"/>
    <w:rsid w:val="0027194C"/>
    <w:rsid w:val="00271B3C"/>
    <w:rsid w:val="00271B47"/>
    <w:rsid w:val="002721FB"/>
    <w:rsid w:val="002724D0"/>
    <w:rsid w:val="0027284B"/>
    <w:rsid w:val="0027305A"/>
    <w:rsid w:val="0027366A"/>
    <w:rsid w:val="00273AF9"/>
    <w:rsid w:val="00273D51"/>
    <w:rsid w:val="00273D7B"/>
    <w:rsid w:val="002740BE"/>
    <w:rsid w:val="00274630"/>
    <w:rsid w:val="002746F0"/>
    <w:rsid w:val="00274898"/>
    <w:rsid w:val="00274A02"/>
    <w:rsid w:val="00274B84"/>
    <w:rsid w:val="00274D41"/>
    <w:rsid w:val="00274D6C"/>
    <w:rsid w:val="0027549F"/>
    <w:rsid w:val="002754D6"/>
    <w:rsid w:val="00275599"/>
    <w:rsid w:val="002756DD"/>
    <w:rsid w:val="002759B5"/>
    <w:rsid w:val="00275C34"/>
    <w:rsid w:val="00275C64"/>
    <w:rsid w:val="00275C9C"/>
    <w:rsid w:val="00275CCD"/>
    <w:rsid w:val="00275EDA"/>
    <w:rsid w:val="00276101"/>
    <w:rsid w:val="002762E7"/>
    <w:rsid w:val="0027632A"/>
    <w:rsid w:val="00276397"/>
    <w:rsid w:val="0027662A"/>
    <w:rsid w:val="00276696"/>
    <w:rsid w:val="002770F3"/>
    <w:rsid w:val="00277A41"/>
    <w:rsid w:val="00277C5E"/>
    <w:rsid w:val="00277F2A"/>
    <w:rsid w:val="0028025B"/>
    <w:rsid w:val="002802FC"/>
    <w:rsid w:val="002803EA"/>
    <w:rsid w:val="0028046D"/>
    <w:rsid w:val="00280581"/>
    <w:rsid w:val="00280C33"/>
    <w:rsid w:val="0028135F"/>
    <w:rsid w:val="00281FC2"/>
    <w:rsid w:val="002829DA"/>
    <w:rsid w:val="00282C2A"/>
    <w:rsid w:val="00282E82"/>
    <w:rsid w:val="00282EE0"/>
    <w:rsid w:val="0028304D"/>
    <w:rsid w:val="002830F2"/>
    <w:rsid w:val="002830F9"/>
    <w:rsid w:val="00283128"/>
    <w:rsid w:val="002834C2"/>
    <w:rsid w:val="002837B1"/>
    <w:rsid w:val="00283F13"/>
    <w:rsid w:val="00283FEF"/>
    <w:rsid w:val="002840B4"/>
    <w:rsid w:val="0028429B"/>
    <w:rsid w:val="002843AA"/>
    <w:rsid w:val="002846E8"/>
    <w:rsid w:val="00284B6A"/>
    <w:rsid w:val="00284DAC"/>
    <w:rsid w:val="00284DEE"/>
    <w:rsid w:val="002853B3"/>
    <w:rsid w:val="002857D2"/>
    <w:rsid w:val="00285D69"/>
    <w:rsid w:val="00285FF5"/>
    <w:rsid w:val="0028632A"/>
    <w:rsid w:val="00286613"/>
    <w:rsid w:val="002867D5"/>
    <w:rsid w:val="0028720D"/>
    <w:rsid w:val="0028750F"/>
    <w:rsid w:val="002879A5"/>
    <w:rsid w:val="00287A39"/>
    <w:rsid w:val="00287DF1"/>
    <w:rsid w:val="00290073"/>
    <w:rsid w:val="00290A3A"/>
    <w:rsid w:val="00290B82"/>
    <w:rsid w:val="00290BFA"/>
    <w:rsid w:val="00290CFB"/>
    <w:rsid w:val="00290D86"/>
    <w:rsid w:val="00290D8A"/>
    <w:rsid w:val="00290F6D"/>
    <w:rsid w:val="0029103F"/>
    <w:rsid w:val="00291998"/>
    <w:rsid w:val="002919D6"/>
    <w:rsid w:val="00291E6C"/>
    <w:rsid w:val="00291ED8"/>
    <w:rsid w:val="00291F2D"/>
    <w:rsid w:val="00292034"/>
    <w:rsid w:val="0029229B"/>
    <w:rsid w:val="0029266A"/>
    <w:rsid w:val="00292A7F"/>
    <w:rsid w:val="00292E88"/>
    <w:rsid w:val="00292F0D"/>
    <w:rsid w:val="00292F40"/>
    <w:rsid w:val="00293670"/>
    <w:rsid w:val="00293A5D"/>
    <w:rsid w:val="0029401E"/>
    <w:rsid w:val="002941E2"/>
    <w:rsid w:val="002941E9"/>
    <w:rsid w:val="0029474F"/>
    <w:rsid w:val="00294B1A"/>
    <w:rsid w:val="0029504F"/>
    <w:rsid w:val="0029512F"/>
    <w:rsid w:val="0029553A"/>
    <w:rsid w:val="002957D4"/>
    <w:rsid w:val="00295985"/>
    <w:rsid w:val="00295D64"/>
    <w:rsid w:val="00295E25"/>
    <w:rsid w:val="00296490"/>
    <w:rsid w:val="002964FC"/>
    <w:rsid w:val="00296551"/>
    <w:rsid w:val="00296560"/>
    <w:rsid w:val="0029662D"/>
    <w:rsid w:val="00296B78"/>
    <w:rsid w:val="00296C58"/>
    <w:rsid w:val="00296DF8"/>
    <w:rsid w:val="00297242"/>
    <w:rsid w:val="00297343"/>
    <w:rsid w:val="002973BA"/>
    <w:rsid w:val="00297847"/>
    <w:rsid w:val="002978A7"/>
    <w:rsid w:val="0029792C"/>
    <w:rsid w:val="00297A1E"/>
    <w:rsid w:val="00297AF0"/>
    <w:rsid w:val="00297D6C"/>
    <w:rsid w:val="002A01C3"/>
    <w:rsid w:val="002A0A7E"/>
    <w:rsid w:val="002A0BC1"/>
    <w:rsid w:val="002A0E39"/>
    <w:rsid w:val="002A11F3"/>
    <w:rsid w:val="002A16DB"/>
    <w:rsid w:val="002A1B7B"/>
    <w:rsid w:val="002A1BC6"/>
    <w:rsid w:val="002A1D66"/>
    <w:rsid w:val="002A1E4D"/>
    <w:rsid w:val="002A2407"/>
    <w:rsid w:val="002A2634"/>
    <w:rsid w:val="002A3265"/>
    <w:rsid w:val="002A3520"/>
    <w:rsid w:val="002A3718"/>
    <w:rsid w:val="002A3858"/>
    <w:rsid w:val="002A3897"/>
    <w:rsid w:val="002A3957"/>
    <w:rsid w:val="002A3A7C"/>
    <w:rsid w:val="002A3CF0"/>
    <w:rsid w:val="002A3E55"/>
    <w:rsid w:val="002A43F0"/>
    <w:rsid w:val="002A4452"/>
    <w:rsid w:val="002A44A2"/>
    <w:rsid w:val="002A45F5"/>
    <w:rsid w:val="002A488B"/>
    <w:rsid w:val="002A4F35"/>
    <w:rsid w:val="002A4F80"/>
    <w:rsid w:val="002A4FE9"/>
    <w:rsid w:val="002A59CF"/>
    <w:rsid w:val="002A5DFF"/>
    <w:rsid w:val="002A5FDB"/>
    <w:rsid w:val="002A609F"/>
    <w:rsid w:val="002A65F3"/>
    <w:rsid w:val="002A6A67"/>
    <w:rsid w:val="002A6D9D"/>
    <w:rsid w:val="002A6F7F"/>
    <w:rsid w:val="002A7928"/>
    <w:rsid w:val="002A7A44"/>
    <w:rsid w:val="002A7F4A"/>
    <w:rsid w:val="002A7F87"/>
    <w:rsid w:val="002B0027"/>
    <w:rsid w:val="002B0040"/>
    <w:rsid w:val="002B051E"/>
    <w:rsid w:val="002B064E"/>
    <w:rsid w:val="002B084F"/>
    <w:rsid w:val="002B1042"/>
    <w:rsid w:val="002B1281"/>
    <w:rsid w:val="002B19AF"/>
    <w:rsid w:val="002B1B05"/>
    <w:rsid w:val="002B1C1F"/>
    <w:rsid w:val="002B1CE5"/>
    <w:rsid w:val="002B214C"/>
    <w:rsid w:val="002B2584"/>
    <w:rsid w:val="002B25C4"/>
    <w:rsid w:val="002B25E9"/>
    <w:rsid w:val="002B26CD"/>
    <w:rsid w:val="002B282E"/>
    <w:rsid w:val="002B2893"/>
    <w:rsid w:val="002B29BC"/>
    <w:rsid w:val="002B2A30"/>
    <w:rsid w:val="002B2E3A"/>
    <w:rsid w:val="002B333A"/>
    <w:rsid w:val="002B350A"/>
    <w:rsid w:val="002B36D7"/>
    <w:rsid w:val="002B37CB"/>
    <w:rsid w:val="002B3B3B"/>
    <w:rsid w:val="002B3B40"/>
    <w:rsid w:val="002B3BEE"/>
    <w:rsid w:val="002B41BD"/>
    <w:rsid w:val="002B4572"/>
    <w:rsid w:val="002B45E0"/>
    <w:rsid w:val="002B4668"/>
    <w:rsid w:val="002B4709"/>
    <w:rsid w:val="002B48BF"/>
    <w:rsid w:val="002B49BC"/>
    <w:rsid w:val="002B4A55"/>
    <w:rsid w:val="002B4C3F"/>
    <w:rsid w:val="002B4C46"/>
    <w:rsid w:val="002B518F"/>
    <w:rsid w:val="002B5330"/>
    <w:rsid w:val="002B5383"/>
    <w:rsid w:val="002B57C2"/>
    <w:rsid w:val="002B5E7E"/>
    <w:rsid w:val="002B5F9E"/>
    <w:rsid w:val="002B6193"/>
    <w:rsid w:val="002B61B0"/>
    <w:rsid w:val="002B64FE"/>
    <w:rsid w:val="002B656B"/>
    <w:rsid w:val="002B66D8"/>
    <w:rsid w:val="002B6AFE"/>
    <w:rsid w:val="002B6BEB"/>
    <w:rsid w:val="002B6F10"/>
    <w:rsid w:val="002B7120"/>
    <w:rsid w:val="002B71A7"/>
    <w:rsid w:val="002B747A"/>
    <w:rsid w:val="002B7489"/>
    <w:rsid w:val="002B7646"/>
    <w:rsid w:val="002B769A"/>
    <w:rsid w:val="002B774E"/>
    <w:rsid w:val="002B77F4"/>
    <w:rsid w:val="002B79AC"/>
    <w:rsid w:val="002B7F68"/>
    <w:rsid w:val="002B7FB3"/>
    <w:rsid w:val="002C004D"/>
    <w:rsid w:val="002C0481"/>
    <w:rsid w:val="002C0813"/>
    <w:rsid w:val="002C15C2"/>
    <w:rsid w:val="002C162B"/>
    <w:rsid w:val="002C17DE"/>
    <w:rsid w:val="002C1AA7"/>
    <w:rsid w:val="002C1B74"/>
    <w:rsid w:val="002C1EC9"/>
    <w:rsid w:val="002C1F7F"/>
    <w:rsid w:val="002C206D"/>
    <w:rsid w:val="002C211D"/>
    <w:rsid w:val="002C2457"/>
    <w:rsid w:val="002C2AA2"/>
    <w:rsid w:val="002C3257"/>
    <w:rsid w:val="002C33FD"/>
    <w:rsid w:val="002C3627"/>
    <w:rsid w:val="002C366A"/>
    <w:rsid w:val="002C371E"/>
    <w:rsid w:val="002C3876"/>
    <w:rsid w:val="002C387C"/>
    <w:rsid w:val="002C397E"/>
    <w:rsid w:val="002C39AB"/>
    <w:rsid w:val="002C3CD6"/>
    <w:rsid w:val="002C421A"/>
    <w:rsid w:val="002C426E"/>
    <w:rsid w:val="002C487A"/>
    <w:rsid w:val="002C4D27"/>
    <w:rsid w:val="002C4E8C"/>
    <w:rsid w:val="002C5423"/>
    <w:rsid w:val="002C5442"/>
    <w:rsid w:val="002C57C0"/>
    <w:rsid w:val="002C5B19"/>
    <w:rsid w:val="002C5D7D"/>
    <w:rsid w:val="002C5F57"/>
    <w:rsid w:val="002C61F8"/>
    <w:rsid w:val="002C6386"/>
    <w:rsid w:val="002C65EF"/>
    <w:rsid w:val="002C67EA"/>
    <w:rsid w:val="002C69D1"/>
    <w:rsid w:val="002C69FE"/>
    <w:rsid w:val="002C6C5A"/>
    <w:rsid w:val="002C703C"/>
    <w:rsid w:val="002C70F5"/>
    <w:rsid w:val="002C78AB"/>
    <w:rsid w:val="002C7FE4"/>
    <w:rsid w:val="002D01BB"/>
    <w:rsid w:val="002D073E"/>
    <w:rsid w:val="002D0AC6"/>
    <w:rsid w:val="002D123A"/>
    <w:rsid w:val="002D130D"/>
    <w:rsid w:val="002D1AF5"/>
    <w:rsid w:val="002D1B6D"/>
    <w:rsid w:val="002D1EB1"/>
    <w:rsid w:val="002D1EC6"/>
    <w:rsid w:val="002D2358"/>
    <w:rsid w:val="002D3049"/>
    <w:rsid w:val="002D3094"/>
    <w:rsid w:val="002D30B7"/>
    <w:rsid w:val="002D33A6"/>
    <w:rsid w:val="002D384B"/>
    <w:rsid w:val="002D41D2"/>
    <w:rsid w:val="002D450D"/>
    <w:rsid w:val="002D4626"/>
    <w:rsid w:val="002D4CB4"/>
    <w:rsid w:val="002D4E82"/>
    <w:rsid w:val="002D4F6B"/>
    <w:rsid w:val="002D5201"/>
    <w:rsid w:val="002D5500"/>
    <w:rsid w:val="002D571D"/>
    <w:rsid w:val="002D58FB"/>
    <w:rsid w:val="002D594C"/>
    <w:rsid w:val="002D5A00"/>
    <w:rsid w:val="002D5FD0"/>
    <w:rsid w:val="002D64F1"/>
    <w:rsid w:val="002D666E"/>
    <w:rsid w:val="002D6801"/>
    <w:rsid w:val="002D6A16"/>
    <w:rsid w:val="002D6B1D"/>
    <w:rsid w:val="002D6C08"/>
    <w:rsid w:val="002D6C4A"/>
    <w:rsid w:val="002D6C9A"/>
    <w:rsid w:val="002D6D65"/>
    <w:rsid w:val="002D6DA9"/>
    <w:rsid w:val="002D7040"/>
    <w:rsid w:val="002D70BC"/>
    <w:rsid w:val="002D741B"/>
    <w:rsid w:val="002D76C5"/>
    <w:rsid w:val="002D7ABA"/>
    <w:rsid w:val="002D7BBA"/>
    <w:rsid w:val="002D7CBB"/>
    <w:rsid w:val="002D7D68"/>
    <w:rsid w:val="002E00DD"/>
    <w:rsid w:val="002E0269"/>
    <w:rsid w:val="002E0818"/>
    <w:rsid w:val="002E08C8"/>
    <w:rsid w:val="002E09F8"/>
    <w:rsid w:val="002E0D3C"/>
    <w:rsid w:val="002E0F0B"/>
    <w:rsid w:val="002E0F37"/>
    <w:rsid w:val="002E0FF4"/>
    <w:rsid w:val="002E1047"/>
    <w:rsid w:val="002E12B9"/>
    <w:rsid w:val="002E15EC"/>
    <w:rsid w:val="002E17F8"/>
    <w:rsid w:val="002E1FE4"/>
    <w:rsid w:val="002E2056"/>
    <w:rsid w:val="002E24A4"/>
    <w:rsid w:val="002E27DD"/>
    <w:rsid w:val="002E2816"/>
    <w:rsid w:val="002E2923"/>
    <w:rsid w:val="002E2951"/>
    <w:rsid w:val="002E3108"/>
    <w:rsid w:val="002E32A0"/>
    <w:rsid w:val="002E3B9D"/>
    <w:rsid w:val="002E3C99"/>
    <w:rsid w:val="002E41F2"/>
    <w:rsid w:val="002E4699"/>
    <w:rsid w:val="002E46B9"/>
    <w:rsid w:val="002E47DF"/>
    <w:rsid w:val="002E4832"/>
    <w:rsid w:val="002E4CA0"/>
    <w:rsid w:val="002E503E"/>
    <w:rsid w:val="002E53E3"/>
    <w:rsid w:val="002E543D"/>
    <w:rsid w:val="002E5574"/>
    <w:rsid w:val="002E55D2"/>
    <w:rsid w:val="002E55DC"/>
    <w:rsid w:val="002E5C28"/>
    <w:rsid w:val="002E5E2C"/>
    <w:rsid w:val="002E5FE1"/>
    <w:rsid w:val="002E6058"/>
    <w:rsid w:val="002E614F"/>
    <w:rsid w:val="002E64B2"/>
    <w:rsid w:val="002E6650"/>
    <w:rsid w:val="002E6734"/>
    <w:rsid w:val="002E6E1B"/>
    <w:rsid w:val="002E6E98"/>
    <w:rsid w:val="002E6EF6"/>
    <w:rsid w:val="002E719C"/>
    <w:rsid w:val="002E734C"/>
    <w:rsid w:val="002E75DC"/>
    <w:rsid w:val="002E7B03"/>
    <w:rsid w:val="002E7CB6"/>
    <w:rsid w:val="002E7D17"/>
    <w:rsid w:val="002E7F93"/>
    <w:rsid w:val="002F01D5"/>
    <w:rsid w:val="002F068C"/>
    <w:rsid w:val="002F0A6B"/>
    <w:rsid w:val="002F0A7A"/>
    <w:rsid w:val="002F0F00"/>
    <w:rsid w:val="002F165C"/>
    <w:rsid w:val="002F1AB5"/>
    <w:rsid w:val="002F1B9B"/>
    <w:rsid w:val="002F1BAE"/>
    <w:rsid w:val="002F1C43"/>
    <w:rsid w:val="002F22F7"/>
    <w:rsid w:val="002F292A"/>
    <w:rsid w:val="002F2B96"/>
    <w:rsid w:val="002F2C0C"/>
    <w:rsid w:val="002F2E18"/>
    <w:rsid w:val="002F2F70"/>
    <w:rsid w:val="002F3018"/>
    <w:rsid w:val="002F3032"/>
    <w:rsid w:val="002F370D"/>
    <w:rsid w:val="002F3BB7"/>
    <w:rsid w:val="002F3D6E"/>
    <w:rsid w:val="002F4209"/>
    <w:rsid w:val="002F4383"/>
    <w:rsid w:val="002F45AA"/>
    <w:rsid w:val="002F4700"/>
    <w:rsid w:val="002F4AC1"/>
    <w:rsid w:val="002F4AD6"/>
    <w:rsid w:val="002F4D72"/>
    <w:rsid w:val="002F4DB3"/>
    <w:rsid w:val="002F501E"/>
    <w:rsid w:val="002F51D0"/>
    <w:rsid w:val="002F59C7"/>
    <w:rsid w:val="002F5B53"/>
    <w:rsid w:val="002F5BE3"/>
    <w:rsid w:val="002F5EFA"/>
    <w:rsid w:val="002F60CF"/>
    <w:rsid w:val="002F60FD"/>
    <w:rsid w:val="002F6117"/>
    <w:rsid w:val="002F6B6E"/>
    <w:rsid w:val="002F6C69"/>
    <w:rsid w:val="002F6E35"/>
    <w:rsid w:val="002F751A"/>
    <w:rsid w:val="002F7694"/>
    <w:rsid w:val="002F7E21"/>
    <w:rsid w:val="003005E3"/>
    <w:rsid w:val="00300AB5"/>
    <w:rsid w:val="00300BB9"/>
    <w:rsid w:val="003012E0"/>
    <w:rsid w:val="00301708"/>
    <w:rsid w:val="00301A06"/>
    <w:rsid w:val="00301AA9"/>
    <w:rsid w:val="00301AAE"/>
    <w:rsid w:val="00301F58"/>
    <w:rsid w:val="00302428"/>
    <w:rsid w:val="003028A9"/>
    <w:rsid w:val="003028CC"/>
    <w:rsid w:val="00302B56"/>
    <w:rsid w:val="00302E0C"/>
    <w:rsid w:val="003030DD"/>
    <w:rsid w:val="00303130"/>
    <w:rsid w:val="00303549"/>
    <w:rsid w:val="003039CE"/>
    <w:rsid w:val="00303B61"/>
    <w:rsid w:val="00303B98"/>
    <w:rsid w:val="00303ED3"/>
    <w:rsid w:val="00303F75"/>
    <w:rsid w:val="00303FAD"/>
    <w:rsid w:val="0030430F"/>
    <w:rsid w:val="0030445A"/>
    <w:rsid w:val="00304686"/>
    <w:rsid w:val="00304856"/>
    <w:rsid w:val="003048EB"/>
    <w:rsid w:val="00304BAE"/>
    <w:rsid w:val="00304E06"/>
    <w:rsid w:val="00304FDE"/>
    <w:rsid w:val="003056DF"/>
    <w:rsid w:val="00305A10"/>
    <w:rsid w:val="00305BFB"/>
    <w:rsid w:val="00305D2A"/>
    <w:rsid w:val="00306158"/>
    <w:rsid w:val="00306302"/>
    <w:rsid w:val="0030633A"/>
    <w:rsid w:val="00306543"/>
    <w:rsid w:val="00306925"/>
    <w:rsid w:val="00306AA8"/>
    <w:rsid w:val="00306C6D"/>
    <w:rsid w:val="00306ED6"/>
    <w:rsid w:val="0030713B"/>
    <w:rsid w:val="003073D0"/>
    <w:rsid w:val="003077F6"/>
    <w:rsid w:val="0030796E"/>
    <w:rsid w:val="003079F4"/>
    <w:rsid w:val="00310457"/>
    <w:rsid w:val="00310507"/>
    <w:rsid w:val="003105BA"/>
    <w:rsid w:val="0031071D"/>
    <w:rsid w:val="00310AFD"/>
    <w:rsid w:val="0031118A"/>
    <w:rsid w:val="00311444"/>
    <w:rsid w:val="00311759"/>
    <w:rsid w:val="00311824"/>
    <w:rsid w:val="00311EC2"/>
    <w:rsid w:val="00311F7F"/>
    <w:rsid w:val="003121C0"/>
    <w:rsid w:val="00312620"/>
    <w:rsid w:val="00312663"/>
    <w:rsid w:val="00312BE8"/>
    <w:rsid w:val="00312C39"/>
    <w:rsid w:val="00312DCF"/>
    <w:rsid w:val="0031301E"/>
    <w:rsid w:val="00313216"/>
    <w:rsid w:val="0031348B"/>
    <w:rsid w:val="003136B2"/>
    <w:rsid w:val="003137D5"/>
    <w:rsid w:val="00313875"/>
    <w:rsid w:val="00313894"/>
    <w:rsid w:val="00313ACF"/>
    <w:rsid w:val="00313C16"/>
    <w:rsid w:val="00314148"/>
    <w:rsid w:val="003142C9"/>
    <w:rsid w:val="00314562"/>
    <w:rsid w:val="00314712"/>
    <w:rsid w:val="00314969"/>
    <w:rsid w:val="00314DEE"/>
    <w:rsid w:val="00314FA2"/>
    <w:rsid w:val="003153D2"/>
    <w:rsid w:val="003158E6"/>
    <w:rsid w:val="00315CA3"/>
    <w:rsid w:val="00316296"/>
    <w:rsid w:val="0031680D"/>
    <w:rsid w:val="00316C0B"/>
    <w:rsid w:val="00316E8E"/>
    <w:rsid w:val="00317014"/>
    <w:rsid w:val="0031710B"/>
    <w:rsid w:val="003176E3"/>
    <w:rsid w:val="00317B9F"/>
    <w:rsid w:val="003207CA"/>
    <w:rsid w:val="00320E03"/>
    <w:rsid w:val="0032110C"/>
    <w:rsid w:val="003215E3"/>
    <w:rsid w:val="0032172E"/>
    <w:rsid w:val="00321802"/>
    <w:rsid w:val="0032192D"/>
    <w:rsid w:val="003219AD"/>
    <w:rsid w:val="00321E58"/>
    <w:rsid w:val="00321FBF"/>
    <w:rsid w:val="0032232A"/>
    <w:rsid w:val="00322542"/>
    <w:rsid w:val="00322558"/>
    <w:rsid w:val="0032276C"/>
    <w:rsid w:val="0032286C"/>
    <w:rsid w:val="00322A33"/>
    <w:rsid w:val="00322A4A"/>
    <w:rsid w:val="00322AD5"/>
    <w:rsid w:val="00322AFF"/>
    <w:rsid w:val="00322C80"/>
    <w:rsid w:val="00322D3C"/>
    <w:rsid w:val="00323333"/>
    <w:rsid w:val="0032350C"/>
    <w:rsid w:val="003239C5"/>
    <w:rsid w:val="00323A3F"/>
    <w:rsid w:val="00323B8B"/>
    <w:rsid w:val="00323E76"/>
    <w:rsid w:val="003240CB"/>
    <w:rsid w:val="0032463D"/>
    <w:rsid w:val="00324866"/>
    <w:rsid w:val="00325843"/>
    <w:rsid w:val="00325D0E"/>
    <w:rsid w:val="003260B0"/>
    <w:rsid w:val="00326426"/>
    <w:rsid w:val="00326A3C"/>
    <w:rsid w:val="003274A0"/>
    <w:rsid w:val="00327A68"/>
    <w:rsid w:val="00327A79"/>
    <w:rsid w:val="00327DD5"/>
    <w:rsid w:val="0033008B"/>
    <w:rsid w:val="00330461"/>
    <w:rsid w:val="0033052D"/>
    <w:rsid w:val="00330831"/>
    <w:rsid w:val="00330962"/>
    <w:rsid w:val="00330E07"/>
    <w:rsid w:val="00331107"/>
    <w:rsid w:val="0033122F"/>
    <w:rsid w:val="00331519"/>
    <w:rsid w:val="0033177C"/>
    <w:rsid w:val="003318C8"/>
    <w:rsid w:val="00331A93"/>
    <w:rsid w:val="00331ECA"/>
    <w:rsid w:val="003324EF"/>
    <w:rsid w:val="00332B11"/>
    <w:rsid w:val="00332BC1"/>
    <w:rsid w:val="0033309C"/>
    <w:rsid w:val="00333455"/>
    <w:rsid w:val="00333891"/>
    <w:rsid w:val="003338FA"/>
    <w:rsid w:val="00333971"/>
    <w:rsid w:val="00333A61"/>
    <w:rsid w:val="00333BFD"/>
    <w:rsid w:val="00333D78"/>
    <w:rsid w:val="00333E8B"/>
    <w:rsid w:val="00333EBE"/>
    <w:rsid w:val="003341D7"/>
    <w:rsid w:val="0033430A"/>
    <w:rsid w:val="0033457E"/>
    <w:rsid w:val="00334A79"/>
    <w:rsid w:val="00334B3D"/>
    <w:rsid w:val="00334D04"/>
    <w:rsid w:val="0033595D"/>
    <w:rsid w:val="00335D67"/>
    <w:rsid w:val="0033649F"/>
    <w:rsid w:val="00336507"/>
    <w:rsid w:val="0033666E"/>
    <w:rsid w:val="00336A8D"/>
    <w:rsid w:val="00336ABB"/>
    <w:rsid w:val="00336C1C"/>
    <w:rsid w:val="00336C90"/>
    <w:rsid w:val="00336D4C"/>
    <w:rsid w:val="0033795F"/>
    <w:rsid w:val="00337A06"/>
    <w:rsid w:val="00337DBC"/>
    <w:rsid w:val="00340018"/>
    <w:rsid w:val="00340386"/>
    <w:rsid w:val="003403CD"/>
    <w:rsid w:val="0034060C"/>
    <w:rsid w:val="0034075A"/>
    <w:rsid w:val="00340B5D"/>
    <w:rsid w:val="0034175F"/>
    <w:rsid w:val="00341810"/>
    <w:rsid w:val="00341934"/>
    <w:rsid w:val="00341E15"/>
    <w:rsid w:val="00342554"/>
    <w:rsid w:val="00342808"/>
    <w:rsid w:val="00342821"/>
    <w:rsid w:val="00342848"/>
    <w:rsid w:val="00342C2D"/>
    <w:rsid w:val="00342D85"/>
    <w:rsid w:val="00342FAB"/>
    <w:rsid w:val="00343352"/>
    <w:rsid w:val="0034361B"/>
    <w:rsid w:val="00343789"/>
    <w:rsid w:val="00343872"/>
    <w:rsid w:val="003439F1"/>
    <w:rsid w:val="00343BDD"/>
    <w:rsid w:val="00343C2D"/>
    <w:rsid w:val="00343CE5"/>
    <w:rsid w:val="00343D64"/>
    <w:rsid w:val="0034465B"/>
    <w:rsid w:val="003446AD"/>
    <w:rsid w:val="00344B96"/>
    <w:rsid w:val="00345008"/>
    <w:rsid w:val="00345085"/>
    <w:rsid w:val="0034528B"/>
    <w:rsid w:val="003453C2"/>
    <w:rsid w:val="00345878"/>
    <w:rsid w:val="00345CB0"/>
    <w:rsid w:val="00345CD1"/>
    <w:rsid w:val="00345EE2"/>
    <w:rsid w:val="00345F70"/>
    <w:rsid w:val="00345FCA"/>
    <w:rsid w:val="00346065"/>
    <w:rsid w:val="00346239"/>
    <w:rsid w:val="0034623E"/>
    <w:rsid w:val="00346733"/>
    <w:rsid w:val="00346B75"/>
    <w:rsid w:val="00346CAE"/>
    <w:rsid w:val="00346DA6"/>
    <w:rsid w:val="0034733E"/>
    <w:rsid w:val="0034768A"/>
    <w:rsid w:val="00347702"/>
    <w:rsid w:val="0034799F"/>
    <w:rsid w:val="00347AF1"/>
    <w:rsid w:val="00347B59"/>
    <w:rsid w:val="00347B81"/>
    <w:rsid w:val="00347E9A"/>
    <w:rsid w:val="00350163"/>
    <w:rsid w:val="0035036C"/>
    <w:rsid w:val="00350577"/>
    <w:rsid w:val="003509D9"/>
    <w:rsid w:val="00350FFA"/>
    <w:rsid w:val="00351160"/>
    <w:rsid w:val="0035134C"/>
    <w:rsid w:val="003518D9"/>
    <w:rsid w:val="00351DE1"/>
    <w:rsid w:val="003520C1"/>
    <w:rsid w:val="003520C7"/>
    <w:rsid w:val="003520CF"/>
    <w:rsid w:val="00352466"/>
    <w:rsid w:val="00352486"/>
    <w:rsid w:val="0035288F"/>
    <w:rsid w:val="00352A19"/>
    <w:rsid w:val="00352F19"/>
    <w:rsid w:val="003532D6"/>
    <w:rsid w:val="00353920"/>
    <w:rsid w:val="00353BCA"/>
    <w:rsid w:val="00353C4D"/>
    <w:rsid w:val="00353C99"/>
    <w:rsid w:val="003545B2"/>
    <w:rsid w:val="0035469C"/>
    <w:rsid w:val="00354AEA"/>
    <w:rsid w:val="00354B18"/>
    <w:rsid w:val="00354F46"/>
    <w:rsid w:val="00354F58"/>
    <w:rsid w:val="00355066"/>
    <w:rsid w:val="003553D6"/>
    <w:rsid w:val="00355546"/>
    <w:rsid w:val="003555E8"/>
    <w:rsid w:val="0035563A"/>
    <w:rsid w:val="00355D9E"/>
    <w:rsid w:val="00355E7B"/>
    <w:rsid w:val="00355F0D"/>
    <w:rsid w:val="00356128"/>
    <w:rsid w:val="0035615E"/>
    <w:rsid w:val="00356184"/>
    <w:rsid w:val="003561AD"/>
    <w:rsid w:val="0035677C"/>
    <w:rsid w:val="00356973"/>
    <w:rsid w:val="003569B9"/>
    <w:rsid w:val="003569D4"/>
    <w:rsid w:val="00356E7D"/>
    <w:rsid w:val="00356FA9"/>
    <w:rsid w:val="00357742"/>
    <w:rsid w:val="003601D2"/>
    <w:rsid w:val="00360369"/>
    <w:rsid w:val="003603CA"/>
    <w:rsid w:val="003603CC"/>
    <w:rsid w:val="00360602"/>
    <w:rsid w:val="003606E8"/>
    <w:rsid w:val="0036131E"/>
    <w:rsid w:val="00361570"/>
    <w:rsid w:val="0036178E"/>
    <w:rsid w:val="003617A8"/>
    <w:rsid w:val="00361F38"/>
    <w:rsid w:val="00361FD4"/>
    <w:rsid w:val="003623F6"/>
    <w:rsid w:val="00362425"/>
    <w:rsid w:val="003625DD"/>
    <w:rsid w:val="0036260C"/>
    <w:rsid w:val="00362971"/>
    <w:rsid w:val="0036311A"/>
    <w:rsid w:val="00363556"/>
    <w:rsid w:val="0036393A"/>
    <w:rsid w:val="003639D6"/>
    <w:rsid w:val="00363C23"/>
    <w:rsid w:val="00364360"/>
    <w:rsid w:val="00364437"/>
    <w:rsid w:val="00364907"/>
    <w:rsid w:val="003653F1"/>
    <w:rsid w:val="00365423"/>
    <w:rsid w:val="00365659"/>
    <w:rsid w:val="0036594C"/>
    <w:rsid w:val="00365EE1"/>
    <w:rsid w:val="00365F12"/>
    <w:rsid w:val="0036630B"/>
    <w:rsid w:val="00366425"/>
    <w:rsid w:val="00366568"/>
    <w:rsid w:val="00366BF2"/>
    <w:rsid w:val="00367671"/>
    <w:rsid w:val="00367682"/>
    <w:rsid w:val="00367975"/>
    <w:rsid w:val="003679C1"/>
    <w:rsid w:val="00367A33"/>
    <w:rsid w:val="00367D9D"/>
    <w:rsid w:val="003701A0"/>
    <w:rsid w:val="003701FA"/>
    <w:rsid w:val="0037032B"/>
    <w:rsid w:val="00370331"/>
    <w:rsid w:val="00370652"/>
    <w:rsid w:val="00370B1A"/>
    <w:rsid w:val="00370E97"/>
    <w:rsid w:val="00371345"/>
    <w:rsid w:val="0037162F"/>
    <w:rsid w:val="003719A2"/>
    <w:rsid w:val="003719E6"/>
    <w:rsid w:val="00371B33"/>
    <w:rsid w:val="00371BFF"/>
    <w:rsid w:val="00371CFD"/>
    <w:rsid w:val="0037204D"/>
    <w:rsid w:val="0037204F"/>
    <w:rsid w:val="00372138"/>
    <w:rsid w:val="00372179"/>
    <w:rsid w:val="0037255B"/>
    <w:rsid w:val="003725E6"/>
    <w:rsid w:val="0037276D"/>
    <w:rsid w:val="0037288E"/>
    <w:rsid w:val="003728DA"/>
    <w:rsid w:val="00372FC0"/>
    <w:rsid w:val="00373556"/>
    <w:rsid w:val="003736CB"/>
    <w:rsid w:val="00373827"/>
    <w:rsid w:val="0037382F"/>
    <w:rsid w:val="0037386B"/>
    <w:rsid w:val="00373899"/>
    <w:rsid w:val="00373922"/>
    <w:rsid w:val="00373E03"/>
    <w:rsid w:val="00373E9A"/>
    <w:rsid w:val="0037409F"/>
    <w:rsid w:val="003741BA"/>
    <w:rsid w:val="0037436F"/>
    <w:rsid w:val="00374379"/>
    <w:rsid w:val="00374A8E"/>
    <w:rsid w:val="00375510"/>
    <w:rsid w:val="003755C1"/>
    <w:rsid w:val="0037592D"/>
    <w:rsid w:val="003759FD"/>
    <w:rsid w:val="00375BAD"/>
    <w:rsid w:val="00375CBC"/>
    <w:rsid w:val="00375DC0"/>
    <w:rsid w:val="00375EDA"/>
    <w:rsid w:val="003760A2"/>
    <w:rsid w:val="00376323"/>
    <w:rsid w:val="003764AD"/>
    <w:rsid w:val="00376C34"/>
    <w:rsid w:val="00376CBA"/>
    <w:rsid w:val="00376E15"/>
    <w:rsid w:val="00376E89"/>
    <w:rsid w:val="00377119"/>
    <w:rsid w:val="003771AC"/>
    <w:rsid w:val="003771EA"/>
    <w:rsid w:val="003775B3"/>
    <w:rsid w:val="00377C34"/>
    <w:rsid w:val="0038056E"/>
    <w:rsid w:val="003807DD"/>
    <w:rsid w:val="003808B8"/>
    <w:rsid w:val="00380B37"/>
    <w:rsid w:val="00380B59"/>
    <w:rsid w:val="00380CEB"/>
    <w:rsid w:val="00380DE7"/>
    <w:rsid w:val="00380F10"/>
    <w:rsid w:val="003810FD"/>
    <w:rsid w:val="00381275"/>
    <w:rsid w:val="0038138B"/>
    <w:rsid w:val="00381528"/>
    <w:rsid w:val="0038187A"/>
    <w:rsid w:val="00381BB4"/>
    <w:rsid w:val="00381C2D"/>
    <w:rsid w:val="00381D03"/>
    <w:rsid w:val="003826CA"/>
    <w:rsid w:val="00382F07"/>
    <w:rsid w:val="00383252"/>
    <w:rsid w:val="003833CC"/>
    <w:rsid w:val="00383654"/>
    <w:rsid w:val="003839BC"/>
    <w:rsid w:val="003841E9"/>
    <w:rsid w:val="00384DC3"/>
    <w:rsid w:val="003850F2"/>
    <w:rsid w:val="00385157"/>
    <w:rsid w:val="00385168"/>
    <w:rsid w:val="00385198"/>
    <w:rsid w:val="003852D5"/>
    <w:rsid w:val="003859CF"/>
    <w:rsid w:val="00385AD9"/>
    <w:rsid w:val="00385B91"/>
    <w:rsid w:val="00385CCF"/>
    <w:rsid w:val="00385DE2"/>
    <w:rsid w:val="003862C9"/>
    <w:rsid w:val="00386783"/>
    <w:rsid w:val="003869CB"/>
    <w:rsid w:val="00386B65"/>
    <w:rsid w:val="00386DFE"/>
    <w:rsid w:val="003870D9"/>
    <w:rsid w:val="003872DE"/>
    <w:rsid w:val="0038754A"/>
    <w:rsid w:val="00387AA8"/>
    <w:rsid w:val="00387AF9"/>
    <w:rsid w:val="00387C15"/>
    <w:rsid w:val="00387DB3"/>
    <w:rsid w:val="00390539"/>
    <w:rsid w:val="003906DD"/>
    <w:rsid w:val="003909E5"/>
    <w:rsid w:val="00390BF5"/>
    <w:rsid w:val="00390D72"/>
    <w:rsid w:val="00390D7F"/>
    <w:rsid w:val="0039154E"/>
    <w:rsid w:val="0039163D"/>
    <w:rsid w:val="00391811"/>
    <w:rsid w:val="0039192B"/>
    <w:rsid w:val="00391950"/>
    <w:rsid w:val="00391D9D"/>
    <w:rsid w:val="00392303"/>
    <w:rsid w:val="00392690"/>
    <w:rsid w:val="00392CB2"/>
    <w:rsid w:val="00392F27"/>
    <w:rsid w:val="003936FF"/>
    <w:rsid w:val="003937D8"/>
    <w:rsid w:val="00393AC9"/>
    <w:rsid w:val="00393AFF"/>
    <w:rsid w:val="00393C16"/>
    <w:rsid w:val="00393C1F"/>
    <w:rsid w:val="00393C24"/>
    <w:rsid w:val="003942C5"/>
    <w:rsid w:val="003944FE"/>
    <w:rsid w:val="003945F8"/>
    <w:rsid w:val="00394861"/>
    <w:rsid w:val="00394AA1"/>
    <w:rsid w:val="00395012"/>
    <w:rsid w:val="0039518A"/>
    <w:rsid w:val="0039546E"/>
    <w:rsid w:val="003955BC"/>
    <w:rsid w:val="0039578F"/>
    <w:rsid w:val="003959E6"/>
    <w:rsid w:val="00395A88"/>
    <w:rsid w:val="00395F12"/>
    <w:rsid w:val="00396063"/>
    <w:rsid w:val="00396116"/>
    <w:rsid w:val="0039621B"/>
    <w:rsid w:val="00396850"/>
    <w:rsid w:val="0039772A"/>
    <w:rsid w:val="00397A08"/>
    <w:rsid w:val="00397BD3"/>
    <w:rsid w:val="00397C2F"/>
    <w:rsid w:val="00397DD9"/>
    <w:rsid w:val="00397E10"/>
    <w:rsid w:val="00397FD3"/>
    <w:rsid w:val="003A0201"/>
    <w:rsid w:val="003A0358"/>
    <w:rsid w:val="003A0648"/>
    <w:rsid w:val="003A0831"/>
    <w:rsid w:val="003A0ABA"/>
    <w:rsid w:val="003A0D0D"/>
    <w:rsid w:val="003A1064"/>
    <w:rsid w:val="003A1236"/>
    <w:rsid w:val="003A123E"/>
    <w:rsid w:val="003A1560"/>
    <w:rsid w:val="003A1567"/>
    <w:rsid w:val="003A1733"/>
    <w:rsid w:val="003A1864"/>
    <w:rsid w:val="003A19C9"/>
    <w:rsid w:val="003A1C9D"/>
    <w:rsid w:val="003A1F82"/>
    <w:rsid w:val="003A23B4"/>
    <w:rsid w:val="003A2609"/>
    <w:rsid w:val="003A281A"/>
    <w:rsid w:val="003A28CA"/>
    <w:rsid w:val="003A3194"/>
    <w:rsid w:val="003A3361"/>
    <w:rsid w:val="003A3CCA"/>
    <w:rsid w:val="003A3F42"/>
    <w:rsid w:val="003A4456"/>
    <w:rsid w:val="003A4489"/>
    <w:rsid w:val="003A4CE0"/>
    <w:rsid w:val="003A540C"/>
    <w:rsid w:val="003A543B"/>
    <w:rsid w:val="003A54A3"/>
    <w:rsid w:val="003A5531"/>
    <w:rsid w:val="003A5806"/>
    <w:rsid w:val="003A5927"/>
    <w:rsid w:val="003A59CF"/>
    <w:rsid w:val="003A62D3"/>
    <w:rsid w:val="003A6AC2"/>
    <w:rsid w:val="003A6B9B"/>
    <w:rsid w:val="003A6C22"/>
    <w:rsid w:val="003A6D5D"/>
    <w:rsid w:val="003A7056"/>
    <w:rsid w:val="003A70B8"/>
    <w:rsid w:val="003A722A"/>
    <w:rsid w:val="003A759A"/>
    <w:rsid w:val="003A7621"/>
    <w:rsid w:val="003A7645"/>
    <w:rsid w:val="003A779E"/>
    <w:rsid w:val="003A7DCF"/>
    <w:rsid w:val="003A7DD7"/>
    <w:rsid w:val="003B00FF"/>
    <w:rsid w:val="003B01AE"/>
    <w:rsid w:val="003B06E6"/>
    <w:rsid w:val="003B08F6"/>
    <w:rsid w:val="003B0A3B"/>
    <w:rsid w:val="003B0A60"/>
    <w:rsid w:val="003B0C10"/>
    <w:rsid w:val="003B0D39"/>
    <w:rsid w:val="003B10DE"/>
    <w:rsid w:val="003B1579"/>
    <w:rsid w:val="003B15C7"/>
    <w:rsid w:val="003B1795"/>
    <w:rsid w:val="003B1978"/>
    <w:rsid w:val="003B19B4"/>
    <w:rsid w:val="003B1B17"/>
    <w:rsid w:val="003B1B6F"/>
    <w:rsid w:val="003B238A"/>
    <w:rsid w:val="003B2540"/>
    <w:rsid w:val="003B2607"/>
    <w:rsid w:val="003B2864"/>
    <w:rsid w:val="003B2C25"/>
    <w:rsid w:val="003B2C42"/>
    <w:rsid w:val="003B2C5B"/>
    <w:rsid w:val="003B2DD6"/>
    <w:rsid w:val="003B2F63"/>
    <w:rsid w:val="003B2FFF"/>
    <w:rsid w:val="003B3003"/>
    <w:rsid w:val="003B36F4"/>
    <w:rsid w:val="003B38FB"/>
    <w:rsid w:val="003B3A04"/>
    <w:rsid w:val="003B3AD5"/>
    <w:rsid w:val="003B3E24"/>
    <w:rsid w:val="003B4299"/>
    <w:rsid w:val="003B4BE5"/>
    <w:rsid w:val="003B4CAE"/>
    <w:rsid w:val="003B4FF7"/>
    <w:rsid w:val="003B5017"/>
    <w:rsid w:val="003B535D"/>
    <w:rsid w:val="003B54FF"/>
    <w:rsid w:val="003B5806"/>
    <w:rsid w:val="003B58DC"/>
    <w:rsid w:val="003B5AF5"/>
    <w:rsid w:val="003B5D70"/>
    <w:rsid w:val="003B5D74"/>
    <w:rsid w:val="003B5F8F"/>
    <w:rsid w:val="003B60C4"/>
    <w:rsid w:val="003B6341"/>
    <w:rsid w:val="003B66E8"/>
    <w:rsid w:val="003B67AD"/>
    <w:rsid w:val="003B69AA"/>
    <w:rsid w:val="003B6B80"/>
    <w:rsid w:val="003C0198"/>
    <w:rsid w:val="003C02FF"/>
    <w:rsid w:val="003C0496"/>
    <w:rsid w:val="003C05CF"/>
    <w:rsid w:val="003C0699"/>
    <w:rsid w:val="003C09BD"/>
    <w:rsid w:val="003C09CB"/>
    <w:rsid w:val="003C11FD"/>
    <w:rsid w:val="003C13CC"/>
    <w:rsid w:val="003C1700"/>
    <w:rsid w:val="003C1819"/>
    <w:rsid w:val="003C1B2E"/>
    <w:rsid w:val="003C1B60"/>
    <w:rsid w:val="003C1C65"/>
    <w:rsid w:val="003C1EB9"/>
    <w:rsid w:val="003C1F22"/>
    <w:rsid w:val="003C1F8D"/>
    <w:rsid w:val="003C2107"/>
    <w:rsid w:val="003C2246"/>
    <w:rsid w:val="003C24D3"/>
    <w:rsid w:val="003C252A"/>
    <w:rsid w:val="003C26DC"/>
    <w:rsid w:val="003C288F"/>
    <w:rsid w:val="003C2D6E"/>
    <w:rsid w:val="003C2DC9"/>
    <w:rsid w:val="003C2E41"/>
    <w:rsid w:val="003C3455"/>
    <w:rsid w:val="003C352D"/>
    <w:rsid w:val="003C3C9E"/>
    <w:rsid w:val="003C3FAC"/>
    <w:rsid w:val="003C41C3"/>
    <w:rsid w:val="003C41E9"/>
    <w:rsid w:val="003C4468"/>
    <w:rsid w:val="003C46AB"/>
    <w:rsid w:val="003C4AA0"/>
    <w:rsid w:val="003C579A"/>
    <w:rsid w:val="003C5A77"/>
    <w:rsid w:val="003C5EDD"/>
    <w:rsid w:val="003C5FB7"/>
    <w:rsid w:val="003C5FD8"/>
    <w:rsid w:val="003C60E7"/>
    <w:rsid w:val="003C619B"/>
    <w:rsid w:val="003C6447"/>
    <w:rsid w:val="003C67DF"/>
    <w:rsid w:val="003C6CCC"/>
    <w:rsid w:val="003C6CF9"/>
    <w:rsid w:val="003C6DF2"/>
    <w:rsid w:val="003C6DFD"/>
    <w:rsid w:val="003C6F01"/>
    <w:rsid w:val="003C6F62"/>
    <w:rsid w:val="003C7157"/>
    <w:rsid w:val="003C720D"/>
    <w:rsid w:val="003C73BB"/>
    <w:rsid w:val="003C73E6"/>
    <w:rsid w:val="003C74E4"/>
    <w:rsid w:val="003C763D"/>
    <w:rsid w:val="003C77C9"/>
    <w:rsid w:val="003C7805"/>
    <w:rsid w:val="003C7B9C"/>
    <w:rsid w:val="003C7BDC"/>
    <w:rsid w:val="003D0161"/>
    <w:rsid w:val="003D0205"/>
    <w:rsid w:val="003D046C"/>
    <w:rsid w:val="003D04B8"/>
    <w:rsid w:val="003D0EB1"/>
    <w:rsid w:val="003D1072"/>
    <w:rsid w:val="003D1379"/>
    <w:rsid w:val="003D16B2"/>
    <w:rsid w:val="003D1A92"/>
    <w:rsid w:val="003D1DBE"/>
    <w:rsid w:val="003D21A3"/>
    <w:rsid w:val="003D236A"/>
    <w:rsid w:val="003D271B"/>
    <w:rsid w:val="003D29CC"/>
    <w:rsid w:val="003D2E96"/>
    <w:rsid w:val="003D314B"/>
    <w:rsid w:val="003D3442"/>
    <w:rsid w:val="003D3817"/>
    <w:rsid w:val="003D3A31"/>
    <w:rsid w:val="003D3B36"/>
    <w:rsid w:val="003D3C0C"/>
    <w:rsid w:val="003D3D36"/>
    <w:rsid w:val="003D3EF6"/>
    <w:rsid w:val="003D4185"/>
    <w:rsid w:val="003D41D7"/>
    <w:rsid w:val="003D46F8"/>
    <w:rsid w:val="003D4F9C"/>
    <w:rsid w:val="003D533E"/>
    <w:rsid w:val="003D571C"/>
    <w:rsid w:val="003D5943"/>
    <w:rsid w:val="003D5990"/>
    <w:rsid w:val="003D5E7F"/>
    <w:rsid w:val="003D5E9E"/>
    <w:rsid w:val="003D5EFB"/>
    <w:rsid w:val="003D5F40"/>
    <w:rsid w:val="003D66FE"/>
    <w:rsid w:val="003D671E"/>
    <w:rsid w:val="003D6758"/>
    <w:rsid w:val="003D6CD3"/>
    <w:rsid w:val="003D6FFC"/>
    <w:rsid w:val="003D713F"/>
    <w:rsid w:val="003D7157"/>
    <w:rsid w:val="003D72A2"/>
    <w:rsid w:val="003D7D20"/>
    <w:rsid w:val="003E0114"/>
    <w:rsid w:val="003E016E"/>
    <w:rsid w:val="003E03FD"/>
    <w:rsid w:val="003E0A9D"/>
    <w:rsid w:val="003E0BEE"/>
    <w:rsid w:val="003E0BEF"/>
    <w:rsid w:val="003E0E2B"/>
    <w:rsid w:val="003E12D7"/>
    <w:rsid w:val="003E1369"/>
    <w:rsid w:val="003E14B6"/>
    <w:rsid w:val="003E16FE"/>
    <w:rsid w:val="003E1832"/>
    <w:rsid w:val="003E1B04"/>
    <w:rsid w:val="003E1D2D"/>
    <w:rsid w:val="003E1F75"/>
    <w:rsid w:val="003E28D3"/>
    <w:rsid w:val="003E28F4"/>
    <w:rsid w:val="003E2D2C"/>
    <w:rsid w:val="003E2E11"/>
    <w:rsid w:val="003E3468"/>
    <w:rsid w:val="003E36D4"/>
    <w:rsid w:val="003E3FEA"/>
    <w:rsid w:val="003E400D"/>
    <w:rsid w:val="003E48FE"/>
    <w:rsid w:val="003E495F"/>
    <w:rsid w:val="003E507D"/>
    <w:rsid w:val="003E5346"/>
    <w:rsid w:val="003E53B1"/>
    <w:rsid w:val="003E559F"/>
    <w:rsid w:val="003E55C0"/>
    <w:rsid w:val="003E57D7"/>
    <w:rsid w:val="003E5B5A"/>
    <w:rsid w:val="003E60A4"/>
    <w:rsid w:val="003E613C"/>
    <w:rsid w:val="003E61E2"/>
    <w:rsid w:val="003E64E4"/>
    <w:rsid w:val="003E674D"/>
    <w:rsid w:val="003E6875"/>
    <w:rsid w:val="003E688B"/>
    <w:rsid w:val="003E6F3F"/>
    <w:rsid w:val="003E704A"/>
    <w:rsid w:val="003E70D7"/>
    <w:rsid w:val="003E70E9"/>
    <w:rsid w:val="003E72AF"/>
    <w:rsid w:val="003E73F4"/>
    <w:rsid w:val="003E7452"/>
    <w:rsid w:val="003E7EE5"/>
    <w:rsid w:val="003F0143"/>
    <w:rsid w:val="003F018F"/>
    <w:rsid w:val="003F01F5"/>
    <w:rsid w:val="003F0482"/>
    <w:rsid w:val="003F0B90"/>
    <w:rsid w:val="003F0DA1"/>
    <w:rsid w:val="003F1298"/>
    <w:rsid w:val="003F1308"/>
    <w:rsid w:val="003F1335"/>
    <w:rsid w:val="003F16A4"/>
    <w:rsid w:val="003F1767"/>
    <w:rsid w:val="003F1A78"/>
    <w:rsid w:val="003F1C88"/>
    <w:rsid w:val="003F2039"/>
    <w:rsid w:val="003F262C"/>
    <w:rsid w:val="003F263D"/>
    <w:rsid w:val="003F279F"/>
    <w:rsid w:val="003F27F6"/>
    <w:rsid w:val="003F28E1"/>
    <w:rsid w:val="003F2A20"/>
    <w:rsid w:val="003F2E3D"/>
    <w:rsid w:val="003F2F1C"/>
    <w:rsid w:val="003F30A7"/>
    <w:rsid w:val="003F30AC"/>
    <w:rsid w:val="003F3380"/>
    <w:rsid w:val="003F3736"/>
    <w:rsid w:val="003F3811"/>
    <w:rsid w:val="003F39D6"/>
    <w:rsid w:val="003F3B83"/>
    <w:rsid w:val="003F4070"/>
    <w:rsid w:val="003F41EB"/>
    <w:rsid w:val="003F4478"/>
    <w:rsid w:val="003F45D7"/>
    <w:rsid w:val="003F45E2"/>
    <w:rsid w:val="003F45E7"/>
    <w:rsid w:val="003F4827"/>
    <w:rsid w:val="003F4BCB"/>
    <w:rsid w:val="003F4BFF"/>
    <w:rsid w:val="003F4FA7"/>
    <w:rsid w:val="003F5051"/>
    <w:rsid w:val="003F5142"/>
    <w:rsid w:val="003F52AB"/>
    <w:rsid w:val="003F56D7"/>
    <w:rsid w:val="003F593D"/>
    <w:rsid w:val="003F5EFA"/>
    <w:rsid w:val="003F5FA4"/>
    <w:rsid w:val="003F624C"/>
    <w:rsid w:val="003F654A"/>
    <w:rsid w:val="003F6C8D"/>
    <w:rsid w:val="003F6F32"/>
    <w:rsid w:val="003F6F41"/>
    <w:rsid w:val="003F7421"/>
    <w:rsid w:val="003F7879"/>
    <w:rsid w:val="003F7902"/>
    <w:rsid w:val="003F7A74"/>
    <w:rsid w:val="003F7D29"/>
    <w:rsid w:val="0040010D"/>
    <w:rsid w:val="004006CC"/>
    <w:rsid w:val="00400761"/>
    <w:rsid w:val="004007EE"/>
    <w:rsid w:val="00400864"/>
    <w:rsid w:val="00400B6C"/>
    <w:rsid w:val="00400F93"/>
    <w:rsid w:val="004014FD"/>
    <w:rsid w:val="00401BB7"/>
    <w:rsid w:val="00401C6F"/>
    <w:rsid w:val="00401D81"/>
    <w:rsid w:val="00401DF3"/>
    <w:rsid w:val="00402145"/>
    <w:rsid w:val="00402B25"/>
    <w:rsid w:val="00402D09"/>
    <w:rsid w:val="00402ECE"/>
    <w:rsid w:val="00402F64"/>
    <w:rsid w:val="004030BA"/>
    <w:rsid w:val="00403BEB"/>
    <w:rsid w:val="00404B1F"/>
    <w:rsid w:val="00404D6C"/>
    <w:rsid w:val="00404E43"/>
    <w:rsid w:val="0040537B"/>
    <w:rsid w:val="004053EE"/>
    <w:rsid w:val="00405438"/>
    <w:rsid w:val="00405577"/>
    <w:rsid w:val="0040591E"/>
    <w:rsid w:val="004059C6"/>
    <w:rsid w:val="0040614E"/>
    <w:rsid w:val="00406325"/>
    <w:rsid w:val="0040670B"/>
    <w:rsid w:val="00406C8B"/>
    <w:rsid w:val="0040780B"/>
    <w:rsid w:val="004078CB"/>
    <w:rsid w:val="0040794F"/>
    <w:rsid w:val="004079C3"/>
    <w:rsid w:val="00407F7A"/>
    <w:rsid w:val="00410177"/>
    <w:rsid w:val="0041027C"/>
    <w:rsid w:val="00410297"/>
    <w:rsid w:val="004102E3"/>
    <w:rsid w:val="00410B83"/>
    <w:rsid w:val="00410D2D"/>
    <w:rsid w:val="00410D68"/>
    <w:rsid w:val="00410DC9"/>
    <w:rsid w:val="0041144A"/>
    <w:rsid w:val="0041197D"/>
    <w:rsid w:val="00412190"/>
    <w:rsid w:val="00412487"/>
    <w:rsid w:val="00412557"/>
    <w:rsid w:val="00412C74"/>
    <w:rsid w:val="0041312B"/>
    <w:rsid w:val="00413798"/>
    <w:rsid w:val="00413823"/>
    <w:rsid w:val="00413A9C"/>
    <w:rsid w:val="00413BB7"/>
    <w:rsid w:val="00413EA6"/>
    <w:rsid w:val="00413F37"/>
    <w:rsid w:val="004140DD"/>
    <w:rsid w:val="0041415F"/>
    <w:rsid w:val="00414243"/>
    <w:rsid w:val="0041474A"/>
    <w:rsid w:val="004148F7"/>
    <w:rsid w:val="00414B7B"/>
    <w:rsid w:val="00414DC9"/>
    <w:rsid w:val="00414F1A"/>
    <w:rsid w:val="004150AB"/>
    <w:rsid w:val="0041511C"/>
    <w:rsid w:val="004154E3"/>
    <w:rsid w:val="004156A6"/>
    <w:rsid w:val="0041579D"/>
    <w:rsid w:val="004159A0"/>
    <w:rsid w:val="00415AD2"/>
    <w:rsid w:val="00415C95"/>
    <w:rsid w:val="004160DD"/>
    <w:rsid w:val="00416368"/>
    <w:rsid w:val="004163B2"/>
    <w:rsid w:val="004165A5"/>
    <w:rsid w:val="00416674"/>
    <w:rsid w:val="00416AC4"/>
    <w:rsid w:val="00416DDF"/>
    <w:rsid w:val="00417135"/>
    <w:rsid w:val="00417165"/>
    <w:rsid w:val="00417562"/>
    <w:rsid w:val="004175C8"/>
    <w:rsid w:val="00417900"/>
    <w:rsid w:val="00417AC0"/>
    <w:rsid w:val="00417C66"/>
    <w:rsid w:val="00417DAA"/>
    <w:rsid w:val="004200EA"/>
    <w:rsid w:val="00420321"/>
    <w:rsid w:val="0042044D"/>
    <w:rsid w:val="004208EF"/>
    <w:rsid w:val="00420BB1"/>
    <w:rsid w:val="00420E97"/>
    <w:rsid w:val="00421438"/>
    <w:rsid w:val="0042176A"/>
    <w:rsid w:val="00421A2B"/>
    <w:rsid w:val="00421E25"/>
    <w:rsid w:val="004220BB"/>
    <w:rsid w:val="00422398"/>
    <w:rsid w:val="00422459"/>
    <w:rsid w:val="00422614"/>
    <w:rsid w:val="004228D4"/>
    <w:rsid w:val="00422984"/>
    <w:rsid w:val="00422DAE"/>
    <w:rsid w:val="00422DF6"/>
    <w:rsid w:val="00422F94"/>
    <w:rsid w:val="00423150"/>
    <w:rsid w:val="00423395"/>
    <w:rsid w:val="004233E4"/>
    <w:rsid w:val="0042348F"/>
    <w:rsid w:val="0042367C"/>
    <w:rsid w:val="0042381A"/>
    <w:rsid w:val="004238F0"/>
    <w:rsid w:val="0042390D"/>
    <w:rsid w:val="00423A3D"/>
    <w:rsid w:val="0042404D"/>
    <w:rsid w:val="0042417A"/>
    <w:rsid w:val="00424256"/>
    <w:rsid w:val="00424396"/>
    <w:rsid w:val="004243EB"/>
    <w:rsid w:val="004247E2"/>
    <w:rsid w:val="00424968"/>
    <w:rsid w:val="00424A95"/>
    <w:rsid w:val="00424D12"/>
    <w:rsid w:val="0042504D"/>
    <w:rsid w:val="004252B3"/>
    <w:rsid w:val="004262DC"/>
    <w:rsid w:val="004266C5"/>
    <w:rsid w:val="00426802"/>
    <w:rsid w:val="00426E88"/>
    <w:rsid w:val="00427209"/>
    <w:rsid w:val="0042791F"/>
    <w:rsid w:val="0043036F"/>
    <w:rsid w:val="00431601"/>
    <w:rsid w:val="0043241E"/>
    <w:rsid w:val="0043251F"/>
    <w:rsid w:val="004326AB"/>
    <w:rsid w:val="00432BC3"/>
    <w:rsid w:val="0043301D"/>
    <w:rsid w:val="0043346A"/>
    <w:rsid w:val="00433BCA"/>
    <w:rsid w:val="00433C58"/>
    <w:rsid w:val="00433CD3"/>
    <w:rsid w:val="0043440B"/>
    <w:rsid w:val="004344FA"/>
    <w:rsid w:val="00434696"/>
    <w:rsid w:val="00434AAF"/>
    <w:rsid w:val="00435348"/>
    <w:rsid w:val="004357B2"/>
    <w:rsid w:val="004359AE"/>
    <w:rsid w:val="00435AF7"/>
    <w:rsid w:val="00435D64"/>
    <w:rsid w:val="00436579"/>
    <w:rsid w:val="004366E7"/>
    <w:rsid w:val="0043683C"/>
    <w:rsid w:val="00436956"/>
    <w:rsid w:val="00436E8F"/>
    <w:rsid w:val="0043715E"/>
    <w:rsid w:val="004373CB"/>
    <w:rsid w:val="00437492"/>
    <w:rsid w:val="004374EA"/>
    <w:rsid w:val="004375FD"/>
    <w:rsid w:val="00440915"/>
    <w:rsid w:val="004413B7"/>
    <w:rsid w:val="004417B7"/>
    <w:rsid w:val="004417D0"/>
    <w:rsid w:val="004419F4"/>
    <w:rsid w:val="00441AF0"/>
    <w:rsid w:val="00442286"/>
    <w:rsid w:val="0044243C"/>
    <w:rsid w:val="00442681"/>
    <w:rsid w:val="004427B2"/>
    <w:rsid w:val="004428CD"/>
    <w:rsid w:val="00442EEA"/>
    <w:rsid w:val="00442EEC"/>
    <w:rsid w:val="0044312C"/>
    <w:rsid w:val="0044376D"/>
    <w:rsid w:val="00443FEE"/>
    <w:rsid w:val="004444D7"/>
    <w:rsid w:val="004447DE"/>
    <w:rsid w:val="00444868"/>
    <w:rsid w:val="00444A09"/>
    <w:rsid w:val="0044538D"/>
    <w:rsid w:val="004454A1"/>
    <w:rsid w:val="0044559A"/>
    <w:rsid w:val="00445B0D"/>
    <w:rsid w:val="00445BC1"/>
    <w:rsid w:val="00445C8B"/>
    <w:rsid w:val="0044653A"/>
    <w:rsid w:val="004465E6"/>
    <w:rsid w:val="0044663E"/>
    <w:rsid w:val="00446E3F"/>
    <w:rsid w:val="004473B4"/>
    <w:rsid w:val="00447600"/>
    <w:rsid w:val="00447DC5"/>
    <w:rsid w:val="00447F48"/>
    <w:rsid w:val="004501FB"/>
    <w:rsid w:val="00450499"/>
    <w:rsid w:val="00450517"/>
    <w:rsid w:val="00450E6E"/>
    <w:rsid w:val="004514A6"/>
    <w:rsid w:val="004514CA"/>
    <w:rsid w:val="00451B62"/>
    <w:rsid w:val="00452266"/>
    <w:rsid w:val="00452318"/>
    <w:rsid w:val="004529E7"/>
    <w:rsid w:val="00452A0F"/>
    <w:rsid w:val="00452CF6"/>
    <w:rsid w:val="00453039"/>
    <w:rsid w:val="00453257"/>
    <w:rsid w:val="0045343E"/>
    <w:rsid w:val="00453642"/>
    <w:rsid w:val="00453938"/>
    <w:rsid w:val="00453C04"/>
    <w:rsid w:val="00453F17"/>
    <w:rsid w:val="0045414C"/>
    <w:rsid w:val="0045420E"/>
    <w:rsid w:val="004546C8"/>
    <w:rsid w:val="004546ED"/>
    <w:rsid w:val="00454BBA"/>
    <w:rsid w:val="00454FFF"/>
    <w:rsid w:val="004552CD"/>
    <w:rsid w:val="0045559D"/>
    <w:rsid w:val="00455E42"/>
    <w:rsid w:val="0045608C"/>
    <w:rsid w:val="00456AB8"/>
    <w:rsid w:val="00456D0C"/>
    <w:rsid w:val="00456FC9"/>
    <w:rsid w:val="00457037"/>
    <w:rsid w:val="00457288"/>
    <w:rsid w:val="004577A1"/>
    <w:rsid w:val="00457901"/>
    <w:rsid w:val="00457DA6"/>
    <w:rsid w:val="00460604"/>
    <w:rsid w:val="0046068D"/>
    <w:rsid w:val="00460993"/>
    <w:rsid w:val="00460C26"/>
    <w:rsid w:val="00460DD4"/>
    <w:rsid w:val="00461076"/>
    <w:rsid w:val="0046151F"/>
    <w:rsid w:val="00461595"/>
    <w:rsid w:val="0046182B"/>
    <w:rsid w:val="004621F3"/>
    <w:rsid w:val="0046266F"/>
    <w:rsid w:val="004631DF"/>
    <w:rsid w:val="004632B5"/>
    <w:rsid w:val="00463629"/>
    <w:rsid w:val="0046368B"/>
    <w:rsid w:val="00463861"/>
    <w:rsid w:val="004643AF"/>
    <w:rsid w:val="004645D1"/>
    <w:rsid w:val="00464ABA"/>
    <w:rsid w:val="00464AD3"/>
    <w:rsid w:val="00464BCF"/>
    <w:rsid w:val="00464E07"/>
    <w:rsid w:val="00465057"/>
    <w:rsid w:val="004653A6"/>
    <w:rsid w:val="00465484"/>
    <w:rsid w:val="00465F2F"/>
    <w:rsid w:val="004669BD"/>
    <w:rsid w:val="00466B76"/>
    <w:rsid w:val="00466CA5"/>
    <w:rsid w:val="004670D5"/>
    <w:rsid w:val="004673FA"/>
    <w:rsid w:val="004674C0"/>
    <w:rsid w:val="00467995"/>
    <w:rsid w:val="00467C35"/>
    <w:rsid w:val="00467DE6"/>
    <w:rsid w:val="00467ECC"/>
    <w:rsid w:val="0047035E"/>
    <w:rsid w:val="004703AD"/>
    <w:rsid w:val="004704DA"/>
    <w:rsid w:val="00470A22"/>
    <w:rsid w:val="00470AF5"/>
    <w:rsid w:val="00470AF6"/>
    <w:rsid w:val="00470B6D"/>
    <w:rsid w:val="00470D14"/>
    <w:rsid w:val="00470DF2"/>
    <w:rsid w:val="00470E9D"/>
    <w:rsid w:val="00470F59"/>
    <w:rsid w:val="004715D4"/>
    <w:rsid w:val="00471684"/>
    <w:rsid w:val="0047185A"/>
    <w:rsid w:val="00471A5E"/>
    <w:rsid w:val="00471B7E"/>
    <w:rsid w:val="00471D05"/>
    <w:rsid w:val="004721A2"/>
    <w:rsid w:val="00472A39"/>
    <w:rsid w:val="00472CDB"/>
    <w:rsid w:val="004731BC"/>
    <w:rsid w:val="00473328"/>
    <w:rsid w:val="0047372F"/>
    <w:rsid w:val="0047381F"/>
    <w:rsid w:val="00473AEB"/>
    <w:rsid w:val="00473C84"/>
    <w:rsid w:val="00473D2D"/>
    <w:rsid w:val="00473D98"/>
    <w:rsid w:val="00473E65"/>
    <w:rsid w:val="004741C4"/>
    <w:rsid w:val="004743A0"/>
    <w:rsid w:val="0047440D"/>
    <w:rsid w:val="0047446A"/>
    <w:rsid w:val="00474B0A"/>
    <w:rsid w:val="00474D17"/>
    <w:rsid w:val="00474D43"/>
    <w:rsid w:val="00474DA1"/>
    <w:rsid w:val="004753D3"/>
    <w:rsid w:val="00475579"/>
    <w:rsid w:val="00475687"/>
    <w:rsid w:val="004756F1"/>
    <w:rsid w:val="0047588E"/>
    <w:rsid w:val="00475B3E"/>
    <w:rsid w:val="00475D85"/>
    <w:rsid w:val="0047628B"/>
    <w:rsid w:val="00476408"/>
    <w:rsid w:val="004764CB"/>
    <w:rsid w:val="00476A99"/>
    <w:rsid w:val="00476F2F"/>
    <w:rsid w:val="00476FBA"/>
    <w:rsid w:val="00477018"/>
    <w:rsid w:val="0047727A"/>
    <w:rsid w:val="004774E2"/>
    <w:rsid w:val="00477915"/>
    <w:rsid w:val="00477980"/>
    <w:rsid w:val="00477B85"/>
    <w:rsid w:val="0048025B"/>
    <w:rsid w:val="00480519"/>
    <w:rsid w:val="00480AA5"/>
    <w:rsid w:val="004819F1"/>
    <w:rsid w:val="00481AE7"/>
    <w:rsid w:val="00481E14"/>
    <w:rsid w:val="00482031"/>
    <w:rsid w:val="0048250D"/>
    <w:rsid w:val="004825BA"/>
    <w:rsid w:val="00482688"/>
    <w:rsid w:val="00482830"/>
    <w:rsid w:val="004829F3"/>
    <w:rsid w:val="00483240"/>
    <w:rsid w:val="004832BF"/>
    <w:rsid w:val="00483386"/>
    <w:rsid w:val="0048388E"/>
    <w:rsid w:val="00483903"/>
    <w:rsid w:val="004842B8"/>
    <w:rsid w:val="0048461E"/>
    <w:rsid w:val="00484D95"/>
    <w:rsid w:val="004854AB"/>
    <w:rsid w:val="0048565B"/>
    <w:rsid w:val="00485A16"/>
    <w:rsid w:val="00485D76"/>
    <w:rsid w:val="00485DE5"/>
    <w:rsid w:val="00485F92"/>
    <w:rsid w:val="004860CC"/>
    <w:rsid w:val="004861A3"/>
    <w:rsid w:val="00486461"/>
    <w:rsid w:val="0048667A"/>
    <w:rsid w:val="004866DA"/>
    <w:rsid w:val="0048674F"/>
    <w:rsid w:val="00486AAB"/>
    <w:rsid w:val="00486E0C"/>
    <w:rsid w:val="00487644"/>
    <w:rsid w:val="004879A3"/>
    <w:rsid w:val="00487A7F"/>
    <w:rsid w:val="004902B6"/>
    <w:rsid w:val="0049031D"/>
    <w:rsid w:val="004904FE"/>
    <w:rsid w:val="004906B6"/>
    <w:rsid w:val="00490822"/>
    <w:rsid w:val="00490856"/>
    <w:rsid w:val="004908D6"/>
    <w:rsid w:val="00490ABD"/>
    <w:rsid w:val="00490AD0"/>
    <w:rsid w:val="00490B83"/>
    <w:rsid w:val="00491076"/>
    <w:rsid w:val="00491DB0"/>
    <w:rsid w:val="00491E99"/>
    <w:rsid w:val="0049200C"/>
    <w:rsid w:val="0049207D"/>
    <w:rsid w:val="0049263F"/>
    <w:rsid w:val="00492A2E"/>
    <w:rsid w:val="004931DD"/>
    <w:rsid w:val="0049356F"/>
    <w:rsid w:val="0049365E"/>
    <w:rsid w:val="00493863"/>
    <w:rsid w:val="00493A63"/>
    <w:rsid w:val="00493B51"/>
    <w:rsid w:val="00494500"/>
    <w:rsid w:val="004949F6"/>
    <w:rsid w:val="0049581F"/>
    <w:rsid w:val="00495942"/>
    <w:rsid w:val="00495E60"/>
    <w:rsid w:val="0049639D"/>
    <w:rsid w:val="0049643F"/>
    <w:rsid w:val="00496833"/>
    <w:rsid w:val="00496962"/>
    <w:rsid w:val="004969BE"/>
    <w:rsid w:val="004969F7"/>
    <w:rsid w:val="00496BD9"/>
    <w:rsid w:val="00496DA8"/>
    <w:rsid w:val="00496E3C"/>
    <w:rsid w:val="00496E63"/>
    <w:rsid w:val="00497114"/>
    <w:rsid w:val="0049746B"/>
    <w:rsid w:val="004975A9"/>
    <w:rsid w:val="00497764"/>
    <w:rsid w:val="00497884"/>
    <w:rsid w:val="00497B4F"/>
    <w:rsid w:val="00497BAA"/>
    <w:rsid w:val="00497CFA"/>
    <w:rsid w:val="004A0085"/>
    <w:rsid w:val="004A036D"/>
    <w:rsid w:val="004A074F"/>
    <w:rsid w:val="004A0799"/>
    <w:rsid w:val="004A0832"/>
    <w:rsid w:val="004A0AD1"/>
    <w:rsid w:val="004A121E"/>
    <w:rsid w:val="004A18A2"/>
    <w:rsid w:val="004A19DD"/>
    <w:rsid w:val="004A1B58"/>
    <w:rsid w:val="004A1C4B"/>
    <w:rsid w:val="004A1F2F"/>
    <w:rsid w:val="004A25A2"/>
    <w:rsid w:val="004A295F"/>
    <w:rsid w:val="004A2D05"/>
    <w:rsid w:val="004A3795"/>
    <w:rsid w:val="004A39A2"/>
    <w:rsid w:val="004A4185"/>
    <w:rsid w:val="004A4315"/>
    <w:rsid w:val="004A460D"/>
    <w:rsid w:val="004A49F0"/>
    <w:rsid w:val="004A4D19"/>
    <w:rsid w:val="004A4E9C"/>
    <w:rsid w:val="004A532E"/>
    <w:rsid w:val="004A53C3"/>
    <w:rsid w:val="004A54E2"/>
    <w:rsid w:val="004A5728"/>
    <w:rsid w:val="004A5733"/>
    <w:rsid w:val="004A5B01"/>
    <w:rsid w:val="004A5CA0"/>
    <w:rsid w:val="004A6080"/>
    <w:rsid w:val="004A6611"/>
    <w:rsid w:val="004A6858"/>
    <w:rsid w:val="004A687B"/>
    <w:rsid w:val="004A693A"/>
    <w:rsid w:val="004A6AA5"/>
    <w:rsid w:val="004A6CF0"/>
    <w:rsid w:val="004A7739"/>
    <w:rsid w:val="004A7E0F"/>
    <w:rsid w:val="004A7E6A"/>
    <w:rsid w:val="004A7FE3"/>
    <w:rsid w:val="004B02C4"/>
    <w:rsid w:val="004B0513"/>
    <w:rsid w:val="004B05AB"/>
    <w:rsid w:val="004B07AA"/>
    <w:rsid w:val="004B0977"/>
    <w:rsid w:val="004B09DE"/>
    <w:rsid w:val="004B0FE8"/>
    <w:rsid w:val="004B14E7"/>
    <w:rsid w:val="004B1742"/>
    <w:rsid w:val="004B17D4"/>
    <w:rsid w:val="004B17F9"/>
    <w:rsid w:val="004B1A4E"/>
    <w:rsid w:val="004B2679"/>
    <w:rsid w:val="004B2A82"/>
    <w:rsid w:val="004B2CB6"/>
    <w:rsid w:val="004B2E64"/>
    <w:rsid w:val="004B2EED"/>
    <w:rsid w:val="004B31B9"/>
    <w:rsid w:val="004B31CA"/>
    <w:rsid w:val="004B3554"/>
    <w:rsid w:val="004B35A4"/>
    <w:rsid w:val="004B35CA"/>
    <w:rsid w:val="004B3747"/>
    <w:rsid w:val="004B38A8"/>
    <w:rsid w:val="004B3A7C"/>
    <w:rsid w:val="004B3AB2"/>
    <w:rsid w:val="004B3AD9"/>
    <w:rsid w:val="004B4767"/>
    <w:rsid w:val="004B4DA1"/>
    <w:rsid w:val="004B5529"/>
    <w:rsid w:val="004B55F1"/>
    <w:rsid w:val="004B5B0E"/>
    <w:rsid w:val="004B5C1B"/>
    <w:rsid w:val="004B5E7B"/>
    <w:rsid w:val="004B60AE"/>
    <w:rsid w:val="004B62C1"/>
    <w:rsid w:val="004B66FD"/>
    <w:rsid w:val="004B685E"/>
    <w:rsid w:val="004B7562"/>
    <w:rsid w:val="004B758C"/>
    <w:rsid w:val="004C026E"/>
    <w:rsid w:val="004C0895"/>
    <w:rsid w:val="004C0958"/>
    <w:rsid w:val="004C0A1A"/>
    <w:rsid w:val="004C10CD"/>
    <w:rsid w:val="004C11D1"/>
    <w:rsid w:val="004C12A9"/>
    <w:rsid w:val="004C13B3"/>
    <w:rsid w:val="004C185B"/>
    <w:rsid w:val="004C1B96"/>
    <w:rsid w:val="004C1E1C"/>
    <w:rsid w:val="004C1E44"/>
    <w:rsid w:val="004C1E86"/>
    <w:rsid w:val="004C27DA"/>
    <w:rsid w:val="004C294D"/>
    <w:rsid w:val="004C2AB7"/>
    <w:rsid w:val="004C2BA3"/>
    <w:rsid w:val="004C2D1C"/>
    <w:rsid w:val="004C2E46"/>
    <w:rsid w:val="004C37BF"/>
    <w:rsid w:val="004C3A51"/>
    <w:rsid w:val="004C3DF3"/>
    <w:rsid w:val="004C421D"/>
    <w:rsid w:val="004C42A0"/>
    <w:rsid w:val="004C4310"/>
    <w:rsid w:val="004C4502"/>
    <w:rsid w:val="004C49D8"/>
    <w:rsid w:val="004C4F6E"/>
    <w:rsid w:val="004C5068"/>
    <w:rsid w:val="004C50A5"/>
    <w:rsid w:val="004C5959"/>
    <w:rsid w:val="004C5A4B"/>
    <w:rsid w:val="004C5D02"/>
    <w:rsid w:val="004C5D8F"/>
    <w:rsid w:val="004C6623"/>
    <w:rsid w:val="004C6793"/>
    <w:rsid w:val="004C72F3"/>
    <w:rsid w:val="004C73FF"/>
    <w:rsid w:val="004C75CF"/>
    <w:rsid w:val="004C7BC3"/>
    <w:rsid w:val="004D0566"/>
    <w:rsid w:val="004D0873"/>
    <w:rsid w:val="004D088C"/>
    <w:rsid w:val="004D0B9D"/>
    <w:rsid w:val="004D0C4D"/>
    <w:rsid w:val="004D0F79"/>
    <w:rsid w:val="004D1205"/>
    <w:rsid w:val="004D1207"/>
    <w:rsid w:val="004D14B5"/>
    <w:rsid w:val="004D1608"/>
    <w:rsid w:val="004D1B87"/>
    <w:rsid w:val="004D1FE0"/>
    <w:rsid w:val="004D226A"/>
    <w:rsid w:val="004D2322"/>
    <w:rsid w:val="004D26DD"/>
    <w:rsid w:val="004D2E1C"/>
    <w:rsid w:val="004D31D9"/>
    <w:rsid w:val="004D349B"/>
    <w:rsid w:val="004D4429"/>
    <w:rsid w:val="004D46B0"/>
    <w:rsid w:val="004D4A19"/>
    <w:rsid w:val="004D524C"/>
    <w:rsid w:val="004D540D"/>
    <w:rsid w:val="004D5477"/>
    <w:rsid w:val="004D54E9"/>
    <w:rsid w:val="004D561A"/>
    <w:rsid w:val="004D5766"/>
    <w:rsid w:val="004D57DE"/>
    <w:rsid w:val="004D5B57"/>
    <w:rsid w:val="004D5E5D"/>
    <w:rsid w:val="004D62DA"/>
    <w:rsid w:val="004D6826"/>
    <w:rsid w:val="004D6AE4"/>
    <w:rsid w:val="004D6DB1"/>
    <w:rsid w:val="004D6F0C"/>
    <w:rsid w:val="004D725F"/>
    <w:rsid w:val="004D735A"/>
    <w:rsid w:val="004D7A02"/>
    <w:rsid w:val="004E0067"/>
    <w:rsid w:val="004E035E"/>
    <w:rsid w:val="004E0784"/>
    <w:rsid w:val="004E08F0"/>
    <w:rsid w:val="004E0952"/>
    <w:rsid w:val="004E0D0E"/>
    <w:rsid w:val="004E0D12"/>
    <w:rsid w:val="004E0EE6"/>
    <w:rsid w:val="004E0F42"/>
    <w:rsid w:val="004E13AC"/>
    <w:rsid w:val="004E154B"/>
    <w:rsid w:val="004E1C48"/>
    <w:rsid w:val="004E1C59"/>
    <w:rsid w:val="004E1CB9"/>
    <w:rsid w:val="004E1D12"/>
    <w:rsid w:val="004E1EEC"/>
    <w:rsid w:val="004E1F5E"/>
    <w:rsid w:val="004E21C8"/>
    <w:rsid w:val="004E23EB"/>
    <w:rsid w:val="004E2634"/>
    <w:rsid w:val="004E299B"/>
    <w:rsid w:val="004E2AB5"/>
    <w:rsid w:val="004E3B77"/>
    <w:rsid w:val="004E40D9"/>
    <w:rsid w:val="004E43EC"/>
    <w:rsid w:val="004E4405"/>
    <w:rsid w:val="004E4ABC"/>
    <w:rsid w:val="004E4E53"/>
    <w:rsid w:val="004E51C5"/>
    <w:rsid w:val="004E5755"/>
    <w:rsid w:val="004E59B1"/>
    <w:rsid w:val="004E5AC7"/>
    <w:rsid w:val="004E5B62"/>
    <w:rsid w:val="004E5D67"/>
    <w:rsid w:val="004E62AC"/>
    <w:rsid w:val="004E65A1"/>
    <w:rsid w:val="004E6650"/>
    <w:rsid w:val="004E692F"/>
    <w:rsid w:val="004E699A"/>
    <w:rsid w:val="004E6F27"/>
    <w:rsid w:val="004E741C"/>
    <w:rsid w:val="004E74A0"/>
    <w:rsid w:val="004E760F"/>
    <w:rsid w:val="004E78A2"/>
    <w:rsid w:val="004E7F54"/>
    <w:rsid w:val="004E7FCB"/>
    <w:rsid w:val="004F05AB"/>
    <w:rsid w:val="004F06D2"/>
    <w:rsid w:val="004F07AC"/>
    <w:rsid w:val="004F0A96"/>
    <w:rsid w:val="004F0BC0"/>
    <w:rsid w:val="004F13D4"/>
    <w:rsid w:val="004F183F"/>
    <w:rsid w:val="004F1901"/>
    <w:rsid w:val="004F1A10"/>
    <w:rsid w:val="004F203D"/>
    <w:rsid w:val="004F2247"/>
    <w:rsid w:val="004F2702"/>
    <w:rsid w:val="004F2713"/>
    <w:rsid w:val="004F2A2F"/>
    <w:rsid w:val="004F2CBB"/>
    <w:rsid w:val="004F2E8D"/>
    <w:rsid w:val="004F2EFF"/>
    <w:rsid w:val="004F3345"/>
    <w:rsid w:val="004F38A2"/>
    <w:rsid w:val="004F3B2E"/>
    <w:rsid w:val="004F3F5D"/>
    <w:rsid w:val="004F4519"/>
    <w:rsid w:val="004F4594"/>
    <w:rsid w:val="004F45B0"/>
    <w:rsid w:val="004F48E5"/>
    <w:rsid w:val="004F4B38"/>
    <w:rsid w:val="004F4BA6"/>
    <w:rsid w:val="004F4D8B"/>
    <w:rsid w:val="004F4DA7"/>
    <w:rsid w:val="004F4E6E"/>
    <w:rsid w:val="004F5089"/>
    <w:rsid w:val="004F539A"/>
    <w:rsid w:val="004F5549"/>
    <w:rsid w:val="004F574F"/>
    <w:rsid w:val="004F5888"/>
    <w:rsid w:val="004F5B73"/>
    <w:rsid w:val="004F5D27"/>
    <w:rsid w:val="004F62D2"/>
    <w:rsid w:val="004F6653"/>
    <w:rsid w:val="004F6B2E"/>
    <w:rsid w:val="004F6F33"/>
    <w:rsid w:val="004F7258"/>
    <w:rsid w:val="004F7427"/>
    <w:rsid w:val="004F7572"/>
    <w:rsid w:val="004F7596"/>
    <w:rsid w:val="004F775E"/>
    <w:rsid w:val="004F78C2"/>
    <w:rsid w:val="004F7A79"/>
    <w:rsid w:val="004F7BF6"/>
    <w:rsid w:val="004F7CC6"/>
    <w:rsid w:val="005001F3"/>
    <w:rsid w:val="005002F7"/>
    <w:rsid w:val="005004C7"/>
    <w:rsid w:val="005004D6"/>
    <w:rsid w:val="00500744"/>
    <w:rsid w:val="00500952"/>
    <w:rsid w:val="00500AFA"/>
    <w:rsid w:val="00500BC2"/>
    <w:rsid w:val="0050150C"/>
    <w:rsid w:val="00501852"/>
    <w:rsid w:val="00502061"/>
    <w:rsid w:val="00502132"/>
    <w:rsid w:val="00502535"/>
    <w:rsid w:val="005027D2"/>
    <w:rsid w:val="005027DF"/>
    <w:rsid w:val="005029BC"/>
    <w:rsid w:val="00502D93"/>
    <w:rsid w:val="005030F8"/>
    <w:rsid w:val="00503304"/>
    <w:rsid w:val="005033C4"/>
    <w:rsid w:val="00503E78"/>
    <w:rsid w:val="00504101"/>
    <w:rsid w:val="0050418A"/>
    <w:rsid w:val="00504984"/>
    <w:rsid w:val="005049D7"/>
    <w:rsid w:val="005049E1"/>
    <w:rsid w:val="00504B3A"/>
    <w:rsid w:val="00504D90"/>
    <w:rsid w:val="00504FA8"/>
    <w:rsid w:val="0050506C"/>
    <w:rsid w:val="00505334"/>
    <w:rsid w:val="005054C5"/>
    <w:rsid w:val="00505C96"/>
    <w:rsid w:val="005066EB"/>
    <w:rsid w:val="00506752"/>
    <w:rsid w:val="00506878"/>
    <w:rsid w:val="00506A36"/>
    <w:rsid w:val="00507C16"/>
    <w:rsid w:val="00507D9B"/>
    <w:rsid w:val="00507DE3"/>
    <w:rsid w:val="005100EF"/>
    <w:rsid w:val="005107C3"/>
    <w:rsid w:val="00510A3A"/>
    <w:rsid w:val="00510A64"/>
    <w:rsid w:val="00510BE4"/>
    <w:rsid w:val="00510FB0"/>
    <w:rsid w:val="00511339"/>
    <w:rsid w:val="00511521"/>
    <w:rsid w:val="00511696"/>
    <w:rsid w:val="0051174A"/>
    <w:rsid w:val="00511840"/>
    <w:rsid w:val="00511E61"/>
    <w:rsid w:val="005120C6"/>
    <w:rsid w:val="00512276"/>
    <w:rsid w:val="0051243C"/>
    <w:rsid w:val="0051286C"/>
    <w:rsid w:val="00512BEE"/>
    <w:rsid w:val="00512C83"/>
    <w:rsid w:val="00512F2A"/>
    <w:rsid w:val="00512FA3"/>
    <w:rsid w:val="0051352E"/>
    <w:rsid w:val="005137A1"/>
    <w:rsid w:val="005137FE"/>
    <w:rsid w:val="00513B30"/>
    <w:rsid w:val="00513B45"/>
    <w:rsid w:val="00513BAC"/>
    <w:rsid w:val="00513F19"/>
    <w:rsid w:val="0051430C"/>
    <w:rsid w:val="00514370"/>
    <w:rsid w:val="0051458F"/>
    <w:rsid w:val="005145CC"/>
    <w:rsid w:val="00514AA2"/>
    <w:rsid w:val="00514ADD"/>
    <w:rsid w:val="00514CCC"/>
    <w:rsid w:val="005156E5"/>
    <w:rsid w:val="005158A5"/>
    <w:rsid w:val="00515B96"/>
    <w:rsid w:val="00516118"/>
    <w:rsid w:val="0051622D"/>
    <w:rsid w:val="00516241"/>
    <w:rsid w:val="00516336"/>
    <w:rsid w:val="00516571"/>
    <w:rsid w:val="00516C72"/>
    <w:rsid w:val="00516E68"/>
    <w:rsid w:val="005170BD"/>
    <w:rsid w:val="005176F1"/>
    <w:rsid w:val="0051782A"/>
    <w:rsid w:val="00517A54"/>
    <w:rsid w:val="00517AAB"/>
    <w:rsid w:val="00517B38"/>
    <w:rsid w:val="00517DA7"/>
    <w:rsid w:val="00520227"/>
    <w:rsid w:val="005203FD"/>
    <w:rsid w:val="00520A33"/>
    <w:rsid w:val="00520CF9"/>
    <w:rsid w:val="00520F0E"/>
    <w:rsid w:val="00520F3A"/>
    <w:rsid w:val="00520F3B"/>
    <w:rsid w:val="005212BC"/>
    <w:rsid w:val="0052187E"/>
    <w:rsid w:val="0052288D"/>
    <w:rsid w:val="0052299A"/>
    <w:rsid w:val="00522D82"/>
    <w:rsid w:val="00523203"/>
    <w:rsid w:val="005234BA"/>
    <w:rsid w:val="005235C7"/>
    <w:rsid w:val="005237AF"/>
    <w:rsid w:val="005242E0"/>
    <w:rsid w:val="005245EB"/>
    <w:rsid w:val="00524862"/>
    <w:rsid w:val="005248CA"/>
    <w:rsid w:val="005249DE"/>
    <w:rsid w:val="00524A5E"/>
    <w:rsid w:val="00524E74"/>
    <w:rsid w:val="005251AA"/>
    <w:rsid w:val="0052594E"/>
    <w:rsid w:val="00525B36"/>
    <w:rsid w:val="00525CDA"/>
    <w:rsid w:val="00525E8C"/>
    <w:rsid w:val="00525EEF"/>
    <w:rsid w:val="0052668F"/>
    <w:rsid w:val="0052678D"/>
    <w:rsid w:val="005267A3"/>
    <w:rsid w:val="00526BCE"/>
    <w:rsid w:val="00526D1A"/>
    <w:rsid w:val="00526EC1"/>
    <w:rsid w:val="0052720E"/>
    <w:rsid w:val="00527401"/>
    <w:rsid w:val="0052747B"/>
    <w:rsid w:val="005275F6"/>
    <w:rsid w:val="00527700"/>
    <w:rsid w:val="00527749"/>
    <w:rsid w:val="00527888"/>
    <w:rsid w:val="00527AE4"/>
    <w:rsid w:val="0053000C"/>
    <w:rsid w:val="005301C3"/>
    <w:rsid w:val="00530462"/>
    <w:rsid w:val="0053073F"/>
    <w:rsid w:val="00530B50"/>
    <w:rsid w:val="00530BAE"/>
    <w:rsid w:val="00530E4B"/>
    <w:rsid w:val="00530E9D"/>
    <w:rsid w:val="005311D3"/>
    <w:rsid w:val="005312F2"/>
    <w:rsid w:val="00531491"/>
    <w:rsid w:val="005314C9"/>
    <w:rsid w:val="00531524"/>
    <w:rsid w:val="00531823"/>
    <w:rsid w:val="00531934"/>
    <w:rsid w:val="0053199D"/>
    <w:rsid w:val="0053213A"/>
    <w:rsid w:val="00532600"/>
    <w:rsid w:val="00532734"/>
    <w:rsid w:val="00533098"/>
    <w:rsid w:val="0053355F"/>
    <w:rsid w:val="0053356C"/>
    <w:rsid w:val="0053392D"/>
    <w:rsid w:val="00533B3C"/>
    <w:rsid w:val="00534004"/>
    <w:rsid w:val="00534322"/>
    <w:rsid w:val="005343B7"/>
    <w:rsid w:val="0053442C"/>
    <w:rsid w:val="0053466A"/>
    <w:rsid w:val="00534F13"/>
    <w:rsid w:val="005352A2"/>
    <w:rsid w:val="00535309"/>
    <w:rsid w:val="00535555"/>
    <w:rsid w:val="0053566F"/>
    <w:rsid w:val="005357F9"/>
    <w:rsid w:val="00535BD0"/>
    <w:rsid w:val="00535DCE"/>
    <w:rsid w:val="005368C2"/>
    <w:rsid w:val="00536DEB"/>
    <w:rsid w:val="00537066"/>
    <w:rsid w:val="00537349"/>
    <w:rsid w:val="00537AC7"/>
    <w:rsid w:val="0054050F"/>
    <w:rsid w:val="00540946"/>
    <w:rsid w:val="00540A75"/>
    <w:rsid w:val="00540D10"/>
    <w:rsid w:val="00540F90"/>
    <w:rsid w:val="00541004"/>
    <w:rsid w:val="00541241"/>
    <w:rsid w:val="00541332"/>
    <w:rsid w:val="00541447"/>
    <w:rsid w:val="005417BA"/>
    <w:rsid w:val="00541AC9"/>
    <w:rsid w:val="00541AE6"/>
    <w:rsid w:val="00541DB2"/>
    <w:rsid w:val="005420F5"/>
    <w:rsid w:val="0054220E"/>
    <w:rsid w:val="0054244D"/>
    <w:rsid w:val="00542557"/>
    <w:rsid w:val="0054261D"/>
    <w:rsid w:val="00542627"/>
    <w:rsid w:val="00542959"/>
    <w:rsid w:val="00542A96"/>
    <w:rsid w:val="00542BAD"/>
    <w:rsid w:val="00542C61"/>
    <w:rsid w:val="00542EBB"/>
    <w:rsid w:val="00543151"/>
    <w:rsid w:val="0054335C"/>
    <w:rsid w:val="005433CF"/>
    <w:rsid w:val="00543890"/>
    <w:rsid w:val="00543BC5"/>
    <w:rsid w:val="00543FFE"/>
    <w:rsid w:val="005441A8"/>
    <w:rsid w:val="00544235"/>
    <w:rsid w:val="005443A0"/>
    <w:rsid w:val="005443EB"/>
    <w:rsid w:val="005446B4"/>
    <w:rsid w:val="00544C42"/>
    <w:rsid w:val="00544E3D"/>
    <w:rsid w:val="00544E40"/>
    <w:rsid w:val="00544E98"/>
    <w:rsid w:val="005452F5"/>
    <w:rsid w:val="00545316"/>
    <w:rsid w:val="00545492"/>
    <w:rsid w:val="0054549A"/>
    <w:rsid w:val="00545B6D"/>
    <w:rsid w:val="00545BF2"/>
    <w:rsid w:val="00545D0F"/>
    <w:rsid w:val="00545EF7"/>
    <w:rsid w:val="005460F4"/>
    <w:rsid w:val="00546390"/>
    <w:rsid w:val="005464DB"/>
    <w:rsid w:val="00546697"/>
    <w:rsid w:val="00546D39"/>
    <w:rsid w:val="00546EFC"/>
    <w:rsid w:val="00547EAE"/>
    <w:rsid w:val="00547FD2"/>
    <w:rsid w:val="00547FDB"/>
    <w:rsid w:val="00550035"/>
    <w:rsid w:val="0055011E"/>
    <w:rsid w:val="0055012A"/>
    <w:rsid w:val="00550596"/>
    <w:rsid w:val="00550B69"/>
    <w:rsid w:val="00550F7C"/>
    <w:rsid w:val="005512F8"/>
    <w:rsid w:val="0055150B"/>
    <w:rsid w:val="0055189E"/>
    <w:rsid w:val="00551CBA"/>
    <w:rsid w:val="00551DB5"/>
    <w:rsid w:val="00551ECE"/>
    <w:rsid w:val="0055202A"/>
    <w:rsid w:val="00552464"/>
    <w:rsid w:val="00552667"/>
    <w:rsid w:val="005528A5"/>
    <w:rsid w:val="00552ECF"/>
    <w:rsid w:val="00553003"/>
    <w:rsid w:val="0055310F"/>
    <w:rsid w:val="005535A5"/>
    <w:rsid w:val="005535D0"/>
    <w:rsid w:val="00553B5E"/>
    <w:rsid w:val="00553B7D"/>
    <w:rsid w:val="0055452D"/>
    <w:rsid w:val="00554552"/>
    <w:rsid w:val="00555509"/>
    <w:rsid w:val="00555D0C"/>
    <w:rsid w:val="00555D42"/>
    <w:rsid w:val="00555DB9"/>
    <w:rsid w:val="00555F9D"/>
    <w:rsid w:val="00556052"/>
    <w:rsid w:val="00556433"/>
    <w:rsid w:val="0055663B"/>
    <w:rsid w:val="00556A3C"/>
    <w:rsid w:val="00556A45"/>
    <w:rsid w:val="00556BA8"/>
    <w:rsid w:val="00556D09"/>
    <w:rsid w:val="00556E79"/>
    <w:rsid w:val="00557189"/>
    <w:rsid w:val="005571CC"/>
    <w:rsid w:val="0055782F"/>
    <w:rsid w:val="0055799B"/>
    <w:rsid w:val="005606EA"/>
    <w:rsid w:val="00560785"/>
    <w:rsid w:val="005607B9"/>
    <w:rsid w:val="00560A60"/>
    <w:rsid w:val="00560DDC"/>
    <w:rsid w:val="00561358"/>
    <w:rsid w:val="005613FE"/>
    <w:rsid w:val="00561473"/>
    <w:rsid w:val="0056164D"/>
    <w:rsid w:val="00561EC0"/>
    <w:rsid w:val="0056240D"/>
    <w:rsid w:val="00562482"/>
    <w:rsid w:val="0056255F"/>
    <w:rsid w:val="00562AB4"/>
    <w:rsid w:val="00562ECC"/>
    <w:rsid w:val="00563219"/>
    <w:rsid w:val="005638A9"/>
    <w:rsid w:val="00564219"/>
    <w:rsid w:val="00564363"/>
    <w:rsid w:val="00564505"/>
    <w:rsid w:val="0056528B"/>
    <w:rsid w:val="00565656"/>
    <w:rsid w:val="005658FF"/>
    <w:rsid w:val="005659BD"/>
    <w:rsid w:val="00565DA2"/>
    <w:rsid w:val="00566084"/>
    <w:rsid w:val="00566746"/>
    <w:rsid w:val="00566C3F"/>
    <w:rsid w:val="00566F87"/>
    <w:rsid w:val="00567142"/>
    <w:rsid w:val="0056735E"/>
    <w:rsid w:val="00567366"/>
    <w:rsid w:val="00567368"/>
    <w:rsid w:val="005677E3"/>
    <w:rsid w:val="005678CC"/>
    <w:rsid w:val="00567D9D"/>
    <w:rsid w:val="00567E19"/>
    <w:rsid w:val="00567FE3"/>
    <w:rsid w:val="00570567"/>
    <w:rsid w:val="005705FF"/>
    <w:rsid w:val="00570668"/>
    <w:rsid w:val="00570B15"/>
    <w:rsid w:val="00570D3A"/>
    <w:rsid w:val="00570FAB"/>
    <w:rsid w:val="0057109A"/>
    <w:rsid w:val="0057126D"/>
    <w:rsid w:val="00571743"/>
    <w:rsid w:val="005717D5"/>
    <w:rsid w:val="00571997"/>
    <w:rsid w:val="0057278F"/>
    <w:rsid w:val="005728DF"/>
    <w:rsid w:val="00572B7E"/>
    <w:rsid w:val="00572DC5"/>
    <w:rsid w:val="00573230"/>
    <w:rsid w:val="0057358D"/>
    <w:rsid w:val="005735F7"/>
    <w:rsid w:val="005738F6"/>
    <w:rsid w:val="00573F73"/>
    <w:rsid w:val="00574303"/>
    <w:rsid w:val="005743F4"/>
    <w:rsid w:val="005746D0"/>
    <w:rsid w:val="00574A39"/>
    <w:rsid w:val="00574C7C"/>
    <w:rsid w:val="00574CE4"/>
    <w:rsid w:val="0057568C"/>
    <w:rsid w:val="00575712"/>
    <w:rsid w:val="00575B60"/>
    <w:rsid w:val="00575D6E"/>
    <w:rsid w:val="00575FF8"/>
    <w:rsid w:val="005762C0"/>
    <w:rsid w:val="005762F0"/>
    <w:rsid w:val="00576656"/>
    <w:rsid w:val="005766B3"/>
    <w:rsid w:val="00576785"/>
    <w:rsid w:val="00576788"/>
    <w:rsid w:val="00576AC2"/>
    <w:rsid w:val="00576D73"/>
    <w:rsid w:val="00577308"/>
    <w:rsid w:val="00577551"/>
    <w:rsid w:val="005776B9"/>
    <w:rsid w:val="0057796B"/>
    <w:rsid w:val="00577C6A"/>
    <w:rsid w:val="0058006B"/>
    <w:rsid w:val="005801C2"/>
    <w:rsid w:val="005803EC"/>
    <w:rsid w:val="00580400"/>
    <w:rsid w:val="00580541"/>
    <w:rsid w:val="00580584"/>
    <w:rsid w:val="00580BC5"/>
    <w:rsid w:val="00580FA7"/>
    <w:rsid w:val="0058103D"/>
    <w:rsid w:val="00581041"/>
    <w:rsid w:val="005819D1"/>
    <w:rsid w:val="005819F3"/>
    <w:rsid w:val="00581A6E"/>
    <w:rsid w:val="00581F3E"/>
    <w:rsid w:val="0058262A"/>
    <w:rsid w:val="00582702"/>
    <w:rsid w:val="00582747"/>
    <w:rsid w:val="005828BF"/>
    <w:rsid w:val="00582B02"/>
    <w:rsid w:val="0058305B"/>
    <w:rsid w:val="00583074"/>
    <w:rsid w:val="005830DF"/>
    <w:rsid w:val="0058327E"/>
    <w:rsid w:val="00583374"/>
    <w:rsid w:val="00583531"/>
    <w:rsid w:val="0058391C"/>
    <w:rsid w:val="00583DC6"/>
    <w:rsid w:val="0058439B"/>
    <w:rsid w:val="005845BE"/>
    <w:rsid w:val="00584C9E"/>
    <w:rsid w:val="00584DBA"/>
    <w:rsid w:val="00584DCC"/>
    <w:rsid w:val="00584DD9"/>
    <w:rsid w:val="0058512C"/>
    <w:rsid w:val="0058535E"/>
    <w:rsid w:val="005854FA"/>
    <w:rsid w:val="00585813"/>
    <w:rsid w:val="0058587C"/>
    <w:rsid w:val="00585AF2"/>
    <w:rsid w:val="005864BC"/>
    <w:rsid w:val="00586A18"/>
    <w:rsid w:val="00586A71"/>
    <w:rsid w:val="00586E06"/>
    <w:rsid w:val="005874B9"/>
    <w:rsid w:val="00587E05"/>
    <w:rsid w:val="005906B5"/>
    <w:rsid w:val="0059095F"/>
    <w:rsid w:val="00590AD7"/>
    <w:rsid w:val="00590B36"/>
    <w:rsid w:val="00590B54"/>
    <w:rsid w:val="00590C78"/>
    <w:rsid w:val="0059107E"/>
    <w:rsid w:val="0059123F"/>
    <w:rsid w:val="00591732"/>
    <w:rsid w:val="005919F5"/>
    <w:rsid w:val="00591CE7"/>
    <w:rsid w:val="005922F2"/>
    <w:rsid w:val="00592A78"/>
    <w:rsid w:val="00592E01"/>
    <w:rsid w:val="005936BE"/>
    <w:rsid w:val="00593AA2"/>
    <w:rsid w:val="00593ACE"/>
    <w:rsid w:val="00593F09"/>
    <w:rsid w:val="00594080"/>
    <w:rsid w:val="0059414C"/>
    <w:rsid w:val="005943D5"/>
    <w:rsid w:val="00594431"/>
    <w:rsid w:val="00594C26"/>
    <w:rsid w:val="00594C28"/>
    <w:rsid w:val="00594D29"/>
    <w:rsid w:val="00594FD2"/>
    <w:rsid w:val="005950FF"/>
    <w:rsid w:val="005951BE"/>
    <w:rsid w:val="005954BF"/>
    <w:rsid w:val="00596363"/>
    <w:rsid w:val="00596568"/>
    <w:rsid w:val="005967A5"/>
    <w:rsid w:val="00596AD0"/>
    <w:rsid w:val="00596B7C"/>
    <w:rsid w:val="00596CD8"/>
    <w:rsid w:val="005974D6"/>
    <w:rsid w:val="0059769F"/>
    <w:rsid w:val="00597788"/>
    <w:rsid w:val="0059792F"/>
    <w:rsid w:val="00597D2F"/>
    <w:rsid w:val="005A014E"/>
    <w:rsid w:val="005A03E5"/>
    <w:rsid w:val="005A0645"/>
    <w:rsid w:val="005A06BE"/>
    <w:rsid w:val="005A07BC"/>
    <w:rsid w:val="005A07C9"/>
    <w:rsid w:val="005A10C4"/>
    <w:rsid w:val="005A19D9"/>
    <w:rsid w:val="005A219A"/>
    <w:rsid w:val="005A28C1"/>
    <w:rsid w:val="005A2E73"/>
    <w:rsid w:val="005A31A3"/>
    <w:rsid w:val="005A3261"/>
    <w:rsid w:val="005A326F"/>
    <w:rsid w:val="005A3421"/>
    <w:rsid w:val="005A346C"/>
    <w:rsid w:val="005A34C1"/>
    <w:rsid w:val="005A3546"/>
    <w:rsid w:val="005A3599"/>
    <w:rsid w:val="005A391D"/>
    <w:rsid w:val="005A3A2C"/>
    <w:rsid w:val="005A3F7B"/>
    <w:rsid w:val="005A409E"/>
    <w:rsid w:val="005A4445"/>
    <w:rsid w:val="005A45CE"/>
    <w:rsid w:val="005A48AC"/>
    <w:rsid w:val="005A4A19"/>
    <w:rsid w:val="005A4DDC"/>
    <w:rsid w:val="005A5D72"/>
    <w:rsid w:val="005A609C"/>
    <w:rsid w:val="005A6146"/>
    <w:rsid w:val="005A6218"/>
    <w:rsid w:val="005A62A8"/>
    <w:rsid w:val="005A663F"/>
    <w:rsid w:val="005A69D3"/>
    <w:rsid w:val="005A6E3F"/>
    <w:rsid w:val="005A70EE"/>
    <w:rsid w:val="005A7245"/>
    <w:rsid w:val="005A7850"/>
    <w:rsid w:val="005A79B5"/>
    <w:rsid w:val="005A7A70"/>
    <w:rsid w:val="005B00D0"/>
    <w:rsid w:val="005B01E4"/>
    <w:rsid w:val="005B0442"/>
    <w:rsid w:val="005B047F"/>
    <w:rsid w:val="005B068B"/>
    <w:rsid w:val="005B103C"/>
    <w:rsid w:val="005B1495"/>
    <w:rsid w:val="005B15B5"/>
    <w:rsid w:val="005B1835"/>
    <w:rsid w:val="005B19AB"/>
    <w:rsid w:val="005B2163"/>
    <w:rsid w:val="005B29D2"/>
    <w:rsid w:val="005B3035"/>
    <w:rsid w:val="005B30DE"/>
    <w:rsid w:val="005B318E"/>
    <w:rsid w:val="005B3BBC"/>
    <w:rsid w:val="005B3C98"/>
    <w:rsid w:val="005B3EED"/>
    <w:rsid w:val="005B4C8E"/>
    <w:rsid w:val="005B4CA3"/>
    <w:rsid w:val="005B4EB5"/>
    <w:rsid w:val="005B4F3A"/>
    <w:rsid w:val="005B4F7C"/>
    <w:rsid w:val="005B5273"/>
    <w:rsid w:val="005B54F4"/>
    <w:rsid w:val="005B5C2A"/>
    <w:rsid w:val="005B5C6A"/>
    <w:rsid w:val="005B5CA3"/>
    <w:rsid w:val="005B5D60"/>
    <w:rsid w:val="005B5F93"/>
    <w:rsid w:val="005B62ED"/>
    <w:rsid w:val="005B6645"/>
    <w:rsid w:val="005B6675"/>
    <w:rsid w:val="005B6DFA"/>
    <w:rsid w:val="005B6E58"/>
    <w:rsid w:val="005B7152"/>
    <w:rsid w:val="005B7413"/>
    <w:rsid w:val="005B744F"/>
    <w:rsid w:val="005B750B"/>
    <w:rsid w:val="005B7FB7"/>
    <w:rsid w:val="005C02A6"/>
    <w:rsid w:val="005C052C"/>
    <w:rsid w:val="005C06C0"/>
    <w:rsid w:val="005C06F9"/>
    <w:rsid w:val="005C0712"/>
    <w:rsid w:val="005C0AC9"/>
    <w:rsid w:val="005C0DBD"/>
    <w:rsid w:val="005C0E17"/>
    <w:rsid w:val="005C11DB"/>
    <w:rsid w:val="005C148E"/>
    <w:rsid w:val="005C1B63"/>
    <w:rsid w:val="005C1D3B"/>
    <w:rsid w:val="005C2394"/>
    <w:rsid w:val="005C2572"/>
    <w:rsid w:val="005C26BD"/>
    <w:rsid w:val="005C27C8"/>
    <w:rsid w:val="005C29A6"/>
    <w:rsid w:val="005C29F3"/>
    <w:rsid w:val="005C2A86"/>
    <w:rsid w:val="005C2B25"/>
    <w:rsid w:val="005C3051"/>
    <w:rsid w:val="005C3227"/>
    <w:rsid w:val="005C34D7"/>
    <w:rsid w:val="005C34F1"/>
    <w:rsid w:val="005C3570"/>
    <w:rsid w:val="005C38F0"/>
    <w:rsid w:val="005C3987"/>
    <w:rsid w:val="005C3BF0"/>
    <w:rsid w:val="005C3E9E"/>
    <w:rsid w:val="005C41DF"/>
    <w:rsid w:val="005C47C6"/>
    <w:rsid w:val="005C4A02"/>
    <w:rsid w:val="005C4D4C"/>
    <w:rsid w:val="005C512A"/>
    <w:rsid w:val="005C525C"/>
    <w:rsid w:val="005C5621"/>
    <w:rsid w:val="005C564E"/>
    <w:rsid w:val="005C56A0"/>
    <w:rsid w:val="005C58B2"/>
    <w:rsid w:val="005C5B96"/>
    <w:rsid w:val="005C5E75"/>
    <w:rsid w:val="005C6396"/>
    <w:rsid w:val="005C6AAE"/>
    <w:rsid w:val="005C7269"/>
    <w:rsid w:val="005C74E8"/>
    <w:rsid w:val="005C758C"/>
    <w:rsid w:val="005C777C"/>
    <w:rsid w:val="005C7844"/>
    <w:rsid w:val="005C79CC"/>
    <w:rsid w:val="005C7AB6"/>
    <w:rsid w:val="005C7DF4"/>
    <w:rsid w:val="005D05D4"/>
    <w:rsid w:val="005D09CF"/>
    <w:rsid w:val="005D0C7E"/>
    <w:rsid w:val="005D0D2A"/>
    <w:rsid w:val="005D0DCB"/>
    <w:rsid w:val="005D1190"/>
    <w:rsid w:val="005D12F1"/>
    <w:rsid w:val="005D131E"/>
    <w:rsid w:val="005D14C6"/>
    <w:rsid w:val="005D1DB6"/>
    <w:rsid w:val="005D21D6"/>
    <w:rsid w:val="005D2261"/>
    <w:rsid w:val="005D2539"/>
    <w:rsid w:val="005D2607"/>
    <w:rsid w:val="005D2776"/>
    <w:rsid w:val="005D29E0"/>
    <w:rsid w:val="005D2C85"/>
    <w:rsid w:val="005D31ED"/>
    <w:rsid w:val="005D360A"/>
    <w:rsid w:val="005D3676"/>
    <w:rsid w:val="005D37E8"/>
    <w:rsid w:val="005D43E9"/>
    <w:rsid w:val="005D4567"/>
    <w:rsid w:val="005D462C"/>
    <w:rsid w:val="005D4733"/>
    <w:rsid w:val="005D4A4A"/>
    <w:rsid w:val="005D4B59"/>
    <w:rsid w:val="005D4D4C"/>
    <w:rsid w:val="005D4E59"/>
    <w:rsid w:val="005D538A"/>
    <w:rsid w:val="005D5497"/>
    <w:rsid w:val="005D55C3"/>
    <w:rsid w:val="005D565A"/>
    <w:rsid w:val="005D574F"/>
    <w:rsid w:val="005D5CBB"/>
    <w:rsid w:val="005D5F04"/>
    <w:rsid w:val="005D6116"/>
    <w:rsid w:val="005D6646"/>
    <w:rsid w:val="005D6BA7"/>
    <w:rsid w:val="005D6F90"/>
    <w:rsid w:val="005D702A"/>
    <w:rsid w:val="005D7329"/>
    <w:rsid w:val="005D775B"/>
    <w:rsid w:val="005D7A4B"/>
    <w:rsid w:val="005D7AF1"/>
    <w:rsid w:val="005D7C52"/>
    <w:rsid w:val="005D7CC6"/>
    <w:rsid w:val="005D7F02"/>
    <w:rsid w:val="005E09B1"/>
    <w:rsid w:val="005E0DE9"/>
    <w:rsid w:val="005E0E4E"/>
    <w:rsid w:val="005E0FAD"/>
    <w:rsid w:val="005E129C"/>
    <w:rsid w:val="005E1C4C"/>
    <w:rsid w:val="005E1C9F"/>
    <w:rsid w:val="005E1DEB"/>
    <w:rsid w:val="005E1F19"/>
    <w:rsid w:val="005E1F25"/>
    <w:rsid w:val="005E20A3"/>
    <w:rsid w:val="005E229F"/>
    <w:rsid w:val="005E268F"/>
    <w:rsid w:val="005E2705"/>
    <w:rsid w:val="005E29CB"/>
    <w:rsid w:val="005E2C49"/>
    <w:rsid w:val="005E3803"/>
    <w:rsid w:val="005E39A5"/>
    <w:rsid w:val="005E4141"/>
    <w:rsid w:val="005E4669"/>
    <w:rsid w:val="005E5017"/>
    <w:rsid w:val="005E50E7"/>
    <w:rsid w:val="005E5606"/>
    <w:rsid w:val="005E5E1C"/>
    <w:rsid w:val="005E656D"/>
    <w:rsid w:val="005E68E4"/>
    <w:rsid w:val="005E76A9"/>
    <w:rsid w:val="005E7AFC"/>
    <w:rsid w:val="005E7C1B"/>
    <w:rsid w:val="005E7CEC"/>
    <w:rsid w:val="005E7DBE"/>
    <w:rsid w:val="005E7ED0"/>
    <w:rsid w:val="005F00E7"/>
    <w:rsid w:val="005F0169"/>
    <w:rsid w:val="005F0379"/>
    <w:rsid w:val="005F0724"/>
    <w:rsid w:val="005F1469"/>
    <w:rsid w:val="005F149B"/>
    <w:rsid w:val="005F1B0B"/>
    <w:rsid w:val="005F26E6"/>
    <w:rsid w:val="005F27F7"/>
    <w:rsid w:val="005F2968"/>
    <w:rsid w:val="005F2C1F"/>
    <w:rsid w:val="005F318D"/>
    <w:rsid w:val="005F3257"/>
    <w:rsid w:val="005F331A"/>
    <w:rsid w:val="005F3325"/>
    <w:rsid w:val="005F39A0"/>
    <w:rsid w:val="005F45F4"/>
    <w:rsid w:val="005F473C"/>
    <w:rsid w:val="005F487D"/>
    <w:rsid w:val="005F4E44"/>
    <w:rsid w:val="005F4E52"/>
    <w:rsid w:val="005F4EAE"/>
    <w:rsid w:val="005F52AB"/>
    <w:rsid w:val="005F5411"/>
    <w:rsid w:val="005F5637"/>
    <w:rsid w:val="005F59C1"/>
    <w:rsid w:val="005F5BAF"/>
    <w:rsid w:val="005F5BD3"/>
    <w:rsid w:val="005F62D3"/>
    <w:rsid w:val="005F6587"/>
    <w:rsid w:val="005F6820"/>
    <w:rsid w:val="005F6BC9"/>
    <w:rsid w:val="005F6D06"/>
    <w:rsid w:val="005F6DDA"/>
    <w:rsid w:val="005F7132"/>
    <w:rsid w:val="005F7632"/>
    <w:rsid w:val="005F76AC"/>
    <w:rsid w:val="0060029F"/>
    <w:rsid w:val="00600391"/>
    <w:rsid w:val="00600C56"/>
    <w:rsid w:val="00600DBF"/>
    <w:rsid w:val="0060118F"/>
    <w:rsid w:val="00601482"/>
    <w:rsid w:val="006015A2"/>
    <w:rsid w:val="006016D5"/>
    <w:rsid w:val="00601DA9"/>
    <w:rsid w:val="006020C6"/>
    <w:rsid w:val="00602637"/>
    <w:rsid w:val="00602A38"/>
    <w:rsid w:val="00602E4A"/>
    <w:rsid w:val="00602FD5"/>
    <w:rsid w:val="00602FE6"/>
    <w:rsid w:val="0060316B"/>
    <w:rsid w:val="006032CB"/>
    <w:rsid w:val="00603629"/>
    <w:rsid w:val="0060374F"/>
    <w:rsid w:val="006038D5"/>
    <w:rsid w:val="00603A87"/>
    <w:rsid w:val="0060421E"/>
    <w:rsid w:val="0060441B"/>
    <w:rsid w:val="00604A33"/>
    <w:rsid w:val="00604DAA"/>
    <w:rsid w:val="00604DC1"/>
    <w:rsid w:val="00604FEE"/>
    <w:rsid w:val="00604FFA"/>
    <w:rsid w:val="006050A0"/>
    <w:rsid w:val="006054DA"/>
    <w:rsid w:val="006054EF"/>
    <w:rsid w:val="00605828"/>
    <w:rsid w:val="00605ADF"/>
    <w:rsid w:val="00605B7B"/>
    <w:rsid w:val="00605B9A"/>
    <w:rsid w:val="00605CE1"/>
    <w:rsid w:val="00605CE8"/>
    <w:rsid w:val="006060D3"/>
    <w:rsid w:val="00606600"/>
    <w:rsid w:val="00606854"/>
    <w:rsid w:val="006068A2"/>
    <w:rsid w:val="00606976"/>
    <w:rsid w:val="006074AE"/>
    <w:rsid w:val="00607896"/>
    <w:rsid w:val="00607D55"/>
    <w:rsid w:val="0061038A"/>
    <w:rsid w:val="006104C9"/>
    <w:rsid w:val="0061093C"/>
    <w:rsid w:val="006109FC"/>
    <w:rsid w:val="00610A54"/>
    <w:rsid w:val="006117F9"/>
    <w:rsid w:val="0061199A"/>
    <w:rsid w:val="00611BCB"/>
    <w:rsid w:val="00611D74"/>
    <w:rsid w:val="00611EB6"/>
    <w:rsid w:val="006123A7"/>
    <w:rsid w:val="0061251B"/>
    <w:rsid w:val="006129F2"/>
    <w:rsid w:val="00612EB1"/>
    <w:rsid w:val="006132B1"/>
    <w:rsid w:val="00613394"/>
    <w:rsid w:val="00613644"/>
    <w:rsid w:val="00613B69"/>
    <w:rsid w:val="00613D86"/>
    <w:rsid w:val="00613E80"/>
    <w:rsid w:val="0061442E"/>
    <w:rsid w:val="006144FB"/>
    <w:rsid w:val="0061451D"/>
    <w:rsid w:val="0061474B"/>
    <w:rsid w:val="0061479A"/>
    <w:rsid w:val="00614840"/>
    <w:rsid w:val="006149D4"/>
    <w:rsid w:val="00614E87"/>
    <w:rsid w:val="0061523F"/>
    <w:rsid w:val="0061530B"/>
    <w:rsid w:val="006154E3"/>
    <w:rsid w:val="00615EAF"/>
    <w:rsid w:val="00615F4F"/>
    <w:rsid w:val="00616033"/>
    <w:rsid w:val="00616432"/>
    <w:rsid w:val="006165F7"/>
    <w:rsid w:val="006166BF"/>
    <w:rsid w:val="00616C2E"/>
    <w:rsid w:val="00616F34"/>
    <w:rsid w:val="0061721D"/>
    <w:rsid w:val="00617623"/>
    <w:rsid w:val="00617755"/>
    <w:rsid w:val="00617967"/>
    <w:rsid w:val="00617E05"/>
    <w:rsid w:val="00617FED"/>
    <w:rsid w:val="00620286"/>
    <w:rsid w:val="006206EC"/>
    <w:rsid w:val="00620990"/>
    <w:rsid w:val="00620A6C"/>
    <w:rsid w:val="00620A91"/>
    <w:rsid w:val="00620B8C"/>
    <w:rsid w:val="00620BE8"/>
    <w:rsid w:val="00620C53"/>
    <w:rsid w:val="00620EC1"/>
    <w:rsid w:val="00621455"/>
    <w:rsid w:val="006217EC"/>
    <w:rsid w:val="00621C25"/>
    <w:rsid w:val="00621CD6"/>
    <w:rsid w:val="00621D74"/>
    <w:rsid w:val="00621F9D"/>
    <w:rsid w:val="00622768"/>
    <w:rsid w:val="006227A5"/>
    <w:rsid w:val="006227D9"/>
    <w:rsid w:val="00623170"/>
    <w:rsid w:val="0062383D"/>
    <w:rsid w:val="00623952"/>
    <w:rsid w:val="00623E6E"/>
    <w:rsid w:val="00623ED4"/>
    <w:rsid w:val="0062402C"/>
    <w:rsid w:val="00624149"/>
    <w:rsid w:val="00624A30"/>
    <w:rsid w:val="00624B28"/>
    <w:rsid w:val="00624DCC"/>
    <w:rsid w:val="00625312"/>
    <w:rsid w:val="00625850"/>
    <w:rsid w:val="006258FE"/>
    <w:rsid w:val="0062644B"/>
    <w:rsid w:val="00626A51"/>
    <w:rsid w:val="00626BB8"/>
    <w:rsid w:val="00626D28"/>
    <w:rsid w:val="00627519"/>
    <w:rsid w:val="00627729"/>
    <w:rsid w:val="0062798D"/>
    <w:rsid w:val="00627EC9"/>
    <w:rsid w:val="006300F0"/>
    <w:rsid w:val="00630638"/>
    <w:rsid w:val="006306FC"/>
    <w:rsid w:val="00630B84"/>
    <w:rsid w:val="00630C41"/>
    <w:rsid w:val="00630C67"/>
    <w:rsid w:val="00630DDF"/>
    <w:rsid w:val="0063112D"/>
    <w:rsid w:val="00631180"/>
    <w:rsid w:val="00631548"/>
    <w:rsid w:val="00631B77"/>
    <w:rsid w:val="00631FFE"/>
    <w:rsid w:val="00632194"/>
    <w:rsid w:val="00632ADD"/>
    <w:rsid w:val="00632B1E"/>
    <w:rsid w:val="00632E35"/>
    <w:rsid w:val="00633908"/>
    <w:rsid w:val="00633AD9"/>
    <w:rsid w:val="00633F07"/>
    <w:rsid w:val="006341FB"/>
    <w:rsid w:val="00634A78"/>
    <w:rsid w:val="00634C76"/>
    <w:rsid w:val="00634E4A"/>
    <w:rsid w:val="0063507C"/>
    <w:rsid w:val="00635131"/>
    <w:rsid w:val="006354B7"/>
    <w:rsid w:val="0063572E"/>
    <w:rsid w:val="00635AEA"/>
    <w:rsid w:val="00635B37"/>
    <w:rsid w:val="00635CB1"/>
    <w:rsid w:val="00636059"/>
    <w:rsid w:val="0063611E"/>
    <w:rsid w:val="00636202"/>
    <w:rsid w:val="00636B30"/>
    <w:rsid w:val="00636E0F"/>
    <w:rsid w:val="00636E8E"/>
    <w:rsid w:val="006376C6"/>
    <w:rsid w:val="00637AF8"/>
    <w:rsid w:val="00640011"/>
    <w:rsid w:val="00640662"/>
    <w:rsid w:val="00640864"/>
    <w:rsid w:val="00640AA8"/>
    <w:rsid w:val="00640F0B"/>
    <w:rsid w:val="006412CE"/>
    <w:rsid w:val="006412EB"/>
    <w:rsid w:val="006413DA"/>
    <w:rsid w:val="00641A5E"/>
    <w:rsid w:val="00641BBB"/>
    <w:rsid w:val="006420BF"/>
    <w:rsid w:val="006424BD"/>
    <w:rsid w:val="006426A3"/>
    <w:rsid w:val="00642809"/>
    <w:rsid w:val="00643AF5"/>
    <w:rsid w:val="00644109"/>
    <w:rsid w:val="00644197"/>
    <w:rsid w:val="00644484"/>
    <w:rsid w:val="00644B4C"/>
    <w:rsid w:val="00644DD9"/>
    <w:rsid w:val="00644F16"/>
    <w:rsid w:val="00645096"/>
    <w:rsid w:val="00645244"/>
    <w:rsid w:val="00645255"/>
    <w:rsid w:val="0064541F"/>
    <w:rsid w:val="0064549E"/>
    <w:rsid w:val="006454CC"/>
    <w:rsid w:val="00645881"/>
    <w:rsid w:val="00645B80"/>
    <w:rsid w:val="00645D75"/>
    <w:rsid w:val="00645DEB"/>
    <w:rsid w:val="00645E29"/>
    <w:rsid w:val="00645EAC"/>
    <w:rsid w:val="00646039"/>
    <w:rsid w:val="00646359"/>
    <w:rsid w:val="00646467"/>
    <w:rsid w:val="00646F19"/>
    <w:rsid w:val="0064721E"/>
    <w:rsid w:val="0064746A"/>
    <w:rsid w:val="00647543"/>
    <w:rsid w:val="00647576"/>
    <w:rsid w:val="00647587"/>
    <w:rsid w:val="006500A0"/>
    <w:rsid w:val="0065071B"/>
    <w:rsid w:val="0065077F"/>
    <w:rsid w:val="0065097D"/>
    <w:rsid w:val="00650CAA"/>
    <w:rsid w:val="0065160B"/>
    <w:rsid w:val="0065224D"/>
    <w:rsid w:val="006522E9"/>
    <w:rsid w:val="00652471"/>
    <w:rsid w:val="006525E4"/>
    <w:rsid w:val="006528CE"/>
    <w:rsid w:val="00652A7A"/>
    <w:rsid w:val="00652BB2"/>
    <w:rsid w:val="00652C46"/>
    <w:rsid w:val="00652E59"/>
    <w:rsid w:val="00652E8C"/>
    <w:rsid w:val="006532C6"/>
    <w:rsid w:val="0065361A"/>
    <w:rsid w:val="00653882"/>
    <w:rsid w:val="00654396"/>
    <w:rsid w:val="006543A1"/>
    <w:rsid w:val="006544EB"/>
    <w:rsid w:val="00654569"/>
    <w:rsid w:val="006545A2"/>
    <w:rsid w:val="00654B76"/>
    <w:rsid w:val="00654DB6"/>
    <w:rsid w:val="00654F1C"/>
    <w:rsid w:val="006551EE"/>
    <w:rsid w:val="00655788"/>
    <w:rsid w:val="00655872"/>
    <w:rsid w:val="00655E62"/>
    <w:rsid w:val="00655FAE"/>
    <w:rsid w:val="0065637E"/>
    <w:rsid w:val="006566FE"/>
    <w:rsid w:val="00656734"/>
    <w:rsid w:val="006567A5"/>
    <w:rsid w:val="00656B79"/>
    <w:rsid w:val="00656C30"/>
    <w:rsid w:val="00656D2D"/>
    <w:rsid w:val="00657209"/>
    <w:rsid w:val="00657705"/>
    <w:rsid w:val="00657CDC"/>
    <w:rsid w:val="00657D55"/>
    <w:rsid w:val="006600EA"/>
    <w:rsid w:val="006605C4"/>
    <w:rsid w:val="006605F5"/>
    <w:rsid w:val="006608D5"/>
    <w:rsid w:val="0066091B"/>
    <w:rsid w:val="00661096"/>
    <w:rsid w:val="00661907"/>
    <w:rsid w:val="00661CD8"/>
    <w:rsid w:val="00662055"/>
    <w:rsid w:val="006620E0"/>
    <w:rsid w:val="006622AE"/>
    <w:rsid w:val="00662F7F"/>
    <w:rsid w:val="00663C18"/>
    <w:rsid w:val="00663EC3"/>
    <w:rsid w:val="0066421B"/>
    <w:rsid w:val="00664338"/>
    <w:rsid w:val="0066454C"/>
    <w:rsid w:val="00664585"/>
    <w:rsid w:val="00665039"/>
    <w:rsid w:val="00665196"/>
    <w:rsid w:val="00665D76"/>
    <w:rsid w:val="00665F61"/>
    <w:rsid w:val="00666522"/>
    <w:rsid w:val="00666757"/>
    <w:rsid w:val="0066675F"/>
    <w:rsid w:val="006668D8"/>
    <w:rsid w:val="00666AFB"/>
    <w:rsid w:val="00666BF4"/>
    <w:rsid w:val="00667215"/>
    <w:rsid w:val="0066732B"/>
    <w:rsid w:val="00667A31"/>
    <w:rsid w:val="00667C74"/>
    <w:rsid w:val="00670284"/>
    <w:rsid w:val="006703CA"/>
    <w:rsid w:val="00670591"/>
    <w:rsid w:val="006710AC"/>
    <w:rsid w:val="00671349"/>
    <w:rsid w:val="006716BF"/>
    <w:rsid w:val="0067194E"/>
    <w:rsid w:val="00671BC9"/>
    <w:rsid w:val="00671BF9"/>
    <w:rsid w:val="00671E4F"/>
    <w:rsid w:val="00672669"/>
    <w:rsid w:val="006726C3"/>
    <w:rsid w:val="00672895"/>
    <w:rsid w:val="00672C1B"/>
    <w:rsid w:val="00672F44"/>
    <w:rsid w:val="00672F7B"/>
    <w:rsid w:val="00673042"/>
    <w:rsid w:val="0067329A"/>
    <w:rsid w:val="00673456"/>
    <w:rsid w:val="0067348A"/>
    <w:rsid w:val="006734B7"/>
    <w:rsid w:val="00673581"/>
    <w:rsid w:val="006736A7"/>
    <w:rsid w:val="0067375E"/>
    <w:rsid w:val="00673807"/>
    <w:rsid w:val="00673A70"/>
    <w:rsid w:val="00673C70"/>
    <w:rsid w:val="00674212"/>
    <w:rsid w:val="00674DE5"/>
    <w:rsid w:val="00675404"/>
    <w:rsid w:val="006756CA"/>
    <w:rsid w:val="00675B12"/>
    <w:rsid w:val="006766D3"/>
    <w:rsid w:val="0067693F"/>
    <w:rsid w:val="00676A01"/>
    <w:rsid w:val="00676B62"/>
    <w:rsid w:val="00676D95"/>
    <w:rsid w:val="00676DFF"/>
    <w:rsid w:val="0067716E"/>
    <w:rsid w:val="00677361"/>
    <w:rsid w:val="0067764F"/>
    <w:rsid w:val="00677673"/>
    <w:rsid w:val="0067788C"/>
    <w:rsid w:val="006778E7"/>
    <w:rsid w:val="0067795F"/>
    <w:rsid w:val="00677981"/>
    <w:rsid w:val="00677B55"/>
    <w:rsid w:val="00677E64"/>
    <w:rsid w:val="00677FE1"/>
    <w:rsid w:val="0068008C"/>
    <w:rsid w:val="0068069A"/>
    <w:rsid w:val="006808B3"/>
    <w:rsid w:val="006814D0"/>
    <w:rsid w:val="00681613"/>
    <w:rsid w:val="006819B0"/>
    <w:rsid w:val="00681B0E"/>
    <w:rsid w:val="00681D13"/>
    <w:rsid w:val="00681FBF"/>
    <w:rsid w:val="006820C9"/>
    <w:rsid w:val="006820D8"/>
    <w:rsid w:val="0068237A"/>
    <w:rsid w:val="006823EC"/>
    <w:rsid w:val="006827D3"/>
    <w:rsid w:val="00682898"/>
    <w:rsid w:val="00683171"/>
    <w:rsid w:val="0068318B"/>
    <w:rsid w:val="006831CA"/>
    <w:rsid w:val="0068371A"/>
    <w:rsid w:val="00683A37"/>
    <w:rsid w:val="00683B1B"/>
    <w:rsid w:val="00683B67"/>
    <w:rsid w:val="00683B77"/>
    <w:rsid w:val="00683C95"/>
    <w:rsid w:val="0068422B"/>
    <w:rsid w:val="006842CF"/>
    <w:rsid w:val="006846D8"/>
    <w:rsid w:val="00684A71"/>
    <w:rsid w:val="00684C2A"/>
    <w:rsid w:val="00684E89"/>
    <w:rsid w:val="00684FAC"/>
    <w:rsid w:val="006851A9"/>
    <w:rsid w:val="006851CF"/>
    <w:rsid w:val="006851EC"/>
    <w:rsid w:val="00685618"/>
    <w:rsid w:val="006859D9"/>
    <w:rsid w:val="006859DA"/>
    <w:rsid w:val="00685B57"/>
    <w:rsid w:val="00686647"/>
    <w:rsid w:val="006866B2"/>
    <w:rsid w:val="00686966"/>
    <w:rsid w:val="00686B84"/>
    <w:rsid w:val="0068750A"/>
    <w:rsid w:val="00687709"/>
    <w:rsid w:val="00687C58"/>
    <w:rsid w:val="00687D56"/>
    <w:rsid w:val="00687EEE"/>
    <w:rsid w:val="006900C8"/>
    <w:rsid w:val="0069016B"/>
    <w:rsid w:val="00690434"/>
    <w:rsid w:val="006909A6"/>
    <w:rsid w:val="00690A02"/>
    <w:rsid w:val="00690AD8"/>
    <w:rsid w:val="00690B2A"/>
    <w:rsid w:val="00690E32"/>
    <w:rsid w:val="00691105"/>
    <w:rsid w:val="006915EB"/>
    <w:rsid w:val="0069163B"/>
    <w:rsid w:val="00691763"/>
    <w:rsid w:val="006921DF"/>
    <w:rsid w:val="006924D3"/>
    <w:rsid w:val="0069279F"/>
    <w:rsid w:val="00692977"/>
    <w:rsid w:val="00692A52"/>
    <w:rsid w:val="00692DB5"/>
    <w:rsid w:val="006930C3"/>
    <w:rsid w:val="006933F7"/>
    <w:rsid w:val="006934B5"/>
    <w:rsid w:val="00693911"/>
    <w:rsid w:val="00693EFA"/>
    <w:rsid w:val="00693F84"/>
    <w:rsid w:val="006940C4"/>
    <w:rsid w:val="0069440D"/>
    <w:rsid w:val="0069479C"/>
    <w:rsid w:val="00694CF3"/>
    <w:rsid w:val="00694DE7"/>
    <w:rsid w:val="00694EB5"/>
    <w:rsid w:val="00695115"/>
    <w:rsid w:val="00695447"/>
    <w:rsid w:val="00695448"/>
    <w:rsid w:val="00695623"/>
    <w:rsid w:val="00696179"/>
    <w:rsid w:val="0069636B"/>
    <w:rsid w:val="00696F0F"/>
    <w:rsid w:val="00696F60"/>
    <w:rsid w:val="00697016"/>
    <w:rsid w:val="006970AF"/>
    <w:rsid w:val="006970EB"/>
    <w:rsid w:val="0069715A"/>
    <w:rsid w:val="006973C7"/>
    <w:rsid w:val="0069785F"/>
    <w:rsid w:val="00697B48"/>
    <w:rsid w:val="00697EA1"/>
    <w:rsid w:val="006A039A"/>
    <w:rsid w:val="006A0503"/>
    <w:rsid w:val="006A0BE4"/>
    <w:rsid w:val="006A0C1A"/>
    <w:rsid w:val="006A0F12"/>
    <w:rsid w:val="006A143E"/>
    <w:rsid w:val="006A1446"/>
    <w:rsid w:val="006A155A"/>
    <w:rsid w:val="006A1B5E"/>
    <w:rsid w:val="006A21E7"/>
    <w:rsid w:val="006A22C3"/>
    <w:rsid w:val="006A238A"/>
    <w:rsid w:val="006A2543"/>
    <w:rsid w:val="006A28A9"/>
    <w:rsid w:val="006A2D7E"/>
    <w:rsid w:val="006A2E24"/>
    <w:rsid w:val="006A30CD"/>
    <w:rsid w:val="006A31B6"/>
    <w:rsid w:val="006A34F2"/>
    <w:rsid w:val="006A3A09"/>
    <w:rsid w:val="006A3AD3"/>
    <w:rsid w:val="006A3B1E"/>
    <w:rsid w:val="006A3D3C"/>
    <w:rsid w:val="006A42BE"/>
    <w:rsid w:val="006A43DF"/>
    <w:rsid w:val="006A46FC"/>
    <w:rsid w:val="006A4782"/>
    <w:rsid w:val="006A4811"/>
    <w:rsid w:val="006A4AA3"/>
    <w:rsid w:val="006A4AEA"/>
    <w:rsid w:val="006A4B2E"/>
    <w:rsid w:val="006A5034"/>
    <w:rsid w:val="006A53EA"/>
    <w:rsid w:val="006A57C4"/>
    <w:rsid w:val="006A5B99"/>
    <w:rsid w:val="006A604F"/>
    <w:rsid w:val="006A62E8"/>
    <w:rsid w:val="006A6A08"/>
    <w:rsid w:val="006A6B04"/>
    <w:rsid w:val="006A6F82"/>
    <w:rsid w:val="006A70B6"/>
    <w:rsid w:val="006A7160"/>
    <w:rsid w:val="006A71BB"/>
    <w:rsid w:val="006A7381"/>
    <w:rsid w:val="006A7490"/>
    <w:rsid w:val="006A76E2"/>
    <w:rsid w:val="006A7AF7"/>
    <w:rsid w:val="006A7D9F"/>
    <w:rsid w:val="006A7F84"/>
    <w:rsid w:val="006B00B1"/>
    <w:rsid w:val="006B04F5"/>
    <w:rsid w:val="006B0CEC"/>
    <w:rsid w:val="006B13B4"/>
    <w:rsid w:val="006B1426"/>
    <w:rsid w:val="006B1A00"/>
    <w:rsid w:val="006B1BB2"/>
    <w:rsid w:val="006B1D8F"/>
    <w:rsid w:val="006B20C9"/>
    <w:rsid w:val="006B246C"/>
    <w:rsid w:val="006B25D8"/>
    <w:rsid w:val="006B2686"/>
    <w:rsid w:val="006B29FB"/>
    <w:rsid w:val="006B2ED6"/>
    <w:rsid w:val="006B2EF8"/>
    <w:rsid w:val="006B2FAE"/>
    <w:rsid w:val="006B301D"/>
    <w:rsid w:val="006B35E3"/>
    <w:rsid w:val="006B37FD"/>
    <w:rsid w:val="006B3D54"/>
    <w:rsid w:val="006B3D98"/>
    <w:rsid w:val="006B4652"/>
    <w:rsid w:val="006B498C"/>
    <w:rsid w:val="006B54F7"/>
    <w:rsid w:val="006B5901"/>
    <w:rsid w:val="006B5BB5"/>
    <w:rsid w:val="006B5D8C"/>
    <w:rsid w:val="006B5F56"/>
    <w:rsid w:val="006B602D"/>
    <w:rsid w:val="006B607F"/>
    <w:rsid w:val="006B6AB2"/>
    <w:rsid w:val="006B6AE0"/>
    <w:rsid w:val="006B6BF4"/>
    <w:rsid w:val="006B6DDC"/>
    <w:rsid w:val="006B7153"/>
    <w:rsid w:val="006B736B"/>
    <w:rsid w:val="006B769D"/>
    <w:rsid w:val="006B778F"/>
    <w:rsid w:val="006B7A24"/>
    <w:rsid w:val="006B7B8D"/>
    <w:rsid w:val="006B7BFF"/>
    <w:rsid w:val="006B7C01"/>
    <w:rsid w:val="006B7D90"/>
    <w:rsid w:val="006B7D98"/>
    <w:rsid w:val="006B7E0D"/>
    <w:rsid w:val="006C02AE"/>
    <w:rsid w:val="006C0408"/>
    <w:rsid w:val="006C0E2C"/>
    <w:rsid w:val="006C1458"/>
    <w:rsid w:val="006C1643"/>
    <w:rsid w:val="006C1D41"/>
    <w:rsid w:val="006C1EC8"/>
    <w:rsid w:val="006C1EF9"/>
    <w:rsid w:val="006C1F58"/>
    <w:rsid w:val="006C20EE"/>
    <w:rsid w:val="006C22E5"/>
    <w:rsid w:val="006C2313"/>
    <w:rsid w:val="006C2447"/>
    <w:rsid w:val="006C26C1"/>
    <w:rsid w:val="006C312D"/>
    <w:rsid w:val="006C38DB"/>
    <w:rsid w:val="006C398C"/>
    <w:rsid w:val="006C39D5"/>
    <w:rsid w:val="006C3FCF"/>
    <w:rsid w:val="006C470F"/>
    <w:rsid w:val="006C47B6"/>
    <w:rsid w:val="006C4A5E"/>
    <w:rsid w:val="006C4C97"/>
    <w:rsid w:val="006C5134"/>
    <w:rsid w:val="006C51C4"/>
    <w:rsid w:val="006C5278"/>
    <w:rsid w:val="006C56FC"/>
    <w:rsid w:val="006C5B7A"/>
    <w:rsid w:val="006C5E86"/>
    <w:rsid w:val="006C6750"/>
    <w:rsid w:val="006C67BB"/>
    <w:rsid w:val="006C67F3"/>
    <w:rsid w:val="006C680C"/>
    <w:rsid w:val="006C6950"/>
    <w:rsid w:val="006C6AC4"/>
    <w:rsid w:val="006C6C38"/>
    <w:rsid w:val="006C6ED2"/>
    <w:rsid w:val="006C7041"/>
    <w:rsid w:val="006C70E2"/>
    <w:rsid w:val="006C7711"/>
    <w:rsid w:val="006C7962"/>
    <w:rsid w:val="006D03BF"/>
    <w:rsid w:val="006D0414"/>
    <w:rsid w:val="006D0443"/>
    <w:rsid w:val="006D0FC4"/>
    <w:rsid w:val="006D109B"/>
    <w:rsid w:val="006D109F"/>
    <w:rsid w:val="006D11D9"/>
    <w:rsid w:val="006D12F5"/>
    <w:rsid w:val="006D139E"/>
    <w:rsid w:val="006D1524"/>
    <w:rsid w:val="006D1AE1"/>
    <w:rsid w:val="006D1B5A"/>
    <w:rsid w:val="006D1D86"/>
    <w:rsid w:val="006D1FC7"/>
    <w:rsid w:val="006D2157"/>
    <w:rsid w:val="006D2280"/>
    <w:rsid w:val="006D2D5B"/>
    <w:rsid w:val="006D2E2B"/>
    <w:rsid w:val="006D3379"/>
    <w:rsid w:val="006D3433"/>
    <w:rsid w:val="006D37E8"/>
    <w:rsid w:val="006D3856"/>
    <w:rsid w:val="006D3A25"/>
    <w:rsid w:val="006D3ED2"/>
    <w:rsid w:val="006D3FAB"/>
    <w:rsid w:val="006D4010"/>
    <w:rsid w:val="006D4101"/>
    <w:rsid w:val="006D47CB"/>
    <w:rsid w:val="006D480C"/>
    <w:rsid w:val="006D49DF"/>
    <w:rsid w:val="006D4F3B"/>
    <w:rsid w:val="006D5265"/>
    <w:rsid w:val="006D57F2"/>
    <w:rsid w:val="006D67AA"/>
    <w:rsid w:val="006D6927"/>
    <w:rsid w:val="006D6A6C"/>
    <w:rsid w:val="006D6B92"/>
    <w:rsid w:val="006D6EC8"/>
    <w:rsid w:val="006D7021"/>
    <w:rsid w:val="006D70EF"/>
    <w:rsid w:val="006D72C0"/>
    <w:rsid w:val="006D7706"/>
    <w:rsid w:val="006D7AB7"/>
    <w:rsid w:val="006D7BDD"/>
    <w:rsid w:val="006D7C9B"/>
    <w:rsid w:val="006D7D86"/>
    <w:rsid w:val="006D7F01"/>
    <w:rsid w:val="006D7FB2"/>
    <w:rsid w:val="006E0579"/>
    <w:rsid w:val="006E08CA"/>
    <w:rsid w:val="006E0BA6"/>
    <w:rsid w:val="006E0C8C"/>
    <w:rsid w:val="006E0F2B"/>
    <w:rsid w:val="006E0F39"/>
    <w:rsid w:val="006E1416"/>
    <w:rsid w:val="006E162E"/>
    <w:rsid w:val="006E1BEF"/>
    <w:rsid w:val="006E1D44"/>
    <w:rsid w:val="006E2214"/>
    <w:rsid w:val="006E2338"/>
    <w:rsid w:val="006E244D"/>
    <w:rsid w:val="006E2509"/>
    <w:rsid w:val="006E26F7"/>
    <w:rsid w:val="006E309A"/>
    <w:rsid w:val="006E335C"/>
    <w:rsid w:val="006E3D3A"/>
    <w:rsid w:val="006E3DA6"/>
    <w:rsid w:val="006E40AE"/>
    <w:rsid w:val="006E41CE"/>
    <w:rsid w:val="006E433C"/>
    <w:rsid w:val="006E4D4B"/>
    <w:rsid w:val="006E4D8B"/>
    <w:rsid w:val="006E504E"/>
    <w:rsid w:val="006E52A2"/>
    <w:rsid w:val="006E54D0"/>
    <w:rsid w:val="006E5510"/>
    <w:rsid w:val="006E5B12"/>
    <w:rsid w:val="006E5BF4"/>
    <w:rsid w:val="006E5D6E"/>
    <w:rsid w:val="006E6101"/>
    <w:rsid w:val="006E61B8"/>
    <w:rsid w:val="006E630D"/>
    <w:rsid w:val="006E64EB"/>
    <w:rsid w:val="006E66BB"/>
    <w:rsid w:val="006E67E0"/>
    <w:rsid w:val="006E67E5"/>
    <w:rsid w:val="006E6B39"/>
    <w:rsid w:val="006E6C1C"/>
    <w:rsid w:val="006E6D20"/>
    <w:rsid w:val="006E6DE6"/>
    <w:rsid w:val="006E7450"/>
    <w:rsid w:val="006E7459"/>
    <w:rsid w:val="006E745A"/>
    <w:rsid w:val="006E78AA"/>
    <w:rsid w:val="006E79A2"/>
    <w:rsid w:val="006E7A60"/>
    <w:rsid w:val="006E7D38"/>
    <w:rsid w:val="006E7E78"/>
    <w:rsid w:val="006F0438"/>
    <w:rsid w:val="006F06BE"/>
    <w:rsid w:val="006F0DCB"/>
    <w:rsid w:val="006F0E20"/>
    <w:rsid w:val="006F1078"/>
    <w:rsid w:val="006F12EF"/>
    <w:rsid w:val="006F1770"/>
    <w:rsid w:val="006F1A32"/>
    <w:rsid w:val="006F1B04"/>
    <w:rsid w:val="006F1F4B"/>
    <w:rsid w:val="006F2106"/>
    <w:rsid w:val="006F2ACA"/>
    <w:rsid w:val="006F2CB3"/>
    <w:rsid w:val="006F2F94"/>
    <w:rsid w:val="006F2FC7"/>
    <w:rsid w:val="006F39B8"/>
    <w:rsid w:val="006F40DB"/>
    <w:rsid w:val="006F48D6"/>
    <w:rsid w:val="006F4951"/>
    <w:rsid w:val="006F4C79"/>
    <w:rsid w:val="006F56CA"/>
    <w:rsid w:val="006F5846"/>
    <w:rsid w:val="006F5C74"/>
    <w:rsid w:val="006F5CEE"/>
    <w:rsid w:val="006F6171"/>
    <w:rsid w:val="006F623D"/>
    <w:rsid w:val="006F6533"/>
    <w:rsid w:val="006F6961"/>
    <w:rsid w:val="006F69C8"/>
    <w:rsid w:val="006F6AFA"/>
    <w:rsid w:val="006F6BA6"/>
    <w:rsid w:val="006F6C65"/>
    <w:rsid w:val="006F6E99"/>
    <w:rsid w:val="006F71A5"/>
    <w:rsid w:val="006F775A"/>
    <w:rsid w:val="006F7946"/>
    <w:rsid w:val="006F7E78"/>
    <w:rsid w:val="006F7F75"/>
    <w:rsid w:val="00700670"/>
    <w:rsid w:val="007009F4"/>
    <w:rsid w:val="00700BAD"/>
    <w:rsid w:val="00700C90"/>
    <w:rsid w:val="00700DE2"/>
    <w:rsid w:val="007011D0"/>
    <w:rsid w:val="007014A3"/>
    <w:rsid w:val="0070169F"/>
    <w:rsid w:val="007016F6"/>
    <w:rsid w:val="00702106"/>
    <w:rsid w:val="0070211B"/>
    <w:rsid w:val="00702357"/>
    <w:rsid w:val="00702404"/>
    <w:rsid w:val="007026C6"/>
    <w:rsid w:val="00702838"/>
    <w:rsid w:val="007028AC"/>
    <w:rsid w:val="0070297C"/>
    <w:rsid w:val="00703282"/>
    <w:rsid w:val="007033C1"/>
    <w:rsid w:val="007035B8"/>
    <w:rsid w:val="00703BCF"/>
    <w:rsid w:val="00703BF5"/>
    <w:rsid w:val="00703F1E"/>
    <w:rsid w:val="00703F30"/>
    <w:rsid w:val="00703FED"/>
    <w:rsid w:val="0070408D"/>
    <w:rsid w:val="007040AD"/>
    <w:rsid w:val="00704179"/>
    <w:rsid w:val="00704423"/>
    <w:rsid w:val="007048E3"/>
    <w:rsid w:val="00704DCC"/>
    <w:rsid w:val="00704EF7"/>
    <w:rsid w:val="00704F7E"/>
    <w:rsid w:val="00705018"/>
    <w:rsid w:val="007050D5"/>
    <w:rsid w:val="0070554A"/>
    <w:rsid w:val="00705766"/>
    <w:rsid w:val="007058F7"/>
    <w:rsid w:val="0070592B"/>
    <w:rsid w:val="00705AB1"/>
    <w:rsid w:val="00705CDD"/>
    <w:rsid w:val="00705DE8"/>
    <w:rsid w:val="00705DEF"/>
    <w:rsid w:val="00705F06"/>
    <w:rsid w:val="00706656"/>
    <w:rsid w:val="00706736"/>
    <w:rsid w:val="00706FCD"/>
    <w:rsid w:val="00707064"/>
    <w:rsid w:val="00707430"/>
    <w:rsid w:val="007075F6"/>
    <w:rsid w:val="00707B61"/>
    <w:rsid w:val="0071022C"/>
    <w:rsid w:val="0071028C"/>
    <w:rsid w:val="00710716"/>
    <w:rsid w:val="00710AF0"/>
    <w:rsid w:val="00710F5F"/>
    <w:rsid w:val="00710FF3"/>
    <w:rsid w:val="007113D6"/>
    <w:rsid w:val="0071162E"/>
    <w:rsid w:val="00711827"/>
    <w:rsid w:val="00711BEE"/>
    <w:rsid w:val="00711D76"/>
    <w:rsid w:val="00711F19"/>
    <w:rsid w:val="00712406"/>
    <w:rsid w:val="0071293F"/>
    <w:rsid w:val="00712DD1"/>
    <w:rsid w:val="00712E9C"/>
    <w:rsid w:val="00713591"/>
    <w:rsid w:val="0071361F"/>
    <w:rsid w:val="00713CF7"/>
    <w:rsid w:val="00713E9C"/>
    <w:rsid w:val="0071406B"/>
    <w:rsid w:val="0071428C"/>
    <w:rsid w:val="007146F4"/>
    <w:rsid w:val="007147F9"/>
    <w:rsid w:val="00714893"/>
    <w:rsid w:val="00714E90"/>
    <w:rsid w:val="00714F03"/>
    <w:rsid w:val="007154C6"/>
    <w:rsid w:val="00715D39"/>
    <w:rsid w:val="00715EDB"/>
    <w:rsid w:val="00716052"/>
    <w:rsid w:val="00716314"/>
    <w:rsid w:val="00716331"/>
    <w:rsid w:val="007165AD"/>
    <w:rsid w:val="0071696B"/>
    <w:rsid w:val="00716C5B"/>
    <w:rsid w:val="00716D23"/>
    <w:rsid w:val="0071754F"/>
    <w:rsid w:val="00717BE6"/>
    <w:rsid w:val="007207BB"/>
    <w:rsid w:val="00720AEF"/>
    <w:rsid w:val="00720B7A"/>
    <w:rsid w:val="00720C5F"/>
    <w:rsid w:val="00720D8A"/>
    <w:rsid w:val="00720FFD"/>
    <w:rsid w:val="0072115D"/>
    <w:rsid w:val="00721B03"/>
    <w:rsid w:val="00721D2E"/>
    <w:rsid w:val="00721DC2"/>
    <w:rsid w:val="00721F92"/>
    <w:rsid w:val="00722080"/>
    <w:rsid w:val="00722310"/>
    <w:rsid w:val="007224F5"/>
    <w:rsid w:val="007225CC"/>
    <w:rsid w:val="007225E7"/>
    <w:rsid w:val="007225EC"/>
    <w:rsid w:val="00722899"/>
    <w:rsid w:val="00722A98"/>
    <w:rsid w:val="007236D2"/>
    <w:rsid w:val="0072399A"/>
    <w:rsid w:val="00723E33"/>
    <w:rsid w:val="00724739"/>
    <w:rsid w:val="00724953"/>
    <w:rsid w:val="00725023"/>
    <w:rsid w:val="007254B6"/>
    <w:rsid w:val="007255B4"/>
    <w:rsid w:val="00725846"/>
    <w:rsid w:val="00725A81"/>
    <w:rsid w:val="00725B82"/>
    <w:rsid w:val="00725E3A"/>
    <w:rsid w:val="007260B7"/>
    <w:rsid w:val="00726760"/>
    <w:rsid w:val="00726903"/>
    <w:rsid w:val="00726A92"/>
    <w:rsid w:val="00726AFF"/>
    <w:rsid w:val="00726BF8"/>
    <w:rsid w:val="00726E5D"/>
    <w:rsid w:val="00727309"/>
    <w:rsid w:val="00727A13"/>
    <w:rsid w:val="00730024"/>
    <w:rsid w:val="007307B1"/>
    <w:rsid w:val="00730B28"/>
    <w:rsid w:val="00730D0F"/>
    <w:rsid w:val="00730E59"/>
    <w:rsid w:val="0073139D"/>
    <w:rsid w:val="00731985"/>
    <w:rsid w:val="007323CD"/>
    <w:rsid w:val="00732795"/>
    <w:rsid w:val="00732A17"/>
    <w:rsid w:val="00732CEE"/>
    <w:rsid w:val="00732DA2"/>
    <w:rsid w:val="00733131"/>
    <w:rsid w:val="00733212"/>
    <w:rsid w:val="007332E8"/>
    <w:rsid w:val="00733588"/>
    <w:rsid w:val="00733627"/>
    <w:rsid w:val="007336FF"/>
    <w:rsid w:val="007338D7"/>
    <w:rsid w:val="007339AD"/>
    <w:rsid w:val="00733A8F"/>
    <w:rsid w:val="00733C2E"/>
    <w:rsid w:val="00733D35"/>
    <w:rsid w:val="00734168"/>
    <w:rsid w:val="0073446D"/>
    <w:rsid w:val="007344A2"/>
    <w:rsid w:val="007349A0"/>
    <w:rsid w:val="00735080"/>
    <w:rsid w:val="007352BB"/>
    <w:rsid w:val="00735326"/>
    <w:rsid w:val="0073547D"/>
    <w:rsid w:val="0073597F"/>
    <w:rsid w:val="00735ADA"/>
    <w:rsid w:val="00736076"/>
    <w:rsid w:val="0073612E"/>
    <w:rsid w:val="00736214"/>
    <w:rsid w:val="007362AB"/>
    <w:rsid w:val="00736448"/>
    <w:rsid w:val="007364BC"/>
    <w:rsid w:val="0073673A"/>
    <w:rsid w:val="00736795"/>
    <w:rsid w:val="007368D2"/>
    <w:rsid w:val="00736A78"/>
    <w:rsid w:val="00736B52"/>
    <w:rsid w:val="0073772B"/>
    <w:rsid w:val="00737766"/>
    <w:rsid w:val="0073782D"/>
    <w:rsid w:val="00737A60"/>
    <w:rsid w:val="00737B59"/>
    <w:rsid w:val="00737F5A"/>
    <w:rsid w:val="0074045E"/>
    <w:rsid w:val="00740538"/>
    <w:rsid w:val="00740665"/>
    <w:rsid w:val="0074078B"/>
    <w:rsid w:val="0074092E"/>
    <w:rsid w:val="00740A4E"/>
    <w:rsid w:val="00740E0E"/>
    <w:rsid w:val="00741348"/>
    <w:rsid w:val="00741465"/>
    <w:rsid w:val="007418A9"/>
    <w:rsid w:val="00741ACD"/>
    <w:rsid w:val="00741C38"/>
    <w:rsid w:val="00741F7B"/>
    <w:rsid w:val="0074220E"/>
    <w:rsid w:val="0074280C"/>
    <w:rsid w:val="00742828"/>
    <w:rsid w:val="007428F9"/>
    <w:rsid w:val="00742B36"/>
    <w:rsid w:val="00742C40"/>
    <w:rsid w:val="007431F2"/>
    <w:rsid w:val="007436A8"/>
    <w:rsid w:val="0074373C"/>
    <w:rsid w:val="00743792"/>
    <w:rsid w:val="00743A84"/>
    <w:rsid w:val="00743F91"/>
    <w:rsid w:val="007441F8"/>
    <w:rsid w:val="007449D2"/>
    <w:rsid w:val="00744E41"/>
    <w:rsid w:val="00744EF6"/>
    <w:rsid w:val="007450F9"/>
    <w:rsid w:val="0074521E"/>
    <w:rsid w:val="00745414"/>
    <w:rsid w:val="007455DB"/>
    <w:rsid w:val="00745742"/>
    <w:rsid w:val="00745973"/>
    <w:rsid w:val="00745DB6"/>
    <w:rsid w:val="00745FB9"/>
    <w:rsid w:val="00745FF6"/>
    <w:rsid w:val="007460ED"/>
    <w:rsid w:val="00746147"/>
    <w:rsid w:val="0074624D"/>
    <w:rsid w:val="00746722"/>
    <w:rsid w:val="00746B86"/>
    <w:rsid w:val="00746BC0"/>
    <w:rsid w:val="00746D41"/>
    <w:rsid w:val="00747034"/>
    <w:rsid w:val="00747179"/>
    <w:rsid w:val="007471A9"/>
    <w:rsid w:val="007472A2"/>
    <w:rsid w:val="00747307"/>
    <w:rsid w:val="007479C9"/>
    <w:rsid w:val="00747B86"/>
    <w:rsid w:val="00747D24"/>
    <w:rsid w:val="00747FBD"/>
    <w:rsid w:val="0075002D"/>
    <w:rsid w:val="007505F2"/>
    <w:rsid w:val="0075072E"/>
    <w:rsid w:val="00750881"/>
    <w:rsid w:val="00750924"/>
    <w:rsid w:val="007509EF"/>
    <w:rsid w:val="00750F13"/>
    <w:rsid w:val="00750FD4"/>
    <w:rsid w:val="00751067"/>
    <w:rsid w:val="007510DC"/>
    <w:rsid w:val="0075112B"/>
    <w:rsid w:val="007512B9"/>
    <w:rsid w:val="00751374"/>
    <w:rsid w:val="007513B6"/>
    <w:rsid w:val="007514E6"/>
    <w:rsid w:val="007517A7"/>
    <w:rsid w:val="00751B06"/>
    <w:rsid w:val="00751BBE"/>
    <w:rsid w:val="00751F91"/>
    <w:rsid w:val="00751FDD"/>
    <w:rsid w:val="0075241C"/>
    <w:rsid w:val="00752497"/>
    <w:rsid w:val="007528B0"/>
    <w:rsid w:val="00752A57"/>
    <w:rsid w:val="00752E1F"/>
    <w:rsid w:val="00752FA1"/>
    <w:rsid w:val="007531B9"/>
    <w:rsid w:val="00753919"/>
    <w:rsid w:val="00753C6F"/>
    <w:rsid w:val="007544D7"/>
    <w:rsid w:val="00754753"/>
    <w:rsid w:val="00754917"/>
    <w:rsid w:val="00754D75"/>
    <w:rsid w:val="00754DC2"/>
    <w:rsid w:val="00754ED5"/>
    <w:rsid w:val="00755666"/>
    <w:rsid w:val="00755C9E"/>
    <w:rsid w:val="00755D23"/>
    <w:rsid w:val="00756391"/>
    <w:rsid w:val="00756AD0"/>
    <w:rsid w:val="007578F7"/>
    <w:rsid w:val="00757AA3"/>
    <w:rsid w:val="00757D19"/>
    <w:rsid w:val="0076019E"/>
    <w:rsid w:val="0076030D"/>
    <w:rsid w:val="007605A2"/>
    <w:rsid w:val="007605F7"/>
    <w:rsid w:val="00760BC1"/>
    <w:rsid w:val="00760E2B"/>
    <w:rsid w:val="0076100E"/>
    <w:rsid w:val="0076107A"/>
    <w:rsid w:val="00761D65"/>
    <w:rsid w:val="00761EFA"/>
    <w:rsid w:val="00762582"/>
    <w:rsid w:val="00762623"/>
    <w:rsid w:val="0076356F"/>
    <w:rsid w:val="0076362E"/>
    <w:rsid w:val="007636C3"/>
    <w:rsid w:val="007644D9"/>
    <w:rsid w:val="007644EA"/>
    <w:rsid w:val="00764653"/>
    <w:rsid w:val="00764687"/>
    <w:rsid w:val="007647C2"/>
    <w:rsid w:val="007648B2"/>
    <w:rsid w:val="00765015"/>
    <w:rsid w:val="0076526D"/>
    <w:rsid w:val="007652D7"/>
    <w:rsid w:val="0076553B"/>
    <w:rsid w:val="007656F0"/>
    <w:rsid w:val="007657A5"/>
    <w:rsid w:val="00765888"/>
    <w:rsid w:val="00765C2A"/>
    <w:rsid w:val="00765F7B"/>
    <w:rsid w:val="00766631"/>
    <w:rsid w:val="00766C39"/>
    <w:rsid w:val="00766E15"/>
    <w:rsid w:val="00766F47"/>
    <w:rsid w:val="00767392"/>
    <w:rsid w:val="0076763C"/>
    <w:rsid w:val="00767B68"/>
    <w:rsid w:val="00767D55"/>
    <w:rsid w:val="00767DDF"/>
    <w:rsid w:val="00770475"/>
    <w:rsid w:val="007705E1"/>
    <w:rsid w:val="00770608"/>
    <w:rsid w:val="0077073F"/>
    <w:rsid w:val="00770B7C"/>
    <w:rsid w:val="0077115E"/>
    <w:rsid w:val="00771300"/>
    <w:rsid w:val="007713A4"/>
    <w:rsid w:val="0077151B"/>
    <w:rsid w:val="00771542"/>
    <w:rsid w:val="00771ACE"/>
    <w:rsid w:val="00771F60"/>
    <w:rsid w:val="00771FAE"/>
    <w:rsid w:val="007720DA"/>
    <w:rsid w:val="007723EB"/>
    <w:rsid w:val="00772735"/>
    <w:rsid w:val="00772819"/>
    <w:rsid w:val="00772E8F"/>
    <w:rsid w:val="00772FBF"/>
    <w:rsid w:val="0077309E"/>
    <w:rsid w:val="007731F3"/>
    <w:rsid w:val="00773847"/>
    <w:rsid w:val="00773AB2"/>
    <w:rsid w:val="00773E39"/>
    <w:rsid w:val="007741FD"/>
    <w:rsid w:val="0077428F"/>
    <w:rsid w:val="00774FAE"/>
    <w:rsid w:val="00775092"/>
    <w:rsid w:val="007755EA"/>
    <w:rsid w:val="007758FE"/>
    <w:rsid w:val="00775CEF"/>
    <w:rsid w:val="00775E64"/>
    <w:rsid w:val="00775F7D"/>
    <w:rsid w:val="0077656D"/>
    <w:rsid w:val="007767D1"/>
    <w:rsid w:val="00776A00"/>
    <w:rsid w:val="00776BCA"/>
    <w:rsid w:val="007771E2"/>
    <w:rsid w:val="0077793E"/>
    <w:rsid w:val="00777D7D"/>
    <w:rsid w:val="00777EFE"/>
    <w:rsid w:val="00780296"/>
    <w:rsid w:val="00780317"/>
    <w:rsid w:val="00780336"/>
    <w:rsid w:val="007804BF"/>
    <w:rsid w:val="00780504"/>
    <w:rsid w:val="007805EB"/>
    <w:rsid w:val="00780905"/>
    <w:rsid w:val="00780A15"/>
    <w:rsid w:val="00780A53"/>
    <w:rsid w:val="00780C25"/>
    <w:rsid w:val="007811CA"/>
    <w:rsid w:val="007813C8"/>
    <w:rsid w:val="0078159E"/>
    <w:rsid w:val="00781789"/>
    <w:rsid w:val="00781A82"/>
    <w:rsid w:val="00781A86"/>
    <w:rsid w:val="00781B32"/>
    <w:rsid w:val="00781BE4"/>
    <w:rsid w:val="00781C4D"/>
    <w:rsid w:val="00781CDA"/>
    <w:rsid w:val="00781CF3"/>
    <w:rsid w:val="00781EAD"/>
    <w:rsid w:val="0078232E"/>
    <w:rsid w:val="0078249B"/>
    <w:rsid w:val="007824BF"/>
    <w:rsid w:val="0078284C"/>
    <w:rsid w:val="00782AA7"/>
    <w:rsid w:val="00782C01"/>
    <w:rsid w:val="00782ED5"/>
    <w:rsid w:val="00783036"/>
    <w:rsid w:val="007832D8"/>
    <w:rsid w:val="007833C8"/>
    <w:rsid w:val="00783716"/>
    <w:rsid w:val="00783CD9"/>
    <w:rsid w:val="00784388"/>
    <w:rsid w:val="007843FB"/>
    <w:rsid w:val="0078445D"/>
    <w:rsid w:val="0078462F"/>
    <w:rsid w:val="007846B6"/>
    <w:rsid w:val="00784D85"/>
    <w:rsid w:val="00785161"/>
    <w:rsid w:val="00785394"/>
    <w:rsid w:val="007853A7"/>
    <w:rsid w:val="00785510"/>
    <w:rsid w:val="007855CC"/>
    <w:rsid w:val="0078572D"/>
    <w:rsid w:val="0078576D"/>
    <w:rsid w:val="007858E7"/>
    <w:rsid w:val="00785C3C"/>
    <w:rsid w:val="00785D2A"/>
    <w:rsid w:val="00785EB8"/>
    <w:rsid w:val="00785F4B"/>
    <w:rsid w:val="00786140"/>
    <w:rsid w:val="007862E3"/>
    <w:rsid w:val="00786340"/>
    <w:rsid w:val="00786414"/>
    <w:rsid w:val="00786751"/>
    <w:rsid w:val="00786ECA"/>
    <w:rsid w:val="00787F1F"/>
    <w:rsid w:val="00790339"/>
    <w:rsid w:val="0079043E"/>
    <w:rsid w:val="00790939"/>
    <w:rsid w:val="00790967"/>
    <w:rsid w:val="00790C55"/>
    <w:rsid w:val="00790EC4"/>
    <w:rsid w:val="00790FF0"/>
    <w:rsid w:val="00791095"/>
    <w:rsid w:val="007910C4"/>
    <w:rsid w:val="007913E0"/>
    <w:rsid w:val="0079143A"/>
    <w:rsid w:val="007916DA"/>
    <w:rsid w:val="007916F7"/>
    <w:rsid w:val="007917C1"/>
    <w:rsid w:val="00791895"/>
    <w:rsid w:val="007918FF"/>
    <w:rsid w:val="00791ADC"/>
    <w:rsid w:val="00791B0C"/>
    <w:rsid w:val="00791D13"/>
    <w:rsid w:val="0079213E"/>
    <w:rsid w:val="00792145"/>
    <w:rsid w:val="0079215A"/>
    <w:rsid w:val="007921C5"/>
    <w:rsid w:val="0079223C"/>
    <w:rsid w:val="007924FC"/>
    <w:rsid w:val="00792780"/>
    <w:rsid w:val="00792B1E"/>
    <w:rsid w:val="00793215"/>
    <w:rsid w:val="0079326B"/>
    <w:rsid w:val="007933C2"/>
    <w:rsid w:val="007938CE"/>
    <w:rsid w:val="00793A12"/>
    <w:rsid w:val="007940EF"/>
    <w:rsid w:val="00794406"/>
    <w:rsid w:val="007944D5"/>
    <w:rsid w:val="007945A8"/>
    <w:rsid w:val="007948BD"/>
    <w:rsid w:val="00794A24"/>
    <w:rsid w:val="00794A39"/>
    <w:rsid w:val="0079502F"/>
    <w:rsid w:val="007950E5"/>
    <w:rsid w:val="0079512B"/>
    <w:rsid w:val="00795185"/>
    <w:rsid w:val="007953D8"/>
    <w:rsid w:val="007956AA"/>
    <w:rsid w:val="007957A4"/>
    <w:rsid w:val="00796066"/>
    <w:rsid w:val="007961E5"/>
    <w:rsid w:val="00796BE4"/>
    <w:rsid w:val="00796D90"/>
    <w:rsid w:val="00796E5D"/>
    <w:rsid w:val="00796F7B"/>
    <w:rsid w:val="007970B2"/>
    <w:rsid w:val="00797642"/>
    <w:rsid w:val="007977B5"/>
    <w:rsid w:val="00797ADD"/>
    <w:rsid w:val="007A08C2"/>
    <w:rsid w:val="007A0916"/>
    <w:rsid w:val="007A0AB5"/>
    <w:rsid w:val="007A0BD9"/>
    <w:rsid w:val="007A0EA8"/>
    <w:rsid w:val="007A0EBF"/>
    <w:rsid w:val="007A15BD"/>
    <w:rsid w:val="007A17ED"/>
    <w:rsid w:val="007A18B7"/>
    <w:rsid w:val="007A1A30"/>
    <w:rsid w:val="007A1AAA"/>
    <w:rsid w:val="007A21CC"/>
    <w:rsid w:val="007A23B6"/>
    <w:rsid w:val="007A25DD"/>
    <w:rsid w:val="007A2E85"/>
    <w:rsid w:val="007A3110"/>
    <w:rsid w:val="007A35EF"/>
    <w:rsid w:val="007A38B9"/>
    <w:rsid w:val="007A3BEC"/>
    <w:rsid w:val="007A3E34"/>
    <w:rsid w:val="007A3E3D"/>
    <w:rsid w:val="007A3F54"/>
    <w:rsid w:val="007A3FFB"/>
    <w:rsid w:val="007A4097"/>
    <w:rsid w:val="007A40AB"/>
    <w:rsid w:val="007A4396"/>
    <w:rsid w:val="007A4468"/>
    <w:rsid w:val="007A44F7"/>
    <w:rsid w:val="007A482E"/>
    <w:rsid w:val="007A4A2F"/>
    <w:rsid w:val="007A4BC5"/>
    <w:rsid w:val="007A4E19"/>
    <w:rsid w:val="007A561D"/>
    <w:rsid w:val="007A589C"/>
    <w:rsid w:val="007A58F2"/>
    <w:rsid w:val="007A5D69"/>
    <w:rsid w:val="007A601E"/>
    <w:rsid w:val="007A605F"/>
    <w:rsid w:val="007A64E9"/>
    <w:rsid w:val="007A673F"/>
    <w:rsid w:val="007A6CCA"/>
    <w:rsid w:val="007A6D50"/>
    <w:rsid w:val="007A6E3C"/>
    <w:rsid w:val="007A70BA"/>
    <w:rsid w:val="007A726B"/>
    <w:rsid w:val="007A72C8"/>
    <w:rsid w:val="007A762A"/>
    <w:rsid w:val="007A7B2D"/>
    <w:rsid w:val="007A7DF5"/>
    <w:rsid w:val="007B0003"/>
    <w:rsid w:val="007B002F"/>
    <w:rsid w:val="007B06C4"/>
    <w:rsid w:val="007B0719"/>
    <w:rsid w:val="007B0948"/>
    <w:rsid w:val="007B0D98"/>
    <w:rsid w:val="007B0EA0"/>
    <w:rsid w:val="007B0EC5"/>
    <w:rsid w:val="007B0F75"/>
    <w:rsid w:val="007B100E"/>
    <w:rsid w:val="007B122B"/>
    <w:rsid w:val="007B15AF"/>
    <w:rsid w:val="007B19E4"/>
    <w:rsid w:val="007B1ABA"/>
    <w:rsid w:val="007B1AC9"/>
    <w:rsid w:val="007B1CD5"/>
    <w:rsid w:val="007B22D5"/>
    <w:rsid w:val="007B2C36"/>
    <w:rsid w:val="007B2D35"/>
    <w:rsid w:val="007B2F8A"/>
    <w:rsid w:val="007B304F"/>
    <w:rsid w:val="007B30D4"/>
    <w:rsid w:val="007B32CD"/>
    <w:rsid w:val="007B32DA"/>
    <w:rsid w:val="007B3628"/>
    <w:rsid w:val="007B36FA"/>
    <w:rsid w:val="007B3AC3"/>
    <w:rsid w:val="007B3BFA"/>
    <w:rsid w:val="007B3D77"/>
    <w:rsid w:val="007B4480"/>
    <w:rsid w:val="007B4708"/>
    <w:rsid w:val="007B4798"/>
    <w:rsid w:val="007B47C1"/>
    <w:rsid w:val="007B4926"/>
    <w:rsid w:val="007B4C0B"/>
    <w:rsid w:val="007B4C46"/>
    <w:rsid w:val="007B4DD6"/>
    <w:rsid w:val="007B4DFA"/>
    <w:rsid w:val="007B4EAF"/>
    <w:rsid w:val="007B5247"/>
    <w:rsid w:val="007B55C7"/>
    <w:rsid w:val="007B5600"/>
    <w:rsid w:val="007B56CC"/>
    <w:rsid w:val="007B56D7"/>
    <w:rsid w:val="007B5723"/>
    <w:rsid w:val="007B6323"/>
    <w:rsid w:val="007B6A3B"/>
    <w:rsid w:val="007B6B68"/>
    <w:rsid w:val="007B6CD5"/>
    <w:rsid w:val="007B6E5C"/>
    <w:rsid w:val="007B6EFA"/>
    <w:rsid w:val="007B74C5"/>
    <w:rsid w:val="007B78A0"/>
    <w:rsid w:val="007B7FB0"/>
    <w:rsid w:val="007C0DBA"/>
    <w:rsid w:val="007C0E96"/>
    <w:rsid w:val="007C0EA2"/>
    <w:rsid w:val="007C0F01"/>
    <w:rsid w:val="007C133C"/>
    <w:rsid w:val="007C19C5"/>
    <w:rsid w:val="007C1CCE"/>
    <w:rsid w:val="007C2032"/>
    <w:rsid w:val="007C25C8"/>
    <w:rsid w:val="007C26EB"/>
    <w:rsid w:val="007C2ACA"/>
    <w:rsid w:val="007C2B81"/>
    <w:rsid w:val="007C3FE7"/>
    <w:rsid w:val="007C41B1"/>
    <w:rsid w:val="007C4633"/>
    <w:rsid w:val="007C4D17"/>
    <w:rsid w:val="007C5D26"/>
    <w:rsid w:val="007C6072"/>
    <w:rsid w:val="007C6100"/>
    <w:rsid w:val="007C614A"/>
    <w:rsid w:val="007C6C31"/>
    <w:rsid w:val="007C7113"/>
    <w:rsid w:val="007C72F5"/>
    <w:rsid w:val="007C79BD"/>
    <w:rsid w:val="007C7A9A"/>
    <w:rsid w:val="007C7C54"/>
    <w:rsid w:val="007D067F"/>
    <w:rsid w:val="007D0D03"/>
    <w:rsid w:val="007D0D76"/>
    <w:rsid w:val="007D0DF8"/>
    <w:rsid w:val="007D12E9"/>
    <w:rsid w:val="007D166D"/>
    <w:rsid w:val="007D1820"/>
    <w:rsid w:val="007D1942"/>
    <w:rsid w:val="007D19DA"/>
    <w:rsid w:val="007D1A47"/>
    <w:rsid w:val="007D1A91"/>
    <w:rsid w:val="007D1E31"/>
    <w:rsid w:val="007D1FC8"/>
    <w:rsid w:val="007D2082"/>
    <w:rsid w:val="007D2249"/>
    <w:rsid w:val="007D22B6"/>
    <w:rsid w:val="007D23CA"/>
    <w:rsid w:val="007D24A1"/>
    <w:rsid w:val="007D264A"/>
    <w:rsid w:val="007D27FB"/>
    <w:rsid w:val="007D2B49"/>
    <w:rsid w:val="007D2BF5"/>
    <w:rsid w:val="007D2CD2"/>
    <w:rsid w:val="007D2FDE"/>
    <w:rsid w:val="007D31F5"/>
    <w:rsid w:val="007D3307"/>
    <w:rsid w:val="007D3364"/>
    <w:rsid w:val="007D3AA2"/>
    <w:rsid w:val="007D3C20"/>
    <w:rsid w:val="007D3C9B"/>
    <w:rsid w:val="007D3D19"/>
    <w:rsid w:val="007D3D4E"/>
    <w:rsid w:val="007D3F8B"/>
    <w:rsid w:val="007D4097"/>
    <w:rsid w:val="007D4113"/>
    <w:rsid w:val="007D43DC"/>
    <w:rsid w:val="007D4B1E"/>
    <w:rsid w:val="007D4FA3"/>
    <w:rsid w:val="007D57B6"/>
    <w:rsid w:val="007D58FC"/>
    <w:rsid w:val="007D5974"/>
    <w:rsid w:val="007D59D5"/>
    <w:rsid w:val="007D5B08"/>
    <w:rsid w:val="007D5D27"/>
    <w:rsid w:val="007D5EAF"/>
    <w:rsid w:val="007D666E"/>
    <w:rsid w:val="007D692C"/>
    <w:rsid w:val="007D6DD1"/>
    <w:rsid w:val="007D7501"/>
    <w:rsid w:val="007D7603"/>
    <w:rsid w:val="007D764B"/>
    <w:rsid w:val="007D7BA1"/>
    <w:rsid w:val="007D7C1F"/>
    <w:rsid w:val="007D7CD9"/>
    <w:rsid w:val="007D7FE2"/>
    <w:rsid w:val="007E01A6"/>
    <w:rsid w:val="007E02AB"/>
    <w:rsid w:val="007E0563"/>
    <w:rsid w:val="007E07BB"/>
    <w:rsid w:val="007E081C"/>
    <w:rsid w:val="007E0857"/>
    <w:rsid w:val="007E0E81"/>
    <w:rsid w:val="007E0E8C"/>
    <w:rsid w:val="007E0FFC"/>
    <w:rsid w:val="007E12F0"/>
    <w:rsid w:val="007E1522"/>
    <w:rsid w:val="007E1668"/>
    <w:rsid w:val="007E1841"/>
    <w:rsid w:val="007E1859"/>
    <w:rsid w:val="007E189F"/>
    <w:rsid w:val="007E1B6A"/>
    <w:rsid w:val="007E1C85"/>
    <w:rsid w:val="007E1CD2"/>
    <w:rsid w:val="007E215D"/>
    <w:rsid w:val="007E21D0"/>
    <w:rsid w:val="007E252B"/>
    <w:rsid w:val="007E25D9"/>
    <w:rsid w:val="007E2680"/>
    <w:rsid w:val="007E292C"/>
    <w:rsid w:val="007E2ABB"/>
    <w:rsid w:val="007E2BBA"/>
    <w:rsid w:val="007E3103"/>
    <w:rsid w:val="007E31A7"/>
    <w:rsid w:val="007E32DA"/>
    <w:rsid w:val="007E3653"/>
    <w:rsid w:val="007E3F5C"/>
    <w:rsid w:val="007E406E"/>
    <w:rsid w:val="007E40B7"/>
    <w:rsid w:val="007E40E4"/>
    <w:rsid w:val="007E4937"/>
    <w:rsid w:val="007E4EBE"/>
    <w:rsid w:val="007E51F8"/>
    <w:rsid w:val="007E5339"/>
    <w:rsid w:val="007E546E"/>
    <w:rsid w:val="007E54DA"/>
    <w:rsid w:val="007E5681"/>
    <w:rsid w:val="007E5908"/>
    <w:rsid w:val="007E5E37"/>
    <w:rsid w:val="007E603A"/>
    <w:rsid w:val="007E62B0"/>
    <w:rsid w:val="007E6722"/>
    <w:rsid w:val="007E68FA"/>
    <w:rsid w:val="007E6AA7"/>
    <w:rsid w:val="007E6D9D"/>
    <w:rsid w:val="007E6E6A"/>
    <w:rsid w:val="007E71D5"/>
    <w:rsid w:val="007E7416"/>
    <w:rsid w:val="007E75A5"/>
    <w:rsid w:val="007E76CC"/>
    <w:rsid w:val="007E7835"/>
    <w:rsid w:val="007E7A9A"/>
    <w:rsid w:val="007E7E36"/>
    <w:rsid w:val="007F0081"/>
    <w:rsid w:val="007F0445"/>
    <w:rsid w:val="007F05BD"/>
    <w:rsid w:val="007F08C9"/>
    <w:rsid w:val="007F0BA9"/>
    <w:rsid w:val="007F11B8"/>
    <w:rsid w:val="007F134F"/>
    <w:rsid w:val="007F1645"/>
    <w:rsid w:val="007F22EA"/>
    <w:rsid w:val="007F2483"/>
    <w:rsid w:val="007F2548"/>
    <w:rsid w:val="007F2554"/>
    <w:rsid w:val="007F28C1"/>
    <w:rsid w:val="007F2ADE"/>
    <w:rsid w:val="007F2CC1"/>
    <w:rsid w:val="007F2F28"/>
    <w:rsid w:val="007F2FE7"/>
    <w:rsid w:val="007F3192"/>
    <w:rsid w:val="007F3555"/>
    <w:rsid w:val="007F376A"/>
    <w:rsid w:val="007F3792"/>
    <w:rsid w:val="007F37FE"/>
    <w:rsid w:val="007F387D"/>
    <w:rsid w:val="007F3A6D"/>
    <w:rsid w:val="007F3C6C"/>
    <w:rsid w:val="007F3DD8"/>
    <w:rsid w:val="007F3FE9"/>
    <w:rsid w:val="007F46CF"/>
    <w:rsid w:val="007F48F7"/>
    <w:rsid w:val="007F4ADD"/>
    <w:rsid w:val="007F4BD6"/>
    <w:rsid w:val="007F4D0E"/>
    <w:rsid w:val="007F50D2"/>
    <w:rsid w:val="007F5224"/>
    <w:rsid w:val="007F52F7"/>
    <w:rsid w:val="007F5406"/>
    <w:rsid w:val="007F556E"/>
    <w:rsid w:val="007F5951"/>
    <w:rsid w:val="007F5963"/>
    <w:rsid w:val="007F5A77"/>
    <w:rsid w:val="007F5E26"/>
    <w:rsid w:val="007F5F2E"/>
    <w:rsid w:val="007F6061"/>
    <w:rsid w:val="007F61E4"/>
    <w:rsid w:val="007F66DA"/>
    <w:rsid w:val="007F6853"/>
    <w:rsid w:val="007F6D0B"/>
    <w:rsid w:val="007F707E"/>
    <w:rsid w:val="007F734A"/>
    <w:rsid w:val="007F7466"/>
    <w:rsid w:val="007F7663"/>
    <w:rsid w:val="007F774F"/>
    <w:rsid w:val="007F7A2E"/>
    <w:rsid w:val="007F7B46"/>
    <w:rsid w:val="008001CF"/>
    <w:rsid w:val="0080057A"/>
    <w:rsid w:val="008006D0"/>
    <w:rsid w:val="00800865"/>
    <w:rsid w:val="0080089E"/>
    <w:rsid w:val="00800C2B"/>
    <w:rsid w:val="00800C91"/>
    <w:rsid w:val="00800FF9"/>
    <w:rsid w:val="00801166"/>
    <w:rsid w:val="00801471"/>
    <w:rsid w:val="008014AB"/>
    <w:rsid w:val="00801A19"/>
    <w:rsid w:val="00801EB0"/>
    <w:rsid w:val="00801F7B"/>
    <w:rsid w:val="008022B0"/>
    <w:rsid w:val="00802413"/>
    <w:rsid w:val="008024AF"/>
    <w:rsid w:val="00802577"/>
    <w:rsid w:val="00802623"/>
    <w:rsid w:val="00802A50"/>
    <w:rsid w:val="00802E04"/>
    <w:rsid w:val="00802E68"/>
    <w:rsid w:val="00802EBF"/>
    <w:rsid w:val="00803247"/>
    <w:rsid w:val="00803399"/>
    <w:rsid w:val="0080347C"/>
    <w:rsid w:val="00803539"/>
    <w:rsid w:val="008036FE"/>
    <w:rsid w:val="008037AE"/>
    <w:rsid w:val="00803945"/>
    <w:rsid w:val="00803CB9"/>
    <w:rsid w:val="00803E3C"/>
    <w:rsid w:val="008041EF"/>
    <w:rsid w:val="008042FB"/>
    <w:rsid w:val="00804425"/>
    <w:rsid w:val="00804D90"/>
    <w:rsid w:val="00804FC0"/>
    <w:rsid w:val="00805B17"/>
    <w:rsid w:val="00805BDA"/>
    <w:rsid w:val="00805D61"/>
    <w:rsid w:val="00805E9A"/>
    <w:rsid w:val="008064D2"/>
    <w:rsid w:val="00806AA7"/>
    <w:rsid w:val="00806B3C"/>
    <w:rsid w:val="00806CE9"/>
    <w:rsid w:val="00806D2A"/>
    <w:rsid w:val="00806D31"/>
    <w:rsid w:val="00806E67"/>
    <w:rsid w:val="00807405"/>
    <w:rsid w:val="0080742D"/>
    <w:rsid w:val="0080764A"/>
    <w:rsid w:val="008077D6"/>
    <w:rsid w:val="00807824"/>
    <w:rsid w:val="00807906"/>
    <w:rsid w:val="00807C86"/>
    <w:rsid w:val="008108E3"/>
    <w:rsid w:val="00810A7B"/>
    <w:rsid w:val="00810B0E"/>
    <w:rsid w:val="008112AD"/>
    <w:rsid w:val="008112C2"/>
    <w:rsid w:val="008114FB"/>
    <w:rsid w:val="008115FE"/>
    <w:rsid w:val="00811B3E"/>
    <w:rsid w:val="00812247"/>
    <w:rsid w:val="00812301"/>
    <w:rsid w:val="0081293D"/>
    <w:rsid w:val="008129B3"/>
    <w:rsid w:val="00812B45"/>
    <w:rsid w:val="00812D9A"/>
    <w:rsid w:val="008132C8"/>
    <w:rsid w:val="00813523"/>
    <w:rsid w:val="008139B2"/>
    <w:rsid w:val="00814177"/>
    <w:rsid w:val="008142CB"/>
    <w:rsid w:val="0081480F"/>
    <w:rsid w:val="00814915"/>
    <w:rsid w:val="00814EFF"/>
    <w:rsid w:val="00815004"/>
    <w:rsid w:val="008154C3"/>
    <w:rsid w:val="008155E0"/>
    <w:rsid w:val="008156BD"/>
    <w:rsid w:val="0081574B"/>
    <w:rsid w:val="008159DC"/>
    <w:rsid w:val="00815AF9"/>
    <w:rsid w:val="00815B7B"/>
    <w:rsid w:val="00815DEB"/>
    <w:rsid w:val="00815E69"/>
    <w:rsid w:val="00815EA6"/>
    <w:rsid w:val="00815EDD"/>
    <w:rsid w:val="00815F79"/>
    <w:rsid w:val="00816210"/>
    <w:rsid w:val="00816B72"/>
    <w:rsid w:val="00816B97"/>
    <w:rsid w:val="00816BDA"/>
    <w:rsid w:val="00816FCD"/>
    <w:rsid w:val="00817078"/>
    <w:rsid w:val="00817236"/>
    <w:rsid w:val="008174C7"/>
    <w:rsid w:val="00817AF3"/>
    <w:rsid w:val="0082043A"/>
    <w:rsid w:val="008205D8"/>
    <w:rsid w:val="008205E3"/>
    <w:rsid w:val="00820969"/>
    <w:rsid w:val="00820F1B"/>
    <w:rsid w:val="00821235"/>
    <w:rsid w:val="008213AB"/>
    <w:rsid w:val="0082160B"/>
    <w:rsid w:val="008216A2"/>
    <w:rsid w:val="0082185F"/>
    <w:rsid w:val="00821D46"/>
    <w:rsid w:val="00821F68"/>
    <w:rsid w:val="008225F7"/>
    <w:rsid w:val="00822730"/>
    <w:rsid w:val="00822AAE"/>
    <w:rsid w:val="00822BF0"/>
    <w:rsid w:val="00822D85"/>
    <w:rsid w:val="00823204"/>
    <w:rsid w:val="008236F4"/>
    <w:rsid w:val="00823799"/>
    <w:rsid w:val="00823F93"/>
    <w:rsid w:val="00824423"/>
    <w:rsid w:val="0082470A"/>
    <w:rsid w:val="00824808"/>
    <w:rsid w:val="00824990"/>
    <w:rsid w:val="008249BE"/>
    <w:rsid w:val="00824B22"/>
    <w:rsid w:val="00824F92"/>
    <w:rsid w:val="00825760"/>
    <w:rsid w:val="00825932"/>
    <w:rsid w:val="0082596C"/>
    <w:rsid w:val="00825B1C"/>
    <w:rsid w:val="00825FE0"/>
    <w:rsid w:val="008262C6"/>
    <w:rsid w:val="00826A51"/>
    <w:rsid w:val="00826B39"/>
    <w:rsid w:val="00826D91"/>
    <w:rsid w:val="0082704C"/>
    <w:rsid w:val="0082750D"/>
    <w:rsid w:val="008275F9"/>
    <w:rsid w:val="0082762E"/>
    <w:rsid w:val="008278F8"/>
    <w:rsid w:val="00827D9F"/>
    <w:rsid w:val="00827E6C"/>
    <w:rsid w:val="00830A2B"/>
    <w:rsid w:val="00830C28"/>
    <w:rsid w:val="00830DCE"/>
    <w:rsid w:val="00830E06"/>
    <w:rsid w:val="00831481"/>
    <w:rsid w:val="00832052"/>
    <w:rsid w:val="008321C6"/>
    <w:rsid w:val="0083228A"/>
    <w:rsid w:val="008323F6"/>
    <w:rsid w:val="0083242D"/>
    <w:rsid w:val="00832AD6"/>
    <w:rsid w:val="00832D5E"/>
    <w:rsid w:val="00832E40"/>
    <w:rsid w:val="00832F96"/>
    <w:rsid w:val="008333F2"/>
    <w:rsid w:val="008335DE"/>
    <w:rsid w:val="008338CB"/>
    <w:rsid w:val="00833FE4"/>
    <w:rsid w:val="00834134"/>
    <w:rsid w:val="0083417E"/>
    <w:rsid w:val="00834EB0"/>
    <w:rsid w:val="008353D2"/>
    <w:rsid w:val="008355DF"/>
    <w:rsid w:val="008357B9"/>
    <w:rsid w:val="00835942"/>
    <w:rsid w:val="008359B6"/>
    <w:rsid w:val="00836320"/>
    <w:rsid w:val="0083688D"/>
    <w:rsid w:val="00836C85"/>
    <w:rsid w:val="00836F28"/>
    <w:rsid w:val="00837021"/>
    <w:rsid w:val="00837313"/>
    <w:rsid w:val="008379AA"/>
    <w:rsid w:val="00837D77"/>
    <w:rsid w:val="00837E78"/>
    <w:rsid w:val="0084006A"/>
    <w:rsid w:val="008400F7"/>
    <w:rsid w:val="00840593"/>
    <w:rsid w:val="0084065A"/>
    <w:rsid w:val="00840784"/>
    <w:rsid w:val="00840941"/>
    <w:rsid w:val="00840AFC"/>
    <w:rsid w:val="00840D6D"/>
    <w:rsid w:val="008411BC"/>
    <w:rsid w:val="0084136F"/>
    <w:rsid w:val="008415B7"/>
    <w:rsid w:val="0084185D"/>
    <w:rsid w:val="008418C8"/>
    <w:rsid w:val="00841AC7"/>
    <w:rsid w:val="00841ACA"/>
    <w:rsid w:val="00841AE6"/>
    <w:rsid w:val="00841B1F"/>
    <w:rsid w:val="00841DBB"/>
    <w:rsid w:val="00841FC2"/>
    <w:rsid w:val="0084214C"/>
    <w:rsid w:val="008422A8"/>
    <w:rsid w:val="008425C7"/>
    <w:rsid w:val="008427D4"/>
    <w:rsid w:val="008428C8"/>
    <w:rsid w:val="0084336A"/>
    <w:rsid w:val="00843496"/>
    <w:rsid w:val="0084351F"/>
    <w:rsid w:val="00843972"/>
    <w:rsid w:val="00843EA9"/>
    <w:rsid w:val="008443D8"/>
    <w:rsid w:val="008444B7"/>
    <w:rsid w:val="008444D3"/>
    <w:rsid w:val="008446A7"/>
    <w:rsid w:val="0084476C"/>
    <w:rsid w:val="00844791"/>
    <w:rsid w:val="00844906"/>
    <w:rsid w:val="00844B7E"/>
    <w:rsid w:val="00844D30"/>
    <w:rsid w:val="008450BA"/>
    <w:rsid w:val="0084530F"/>
    <w:rsid w:val="00845438"/>
    <w:rsid w:val="00845593"/>
    <w:rsid w:val="008455E7"/>
    <w:rsid w:val="00845689"/>
    <w:rsid w:val="00845855"/>
    <w:rsid w:val="008458EF"/>
    <w:rsid w:val="00845BCB"/>
    <w:rsid w:val="00845C74"/>
    <w:rsid w:val="00845C83"/>
    <w:rsid w:val="00845D44"/>
    <w:rsid w:val="00845F75"/>
    <w:rsid w:val="0084633A"/>
    <w:rsid w:val="008464F6"/>
    <w:rsid w:val="0084664C"/>
    <w:rsid w:val="008468A8"/>
    <w:rsid w:val="00846EF8"/>
    <w:rsid w:val="00847178"/>
    <w:rsid w:val="00847574"/>
    <w:rsid w:val="008475ED"/>
    <w:rsid w:val="0084762D"/>
    <w:rsid w:val="00847CBC"/>
    <w:rsid w:val="00847DDC"/>
    <w:rsid w:val="00847E0A"/>
    <w:rsid w:val="00847FE6"/>
    <w:rsid w:val="00847FF2"/>
    <w:rsid w:val="00850322"/>
    <w:rsid w:val="008503CA"/>
    <w:rsid w:val="008504A9"/>
    <w:rsid w:val="0085058C"/>
    <w:rsid w:val="008507C1"/>
    <w:rsid w:val="008508D2"/>
    <w:rsid w:val="00850B4E"/>
    <w:rsid w:val="00850B59"/>
    <w:rsid w:val="00850C5E"/>
    <w:rsid w:val="00850D12"/>
    <w:rsid w:val="00850ED4"/>
    <w:rsid w:val="00850EDA"/>
    <w:rsid w:val="00850F42"/>
    <w:rsid w:val="00851113"/>
    <w:rsid w:val="00851238"/>
    <w:rsid w:val="00851723"/>
    <w:rsid w:val="00851797"/>
    <w:rsid w:val="00851DCD"/>
    <w:rsid w:val="00852817"/>
    <w:rsid w:val="00852BE0"/>
    <w:rsid w:val="00852D1A"/>
    <w:rsid w:val="008538D7"/>
    <w:rsid w:val="00853DD5"/>
    <w:rsid w:val="00853EFB"/>
    <w:rsid w:val="00853F41"/>
    <w:rsid w:val="00853FD7"/>
    <w:rsid w:val="0085405B"/>
    <w:rsid w:val="008543A3"/>
    <w:rsid w:val="00854689"/>
    <w:rsid w:val="0085480A"/>
    <w:rsid w:val="008549D9"/>
    <w:rsid w:val="00854AD0"/>
    <w:rsid w:val="008554AE"/>
    <w:rsid w:val="00855BAE"/>
    <w:rsid w:val="00856041"/>
    <w:rsid w:val="008562E4"/>
    <w:rsid w:val="0085659E"/>
    <w:rsid w:val="00856C83"/>
    <w:rsid w:val="00857147"/>
    <w:rsid w:val="00857155"/>
    <w:rsid w:val="008572ED"/>
    <w:rsid w:val="0085762D"/>
    <w:rsid w:val="008576A2"/>
    <w:rsid w:val="00857768"/>
    <w:rsid w:val="00857D1C"/>
    <w:rsid w:val="00857E8D"/>
    <w:rsid w:val="00857F4D"/>
    <w:rsid w:val="0086020D"/>
    <w:rsid w:val="008603CC"/>
    <w:rsid w:val="008605D0"/>
    <w:rsid w:val="00860A49"/>
    <w:rsid w:val="00860B3A"/>
    <w:rsid w:val="00860D23"/>
    <w:rsid w:val="0086150D"/>
    <w:rsid w:val="00861859"/>
    <w:rsid w:val="00861934"/>
    <w:rsid w:val="008619AE"/>
    <w:rsid w:val="008619E1"/>
    <w:rsid w:val="00861CC1"/>
    <w:rsid w:val="00861D2B"/>
    <w:rsid w:val="00861E20"/>
    <w:rsid w:val="00861E89"/>
    <w:rsid w:val="00861E8B"/>
    <w:rsid w:val="00861F3E"/>
    <w:rsid w:val="0086221D"/>
    <w:rsid w:val="0086272A"/>
    <w:rsid w:val="00862B07"/>
    <w:rsid w:val="00862F39"/>
    <w:rsid w:val="00863349"/>
    <w:rsid w:val="008634A8"/>
    <w:rsid w:val="0086356F"/>
    <w:rsid w:val="00863596"/>
    <w:rsid w:val="00863F3A"/>
    <w:rsid w:val="00864159"/>
    <w:rsid w:val="00864213"/>
    <w:rsid w:val="00864300"/>
    <w:rsid w:val="00864373"/>
    <w:rsid w:val="008644B0"/>
    <w:rsid w:val="0086467D"/>
    <w:rsid w:val="008647ED"/>
    <w:rsid w:val="008648F7"/>
    <w:rsid w:val="00864B44"/>
    <w:rsid w:val="00864DEA"/>
    <w:rsid w:val="00864EFE"/>
    <w:rsid w:val="0086513A"/>
    <w:rsid w:val="0086514A"/>
    <w:rsid w:val="008651B6"/>
    <w:rsid w:val="00865360"/>
    <w:rsid w:val="00865B2D"/>
    <w:rsid w:val="00865E0F"/>
    <w:rsid w:val="00866173"/>
    <w:rsid w:val="008661C7"/>
    <w:rsid w:val="00866477"/>
    <w:rsid w:val="00866AF7"/>
    <w:rsid w:val="00866BD4"/>
    <w:rsid w:val="00866CA1"/>
    <w:rsid w:val="00867465"/>
    <w:rsid w:val="008679E8"/>
    <w:rsid w:val="00867DA7"/>
    <w:rsid w:val="00870230"/>
    <w:rsid w:val="00870329"/>
    <w:rsid w:val="00870381"/>
    <w:rsid w:val="00870395"/>
    <w:rsid w:val="008704B6"/>
    <w:rsid w:val="00870769"/>
    <w:rsid w:val="00870789"/>
    <w:rsid w:val="008707C7"/>
    <w:rsid w:val="00870948"/>
    <w:rsid w:val="00870D85"/>
    <w:rsid w:val="008711F3"/>
    <w:rsid w:val="00871216"/>
    <w:rsid w:val="008712B9"/>
    <w:rsid w:val="00871392"/>
    <w:rsid w:val="0087149D"/>
    <w:rsid w:val="008717DF"/>
    <w:rsid w:val="008717E8"/>
    <w:rsid w:val="00871999"/>
    <w:rsid w:val="00871C5E"/>
    <w:rsid w:val="00872025"/>
    <w:rsid w:val="00872462"/>
    <w:rsid w:val="008726FD"/>
    <w:rsid w:val="00872855"/>
    <w:rsid w:val="00872A3E"/>
    <w:rsid w:val="00872B38"/>
    <w:rsid w:val="00872C9C"/>
    <w:rsid w:val="0087309B"/>
    <w:rsid w:val="008730AC"/>
    <w:rsid w:val="0087318E"/>
    <w:rsid w:val="00873AFB"/>
    <w:rsid w:val="00873DB6"/>
    <w:rsid w:val="00873F1C"/>
    <w:rsid w:val="00874067"/>
    <w:rsid w:val="0087472B"/>
    <w:rsid w:val="00874C2B"/>
    <w:rsid w:val="00874E3B"/>
    <w:rsid w:val="008755DB"/>
    <w:rsid w:val="00875764"/>
    <w:rsid w:val="00875A03"/>
    <w:rsid w:val="00875CBD"/>
    <w:rsid w:val="00876D50"/>
    <w:rsid w:val="00876DDD"/>
    <w:rsid w:val="008776C0"/>
    <w:rsid w:val="00877894"/>
    <w:rsid w:val="00877941"/>
    <w:rsid w:val="00877B6C"/>
    <w:rsid w:val="00877EEA"/>
    <w:rsid w:val="00877FA3"/>
    <w:rsid w:val="008800CF"/>
    <w:rsid w:val="00880365"/>
    <w:rsid w:val="008805D6"/>
    <w:rsid w:val="008805DD"/>
    <w:rsid w:val="008806F6"/>
    <w:rsid w:val="008807B0"/>
    <w:rsid w:val="008808E3"/>
    <w:rsid w:val="008808FA"/>
    <w:rsid w:val="00880AD2"/>
    <w:rsid w:val="00880E3B"/>
    <w:rsid w:val="008811E3"/>
    <w:rsid w:val="00881474"/>
    <w:rsid w:val="00881CDA"/>
    <w:rsid w:val="00882414"/>
    <w:rsid w:val="008825CB"/>
    <w:rsid w:val="00882721"/>
    <w:rsid w:val="00882872"/>
    <w:rsid w:val="0088315D"/>
    <w:rsid w:val="0088335B"/>
    <w:rsid w:val="0088341F"/>
    <w:rsid w:val="00883754"/>
    <w:rsid w:val="00883A34"/>
    <w:rsid w:val="00883B02"/>
    <w:rsid w:val="008841B9"/>
    <w:rsid w:val="008843A2"/>
    <w:rsid w:val="008846BC"/>
    <w:rsid w:val="00884770"/>
    <w:rsid w:val="008849AB"/>
    <w:rsid w:val="00884D53"/>
    <w:rsid w:val="00884E3A"/>
    <w:rsid w:val="00884EAD"/>
    <w:rsid w:val="008850DE"/>
    <w:rsid w:val="008851F9"/>
    <w:rsid w:val="008860E0"/>
    <w:rsid w:val="00886341"/>
    <w:rsid w:val="00886903"/>
    <w:rsid w:val="0088694C"/>
    <w:rsid w:val="0088696B"/>
    <w:rsid w:val="00886C40"/>
    <w:rsid w:val="00886E63"/>
    <w:rsid w:val="0088714D"/>
    <w:rsid w:val="00887348"/>
    <w:rsid w:val="008874E1"/>
    <w:rsid w:val="0088772F"/>
    <w:rsid w:val="0088799B"/>
    <w:rsid w:val="00887A58"/>
    <w:rsid w:val="00887B23"/>
    <w:rsid w:val="00887F01"/>
    <w:rsid w:val="00887FCF"/>
    <w:rsid w:val="00890218"/>
    <w:rsid w:val="008902B6"/>
    <w:rsid w:val="008903D9"/>
    <w:rsid w:val="0089067A"/>
    <w:rsid w:val="008908AE"/>
    <w:rsid w:val="00890910"/>
    <w:rsid w:val="00890F53"/>
    <w:rsid w:val="0089106B"/>
    <w:rsid w:val="0089110D"/>
    <w:rsid w:val="008912C2"/>
    <w:rsid w:val="00891354"/>
    <w:rsid w:val="008913B1"/>
    <w:rsid w:val="008915E7"/>
    <w:rsid w:val="008916DC"/>
    <w:rsid w:val="00891829"/>
    <w:rsid w:val="0089185D"/>
    <w:rsid w:val="00891BAF"/>
    <w:rsid w:val="00891CB3"/>
    <w:rsid w:val="00891F92"/>
    <w:rsid w:val="00892234"/>
    <w:rsid w:val="008924EE"/>
    <w:rsid w:val="008932F5"/>
    <w:rsid w:val="00893496"/>
    <w:rsid w:val="0089370D"/>
    <w:rsid w:val="00893A09"/>
    <w:rsid w:val="00893F3C"/>
    <w:rsid w:val="00893F6B"/>
    <w:rsid w:val="00894148"/>
    <w:rsid w:val="008943ED"/>
    <w:rsid w:val="008944E7"/>
    <w:rsid w:val="0089458D"/>
    <w:rsid w:val="008946BB"/>
    <w:rsid w:val="00894709"/>
    <w:rsid w:val="00894ACE"/>
    <w:rsid w:val="00894C81"/>
    <w:rsid w:val="00894D82"/>
    <w:rsid w:val="00894FA3"/>
    <w:rsid w:val="00895108"/>
    <w:rsid w:val="008955E8"/>
    <w:rsid w:val="00895760"/>
    <w:rsid w:val="00896B57"/>
    <w:rsid w:val="00896E4C"/>
    <w:rsid w:val="0089700F"/>
    <w:rsid w:val="008973C3"/>
    <w:rsid w:val="00897684"/>
    <w:rsid w:val="00897877"/>
    <w:rsid w:val="00897EA8"/>
    <w:rsid w:val="008A0301"/>
    <w:rsid w:val="008A030E"/>
    <w:rsid w:val="008A0369"/>
    <w:rsid w:val="008A04F4"/>
    <w:rsid w:val="008A05D7"/>
    <w:rsid w:val="008A0611"/>
    <w:rsid w:val="008A0B44"/>
    <w:rsid w:val="008A0E2B"/>
    <w:rsid w:val="008A10A4"/>
    <w:rsid w:val="008A127C"/>
    <w:rsid w:val="008A1481"/>
    <w:rsid w:val="008A14CC"/>
    <w:rsid w:val="008A18F2"/>
    <w:rsid w:val="008A19B0"/>
    <w:rsid w:val="008A1A9E"/>
    <w:rsid w:val="008A1BB3"/>
    <w:rsid w:val="008A1C31"/>
    <w:rsid w:val="008A1EB3"/>
    <w:rsid w:val="008A205B"/>
    <w:rsid w:val="008A2160"/>
    <w:rsid w:val="008A21D4"/>
    <w:rsid w:val="008A232D"/>
    <w:rsid w:val="008A240C"/>
    <w:rsid w:val="008A28A8"/>
    <w:rsid w:val="008A2940"/>
    <w:rsid w:val="008A2A96"/>
    <w:rsid w:val="008A2D66"/>
    <w:rsid w:val="008A2E5D"/>
    <w:rsid w:val="008A2F55"/>
    <w:rsid w:val="008A3170"/>
    <w:rsid w:val="008A3278"/>
    <w:rsid w:val="008A34FD"/>
    <w:rsid w:val="008A36D2"/>
    <w:rsid w:val="008A3A5C"/>
    <w:rsid w:val="008A3C58"/>
    <w:rsid w:val="008A3DD6"/>
    <w:rsid w:val="008A3E05"/>
    <w:rsid w:val="008A3FD6"/>
    <w:rsid w:val="008A3FF0"/>
    <w:rsid w:val="008A419C"/>
    <w:rsid w:val="008A44EA"/>
    <w:rsid w:val="008A459B"/>
    <w:rsid w:val="008A46AB"/>
    <w:rsid w:val="008A480F"/>
    <w:rsid w:val="008A4963"/>
    <w:rsid w:val="008A4D18"/>
    <w:rsid w:val="008A50C5"/>
    <w:rsid w:val="008A5BC3"/>
    <w:rsid w:val="008A5F87"/>
    <w:rsid w:val="008A61B3"/>
    <w:rsid w:val="008A62E3"/>
    <w:rsid w:val="008A680E"/>
    <w:rsid w:val="008A6C01"/>
    <w:rsid w:val="008A6FE6"/>
    <w:rsid w:val="008A71EC"/>
    <w:rsid w:val="008A7273"/>
    <w:rsid w:val="008A762C"/>
    <w:rsid w:val="008A7672"/>
    <w:rsid w:val="008A793F"/>
    <w:rsid w:val="008A7CDB"/>
    <w:rsid w:val="008A7D19"/>
    <w:rsid w:val="008B01E3"/>
    <w:rsid w:val="008B0287"/>
    <w:rsid w:val="008B0288"/>
    <w:rsid w:val="008B056E"/>
    <w:rsid w:val="008B085D"/>
    <w:rsid w:val="008B091A"/>
    <w:rsid w:val="008B0CE8"/>
    <w:rsid w:val="008B0D43"/>
    <w:rsid w:val="008B0DFC"/>
    <w:rsid w:val="008B0E7B"/>
    <w:rsid w:val="008B0F8C"/>
    <w:rsid w:val="008B104E"/>
    <w:rsid w:val="008B12BE"/>
    <w:rsid w:val="008B15D0"/>
    <w:rsid w:val="008B1687"/>
    <w:rsid w:val="008B1EE3"/>
    <w:rsid w:val="008B202B"/>
    <w:rsid w:val="008B21E9"/>
    <w:rsid w:val="008B24E1"/>
    <w:rsid w:val="008B2A28"/>
    <w:rsid w:val="008B2C3A"/>
    <w:rsid w:val="008B2C47"/>
    <w:rsid w:val="008B2F85"/>
    <w:rsid w:val="008B3100"/>
    <w:rsid w:val="008B3368"/>
    <w:rsid w:val="008B33D2"/>
    <w:rsid w:val="008B35AF"/>
    <w:rsid w:val="008B35FF"/>
    <w:rsid w:val="008B361D"/>
    <w:rsid w:val="008B45C6"/>
    <w:rsid w:val="008B4BC9"/>
    <w:rsid w:val="008B4E5F"/>
    <w:rsid w:val="008B4F03"/>
    <w:rsid w:val="008B4FC8"/>
    <w:rsid w:val="008B51D9"/>
    <w:rsid w:val="008B52E6"/>
    <w:rsid w:val="008B53A5"/>
    <w:rsid w:val="008B554A"/>
    <w:rsid w:val="008B5CA4"/>
    <w:rsid w:val="008B5EAE"/>
    <w:rsid w:val="008B5ECB"/>
    <w:rsid w:val="008B5F15"/>
    <w:rsid w:val="008B6003"/>
    <w:rsid w:val="008B618A"/>
    <w:rsid w:val="008B61CC"/>
    <w:rsid w:val="008B65D7"/>
    <w:rsid w:val="008B737E"/>
    <w:rsid w:val="008B7520"/>
    <w:rsid w:val="008B77FA"/>
    <w:rsid w:val="008C0088"/>
    <w:rsid w:val="008C01C2"/>
    <w:rsid w:val="008C078B"/>
    <w:rsid w:val="008C084D"/>
    <w:rsid w:val="008C0B1C"/>
    <w:rsid w:val="008C1295"/>
    <w:rsid w:val="008C1DE3"/>
    <w:rsid w:val="008C234F"/>
    <w:rsid w:val="008C2586"/>
    <w:rsid w:val="008C2D23"/>
    <w:rsid w:val="008C2E66"/>
    <w:rsid w:val="008C321D"/>
    <w:rsid w:val="008C33CC"/>
    <w:rsid w:val="008C3786"/>
    <w:rsid w:val="008C4142"/>
    <w:rsid w:val="008C44E6"/>
    <w:rsid w:val="008C4E93"/>
    <w:rsid w:val="008C5D73"/>
    <w:rsid w:val="008C61AA"/>
    <w:rsid w:val="008C6384"/>
    <w:rsid w:val="008C6873"/>
    <w:rsid w:val="008C6DE1"/>
    <w:rsid w:val="008C6F4F"/>
    <w:rsid w:val="008C712E"/>
    <w:rsid w:val="008C7494"/>
    <w:rsid w:val="008C7874"/>
    <w:rsid w:val="008C7E79"/>
    <w:rsid w:val="008D0225"/>
    <w:rsid w:val="008D05DC"/>
    <w:rsid w:val="008D0762"/>
    <w:rsid w:val="008D08F7"/>
    <w:rsid w:val="008D092E"/>
    <w:rsid w:val="008D0A78"/>
    <w:rsid w:val="008D0B31"/>
    <w:rsid w:val="008D0BC7"/>
    <w:rsid w:val="008D0BD8"/>
    <w:rsid w:val="008D0C14"/>
    <w:rsid w:val="008D113F"/>
    <w:rsid w:val="008D12EB"/>
    <w:rsid w:val="008D1361"/>
    <w:rsid w:val="008D173B"/>
    <w:rsid w:val="008D17A4"/>
    <w:rsid w:val="008D17C2"/>
    <w:rsid w:val="008D1F25"/>
    <w:rsid w:val="008D200C"/>
    <w:rsid w:val="008D20C4"/>
    <w:rsid w:val="008D21E8"/>
    <w:rsid w:val="008D2E90"/>
    <w:rsid w:val="008D2EA4"/>
    <w:rsid w:val="008D30AA"/>
    <w:rsid w:val="008D31CF"/>
    <w:rsid w:val="008D33A6"/>
    <w:rsid w:val="008D3768"/>
    <w:rsid w:val="008D3C3E"/>
    <w:rsid w:val="008D3DE3"/>
    <w:rsid w:val="008D3DFE"/>
    <w:rsid w:val="008D3FA8"/>
    <w:rsid w:val="008D3FEC"/>
    <w:rsid w:val="008D424B"/>
    <w:rsid w:val="008D4449"/>
    <w:rsid w:val="008D456F"/>
    <w:rsid w:val="008D48A2"/>
    <w:rsid w:val="008D4B6E"/>
    <w:rsid w:val="008D4BF9"/>
    <w:rsid w:val="008D4E95"/>
    <w:rsid w:val="008D5312"/>
    <w:rsid w:val="008D5746"/>
    <w:rsid w:val="008D5A3E"/>
    <w:rsid w:val="008D5CBD"/>
    <w:rsid w:val="008D5D32"/>
    <w:rsid w:val="008D5DC1"/>
    <w:rsid w:val="008D6012"/>
    <w:rsid w:val="008D60B2"/>
    <w:rsid w:val="008D6167"/>
    <w:rsid w:val="008D64D6"/>
    <w:rsid w:val="008D6648"/>
    <w:rsid w:val="008D6674"/>
    <w:rsid w:val="008D6EC1"/>
    <w:rsid w:val="008D7049"/>
    <w:rsid w:val="008D730E"/>
    <w:rsid w:val="008D73F2"/>
    <w:rsid w:val="008D7471"/>
    <w:rsid w:val="008E08CA"/>
    <w:rsid w:val="008E0A91"/>
    <w:rsid w:val="008E1100"/>
    <w:rsid w:val="008E136F"/>
    <w:rsid w:val="008E1C84"/>
    <w:rsid w:val="008E1FF7"/>
    <w:rsid w:val="008E245F"/>
    <w:rsid w:val="008E2854"/>
    <w:rsid w:val="008E2C77"/>
    <w:rsid w:val="008E3170"/>
    <w:rsid w:val="008E3241"/>
    <w:rsid w:val="008E333A"/>
    <w:rsid w:val="008E34F3"/>
    <w:rsid w:val="008E3D80"/>
    <w:rsid w:val="008E4025"/>
    <w:rsid w:val="008E4128"/>
    <w:rsid w:val="008E4646"/>
    <w:rsid w:val="008E4D8F"/>
    <w:rsid w:val="008E530A"/>
    <w:rsid w:val="008E5623"/>
    <w:rsid w:val="008E59B7"/>
    <w:rsid w:val="008E5F38"/>
    <w:rsid w:val="008E607B"/>
    <w:rsid w:val="008E613D"/>
    <w:rsid w:val="008E63A7"/>
    <w:rsid w:val="008E667C"/>
    <w:rsid w:val="008E6721"/>
    <w:rsid w:val="008E6F93"/>
    <w:rsid w:val="008E7083"/>
    <w:rsid w:val="008E7096"/>
    <w:rsid w:val="008E71AB"/>
    <w:rsid w:val="008E7807"/>
    <w:rsid w:val="008E7819"/>
    <w:rsid w:val="008F0049"/>
    <w:rsid w:val="008F008B"/>
    <w:rsid w:val="008F014A"/>
    <w:rsid w:val="008F022A"/>
    <w:rsid w:val="008F0595"/>
    <w:rsid w:val="008F07DE"/>
    <w:rsid w:val="008F0883"/>
    <w:rsid w:val="008F0AC9"/>
    <w:rsid w:val="008F161B"/>
    <w:rsid w:val="008F16D4"/>
    <w:rsid w:val="008F1912"/>
    <w:rsid w:val="008F1AEB"/>
    <w:rsid w:val="008F1F96"/>
    <w:rsid w:val="008F2428"/>
    <w:rsid w:val="008F2869"/>
    <w:rsid w:val="008F293B"/>
    <w:rsid w:val="008F29AE"/>
    <w:rsid w:val="008F2F1C"/>
    <w:rsid w:val="008F2F8A"/>
    <w:rsid w:val="008F3074"/>
    <w:rsid w:val="008F30A3"/>
    <w:rsid w:val="008F31E9"/>
    <w:rsid w:val="008F32D2"/>
    <w:rsid w:val="008F3341"/>
    <w:rsid w:val="008F3344"/>
    <w:rsid w:val="008F33E4"/>
    <w:rsid w:val="008F341A"/>
    <w:rsid w:val="008F3880"/>
    <w:rsid w:val="008F393B"/>
    <w:rsid w:val="008F3973"/>
    <w:rsid w:val="008F3B15"/>
    <w:rsid w:val="008F3CB9"/>
    <w:rsid w:val="008F3F7F"/>
    <w:rsid w:val="008F40D1"/>
    <w:rsid w:val="008F438B"/>
    <w:rsid w:val="008F45AF"/>
    <w:rsid w:val="008F4767"/>
    <w:rsid w:val="008F4791"/>
    <w:rsid w:val="008F497F"/>
    <w:rsid w:val="008F51AD"/>
    <w:rsid w:val="008F52F3"/>
    <w:rsid w:val="008F5CB2"/>
    <w:rsid w:val="008F5FE6"/>
    <w:rsid w:val="008F6018"/>
    <w:rsid w:val="008F6121"/>
    <w:rsid w:val="008F63F6"/>
    <w:rsid w:val="008F655A"/>
    <w:rsid w:val="008F6664"/>
    <w:rsid w:val="008F691B"/>
    <w:rsid w:val="008F6BFE"/>
    <w:rsid w:val="008F6DFD"/>
    <w:rsid w:val="008F6E9D"/>
    <w:rsid w:val="008F718D"/>
    <w:rsid w:val="008F74A8"/>
    <w:rsid w:val="008F74F5"/>
    <w:rsid w:val="008F79F9"/>
    <w:rsid w:val="009000FD"/>
    <w:rsid w:val="009002DB"/>
    <w:rsid w:val="00900342"/>
    <w:rsid w:val="00900912"/>
    <w:rsid w:val="00900958"/>
    <w:rsid w:val="00900B1A"/>
    <w:rsid w:val="00900FC4"/>
    <w:rsid w:val="009011C7"/>
    <w:rsid w:val="0090141A"/>
    <w:rsid w:val="00901962"/>
    <w:rsid w:val="00901F46"/>
    <w:rsid w:val="0090207C"/>
    <w:rsid w:val="009024E4"/>
    <w:rsid w:val="00902747"/>
    <w:rsid w:val="00902AC8"/>
    <w:rsid w:val="0090301E"/>
    <w:rsid w:val="0090365D"/>
    <w:rsid w:val="00903B41"/>
    <w:rsid w:val="00903BD5"/>
    <w:rsid w:val="00903DB8"/>
    <w:rsid w:val="00903DE9"/>
    <w:rsid w:val="0090425F"/>
    <w:rsid w:val="0090431D"/>
    <w:rsid w:val="00904625"/>
    <w:rsid w:val="00904678"/>
    <w:rsid w:val="009049C2"/>
    <w:rsid w:val="009052FE"/>
    <w:rsid w:val="009057DF"/>
    <w:rsid w:val="00905855"/>
    <w:rsid w:val="00905A31"/>
    <w:rsid w:val="00905CD4"/>
    <w:rsid w:val="00905D44"/>
    <w:rsid w:val="00905E27"/>
    <w:rsid w:val="00906305"/>
    <w:rsid w:val="009066E5"/>
    <w:rsid w:val="00906C20"/>
    <w:rsid w:val="00906D61"/>
    <w:rsid w:val="00906EE2"/>
    <w:rsid w:val="00906F0B"/>
    <w:rsid w:val="0090765B"/>
    <w:rsid w:val="00907998"/>
    <w:rsid w:val="009079C5"/>
    <w:rsid w:val="00907B26"/>
    <w:rsid w:val="00907B83"/>
    <w:rsid w:val="0091035B"/>
    <w:rsid w:val="00910435"/>
    <w:rsid w:val="009105ED"/>
    <w:rsid w:val="00910AF9"/>
    <w:rsid w:val="00910BBA"/>
    <w:rsid w:val="00910C65"/>
    <w:rsid w:val="00910D19"/>
    <w:rsid w:val="00910D34"/>
    <w:rsid w:val="00910D59"/>
    <w:rsid w:val="00910E6C"/>
    <w:rsid w:val="0091115E"/>
    <w:rsid w:val="00911575"/>
    <w:rsid w:val="0091181A"/>
    <w:rsid w:val="009119A3"/>
    <w:rsid w:val="00911A91"/>
    <w:rsid w:val="00911B21"/>
    <w:rsid w:val="009120FD"/>
    <w:rsid w:val="0091239F"/>
    <w:rsid w:val="009127EC"/>
    <w:rsid w:val="00913033"/>
    <w:rsid w:val="0091306B"/>
    <w:rsid w:val="00913954"/>
    <w:rsid w:val="009139E8"/>
    <w:rsid w:val="00913CC5"/>
    <w:rsid w:val="00913EE4"/>
    <w:rsid w:val="009140EB"/>
    <w:rsid w:val="00914538"/>
    <w:rsid w:val="009145C1"/>
    <w:rsid w:val="00914722"/>
    <w:rsid w:val="00914759"/>
    <w:rsid w:val="00914A19"/>
    <w:rsid w:val="009160FC"/>
    <w:rsid w:val="00916717"/>
    <w:rsid w:val="0091691F"/>
    <w:rsid w:val="00916EF3"/>
    <w:rsid w:val="00917173"/>
    <w:rsid w:val="00917679"/>
    <w:rsid w:val="00917840"/>
    <w:rsid w:val="00917C2A"/>
    <w:rsid w:val="00917D1B"/>
    <w:rsid w:val="00917D4A"/>
    <w:rsid w:val="00917F8F"/>
    <w:rsid w:val="0092022E"/>
    <w:rsid w:val="009202D1"/>
    <w:rsid w:val="0092041C"/>
    <w:rsid w:val="00920591"/>
    <w:rsid w:val="0092070B"/>
    <w:rsid w:val="0092072F"/>
    <w:rsid w:val="009208EC"/>
    <w:rsid w:val="00920CB5"/>
    <w:rsid w:val="00920DE9"/>
    <w:rsid w:val="009211AB"/>
    <w:rsid w:val="00921519"/>
    <w:rsid w:val="0092169C"/>
    <w:rsid w:val="00921A8D"/>
    <w:rsid w:val="00921D5D"/>
    <w:rsid w:val="0092275B"/>
    <w:rsid w:val="00922882"/>
    <w:rsid w:val="0092296E"/>
    <w:rsid w:val="00922A11"/>
    <w:rsid w:val="00922EE9"/>
    <w:rsid w:val="009235EB"/>
    <w:rsid w:val="00923650"/>
    <w:rsid w:val="00923F6F"/>
    <w:rsid w:val="009241E5"/>
    <w:rsid w:val="009242C1"/>
    <w:rsid w:val="00924575"/>
    <w:rsid w:val="00924660"/>
    <w:rsid w:val="009249CF"/>
    <w:rsid w:val="00924A04"/>
    <w:rsid w:val="00924BD8"/>
    <w:rsid w:val="0092501A"/>
    <w:rsid w:val="00925195"/>
    <w:rsid w:val="00925528"/>
    <w:rsid w:val="009257D5"/>
    <w:rsid w:val="00925BEA"/>
    <w:rsid w:val="00925D10"/>
    <w:rsid w:val="009260E0"/>
    <w:rsid w:val="00926681"/>
    <w:rsid w:val="009267AB"/>
    <w:rsid w:val="00926942"/>
    <w:rsid w:val="00926CC5"/>
    <w:rsid w:val="00926E77"/>
    <w:rsid w:val="00926F30"/>
    <w:rsid w:val="00926FE5"/>
    <w:rsid w:val="00927416"/>
    <w:rsid w:val="00927464"/>
    <w:rsid w:val="00927496"/>
    <w:rsid w:val="00927629"/>
    <w:rsid w:val="00927656"/>
    <w:rsid w:val="00927688"/>
    <w:rsid w:val="0092782D"/>
    <w:rsid w:val="00930442"/>
    <w:rsid w:val="00930CDA"/>
    <w:rsid w:val="00930D34"/>
    <w:rsid w:val="00930F38"/>
    <w:rsid w:val="00931001"/>
    <w:rsid w:val="0093199A"/>
    <w:rsid w:val="00931F44"/>
    <w:rsid w:val="00932083"/>
    <w:rsid w:val="009320A5"/>
    <w:rsid w:val="00932579"/>
    <w:rsid w:val="00932B35"/>
    <w:rsid w:val="00932FDC"/>
    <w:rsid w:val="0093371B"/>
    <w:rsid w:val="00933A36"/>
    <w:rsid w:val="00933AE5"/>
    <w:rsid w:val="00933BB1"/>
    <w:rsid w:val="009341ED"/>
    <w:rsid w:val="009343CD"/>
    <w:rsid w:val="0093473D"/>
    <w:rsid w:val="0093497F"/>
    <w:rsid w:val="00935163"/>
    <w:rsid w:val="0093547E"/>
    <w:rsid w:val="00935B37"/>
    <w:rsid w:val="00935BB4"/>
    <w:rsid w:val="00936049"/>
    <w:rsid w:val="00936582"/>
    <w:rsid w:val="00936762"/>
    <w:rsid w:val="009367DA"/>
    <w:rsid w:val="00936831"/>
    <w:rsid w:val="00936BE0"/>
    <w:rsid w:val="00936D0F"/>
    <w:rsid w:val="009370F2"/>
    <w:rsid w:val="00937179"/>
    <w:rsid w:val="0093740A"/>
    <w:rsid w:val="00937885"/>
    <w:rsid w:val="009378F1"/>
    <w:rsid w:val="00937973"/>
    <w:rsid w:val="0093798A"/>
    <w:rsid w:val="009379F4"/>
    <w:rsid w:val="00937B41"/>
    <w:rsid w:val="0094038B"/>
    <w:rsid w:val="00940ADB"/>
    <w:rsid w:val="009416B1"/>
    <w:rsid w:val="00941B75"/>
    <w:rsid w:val="00941CBE"/>
    <w:rsid w:val="00941E93"/>
    <w:rsid w:val="009421AF"/>
    <w:rsid w:val="00942531"/>
    <w:rsid w:val="00942E73"/>
    <w:rsid w:val="00943788"/>
    <w:rsid w:val="00943884"/>
    <w:rsid w:val="00943AA5"/>
    <w:rsid w:val="00943E03"/>
    <w:rsid w:val="00943FAB"/>
    <w:rsid w:val="009443ED"/>
    <w:rsid w:val="009447EC"/>
    <w:rsid w:val="00944B6D"/>
    <w:rsid w:val="00945223"/>
    <w:rsid w:val="0094526E"/>
    <w:rsid w:val="0094530E"/>
    <w:rsid w:val="009455F8"/>
    <w:rsid w:val="00945A7A"/>
    <w:rsid w:val="00945E95"/>
    <w:rsid w:val="00945F18"/>
    <w:rsid w:val="00946440"/>
    <w:rsid w:val="009466B2"/>
    <w:rsid w:val="009466E4"/>
    <w:rsid w:val="00946D2D"/>
    <w:rsid w:val="00946EEB"/>
    <w:rsid w:val="0094736E"/>
    <w:rsid w:val="00947492"/>
    <w:rsid w:val="009476E6"/>
    <w:rsid w:val="00947829"/>
    <w:rsid w:val="00947A2E"/>
    <w:rsid w:val="00947A4A"/>
    <w:rsid w:val="00947EFC"/>
    <w:rsid w:val="00950271"/>
    <w:rsid w:val="00950ACC"/>
    <w:rsid w:val="00950B39"/>
    <w:rsid w:val="00950B7C"/>
    <w:rsid w:val="00950FD0"/>
    <w:rsid w:val="009512AC"/>
    <w:rsid w:val="00951372"/>
    <w:rsid w:val="0095164D"/>
    <w:rsid w:val="00951799"/>
    <w:rsid w:val="00951C86"/>
    <w:rsid w:val="009520BA"/>
    <w:rsid w:val="00952336"/>
    <w:rsid w:val="009523A7"/>
    <w:rsid w:val="009527F0"/>
    <w:rsid w:val="00952BA3"/>
    <w:rsid w:val="00952C17"/>
    <w:rsid w:val="009532BB"/>
    <w:rsid w:val="009535A4"/>
    <w:rsid w:val="009537C1"/>
    <w:rsid w:val="00953814"/>
    <w:rsid w:val="00953843"/>
    <w:rsid w:val="0095391B"/>
    <w:rsid w:val="009539FC"/>
    <w:rsid w:val="00953B5B"/>
    <w:rsid w:val="00953CFF"/>
    <w:rsid w:val="00954291"/>
    <w:rsid w:val="00954434"/>
    <w:rsid w:val="00954860"/>
    <w:rsid w:val="009549EE"/>
    <w:rsid w:val="00954EAB"/>
    <w:rsid w:val="00954F60"/>
    <w:rsid w:val="00955424"/>
    <w:rsid w:val="0095552D"/>
    <w:rsid w:val="009557DA"/>
    <w:rsid w:val="0095583E"/>
    <w:rsid w:val="00955EC1"/>
    <w:rsid w:val="0095636C"/>
    <w:rsid w:val="0095694B"/>
    <w:rsid w:val="00956A00"/>
    <w:rsid w:val="00957319"/>
    <w:rsid w:val="0095756A"/>
    <w:rsid w:val="0095789A"/>
    <w:rsid w:val="00957BEF"/>
    <w:rsid w:val="00957ED2"/>
    <w:rsid w:val="00960716"/>
    <w:rsid w:val="0096074C"/>
    <w:rsid w:val="009607F7"/>
    <w:rsid w:val="00960821"/>
    <w:rsid w:val="00960823"/>
    <w:rsid w:val="00960B25"/>
    <w:rsid w:val="00960F08"/>
    <w:rsid w:val="009612BA"/>
    <w:rsid w:val="009616A6"/>
    <w:rsid w:val="0096175A"/>
    <w:rsid w:val="00961793"/>
    <w:rsid w:val="009619E7"/>
    <w:rsid w:val="00961A54"/>
    <w:rsid w:val="00961D04"/>
    <w:rsid w:val="00961DC4"/>
    <w:rsid w:val="00962005"/>
    <w:rsid w:val="0096200C"/>
    <w:rsid w:val="0096211E"/>
    <w:rsid w:val="00962332"/>
    <w:rsid w:val="00962A72"/>
    <w:rsid w:val="00962F6E"/>
    <w:rsid w:val="0096314B"/>
    <w:rsid w:val="00963400"/>
    <w:rsid w:val="00963642"/>
    <w:rsid w:val="009637D1"/>
    <w:rsid w:val="009638C8"/>
    <w:rsid w:val="009638D6"/>
    <w:rsid w:val="00963972"/>
    <w:rsid w:val="00963AB7"/>
    <w:rsid w:val="00963D2E"/>
    <w:rsid w:val="00963D51"/>
    <w:rsid w:val="00963E1A"/>
    <w:rsid w:val="0096407C"/>
    <w:rsid w:val="00964125"/>
    <w:rsid w:val="00964354"/>
    <w:rsid w:val="0096451C"/>
    <w:rsid w:val="0096453F"/>
    <w:rsid w:val="00964963"/>
    <w:rsid w:val="00964AED"/>
    <w:rsid w:val="00964B40"/>
    <w:rsid w:val="00964D05"/>
    <w:rsid w:val="00964D1A"/>
    <w:rsid w:val="0096537A"/>
    <w:rsid w:val="0096545A"/>
    <w:rsid w:val="00965540"/>
    <w:rsid w:val="00965F49"/>
    <w:rsid w:val="009666CD"/>
    <w:rsid w:val="009666EC"/>
    <w:rsid w:val="00966B28"/>
    <w:rsid w:val="00966D28"/>
    <w:rsid w:val="009670BA"/>
    <w:rsid w:val="009671E0"/>
    <w:rsid w:val="00967BEF"/>
    <w:rsid w:val="00970207"/>
    <w:rsid w:val="0097075D"/>
    <w:rsid w:val="00970B54"/>
    <w:rsid w:val="00970BFE"/>
    <w:rsid w:val="00970C85"/>
    <w:rsid w:val="0097104B"/>
    <w:rsid w:val="0097125E"/>
    <w:rsid w:val="00971278"/>
    <w:rsid w:val="009718F3"/>
    <w:rsid w:val="0097190B"/>
    <w:rsid w:val="00971B36"/>
    <w:rsid w:val="00971C2B"/>
    <w:rsid w:val="0097265B"/>
    <w:rsid w:val="00972956"/>
    <w:rsid w:val="00972957"/>
    <w:rsid w:val="00972B9E"/>
    <w:rsid w:val="00972F54"/>
    <w:rsid w:val="00972F57"/>
    <w:rsid w:val="009733C1"/>
    <w:rsid w:val="00973A82"/>
    <w:rsid w:val="00974238"/>
    <w:rsid w:val="009745DE"/>
    <w:rsid w:val="00974692"/>
    <w:rsid w:val="00974BB2"/>
    <w:rsid w:val="00974C0D"/>
    <w:rsid w:val="00974D8A"/>
    <w:rsid w:val="00974F68"/>
    <w:rsid w:val="00975160"/>
    <w:rsid w:val="0097529A"/>
    <w:rsid w:val="00975893"/>
    <w:rsid w:val="00975CB2"/>
    <w:rsid w:val="009762C0"/>
    <w:rsid w:val="009763C3"/>
    <w:rsid w:val="00976800"/>
    <w:rsid w:val="00976922"/>
    <w:rsid w:val="00976A1B"/>
    <w:rsid w:val="00976DDD"/>
    <w:rsid w:val="00976E87"/>
    <w:rsid w:val="009773F9"/>
    <w:rsid w:val="0097777B"/>
    <w:rsid w:val="00980255"/>
    <w:rsid w:val="009802A4"/>
    <w:rsid w:val="00980524"/>
    <w:rsid w:val="00980A41"/>
    <w:rsid w:val="00980CB3"/>
    <w:rsid w:val="00980CB6"/>
    <w:rsid w:val="00980F8A"/>
    <w:rsid w:val="009811C6"/>
    <w:rsid w:val="009812D4"/>
    <w:rsid w:val="00981540"/>
    <w:rsid w:val="00981A68"/>
    <w:rsid w:val="00981B44"/>
    <w:rsid w:val="00981CB6"/>
    <w:rsid w:val="00982502"/>
    <w:rsid w:val="00982817"/>
    <w:rsid w:val="00982F74"/>
    <w:rsid w:val="00983266"/>
    <w:rsid w:val="009837A3"/>
    <w:rsid w:val="00983A14"/>
    <w:rsid w:val="00983A42"/>
    <w:rsid w:val="00983A75"/>
    <w:rsid w:val="00983B15"/>
    <w:rsid w:val="00983BCE"/>
    <w:rsid w:val="00983D41"/>
    <w:rsid w:val="009840CC"/>
    <w:rsid w:val="00984588"/>
    <w:rsid w:val="00984AF0"/>
    <w:rsid w:val="00984E4D"/>
    <w:rsid w:val="00984FE7"/>
    <w:rsid w:val="00985072"/>
    <w:rsid w:val="009851CC"/>
    <w:rsid w:val="009853EC"/>
    <w:rsid w:val="009853FE"/>
    <w:rsid w:val="0098595A"/>
    <w:rsid w:val="009859D0"/>
    <w:rsid w:val="00985A9B"/>
    <w:rsid w:val="00985AA5"/>
    <w:rsid w:val="00985C1E"/>
    <w:rsid w:val="00985E72"/>
    <w:rsid w:val="00985EE4"/>
    <w:rsid w:val="00986451"/>
    <w:rsid w:val="00986A8F"/>
    <w:rsid w:val="00986B18"/>
    <w:rsid w:val="00986D7F"/>
    <w:rsid w:val="00986DB2"/>
    <w:rsid w:val="00986F75"/>
    <w:rsid w:val="00987068"/>
    <w:rsid w:val="009872F7"/>
    <w:rsid w:val="00987890"/>
    <w:rsid w:val="00987B7C"/>
    <w:rsid w:val="00987BB4"/>
    <w:rsid w:val="00987F05"/>
    <w:rsid w:val="00987F88"/>
    <w:rsid w:val="0099027A"/>
    <w:rsid w:val="00990335"/>
    <w:rsid w:val="0099082F"/>
    <w:rsid w:val="00990982"/>
    <w:rsid w:val="00990BB7"/>
    <w:rsid w:val="00990EB1"/>
    <w:rsid w:val="00991499"/>
    <w:rsid w:val="00991600"/>
    <w:rsid w:val="00991680"/>
    <w:rsid w:val="00991B86"/>
    <w:rsid w:val="00991C37"/>
    <w:rsid w:val="00991E6E"/>
    <w:rsid w:val="00991E84"/>
    <w:rsid w:val="00991FCD"/>
    <w:rsid w:val="009923DB"/>
    <w:rsid w:val="00992489"/>
    <w:rsid w:val="00992EF4"/>
    <w:rsid w:val="00992F64"/>
    <w:rsid w:val="00993429"/>
    <w:rsid w:val="009934DA"/>
    <w:rsid w:val="0099367F"/>
    <w:rsid w:val="00993AFE"/>
    <w:rsid w:val="00993B32"/>
    <w:rsid w:val="009942FB"/>
    <w:rsid w:val="00994488"/>
    <w:rsid w:val="009948BF"/>
    <w:rsid w:val="00994953"/>
    <w:rsid w:val="00994962"/>
    <w:rsid w:val="009949D4"/>
    <w:rsid w:val="00994A0E"/>
    <w:rsid w:val="00994BE7"/>
    <w:rsid w:val="00994D30"/>
    <w:rsid w:val="00994EB7"/>
    <w:rsid w:val="009950AA"/>
    <w:rsid w:val="00995280"/>
    <w:rsid w:val="009953F9"/>
    <w:rsid w:val="009954F8"/>
    <w:rsid w:val="00995EA0"/>
    <w:rsid w:val="009960F8"/>
    <w:rsid w:val="0099638D"/>
    <w:rsid w:val="009966F1"/>
    <w:rsid w:val="00996945"/>
    <w:rsid w:val="00996DEC"/>
    <w:rsid w:val="00996EBF"/>
    <w:rsid w:val="00996F69"/>
    <w:rsid w:val="00996F75"/>
    <w:rsid w:val="009970A6"/>
    <w:rsid w:val="00997974"/>
    <w:rsid w:val="00997CF9"/>
    <w:rsid w:val="00997DFF"/>
    <w:rsid w:val="009A0773"/>
    <w:rsid w:val="009A0903"/>
    <w:rsid w:val="009A0BF8"/>
    <w:rsid w:val="009A14FF"/>
    <w:rsid w:val="009A15C7"/>
    <w:rsid w:val="009A185D"/>
    <w:rsid w:val="009A19E0"/>
    <w:rsid w:val="009A1C31"/>
    <w:rsid w:val="009A1CFC"/>
    <w:rsid w:val="009A21FB"/>
    <w:rsid w:val="009A29F8"/>
    <w:rsid w:val="009A2A36"/>
    <w:rsid w:val="009A2ADA"/>
    <w:rsid w:val="009A2CFF"/>
    <w:rsid w:val="009A3366"/>
    <w:rsid w:val="009A36A7"/>
    <w:rsid w:val="009A3A84"/>
    <w:rsid w:val="009A3B7D"/>
    <w:rsid w:val="009A402E"/>
    <w:rsid w:val="009A41BE"/>
    <w:rsid w:val="009A4299"/>
    <w:rsid w:val="009A4667"/>
    <w:rsid w:val="009A486F"/>
    <w:rsid w:val="009A4E63"/>
    <w:rsid w:val="009A52FE"/>
    <w:rsid w:val="009A53BC"/>
    <w:rsid w:val="009A5546"/>
    <w:rsid w:val="009A577E"/>
    <w:rsid w:val="009A5793"/>
    <w:rsid w:val="009A58ED"/>
    <w:rsid w:val="009A5917"/>
    <w:rsid w:val="009A59F7"/>
    <w:rsid w:val="009A5C25"/>
    <w:rsid w:val="009A5C84"/>
    <w:rsid w:val="009A6190"/>
    <w:rsid w:val="009A6440"/>
    <w:rsid w:val="009A6A85"/>
    <w:rsid w:val="009A6D42"/>
    <w:rsid w:val="009A71BC"/>
    <w:rsid w:val="009A721B"/>
    <w:rsid w:val="009A730C"/>
    <w:rsid w:val="009A774B"/>
    <w:rsid w:val="009A7F34"/>
    <w:rsid w:val="009A7F90"/>
    <w:rsid w:val="009B0059"/>
    <w:rsid w:val="009B059D"/>
    <w:rsid w:val="009B09CC"/>
    <w:rsid w:val="009B0B11"/>
    <w:rsid w:val="009B1A6D"/>
    <w:rsid w:val="009B1CE5"/>
    <w:rsid w:val="009B1F84"/>
    <w:rsid w:val="009B214A"/>
    <w:rsid w:val="009B2735"/>
    <w:rsid w:val="009B2987"/>
    <w:rsid w:val="009B2B84"/>
    <w:rsid w:val="009B2D03"/>
    <w:rsid w:val="009B33EC"/>
    <w:rsid w:val="009B353D"/>
    <w:rsid w:val="009B3986"/>
    <w:rsid w:val="009B3B53"/>
    <w:rsid w:val="009B3D5B"/>
    <w:rsid w:val="009B4302"/>
    <w:rsid w:val="009B45BC"/>
    <w:rsid w:val="009B4679"/>
    <w:rsid w:val="009B4908"/>
    <w:rsid w:val="009B499F"/>
    <w:rsid w:val="009B4A0F"/>
    <w:rsid w:val="009B4AF5"/>
    <w:rsid w:val="009B4C3D"/>
    <w:rsid w:val="009B4D77"/>
    <w:rsid w:val="009B4D86"/>
    <w:rsid w:val="009B5203"/>
    <w:rsid w:val="009B52EB"/>
    <w:rsid w:val="009B563E"/>
    <w:rsid w:val="009B5A16"/>
    <w:rsid w:val="009B5F9D"/>
    <w:rsid w:val="009B6180"/>
    <w:rsid w:val="009B62AC"/>
    <w:rsid w:val="009B6585"/>
    <w:rsid w:val="009B683E"/>
    <w:rsid w:val="009B6C54"/>
    <w:rsid w:val="009B703F"/>
    <w:rsid w:val="009B71F6"/>
    <w:rsid w:val="009B7533"/>
    <w:rsid w:val="009B772E"/>
    <w:rsid w:val="009B7F58"/>
    <w:rsid w:val="009C0036"/>
    <w:rsid w:val="009C0540"/>
    <w:rsid w:val="009C07AB"/>
    <w:rsid w:val="009C088D"/>
    <w:rsid w:val="009C0904"/>
    <w:rsid w:val="009C1177"/>
    <w:rsid w:val="009C118F"/>
    <w:rsid w:val="009C1366"/>
    <w:rsid w:val="009C1547"/>
    <w:rsid w:val="009C1615"/>
    <w:rsid w:val="009C1753"/>
    <w:rsid w:val="009C177F"/>
    <w:rsid w:val="009C1922"/>
    <w:rsid w:val="009C1BE3"/>
    <w:rsid w:val="009C1F54"/>
    <w:rsid w:val="009C220F"/>
    <w:rsid w:val="009C2402"/>
    <w:rsid w:val="009C256F"/>
    <w:rsid w:val="009C25B6"/>
    <w:rsid w:val="009C27D3"/>
    <w:rsid w:val="009C2A99"/>
    <w:rsid w:val="009C2C85"/>
    <w:rsid w:val="009C30F0"/>
    <w:rsid w:val="009C3582"/>
    <w:rsid w:val="009C35D8"/>
    <w:rsid w:val="009C397B"/>
    <w:rsid w:val="009C3CFA"/>
    <w:rsid w:val="009C3FF2"/>
    <w:rsid w:val="009C46DC"/>
    <w:rsid w:val="009C48C9"/>
    <w:rsid w:val="009C48EF"/>
    <w:rsid w:val="009C4D4C"/>
    <w:rsid w:val="009C4FDE"/>
    <w:rsid w:val="009C501F"/>
    <w:rsid w:val="009C52BC"/>
    <w:rsid w:val="009C534C"/>
    <w:rsid w:val="009C570D"/>
    <w:rsid w:val="009C5911"/>
    <w:rsid w:val="009C5F6E"/>
    <w:rsid w:val="009C5F7E"/>
    <w:rsid w:val="009C6265"/>
    <w:rsid w:val="009C63AD"/>
    <w:rsid w:val="009C6F3D"/>
    <w:rsid w:val="009C6FA5"/>
    <w:rsid w:val="009C705E"/>
    <w:rsid w:val="009C70ED"/>
    <w:rsid w:val="009C714E"/>
    <w:rsid w:val="009C73F0"/>
    <w:rsid w:val="009C7543"/>
    <w:rsid w:val="009C77CC"/>
    <w:rsid w:val="009C789A"/>
    <w:rsid w:val="009C7D9E"/>
    <w:rsid w:val="009D0166"/>
    <w:rsid w:val="009D0277"/>
    <w:rsid w:val="009D033D"/>
    <w:rsid w:val="009D0686"/>
    <w:rsid w:val="009D0DCF"/>
    <w:rsid w:val="009D109A"/>
    <w:rsid w:val="009D13D8"/>
    <w:rsid w:val="009D1AF1"/>
    <w:rsid w:val="009D1B7F"/>
    <w:rsid w:val="009D1ED2"/>
    <w:rsid w:val="009D1F51"/>
    <w:rsid w:val="009D2395"/>
    <w:rsid w:val="009D2410"/>
    <w:rsid w:val="009D26B2"/>
    <w:rsid w:val="009D2F7D"/>
    <w:rsid w:val="009D333D"/>
    <w:rsid w:val="009D33CD"/>
    <w:rsid w:val="009D3A5C"/>
    <w:rsid w:val="009D3F22"/>
    <w:rsid w:val="009D4099"/>
    <w:rsid w:val="009D44A5"/>
    <w:rsid w:val="009D4715"/>
    <w:rsid w:val="009D520E"/>
    <w:rsid w:val="009D54A6"/>
    <w:rsid w:val="009D5696"/>
    <w:rsid w:val="009D5731"/>
    <w:rsid w:val="009D579B"/>
    <w:rsid w:val="009D579D"/>
    <w:rsid w:val="009D58B9"/>
    <w:rsid w:val="009D5974"/>
    <w:rsid w:val="009D59AD"/>
    <w:rsid w:val="009D5F34"/>
    <w:rsid w:val="009D5FD2"/>
    <w:rsid w:val="009D6010"/>
    <w:rsid w:val="009D6038"/>
    <w:rsid w:val="009D61C8"/>
    <w:rsid w:val="009D6581"/>
    <w:rsid w:val="009D66DD"/>
    <w:rsid w:val="009D6CE4"/>
    <w:rsid w:val="009D6DBE"/>
    <w:rsid w:val="009D6FE0"/>
    <w:rsid w:val="009D7713"/>
    <w:rsid w:val="009D784F"/>
    <w:rsid w:val="009D7A19"/>
    <w:rsid w:val="009D7E4F"/>
    <w:rsid w:val="009E009C"/>
    <w:rsid w:val="009E00CF"/>
    <w:rsid w:val="009E0356"/>
    <w:rsid w:val="009E0DDD"/>
    <w:rsid w:val="009E105A"/>
    <w:rsid w:val="009E11FC"/>
    <w:rsid w:val="009E124A"/>
    <w:rsid w:val="009E12D3"/>
    <w:rsid w:val="009E1529"/>
    <w:rsid w:val="009E156B"/>
    <w:rsid w:val="009E17F8"/>
    <w:rsid w:val="009E1B76"/>
    <w:rsid w:val="009E1D10"/>
    <w:rsid w:val="009E1FCA"/>
    <w:rsid w:val="009E20CE"/>
    <w:rsid w:val="009E2ACA"/>
    <w:rsid w:val="009E2D2D"/>
    <w:rsid w:val="009E2D36"/>
    <w:rsid w:val="009E31DF"/>
    <w:rsid w:val="009E31F8"/>
    <w:rsid w:val="009E32D3"/>
    <w:rsid w:val="009E33A7"/>
    <w:rsid w:val="009E38D3"/>
    <w:rsid w:val="009E3949"/>
    <w:rsid w:val="009E4259"/>
    <w:rsid w:val="009E44F7"/>
    <w:rsid w:val="009E4B47"/>
    <w:rsid w:val="009E4C4B"/>
    <w:rsid w:val="009E4F1C"/>
    <w:rsid w:val="009E4F6F"/>
    <w:rsid w:val="009E4F73"/>
    <w:rsid w:val="009E54DC"/>
    <w:rsid w:val="009E5548"/>
    <w:rsid w:val="009E5869"/>
    <w:rsid w:val="009E58D7"/>
    <w:rsid w:val="009E5B3C"/>
    <w:rsid w:val="009E5BC5"/>
    <w:rsid w:val="009E5C6B"/>
    <w:rsid w:val="009E5D01"/>
    <w:rsid w:val="009E5EB0"/>
    <w:rsid w:val="009E5EE2"/>
    <w:rsid w:val="009E610D"/>
    <w:rsid w:val="009E65C0"/>
    <w:rsid w:val="009E65EF"/>
    <w:rsid w:val="009E6D2B"/>
    <w:rsid w:val="009E7087"/>
    <w:rsid w:val="009E7174"/>
    <w:rsid w:val="009E724A"/>
    <w:rsid w:val="009E7400"/>
    <w:rsid w:val="009E7579"/>
    <w:rsid w:val="009E7A40"/>
    <w:rsid w:val="009E7BE4"/>
    <w:rsid w:val="009F02CE"/>
    <w:rsid w:val="009F123B"/>
    <w:rsid w:val="009F1266"/>
    <w:rsid w:val="009F12D8"/>
    <w:rsid w:val="009F12F8"/>
    <w:rsid w:val="009F134A"/>
    <w:rsid w:val="009F14DD"/>
    <w:rsid w:val="009F18BF"/>
    <w:rsid w:val="009F1FF2"/>
    <w:rsid w:val="009F21CD"/>
    <w:rsid w:val="009F2401"/>
    <w:rsid w:val="009F2B75"/>
    <w:rsid w:val="009F2DD9"/>
    <w:rsid w:val="009F2E56"/>
    <w:rsid w:val="009F3A35"/>
    <w:rsid w:val="009F3A8F"/>
    <w:rsid w:val="009F3C3D"/>
    <w:rsid w:val="009F4A10"/>
    <w:rsid w:val="009F4A5A"/>
    <w:rsid w:val="009F4AAC"/>
    <w:rsid w:val="009F4B03"/>
    <w:rsid w:val="009F4C40"/>
    <w:rsid w:val="009F51FB"/>
    <w:rsid w:val="009F5651"/>
    <w:rsid w:val="009F5695"/>
    <w:rsid w:val="009F5719"/>
    <w:rsid w:val="009F584A"/>
    <w:rsid w:val="009F5DDB"/>
    <w:rsid w:val="009F5F95"/>
    <w:rsid w:val="009F6175"/>
    <w:rsid w:val="009F639A"/>
    <w:rsid w:val="009F64B0"/>
    <w:rsid w:val="009F6783"/>
    <w:rsid w:val="009F679D"/>
    <w:rsid w:val="009F6BB7"/>
    <w:rsid w:val="009F6C41"/>
    <w:rsid w:val="009F6D57"/>
    <w:rsid w:val="009F7145"/>
    <w:rsid w:val="009F718B"/>
    <w:rsid w:val="009F7686"/>
    <w:rsid w:val="009F776B"/>
    <w:rsid w:val="009F7815"/>
    <w:rsid w:val="009F7826"/>
    <w:rsid w:val="009F7950"/>
    <w:rsid w:val="009F7D6A"/>
    <w:rsid w:val="009F7E6D"/>
    <w:rsid w:val="009F7FC8"/>
    <w:rsid w:val="00A0017C"/>
    <w:rsid w:val="00A00801"/>
    <w:rsid w:val="00A00E5C"/>
    <w:rsid w:val="00A0131C"/>
    <w:rsid w:val="00A01410"/>
    <w:rsid w:val="00A01D54"/>
    <w:rsid w:val="00A01E40"/>
    <w:rsid w:val="00A02164"/>
    <w:rsid w:val="00A02327"/>
    <w:rsid w:val="00A0250A"/>
    <w:rsid w:val="00A026A3"/>
    <w:rsid w:val="00A026FF"/>
    <w:rsid w:val="00A0277E"/>
    <w:rsid w:val="00A02AB8"/>
    <w:rsid w:val="00A02F2E"/>
    <w:rsid w:val="00A03351"/>
    <w:rsid w:val="00A0335C"/>
    <w:rsid w:val="00A03368"/>
    <w:rsid w:val="00A035A1"/>
    <w:rsid w:val="00A036EE"/>
    <w:rsid w:val="00A0377F"/>
    <w:rsid w:val="00A03842"/>
    <w:rsid w:val="00A038F0"/>
    <w:rsid w:val="00A03A63"/>
    <w:rsid w:val="00A03B46"/>
    <w:rsid w:val="00A03C22"/>
    <w:rsid w:val="00A0402D"/>
    <w:rsid w:val="00A04176"/>
    <w:rsid w:val="00A04613"/>
    <w:rsid w:val="00A0464C"/>
    <w:rsid w:val="00A046A7"/>
    <w:rsid w:val="00A05339"/>
    <w:rsid w:val="00A0547F"/>
    <w:rsid w:val="00A06266"/>
    <w:rsid w:val="00A06487"/>
    <w:rsid w:val="00A06A20"/>
    <w:rsid w:val="00A06BAC"/>
    <w:rsid w:val="00A0711A"/>
    <w:rsid w:val="00A07189"/>
    <w:rsid w:val="00A0730D"/>
    <w:rsid w:val="00A075C0"/>
    <w:rsid w:val="00A07AE7"/>
    <w:rsid w:val="00A07C41"/>
    <w:rsid w:val="00A103DD"/>
    <w:rsid w:val="00A10488"/>
    <w:rsid w:val="00A10603"/>
    <w:rsid w:val="00A10AB8"/>
    <w:rsid w:val="00A10D28"/>
    <w:rsid w:val="00A10E57"/>
    <w:rsid w:val="00A10F5B"/>
    <w:rsid w:val="00A1106D"/>
    <w:rsid w:val="00A114F9"/>
    <w:rsid w:val="00A1153A"/>
    <w:rsid w:val="00A116B7"/>
    <w:rsid w:val="00A11721"/>
    <w:rsid w:val="00A119CF"/>
    <w:rsid w:val="00A12501"/>
    <w:rsid w:val="00A1257B"/>
    <w:rsid w:val="00A12EE8"/>
    <w:rsid w:val="00A13224"/>
    <w:rsid w:val="00A135C6"/>
    <w:rsid w:val="00A13661"/>
    <w:rsid w:val="00A136E1"/>
    <w:rsid w:val="00A136E7"/>
    <w:rsid w:val="00A13AED"/>
    <w:rsid w:val="00A13D09"/>
    <w:rsid w:val="00A14061"/>
    <w:rsid w:val="00A14762"/>
    <w:rsid w:val="00A14A49"/>
    <w:rsid w:val="00A14F22"/>
    <w:rsid w:val="00A1530E"/>
    <w:rsid w:val="00A15633"/>
    <w:rsid w:val="00A1589B"/>
    <w:rsid w:val="00A15C6A"/>
    <w:rsid w:val="00A1658A"/>
    <w:rsid w:val="00A1661B"/>
    <w:rsid w:val="00A16AC3"/>
    <w:rsid w:val="00A16EC5"/>
    <w:rsid w:val="00A16FA3"/>
    <w:rsid w:val="00A170A0"/>
    <w:rsid w:val="00A177A0"/>
    <w:rsid w:val="00A17837"/>
    <w:rsid w:val="00A179E0"/>
    <w:rsid w:val="00A17D1C"/>
    <w:rsid w:val="00A202F8"/>
    <w:rsid w:val="00A20425"/>
    <w:rsid w:val="00A2057D"/>
    <w:rsid w:val="00A2066A"/>
    <w:rsid w:val="00A20912"/>
    <w:rsid w:val="00A20B50"/>
    <w:rsid w:val="00A20F8F"/>
    <w:rsid w:val="00A210B4"/>
    <w:rsid w:val="00A215F5"/>
    <w:rsid w:val="00A216F5"/>
    <w:rsid w:val="00A21701"/>
    <w:rsid w:val="00A21883"/>
    <w:rsid w:val="00A218F4"/>
    <w:rsid w:val="00A219FB"/>
    <w:rsid w:val="00A21C09"/>
    <w:rsid w:val="00A21FB8"/>
    <w:rsid w:val="00A2208A"/>
    <w:rsid w:val="00A22132"/>
    <w:rsid w:val="00A224B1"/>
    <w:rsid w:val="00A22849"/>
    <w:rsid w:val="00A22897"/>
    <w:rsid w:val="00A22B4D"/>
    <w:rsid w:val="00A22C9C"/>
    <w:rsid w:val="00A22F7B"/>
    <w:rsid w:val="00A22FA1"/>
    <w:rsid w:val="00A23090"/>
    <w:rsid w:val="00A236CF"/>
    <w:rsid w:val="00A23C71"/>
    <w:rsid w:val="00A23EEB"/>
    <w:rsid w:val="00A24CA1"/>
    <w:rsid w:val="00A24E6E"/>
    <w:rsid w:val="00A24FC5"/>
    <w:rsid w:val="00A25479"/>
    <w:rsid w:val="00A25910"/>
    <w:rsid w:val="00A2593C"/>
    <w:rsid w:val="00A25BD7"/>
    <w:rsid w:val="00A2651B"/>
    <w:rsid w:val="00A2656B"/>
    <w:rsid w:val="00A267D2"/>
    <w:rsid w:val="00A26B09"/>
    <w:rsid w:val="00A26BAE"/>
    <w:rsid w:val="00A26BD9"/>
    <w:rsid w:val="00A26D4B"/>
    <w:rsid w:val="00A26F8A"/>
    <w:rsid w:val="00A271CB"/>
    <w:rsid w:val="00A27411"/>
    <w:rsid w:val="00A2773F"/>
    <w:rsid w:val="00A27FE5"/>
    <w:rsid w:val="00A30183"/>
    <w:rsid w:val="00A3019B"/>
    <w:rsid w:val="00A303B6"/>
    <w:rsid w:val="00A30630"/>
    <w:rsid w:val="00A3064A"/>
    <w:rsid w:val="00A306E0"/>
    <w:rsid w:val="00A30A62"/>
    <w:rsid w:val="00A30DE2"/>
    <w:rsid w:val="00A30DF6"/>
    <w:rsid w:val="00A3104E"/>
    <w:rsid w:val="00A3104F"/>
    <w:rsid w:val="00A312F8"/>
    <w:rsid w:val="00A313D5"/>
    <w:rsid w:val="00A3186B"/>
    <w:rsid w:val="00A31C25"/>
    <w:rsid w:val="00A31C3E"/>
    <w:rsid w:val="00A31CB6"/>
    <w:rsid w:val="00A32162"/>
    <w:rsid w:val="00A32272"/>
    <w:rsid w:val="00A32C83"/>
    <w:rsid w:val="00A32D25"/>
    <w:rsid w:val="00A32EA4"/>
    <w:rsid w:val="00A32EC4"/>
    <w:rsid w:val="00A33204"/>
    <w:rsid w:val="00A33234"/>
    <w:rsid w:val="00A3331D"/>
    <w:rsid w:val="00A33357"/>
    <w:rsid w:val="00A33760"/>
    <w:rsid w:val="00A337A3"/>
    <w:rsid w:val="00A33909"/>
    <w:rsid w:val="00A342BA"/>
    <w:rsid w:val="00A342D7"/>
    <w:rsid w:val="00A34350"/>
    <w:rsid w:val="00A3471F"/>
    <w:rsid w:val="00A34933"/>
    <w:rsid w:val="00A34CDF"/>
    <w:rsid w:val="00A34F22"/>
    <w:rsid w:val="00A3531F"/>
    <w:rsid w:val="00A3555C"/>
    <w:rsid w:val="00A357CF"/>
    <w:rsid w:val="00A35938"/>
    <w:rsid w:val="00A35AE5"/>
    <w:rsid w:val="00A35E34"/>
    <w:rsid w:val="00A361AC"/>
    <w:rsid w:val="00A36253"/>
    <w:rsid w:val="00A364AE"/>
    <w:rsid w:val="00A364C7"/>
    <w:rsid w:val="00A3674B"/>
    <w:rsid w:val="00A36B09"/>
    <w:rsid w:val="00A371B7"/>
    <w:rsid w:val="00A372D1"/>
    <w:rsid w:val="00A372EF"/>
    <w:rsid w:val="00A37458"/>
    <w:rsid w:val="00A37463"/>
    <w:rsid w:val="00A3752E"/>
    <w:rsid w:val="00A379CC"/>
    <w:rsid w:val="00A37D42"/>
    <w:rsid w:val="00A37EFE"/>
    <w:rsid w:val="00A37FC8"/>
    <w:rsid w:val="00A37FCA"/>
    <w:rsid w:val="00A40639"/>
    <w:rsid w:val="00A408AC"/>
    <w:rsid w:val="00A409B7"/>
    <w:rsid w:val="00A40D02"/>
    <w:rsid w:val="00A412B1"/>
    <w:rsid w:val="00A412D0"/>
    <w:rsid w:val="00A416AB"/>
    <w:rsid w:val="00A416EC"/>
    <w:rsid w:val="00A41C67"/>
    <w:rsid w:val="00A41F88"/>
    <w:rsid w:val="00A421DA"/>
    <w:rsid w:val="00A42323"/>
    <w:rsid w:val="00A4272D"/>
    <w:rsid w:val="00A427E3"/>
    <w:rsid w:val="00A42C3F"/>
    <w:rsid w:val="00A42CBE"/>
    <w:rsid w:val="00A42E6C"/>
    <w:rsid w:val="00A42EA9"/>
    <w:rsid w:val="00A42F49"/>
    <w:rsid w:val="00A43321"/>
    <w:rsid w:val="00A43694"/>
    <w:rsid w:val="00A4389B"/>
    <w:rsid w:val="00A43976"/>
    <w:rsid w:val="00A43B67"/>
    <w:rsid w:val="00A43E60"/>
    <w:rsid w:val="00A44243"/>
    <w:rsid w:val="00A4455E"/>
    <w:rsid w:val="00A44CE3"/>
    <w:rsid w:val="00A44E75"/>
    <w:rsid w:val="00A4501C"/>
    <w:rsid w:val="00A450EC"/>
    <w:rsid w:val="00A451E1"/>
    <w:rsid w:val="00A4525F"/>
    <w:rsid w:val="00A456EB"/>
    <w:rsid w:val="00A45712"/>
    <w:rsid w:val="00A45A4A"/>
    <w:rsid w:val="00A45B39"/>
    <w:rsid w:val="00A45D6D"/>
    <w:rsid w:val="00A45DD2"/>
    <w:rsid w:val="00A46134"/>
    <w:rsid w:val="00A46419"/>
    <w:rsid w:val="00A46B40"/>
    <w:rsid w:val="00A46C0A"/>
    <w:rsid w:val="00A46C69"/>
    <w:rsid w:val="00A46D30"/>
    <w:rsid w:val="00A4721B"/>
    <w:rsid w:val="00A47708"/>
    <w:rsid w:val="00A47AB6"/>
    <w:rsid w:val="00A47ACB"/>
    <w:rsid w:val="00A47D42"/>
    <w:rsid w:val="00A50C10"/>
    <w:rsid w:val="00A50FE4"/>
    <w:rsid w:val="00A5131F"/>
    <w:rsid w:val="00A518A5"/>
    <w:rsid w:val="00A5210D"/>
    <w:rsid w:val="00A52751"/>
    <w:rsid w:val="00A529A9"/>
    <w:rsid w:val="00A52C03"/>
    <w:rsid w:val="00A531BF"/>
    <w:rsid w:val="00A531DF"/>
    <w:rsid w:val="00A5322B"/>
    <w:rsid w:val="00A53A08"/>
    <w:rsid w:val="00A53BD5"/>
    <w:rsid w:val="00A53D81"/>
    <w:rsid w:val="00A53D96"/>
    <w:rsid w:val="00A53E03"/>
    <w:rsid w:val="00A5406C"/>
    <w:rsid w:val="00A543F2"/>
    <w:rsid w:val="00A544C9"/>
    <w:rsid w:val="00A5461B"/>
    <w:rsid w:val="00A5496C"/>
    <w:rsid w:val="00A55AFF"/>
    <w:rsid w:val="00A55DCB"/>
    <w:rsid w:val="00A55FD8"/>
    <w:rsid w:val="00A560DE"/>
    <w:rsid w:val="00A563B0"/>
    <w:rsid w:val="00A56561"/>
    <w:rsid w:val="00A566A2"/>
    <w:rsid w:val="00A5674B"/>
    <w:rsid w:val="00A56B46"/>
    <w:rsid w:val="00A56B71"/>
    <w:rsid w:val="00A56F47"/>
    <w:rsid w:val="00A56FC7"/>
    <w:rsid w:val="00A57061"/>
    <w:rsid w:val="00A570A2"/>
    <w:rsid w:val="00A575D9"/>
    <w:rsid w:val="00A5764F"/>
    <w:rsid w:val="00A5780D"/>
    <w:rsid w:val="00A57955"/>
    <w:rsid w:val="00A57A57"/>
    <w:rsid w:val="00A57BF9"/>
    <w:rsid w:val="00A57C83"/>
    <w:rsid w:val="00A60163"/>
    <w:rsid w:val="00A601A8"/>
    <w:rsid w:val="00A601DD"/>
    <w:rsid w:val="00A607D3"/>
    <w:rsid w:val="00A609D4"/>
    <w:rsid w:val="00A60C13"/>
    <w:rsid w:val="00A60C53"/>
    <w:rsid w:val="00A60F1E"/>
    <w:rsid w:val="00A611BB"/>
    <w:rsid w:val="00A613CC"/>
    <w:rsid w:val="00A6155C"/>
    <w:rsid w:val="00A617D6"/>
    <w:rsid w:val="00A61A31"/>
    <w:rsid w:val="00A61DE6"/>
    <w:rsid w:val="00A62062"/>
    <w:rsid w:val="00A6253F"/>
    <w:rsid w:val="00A62B7C"/>
    <w:rsid w:val="00A62BEA"/>
    <w:rsid w:val="00A62C51"/>
    <w:rsid w:val="00A62C78"/>
    <w:rsid w:val="00A62CEC"/>
    <w:rsid w:val="00A62E32"/>
    <w:rsid w:val="00A632D8"/>
    <w:rsid w:val="00A6365D"/>
    <w:rsid w:val="00A636EF"/>
    <w:rsid w:val="00A63712"/>
    <w:rsid w:val="00A639F8"/>
    <w:rsid w:val="00A63E5C"/>
    <w:rsid w:val="00A63F12"/>
    <w:rsid w:val="00A6457C"/>
    <w:rsid w:val="00A645E7"/>
    <w:rsid w:val="00A64DF6"/>
    <w:rsid w:val="00A64F25"/>
    <w:rsid w:val="00A6536C"/>
    <w:rsid w:val="00A653A8"/>
    <w:rsid w:val="00A65611"/>
    <w:rsid w:val="00A6594B"/>
    <w:rsid w:val="00A65B4E"/>
    <w:rsid w:val="00A65B6E"/>
    <w:rsid w:val="00A65D31"/>
    <w:rsid w:val="00A65DA2"/>
    <w:rsid w:val="00A65E8C"/>
    <w:rsid w:val="00A65FF5"/>
    <w:rsid w:val="00A66266"/>
    <w:rsid w:val="00A665C8"/>
    <w:rsid w:val="00A6669B"/>
    <w:rsid w:val="00A6679D"/>
    <w:rsid w:val="00A66C4A"/>
    <w:rsid w:val="00A66FD5"/>
    <w:rsid w:val="00A6706E"/>
    <w:rsid w:val="00A67823"/>
    <w:rsid w:val="00A67E7F"/>
    <w:rsid w:val="00A67EA8"/>
    <w:rsid w:val="00A67F29"/>
    <w:rsid w:val="00A700D5"/>
    <w:rsid w:val="00A70225"/>
    <w:rsid w:val="00A70421"/>
    <w:rsid w:val="00A70C01"/>
    <w:rsid w:val="00A71576"/>
    <w:rsid w:val="00A715EB"/>
    <w:rsid w:val="00A7189F"/>
    <w:rsid w:val="00A71AD7"/>
    <w:rsid w:val="00A71EEC"/>
    <w:rsid w:val="00A722CF"/>
    <w:rsid w:val="00A722E8"/>
    <w:rsid w:val="00A723FD"/>
    <w:rsid w:val="00A72575"/>
    <w:rsid w:val="00A7272B"/>
    <w:rsid w:val="00A72C0A"/>
    <w:rsid w:val="00A72C7A"/>
    <w:rsid w:val="00A72F5E"/>
    <w:rsid w:val="00A7320A"/>
    <w:rsid w:val="00A7337F"/>
    <w:rsid w:val="00A73506"/>
    <w:rsid w:val="00A73663"/>
    <w:rsid w:val="00A73BDD"/>
    <w:rsid w:val="00A73C2E"/>
    <w:rsid w:val="00A73D36"/>
    <w:rsid w:val="00A74071"/>
    <w:rsid w:val="00A743D5"/>
    <w:rsid w:val="00A745BF"/>
    <w:rsid w:val="00A7462B"/>
    <w:rsid w:val="00A746F8"/>
    <w:rsid w:val="00A749AA"/>
    <w:rsid w:val="00A74C29"/>
    <w:rsid w:val="00A74C45"/>
    <w:rsid w:val="00A74FFB"/>
    <w:rsid w:val="00A75005"/>
    <w:rsid w:val="00A753FD"/>
    <w:rsid w:val="00A756EF"/>
    <w:rsid w:val="00A75AC0"/>
    <w:rsid w:val="00A75AF8"/>
    <w:rsid w:val="00A763EE"/>
    <w:rsid w:val="00A7641D"/>
    <w:rsid w:val="00A76504"/>
    <w:rsid w:val="00A768B4"/>
    <w:rsid w:val="00A76AE8"/>
    <w:rsid w:val="00A778F9"/>
    <w:rsid w:val="00A779FF"/>
    <w:rsid w:val="00A77B71"/>
    <w:rsid w:val="00A77E1B"/>
    <w:rsid w:val="00A80047"/>
    <w:rsid w:val="00A8023A"/>
    <w:rsid w:val="00A803B4"/>
    <w:rsid w:val="00A80601"/>
    <w:rsid w:val="00A80ABB"/>
    <w:rsid w:val="00A80AC3"/>
    <w:rsid w:val="00A80E9E"/>
    <w:rsid w:val="00A810C6"/>
    <w:rsid w:val="00A81390"/>
    <w:rsid w:val="00A813D5"/>
    <w:rsid w:val="00A81788"/>
    <w:rsid w:val="00A818C0"/>
    <w:rsid w:val="00A819FD"/>
    <w:rsid w:val="00A81B71"/>
    <w:rsid w:val="00A81DBD"/>
    <w:rsid w:val="00A82239"/>
    <w:rsid w:val="00A823BE"/>
    <w:rsid w:val="00A823CC"/>
    <w:rsid w:val="00A826CE"/>
    <w:rsid w:val="00A8275F"/>
    <w:rsid w:val="00A82799"/>
    <w:rsid w:val="00A82EC0"/>
    <w:rsid w:val="00A83222"/>
    <w:rsid w:val="00A83289"/>
    <w:rsid w:val="00A83300"/>
    <w:rsid w:val="00A8332F"/>
    <w:rsid w:val="00A83451"/>
    <w:rsid w:val="00A8368E"/>
    <w:rsid w:val="00A83712"/>
    <w:rsid w:val="00A8388C"/>
    <w:rsid w:val="00A83AB6"/>
    <w:rsid w:val="00A844F0"/>
    <w:rsid w:val="00A84544"/>
    <w:rsid w:val="00A8466C"/>
    <w:rsid w:val="00A84873"/>
    <w:rsid w:val="00A84B19"/>
    <w:rsid w:val="00A84BE2"/>
    <w:rsid w:val="00A84CF9"/>
    <w:rsid w:val="00A84D67"/>
    <w:rsid w:val="00A84EE8"/>
    <w:rsid w:val="00A852DA"/>
    <w:rsid w:val="00A854C6"/>
    <w:rsid w:val="00A85528"/>
    <w:rsid w:val="00A85653"/>
    <w:rsid w:val="00A858EB"/>
    <w:rsid w:val="00A8593D"/>
    <w:rsid w:val="00A85BD4"/>
    <w:rsid w:val="00A85D81"/>
    <w:rsid w:val="00A8632E"/>
    <w:rsid w:val="00A86448"/>
    <w:rsid w:val="00A865C5"/>
    <w:rsid w:val="00A86B78"/>
    <w:rsid w:val="00A86C2B"/>
    <w:rsid w:val="00A87565"/>
    <w:rsid w:val="00A879B0"/>
    <w:rsid w:val="00A879BF"/>
    <w:rsid w:val="00A87A31"/>
    <w:rsid w:val="00A87A41"/>
    <w:rsid w:val="00A87BD6"/>
    <w:rsid w:val="00A87EC3"/>
    <w:rsid w:val="00A90091"/>
    <w:rsid w:val="00A90732"/>
    <w:rsid w:val="00A908C4"/>
    <w:rsid w:val="00A90914"/>
    <w:rsid w:val="00A909F7"/>
    <w:rsid w:val="00A90B58"/>
    <w:rsid w:val="00A90BED"/>
    <w:rsid w:val="00A90CAC"/>
    <w:rsid w:val="00A90ECC"/>
    <w:rsid w:val="00A90EDC"/>
    <w:rsid w:val="00A9160F"/>
    <w:rsid w:val="00A918DA"/>
    <w:rsid w:val="00A91BE6"/>
    <w:rsid w:val="00A923C5"/>
    <w:rsid w:val="00A92407"/>
    <w:rsid w:val="00A92467"/>
    <w:rsid w:val="00A924A3"/>
    <w:rsid w:val="00A928E5"/>
    <w:rsid w:val="00A92B8C"/>
    <w:rsid w:val="00A93327"/>
    <w:rsid w:val="00A934DA"/>
    <w:rsid w:val="00A93557"/>
    <w:rsid w:val="00A93638"/>
    <w:rsid w:val="00A9391D"/>
    <w:rsid w:val="00A93B61"/>
    <w:rsid w:val="00A93D6A"/>
    <w:rsid w:val="00A9420E"/>
    <w:rsid w:val="00A9443B"/>
    <w:rsid w:val="00A94BA2"/>
    <w:rsid w:val="00A94D9C"/>
    <w:rsid w:val="00A95005"/>
    <w:rsid w:val="00A9514D"/>
    <w:rsid w:val="00A951A8"/>
    <w:rsid w:val="00A955A0"/>
    <w:rsid w:val="00A95786"/>
    <w:rsid w:val="00A9592B"/>
    <w:rsid w:val="00A95B97"/>
    <w:rsid w:val="00A95BCD"/>
    <w:rsid w:val="00A96013"/>
    <w:rsid w:val="00A96426"/>
    <w:rsid w:val="00A96470"/>
    <w:rsid w:val="00A96506"/>
    <w:rsid w:val="00A9663C"/>
    <w:rsid w:val="00A96F99"/>
    <w:rsid w:val="00A9702E"/>
    <w:rsid w:val="00A97242"/>
    <w:rsid w:val="00A97811"/>
    <w:rsid w:val="00A97A47"/>
    <w:rsid w:val="00A97A5F"/>
    <w:rsid w:val="00A97A64"/>
    <w:rsid w:val="00A97CCA"/>
    <w:rsid w:val="00AA0464"/>
    <w:rsid w:val="00AA060A"/>
    <w:rsid w:val="00AA0858"/>
    <w:rsid w:val="00AA0AFC"/>
    <w:rsid w:val="00AA0EFE"/>
    <w:rsid w:val="00AA108E"/>
    <w:rsid w:val="00AA124A"/>
    <w:rsid w:val="00AA15FB"/>
    <w:rsid w:val="00AA1D10"/>
    <w:rsid w:val="00AA1DB4"/>
    <w:rsid w:val="00AA1ECE"/>
    <w:rsid w:val="00AA1F01"/>
    <w:rsid w:val="00AA20D9"/>
    <w:rsid w:val="00AA239F"/>
    <w:rsid w:val="00AA2442"/>
    <w:rsid w:val="00AA2636"/>
    <w:rsid w:val="00AA2877"/>
    <w:rsid w:val="00AA2A96"/>
    <w:rsid w:val="00AA2C07"/>
    <w:rsid w:val="00AA2C2E"/>
    <w:rsid w:val="00AA2EDD"/>
    <w:rsid w:val="00AA3522"/>
    <w:rsid w:val="00AA3571"/>
    <w:rsid w:val="00AA377B"/>
    <w:rsid w:val="00AA3AC7"/>
    <w:rsid w:val="00AA4420"/>
    <w:rsid w:val="00AA45C4"/>
    <w:rsid w:val="00AA45FD"/>
    <w:rsid w:val="00AA4664"/>
    <w:rsid w:val="00AA4D0A"/>
    <w:rsid w:val="00AA5341"/>
    <w:rsid w:val="00AA570A"/>
    <w:rsid w:val="00AA57A0"/>
    <w:rsid w:val="00AA5952"/>
    <w:rsid w:val="00AA5A4B"/>
    <w:rsid w:val="00AA5B89"/>
    <w:rsid w:val="00AA5D56"/>
    <w:rsid w:val="00AA689C"/>
    <w:rsid w:val="00AA69DC"/>
    <w:rsid w:val="00AA6B72"/>
    <w:rsid w:val="00AA6E87"/>
    <w:rsid w:val="00AA7059"/>
    <w:rsid w:val="00AA7765"/>
    <w:rsid w:val="00AA77A5"/>
    <w:rsid w:val="00AA7B98"/>
    <w:rsid w:val="00AA7BE2"/>
    <w:rsid w:val="00AA7C29"/>
    <w:rsid w:val="00AB0132"/>
    <w:rsid w:val="00AB01E5"/>
    <w:rsid w:val="00AB028D"/>
    <w:rsid w:val="00AB0D74"/>
    <w:rsid w:val="00AB0E98"/>
    <w:rsid w:val="00AB0F6C"/>
    <w:rsid w:val="00AB0F7B"/>
    <w:rsid w:val="00AB1835"/>
    <w:rsid w:val="00AB1B39"/>
    <w:rsid w:val="00AB1DBA"/>
    <w:rsid w:val="00AB1F55"/>
    <w:rsid w:val="00AB2018"/>
    <w:rsid w:val="00AB25A5"/>
    <w:rsid w:val="00AB261F"/>
    <w:rsid w:val="00AB273D"/>
    <w:rsid w:val="00AB2851"/>
    <w:rsid w:val="00AB2AA8"/>
    <w:rsid w:val="00AB2B73"/>
    <w:rsid w:val="00AB2DCF"/>
    <w:rsid w:val="00AB3504"/>
    <w:rsid w:val="00AB36A8"/>
    <w:rsid w:val="00AB37DD"/>
    <w:rsid w:val="00AB39E9"/>
    <w:rsid w:val="00AB3EE1"/>
    <w:rsid w:val="00AB4105"/>
    <w:rsid w:val="00AB42F8"/>
    <w:rsid w:val="00AB44AF"/>
    <w:rsid w:val="00AB469A"/>
    <w:rsid w:val="00AB4E18"/>
    <w:rsid w:val="00AB51F6"/>
    <w:rsid w:val="00AB5F4B"/>
    <w:rsid w:val="00AB635A"/>
    <w:rsid w:val="00AB6436"/>
    <w:rsid w:val="00AB6CB0"/>
    <w:rsid w:val="00AB6DBF"/>
    <w:rsid w:val="00AB722E"/>
    <w:rsid w:val="00AB7805"/>
    <w:rsid w:val="00AB7FC9"/>
    <w:rsid w:val="00AC05C2"/>
    <w:rsid w:val="00AC0730"/>
    <w:rsid w:val="00AC0870"/>
    <w:rsid w:val="00AC0B5D"/>
    <w:rsid w:val="00AC1578"/>
    <w:rsid w:val="00AC1A8C"/>
    <w:rsid w:val="00AC1D7E"/>
    <w:rsid w:val="00AC1EB5"/>
    <w:rsid w:val="00AC1FC4"/>
    <w:rsid w:val="00AC214A"/>
    <w:rsid w:val="00AC238E"/>
    <w:rsid w:val="00AC2542"/>
    <w:rsid w:val="00AC258B"/>
    <w:rsid w:val="00AC2ADF"/>
    <w:rsid w:val="00AC2B6F"/>
    <w:rsid w:val="00AC305B"/>
    <w:rsid w:val="00AC3288"/>
    <w:rsid w:val="00AC34E2"/>
    <w:rsid w:val="00AC3850"/>
    <w:rsid w:val="00AC3D35"/>
    <w:rsid w:val="00AC3F2C"/>
    <w:rsid w:val="00AC4478"/>
    <w:rsid w:val="00AC45A8"/>
    <w:rsid w:val="00AC4790"/>
    <w:rsid w:val="00AC4833"/>
    <w:rsid w:val="00AC4AB3"/>
    <w:rsid w:val="00AC4C78"/>
    <w:rsid w:val="00AC5688"/>
    <w:rsid w:val="00AC5930"/>
    <w:rsid w:val="00AC594C"/>
    <w:rsid w:val="00AC5C41"/>
    <w:rsid w:val="00AC5D5D"/>
    <w:rsid w:val="00AC6065"/>
    <w:rsid w:val="00AC650A"/>
    <w:rsid w:val="00AC6B75"/>
    <w:rsid w:val="00AC6CAA"/>
    <w:rsid w:val="00AC6EBF"/>
    <w:rsid w:val="00AC74AE"/>
    <w:rsid w:val="00AC7C36"/>
    <w:rsid w:val="00AC7C85"/>
    <w:rsid w:val="00AC7DAF"/>
    <w:rsid w:val="00AD0370"/>
    <w:rsid w:val="00AD065F"/>
    <w:rsid w:val="00AD073D"/>
    <w:rsid w:val="00AD1C8A"/>
    <w:rsid w:val="00AD1E94"/>
    <w:rsid w:val="00AD1F8A"/>
    <w:rsid w:val="00AD21F4"/>
    <w:rsid w:val="00AD2CB5"/>
    <w:rsid w:val="00AD2FBD"/>
    <w:rsid w:val="00AD3581"/>
    <w:rsid w:val="00AD361E"/>
    <w:rsid w:val="00AD3647"/>
    <w:rsid w:val="00AD3832"/>
    <w:rsid w:val="00AD3A5F"/>
    <w:rsid w:val="00AD3CE3"/>
    <w:rsid w:val="00AD3DF5"/>
    <w:rsid w:val="00AD483B"/>
    <w:rsid w:val="00AD4B6D"/>
    <w:rsid w:val="00AD5274"/>
    <w:rsid w:val="00AD5292"/>
    <w:rsid w:val="00AD54C2"/>
    <w:rsid w:val="00AD5605"/>
    <w:rsid w:val="00AD56DF"/>
    <w:rsid w:val="00AD5D18"/>
    <w:rsid w:val="00AD6309"/>
    <w:rsid w:val="00AD66CA"/>
    <w:rsid w:val="00AD66F5"/>
    <w:rsid w:val="00AD673C"/>
    <w:rsid w:val="00AD681D"/>
    <w:rsid w:val="00AD692D"/>
    <w:rsid w:val="00AD6ADA"/>
    <w:rsid w:val="00AD6BF8"/>
    <w:rsid w:val="00AD6C10"/>
    <w:rsid w:val="00AD6C89"/>
    <w:rsid w:val="00AD6FAE"/>
    <w:rsid w:val="00AD7062"/>
    <w:rsid w:val="00AD7153"/>
    <w:rsid w:val="00AD7556"/>
    <w:rsid w:val="00AD7807"/>
    <w:rsid w:val="00AD7AB0"/>
    <w:rsid w:val="00AD7F3A"/>
    <w:rsid w:val="00AE0198"/>
    <w:rsid w:val="00AE05F5"/>
    <w:rsid w:val="00AE0A25"/>
    <w:rsid w:val="00AE0C47"/>
    <w:rsid w:val="00AE0D60"/>
    <w:rsid w:val="00AE0FD0"/>
    <w:rsid w:val="00AE12B4"/>
    <w:rsid w:val="00AE1884"/>
    <w:rsid w:val="00AE19CD"/>
    <w:rsid w:val="00AE1B22"/>
    <w:rsid w:val="00AE1DC9"/>
    <w:rsid w:val="00AE1ED4"/>
    <w:rsid w:val="00AE20D4"/>
    <w:rsid w:val="00AE257A"/>
    <w:rsid w:val="00AE2ACA"/>
    <w:rsid w:val="00AE2B9F"/>
    <w:rsid w:val="00AE33E3"/>
    <w:rsid w:val="00AE3757"/>
    <w:rsid w:val="00AE37A3"/>
    <w:rsid w:val="00AE395A"/>
    <w:rsid w:val="00AE3988"/>
    <w:rsid w:val="00AE39E3"/>
    <w:rsid w:val="00AE3A7E"/>
    <w:rsid w:val="00AE3AB9"/>
    <w:rsid w:val="00AE405F"/>
    <w:rsid w:val="00AE4116"/>
    <w:rsid w:val="00AE41F8"/>
    <w:rsid w:val="00AE441E"/>
    <w:rsid w:val="00AE54CD"/>
    <w:rsid w:val="00AE577D"/>
    <w:rsid w:val="00AE5844"/>
    <w:rsid w:val="00AE5D97"/>
    <w:rsid w:val="00AE6431"/>
    <w:rsid w:val="00AE681A"/>
    <w:rsid w:val="00AE6D05"/>
    <w:rsid w:val="00AE6F4A"/>
    <w:rsid w:val="00AE72CC"/>
    <w:rsid w:val="00AE7CCB"/>
    <w:rsid w:val="00AF0455"/>
    <w:rsid w:val="00AF07B6"/>
    <w:rsid w:val="00AF0B67"/>
    <w:rsid w:val="00AF0DDB"/>
    <w:rsid w:val="00AF0EE3"/>
    <w:rsid w:val="00AF10E9"/>
    <w:rsid w:val="00AF14B4"/>
    <w:rsid w:val="00AF1510"/>
    <w:rsid w:val="00AF1535"/>
    <w:rsid w:val="00AF164D"/>
    <w:rsid w:val="00AF18F1"/>
    <w:rsid w:val="00AF1B3A"/>
    <w:rsid w:val="00AF23DE"/>
    <w:rsid w:val="00AF285D"/>
    <w:rsid w:val="00AF2975"/>
    <w:rsid w:val="00AF29C8"/>
    <w:rsid w:val="00AF2CE7"/>
    <w:rsid w:val="00AF2E04"/>
    <w:rsid w:val="00AF34BF"/>
    <w:rsid w:val="00AF3587"/>
    <w:rsid w:val="00AF35FF"/>
    <w:rsid w:val="00AF3761"/>
    <w:rsid w:val="00AF3792"/>
    <w:rsid w:val="00AF379E"/>
    <w:rsid w:val="00AF3A1D"/>
    <w:rsid w:val="00AF3C2C"/>
    <w:rsid w:val="00AF4343"/>
    <w:rsid w:val="00AF44F3"/>
    <w:rsid w:val="00AF460C"/>
    <w:rsid w:val="00AF4677"/>
    <w:rsid w:val="00AF49E8"/>
    <w:rsid w:val="00AF565E"/>
    <w:rsid w:val="00AF57F8"/>
    <w:rsid w:val="00AF5D24"/>
    <w:rsid w:val="00AF5DC7"/>
    <w:rsid w:val="00AF6439"/>
    <w:rsid w:val="00AF645C"/>
    <w:rsid w:val="00AF64AD"/>
    <w:rsid w:val="00AF65A1"/>
    <w:rsid w:val="00AF6688"/>
    <w:rsid w:val="00AF6A72"/>
    <w:rsid w:val="00AF6A83"/>
    <w:rsid w:val="00AF6AEA"/>
    <w:rsid w:val="00AF6B73"/>
    <w:rsid w:val="00AF6D7B"/>
    <w:rsid w:val="00AF7743"/>
    <w:rsid w:val="00AF7797"/>
    <w:rsid w:val="00AF7900"/>
    <w:rsid w:val="00AF7B1E"/>
    <w:rsid w:val="00AF7C6B"/>
    <w:rsid w:val="00B001EF"/>
    <w:rsid w:val="00B003E6"/>
    <w:rsid w:val="00B0049E"/>
    <w:rsid w:val="00B00A2F"/>
    <w:rsid w:val="00B00C91"/>
    <w:rsid w:val="00B0124F"/>
    <w:rsid w:val="00B01282"/>
    <w:rsid w:val="00B013EC"/>
    <w:rsid w:val="00B01542"/>
    <w:rsid w:val="00B01878"/>
    <w:rsid w:val="00B01906"/>
    <w:rsid w:val="00B01963"/>
    <w:rsid w:val="00B02564"/>
    <w:rsid w:val="00B027FE"/>
    <w:rsid w:val="00B02A9C"/>
    <w:rsid w:val="00B03249"/>
    <w:rsid w:val="00B034E1"/>
    <w:rsid w:val="00B0353B"/>
    <w:rsid w:val="00B039B9"/>
    <w:rsid w:val="00B03A4C"/>
    <w:rsid w:val="00B03B24"/>
    <w:rsid w:val="00B03BB7"/>
    <w:rsid w:val="00B03E65"/>
    <w:rsid w:val="00B0415A"/>
    <w:rsid w:val="00B041E1"/>
    <w:rsid w:val="00B041E6"/>
    <w:rsid w:val="00B0446C"/>
    <w:rsid w:val="00B046CB"/>
    <w:rsid w:val="00B04F9E"/>
    <w:rsid w:val="00B05032"/>
    <w:rsid w:val="00B05267"/>
    <w:rsid w:val="00B0553A"/>
    <w:rsid w:val="00B0582D"/>
    <w:rsid w:val="00B059F5"/>
    <w:rsid w:val="00B05C11"/>
    <w:rsid w:val="00B05C67"/>
    <w:rsid w:val="00B05CA4"/>
    <w:rsid w:val="00B05F20"/>
    <w:rsid w:val="00B06236"/>
    <w:rsid w:val="00B065BE"/>
    <w:rsid w:val="00B0668D"/>
    <w:rsid w:val="00B06943"/>
    <w:rsid w:val="00B06990"/>
    <w:rsid w:val="00B06E46"/>
    <w:rsid w:val="00B07101"/>
    <w:rsid w:val="00B07214"/>
    <w:rsid w:val="00B07445"/>
    <w:rsid w:val="00B07E49"/>
    <w:rsid w:val="00B07F6C"/>
    <w:rsid w:val="00B100CC"/>
    <w:rsid w:val="00B10243"/>
    <w:rsid w:val="00B10831"/>
    <w:rsid w:val="00B10D89"/>
    <w:rsid w:val="00B10E8B"/>
    <w:rsid w:val="00B1109A"/>
    <w:rsid w:val="00B11164"/>
    <w:rsid w:val="00B11226"/>
    <w:rsid w:val="00B1194D"/>
    <w:rsid w:val="00B11E19"/>
    <w:rsid w:val="00B11E8F"/>
    <w:rsid w:val="00B12240"/>
    <w:rsid w:val="00B12716"/>
    <w:rsid w:val="00B128B6"/>
    <w:rsid w:val="00B12B7E"/>
    <w:rsid w:val="00B12E41"/>
    <w:rsid w:val="00B12EBD"/>
    <w:rsid w:val="00B131E8"/>
    <w:rsid w:val="00B13218"/>
    <w:rsid w:val="00B135CE"/>
    <w:rsid w:val="00B13AB9"/>
    <w:rsid w:val="00B13ADC"/>
    <w:rsid w:val="00B1402C"/>
    <w:rsid w:val="00B14452"/>
    <w:rsid w:val="00B148B9"/>
    <w:rsid w:val="00B14976"/>
    <w:rsid w:val="00B14AA9"/>
    <w:rsid w:val="00B14B2B"/>
    <w:rsid w:val="00B1516B"/>
    <w:rsid w:val="00B155A6"/>
    <w:rsid w:val="00B15673"/>
    <w:rsid w:val="00B158E2"/>
    <w:rsid w:val="00B160A2"/>
    <w:rsid w:val="00B1613F"/>
    <w:rsid w:val="00B164A1"/>
    <w:rsid w:val="00B169CF"/>
    <w:rsid w:val="00B16AD8"/>
    <w:rsid w:val="00B16C77"/>
    <w:rsid w:val="00B174BA"/>
    <w:rsid w:val="00B17521"/>
    <w:rsid w:val="00B203B1"/>
    <w:rsid w:val="00B2097E"/>
    <w:rsid w:val="00B20A4A"/>
    <w:rsid w:val="00B20B28"/>
    <w:rsid w:val="00B20ED0"/>
    <w:rsid w:val="00B211E6"/>
    <w:rsid w:val="00B212A6"/>
    <w:rsid w:val="00B215A8"/>
    <w:rsid w:val="00B21601"/>
    <w:rsid w:val="00B21894"/>
    <w:rsid w:val="00B21937"/>
    <w:rsid w:val="00B21BAF"/>
    <w:rsid w:val="00B21BE2"/>
    <w:rsid w:val="00B22E60"/>
    <w:rsid w:val="00B231FF"/>
    <w:rsid w:val="00B2330B"/>
    <w:rsid w:val="00B2333E"/>
    <w:rsid w:val="00B2354A"/>
    <w:rsid w:val="00B23917"/>
    <w:rsid w:val="00B23AE9"/>
    <w:rsid w:val="00B243BB"/>
    <w:rsid w:val="00B24438"/>
    <w:rsid w:val="00B24780"/>
    <w:rsid w:val="00B24AE0"/>
    <w:rsid w:val="00B24CDD"/>
    <w:rsid w:val="00B24E01"/>
    <w:rsid w:val="00B2528B"/>
    <w:rsid w:val="00B2538E"/>
    <w:rsid w:val="00B2553D"/>
    <w:rsid w:val="00B256EC"/>
    <w:rsid w:val="00B2583F"/>
    <w:rsid w:val="00B259DC"/>
    <w:rsid w:val="00B25A27"/>
    <w:rsid w:val="00B25BB0"/>
    <w:rsid w:val="00B25C56"/>
    <w:rsid w:val="00B25E10"/>
    <w:rsid w:val="00B26506"/>
    <w:rsid w:val="00B2671A"/>
    <w:rsid w:val="00B26721"/>
    <w:rsid w:val="00B26853"/>
    <w:rsid w:val="00B26B12"/>
    <w:rsid w:val="00B26C1A"/>
    <w:rsid w:val="00B26C65"/>
    <w:rsid w:val="00B26E78"/>
    <w:rsid w:val="00B26FF1"/>
    <w:rsid w:val="00B2740B"/>
    <w:rsid w:val="00B278E7"/>
    <w:rsid w:val="00B2791F"/>
    <w:rsid w:val="00B27923"/>
    <w:rsid w:val="00B2797C"/>
    <w:rsid w:val="00B27CB1"/>
    <w:rsid w:val="00B27F5F"/>
    <w:rsid w:val="00B302E8"/>
    <w:rsid w:val="00B3049E"/>
    <w:rsid w:val="00B3079A"/>
    <w:rsid w:val="00B308C1"/>
    <w:rsid w:val="00B30B4D"/>
    <w:rsid w:val="00B311FF"/>
    <w:rsid w:val="00B31237"/>
    <w:rsid w:val="00B31429"/>
    <w:rsid w:val="00B31448"/>
    <w:rsid w:val="00B3145D"/>
    <w:rsid w:val="00B31492"/>
    <w:rsid w:val="00B314A2"/>
    <w:rsid w:val="00B315F1"/>
    <w:rsid w:val="00B31B8B"/>
    <w:rsid w:val="00B31BF1"/>
    <w:rsid w:val="00B320A3"/>
    <w:rsid w:val="00B3246C"/>
    <w:rsid w:val="00B32898"/>
    <w:rsid w:val="00B32C1E"/>
    <w:rsid w:val="00B32D7B"/>
    <w:rsid w:val="00B33645"/>
    <w:rsid w:val="00B33802"/>
    <w:rsid w:val="00B3386F"/>
    <w:rsid w:val="00B33C6D"/>
    <w:rsid w:val="00B33F57"/>
    <w:rsid w:val="00B33FF3"/>
    <w:rsid w:val="00B34069"/>
    <w:rsid w:val="00B3436B"/>
    <w:rsid w:val="00B343CD"/>
    <w:rsid w:val="00B34410"/>
    <w:rsid w:val="00B3456A"/>
    <w:rsid w:val="00B346AD"/>
    <w:rsid w:val="00B347E5"/>
    <w:rsid w:val="00B34DB9"/>
    <w:rsid w:val="00B34DF3"/>
    <w:rsid w:val="00B34DF6"/>
    <w:rsid w:val="00B34F01"/>
    <w:rsid w:val="00B35220"/>
    <w:rsid w:val="00B355F7"/>
    <w:rsid w:val="00B35747"/>
    <w:rsid w:val="00B358ED"/>
    <w:rsid w:val="00B35A19"/>
    <w:rsid w:val="00B35BBE"/>
    <w:rsid w:val="00B35D37"/>
    <w:rsid w:val="00B36543"/>
    <w:rsid w:val="00B36A2D"/>
    <w:rsid w:val="00B36C6B"/>
    <w:rsid w:val="00B37142"/>
    <w:rsid w:val="00B3742E"/>
    <w:rsid w:val="00B37530"/>
    <w:rsid w:val="00B37A86"/>
    <w:rsid w:val="00B37BD3"/>
    <w:rsid w:val="00B4015E"/>
    <w:rsid w:val="00B402B1"/>
    <w:rsid w:val="00B40741"/>
    <w:rsid w:val="00B40751"/>
    <w:rsid w:val="00B4087B"/>
    <w:rsid w:val="00B40952"/>
    <w:rsid w:val="00B409AD"/>
    <w:rsid w:val="00B40E5C"/>
    <w:rsid w:val="00B40E69"/>
    <w:rsid w:val="00B4176A"/>
    <w:rsid w:val="00B41839"/>
    <w:rsid w:val="00B41BA7"/>
    <w:rsid w:val="00B4216C"/>
    <w:rsid w:val="00B4254D"/>
    <w:rsid w:val="00B425A3"/>
    <w:rsid w:val="00B4271E"/>
    <w:rsid w:val="00B42ABA"/>
    <w:rsid w:val="00B42B93"/>
    <w:rsid w:val="00B42FFA"/>
    <w:rsid w:val="00B43211"/>
    <w:rsid w:val="00B43290"/>
    <w:rsid w:val="00B432D1"/>
    <w:rsid w:val="00B433C9"/>
    <w:rsid w:val="00B43430"/>
    <w:rsid w:val="00B435A1"/>
    <w:rsid w:val="00B435E9"/>
    <w:rsid w:val="00B438C4"/>
    <w:rsid w:val="00B441BF"/>
    <w:rsid w:val="00B441C7"/>
    <w:rsid w:val="00B446CC"/>
    <w:rsid w:val="00B44990"/>
    <w:rsid w:val="00B44CAA"/>
    <w:rsid w:val="00B44E20"/>
    <w:rsid w:val="00B44F76"/>
    <w:rsid w:val="00B452A4"/>
    <w:rsid w:val="00B454F2"/>
    <w:rsid w:val="00B4561B"/>
    <w:rsid w:val="00B4587C"/>
    <w:rsid w:val="00B45A88"/>
    <w:rsid w:val="00B45BE9"/>
    <w:rsid w:val="00B4612E"/>
    <w:rsid w:val="00B461CD"/>
    <w:rsid w:val="00B46285"/>
    <w:rsid w:val="00B463D5"/>
    <w:rsid w:val="00B46474"/>
    <w:rsid w:val="00B46C46"/>
    <w:rsid w:val="00B46D9A"/>
    <w:rsid w:val="00B47242"/>
    <w:rsid w:val="00B47737"/>
    <w:rsid w:val="00B478E0"/>
    <w:rsid w:val="00B47C3E"/>
    <w:rsid w:val="00B50410"/>
    <w:rsid w:val="00B5069A"/>
    <w:rsid w:val="00B5084C"/>
    <w:rsid w:val="00B50A4C"/>
    <w:rsid w:val="00B50AB2"/>
    <w:rsid w:val="00B50D82"/>
    <w:rsid w:val="00B50FB5"/>
    <w:rsid w:val="00B511AC"/>
    <w:rsid w:val="00B51238"/>
    <w:rsid w:val="00B51372"/>
    <w:rsid w:val="00B51683"/>
    <w:rsid w:val="00B51762"/>
    <w:rsid w:val="00B51AD1"/>
    <w:rsid w:val="00B51B3E"/>
    <w:rsid w:val="00B51E1A"/>
    <w:rsid w:val="00B52044"/>
    <w:rsid w:val="00B521AE"/>
    <w:rsid w:val="00B522A3"/>
    <w:rsid w:val="00B5266F"/>
    <w:rsid w:val="00B531B9"/>
    <w:rsid w:val="00B5375A"/>
    <w:rsid w:val="00B53B22"/>
    <w:rsid w:val="00B54022"/>
    <w:rsid w:val="00B541DF"/>
    <w:rsid w:val="00B5480F"/>
    <w:rsid w:val="00B54D53"/>
    <w:rsid w:val="00B550BB"/>
    <w:rsid w:val="00B5520D"/>
    <w:rsid w:val="00B55280"/>
    <w:rsid w:val="00B55414"/>
    <w:rsid w:val="00B556B2"/>
    <w:rsid w:val="00B55997"/>
    <w:rsid w:val="00B55CD9"/>
    <w:rsid w:val="00B56257"/>
    <w:rsid w:val="00B56323"/>
    <w:rsid w:val="00B56583"/>
    <w:rsid w:val="00B56590"/>
    <w:rsid w:val="00B56A6C"/>
    <w:rsid w:val="00B5733F"/>
    <w:rsid w:val="00B575DD"/>
    <w:rsid w:val="00B577C6"/>
    <w:rsid w:val="00B60122"/>
    <w:rsid w:val="00B60260"/>
    <w:rsid w:val="00B60480"/>
    <w:rsid w:val="00B6048E"/>
    <w:rsid w:val="00B60781"/>
    <w:rsid w:val="00B6095C"/>
    <w:rsid w:val="00B609DC"/>
    <w:rsid w:val="00B60B75"/>
    <w:rsid w:val="00B60D4B"/>
    <w:rsid w:val="00B60E28"/>
    <w:rsid w:val="00B60F56"/>
    <w:rsid w:val="00B62184"/>
    <w:rsid w:val="00B6226D"/>
    <w:rsid w:val="00B624D0"/>
    <w:rsid w:val="00B628A0"/>
    <w:rsid w:val="00B62996"/>
    <w:rsid w:val="00B62C3B"/>
    <w:rsid w:val="00B62E95"/>
    <w:rsid w:val="00B63244"/>
    <w:rsid w:val="00B63A70"/>
    <w:rsid w:val="00B63AB1"/>
    <w:rsid w:val="00B63AFC"/>
    <w:rsid w:val="00B6413F"/>
    <w:rsid w:val="00B6476A"/>
    <w:rsid w:val="00B64846"/>
    <w:rsid w:val="00B648A6"/>
    <w:rsid w:val="00B64A0F"/>
    <w:rsid w:val="00B6519D"/>
    <w:rsid w:val="00B651F2"/>
    <w:rsid w:val="00B65667"/>
    <w:rsid w:val="00B656FF"/>
    <w:rsid w:val="00B65783"/>
    <w:rsid w:val="00B658C2"/>
    <w:rsid w:val="00B65913"/>
    <w:rsid w:val="00B65A25"/>
    <w:rsid w:val="00B65F31"/>
    <w:rsid w:val="00B662FB"/>
    <w:rsid w:val="00B666ED"/>
    <w:rsid w:val="00B66747"/>
    <w:rsid w:val="00B6689D"/>
    <w:rsid w:val="00B66AAA"/>
    <w:rsid w:val="00B674A7"/>
    <w:rsid w:val="00B676D6"/>
    <w:rsid w:val="00B6778E"/>
    <w:rsid w:val="00B678AF"/>
    <w:rsid w:val="00B67C4D"/>
    <w:rsid w:val="00B67F3D"/>
    <w:rsid w:val="00B700CD"/>
    <w:rsid w:val="00B70692"/>
    <w:rsid w:val="00B70A5C"/>
    <w:rsid w:val="00B71013"/>
    <w:rsid w:val="00B71158"/>
    <w:rsid w:val="00B71267"/>
    <w:rsid w:val="00B716A4"/>
    <w:rsid w:val="00B718C8"/>
    <w:rsid w:val="00B718D3"/>
    <w:rsid w:val="00B71AEC"/>
    <w:rsid w:val="00B71D8F"/>
    <w:rsid w:val="00B71E02"/>
    <w:rsid w:val="00B71E15"/>
    <w:rsid w:val="00B71F1E"/>
    <w:rsid w:val="00B720E1"/>
    <w:rsid w:val="00B72368"/>
    <w:rsid w:val="00B72370"/>
    <w:rsid w:val="00B725DA"/>
    <w:rsid w:val="00B72717"/>
    <w:rsid w:val="00B727D4"/>
    <w:rsid w:val="00B72893"/>
    <w:rsid w:val="00B72904"/>
    <w:rsid w:val="00B72AB8"/>
    <w:rsid w:val="00B7341E"/>
    <w:rsid w:val="00B73453"/>
    <w:rsid w:val="00B736E1"/>
    <w:rsid w:val="00B73E8B"/>
    <w:rsid w:val="00B73F6A"/>
    <w:rsid w:val="00B743C6"/>
    <w:rsid w:val="00B74705"/>
    <w:rsid w:val="00B749E1"/>
    <w:rsid w:val="00B74B32"/>
    <w:rsid w:val="00B74D6E"/>
    <w:rsid w:val="00B74EA8"/>
    <w:rsid w:val="00B74FFE"/>
    <w:rsid w:val="00B754DD"/>
    <w:rsid w:val="00B75510"/>
    <w:rsid w:val="00B757D1"/>
    <w:rsid w:val="00B759B4"/>
    <w:rsid w:val="00B75BF3"/>
    <w:rsid w:val="00B75D7E"/>
    <w:rsid w:val="00B76134"/>
    <w:rsid w:val="00B764B4"/>
    <w:rsid w:val="00B768C2"/>
    <w:rsid w:val="00B76BE3"/>
    <w:rsid w:val="00B7703F"/>
    <w:rsid w:val="00B772BF"/>
    <w:rsid w:val="00B772CB"/>
    <w:rsid w:val="00B7782E"/>
    <w:rsid w:val="00B77A5B"/>
    <w:rsid w:val="00B77C6B"/>
    <w:rsid w:val="00B77D2D"/>
    <w:rsid w:val="00B77FCF"/>
    <w:rsid w:val="00B80625"/>
    <w:rsid w:val="00B8062D"/>
    <w:rsid w:val="00B807BB"/>
    <w:rsid w:val="00B80ADB"/>
    <w:rsid w:val="00B80DEA"/>
    <w:rsid w:val="00B81152"/>
    <w:rsid w:val="00B814BC"/>
    <w:rsid w:val="00B81604"/>
    <w:rsid w:val="00B81635"/>
    <w:rsid w:val="00B8183F"/>
    <w:rsid w:val="00B8189E"/>
    <w:rsid w:val="00B81D52"/>
    <w:rsid w:val="00B81F1E"/>
    <w:rsid w:val="00B81F2A"/>
    <w:rsid w:val="00B81FB2"/>
    <w:rsid w:val="00B8250C"/>
    <w:rsid w:val="00B827B0"/>
    <w:rsid w:val="00B82873"/>
    <w:rsid w:val="00B82937"/>
    <w:rsid w:val="00B82949"/>
    <w:rsid w:val="00B82C68"/>
    <w:rsid w:val="00B82C92"/>
    <w:rsid w:val="00B82ED3"/>
    <w:rsid w:val="00B835B3"/>
    <w:rsid w:val="00B8364C"/>
    <w:rsid w:val="00B83C26"/>
    <w:rsid w:val="00B84085"/>
    <w:rsid w:val="00B8429A"/>
    <w:rsid w:val="00B843B2"/>
    <w:rsid w:val="00B845B1"/>
    <w:rsid w:val="00B84817"/>
    <w:rsid w:val="00B85047"/>
    <w:rsid w:val="00B855FC"/>
    <w:rsid w:val="00B85C13"/>
    <w:rsid w:val="00B85CC5"/>
    <w:rsid w:val="00B85D96"/>
    <w:rsid w:val="00B85E6B"/>
    <w:rsid w:val="00B85F55"/>
    <w:rsid w:val="00B86020"/>
    <w:rsid w:val="00B8607B"/>
    <w:rsid w:val="00B8616A"/>
    <w:rsid w:val="00B8691F"/>
    <w:rsid w:val="00B86A66"/>
    <w:rsid w:val="00B86EBB"/>
    <w:rsid w:val="00B86EE4"/>
    <w:rsid w:val="00B86F13"/>
    <w:rsid w:val="00B8712F"/>
    <w:rsid w:val="00B87172"/>
    <w:rsid w:val="00B872B7"/>
    <w:rsid w:val="00B873FD"/>
    <w:rsid w:val="00B87679"/>
    <w:rsid w:val="00B8795F"/>
    <w:rsid w:val="00B87E58"/>
    <w:rsid w:val="00B9048F"/>
    <w:rsid w:val="00B904FD"/>
    <w:rsid w:val="00B906AA"/>
    <w:rsid w:val="00B909FC"/>
    <w:rsid w:val="00B90ED8"/>
    <w:rsid w:val="00B91168"/>
    <w:rsid w:val="00B91229"/>
    <w:rsid w:val="00B912BB"/>
    <w:rsid w:val="00B91394"/>
    <w:rsid w:val="00B91406"/>
    <w:rsid w:val="00B91581"/>
    <w:rsid w:val="00B91763"/>
    <w:rsid w:val="00B91829"/>
    <w:rsid w:val="00B91DF5"/>
    <w:rsid w:val="00B91F97"/>
    <w:rsid w:val="00B92187"/>
    <w:rsid w:val="00B922A8"/>
    <w:rsid w:val="00B923F6"/>
    <w:rsid w:val="00B929D6"/>
    <w:rsid w:val="00B92A22"/>
    <w:rsid w:val="00B93218"/>
    <w:rsid w:val="00B9337A"/>
    <w:rsid w:val="00B934DA"/>
    <w:rsid w:val="00B93A03"/>
    <w:rsid w:val="00B93A8A"/>
    <w:rsid w:val="00B93FBF"/>
    <w:rsid w:val="00B93FFA"/>
    <w:rsid w:val="00B9444D"/>
    <w:rsid w:val="00B94772"/>
    <w:rsid w:val="00B94852"/>
    <w:rsid w:val="00B948BD"/>
    <w:rsid w:val="00B94BFD"/>
    <w:rsid w:val="00B950BB"/>
    <w:rsid w:val="00B956F7"/>
    <w:rsid w:val="00B95AE7"/>
    <w:rsid w:val="00B95AF3"/>
    <w:rsid w:val="00B95C32"/>
    <w:rsid w:val="00B95F72"/>
    <w:rsid w:val="00B95FD2"/>
    <w:rsid w:val="00B96064"/>
    <w:rsid w:val="00B96086"/>
    <w:rsid w:val="00B964E1"/>
    <w:rsid w:val="00B96836"/>
    <w:rsid w:val="00B96BB1"/>
    <w:rsid w:val="00B96C28"/>
    <w:rsid w:val="00B96FA5"/>
    <w:rsid w:val="00B97163"/>
    <w:rsid w:val="00B97183"/>
    <w:rsid w:val="00B974B2"/>
    <w:rsid w:val="00B9761E"/>
    <w:rsid w:val="00B97820"/>
    <w:rsid w:val="00B97947"/>
    <w:rsid w:val="00B97BCF"/>
    <w:rsid w:val="00B97CA4"/>
    <w:rsid w:val="00B97FFC"/>
    <w:rsid w:val="00BA03CB"/>
    <w:rsid w:val="00BA0455"/>
    <w:rsid w:val="00BA0702"/>
    <w:rsid w:val="00BA0ADC"/>
    <w:rsid w:val="00BA0B32"/>
    <w:rsid w:val="00BA0C1C"/>
    <w:rsid w:val="00BA1488"/>
    <w:rsid w:val="00BA1B67"/>
    <w:rsid w:val="00BA1EED"/>
    <w:rsid w:val="00BA235B"/>
    <w:rsid w:val="00BA254C"/>
    <w:rsid w:val="00BA27BD"/>
    <w:rsid w:val="00BA2B0E"/>
    <w:rsid w:val="00BA2F32"/>
    <w:rsid w:val="00BA3291"/>
    <w:rsid w:val="00BA342D"/>
    <w:rsid w:val="00BA35A4"/>
    <w:rsid w:val="00BA36DD"/>
    <w:rsid w:val="00BA3767"/>
    <w:rsid w:val="00BA3CFD"/>
    <w:rsid w:val="00BA4346"/>
    <w:rsid w:val="00BA4452"/>
    <w:rsid w:val="00BA4613"/>
    <w:rsid w:val="00BA4695"/>
    <w:rsid w:val="00BA4890"/>
    <w:rsid w:val="00BA49C1"/>
    <w:rsid w:val="00BA4BC6"/>
    <w:rsid w:val="00BA4E72"/>
    <w:rsid w:val="00BA4E90"/>
    <w:rsid w:val="00BA4F6B"/>
    <w:rsid w:val="00BA521E"/>
    <w:rsid w:val="00BA55BA"/>
    <w:rsid w:val="00BA5673"/>
    <w:rsid w:val="00BA58B9"/>
    <w:rsid w:val="00BA5F5D"/>
    <w:rsid w:val="00BA6097"/>
    <w:rsid w:val="00BA60FC"/>
    <w:rsid w:val="00BA62E8"/>
    <w:rsid w:val="00BA6388"/>
    <w:rsid w:val="00BA63EA"/>
    <w:rsid w:val="00BA6A0D"/>
    <w:rsid w:val="00BA73CF"/>
    <w:rsid w:val="00BA768D"/>
    <w:rsid w:val="00BA7739"/>
    <w:rsid w:val="00BB0267"/>
    <w:rsid w:val="00BB02A8"/>
    <w:rsid w:val="00BB04D9"/>
    <w:rsid w:val="00BB1828"/>
    <w:rsid w:val="00BB2662"/>
    <w:rsid w:val="00BB27AC"/>
    <w:rsid w:val="00BB29BC"/>
    <w:rsid w:val="00BB2A32"/>
    <w:rsid w:val="00BB2CBC"/>
    <w:rsid w:val="00BB3498"/>
    <w:rsid w:val="00BB3E3F"/>
    <w:rsid w:val="00BB404C"/>
    <w:rsid w:val="00BB429E"/>
    <w:rsid w:val="00BB42EB"/>
    <w:rsid w:val="00BB45A8"/>
    <w:rsid w:val="00BB47C5"/>
    <w:rsid w:val="00BB4B7C"/>
    <w:rsid w:val="00BB4BBC"/>
    <w:rsid w:val="00BB4E99"/>
    <w:rsid w:val="00BB4EE8"/>
    <w:rsid w:val="00BB595D"/>
    <w:rsid w:val="00BB63AA"/>
    <w:rsid w:val="00BB642E"/>
    <w:rsid w:val="00BB64FB"/>
    <w:rsid w:val="00BB6639"/>
    <w:rsid w:val="00BB67EA"/>
    <w:rsid w:val="00BB799E"/>
    <w:rsid w:val="00BB7FAC"/>
    <w:rsid w:val="00BC0004"/>
    <w:rsid w:val="00BC0162"/>
    <w:rsid w:val="00BC032C"/>
    <w:rsid w:val="00BC038B"/>
    <w:rsid w:val="00BC05C9"/>
    <w:rsid w:val="00BC07BD"/>
    <w:rsid w:val="00BC0B92"/>
    <w:rsid w:val="00BC0CD7"/>
    <w:rsid w:val="00BC0D32"/>
    <w:rsid w:val="00BC0F12"/>
    <w:rsid w:val="00BC1035"/>
    <w:rsid w:val="00BC10E2"/>
    <w:rsid w:val="00BC11D1"/>
    <w:rsid w:val="00BC136F"/>
    <w:rsid w:val="00BC153C"/>
    <w:rsid w:val="00BC164C"/>
    <w:rsid w:val="00BC18E5"/>
    <w:rsid w:val="00BC1F79"/>
    <w:rsid w:val="00BC2272"/>
    <w:rsid w:val="00BC23B3"/>
    <w:rsid w:val="00BC2407"/>
    <w:rsid w:val="00BC2567"/>
    <w:rsid w:val="00BC2B28"/>
    <w:rsid w:val="00BC2B9D"/>
    <w:rsid w:val="00BC2BFC"/>
    <w:rsid w:val="00BC2D10"/>
    <w:rsid w:val="00BC2D3E"/>
    <w:rsid w:val="00BC2F6F"/>
    <w:rsid w:val="00BC2FB7"/>
    <w:rsid w:val="00BC3054"/>
    <w:rsid w:val="00BC378C"/>
    <w:rsid w:val="00BC398A"/>
    <w:rsid w:val="00BC3B1A"/>
    <w:rsid w:val="00BC3C7C"/>
    <w:rsid w:val="00BC3DC1"/>
    <w:rsid w:val="00BC3DE9"/>
    <w:rsid w:val="00BC474F"/>
    <w:rsid w:val="00BC47D5"/>
    <w:rsid w:val="00BC4B67"/>
    <w:rsid w:val="00BC4B9A"/>
    <w:rsid w:val="00BC5089"/>
    <w:rsid w:val="00BC5383"/>
    <w:rsid w:val="00BC5667"/>
    <w:rsid w:val="00BC5A59"/>
    <w:rsid w:val="00BC5BC7"/>
    <w:rsid w:val="00BC606C"/>
    <w:rsid w:val="00BC6386"/>
    <w:rsid w:val="00BC67A7"/>
    <w:rsid w:val="00BC6830"/>
    <w:rsid w:val="00BC687C"/>
    <w:rsid w:val="00BC6C99"/>
    <w:rsid w:val="00BC6F22"/>
    <w:rsid w:val="00BC7669"/>
    <w:rsid w:val="00BC795C"/>
    <w:rsid w:val="00BC7E22"/>
    <w:rsid w:val="00BD0216"/>
    <w:rsid w:val="00BD0364"/>
    <w:rsid w:val="00BD07C0"/>
    <w:rsid w:val="00BD0C7B"/>
    <w:rsid w:val="00BD0FB9"/>
    <w:rsid w:val="00BD1068"/>
    <w:rsid w:val="00BD157A"/>
    <w:rsid w:val="00BD15EC"/>
    <w:rsid w:val="00BD168B"/>
    <w:rsid w:val="00BD1C8C"/>
    <w:rsid w:val="00BD1D44"/>
    <w:rsid w:val="00BD1EE7"/>
    <w:rsid w:val="00BD1FB0"/>
    <w:rsid w:val="00BD1FFC"/>
    <w:rsid w:val="00BD239B"/>
    <w:rsid w:val="00BD2498"/>
    <w:rsid w:val="00BD28DE"/>
    <w:rsid w:val="00BD2C54"/>
    <w:rsid w:val="00BD2D4D"/>
    <w:rsid w:val="00BD2E66"/>
    <w:rsid w:val="00BD2E9B"/>
    <w:rsid w:val="00BD341C"/>
    <w:rsid w:val="00BD3823"/>
    <w:rsid w:val="00BD3F13"/>
    <w:rsid w:val="00BD471A"/>
    <w:rsid w:val="00BD4792"/>
    <w:rsid w:val="00BD4EA7"/>
    <w:rsid w:val="00BD5029"/>
    <w:rsid w:val="00BD51DD"/>
    <w:rsid w:val="00BD5274"/>
    <w:rsid w:val="00BD5791"/>
    <w:rsid w:val="00BD5896"/>
    <w:rsid w:val="00BD594E"/>
    <w:rsid w:val="00BD5A51"/>
    <w:rsid w:val="00BD5BDD"/>
    <w:rsid w:val="00BD5DCA"/>
    <w:rsid w:val="00BD5F33"/>
    <w:rsid w:val="00BD5F4B"/>
    <w:rsid w:val="00BD63B4"/>
    <w:rsid w:val="00BD6610"/>
    <w:rsid w:val="00BD6C04"/>
    <w:rsid w:val="00BD6D7E"/>
    <w:rsid w:val="00BD738E"/>
    <w:rsid w:val="00BD76D0"/>
    <w:rsid w:val="00BD7863"/>
    <w:rsid w:val="00BD7F3C"/>
    <w:rsid w:val="00BE01E9"/>
    <w:rsid w:val="00BE01F0"/>
    <w:rsid w:val="00BE04F5"/>
    <w:rsid w:val="00BE064E"/>
    <w:rsid w:val="00BE06AA"/>
    <w:rsid w:val="00BE06FD"/>
    <w:rsid w:val="00BE0A66"/>
    <w:rsid w:val="00BE0CAB"/>
    <w:rsid w:val="00BE0CE3"/>
    <w:rsid w:val="00BE110C"/>
    <w:rsid w:val="00BE14EB"/>
    <w:rsid w:val="00BE1610"/>
    <w:rsid w:val="00BE1868"/>
    <w:rsid w:val="00BE1D52"/>
    <w:rsid w:val="00BE1EFB"/>
    <w:rsid w:val="00BE1FC4"/>
    <w:rsid w:val="00BE2167"/>
    <w:rsid w:val="00BE2210"/>
    <w:rsid w:val="00BE2320"/>
    <w:rsid w:val="00BE243E"/>
    <w:rsid w:val="00BE24E1"/>
    <w:rsid w:val="00BE26E5"/>
    <w:rsid w:val="00BE2EE4"/>
    <w:rsid w:val="00BE2F79"/>
    <w:rsid w:val="00BE3034"/>
    <w:rsid w:val="00BE30D1"/>
    <w:rsid w:val="00BE3659"/>
    <w:rsid w:val="00BE3F94"/>
    <w:rsid w:val="00BE3FA8"/>
    <w:rsid w:val="00BE4205"/>
    <w:rsid w:val="00BE46CF"/>
    <w:rsid w:val="00BE4962"/>
    <w:rsid w:val="00BE4FCA"/>
    <w:rsid w:val="00BE5379"/>
    <w:rsid w:val="00BE5487"/>
    <w:rsid w:val="00BE5683"/>
    <w:rsid w:val="00BE59D3"/>
    <w:rsid w:val="00BE5DDC"/>
    <w:rsid w:val="00BE6012"/>
    <w:rsid w:val="00BE6295"/>
    <w:rsid w:val="00BE68B0"/>
    <w:rsid w:val="00BE6942"/>
    <w:rsid w:val="00BE69EC"/>
    <w:rsid w:val="00BE6CEE"/>
    <w:rsid w:val="00BE6D76"/>
    <w:rsid w:val="00BE6EB8"/>
    <w:rsid w:val="00BE737E"/>
    <w:rsid w:val="00BE7425"/>
    <w:rsid w:val="00BE75C1"/>
    <w:rsid w:val="00BE7BF6"/>
    <w:rsid w:val="00BE7CB3"/>
    <w:rsid w:val="00BF0BAF"/>
    <w:rsid w:val="00BF0D26"/>
    <w:rsid w:val="00BF0F8B"/>
    <w:rsid w:val="00BF0FD4"/>
    <w:rsid w:val="00BF16B4"/>
    <w:rsid w:val="00BF18DB"/>
    <w:rsid w:val="00BF191A"/>
    <w:rsid w:val="00BF1A27"/>
    <w:rsid w:val="00BF251B"/>
    <w:rsid w:val="00BF2E32"/>
    <w:rsid w:val="00BF2E48"/>
    <w:rsid w:val="00BF2F4F"/>
    <w:rsid w:val="00BF3013"/>
    <w:rsid w:val="00BF3043"/>
    <w:rsid w:val="00BF350A"/>
    <w:rsid w:val="00BF3726"/>
    <w:rsid w:val="00BF3739"/>
    <w:rsid w:val="00BF3D1B"/>
    <w:rsid w:val="00BF3FF4"/>
    <w:rsid w:val="00BF3FF6"/>
    <w:rsid w:val="00BF42FF"/>
    <w:rsid w:val="00BF4637"/>
    <w:rsid w:val="00BF463E"/>
    <w:rsid w:val="00BF47C8"/>
    <w:rsid w:val="00BF4B55"/>
    <w:rsid w:val="00BF4E9A"/>
    <w:rsid w:val="00BF4E9F"/>
    <w:rsid w:val="00BF5075"/>
    <w:rsid w:val="00BF51AB"/>
    <w:rsid w:val="00BF51D5"/>
    <w:rsid w:val="00BF539B"/>
    <w:rsid w:val="00BF5545"/>
    <w:rsid w:val="00BF5A15"/>
    <w:rsid w:val="00BF5B9F"/>
    <w:rsid w:val="00BF5D6B"/>
    <w:rsid w:val="00BF5E27"/>
    <w:rsid w:val="00BF608E"/>
    <w:rsid w:val="00BF613A"/>
    <w:rsid w:val="00BF61EC"/>
    <w:rsid w:val="00BF69B5"/>
    <w:rsid w:val="00BF6E9B"/>
    <w:rsid w:val="00BF6ED8"/>
    <w:rsid w:val="00BF7340"/>
    <w:rsid w:val="00BF7435"/>
    <w:rsid w:val="00BF7712"/>
    <w:rsid w:val="00BF771B"/>
    <w:rsid w:val="00BF7794"/>
    <w:rsid w:val="00BF79FC"/>
    <w:rsid w:val="00BF7AD7"/>
    <w:rsid w:val="00BF7B1B"/>
    <w:rsid w:val="00C00768"/>
    <w:rsid w:val="00C0081B"/>
    <w:rsid w:val="00C00D81"/>
    <w:rsid w:val="00C00E8D"/>
    <w:rsid w:val="00C00EAE"/>
    <w:rsid w:val="00C00FC8"/>
    <w:rsid w:val="00C0124A"/>
    <w:rsid w:val="00C01348"/>
    <w:rsid w:val="00C016B4"/>
    <w:rsid w:val="00C018CA"/>
    <w:rsid w:val="00C01DE8"/>
    <w:rsid w:val="00C01E0A"/>
    <w:rsid w:val="00C01E3B"/>
    <w:rsid w:val="00C01F5A"/>
    <w:rsid w:val="00C02177"/>
    <w:rsid w:val="00C025B1"/>
    <w:rsid w:val="00C02AD1"/>
    <w:rsid w:val="00C02B6F"/>
    <w:rsid w:val="00C02E30"/>
    <w:rsid w:val="00C02F6E"/>
    <w:rsid w:val="00C0312C"/>
    <w:rsid w:val="00C0313D"/>
    <w:rsid w:val="00C0330A"/>
    <w:rsid w:val="00C033C5"/>
    <w:rsid w:val="00C03670"/>
    <w:rsid w:val="00C038C3"/>
    <w:rsid w:val="00C03AE7"/>
    <w:rsid w:val="00C03FD6"/>
    <w:rsid w:val="00C04371"/>
    <w:rsid w:val="00C044B0"/>
    <w:rsid w:val="00C045C8"/>
    <w:rsid w:val="00C04744"/>
    <w:rsid w:val="00C04AF7"/>
    <w:rsid w:val="00C04F80"/>
    <w:rsid w:val="00C0511F"/>
    <w:rsid w:val="00C05375"/>
    <w:rsid w:val="00C05414"/>
    <w:rsid w:val="00C059A2"/>
    <w:rsid w:val="00C060B4"/>
    <w:rsid w:val="00C06119"/>
    <w:rsid w:val="00C062FB"/>
    <w:rsid w:val="00C0650B"/>
    <w:rsid w:val="00C06593"/>
    <w:rsid w:val="00C065BA"/>
    <w:rsid w:val="00C06E6D"/>
    <w:rsid w:val="00C06F4E"/>
    <w:rsid w:val="00C0791B"/>
    <w:rsid w:val="00C07ADD"/>
    <w:rsid w:val="00C07B3A"/>
    <w:rsid w:val="00C07E61"/>
    <w:rsid w:val="00C07E72"/>
    <w:rsid w:val="00C07EAA"/>
    <w:rsid w:val="00C07F81"/>
    <w:rsid w:val="00C1022D"/>
    <w:rsid w:val="00C10274"/>
    <w:rsid w:val="00C103CE"/>
    <w:rsid w:val="00C104C9"/>
    <w:rsid w:val="00C105FA"/>
    <w:rsid w:val="00C10B61"/>
    <w:rsid w:val="00C10D8D"/>
    <w:rsid w:val="00C10D9D"/>
    <w:rsid w:val="00C10E03"/>
    <w:rsid w:val="00C10F40"/>
    <w:rsid w:val="00C10F5B"/>
    <w:rsid w:val="00C11042"/>
    <w:rsid w:val="00C118D3"/>
    <w:rsid w:val="00C119EC"/>
    <w:rsid w:val="00C11A78"/>
    <w:rsid w:val="00C121CD"/>
    <w:rsid w:val="00C1263D"/>
    <w:rsid w:val="00C12749"/>
    <w:rsid w:val="00C12846"/>
    <w:rsid w:val="00C12A2E"/>
    <w:rsid w:val="00C134FE"/>
    <w:rsid w:val="00C135F6"/>
    <w:rsid w:val="00C136BD"/>
    <w:rsid w:val="00C13722"/>
    <w:rsid w:val="00C138B9"/>
    <w:rsid w:val="00C14A31"/>
    <w:rsid w:val="00C14A48"/>
    <w:rsid w:val="00C14BF5"/>
    <w:rsid w:val="00C14C15"/>
    <w:rsid w:val="00C14D85"/>
    <w:rsid w:val="00C14FFD"/>
    <w:rsid w:val="00C1520B"/>
    <w:rsid w:val="00C1556E"/>
    <w:rsid w:val="00C1619E"/>
    <w:rsid w:val="00C162B2"/>
    <w:rsid w:val="00C16780"/>
    <w:rsid w:val="00C16AA6"/>
    <w:rsid w:val="00C16E98"/>
    <w:rsid w:val="00C1726A"/>
    <w:rsid w:val="00C17660"/>
    <w:rsid w:val="00C17710"/>
    <w:rsid w:val="00C17A88"/>
    <w:rsid w:val="00C17F2F"/>
    <w:rsid w:val="00C17F39"/>
    <w:rsid w:val="00C20072"/>
    <w:rsid w:val="00C206B3"/>
    <w:rsid w:val="00C208A7"/>
    <w:rsid w:val="00C208E2"/>
    <w:rsid w:val="00C20B6E"/>
    <w:rsid w:val="00C21887"/>
    <w:rsid w:val="00C219B0"/>
    <w:rsid w:val="00C21A08"/>
    <w:rsid w:val="00C21BDD"/>
    <w:rsid w:val="00C21BF2"/>
    <w:rsid w:val="00C22B67"/>
    <w:rsid w:val="00C22E7F"/>
    <w:rsid w:val="00C23950"/>
    <w:rsid w:val="00C23A83"/>
    <w:rsid w:val="00C23CC4"/>
    <w:rsid w:val="00C23D04"/>
    <w:rsid w:val="00C23F79"/>
    <w:rsid w:val="00C24095"/>
    <w:rsid w:val="00C24438"/>
    <w:rsid w:val="00C24755"/>
    <w:rsid w:val="00C248CE"/>
    <w:rsid w:val="00C24A16"/>
    <w:rsid w:val="00C24B4B"/>
    <w:rsid w:val="00C24D21"/>
    <w:rsid w:val="00C24E4F"/>
    <w:rsid w:val="00C24EED"/>
    <w:rsid w:val="00C25127"/>
    <w:rsid w:val="00C252F4"/>
    <w:rsid w:val="00C254AE"/>
    <w:rsid w:val="00C25A50"/>
    <w:rsid w:val="00C25C78"/>
    <w:rsid w:val="00C25E54"/>
    <w:rsid w:val="00C25FE5"/>
    <w:rsid w:val="00C263A8"/>
    <w:rsid w:val="00C26553"/>
    <w:rsid w:val="00C2663B"/>
    <w:rsid w:val="00C2697F"/>
    <w:rsid w:val="00C26F22"/>
    <w:rsid w:val="00C2725B"/>
    <w:rsid w:val="00C27435"/>
    <w:rsid w:val="00C275ED"/>
    <w:rsid w:val="00C27AD3"/>
    <w:rsid w:val="00C27FB6"/>
    <w:rsid w:val="00C30004"/>
    <w:rsid w:val="00C30416"/>
    <w:rsid w:val="00C30425"/>
    <w:rsid w:val="00C30497"/>
    <w:rsid w:val="00C305BC"/>
    <w:rsid w:val="00C305E9"/>
    <w:rsid w:val="00C30723"/>
    <w:rsid w:val="00C308A7"/>
    <w:rsid w:val="00C30A03"/>
    <w:rsid w:val="00C30E9A"/>
    <w:rsid w:val="00C3128D"/>
    <w:rsid w:val="00C31510"/>
    <w:rsid w:val="00C31DF5"/>
    <w:rsid w:val="00C31E1D"/>
    <w:rsid w:val="00C321A1"/>
    <w:rsid w:val="00C32745"/>
    <w:rsid w:val="00C330E8"/>
    <w:rsid w:val="00C335F9"/>
    <w:rsid w:val="00C33833"/>
    <w:rsid w:val="00C33834"/>
    <w:rsid w:val="00C338D3"/>
    <w:rsid w:val="00C3406F"/>
    <w:rsid w:val="00C342E3"/>
    <w:rsid w:val="00C349D7"/>
    <w:rsid w:val="00C34AB7"/>
    <w:rsid w:val="00C34B2B"/>
    <w:rsid w:val="00C3518A"/>
    <w:rsid w:val="00C3520C"/>
    <w:rsid w:val="00C352FB"/>
    <w:rsid w:val="00C3545B"/>
    <w:rsid w:val="00C35606"/>
    <w:rsid w:val="00C35BC8"/>
    <w:rsid w:val="00C36067"/>
    <w:rsid w:val="00C362C1"/>
    <w:rsid w:val="00C363B1"/>
    <w:rsid w:val="00C36793"/>
    <w:rsid w:val="00C368AF"/>
    <w:rsid w:val="00C368B9"/>
    <w:rsid w:val="00C3691F"/>
    <w:rsid w:val="00C36B76"/>
    <w:rsid w:val="00C36C4D"/>
    <w:rsid w:val="00C36D36"/>
    <w:rsid w:val="00C36E9F"/>
    <w:rsid w:val="00C3720B"/>
    <w:rsid w:val="00C376E4"/>
    <w:rsid w:val="00C37DE3"/>
    <w:rsid w:val="00C40250"/>
    <w:rsid w:val="00C403B4"/>
    <w:rsid w:val="00C403EC"/>
    <w:rsid w:val="00C40929"/>
    <w:rsid w:val="00C40CAE"/>
    <w:rsid w:val="00C40CD5"/>
    <w:rsid w:val="00C40E19"/>
    <w:rsid w:val="00C4125C"/>
    <w:rsid w:val="00C4170D"/>
    <w:rsid w:val="00C41A3B"/>
    <w:rsid w:val="00C41A3C"/>
    <w:rsid w:val="00C41DF8"/>
    <w:rsid w:val="00C41E38"/>
    <w:rsid w:val="00C41E52"/>
    <w:rsid w:val="00C4227E"/>
    <w:rsid w:val="00C4229D"/>
    <w:rsid w:val="00C429EC"/>
    <w:rsid w:val="00C429FB"/>
    <w:rsid w:val="00C43044"/>
    <w:rsid w:val="00C435D9"/>
    <w:rsid w:val="00C4368C"/>
    <w:rsid w:val="00C43AE5"/>
    <w:rsid w:val="00C43CB3"/>
    <w:rsid w:val="00C43D4D"/>
    <w:rsid w:val="00C43F72"/>
    <w:rsid w:val="00C441A6"/>
    <w:rsid w:val="00C445C3"/>
    <w:rsid w:val="00C44B29"/>
    <w:rsid w:val="00C44BFF"/>
    <w:rsid w:val="00C44F25"/>
    <w:rsid w:val="00C45667"/>
    <w:rsid w:val="00C45CC6"/>
    <w:rsid w:val="00C467EE"/>
    <w:rsid w:val="00C46A45"/>
    <w:rsid w:val="00C46EB0"/>
    <w:rsid w:val="00C470C8"/>
    <w:rsid w:val="00C4724A"/>
    <w:rsid w:val="00C474A8"/>
    <w:rsid w:val="00C47A4B"/>
    <w:rsid w:val="00C47B84"/>
    <w:rsid w:val="00C50181"/>
    <w:rsid w:val="00C504EB"/>
    <w:rsid w:val="00C50500"/>
    <w:rsid w:val="00C506F3"/>
    <w:rsid w:val="00C508BD"/>
    <w:rsid w:val="00C5095B"/>
    <w:rsid w:val="00C50A68"/>
    <w:rsid w:val="00C50A89"/>
    <w:rsid w:val="00C50B7E"/>
    <w:rsid w:val="00C50EEA"/>
    <w:rsid w:val="00C50F72"/>
    <w:rsid w:val="00C50F91"/>
    <w:rsid w:val="00C50FF7"/>
    <w:rsid w:val="00C512D2"/>
    <w:rsid w:val="00C51BB8"/>
    <w:rsid w:val="00C51E46"/>
    <w:rsid w:val="00C51EDE"/>
    <w:rsid w:val="00C52126"/>
    <w:rsid w:val="00C5254F"/>
    <w:rsid w:val="00C52703"/>
    <w:rsid w:val="00C52BD2"/>
    <w:rsid w:val="00C52D8E"/>
    <w:rsid w:val="00C52F6D"/>
    <w:rsid w:val="00C52FA5"/>
    <w:rsid w:val="00C52FC8"/>
    <w:rsid w:val="00C53292"/>
    <w:rsid w:val="00C5333A"/>
    <w:rsid w:val="00C534A0"/>
    <w:rsid w:val="00C5355B"/>
    <w:rsid w:val="00C537F8"/>
    <w:rsid w:val="00C53C1B"/>
    <w:rsid w:val="00C53CDA"/>
    <w:rsid w:val="00C53D6D"/>
    <w:rsid w:val="00C5423D"/>
    <w:rsid w:val="00C5426E"/>
    <w:rsid w:val="00C54326"/>
    <w:rsid w:val="00C545B1"/>
    <w:rsid w:val="00C54976"/>
    <w:rsid w:val="00C54D58"/>
    <w:rsid w:val="00C54D80"/>
    <w:rsid w:val="00C54E06"/>
    <w:rsid w:val="00C55149"/>
    <w:rsid w:val="00C5558A"/>
    <w:rsid w:val="00C5562C"/>
    <w:rsid w:val="00C557CB"/>
    <w:rsid w:val="00C56448"/>
    <w:rsid w:val="00C56633"/>
    <w:rsid w:val="00C567C4"/>
    <w:rsid w:val="00C56983"/>
    <w:rsid w:val="00C56AB6"/>
    <w:rsid w:val="00C56BAC"/>
    <w:rsid w:val="00C56ED8"/>
    <w:rsid w:val="00C57234"/>
    <w:rsid w:val="00C572D5"/>
    <w:rsid w:val="00C573E1"/>
    <w:rsid w:val="00C574AD"/>
    <w:rsid w:val="00C60385"/>
    <w:rsid w:val="00C6071A"/>
    <w:rsid w:val="00C609AB"/>
    <w:rsid w:val="00C60C9B"/>
    <w:rsid w:val="00C611BE"/>
    <w:rsid w:val="00C615F9"/>
    <w:rsid w:val="00C61619"/>
    <w:rsid w:val="00C618AC"/>
    <w:rsid w:val="00C618C9"/>
    <w:rsid w:val="00C61AA0"/>
    <w:rsid w:val="00C61B17"/>
    <w:rsid w:val="00C61CAA"/>
    <w:rsid w:val="00C61F89"/>
    <w:rsid w:val="00C61FA3"/>
    <w:rsid w:val="00C623D9"/>
    <w:rsid w:val="00C6297C"/>
    <w:rsid w:val="00C62ED5"/>
    <w:rsid w:val="00C6336D"/>
    <w:rsid w:val="00C63B16"/>
    <w:rsid w:val="00C63C73"/>
    <w:rsid w:val="00C63E0E"/>
    <w:rsid w:val="00C63F5A"/>
    <w:rsid w:val="00C647BB"/>
    <w:rsid w:val="00C64BB8"/>
    <w:rsid w:val="00C64C92"/>
    <w:rsid w:val="00C64F7D"/>
    <w:rsid w:val="00C659D4"/>
    <w:rsid w:val="00C65BD1"/>
    <w:rsid w:val="00C66783"/>
    <w:rsid w:val="00C669D6"/>
    <w:rsid w:val="00C66C8F"/>
    <w:rsid w:val="00C66FE6"/>
    <w:rsid w:val="00C672E6"/>
    <w:rsid w:val="00C674B7"/>
    <w:rsid w:val="00C6756B"/>
    <w:rsid w:val="00C67598"/>
    <w:rsid w:val="00C675E4"/>
    <w:rsid w:val="00C6760A"/>
    <w:rsid w:val="00C7050F"/>
    <w:rsid w:val="00C70C1F"/>
    <w:rsid w:val="00C70D3B"/>
    <w:rsid w:val="00C70E45"/>
    <w:rsid w:val="00C71329"/>
    <w:rsid w:val="00C71410"/>
    <w:rsid w:val="00C71DDB"/>
    <w:rsid w:val="00C72079"/>
    <w:rsid w:val="00C720BB"/>
    <w:rsid w:val="00C720C3"/>
    <w:rsid w:val="00C720FA"/>
    <w:rsid w:val="00C7210C"/>
    <w:rsid w:val="00C721A0"/>
    <w:rsid w:val="00C721A4"/>
    <w:rsid w:val="00C721C0"/>
    <w:rsid w:val="00C72847"/>
    <w:rsid w:val="00C72865"/>
    <w:rsid w:val="00C72B02"/>
    <w:rsid w:val="00C72D85"/>
    <w:rsid w:val="00C72F9D"/>
    <w:rsid w:val="00C733B6"/>
    <w:rsid w:val="00C734A1"/>
    <w:rsid w:val="00C73740"/>
    <w:rsid w:val="00C73947"/>
    <w:rsid w:val="00C741A6"/>
    <w:rsid w:val="00C742DE"/>
    <w:rsid w:val="00C74419"/>
    <w:rsid w:val="00C745D3"/>
    <w:rsid w:val="00C74865"/>
    <w:rsid w:val="00C74991"/>
    <w:rsid w:val="00C74D0C"/>
    <w:rsid w:val="00C7510E"/>
    <w:rsid w:val="00C75133"/>
    <w:rsid w:val="00C751C6"/>
    <w:rsid w:val="00C752EC"/>
    <w:rsid w:val="00C75730"/>
    <w:rsid w:val="00C75778"/>
    <w:rsid w:val="00C757D3"/>
    <w:rsid w:val="00C758CC"/>
    <w:rsid w:val="00C759E5"/>
    <w:rsid w:val="00C75B40"/>
    <w:rsid w:val="00C75DDE"/>
    <w:rsid w:val="00C762D9"/>
    <w:rsid w:val="00C76915"/>
    <w:rsid w:val="00C76B07"/>
    <w:rsid w:val="00C77072"/>
    <w:rsid w:val="00C77090"/>
    <w:rsid w:val="00C770E9"/>
    <w:rsid w:val="00C7716B"/>
    <w:rsid w:val="00C771B2"/>
    <w:rsid w:val="00C777ED"/>
    <w:rsid w:val="00C77886"/>
    <w:rsid w:val="00C77C77"/>
    <w:rsid w:val="00C77E6E"/>
    <w:rsid w:val="00C805E7"/>
    <w:rsid w:val="00C80633"/>
    <w:rsid w:val="00C807A9"/>
    <w:rsid w:val="00C809B2"/>
    <w:rsid w:val="00C80C71"/>
    <w:rsid w:val="00C80F0A"/>
    <w:rsid w:val="00C81010"/>
    <w:rsid w:val="00C8105A"/>
    <w:rsid w:val="00C81101"/>
    <w:rsid w:val="00C81198"/>
    <w:rsid w:val="00C813FC"/>
    <w:rsid w:val="00C817A6"/>
    <w:rsid w:val="00C81891"/>
    <w:rsid w:val="00C81920"/>
    <w:rsid w:val="00C81FF9"/>
    <w:rsid w:val="00C82147"/>
    <w:rsid w:val="00C82272"/>
    <w:rsid w:val="00C82815"/>
    <w:rsid w:val="00C828CF"/>
    <w:rsid w:val="00C828EE"/>
    <w:rsid w:val="00C829BD"/>
    <w:rsid w:val="00C829CA"/>
    <w:rsid w:val="00C82C58"/>
    <w:rsid w:val="00C82D87"/>
    <w:rsid w:val="00C83097"/>
    <w:rsid w:val="00C831AB"/>
    <w:rsid w:val="00C832C2"/>
    <w:rsid w:val="00C83340"/>
    <w:rsid w:val="00C836D9"/>
    <w:rsid w:val="00C8386F"/>
    <w:rsid w:val="00C83C72"/>
    <w:rsid w:val="00C83E6E"/>
    <w:rsid w:val="00C83E72"/>
    <w:rsid w:val="00C84423"/>
    <w:rsid w:val="00C8446C"/>
    <w:rsid w:val="00C84518"/>
    <w:rsid w:val="00C84951"/>
    <w:rsid w:val="00C84C3F"/>
    <w:rsid w:val="00C84C60"/>
    <w:rsid w:val="00C84D54"/>
    <w:rsid w:val="00C84E99"/>
    <w:rsid w:val="00C84F07"/>
    <w:rsid w:val="00C84F2B"/>
    <w:rsid w:val="00C85043"/>
    <w:rsid w:val="00C85588"/>
    <w:rsid w:val="00C859F3"/>
    <w:rsid w:val="00C85A0A"/>
    <w:rsid w:val="00C85A23"/>
    <w:rsid w:val="00C85E42"/>
    <w:rsid w:val="00C85EE6"/>
    <w:rsid w:val="00C85F92"/>
    <w:rsid w:val="00C861DD"/>
    <w:rsid w:val="00C8620F"/>
    <w:rsid w:val="00C864F6"/>
    <w:rsid w:val="00C8709C"/>
    <w:rsid w:val="00C870E8"/>
    <w:rsid w:val="00C8740D"/>
    <w:rsid w:val="00C87B2B"/>
    <w:rsid w:val="00C90093"/>
    <w:rsid w:val="00C90194"/>
    <w:rsid w:val="00C90248"/>
    <w:rsid w:val="00C90513"/>
    <w:rsid w:val="00C9060D"/>
    <w:rsid w:val="00C90822"/>
    <w:rsid w:val="00C90A14"/>
    <w:rsid w:val="00C90C85"/>
    <w:rsid w:val="00C91C93"/>
    <w:rsid w:val="00C91D16"/>
    <w:rsid w:val="00C91DE6"/>
    <w:rsid w:val="00C91F79"/>
    <w:rsid w:val="00C91F8A"/>
    <w:rsid w:val="00C9235B"/>
    <w:rsid w:val="00C9236C"/>
    <w:rsid w:val="00C9249F"/>
    <w:rsid w:val="00C92742"/>
    <w:rsid w:val="00C92988"/>
    <w:rsid w:val="00C929EA"/>
    <w:rsid w:val="00C92D96"/>
    <w:rsid w:val="00C92F0C"/>
    <w:rsid w:val="00C92F23"/>
    <w:rsid w:val="00C93573"/>
    <w:rsid w:val="00C937CD"/>
    <w:rsid w:val="00C93873"/>
    <w:rsid w:val="00C93D94"/>
    <w:rsid w:val="00C9417A"/>
    <w:rsid w:val="00C94215"/>
    <w:rsid w:val="00C94435"/>
    <w:rsid w:val="00C94928"/>
    <w:rsid w:val="00C94A0D"/>
    <w:rsid w:val="00C94E1B"/>
    <w:rsid w:val="00C94F30"/>
    <w:rsid w:val="00C95009"/>
    <w:rsid w:val="00C951B2"/>
    <w:rsid w:val="00C95221"/>
    <w:rsid w:val="00C95739"/>
    <w:rsid w:val="00C95DF6"/>
    <w:rsid w:val="00C95F2B"/>
    <w:rsid w:val="00C95FC6"/>
    <w:rsid w:val="00C96281"/>
    <w:rsid w:val="00C96ED5"/>
    <w:rsid w:val="00C96EFC"/>
    <w:rsid w:val="00C9726A"/>
    <w:rsid w:val="00C9735D"/>
    <w:rsid w:val="00C97D97"/>
    <w:rsid w:val="00CA0277"/>
    <w:rsid w:val="00CA0802"/>
    <w:rsid w:val="00CA083E"/>
    <w:rsid w:val="00CA09BE"/>
    <w:rsid w:val="00CA0C44"/>
    <w:rsid w:val="00CA110E"/>
    <w:rsid w:val="00CA135B"/>
    <w:rsid w:val="00CA16FA"/>
    <w:rsid w:val="00CA1747"/>
    <w:rsid w:val="00CA17C1"/>
    <w:rsid w:val="00CA1BEF"/>
    <w:rsid w:val="00CA1C01"/>
    <w:rsid w:val="00CA1DD5"/>
    <w:rsid w:val="00CA2192"/>
    <w:rsid w:val="00CA22EE"/>
    <w:rsid w:val="00CA2392"/>
    <w:rsid w:val="00CA2420"/>
    <w:rsid w:val="00CA251E"/>
    <w:rsid w:val="00CA2621"/>
    <w:rsid w:val="00CA2982"/>
    <w:rsid w:val="00CA29F8"/>
    <w:rsid w:val="00CA2A7D"/>
    <w:rsid w:val="00CA2C23"/>
    <w:rsid w:val="00CA2C97"/>
    <w:rsid w:val="00CA35D3"/>
    <w:rsid w:val="00CA3A43"/>
    <w:rsid w:val="00CA4026"/>
    <w:rsid w:val="00CA41C5"/>
    <w:rsid w:val="00CA44DA"/>
    <w:rsid w:val="00CA45AB"/>
    <w:rsid w:val="00CA512C"/>
    <w:rsid w:val="00CA5324"/>
    <w:rsid w:val="00CA53CC"/>
    <w:rsid w:val="00CA540E"/>
    <w:rsid w:val="00CA545D"/>
    <w:rsid w:val="00CA55F9"/>
    <w:rsid w:val="00CA5813"/>
    <w:rsid w:val="00CA584E"/>
    <w:rsid w:val="00CA5878"/>
    <w:rsid w:val="00CA5D72"/>
    <w:rsid w:val="00CA5E16"/>
    <w:rsid w:val="00CA6290"/>
    <w:rsid w:val="00CA63FF"/>
    <w:rsid w:val="00CA686D"/>
    <w:rsid w:val="00CA6EAF"/>
    <w:rsid w:val="00CA7076"/>
    <w:rsid w:val="00CA745F"/>
    <w:rsid w:val="00CA75A8"/>
    <w:rsid w:val="00CA761E"/>
    <w:rsid w:val="00CA7963"/>
    <w:rsid w:val="00CA7986"/>
    <w:rsid w:val="00CA7AF7"/>
    <w:rsid w:val="00CA7B24"/>
    <w:rsid w:val="00CB03AD"/>
    <w:rsid w:val="00CB03C1"/>
    <w:rsid w:val="00CB0AE7"/>
    <w:rsid w:val="00CB0BDD"/>
    <w:rsid w:val="00CB0E55"/>
    <w:rsid w:val="00CB1436"/>
    <w:rsid w:val="00CB16E5"/>
    <w:rsid w:val="00CB18A9"/>
    <w:rsid w:val="00CB1942"/>
    <w:rsid w:val="00CB217B"/>
    <w:rsid w:val="00CB2193"/>
    <w:rsid w:val="00CB2402"/>
    <w:rsid w:val="00CB2458"/>
    <w:rsid w:val="00CB268D"/>
    <w:rsid w:val="00CB2BE9"/>
    <w:rsid w:val="00CB301F"/>
    <w:rsid w:val="00CB3304"/>
    <w:rsid w:val="00CB3565"/>
    <w:rsid w:val="00CB3732"/>
    <w:rsid w:val="00CB3C1F"/>
    <w:rsid w:val="00CB439A"/>
    <w:rsid w:val="00CB445F"/>
    <w:rsid w:val="00CB4539"/>
    <w:rsid w:val="00CB4677"/>
    <w:rsid w:val="00CB4C0E"/>
    <w:rsid w:val="00CB52F5"/>
    <w:rsid w:val="00CB538A"/>
    <w:rsid w:val="00CB5516"/>
    <w:rsid w:val="00CB56B9"/>
    <w:rsid w:val="00CB5794"/>
    <w:rsid w:val="00CB57F4"/>
    <w:rsid w:val="00CB588B"/>
    <w:rsid w:val="00CB5ACA"/>
    <w:rsid w:val="00CB5FB5"/>
    <w:rsid w:val="00CB61F6"/>
    <w:rsid w:val="00CB6770"/>
    <w:rsid w:val="00CB6B53"/>
    <w:rsid w:val="00CB6E78"/>
    <w:rsid w:val="00CB6F91"/>
    <w:rsid w:val="00CB6FBB"/>
    <w:rsid w:val="00CB7658"/>
    <w:rsid w:val="00CB7A85"/>
    <w:rsid w:val="00CB7E94"/>
    <w:rsid w:val="00CB7FD7"/>
    <w:rsid w:val="00CC0032"/>
    <w:rsid w:val="00CC00F2"/>
    <w:rsid w:val="00CC0483"/>
    <w:rsid w:val="00CC068F"/>
    <w:rsid w:val="00CC07BC"/>
    <w:rsid w:val="00CC096C"/>
    <w:rsid w:val="00CC0B9E"/>
    <w:rsid w:val="00CC10BE"/>
    <w:rsid w:val="00CC156C"/>
    <w:rsid w:val="00CC175E"/>
    <w:rsid w:val="00CC1D18"/>
    <w:rsid w:val="00CC208A"/>
    <w:rsid w:val="00CC2290"/>
    <w:rsid w:val="00CC2D34"/>
    <w:rsid w:val="00CC31FB"/>
    <w:rsid w:val="00CC3576"/>
    <w:rsid w:val="00CC3598"/>
    <w:rsid w:val="00CC3907"/>
    <w:rsid w:val="00CC3B88"/>
    <w:rsid w:val="00CC3EF0"/>
    <w:rsid w:val="00CC4885"/>
    <w:rsid w:val="00CC4DE2"/>
    <w:rsid w:val="00CC4E9D"/>
    <w:rsid w:val="00CC4EB3"/>
    <w:rsid w:val="00CC4F30"/>
    <w:rsid w:val="00CC5001"/>
    <w:rsid w:val="00CC52EC"/>
    <w:rsid w:val="00CC538C"/>
    <w:rsid w:val="00CC54C1"/>
    <w:rsid w:val="00CC5C54"/>
    <w:rsid w:val="00CC5EA9"/>
    <w:rsid w:val="00CC5FA7"/>
    <w:rsid w:val="00CC6939"/>
    <w:rsid w:val="00CC6964"/>
    <w:rsid w:val="00CC6BFE"/>
    <w:rsid w:val="00CC6C86"/>
    <w:rsid w:val="00CC6CE3"/>
    <w:rsid w:val="00CC6E95"/>
    <w:rsid w:val="00CC6F64"/>
    <w:rsid w:val="00CC754A"/>
    <w:rsid w:val="00CC7964"/>
    <w:rsid w:val="00CD0266"/>
    <w:rsid w:val="00CD0722"/>
    <w:rsid w:val="00CD0776"/>
    <w:rsid w:val="00CD082A"/>
    <w:rsid w:val="00CD0D19"/>
    <w:rsid w:val="00CD0EC3"/>
    <w:rsid w:val="00CD0ED3"/>
    <w:rsid w:val="00CD1757"/>
    <w:rsid w:val="00CD18BF"/>
    <w:rsid w:val="00CD1A8B"/>
    <w:rsid w:val="00CD1D15"/>
    <w:rsid w:val="00CD2236"/>
    <w:rsid w:val="00CD22A5"/>
    <w:rsid w:val="00CD29C4"/>
    <w:rsid w:val="00CD2AA4"/>
    <w:rsid w:val="00CD2DC6"/>
    <w:rsid w:val="00CD2ED5"/>
    <w:rsid w:val="00CD2F78"/>
    <w:rsid w:val="00CD3088"/>
    <w:rsid w:val="00CD30B8"/>
    <w:rsid w:val="00CD31CA"/>
    <w:rsid w:val="00CD31CE"/>
    <w:rsid w:val="00CD3297"/>
    <w:rsid w:val="00CD3519"/>
    <w:rsid w:val="00CD354D"/>
    <w:rsid w:val="00CD3A4E"/>
    <w:rsid w:val="00CD3AEF"/>
    <w:rsid w:val="00CD3BCC"/>
    <w:rsid w:val="00CD3D66"/>
    <w:rsid w:val="00CD4061"/>
    <w:rsid w:val="00CD40E9"/>
    <w:rsid w:val="00CD454A"/>
    <w:rsid w:val="00CD47D4"/>
    <w:rsid w:val="00CD48BF"/>
    <w:rsid w:val="00CD4A51"/>
    <w:rsid w:val="00CD4B92"/>
    <w:rsid w:val="00CD4BD9"/>
    <w:rsid w:val="00CD4EEF"/>
    <w:rsid w:val="00CD4FF3"/>
    <w:rsid w:val="00CD5058"/>
    <w:rsid w:val="00CD505C"/>
    <w:rsid w:val="00CD525C"/>
    <w:rsid w:val="00CD52DE"/>
    <w:rsid w:val="00CD5415"/>
    <w:rsid w:val="00CD59BC"/>
    <w:rsid w:val="00CD5A18"/>
    <w:rsid w:val="00CD5A6E"/>
    <w:rsid w:val="00CD5F85"/>
    <w:rsid w:val="00CD606B"/>
    <w:rsid w:val="00CD609C"/>
    <w:rsid w:val="00CD60F9"/>
    <w:rsid w:val="00CD611D"/>
    <w:rsid w:val="00CD61E1"/>
    <w:rsid w:val="00CD6318"/>
    <w:rsid w:val="00CD647B"/>
    <w:rsid w:val="00CD6544"/>
    <w:rsid w:val="00CD67D1"/>
    <w:rsid w:val="00CD68A2"/>
    <w:rsid w:val="00CD716C"/>
    <w:rsid w:val="00CD72C0"/>
    <w:rsid w:val="00CD7434"/>
    <w:rsid w:val="00CD77F6"/>
    <w:rsid w:val="00CD7C58"/>
    <w:rsid w:val="00CD7E81"/>
    <w:rsid w:val="00CD7E98"/>
    <w:rsid w:val="00CD7FD1"/>
    <w:rsid w:val="00CE015C"/>
    <w:rsid w:val="00CE04C0"/>
    <w:rsid w:val="00CE05F8"/>
    <w:rsid w:val="00CE09FD"/>
    <w:rsid w:val="00CE1140"/>
    <w:rsid w:val="00CE12F2"/>
    <w:rsid w:val="00CE13FD"/>
    <w:rsid w:val="00CE1812"/>
    <w:rsid w:val="00CE1F36"/>
    <w:rsid w:val="00CE1F69"/>
    <w:rsid w:val="00CE1FE5"/>
    <w:rsid w:val="00CE22A4"/>
    <w:rsid w:val="00CE32B4"/>
    <w:rsid w:val="00CE34C0"/>
    <w:rsid w:val="00CE3757"/>
    <w:rsid w:val="00CE3BEE"/>
    <w:rsid w:val="00CE4183"/>
    <w:rsid w:val="00CE4377"/>
    <w:rsid w:val="00CE49D9"/>
    <w:rsid w:val="00CE4AEC"/>
    <w:rsid w:val="00CE4E58"/>
    <w:rsid w:val="00CE4E9B"/>
    <w:rsid w:val="00CE5007"/>
    <w:rsid w:val="00CE53E9"/>
    <w:rsid w:val="00CE557F"/>
    <w:rsid w:val="00CE55FF"/>
    <w:rsid w:val="00CE5774"/>
    <w:rsid w:val="00CE5E5A"/>
    <w:rsid w:val="00CE61D5"/>
    <w:rsid w:val="00CE641A"/>
    <w:rsid w:val="00CE6546"/>
    <w:rsid w:val="00CE68E3"/>
    <w:rsid w:val="00CE76AD"/>
    <w:rsid w:val="00CF0398"/>
    <w:rsid w:val="00CF08C5"/>
    <w:rsid w:val="00CF0980"/>
    <w:rsid w:val="00CF0D84"/>
    <w:rsid w:val="00CF0F36"/>
    <w:rsid w:val="00CF13B0"/>
    <w:rsid w:val="00CF14AD"/>
    <w:rsid w:val="00CF179A"/>
    <w:rsid w:val="00CF181E"/>
    <w:rsid w:val="00CF1A42"/>
    <w:rsid w:val="00CF1C20"/>
    <w:rsid w:val="00CF1CE5"/>
    <w:rsid w:val="00CF20EE"/>
    <w:rsid w:val="00CF2409"/>
    <w:rsid w:val="00CF2AF6"/>
    <w:rsid w:val="00CF32F8"/>
    <w:rsid w:val="00CF330B"/>
    <w:rsid w:val="00CF36DD"/>
    <w:rsid w:val="00CF3BB8"/>
    <w:rsid w:val="00CF3FAC"/>
    <w:rsid w:val="00CF402F"/>
    <w:rsid w:val="00CF4636"/>
    <w:rsid w:val="00CF466F"/>
    <w:rsid w:val="00CF48C9"/>
    <w:rsid w:val="00CF4BD6"/>
    <w:rsid w:val="00CF4E06"/>
    <w:rsid w:val="00CF57EF"/>
    <w:rsid w:val="00CF59A4"/>
    <w:rsid w:val="00CF5FFC"/>
    <w:rsid w:val="00CF6358"/>
    <w:rsid w:val="00CF6393"/>
    <w:rsid w:val="00CF6432"/>
    <w:rsid w:val="00CF6452"/>
    <w:rsid w:val="00CF6726"/>
    <w:rsid w:val="00CF6AA7"/>
    <w:rsid w:val="00CF6F42"/>
    <w:rsid w:val="00CF6FD6"/>
    <w:rsid w:val="00CF7076"/>
    <w:rsid w:val="00CF7156"/>
    <w:rsid w:val="00CF7259"/>
    <w:rsid w:val="00CF75B2"/>
    <w:rsid w:val="00CF7833"/>
    <w:rsid w:val="00CF7903"/>
    <w:rsid w:val="00D0094F"/>
    <w:rsid w:val="00D00957"/>
    <w:rsid w:val="00D00C67"/>
    <w:rsid w:val="00D00EA9"/>
    <w:rsid w:val="00D00EBB"/>
    <w:rsid w:val="00D00F64"/>
    <w:rsid w:val="00D0120E"/>
    <w:rsid w:val="00D01951"/>
    <w:rsid w:val="00D0197F"/>
    <w:rsid w:val="00D01A49"/>
    <w:rsid w:val="00D01C97"/>
    <w:rsid w:val="00D01E68"/>
    <w:rsid w:val="00D0251B"/>
    <w:rsid w:val="00D02602"/>
    <w:rsid w:val="00D02871"/>
    <w:rsid w:val="00D02D30"/>
    <w:rsid w:val="00D03159"/>
    <w:rsid w:val="00D031AA"/>
    <w:rsid w:val="00D03934"/>
    <w:rsid w:val="00D03C2C"/>
    <w:rsid w:val="00D03CE8"/>
    <w:rsid w:val="00D03F99"/>
    <w:rsid w:val="00D040BA"/>
    <w:rsid w:val="00D04192"/>
    <w:rsid w:val="00D041A8"/>
    <w:rsid w:val="00D04AD2"/>
    <w:rsid w:val="00D04E40"/>
    <w:rsid w:val="00D04F0F"/>
    <w:rsid w:val="00D04F50"/>
    <w:rsid w:val="00D05637"/>
    <w:rsid w:val="00D0569E"/>
    <w:rsid w:val="00D0570B"/>
    <w:rsid w:val="00D0584F"/>
    <w:rsid w:val="00D05C78"/>
    <w:rsid w:val="00D05E2C"/>
    <w:rsid w:val="00D05F7C"/>
    <w:rsid w:val="00D06036"/>
    <w:rsid w:val="00D0649E"/>
    <w:rsid w:val="00D0698E"/>
    <w:rsid w:val="00D06A2C"/>
    <w:rsid w:val="00D075C8"/>
    <w:rsid w:val="00D076E9"/>
    <w:rsid w:val="00D0798C"/>
    <w:rsid w:val="00D07AC5"/>
    <w:rsid w:val="00D07EBE"/>
    <w:rsid w:val="00D07F2F"/>
    <w:rsid w:val="00D106B3"/>
    <w:rsid w:val="00D10768"/>
    <w:rsid w:val="00D1086C"/>
    <w:rsid w:val="00D10D04"/>
    <w:rsid w:val="00D10DFE"/>
    <w:rsid w:val="00D11416"/>
    <w:rsid w:val="00D11C01"/>
    <w:rsid w:val="00D11D73"/>
    <w:rsid w:val="00D11E62"/>
    <w:rsid w:val="00D1220C"/>
    <w:rsid w:val="00D12246"/>
    <w:rsid w:val="00D124B8"/>
    <w:rsid w:val="00D124FA"/>
    <w:rsid w:val="00D1291B"/>
    <w:rsid w:val="00D12A42"/>
    <w:rsid w:val="00D12D00"/>
    <w:rsid w:val="00D12D2A"/>
    <w:rsid w:val="00D12DD9"/>
    <w:rsid w:val="00D12F9C"/>
    <w:rsid w:val="00D13641"/>
    <w:rsid w:val="00D138E5"/>
    <w:rsid w:val="00D139AC"/>
    <w:rsid w:val="00D13BF7"/>
    <w:rsid w:val="00D13C31"/>
    <w:rsid w:val="00D13D68"/>
    <w:rsid w:val="00D14140"/>
    <w:rsid w:val="00D144FF"/>
    <w:rsid w:val="00D14553"/>
    <w:rsid w:val="00D147C6"/>
    <w:rsid w:val="00D14DC8"/>
    <w:rsid w:val="00D15165"/>
    <w:rsid w:val="00D1533E"/>
    <w:rsid w:val="00D1539D"/>
    <w:rsid w:val="00D154AE"/>
    <w:rsid w:val="00D155B1"/>
    <w:rsid w:val="00D158D2"/>
    <w:rsid w:val="00D15B21"/>
    <w:rsid w:val="00D16173"/>
    <w:rsid w:val="00D1632A"/>
    <w:rsid w:val="00D164AF"/>
    <w:rsid w:val="00D164EC"/>
    <w:rsid w:val="00D16887"/>
    <w:rsid w:val="00D16A6C"/>
    <w:rsid w:val="00D16A8B"/>
    <w:rsid w:val="00D16C2F"/>
    <w:rsid w:val="00D16CCB"/>
    <w:rsid w:val="00D17122"/>
    <w:rsid w:val="00D17196"/>
    <w:rsid w:val="00D17225"/>
    <w:rsid w:val="00D1775C"/>
    <w:rsid w:val="00D178B7"/>
    <w:rsid w:val="00D17C47"/>
    <w:rsid w:val="00D20000"/>
    <w:rsid w:val="00D208FF"/>
    <w:rsid w:val="00D20C74"/>
    <w:rsid w:val="00D20E14"/>
    <w:rsid w:val="00D2135D"/>
    <w:rsid w:val="00D21504"/>
    <w:rsid w:val="00D216C5"/>
    <w:rsid w:val="00D21AC7"/>
    <w:rsid w:val="00D21D4A"/>
    <w:rsid w:val="00D21EB9"/>
    <w:rsid w:val="00D21FCF"/>
    <w:rsid w:val="00D2207E"/>
    <w:rsid w:val="00D221BA"/>
    <w:rsid w:val="00D2234C"/>
    <w:rsid w:val="00D22755"/>
    <w:rsid w:val="00D23126"/>
    <w:rsid w:val="00D231BA"/>
    <w:rsid w:val="00D2327C"/>
    <w:rsid w:val="00D23942"/>
    <w:rsid w:val="00D23980"/>
    <w:rsid w:val="00D23A2D"/>
    <w:rsid w:val="00D23A38"/>
    <w:rsid w:val="00D23AD1"/>
    <w:rsid w:val="00D23B59"/>
    <w:rsid w:val="00D23B8B"/>
    <w:rsid w:val="00D23E3F"/>
    <w:rsid w:val="00D23FCE"/>
    <w:rsid w:val="00D2448C"/>
    <w:rsid w:val="00D244A1"/>
    <w:rsid w:val="00D2476B"/>
    <w:rsid w:val="00D24868"/>
    <w:rsid w:val="00D24D85"/>
    <w:rsid w:val="00D25152"/>
    <w:rsid w:val="00D25338"/>
    <w:rsid w:val="00D258AB"/>
    <w:rsid w:val="00D2619E"/>
    <w:rsid w:val="00D264AF"/>
    <w:rsid w:val="00D26812"/>
    <w:rsid w:val="00D2689F"/>
    <w:rsid w:val="00D268EF"/>
    <w:rsid w:val="00D269C8"/>
    <w:rsid w:val="00D26A3A"/>
    <w:rsid w:val="00D26A6C"/>
    <w:rsid w:val="00D26AA9"/>
    <w:rsid w:val="00D27374"/>
    <w:rsid w:val="00D2740D"/>
    <w:rsid w:val="00D27A4B"/>
    <w:rsid w:val="00D300D5"/>
    <w:rsid w:val="00D30531"/>
    <w:rsid w:val="00D3055B"/>
    <w:rsid w:val="00D3064A"/>
    <w:rsid w:val="00D30AAB"/>
    <w:rsid w:val="00D30AC4"/>
    <w:rsid w:val="00D30B7A"/>
    <w:rsid w:val="00D30BBD"/>
    <w:rsid w:val="00D30F50"/>
    <w:rsid w:val="00D311E1"/>
    <w:rsid w:val="00D316DB"/>
    <w:rsid w:val="00D31A27"/>
    <w:rsid w:val="00D31B88"/>
    <w:rsid w:val="00D31C0C"/>
    <w:rsid w:val="00D31CB7"/>
    <w:rsid w:val="00D32073"/>
    <w:rsid w:val="00D325E6"/>
    <w:rsid w:val="00D3273C"/>
    <w:rsid w:val="00D32740"/>
    <w:rsid w:val="00D327F6"/>
    <w:rsid w:val="00D32BA9"/>
    <w:rsid w:val="00D32D87"/>
    <w:rsid w:val="00D33278"/>
    <w:rsid w:val="00D3335C"/>
    <w:rsid w:val="00D33AF9"/>
    <w:rsid w:val="00D33CAA"/>
    <w:rsid w:val="00D33F8E"/>
    <w:rsid w:val="00D33FE4"/>
    <w:rsid w:val="00D34233"/>
    <w:rsid w:val="00D345CE"/>
    <w:rsid w:val="00D34855"/>
    <w:rsid w:val="00D34969"/>
    <w:rsid w:val="00D34B98"/>
    <w:rsid w:val="00D34C58"/>
    <w:rsid w:val="00D34EDD"/>
    <w:rsid w:val="00D35366"/>
    <w:rsid w:val="00D35A09"/>
    <w:rsid w:val="00D35B57"/>
    <w:rsid w:val="00D3632C"/>
    <w:rsid w:val="00D366C0"/>
    <w:rsid w:val="00D36842"/>
    <w:rsid w:val="00D36B8B"/>
    <w:rsid w:val="00D372F9"/>
    <w:rsid w:val="00D37305"/>
    <w:rsid w:val="00D37575"/>
    <w:rsid w:val="00D377B2"/>
    <w:rsid w:val="00D37E63"/>
    <w:rsid w:val="00D37FCA"/>
    <w:rsid w:val="00D40023"/>
    <w:rsid w:val="00D4008B"/>
    <w:rsid w:val="00D40229"/>
    <w:rsid w:val="00D403CB"/>
    <w:rsid w:val="00D406A8"/>
    <w:rsid w:val="00D40A83"/>
    <w:rsid w:val="00D4123B"/>
    <w:rsid w:val="00D413BF"/>
    <w:rsid w:val="00D41A62"/>
    <w:rsid w:val="00D41E8C"/>
    <w:rsid w:val="00D42CF4"/>
    <w:rsid w:val="00D43028"/>
    <w:rsid w:val="00D435B3"/>
    <w:rsid w:val="00D4370E"/>
    <w:rsid w:val="00D43738"/>
    <w:rsid w:val="00D438ED"/>
    <w:rsid w:val="00D43AA1"/>
    <w:rsid w:val="00D43B0E"/>
    <w:rsid w:val="00D43D7F"/>
    <w:rsid w:val="00D43F8B"/>
    <w:rsid w:val="00D44266"/>
    <w:rsid w:val="00D442F5"/>
    <w:rsid w:val="00D44592"/>
    <w:rsid w:val="00D4462E"/>
    <w:rsid w:val="00D44D9F"/>
    <w:rsid w:val="00D4543E"/>
    <w:rsid w:val="00D457AD"/>
    <w:rsid w:val="00D45AF1"/>
    <w:rsid w:val="00D45D4C"/>
    <w:rsid w:val="00D462A1"/>
    <w:rsid w:val="00D462E0"/>
    <w:rsid w:val="00D463C8"/>
    <w:rsid w:val="00D4686D"/>
    <w:rsid w:val="00D46886"/>
    <w:rsid w:val="00D46B0F"/>
    <w:rsid w:val="00D471DB"/>
    <w:rsid w:val="00D475B5"/>
    <w:rsid w:val="00D47642"/>
    <w:rsid w:val="00D47778"/>
    <w:rsid w:val="00D47D32"/>
    <w:rsid w:val="00D47EE1"/>
    <w:rsid w:val="00D5023F"/>
    <w:rsid w:val="00D506D5"/>
    <w:rsid w:val="00D5074F"/>
    <w:rsid w:val="00D50809"/>
    <w:rsid w:val="00D50A7D"/>
    <w:rsid w:val="00D51790"/>
    <w:rsid w:val="00D51A3F"/>
    <w:rsid w:val="00D51CE5"/>
    <w:rsid w:val="00D51D27"/>
    <w:rsid w:val="00D51DC8"/>
    <w:rsid w:val="00D52052"/>
    <w:rsid w:val="00D5245B"/>
    <w:rsid w:val="00D526F5"/>
    <w:rsid w:val="00D530DD"/>
    <w:rsid w:val="00D534E5"/>
    <w:rsid w:val="00D536D8"/>
    <w:rsid w:val="00D53905"/>
    <w:rsid w:val="00D54029"/>
    <w:rsid w:val="00D54190"/>
    <w:rsid w:val="00D54746"/>
    <w:rsid w:val="00D5475E"/>
    <w:rsid w:val="00D54ECA"/>
    <w:rsid w:val="00D54F2C"/>
    <w:rsid w:val="00D55160"/>
    <w:rsid w:val="00D55546"/>
    <w:rsid w:val="00D56168"/>
    <w:rsid w:val="00D5661B"/>
    <w:rsid w:val="00D56673"/>
    <w:rsid w:val="00D56AB6"/>
    <w:rsid w:val="00D56BD0"/>
    <w:rsid w:val="00D573B2"/>
    <w:rsid w:val="00D575D7"/>
    <w:rsid w:val="00D57ABD"/>
    <w:rsid w:val="00D60DF3"/>
    <w:rsid w:val="00D60F0C"/>
    <w:rsid w:val="00D6151C"/>
    <w:rsid w:val="00D616B6"/>
    <w:rsid w:val="00D622EA"/>
    <w:rsid w:val="00D6264F"/>
    <w:rsid w:val="00D62772"/>
    <w:rsid w:val="00D62D80"/>
    <w:rsid w:val="00D6328E"/>
    <w:rsid w:val="00D63379"/>
    <w:rsid w:val="00D636E5"/>
    <w:rsid w:val="00D63714"/>
    <w:rsid w:val="00D63834"/>
    <w:rsid w:val="00D638A8"/>
    <w:rsid w:val="00D63F8E"/>
    <w:rsid w:val="00D64184"/>
    <w:rsid w:val="00D6469B"/>
    <w:rsid w:val="00D64F4F"/>
    <w:rsid w:val="00D6513F"/>
    <w:rsid w:val="00D65266"/>
    <w:rsid w:val="00D656C5"/>
    <w:rsid w:val="00D65A9E"/>
    <w:rsid w:val="00D65D84"/>
    <w:rsid w:val="00D65F73"/>
    <w:rsid w:val="00D65FF1"/>
    <w:rsid w:val="00D66382"/>
    <w:rsid w:val="00D6684A"/>
    <w:rsid w:val="00D66E8E"/>
    <w:rsid w:val="00D67146"/>
    <w:rsid w:val="00D6714D"/>
    <w:rsid w:val="00D67569"/>
    <w:rsid w:val="00D67618"/>
    <w:rsid w:val="00D676B9"/>
    <w:rsid w:val="00D67757"/>
    <w:rsid w:val="00D679E3"/>
    <w:rsid w:val="00D67ADB"/>
    <w:rsid w:val="00D67B42"/>
    <w:rsid w:val="00D67ED7"/>
    <w:rsid w:val="00D70047"/>
    <w:rsid w:val="00D70308"/>
    <w:rsid w:val="00D706F0"/>
    <w:rsid w:val="00D70726"/>
    <w:rsid w:val="00D708EC"/>
    <w:rsid w:val="00D70931"/>
    <w:rsid w:val="00D70BB2"/>
    <w:rsid w:val="00D70FE4"/>
    <w:rsid w:val="00D71070"/>
    <w:rsid w:val="00D71177"/>
    <w:rsid w:val="00D7160D"/>
    <w:rsid w:val="00D7160E"/>
    <w:rsid w:val="00D71B6D"/>
    <w:rsid w:val="00D7227A"/>
    <w:rsid w:val="00D722FD"/>
    <w:rsid w:val="00D72473"/>
    <w:rsid w:val="00D725E4"/>
    <w:rsid w:val="00D72ADA"/>
    <w:rsid w:val="00D72E59"/>
    <w:rsid w:val="00D733D8"/>
    <w:rsid w:val="00D7346C"/>
    <w:rsid w:val="00D7349C"/>
    <w:rsid w:val="00D73693"/>
    <w:rsid w:val="00D73BDE"/>
    <w:rsid w:val="00D74069"/>
    <w:rsid w:val="00D74214"/>
    <w:rsid w:val="00D74AC7"/>
    <w:rsid w:val="00D74C10"/>
    <w:rsid w:val="00D753AD"/>
    <w:rsid w:val="00D753F4"/>
    <w:rsid w:val="00D755BA"/>
    <w:rsid w:val="00D757E5"/>
    <w:rsid w:val="00D757F1"/>
    <w:rsid w:val="00D75855"/>
    <w:rsid w:val="00D759F2"/>
    <w:rsid w:val="00D75ACD"/>
    <w:rsid w:val="00D75C28"/>
    <w:rsid w:val="00D75F57"/>
    <w:rsid w:val="00D76E75"/>
    <w:rsid w:val="00D76EE9"/>
    <w:rsid w:val="00D77508"/>
    <w:rsid w:val="00D7796B"/>
    <w:rsid w:val="00D80000"/>
    <w:rsid w:val="00D80514"/>
    <w:rsid w:val="00D80EE7"/>
    <w:rsid w:val="00D8116A"/>
    <w:rsid w:val="00D811C8"/>
    <w:rsid w:val="00D81751"/>
    <w:rsid w:val="00D81A1C"/>
    <w:rsid w:val="00D81D8F"/>
    <w:rsid w:val="00D8204F"/>
    <w:rsid w:val="00D820D3"/>
    <w:rsid w:val="00D82246"/>
    <w:rsid w:val="00D824AF"/>
    <w:rsid w:val="00D825A0"/>
    <w:rsid w:val="00D82817"/>
    <w:rsid w:val="00D8284F"/>
    <w:rsid w:val="00D835AC"/>
    <w:rsid w:val="00D83898"/>
    <w:rsid w:val="00D84993"/>
    <w:rsid w:val="00D84B6A"/>
    <w:rsid w:val="00D84BBE"/>
    <w:rsid w:val="00D84DA4"/>
    <w:rsid w:val="00D8559B"/>
    <w:rsid w:val="00D8598F"/>
    <w:rsid w:val="00D85A1F"/>
    <w:rsid w:val="00D85C0D"/>
    <w:rsid w:val="00D85C6D"/>
    <w:rsid w:val="00D85E85"/>
    <w:rsid w:val="00D863A1"/>
    <w:rsid w:val="00D86441"/>
    <w:rsid w:val="00D8658E"/>
    <w:rsid w:val="00D86679"/>
    <w:rsid w:val="00D86A76"/>
    <w:rsid w:val="00D86AE1"/>
    <w:rsid w:val="00D86DC2"/>
    <w:rsid w:val="00D86DED"/>
    <w:rsid w:val="00D86F85"/>
    <w:rsid w:val="00D8719F"/>
    <w:rsid w:val="00D875D3"/>
    <w:rsid w:val="00D876F1"/>
    <w:rsid w:val="00D9047C"/>
    <w:rsid w:val="00D9056F"/>
    <w:rsid w:val="00D90830"/>
    <w:rsid w:val="00D90A40"/>
    <w:rsid w:val="00D90E96"/>
    <w:rsid w:val="00D91355"/>
    <w:rsid w:val="00D91481"/>
    <w:rsid w:val="00D915EC"/>
    <w:rsid w:val="00D915ED"/>
    <w:rsid w:val="00D9163A"/>
    <w:rsid w:val="00D918EB"/>
    <w:rsid w:val="00D91CF6"/>
    <w:rsid w:val="00D92825"/>
    <w:rsid w:val="00D92971"/>
    <w:rsid w:val="00D92ACC"/>
    <w:rsid w:val="00D92E1E"/>
    <w:rsid w:val="00D92E70"/>
    <w:rsid w:val="00D92E87"/>
    <w:rsid w:val="00D935DC"/>
    <w:rsid w:val="00D937A6"/>
    <w:rsid w:val="00D93AD1"/>
    <w:rsid w:val="00D93AEB"/>
    <w:rsid w:val="00D93AF0"/>
    <w:rsid w:val="00D93FF1"/>
    <w:rsid w:val="00D94211"/>
    <w:rsid w:val="00D94330"/>
    <w:rsid w:val="00D943D2"/>
    <w:rsid w:val="00D945F1"/>
    <w:rsid w:val="00D946F3"/>
    <w:rsid w:val="00D94A38"/>
    <w:rsid w:val="00D94DEA"/>
    <w:rsid w:val="00D950CF"/>
    <w:rsid w:val="00D954E4"/>
    <w:rsid w:val="00D9570C"/>
    <w:rsid w:val="00D95E92"/>
    <w:rsid w:val="00D95FFA"/>
    <w:rsid w:val="00D9622C"/>
    <w:rsid w:val="00D962F9"/>
    <w:rsid w:val="00D96384"/>
    <w:rsid w:val="00D96443"/>
    <w:rsid w:val="00D964E2"/>
    <w:rsid w:val="00D965A6"/>
    <w:rsid w:val="00D96D67"/>
    <w:rsid w:val="00D97340"/>
    <w:rsid w:val="00D9734E"/>
    <w:rsid w:val="00D973C5"/>
    <w:rsid w:val="00D97858"/>
    <w:rsid w:val="00DA0044"/>
    <w:rsid w:val="00DA06A9"/>
    <w:rsid w:val="00DA098D"/>
    <w:rsid w:val="00DA0E09"/>
    <w:rsid w:val="00DA113C"/>
    <w:rsid w:val="00DA1798"/>
    <w:rsid w:val="00DA18F0"/>
    <w:rsid w:val="00DA1B7B"/>
    <w:rsid w:val="00DA1BBC"/>
    <w:rsid w:val="00DA1CAF"/>
    <w:rsid w:val="00DA2284"/>
    <w:rsid w:val="00DA23CF"/>
    <w:rsid w:val="00DA268E"/>
    <w:rsid w:val="00DA2723"/>
    <w:rsid w:val="00DA27FA"/>
    <w:rsid w:val="00DA28C0"/>
    <w:rsid w:val="00DA2910"/>
    <w:rsid w:val="00DA2A7D"/>
    <w:rsid w:val="00DA2B74"/>
    <w:rsid w:val="00DA2E11"/>
    <w:rsid w:val="00DA2F76"/>
    <w:rsid w:val="00DA3056"/>
    <w:rsid w:val="00DA344B"/>
    <w:rsid w:val="00DA3491"/>
    <w:rsid w:val="00DA36AF"/>
    <w:rsid w:val="00DA396D"/>
    <w:rsid w:val="00DA3FB3"/>
    <w:rsid w:val="00DA40FC"/>
    <w:rsid w:val="00DA419C"/>
    <w:rsid w:val="00DA41E3"/>
    <w:rsid w:val="00DA43D9"/>
    <w:rsid w:val="00DA4BAE"/>
    <w:rsid w:val="00DA4CD5"/>
    <w:rsid w:val="00DA4F82"/>
    <w:rsid w:val="00DA5160"/>
    <w:rsid w:val="00DA5A53"/>
    <w:rsid w:val="00DA5A6B"/>
    <w:rsid w:val="00DA5BA7"/>
    <w:rsid w:val="00DA5BEF"/>
    <w:rsid w:val="00DA5C79"/>
    <w:rsid w:val="00DA5FA2"/>
    <w:rsid w:val="00DA5FCA"/>
    <w:rsid w:val="00DA6085"/>
    <w:rsid w:val="00DA6195"/>
    <w:rsid w:val="00DA625E"/>
    <w:rsid w:val="00DA64FC"/>
    <w:rsid w:val="00DA6A60"/>
    <w:rsid w:val="00DA6A66"/>
    <w:rsid w:val="00DA6B48"/>
    <w:rsid w:val="00DA6C11"/>
    <w:rsid w:val="00DA6EF8"/>
    <w:rsid w:val="00DA7A06"/>
    <w:rsid w:val="00DA7A4E"/>
    <w:rsid w:val="00DA7F9A"/>
    <w:rsid w:val="00DB0167"/>
    <w:rsid w:val="00DB01B8"/>
    <w:rsid w:val="00DB062F"/>
    <w:rsid w:val="00DB08F1"/>
    <w:rsid w:val="00DB0955"/>
    <w:rsid w:val="00DB0B5C"/>
    <w:rsid w:val="00DB0CE9"/>
    <w:rsid w:val="00DB0DD7"/>
    <w:rsid w:val="00DB112B"/>
    <w:rsid w:val="00DB1415"/>
    <w:rsid w:val="00DB1771"/>
    <w:rsid w:val="00DB19EC"/>
    <w:rsid w:val="00DB206E"/>
    <w:rsid w:val="00DB219B"/>
    <w:rsid w:val="00DB2399"/>
    <w:rsid w:val="00DB259E"/>
    <w:rsid w:val="00DB25E2"/>
    <w:rsid w:val="00DB25FD"/>
    <w:rsid w:val="00DB2636"/>
    <w:rsid w:val="00DB2C92"/>
    <w:rsid w:val="00DB2EA2"/>
    <w:rsid w:val="00DB2EBF"/>
    <w:rsid w:val="00DB3238"/>
    <w:rsid w:val="00DB3326"/>
    <w:rsid w:val="00DB33D0"/>
    <w:rsid w:val="00DB3856"/>
    <w:rsid w:val="00DB393F"/>
    <w:rsid w:val="00DB394B"/>
    <w:rsid w:val="00DB39D9"/>
    <w:rsid w:val="00DB41A4"/>
    <w:rsid w:val="00DB421D"/>
    <w:rsid w:val="00DB426B"/>
    <w:rsid w:val="00DB44A0"/>
    <w:rsid w:val="00DB466C"/>
    <w:rsid w:val="00DB4988"/>
    <w:rsid w:val="00DB4E5A"/>
    <w:rsid w:val="00DB4F2A"/>
    <w:rsid w:val="00DB5068"/>
    <w:rsid w:val="00DB59D0"/>
    <w:rsid w:val="00DB5E99"/>
    <w:rsid w:val="00DB5ECB"/>
    <w:rsid w:val="00DB5FCB"/>
    <w:rsid w:val="00DB6020"/>
    <w:rsid w:val="00DB63B7"/>
    <w:rsid w:val="00DB66EC"/>
    <w:rsid w:val="00DB6919"/>
    <w:rsid w:val="00DB6ABF"/>
    <w:rsid w:val="00DB6D3B"/>
    <w:rsid w:val="00DB6ED4"/>
    <w:rsid w:val="00DB7303"/>
    <w:rsid w:val="00DB7410"/>
    <w:rsid w:val="00DB74CD"/>
    <w:rsid w:val="00DB761A"/>
    <w:rsid w:val="00DB771E"/>
    <w:rsid w:val="00DB79DF"/>
    <w:rsid w:val="00DB7BA0"/>
    <w:rsid w:val="00DB7C92"/>
    <w:rsid w:val="00DB7CF8"/>
    <w:rsid w:val="00DB7E4B"/>
    <w:rsid w:val="00DB7EF8"/>
    <w:rsid w:val="00DB7FE1"/>
    <w:rsid w:val="00DC0382"/>
    <w:rsid w:val="00DC03D2"/>
    <w:rsid w:val="00DC0486"/>
    <w:rsid w:val="00DC09D6"/>
    <w:rsid w:val="00DC0DFF"/>
    <w:rsid w:val="00DC0FC1"/>
    <w:rsid w:val="00DC15F5"/>
    <w:rsid w:val="00DC1CB7"/>
    <w:rsid w:val="00DC1FB6"/>
    <w:rsid w:val="00DC2595"/>
    <w:rsid w:val="00DC25BC"/>
    <w:rsid w:val="00DC3124"/>
    <w:rsid w:val="00DC33FD"/>
    <w:rsid w:val="00DC36AB"/>
    <w:rsid w:val="00DC3B57"/>
    <w:rsid w:val="00DC3C8E"/>
    <w:rsid w:val="00DC40C5"/>
    <w:rsid w:val="00DC4292"/>
    <w:rsid w:val="00DC4722"/>
    <w:rsid w:val="00DC4D32"/>
    <w:rsid w:val="00DC4D3B"/>
    <w:rsid w:val="00DC4F63"/>
    <w:rsid w:val="00DC5427"/>
    <w:rsid w:val="00DC547B"/>
    <w:rsid w:val="00DC5A3E"/>
    <w:rsid w:val="00DC5E01"/>
    <w:rsid w:val="00DC6222"/>
    <w:rsid w:val="00DC67B1"/>
    <w:rsid w:val="00DC6AB6"/>
    <w:rsid w:val="00DC6C62"/>
    <w:rsid w:val="00DC6E4E"/>
    <w:rsid w:val="00DC7037"/>
    <w:rsid w:val="00DC711C"/>
    <w:rsid w:val="00DC756F"/>
    <w:rsid w:val="00DC78D9"/>
    <w:rsid w:val="00DC7F5C"/>
    <w:rsid w:val="00DD0069"/>
    <w:rsid w:val="00DD0940"/>
    <w:rsid w:val="00DD0A0A"/>
    <w:rsid w:val="00DD0B9D"/>
    <w:rsid w:val="00DD0C3B"/>
    <w:rsid w:val="00DD0DC0"/>
    <w:rsid w:val="00DD0EE1"/>
    <w:rsid w:val="00DD1155"/>
    <w:rsid w:val="00DD1414"/>
    <w:rsid w:val="00DD1AB8"/>
    <w:rsid w:val="00DD1B2B"/>
    <w:rsid w:val="00DD1BD3"/>
    <w:rsid w:val="00DD1D67"/>
    <w:rsid w:val="00DD1D73"/>
    <w:rsid w:val="00DD21EF"/>
    <w:rsid w:val="00DD229B"/>
    <w:rsid w:val="00DD2395"/>
    <w:rsid w:val="00DD2BBC"/>
    <w:rsid w:val="00DD2E0C"/>
    <w:rsid w:val="00DD363E"/>
    <w:rsid w:val="00DD38D4"/>
    <w:rsid w:val="00DD41AE"/>
    <w:rsid w:val="00DD457D"/>
    <w:rsid w:val="00DD45B4"/>
    <w:rsid w:val="00DD45F4"/>
    <w:rsid w:val="00DD4AE7"/>
    <w:rsid w:val="00DD4F9E"/>
    <w:rsid w:val="00DD4FD5"/>
    <w:rsid w:val="00DD500B"/>
    <w:rsid w:val="00DD50AD"/>
    <w:rsid w:val="00DD563A"/>
    <w:rsid w:val="00DD5762"/>
    <w:rsid w:val="00DD584A"/>
    <w:rsid w:val="00DD5D44"/>
    <w:rsid w:val="00DD5F28"/>
    <w:rsid w:val="00DD61CD"/>
    <w:rsid w:val="00DD6336"/>
    <w:rsid w:val="00DD6B5E"/>
    <w:rsid w:val="00DD6C47"/>
    <w:rsid w:val="00DD6D5D"/>
    <w:rsid w:val="00DD7A39"/>
    <w:rsid w:val="00DD7A93"/>
    <w:rsid w:val="00DD7E67"/>
    <w:rsid w:val="00DE0177"/>
    <w:rsid w:val="00DE0336"/>
    <w:rsid w:val="00DE0B66"/>
    <w:rsid w:val="00DE1389"/>
    <w:rsid w:val="00DE1BFE"/>
    <w:rsid w:val="00DE1DB7"/>
    <w:rsid w:val="00DE1E14"/>
    <w:rsid w:val="00DE24C9"/>
    <w:rsid w:val="00DE26D6"/>
    <w:rsid w:val="00DE2E69"/>
    <w:rsid w:val="00DE2EC0"/>
    <w:rsid w:val="00DE315D"/>
    <w:rsid w:val="00DE31B0"/>
    <w:rsid w:val="00DE3215"/>
    <w:rsid w:val="00DE38F0"/>
    <w:rsid w:val="00DE3F1D"/>
    <w:rsid w:val="00DE44C5"/>
    <w:rsid w:val="00DE4697"/>
    <w:rsid w:val="00DE49BF"/>
    <w:rsid w:val="00DE4A5D"/>
    <w:rsid w:val="00DE4FEC"/>
    <w:rsid w:val="00DE5777"/>
    <w:rsid w:val="00DE5844"/>
    <w:rsid w:val="00DE5C56"/>
    <w:rsid w:val="00DE65D3"/>
    <w:rsid w:val="00DE6686"/>
    <w:rsid w:val="00DE67FE"/>
    <w:rsid w:val="00DE735F"/>
    <w:rsid w:val="00DE7434"/>
    <w:rsid w:val="00DE755F"/>
    <w:rsid w:val="00DE7638"/>
    <w:rsid w:val="00DE7B97"/>
    <w:rsid w:val="00DE7D9E"/>
    <w:rsid w:val="00DE7F14"/>
    <w:rsid w:val="00DF0247"/>
    <w:rsid w:val="00DF040F"/>
    <w:rsid w:val="00DF041F"/>
    <w:rsid w:val="00DF06DF"/>
    <w:rsid w:val="00DF071C"/>
    <w:rsid w:val="00DF0BE4"/>
    <w:rsid w:val="00DF0F5B"/>
    <w:rsid w:val="00DF0F74"/>
    <w:rsid w:val="00DF0F9F"/>
    <w:rsid w:val="00DF1165"/>
    <w:rsid w:val="00DF1301"/>
    <w:rsid w:val="00DF153F"/>
    <w:rsid w:val="00DF1805"/>
    <w:rsid w:val="00DF18A7"/>
    <w:rsid w:val="00DF18DC"/>
    <w:rsid w:val="00DF1A73"/>
    <w:rsid w:val="00DF1ACA"/>
    <w:rsid w:val="00DF1B18"/>
    <w:rsid w:val="00DF1C09"/>
    <w:rsid w:val="00DF1E4A"/>
    <w:rsid w:val="00DF20F5"/>
    <w:rsid w:val="00DF235D"/>
    <w:rsid w:val="00DF24C8"/>
    <w:rsid w:val="00DF2AE3"/>
    <w:rsid w:val="00DF2D4F"/>
    <w:rsid w:val="00DF32AB"/>
    <w:rsid w:val="00DF3DD0"/>
    <w:rsid w:val="00DF4889"/>
    <w:rsid w:val="00DF48B1"/>
    <w:rsid w:val="00DF5029"/>
    <w:rsid w:val="00DF529B"/>
    <w:rsid w:val="00DF5A6D"/>
    <w:rsid w:val="00DF60F6"/>
    <w:rsid w:val="00DF6749"/>
    <w:rsid w:val="00DF67FE"/>
    <w:rsid w:val="00DF69BD"/>
    <w:rsid w:val="00DF6A8A"/>
    <w:rsid w:val="00DF6F58"/>
    <w:rsid w:val="00DF7015"/>
    <w:rsid w:val="00DF707A"/>
    <w:rsid w:val="00DF7167"/>
    <w:rsid w:val="00DF797E"/>
    <w:rsid w:val="00DF7C81"/>
    <w:rsid w:val="00DF7DE9"/>
    <w:rsid w:val="00E0015C"/>
    <w:rsid w:val="00E003CE"/>
    <w:rsid w:val="00E00663"/>
    <w:rsid w:val="00E007A2"/>
    <w:rsid w:val="00E00BA5"/>
    <w:rsid w:val="00E011EE"/>
    <w:rsid w:val="00E0141D"/>
    <w:rsid w:val="00E0160F"/>
    <w:rsid w:val="00E0175F"/>
    <w:rsid w:val="00E0193E"/>
    <w:rsid w:val="00E01A65"/>
    <w:rsid w:val="00E01C79"/>
    <w:rsid w:val="00E01D89"/>
    <w:rsid w:val="00E01E07"/>
    <w:rsid w:val="00E024A6"/>
    <w:rsid w:val="00E025D0"/>
    <w:rsid w:val="00E027C4"/>
    <w:rsid w:val="00E028FF"/>
    <w:rsid w:val="00E02A74"/>
    <w:rsid w:val="00E02A84"/>
    <w:rsid w:val="00E02AAE"/>
    <w:rsid w:val="00E02BBB"/>
    <w:rsid w:val="00E02D4E"/>
    <w:rsid w:val="00E02F18"/>
    <w:rsid w:val="00E03094"/>
    <w:rsid w:val="00E0384C"/>
    <w:rsid w:val="00E03C1F"/>
    <w:rsid w:val="00E03D96"/>
    <w:rsid w:val="00E03F22"/>
    <w:rsid w:val="00E03F98"/>
    <w:rsid w:val="00E0423D"/>
    <w:rsid w:val="00E042B7"/>
    <w:rsid w:val="00E04796"/>
    <w:rsid w:val="00E04A75"/>
    <w:rsid w:val="00E04DE9"/>
    <w:rsid w:val="00E053E7"/>
    <w:rsid w:val="00E05438"/>
    <w:rsid w:val="00E0559E"/>
    <w:rsid w:val="00E056B3"/>
    <w:rsid w:val="00E05C22"/>
    <w:rsid w:val="00E05CD9"/>
    <w:rsid w:val="00E06091"/>
    <w:rsid w:val="00E0619A"/>
    <w:rsid w:val="00E066A7"/>
    <w:rsid w:val="00E06764"/>
    <w:rsid w:val="00E06845"/>
    <w:rsid w:val="00E06D49"/>
    <w:rsid w:val="00E06F84"/>
    <w:rsid w:val="00E06FD0"/>
    <w:rsid w:val="00E072C5"/>
    <w:rsid w:val="00E0745F"/>
    <w:rsid w:val="00E0748F"/>
    <w:rsid w:val="00E07552"/>
    <w:rsid w:val="00E07640"/>
    <w:rsid w:val="00E07715"/>
    <w:rsid w:val="00E077C5"/>
    <w:rsid w:val="00E07DCA"/>
    <w:rsid w:val="00E07F62"/>
    <w:rsid w:val="00E07FAD"/>
    <w:rsid w:val="00E10010"/>
    <w:rsid w:val="00E1017E"/>
    <w:rsid w:val="00E10189"/>
    <w:rsid w:val="00E105FE"/>
    <w:rsid w:val="00E107E5"/>
    <w:rsid w:val="00E10877"/>
    <w:rsid w:val="00E109F5"/>
    <w:rsid w:val="00E10BCB"/>
    <w:rsid w:val="00E10D1F"/>
    <w:rsid w:val="00E10D74"/>
    <w:rsid w:val="00E1114F"/>
    <w:rsid w:val="00E11931"/>
    <w:rsid w:val="00E1194B"/>
    <w:rsid w:val="00E11A7A"/>
    <w:rsid w:val="00E11AE3"/>
    <w:rsid w:val="00E11B8B"/>
    <w:rsid w:val="00E11C0A"/>
    <w:rsid w:val="00E11C1A"/>
    <w:rsid w:val="00E11E2F"/>
    <w:rsid w:val="00E12196"/>
    <w:rsid w:val="00E12354"/>
    <w:rsid w:val="00E1292B"/>
    <w:rsid w:val="00E129E2"/>
    <w:rsid w:val="00E12E4E"/>
    <w:rsid w:val="00E13015"/>
    <w:rsid w:val="00E133C0"/>
    <w:rsid w:val="00E1388F"/>
    <w:rsid w:val="00E13DA2"/>
    <w:rsid w:val="00E14027"/>
    <w:rsid w:val="00E14226"/>
    <w:rsid w:val="00E1433E"/>
    <w:rsid w:val="00E1445C"/>
    <w:rsid w:val="00E145C4"/>
    <w:rsid w:val="00E14609"/>
    <w:rsid w:val="00E153F0"/>
    <w:rsid w:val="00E1584B"/>
    <w:rsid w:val="00E1588B"/>
    <w:rsid w:val="00E15975"/>
    <w:rsid w:val="00E15DBF"/>
    <w:rsid w:val="00E15E20"/>
    <w:rsid w:val="00E15F09"/>
    <w:rsid w:val="00E16161"/>
    <w:rsid w:val="00E1648E"/>
    <w:rsid w:val="00E16611"/>
    <w:rsid w:val="00E16A5D"/>
    <w:rsid w:val="00E16ADD"/>
    <w:rsid w:val="00E16E89"/>
    <w:rsid w:val="00E16E9D"/>
    <w:rsid w:val="00E17006"/>
    <w:rsid w:val="00E178CE"/>
    <w:rsid w:val="00E179FA"/>
    <w:rsid w:val="00E20026"/>
    <w:rsid w:val="00E20226"/>
    <w:rsid w:val="00E20334"/>
    <w:rsid w:val="00E20507"/>
    <w:rsid w:val="00E20F23"/>
    <w:rsid w:val="00E2115F"/>
    <w:rsid w:val="00E212FB"/>
    <w:rsid w:val="00E2152B"/>
    <w:rsid w:val="00E2163D"/>
    <w:rsid w:val="00E2179F"/>
    <w:rsid w:val="00E22674"/>
    <w:rsid w:val="00E22709"/>
    <w:rsid w:val="00E227D6"/>
    <w:rsid w:val="00E227E3"/>
    <w:rsid w:val="00E22D20"/>
    <w:rsid w:val="00E2303A"/>
    <w:rsid w:val="00E2375F"/>
    <w:rsid w:val="00E23852"/>
    <w:rsid w:val="00E23ABD"/>
    <w:rsid w:val="00E23FFD"/>
    <w:rsid w:val="00E24114"/>
    <w:rsid w:val="00E24699"/>
    <w:rsid w:val="00E24785"/>
    <w:rsid w:val="00E2490B"/>
    <w:rsid w:val="00E24E63"/>
    <w:rsid w:val="00E25102"/>
    <w:rsid w:val="00E257A0"/>
    <w:rsid w:val="00E25C7C"/>
    <w:rsid w:val="00E25F3E"/>
    <w:rsid w:val="00E264A4"/>
    <w:rsid w:val="00E2658B"/>
    <w:rsid w:val="00E26A24"/>
    <w:rsid w:val="00E26A95"/>
    <w:rsid w:val="00E26EFA"/>
    <w:rsid w:val="00E271B3"/>
    <w:rsid w:val="00E275AF"/>
    <w:rsid w:val="00E279BA"/>
    <w:rsid w:val="00E27B39"/>
    <w:rsid w:val="00E27BE6"/>
    <w:rsid w:val="00E27F26"/>
    <w:rsid w:val="00E300DC"/>
    <w:rsid w:val="00E30144"/>
    <w:rsid w:val="00E30670"/>
    <w:rsid w:val="00E30685"/>
    <w:rsid w:val="00E306D4"/>
    <w:rsid w:val="00E30919"/>
    <w:rsid w:val="00E3103B"/>
    <w:rsid w:val="00E31277"/>
    <w:rsid w:val="00E31628"/>
    <w:rsid w:val="00E31652"/>
    <w:rsid w:val="00E31677"/>
    <w:rsid w:val="00E316D4"/>
    <w:rsid w:val="00E317D4"/>
    <w:rsid w:val="00E319BE"/>
    <w:rsid w:val="00E31B41"/>
    <w:rsid w:val="00E31E40"/>
    <w:rsid w:val="00E3240C"/>
    <w:rsid w:val="00E32825"/>
    <w:rsid w:val="00E32A1F"/>
    <w:rsid w:val="00E32ABD"/>
    <w:rsid w:val="00E32B3F"/>
    <w:rsid w:val="00E33196"/>
    <w:rsid w:val="00E33354"/>
    <w:rsid w:val="00E334B0"/>
    <w:rsid w:val="00E33E47"/>
    <w:rsid w:val="00E33EB5"/>
    <w:rsid w:val="00E33F6F"/>
    <w:rsid w:val="00E340AD"/>
    <w:rsid w:val="00E345EB"/>
    <w:rsid w:val="00E34950"/>
    <w:rsid w:val="00E34CA2"/>
    <w:rsid w:val="00E34FB3"/>
    <w:rsid w:val="00E3509F"/>
    <w:rsid w:val="00E35295"/>
    <w:rsid w:val="00E3546D"/>
    <w:rsid w:val="00E3552D"/>
    <w:rsid w:val="00E357C9"/>
    <w:rsid w:val="00E35BC2"/>
    <w:rsid w:val="00E35E54"/>
    <w:rsid w:val="00E36152"/>
    <w:rsid w:val="00E36363"/>
    <w:rsid w:val="00E366EE"/>
    <w:rsid w:val="00E3676E"/>
    <w:rsid w:val="00E36AFF"/>
    <w:rsid w:val="00E36D8B"/>
    <w:rsid w:val="00E36E3B"/>
    <w:rsid w:val="00E37100"/>
    <w:rsid w:val="00E37319"/>
    <w:rsid w:val="00E3755D"/>
    <w:rsid w:val="00E37764"/>
    <w:rsid w:val="00E3795F"/>
    <w:rsid w:val="00E379B0"/>
    <w:rsid w:val="00E37BEF"/>
    <w:rsid w:val="00E37DCE"/>
    <w:rsid w:val="00E37FBD"/>
    <w:rsid w:val="00E4010E"/>
    <w:rsid w:val="00E4022B"/>
    <w:rsid w:val="00E40298"/>
    <w:rsid w:val="00E409C6"/>
    <w:rsid w:val="00E40B47"/>
    <w:rsid w:val="00E40B80"/>
    <w:rsid w:val="00E41152"/>
    <w:rsid w:val="00E414B9"/>
    <w:rsid w:val="00E41B1B"/>
    <w:rsid w:val="00E41CC7"/>
    <w:rsid w:val="00E41D5D"/>
    <w:rsid w:val="00E41DD7"/>
    <w:rsid w:val="00E41E41"/>
    <w:rsid w:val="00E41F07"/>
    <w:rsid w:val="00E42899"/>
    <w:rsid w:val="00E42BD8"/>
    <w:rsid w:val="00E42D2A"/>
    <w:rsid w:val="00E42F2D"/>
    <w:rsid w:val="00E42F8D"/>
    <w:rsid w:val="00E4305E"/>
    <w:rsid w:val="00E4317E"/>
    <w:rsid w:val="00E434CA"/>
    <w:rsid w:val="00E43510"/>
    <w:rsid w:val="00E435FD"/>
    <w:rsid w:val="00E438A1"/>
    <w:rsid w:val="00E43BBE"/>
    <w:rsid w:val="00E43C3C"/>
    <w:rsid w:val="00E43D54"/>
    <w:rsid w:val="00E43F0C"/>
    <w:rsid w:val="00E43FBC"/>
    <w:rsid w:val="00E441ED"/>
    <w:rsid w:val="00E44459"/>
    <w:rsid w:val="00E4471A"/>
    <w:rsid w:val="00E44A96"/>
    <w:rsid w:val="00E44D29"/>
    <w:rsid w:val="00E44F3E"/>
    <w:rsid w:val="00E45096"/>
    <w:rsid w:val="00E4509B"/>
    <w:rsid w:val="00E450C0"/>
    <w:rsid w:val="00E45392"/>
    <w:rsid w:val="00E454E0"/>
    <w:rsid w:val="00E45A5F"/>
    <w:rsid w:val="00E45B57"/>
    <w:rsid w:val="00E46693"/>
    <w:rsid w:val="00E46A80"/>
    <w:rsid w:val="00E47067"/>
    <w:rsid w:val="00E4706E"/>
    <w:rsid w:val="00E47377"/>
    <w:rsid w:val="00E47D5D"/>
    <w:rsid w:val="00E47D6F"/>
    <w:rsid w:val="00E507EA"/>
    <w:rsid w:val="00E50D03"/>
    <w:rsid w:val="00E50E87"/>
    <w:rsid w:val="00E51067"/>
    <w:rsid w:val="00E5163E"/>
    <w:rsid w:val="00E51A13"/>
    <w:rsid w:val="00E51B82"/>
    <w:rsid w:val="00E51D36"/>
    <w:rsid w:val="00E5221C"/>
    <w:rsid w:val="00E52BA7"/>
    <w:rsid w:val="00E52ECB"/>
    <w:rsid w:val="00E5313F"/>
    <w:rsid w:val="00E53655"/>
    <w:rsid w:val="00E537C4"/>
    <w:rsid w:val="00E5389B"/>
    <w:rsid w:val="00E53AA0"/>
    <w:rsid w:val="00E5404E"/>
    <w:rsid w:val="00E5415C"/>
    <w:rsid w:val="00E545C7"/>
    <w:rsid w:val="00E54823"/>
    <w:rsid w:val="00E5515C"/>
    <w:rsid w:val="00E55576"/>
    <w:rsid w:val="00E55645"/>
    <w:rsid w:val="00E5592F"/>
    <w:rsid w:val="00E5593A"/>
    <w:rsid w:val="00E55DFF"/>
    <w:rsid w:val="00E560CA"/>
    <w:rsid w:val="00E566AB"/>
    <w:rsid w:val="00E56B6C"/>
    <w:rsid w:val="00E57049"/>
    <w:rsid w:val="00E5722A"/>
    <w:rsid w:val="00E57A81"/>
    <w:rsid w:val="00E57BEA"/>
    <w:rsid w:val="00E57DCF"/>
    <w:rsid w:val="00E57E08"/>
    <w:rsid w:val="00E60668"/>
    <w:rsid w:val="00E60D9A"/>
    <w:rsid w:val="00E60DB5"/>
    <w:rsid w:val="00E61446"/>
    <w:rsid w:val="00E61478"/>
    <w:rsid w:val="00E6163B"/>
    <w:rsid w:val="00E61792"/>
    <w:rsid w:val="00E619B8"/>
    <w:rsid w:val="00E61E39"/>
    <w:rsid w:val="00E62304"/>
    <w:rsid w:val="00E62AD2"/>
    <w:rsid w:val="00E62B05"/>
    <w:rsid w:val="00E62C84"/>
    <w:rsid w:val="00E62D86"/>
    <w:rsid w:val="00E63044"/>
    <w:rsid w:val="00E63262"/>
    <w:rsid w:val="00E63509"/>
    <w:rsid w:val="00E6383B"/>
    <w:rsid w:val="00E63903"/>
    <w:rsid w:val="00E639E0"/>
    <w:rsid w:val="00E64037"/>
    <w:rsid w:val="00E6419D"/>
    <w:rsid w:val="00E64246"/>
    <w:rsid w:val="00E643B0"/>
    <w:rsid w:val="00E649F9"/>
    <w:rsid w:val="00E64B8E"/>
    <w:rsid w:val="00E652DA"/>
    <w:rsid w:val="00E652E7"/>
    <w:rsid w:val="00E6536A"/>
    <w:rsid w:val="00E65863"/>
    <w:rsid w:val="00E65941"/>
    <w:rsid w:val="00E65EE9"/>
    <w:rsid w:val="00E65FA4"/>
    <w:rsid w:val="00E664D8"/>
    <w:rsid w:val="00E6652C"/>
    <w:rsid w:val="00E66907"/>
    <w:rsid w:val="00E66EE7"/>
    <w:rsid w:val="00E66F33"/>
    <w:rsid w:val="00E673DC"/>
    <w:rsid w:val="00E6764C"/>
    <w:rsid w:val="00E67BA0"/>
    <w:rsid w:val="00E67F95"/>
    <w:rsid w:val="00E70000"/>
    <w:rsid w:val="00E70097"/>
    <w:rsid w:val="00E70481"/>
    <w:rsid w:val="00E70AC9"/>
    <w:rsid w:val="00E70FE7"/>
    <w:rsid w:val="00E711BF"/>
    <w:rsid w:val="00E713CC"/>
    <w:rsid w:val="00E71A27"/>
    <w:rsid w:val="00E71EA4"/>
    <w:rsid w:val="00E71F37"/>
    <w:rsid w:val="00E72016"/>
    <w:rsid w:val="00E72078"/>
    <w:rsid w:val="00E7220E"/>
    <w:rsid w:val="00E72371"/>
    <w:rsid w:val="00E724EA"/>
    <w:rsid w:val="00E726E3"/>
    <w:rsid w:val="00E72923"/>
    <w:rsid w:val="00E72A1E"/>
    <w:rsid w:val="00E72CC4"/>
    <w:rsid w:val="00E72FB3"/>
    <w:rsid w:val="00E730A2"/>
    <w:rsid w:val="00E734C3"/>
    <w:rsid w:val="00E73680"/>
    <w:rsid w:val="00E73875"/>
    <w:rsid w:val="00E738B5"/>
    <w:rsid w:val="00E745B9"/>
    <w:rsid w:val="00E748F5"/>
    <w:rsid w:val="00E74C7C"/>
    <w:rsid w:val="00E75499"/>
    <w:rsid w:val="00E7552F"/>
    <w:rsid w:val="00E756AC"/>
    <w:rsid w:val="00E757A4"/>
    <w:rsid w:val="00E7594E"/>
    <w:rsid w:val="00E75B89"/>
    <w:rsid w:val="00E75F44"/>
    <w:rsid w:val="00E76399"/>
    <w:rsid w:val="00E7653A"/>
    <w:rsid w:val="00E76660"/>
    <w:rsid w:val="00E766B1"/>
    <w:rsid w:val="00E76838"/>
    <w:rsid w:val="00E7694E"/>
    <w:rsid w:val="00E76B5B"/>
    <w:rsid w:val="00E7709B"/>
    <w:rsid w:val="00E770DE"/>
    <w:rsid w:val="00E77178"/>
    <w:rsid w:val="00E77B0D"/>
    <w:rsid w:val="00E804B7"/>
    <w:rsid w:val="00E804E7"/>
    <w:rsid w:val="00E8060A"/>
    <w:rsid w:val="00E80D86"/>
    <w:rsid w:val="00E80E82"/>
    <w:rsid w:val="00E80F64"/>
    <w:rsid w:val="00E80F91"/>
    <w:rsid w:val="00E819F9"/>
    <w:rsid w:val="00E81B5E"/>
    <w:rsid w:val="00E81FF9"/>
    <w:rsid w:val="00E82029"/>
    <w:rsid w:val="00E8246D"/>
    <w:rsid w:val="00E82536"/>
    <w:rsid w:val="00E82920"/>
    <w:rsid w:val="00E831AF"/>
    <w:rsid w:val="00E832A9"/>
    <w:rsid w:val="00E834AE"/>
    <w:rsid w:val="00E83630"/>
    <w:rsid w:val="00E8394F"/>
    <w:rsid w:val="00E84067"/>
    <w:rsid w:val="00E841DD"/>
    <w:rsid w:val="00E84907"/>
    <w:rsid w:val="00E84C64"/>
    <w:rsid w:val="00E84E9F"/>
    <w:rsid w:val="00E84F1E"/>
    <w:rsid w:val="00E84FEC"/>
    <w:rsid w:val="00E8504E"/>
    <w:rsid w:val="00E852C8"/>
    <w:rsid w:val="00E8557A"/>
    <w:rsid w:val="00E85758"/>
    <w:rsid w:val="00E85D4D"/>
    <w:rsid w:val="00E860CD"/>
    <w:rsid w:val="00E863E5"/>
    <w:rsid w:val="00E863F2"/>
    <w:rsid w:val="00E8654F"/>
    <w:rsid w:val="00E86552"/>
    <w:rsid w:val="00E86626"/>
    <w:rsid w:val="00E866AC"/>
    <w:rsid w:val="00E868EC"/>
    <w:rsid w:val="00E86A3B"/>
    <w:rsid w:val="00E86AA9"/>
    <w:rsid w:val="00E86AF2"/>
    <w:rsid w:val="00E86BA7"/>
    <w:rsid w:val="00E86CD0"/>
    <w:rsid w:val="00E87197"/>
    <w:rsid w:val="00E87313"/>
    <w:rsid w:val="00E874CD"/>
    <w:rsid w:val="00E876B4"/>
    <w:rsid w:val="00E87703"/>
    <w:rsid w:val="00E9021D"/>
    <w:rsid w:val="00E904C7"/>
    <w:rsid w:val="00E90610"/>
    <w:rsid w:val="00E90638"/>
    <w:rsid w:val="00E90702"/>
    <w:rsid w:val="00E90E90"/>
    <w:rsid w:val="00E914E7"/>
    <w:rsid w:val="00E91572"/>
    <w:rsid w:val="00E916E4"/>
    <w:rsid w:val="00E917EC"/>
    <w:rsid w:val="00E91929"/>
    <w:rsid w:val="00E919B2"/>
    <w:rsid w:val="00E91F31"/>
    <w:rsid w:val="00E923E0"/>
    <w:rsid w:val="00E92498"/>
    <w:rsid w:val="00E9266B"/>
    <w:rsid w:val="00E92C17"/>
    <w:rsid w:val="00E92DAF"/>
    <w:rsid w:val="00E93385"/>
    <w:rsid w:val="00E9369B"/>
    <w:rsid w:val="00E938F0"/>
    <w:rsid w:val="00E93970"/>
    <w:rsid w:val="00E93B95"/>
    <w:rsid w:val="00E93DD7"/>
    <w:rsid w:val="00E94125"/>
    <w:rsid w:val="00E9456A"/>
    <w:rsid w:val="00E94630"/>
    <w:rsid w:val="00E95527"/>
    <w:rsid w:val="00E955BC"/>
    <w:rsid w:val="00E95686"/>
    <w:rsid w:val="00E957DA"/>
    <w:rsid w:val="00E9595B"/>
    <w:rsid w:val="00E95AB4"/>
    <w:rsid w:val="00E9616A"/>
    <w:rsid w:val="00E9616D"/>
    <w:rsid w:val="00E96624"/>
    <w:rsid w:val="00E9690E"/>
    <w:rsid w:val="00E96D36"/>
    <w:rsid w:val="00E9718F"/>
    <w:rsid w:val="00E97361"/>
    <w:rsid w:val="00E9741A"/>
    <w:rsid w:val="00E97436"/>
    <w:rsid w:val="00E974C7"/>
    <w:rsid w:val="00EA0060"/>
    <w:rsid w:val="00EA0564"/>
    <w:rsid w:val="00EA06A0"/>
    <w:rsid w:val="00EA06A5"/>
    <w:rsid w:val="00EA0AB7"/>
    <w:rsid w:val="00EA0B13"/>
    <w:rsid w:val="00EA0B1E"/>
    <w:rsid w:val="00EA0DE0"/>
    <w:rsid w:val="00EA11B5"/>
    <w:rsid w:val="00EA11F3"/>
    <w:rsid w:val="00EA1399"/>
    <w:rsid w:val="00EA13C9"/>
    <w:rsid w:val="00EA1527"/>
    <w:rsid w:val="00EA15DC"/>
    <w:rsid w:val="00EA1951"/>
    <w:rsid w:val="00EA19FF"/>
    <w:rsid w:val="00EA1F6E"/>
    <w:rsid w:val="00EA1FB1"/>
    <w:rsid w:val="00EA21A2"/>
    <w:rsid w:val="00EA28CE"/>
    <w:rsid w:val="00EA2DE8"/>
    <w:rsid w:val="00EA30E3"/>
    <w:rsid w:val="00EA32F7"/>
    <w:rsid w:val="00EA335F"/>
    <w:rsid w:val="00EA36C3"/>
    <w:rsid w:val="00EA3898"/>
    <w:rsid w:val="00EA3AE7"/>
    <w:rsid w:val="00EA3D36"/>
    <w:rsid w:val="00EA409C"/>
    <w:rsid w:val="00EA473D"/>
    <w:rsid w:val="00EA4824"/>
    <w:rsid w:val="00EA52C1"/>
    <w:rsid w:val="00EA531E"/>
    <w:rsid w:val="00EA53B9"/>
    <w:rsid w:val="00EA54D4"/>
    <w:rsid w:val="00EA5973"/>
    <w:rsid w:val="00EA5B7C"/>
    <w:rsid w:val="00EA5C5E"/>
    <w:rsid w:val="00EA5F57"/>
    <w:rsid w:val="00EA6482"/>
    <w:rsid w:val="00EA6723"/>
    <w:rsid w:val="00EA67FC"/>
    <w:rsid w:val="00EA6FB3"/>
    <w:rsid w:val="00EA70A8"/>
    <w:rsid w:val="00EA71F2"/>
    <w:rsid w:val="00EA76C6"/>
    <w:rsid w:val="00EA7832"/>
    <w:rsid w:val="00EA7863"/>
    <w:rsid w:val="00EA78A3"/>
    <w:rsid w:val="00EA7975"/>
    <w:rsid w:val="00EA7A73"/>
    <w:rsid w:val="00EA7C41"/>
    <w:rsid w:val="00EB0397"/>
    <w:rsid w:val="00EB0858"/>
    <w:rsid w:val="00EB09D5"/>
    <w:rsid w:val="00EB0BAC"/>
    <w:rsid w:val="00EB12B6"/>
    <w:rsid w:val="00EB1341"/>
    <w:rsid w:val="00EB161B"/>
    <w:rsid w:val="00EB1869"/>
    <w:rsid w:val="00EB199A"/>
    <w:rsid w:val="00EB1B88"/>
    <w:rsid w:val="00EB1D07"/>
    <w:rsid w:val="00EB2714"/>
    <w:rsid w:val="00EB27AB"/>
    <w:rsid w:val="00EB2F18"/>
    <w:rsid w:val="00EB32E2"/>
    <w:rsid w:val="00EB3570"/>
    <w:rsid w:val="00EB3721"/>
    <w:rsid w:val="00EB39C2"/>
    <w:rsid w:val="00EB436F"/>
    <w:rsid w:val="00EB43F6"/>
    <w:rsid w:val="00EB475A"/>
    <w:rsid w:val="00EB4801"/>
    <w:rsid w:val="00EB4BC1"/>
    <w:rsid w:val="00EB4EDA"/>
    <w:rsid w:val="00EB509A"/>
    <w:rsid w:val="00EB55BC"/>
    <w:rsid w:val="00EB55EB"/>
    <w:rsid w:val="00EB5E9A"/>
    <w:rsid w:val="00EB610B"/>
    <w:rsid w:val="00EB6655"/>
    <w:rsid w:val="00EB6B0F"/>
    <w:rsid w:val="00EB7506"/>
    <w:rsid w:val="00EB768C"/>
    <w:rsid w:val="00EB7921"/>
    <w:rsid w:val="00EB7AF9"/>
    <w:rsid w:val="00EB7C68"/>
    <w:rsid w:val="00EC0148"/>
    <w:rsid w:val="00EC03C1"/>
    <w:rsid w:val="00EC0480"/>
    <w:rsid w:val="00EC0AD8"/>
    <w:rsid w:val="00EC0C94"/>
    <w:rsid w:val="00EC0EA7"/>
    <w:rsid w:val="00EC0ECA"/>
    <w:rsid w:val="00EC0F63"/>
    <w:rsid w:val="00EC0FC8"/>
    <w:rsid w:val="00EC119C"/>
    <w:rsid w:val="00EC1407"/>
    <w:rsid w:val="00EC184A"/>
    <w:rsid w:val="00EC1AE8"/>
    <w:rsid w:val="00EC1E16"/>
    <w:rsid w:val="00EC2316"/>
    <w:rsid w:val="00EC297E"/>
    <w:rsid w:val="00EC29D1"/>
    <w:rsid w:val="00EC2A7D"/>
    <w:rsid w:val="00EC2BBD"/>
    <w:rsid w:val="00EC3177"/>
    <w:rsid w:val="00EC3239"/>
    <w:rsid w:val="00EC34E0"/>
    <w:rsid w:val="00EC3670"/>
    <w:rsid w:val="00EC36AE"/>
    <w:rsid w:val="00EC37E9"/>
    <w:rsid w:val="00EC4098"/>
    <w:rsid w:val="00EC41E1"/>
    <w:rsid w:val="00EC4218"/>
    <w:rsid w:val="00EC453D"/>
    <w:rsid w:val="00EC46AC"/>
    <w:rsid w:val="00EC4D65"/>
    <w:rsid w:val="00EC52A3"/>
    <w:rsid w:val="00EC58CE"/>
    <w:rsid w:val="00EC5982"/>
    <w:rsid w:val="00EC5A2D"/>
    <w:rsid w:val="00EC5AFE"/>
    <w:rsid w:val="00EC5B6C"/>
    <w:rsid w:val="00EC5F2A"/>
    <w:rsid w:val="00EC60DE"/>
    <w:rsid w:val="00EC6162"/>
    <w:rsid w:val="00EC61D1"/>
    <w:rsid w:val="00EC63A7"/>
    <w:rsid w:val="00EC6591"/>
    <w:rsid w:val="00EC67CE"/>
    <w:rsid w:val="00EC6BA2"/>
    <w:rsid w:val="00EC6BC2"/>
    <w:rsid w:val="00EC704B"/>
    <w:rsid w:val="00EC708E"/>
    <w:rsid w:val="00EC70A0"/>
    <w:rsid w:val="00EC719B"/>
    <w:rsid w:val="00EC7203"/>
    <w:rsid w:val="00EC7293"/>
    <w:rsid w:val="00EC72E9"/>
    <w:rsid w:val="00EC7584"/>
    <w:rsid w:val="00EC75EC"/>
    <w:rsid w:val="00EC789A"/>
    <w:rsid w:val="00EC7EEB"/>
    <w:rsid w:val="00ED09CA"/>
    <w:rsid w:val="00ED0B0E"/>
    <w:rsid w:val="00ED0F62"/>
    <w:rsid w:val="00ED1A86"/>
    <w:rsid w:val="00ED202B"/>
    <w:rsid w:val="00ED20DF"/>
    <w:rsid w:val="00ED271A"/>
    <w:rsid w:val="00ED27D3"/>
    <w:rsid w:val="00ED28FA"/>
    <w:rsid w:val="00ED2EF0"/>
    <w:rsid w:val="00ED3309"/>
    <w:rsid w:val="00ED337D"/>
    <w:rsid w:val="00ED3715"/>
    <w:rsid w:val="00ED378C"/>
    <w:rsid w:val="00ED37E7"/>
    <w:rsid w:val="00ED3AC0"/>
    <w:rsid w:val="00ED3E60"/>
    <w:rsid w:val="00ED3F1B"/>
    <w:rsid w:val="00ED4955"/>
    <w:rsid w:val="00ED4AB7"/>
    <w:rsid w:val="00ED4D4C"/>
    <w:rsid w:val="00ED4F0B"/>
    <w:rsid w:val="00ED5017"/>
    <w:rsid w:val="00ED50CF"/>
    <w:rsid w:val="00ED5433"/>
    <w:rsid w:val="00ED5CD0"/>
    <w:rsid w:val="00ED64A3"/>
    <w:rsid w:val="00ED6607"/>
    <w:rsid w:val="00ED6639"/>
    <w:rsid w:val="00ED6A3D"/>
    <w:rsid w:val="00ED6B98"/>
    <w:rsid w:val="00ED6E09"/>
    <w:rsid w:val="00ED736B"/>
    <w:rsid w:val="00ED755C"/>
    <w:rsid w:val="00ED75B1"/>
    <w:rsid w:val="00ED798E"/>
    <w:rsid w:val="00ED7AD2"/>
    <w:rsid w:val="00EE0170"/>
    <w:rsid w:val="00EE0393"/>
    <w:rsid w:val="00EE05F7"/>
    <w:rsid w:val="00EE0788"/>
    <w:rsid w:val="00EE078E"/>
    <w:rsid w:val="00EE0995"/>
    <w:rsid w:val="00EE09EA"/>
    <w:rsid w:val="00EE0A8C"/>
    <w:rsid w:val="00EE0C41"/>
    <w:rsid w:val="00EE0D00"/>
    <w:rsid w:val="00EE0D57"/>
    <w:rsid w:val="00EE0E63"/>
    <w:rsid w:val="00EE1205"/>
    <w:rsid w:val="00EE1DEB"/>
    <w:rsid w:val="00EE2228"/>
    <w:rsid w:val="00EE22DC"/>
    <w:rsid w:val="00EE245B"/>
    <w:rsid w:val="00EE3127"/>
    <w:rsid w:val="00EE3242"/>
    <w:rsid w:val="00EE3505"/>
    <w:rsid w:val="00EE380C"/>
    <w:rsid w:val="00EE3813"/>
    <w:rsid w:val="00EE38F4"/>
    <w:rsid w:val="00EE3B39"/>
    <w:rsid w:val="00EE3C22"/>
    <w:rsid w:val="00EE41F0"/>
    <w:rsid w:val="00EE458A"/>
    <w:rsid w:val="00EE4687"/>
    <w:rsid w:val="00EE4732"/>
    <w:rsid w:val="00EE4CF6"/>
    <w:rsid w:val="00EE4D45"/>
    <w:rsid w:val="00EE5311"/>
    <w:rsid w:val="00EE5915"/>
    <w:rsid w:val="00EE5AD3"/>
    <w:rsid w:val="00EE5C4D"/>
    <w:rsid w:val="00EE60C9"/>
    <w:rsid w:val="00EE61A2"/>
    <w:rsid w:val="00EE6239"/>
    <w:rsid w:val="00EE65C6"/>
    <w:rsid w:val="00EE67D8"/>
    <w:rsid w:val="00EE6F21"/>
    <w:rsid w:val="00EE7223"/>
    <w:rsid w:val="00EE7696"/>
    <w:rsid w:val="00EE77F3"/>
    <w:rsid w:val="00EE7B54"/>
    <w:rsid w:val="00EF0175"/>
    <w:rsid w:val="00EF0322"/>
    <w:rsid w:val="00EF0513"/>
    <w:rsid w:val="00EF064D"/>
    <w:rsid w:val="00EF0B4D"/>
    <w:rsid w:val="00EF1482"/>
    <w:rsid w:val="00EF1589"/>
    <w:rsid w:val="00EF15AE"/>
    <w:rsid w:val="00EF15EE"/>
    <w:rsid w:val="00EF1A70"/>
    <w:rsid w:val="00EF1BB1"/>
    <w:rsid w:val="00EF27AB"/>
    <w:rsid w:val="00EF30F2"/>
    <w:rsid w:val="00EF35DB"/>
    <w:rsid w:val="00EF36E0"/>
    <w:rsid w:val="00EF3D71"/>
    <w:rsid w:val="00EF3E39"/>
    <w:rsid w:val="00EF4256"/>
    <w:rsid w:val="00EF4763"/>
    <w:rsid w:val="00EF4893"/>
    <w:rsid w:val="00EF4B0F"/>
    <w:rsid w:val="00EF4B33"/>
    <w:rsid w:val="00EF4BA3"/>
    <w:rsid w:val="00EF4D01"/>
    <w:rsid w:val="00EF5001"/>
    <w:rsid w:val="00EF507F"/>
    <w:rsid w:val="00EF52A0"/>
    <w:rsid w:val="00EF53AF"/>
    <w:rsid w:val="00EF5748"/>
    <w:rsid w:val="00EF5A7E"/>
    <w:rsid w:val="00EF5C3B"/>
    <w:rsid w:val="00EF5C3E"/>
    <w:rsid w:val="00EF5ED0"/>
    <w:rsid w:val="00EF6030"/>
    <w:rsid w:val="00EF60A9"/>
    <w:rsid w:val="00EF6305"/>
    <w:rsid w:val="00EF678B"/>
    <w:rsid w:val="00EF6DE6"/>
    <w:rsid w:val="00EF70CC"/>
    <w:rsid w:val="00EF763C"/>
    <w:rsid w:val="00EF77BC"/>
    <w:rsid w:val="00EF77C9"/>
    <w:rsid w:val="00EF7876"/>
    <w:rsid w:val="00EF7882"/>
    <w:rsid w:val="00EF7F37"/>
    <w:rsid w:val="00EF7F88"/>
    <w:rsid w:val="00F0010D"/>
    <w:rsid w:val="00F0052E"/>
    <w:rsid w:val="00F00857"/>
    <w:rsid w:val="00F0087C"/>
    <w:rsid w:val="00F010C1"/>
    <w:rsid w:val="00F011A3"/>
    <w:rsid w:val="00F011BA"/>
    <w:rsid w:val="00F012DC"/>
    <w:rsid w:val="00F013A3"/>
    <w:rsid w:val="00F0181F"/>
    <w:rsid w:val="00F01ADB"/>
    <w:rsid w:val="00F0202A"/>
    <w:rsid w:val="00F02105"/>
    <w:rsid w:val="00F022AB"/>
    <w:rsid w:val="00F02465"/>
    <w:rsid w:val="00F02502"/>
    <w:rsid w:val="00F025D2"/>
    <w:rsid w:val="00F02769"/>
    <w:rsid w:val="00F02A37"/>
    <w:rsid w:val="00F02FB4"/>
    <w:rsid w:val="00F03018"/>
    <w:rsid w:val="00F035D3"/>
    <w:rsid w:val="00F03A48"/>
    <w:rsid w:val="00F03E64"/>
    <w:rsid w:val="00F03FA5"/>
    <w:rsid w:val="00F0414F"/>
    <w:rsid w:val="00F0438A"/>
    <w:rsid w:val="00F0439C"/>
    <w:rsid w:val="00F0460D"/>
    <w:rsid w:val="00F04701"/>
    <w:rsid w:val="00F0479E"/>
    <w:rsid w:val="00F04D0B"/>
    <w:rsid w:val="00F04DD4"/>
    <w:rsid w:val="00F04EDF"/>
    <w:rsid w:val="00F05108"/>
    <w:rsid w:val="00F052DB"/>
    <w:rsid w:val="00F0540E"/>
    <w:rsid w:val="00F05592"/>
    <w:rsid w:val="00F057B0"/>
    <w:rsid w:val="00F0594A"/>
    <w:rsid w:val="00F05AE8"/>
    <w:rsid w:val="00F0628C"/>
    <w:rsid w:val="00F06D88"/>
    <w:rsid w:val="00F06EFC"/>
    <w:rsid w:val="00F07190"/>
    <w:rsid w:val="00F0726D"/>
    <w:rsid w:val="00F07276"/>
    <w:rsid w:val="00F07480"/>
    <w:rsid w:val="00F074CA"/>
    <w:rsid w:val="00F07593"/>
    <w:rsid w:val="00F0772C"/>
    <w:rsid w:val="00F07909"/>
    <w:rsid w:val="00F10026"/>
    <w:rsid w:val="00F100F6"/>
    <w:rsid w:val="00F10228"/>
    <w:rsid w:val="00F10772"/>
    <w:rsid w:val="00F10BBD"/>
    <w:rsid w:val="00F11217"/>
    <w:rsid w:val="00F11449"/>
    <w:rsid w:val="00F11548"/>
    <w:rsid w:val="00F11636"/>
    <w:rsid w:val="00F1193A"/>
    <w:rsid w:val="00F119E3"/>
    <w:rsid w:val="00F11C1A"/>
    <w:rsid w:val="00F11C2B"/>
    <w:rsid w:val="00F11F01"/>
    <w:rsid w:val="00F11F1C"/>
    <w:rsid w:val="00F12270"/>
    <w:rsid w:val="00F12AD0"/>
    <w:rsid w:val="00F12D62"/>
    <w:rsid w:val="00F12ED1"/>
    <w:rsid w:val="00F13537"/>
    <w:rsid w:val="00F1367E"/>
    <w:rsid w:val="00F13ABA"/>
    <w:rsid w:val="00F13C0D"/>
    <w:rsid w:val="00F13CFA"/>
    <w:rsid w:val="00F13DA9"/>
    <w:rsid w:val="00F13EE3"/>
    <w:rsid w:val="00F144C3"/>
    <w:rsid w:val="00F148A7"/>
    <w:rsid w:val="00F14AE4"/>
    <w:rsid w:val="00F14F15"/>
    <w:rsid w:val="00F14FF1"/>
    <w:rsid w:val="00F156F0"/>
    <w:rsid w:val="00F163BA"/>
    <w:rsid w:val="00F16780"/>
    <w:rsid w:val="00F168FC"/>
    <w:rsid w:val="00F16F3B"/>
    <w:rsid w:val="00F1702E"/>
    <w:rsid w:val="00F17293"/>
    <w:rsid w:val="00F173CD"/>
    <w:rsid w:val="00F17961"/>
    <w:rsid w:val="00F17C7A"/>
    <w:rsid w:val="00F17DC2"/>
    <w:rsid w:val="00F20050"/>
    <w:rsid w:val="00F20180"/>
    <w:rsid w:val="00F20182"/>
    <w:rsid w:val="00F204BE"/>
    <w:rsid w:val="00F20C8A"/>
    <w:rsid w:val="00F20DC4"/>
    <w:rsid w:val="00F20E90"/>
    <w:rsid w:val="00F212F9"/>
    <w:rsid w:val="00F213EE"/>
    <w:rsid w:val="00F21490"/>
    <w:rsid w:val="00F215AE"/>
    <w:rsid w:val="00F219E4"/>
    <w:rsid w:val="00F220CE"/>
    <w:rsid w:val="00F2211B"/>
    <w:rsid w:val="00F223BD"/>
    <w:rsid w:val="00F224B1"/>
    <w:rsid w:val="00F2271A"/>
    <w:rsid w:val="00F22A58"/>
    <w:rsid w:val="00F22AA4"/>
    <w:rsid w:val="00F22AF1"/>
    <w:rsid w:val="00F22BA8"/>
    <w:rsid w:val="00F22E7E"/>
    <w:rsid w:val="00F22F8C"/>
    <w:rsid w:val="00F230CD"/>
    <w:rsid w:val="00F23225"/>
    <w:rsid w:val="00F2326C"/>
    <w:rsid w:val="00F234F7"/>
    <w:rsid w:val="00F23676"/>
    <w:rsid w:val="00F2386B"/>
    <w:rsid w:val="00F2423E"/>
    <w:rsid w:val="00F242C2"/>
    <w:rsid w:val="00F242DB"/>
    <w:rsid w:val="00F246E8"/>
    <w:rsid w:val="00F247D0"/>
    <w:rsid w:val="00F2484E"/>
    <w:rsid w:val="00F24A13"/>
    <w:rsid w:val="00F24D78"/>
    <w:rsid w:val="00F25380"/>
    <w:rsid w:val="00F258D2"/>
    <w:rsid w:val="00F25AE8"/>
    <w:rsid w:val="00F2619D"/>
    <w:rsid w:val="00F26239"/>
    <w:rsid w:val="00F26440"/>
    <w:rsid w:val="00F265A4"/>
    <w:rsid w:val="00F26A4B"/>
    <w:rsid w:val="00F26B0B"/>
    <w:rsid w:val="00F274D8"/>
    <w:rsid w:val="00F27541"/>
    <w:rsid w:val="00F2758D"/>
    <w:rsid w:val="00F27740"/>
    <w:rsid w:val="00F27BE3"/>
    <w:rsid w:val="00F27C1E"/>
    <w:rsid w:val="00F27D84"/>
    <w:rsid w:val="00F27EB6"/>
    <w:rsid w:val="00F30031"/>
    <w:rsid w:val="00F3044F"/>
    <w:rsid w:val="00F305F6"/>
    <w:rsid w:val="00F30A3A"/>
    <w:rsid w:val="00F310B5"/>
    <w:rsid w:val="00F311EA"/>
    <w:rsid w:val="00F312B4"/>
    <w:rsid w:val="00F31658"/>
    <w:rsid w:val="00F31A7E"/>
    <w:rsid w:val="00F31B80"/>
    <w:rsid w:val="00F320D2"/>
    <w:rsid w:val="00F325EB"/>
    <w:rsid w:val="00F326D6"/>
    <w:rsid w:val="00F32929"/>
    <w:rsid w:val="00F32A62"/>
    <w:rsid w:val="00F32CE5"/>
    <w:rsid w:val="00F334F5"/>
    <w:rsid w:val="00F335B7"/>
    <w:rsid w:val="00F336B9"/>
    <w:rsid w:val="00F33BAE"/>
    <w:rsid w:val="00F33C5E"/>
    <w:rsid w:val="00F33D95"/>
    <w:rsid w:val="00F340C0"/>
    <w:rsid w:val="00F340F5"/>
    <w:rsid w:val="00F34229"/>
    <w:rsid w:val="00F343D1"/>
    <w:rsid w:val="00F3450B"/>
    <w:rsid w:val="00F34BE8"/>
    <w:rsid w:val="00F3570F"/>
    <w:rsid w:val="00F361AE"/>
    <w:rsid w:val="00F362AA"/>
    <w:rsid w:val="00F362F3"/>
    <w:rsid w:val="00F366EF"/>
    <w:rsid w:val="00F36DC2"/>
    <w:rsid w:val="00F36E12"/>
    <w:rsid w:val="00F3706A"/>
    <w:rsid w:val="00F3709C"/>
    <w:rsid w:val="00F378A9"/>
    <w:rsid w:val="00F379CF"/>
    <w:rsid w:val="00F37AD0"/>
    <w:rsid w:val="00F37BDC"/>
    <w:rsid w:val="00F37C75"/>
    <w:rsid w:val="00F37D30"/>
    <w:rsid w:val="00F40066"/>
    <w:rsid w:val="00F4025A"/>
    <w:rsid w:val="00F40524"/>
    <w:rsid w:val="00F409DA"/>
    <w:rsid w:val="00F40BD0"/>
    <w:rsid w:val="00F40E49"/>
    <w:rsid w:val="00F40ED2"/>
    <w:rsid w:val="00F41190"/>
    <w:rsid w:val="00F412D3"/>
    <w:rsid w:val="00F415A3"/>
    <w:rsid w:val="00F41D8C"/>
    <w:rsid w:val="00F41E85"/>
    <w:rsid w:val="00F41F97"/>
    <w:rsid w:val="00F42660"/>
    <w:rsid w:val="00F426B6"/>
    <w:rsid w:val="00F42D44"/>
    <w:rsid w:val="00F42D89"/>
    <w:rsid w:val="00F42E22"/>
    <w:rsid w:val="00F430A7"/>
    <w:rsid w:val="00F43114"/>
    <w:rsid w:val="00F4323F"/>
    <w:rsid w:val="00F43889"/>
    <w:rsid w:val="00F438E4"/>
    <w:rsid w:val="00F43E4C"/>
    <w:rsid w:val="00F43E5D"/>
    <w:rsid w:val="00F4403E"/>
    <w:rsid w:val="00F44A62"/>
    <w:rsid w:val="00F44E56"/>
    <w:rsid w:val="00F450B4"/>
    <w:rsid w:val="00F4513B"/>
    <w:rsid w:val="00F45271"/>
    <w:rsid w:val="00F454B2"/>
    <w:rsid w:val="00F45880"/>
    <w:rsid w:val="00F458C7"/>
    <w:rsid w:val="00F45EF3"/>
    <w:rsid w:val="00F46047"/>
    <w:rsid w:val="00F46681"/>
    <w:rsid w:val="00F46A4B"/>
    <w:rsid w:val="00F46F28"/>
    <w:rsid w:val="00F473BD"/>
    <w:rsid w:val="00F475D2"/>
    <w:rsid w:val="00F4767A"/>
    <w:rsid w:val="00F478E3"/>
    <w:rsid w:val="00F47B76"/>
    <w:rsid w:val="00F47F21"/>
    <w:rsid w:val="00F50093"/>
    <w:rsid w:val="00F50214"/>
    <w:rsid w:val="00F50229"/>
    <w:rsid w:val="00F50424"/>
    <w:rsid w:val="00F50441"/>
    <w:rsid w:val="00F505A2"/>
    <w:rsid w:val="00F50940"/>
    <w:rsid w:val="00F5100A"/>
    <w:rsid w:val="00F51556"/>
    <w:rsid w:val="00F5162B"/>
    <w:rsid w:val="00F5170A"/>
    <w:rsid w:val="00F5175E"/>
    <w:rsid w:val="00F51C18"/>
    <w:rsid w:val="00F52013"/>
    <w:rsid w:val="00F52339"/>
    <w:rsid w:val="00F52474"/>
    <w:rsid w:val="00F528DA"/>
    <w:rsid w:val="00F52D5C"/>
    <w:rsid w:val="00F53019"/>
    <w:rsid w:val="00F53256"/>
    <w:rsid w:val="00F5327A"/>
    <w:rsid w:val="00F53385"/>
    <w:rsid w:val="00F53488"/>
    <w:rsid w:val="00F53772"/>
    <w:rsid w:val="00F538D8"/>
    <w:rsid w:val="00F5399B"/>
    <w:rsid w:val="00F5425F"/>
    <w:rsid w:val="00F5570A"/>
    <w:rsid w:val="00F558EA"/>
    <w:rsid w:val="00F55950"/>
    <w:rsid w:val="00F55D26"/>
    <w:rsid w:val="00F5605D"/>
    <w:rsid w:val="00F5627D"/>
    <w:rsid w:val="00F56282"/>
    <w:rsid w:val="00F56395"/>
    <w:rsid w:val="00F564A0"/>
    <w:rsid w:val="00F56553"/>
    <w:rsid w:val="00F56B15"/>
    <w:rsid w:val="00F56D35"/>
    <w:rsid w:val="00F574D0"/>
    <w:rsid w:val="00F579A3"/>
    <w:rsid w:val="00F57EBE"/>
    <w:rsid w:val="00F600FF"/>
    <w:rsid w:val="00F6013B"/>
    <w:rsid w:val="00F60612"/>
    <w:rsid w:val="00F60836"/>
    <w:rsid w:val="00F60919"/>
    <w:rsid w:val="00F6095C"/>
    <w:rsid w:val="00F609C1"/>
    <w:rsid w:val="00F60D1B"/>
    <w:rsid w:val="00F60D61"/>
    <w:rsid w:val="00F61010"/>
    <w:rsid w:val="00F61342"/>
    <w:rsid w:val="00F6143A"/>
    <w:rsid w:val="00F619FA"/>
    <w:rsid w:val="00F61C99"/>
    <w:rsid w:val="00F61D5F"/>
    <w:rsid w:val="00F61D91"/>
    <w:rsid w:val="00F61E9B"/>
    <w:rsid w:val="00F6217C"/>
    <w:rsid w:val="00F6218D"/>
    <w:rsid w:val="00F622CF"/>
    <w:rsid w:val="00F623A7"/>
    <w:rsid w:val="00F624E5"/>
    <w:rsid w:val="00F62DDF"/>
    <w:rsid w:val="00F63022"/>
    <w:rsid w:val="00F6309B"/>
    <w:rsid w:val="00F6316C"/>
    <w:rsid w:val="00F6323E"/>
    <w:rsid w:val="00F63759"/>
    <w:rsid w:val="00F63BFC"/>
    <w:rsid w:val="00F63CF5"/>
    <w:rsid w:val="00F63D82"/>
    <w:rsid w:val="00F63F70"/>
    <w:rsid w:val="00F63F77"/>
    <w:rsid w:val="00F63FBF"/>
    <w:rsid w:val="00F643A4"/>
    <w:rsid w:val="00F644B4"/>
    <w:rsid w:val="00F64CB4"/>
    <w:rsid w:val="00F64ED9"/>
    <w:rsid w:val="00F65309"/>
    <w:rsid w:val="00F655E7"/>
    <w:rsid w:val="00F658D7"/>
    <w:rsid w:val="00F65941"/>
    <w:rsid w:val="00F65F61"/>
    <w:rsid w:val="00F664EA"/>
    <w:rsid w:val="00F666A3"/>
    <w:rsid w:val="00F66768"/>
    <w:rsid w:val="00F6692E"/>
    <w:rsid w:val="00F66BDB"/>
    <w:rsid w:val="00F66E04"/>
    <w:rsid w:val="00F67199"/>
    <w:rsid w:val="00F675F1"/>
    <w:rsid w:val="00F67A4F"/>
    <w:rsid w:val="00F70042"/>
    <w:rsid w:val="00F70051"/>
    <w:rsid w:val="00F701D5"/>
    <w:rsid w:val="00F7070B"/>
    <w:rsid w:val="00F70C8F"/>
    <w:rsid w:val="00F70F0A"/>
    <w:rsid w:val="00F70F6B"/>
    <w:rsid w:val="00F71109"/>
    <w:rsid w:val="00F713DE"/>
    <w:rsid w:val="00F7153F"/>
    <w:rsid w:val="00F71808"/>
    <w:rsid w:val="00F7180E"/>
    <w:rsid w:val="00F72343"/>
    <w:rsid w:val="00F72413"/>
    <w:rsid w:val="00F72428"/>
    <w:rsid w:val="00F7256D"/>
    <w:rsid w:val="00F727D8"/>
    <w:rsid w:val="00F728B0"/>
    <w:rsid w:val="00F7293F"/>
    <w:rsid w:val="00F72976"/>
    <w:rsid w:val="00F72AED"/>
    <w:rsid w:val="00F72CFC"/>
    <w:rsid w:val="00F72FEF"/>
    <w:rsid w:val="00F7303D"/>
    <w:rsid w:val="00F73469"/>
    <w:rsid w:val="00F734D9"/>
    <w:rsid w:val="00F7355A"/>
    <w:rsid w:val="00F73584"/>
    <w:rsid w:val="00F7359C"/>
    <w:rsid w:val="00F73921"/>
    <w:rsid w:val="00F73BDD"/>
    <w:rsid w:val="00F73C68"/>
    <w:rsid w:val="00F73D35"/>
    <w:rsid w:val="00F7407B"/>
    <w:rsid w:val="00F7419F"/>
    <w:rsid w:val="00F74672"/>
    <w:rsid w:val="00F74932"/>
    <w:rsid w:val="00F74A23"/>
    <w:rsid w:val="00F74C49"/>
    <w:rsid w:val="00F75169"/>
    <w:rsid w:val="00F751D9"/>
    <w:rsid w:val="00F75706"/>
    <w:rsid w:val="00F757B8"/>
    <w:rsid w:val="00F757FF"/>
    <w:rsid w:val="00F75877"/>
    <w:rsid w:val="00F75C9E"/>
    <w:rsid w:val="00F768C9"/>
    <w:rsid w:val="00F76EC2"/>
    <w:rsid w:val="00F77517"/>
    <w:rsid w:val="00F77757"/>
    <w:rsid w:val="00F777E8"/>
    <w:rsid w:val="00F778D0"/>
    <w:rsid w:val="00F779F6"/>
    <w:rsid w:val="00F77A88"/>
    <w:rsid w:val="00F77BE6"/>
    <w:rsid w:val="00F77D69"/>
    <w:rsid w:val="00F77F66"/>
    <w:rsid w:val="00F80175"/>
    <w:rsid w:val="00F8032E"/>
    <w:rsid w:val="00F8054F"/>
    <w:rsid w:val="00F808CD"/>
    <w:rsid w:val="00F80930"/>
    <w:rsid w:val="00F809B5"/>
    <w:rsid w:val="00F80A30"/>
    <w:rsid w:val="00F80C9A"/>
    <w:rsid w:val="00F80E90"/>
    <w:rsid w:val="00F81006"/>
    <w:rsid w:val="00F810A9"/>
    <w:rsid w:val="00F81323"/>
    <w:rsid w:val="00F81338"/>
    <w:rsid w:val="00F815BE"/>
    <w:rsid w:val="00F81629"/>
    <w:rsid w:val="00F81714"/>
    <w:rsid w:val="00F81821"/>
    <w:rsid w:val="00F81843"/>
    <w:rsid w:val="00F81D0C"/>
    <w:rsid w:val="00F81DD4"/>
    <w:rsid w:val="00F81F87"/>
    <w:rsid w:val="00F82773"/>
    <w:rsid w:val="00F827A1"/>
    <w:rsid w:val="00F8296A"/>
    <w:rsid w:val="00F832E4"/>
    <w:rsid w:val="00F83647"/>
    <w:rsid w:val="00F83818"/>
    <w:rsid w:val="00F839E2"/>
    <w:rsid w:val="00F83ECF"/>
    <w:rsid w:val="00F83EEF"/>
    <w:rsid w:val="00F844A2"/>
    <w:rsid w:val="00F845A9"/>
    <w:rsid w:val="00F8516C"/>
    <w:rsid w:val="00F85201"/>
    <w:rsid w:val="00F85230"/>
    <w:rsid w:val="00F85343"/>
    <w:rsid w:val="00F853D5"/>
    <w:rsid w:val="00F854B8"/>
    <w:rsid w:val="00F85562"/>
    <w:rsid w:val="00F8562B"/>
    <w:rsid w:val="00F85AE4"/>
    <w:rsid w:val="00F85CB3"/>
    <w:rsid w:val="00F85DCF"/>
    <w:rsid w:val="00F85F5C"/>
    <w:rsid w:val="00F85FD8"/>
    <w:rsid w:val="00F862D0"/>
    <w:rsid w:val="00F86339"/>
    <w:rsid w:val="00F86528"/>
    <w:rsid w:val="00F86814"/>
    <w:rsid w:val="00F86A8D"/>
    <w:rsid w:val="00F86F4D"/>
    <w:rsid w:val="00F8711D"/>
    <w:rsid w:val="00F8758F"/>
    <w:rsid w:val="00F87AAD"/>
    <w:rsid w:val="00F90024"/>
    <w:rsid w:val="00F90593"/>
    <w:rsid w:val="00F905F8"/>
    <w:rsid w:val="00F908FB"/>
    <w:rsid w:val="00F90CE3"/>
    <w:rsid w:val="00F90D94"/>
    <w:rsid w:val="00F91438"/>
    <w:rsid w:val="00F91508"/>
    <w:rsid w:val="00F918DF"/>
    <w:rsid w:val="00F91901"/>
    <w:rsid w:val="00F91A72"/>
    <w:rsid w:val="00F91BA8"/>
    <w:rsid w:val="00F91E10"/>
    <w:rsid w:val="00F91E78"/>
    <w:rsid w:val="00F9241F"/>
    <w:rsid w:val="00F92AA6"/>
    <w:rsid w:val="00F92BE8"/>
    <w:rsid w:val="00F92D3E"/>
    <w:rsid w:val="00F93313"/>
    <w:rsid w:val="00F93583"/>
    <w:rsid w:val="00F93731"/>
    <w:rsid w:val="00F937FC"/>
    <w:rsid w:val="00F93843"/>
    <w:rsid w:val="00F93A73"/>
    <w:rsid w:val="00F93A81"/>
    <w:rsid w:val="00F94087"/>
    <w:rsid w:val="00F941FE"/>
    <w:rsid w:val="00F943B9"/>
    <w:rsid w:val="00F9443D"/>
    <w:rsid w:val="00F94699"/>
    <w:rsid w:val="00F94C3F"/>
    <w:rsid w:val="00F950B6"/>
    <w:rsid w:val="00F95263"/>
    <w:rsid w:val="00F957D1"/>
    <w:rsid w:val="00F95A5D"/>
    <w:rsid w:val="00F95E50"/>
    <w:rsid w:val="00F95F7C"/>
    <w:rsid w:val="00F960C5"/>
    <w:rsid w:val="00F9620C"/>
    <w:rsid w:val="00F966D5"/>
    <w:rsid w:val="00F968D5"/>
    <w:rsid w:val="00F96967"/>
    <w:rsid w:val="00F96A65"/>
    <w:rsid w:val="00F96ACA"/>
    <w:rsid w:val="00F96E9C"/>
    <w:rsid w:val="00F96F21"/>
    <w:rsid w:val="00F971C1"/>
    <w:rsid w:val="00F977F2"/>
    <w:rsid w:val="00F97997"/>
    <w:rsid w:val="00F97E0C"/>
    <w:rsid w:val="00FA005E"/>
    <w:rsid w:val="00FA0311"/>
    <w:rsid w:val="00FA06F0"/>
    <w:rsid w:val="00FA09EE"/>
    <w:rsid w:val="00FA0D04"/>
    <w:rsid w:val="00FA10C1"/>
    <w:rsid w:val="00FA121F"/>
    <w:rsid w:val="00FA12E6"/>
    <w:rsid w:val="00FA1342"/>
    <w:rsid w:val="00FA17A8"/>
    <w:rsid w:val="00FA19C1"/>
    <w:rsid w:val="00FA1A64"/>
    <w:rsid w:val="00FA1C6F"/>
    <w:rsid w:val="00FA1CB6"/>
    <w:rsid w:val="00FA1DE6"/>
    <w:rsid w:val="00FA1E8D"/>
    <w:rsid w:val="00FA23C4"/>
    <w:rsid w:val="00FA2649"/>
    <w:rsid w:val="00FA29A7"/>
    <w:rsid w:val="00FA2C42"/>
    <w:rsid w:val="00FA31E2"/>
    <w:rsid w:val="00FA3592"/>
    <w:rsid w:val="00FA3C6A"/>
    <w:rsid w:val="00FA41B2"/>
    <w:rsid w:val="00FA45A4"/>
    <w:rsid w:val="00FA46D1"/>
    <w:rsid w:val="00FA478A"/>
    <w:rsid w:val="00FA4831"/>
    <w:rsid w:val="00FA49A3"/>
    <w:rsid w:val="00FA4C78"/>
    <w:rsid w:val="00FA4FDD"/>
    <w:rsid w:val="00FA5421"/>
    <w:rsid w:val="00FA54D1"/>
    <w:rsid w:val="00FA5BB0"/>
    <w:rsid w:val="00FA633D"/>
    <w:rsid w:val="00FA64D0"/>
    <w:rsid w:val="00FA64DC"/>
    <w:rsid w:val="00FA65C4"/>
    <w:rsid w:val="00FA6693"/>
    <w:rsid w:val="00FA6A17"/>
    <w:rsid w:val="00FA6E59"/>
    <w:rsid w:val="00FA72D8"/>
    <w:rsid w:val="00FA7680"/>
    <w:rsid w:val="00FA78D1"/>
    <w:rsid w:val="00FA78FA"/>
    <w:rsid w:val="00FA7A68"/>
    <w:rsid w:val="00FB0553"/>
    <w:rsid w:val="00FB0CF3"/>
    <w:rsid w:val="00FB0E43"/>
    <w:rsid w:val="00FB0EC7"/>
    <w:rsid w:val="00FB0F35"/>
    <w:rsid w:val="00FB1AF0"/>
    <w:rsid w:val="00FB1CCF"/>
    <w:rsid w:val="00FB1E88"/>
    <w:rsid w:val="00FB1FC0"/>
    <w:rsid w:val="00FB26AC"/>
    <w:rsid w:val="00FB2743"/>
    <w:rsid w:val="00FB27C2"/>
    <w:rsid w:val="00FB28B3"/>
    <w:rsid w:val="00FB295B"/>
    <w:rsid w:val="00FB2967"/>
    <w:rsid w:val="00FB2A4D"/>
    <w:rsid w:val="00FB2CDF"/>
    <w:rsid w:val="00FB3055"/>
    <w:rsid w:val="00FB30A3"/>
    <w:rsid w:val="00FB34D9"/>
    <w:rsid w:val="00FB3760"/>
    <w:rsid w:val="00FB3940"/>
    <w:rsid w:val="00FB3AD7"/>
    <w:rsid w:val="00FB3C6F"/>
    <w:rsid w:val="00FB3DF3"/>
    <w:rsid w:val="00FB4388"/>
    <w:rsid w:val="00FB44A8"/>
    <w:rsid w:val="00FB46EF"/>
    <w:rsid w:val="00FB4739"/>
    <w:rsid w:val="00FB4C7B"/>
    <w:rsid w:val="00FB57B2"/>
    <w:rsid w:val="00FB5933"/>
    <w:rsid w:val="00FB5FAF"/>
    <w:rsid w:val="00FB6080"/>
    <w:rsid w:val="00FB60BA"/>
    <w:rsid w:val="00FB6DD3"/>
    <w:rsid w:val="00FB6E37"/>
    <w:rsid w:val="00FB7200"/>
    <w:rsid w:val="00FB755B"/>
    <w:rsid w:val="00FB7ABF"/>
    <w:rsid w:val="00FB7E90"/>
    <w:rsid w:val="00FC09A7"/>
    <w:rsid w:val="00FC09A8"/>
    <w:rsid w:val="00FC0B3B"/>
    <w:rsid w:val="00FC0BCD"/>
    <w:rsid w:val="00FC0ED7"/>
    <w:rsid w:val="00FC1548"/>
    <w:rsid w:val="00FC1ABF"/>
    <w:rsid w:val="00FC1D8C"/>
    <w:rsid w:val="00FC1F59"/>
    <w:rsid w:val="00FC2646"/>
    <w:rsid w:val="00FC2950"/>
    <w:rsid w:val="00FC2A81"/>
    <w:rsid w:val="00FC2D58"/>
    <w:rsid w:val="00FC3676"/>
    <w:rsid w:val="00FC3709"/>
    <w:rsid w:val="00FC3BB4"/>
    <w:rsid w:val="00FC3C69"/>
    <w:rsid w:val="00FC42BA"/>
    <w:rsid w:val="00FC477D"/>
    <w:rsid w:val="00FC4837"/>
    <w:rsid w:val="00FC4A68"/>
    <w:rsid w:val="00FC4BAE"/>
    <w:rsid w:val="00FC4D10"/>
    <w:rsid w:val="00FC5197"/>
    <w:rsid w:val="00FC52CA"/>
    <w:rsid w:val="00FC548D"/>
    <w:rsid w:val="00FC579A"/>
    <w:rsid w:val="00FC5956"/>
    <w:rsid w:val="00FC5D48"/>
    <w:rsid w:val="00FC5E69"/>
    <w:rsid w:val="00FC5E7A"/>
    <w:rsid w:val="00FC5F03"/>
    <w:rsid w:val="00FC6100"/>
    <w:rsid w:val="00FC61FF"/>
    <w:rsid w:val="00FC6419"/>
    <w:rsid w:val="00FC645F"/>
    <w:rsid w:val="00FC6592"/>
    <w:rsid w:val="00FC65A9"/>
    <w:rsid w:val="00FC6696"/>
    <w:rsid w:val="00FC6B42"/>
    <w:rsid w:val="00FC75A8"/>
    <w:rsid w:val="00FC7CF9"/>
    <w:rsid w:val="00FD00C5"/>
    <w:rsid w:val="00FD01F6"/>
    <w:rsid w:val="00FD0281"/>
    <w:rsid w:val="00FD02D4"/>
    <w:rsid w:val="00FD037A"/>
    <w:rsid w:val="00FD07CB"/>
    <w:rsid w:val="00FD09E9"/>
    <w:rsid w:val="00FD0A5B"/>
    <w:rsid w:val="00FD0DFD"/>
    <w:rsid w:val="00FD0F36"/>
    <w:rsid w:val="00FD0F99"/>
    <w:rsid w:val="00FD0FFC"/>
    <w:rsid w:val="00FD12B4"/>
    <w:rsid w:val="00FD1AC6"/>
    <w:rsid w:val="00FD1D1F"/>
    <w:rsid w:val="00FD1DEC"/>
    <w:rsid w:val="00FD2237"/>
    <w:rsid w:val="00FD2684"/>
    <w:rsid w:val="00FD2699"/>
    <w:rsid w:val="00FD2749"/>
    <w:rsid w:val="00FD279C"/>
    <w:rsid w:val="00FD27F9"/>
    <w:rsid w:val="00FD2987"/>
    <w:rsid w:val="00FD2B87"/>
    <w:rsid w:val="00FD2D77"/>
    <w:rsid w:val="00FD3737"/>
    <w:rsid w:val="00FD3942"/>
    <w:rsid w:val="00FD3EA0"/>
    <w:rsid w:val="00FD4182"/>
    <w:rsid w:val="00FD48F8"/>
    <w:rsid w:val="00FD49E5"/>
    <w:rsid w:val="00FD537A"/>
    <w:rsid w:val="00FD59E9"/>
    <w:rsid w:val="00FD5F88"/>
    <w:rsid w:val="00FD6310"/>
    <w:rsid w:val="00FD65B3"/>
    <w:rsid w:val="00FD6AAF"/>
    <w:rsid w:val="00FD6C7A"/>
    <w:rsid w:val="00FD7025"/>
    <w:rsid w:val="00FD70AB"/>
    <w:rsid w:val="00FD7742"/>
    <w:rsid w:val="00FD7DD9"/>
    <w:rsid w:val="00FD7DEE"/>
    <w:rsid w:val="00FD7E3E"/>
    <w:rsid w:val="00FD7F6F"/>
    <w:rsid w:val="00FE0105"/>
    <w:rsid w:val="00FE02C0"/>
    <w:rsid w:val="00FE0365"/>
    <w:rsid w:val="00FE0501"/>
    <w:rsid w:val="00FE0938"/>
    <w:rsid w:val="00FE09EF"/>
    <w:rsid w:val="00FE0BFD"/>
    <w:rsid w:val="00FE1042"/>
    <w:rsid w:val="00FE107B"/>
    <w:rsid w:val="00FE129E"/>
    <w:rsid w:val="00FE137C"/>
    <w:rsid w:val="00FE17A6"/>
    <w:rsid w:val="00FE19D8"/>
    <w:rsid w:val="00FE1A0F"/>
    <w:rsid w:val="00FE1CE5"/>
    <w:rsid w:val="00FE1E20"/>
    <w:rsid w:val="00FE1FBE"/>
    <w:rsid w:val="00FE220B"/>
    <w:rsid w:val="00FE2688"/>
    <w:rsid w:val="00FE272F"/>
    <w:rsid w:val="00FE2DD1"/>
    <w:rsid w:val="00FE3555"/>
    <w:rsid w:val="00FE35B6"/>
    <w:rsid w:val="00FE3726"/>
    <w:rsid w:val="00FE3ADA"/>
    <w:rsid w:val="00FE3BDC"/>
    <w:rsid w:val="00FE3F39"/>
    <w:rsid w:val="00FE3F41"/>
    <w:rsid w:val="00FE409B"/>
    <w:rsid w:val="00FE485C"/>
    <w:rsid w:val="00FE4D7B"/>
    <w:rsid w:val="00FE51C9"/>
    <w:rsid w:val="00FE5507"/>
    <w:rsid w:val="00FE5533"/>
    <w:rsid w:val="00FE5763"/>
    <w:rsid w:val="00FE5C1C"/>
    <w:rsid w:val="00FE5CB5"/>
    <w:rsid w:val="00FE5CDD"/>
    <w:rsid w:val="00FE5ED2"/>
    <w:rsid w:val="00FE603B"/>
    <w:rsid w:val="00FE60FF"/>
    <w:rsid w:val="00FE6C2F"/>
    <w:rsid w:val="00FE6CFA"/>
    <w:rsid w:val="00FE6F30"/>
    <w:rsid w:val="00FE6F4E"/>
    <w:rsid w:val="00FE6FDE"/>
    <w:rsid w:val="00FE757A"/>
    <w:rsid w:val="00FE7741"/>
    <w:rsid w:val="00FE783B"/>
    <w:rsid w:val="00FF034B"/>
    <w:rsid w:val="00FF05FD"/>
    <w:rsid w:val="00FF07C3"/>
    <w:rsid w:val="00FF091A"/>
    <w:rsid w:val="00FF0A8F"/>
    <w:rsid w:val="00FF0CDE"/>
    <w:rsid w:val="00FF10E7"/>
    <w:rsid w:val="00FF1115"/>
    <w:rsid w:val="00FF134A"/>
    <w:rsid w:val="00FF1656"/>
    <w:rsid w:val="00FF1C6F"/>
    <w:rsid w:val="00FF2335"/>
    <w:rsid w:val="00FF23FB"/>
    <w:rsid w:val="00FF2494"/>
    <w:rsid w:val="00FF278C"/>
    <w:rsid w:val="00FF2AF7"/>
    <w:rsid w:val="00FF2E4C"/>
    <w:rsid w:val="00FF303A"/>
    <w:rsid w:val="00FF3691"/>
    <w:rsid w:val="00FF3A65"/>
    <w:rsid w:val="00FF3CEF"/>
    <w:rsid w:val="00FF4349"/>
    <w:rsid w:val="00FF4961"/>
    <w:rsid w:val="00FF4D20"/>
    <w:rsid w:val="00FF52EF"/>
    <w:rsid w:val="00FF58A9"/>
    <w:rsid w:val="00FF58B4"/>
    <w:rsid w:val="00FF590C"/>
    <w:rsid w:val="00FF5B70"/>
    <w:rsid w:val="00FF5BB9"/>
    <w:rsid w:val="00FF5EE3"/>
    <w:rsid w:val="00FF5F91"/>
    <w:rsid w:val="00FF61BE"/>
    <w:rsid w:val="00FF6778"/>
    <w:rsid w:val="00FF6978"/>
    <w:rsid w:val="00FF6DE6"/>
    <w:rsid w:val="00FF714C"/>
    <w:rsid w:val="00FF76F4"/>
    <w:rsid w:val="00FF778E"/>
    <w:rsid w:val="00FF7A35"/>
    <w:rsid w:val="00FF7B2E"/>
    <w:rsid w:val="00FF7DB4"/>
    <w:rsid w:val="00FF7D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E737E"/>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311EC2"/>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311EC2"/>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11EC2"/>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311EC2"/>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BE737E"/>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311EC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311EC2"/>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99"/>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CommentText">
    <w:name w:val="annotation text"/>
    <w:basedOn w:val="Normal"/>
    <w:link w:val="CommentTextChar"/>
    <w:uiPriority w:val="99"/>
    <w:unhideWhenUsed/>
    <w:rsid w:val="00361570"/>
    <w:pPr>
      <w:spacing w:line="240" w:lineRule="auto"/>
    </w:pPr>
    <w:rPr>
      <w:sz w:val="20"/>
      <w:szCs w:val="20"/>
    </w:rPr>
  </w:style>
  <w:style w:type="character" w:customStyle="1" w:styleId="CommentTextChar">
    <w:name w:val="Comment Text Char"/>
    <w:basedOn w:val="DefaultParagraphFont"/>
    <w:link w:val="CommentText"/>
    <w:uiPriority w:val="99"/>
    <w:rsid w:val="00361570"/>
    <w:rPr>
      <w:sz w:val="20"/>
      <w:szCs w:val="20"/>
    </w:rPr>
  </w:style>
  <w:style w:type="character" w:styleId="CommentReference">
    <w:name w:val="annotation reference"/>
    <w:basedOn w:val="DefaultParagraphFont"/>
    <w:uiPriority w:val="99"/>
    <w:semiHidden/>
    <w:unhideWhenUsed/>
    <w:rsid w:val="00361570"/>
    <w:rPr>
      <w:sz w:val="16"/>
      <w:szCs w:val="16"/>
    </w:rPr>
  </w:style>
  <w:style w:type="paragraph" w:styleId="CommentSubject">
    <w:name w:val="annotation subject"/>
    <w:basedOn w:val="Normal"/>
    <w:next w:val="Normal"/>
    <w:link w:val="CommentSubjectChar"/>
    <w:uiPriority w:val="99"/>
    <w:semiHidden/>
    <w:unhideWhenUsed/>
    <w:rsid w:val="00361570"/>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361570"/>
    <w:rPr>
      <w:b/>
      <w:bCs/>
      <w:sz w:val="20"/>
      <w:szCs w:val="20"/>
    </w:rPr>
  </w:style>
  <w:style w:type="paragraph" w:customStyle="1" w:styleId="Callout">
    <w:name w:val="Call out"/>
    <w:basedOn w:val="Normal"/>
    <w:uiPriority w:val="98"/>
    <w:qFormat/>
    <w:rsid w:val="00361570"/>
    <w:pPr>
      <w:pBdr>
        <w:top w:val="single" w:sz="18" w:space="4" w:color="E9A913" w:themeColor="accent5"/>
      </w:pBdr>
      <w:spacing w:after="120" w:line="259" w:lineRule="auto"/>
    </w:pPr>
    <w:rPr>
      <w:rFonts w:ascii="Symbol" w:hAnsi="Symbol"/>
      <w:color w:val="008276" w:themeColor="accent3"/>
      <w:kern w:val="24"/>
    </w:rPr>
  </w:style>
  <w:style w:type="paragraph" w:styleId="Revision">
    <w:name w:val="Revision"/>
    <w:hidden/>
    <w:uiPriority w:val="99"/>
    <w:semiHidden/>
    <w:rsid w:val="00361570"/>
    <w:pPr>
      <w:spacing w:after="0" w:line="240" w:lineRule="auto"/>
    </w:pPr>
  </w:style>
  <w:style w:type="paragraph" w:customStyle="1" w:styleId="Normal0">
    <w:name w:val="[Normal]"/>
    <w:uiPriority w:val="99"/>
    <w:rsid w:val="00956A00"/>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rsid w:val="00BC2BFC"/>
    <w:pPr>
      <w:autoSpaceDE w:val="0"/>
      <w:autoSpaceDN w:val="0"/>
      <w:adjustRightInd w:val="0"/>
      <w:spacing w:before="100" w:after="100" w:line="240" w:lineRule="atLeast"/>
    </w:pPr>
    <w:rPr>
      <w:rFonts w:ascii="Times New Roman" w:hAnsi="Times New Roman" w:cs="Times New Roman"/>
      <w:sz w:val="24"/>
      <w:szCs w:val="24"/>
    </w:rPr>
  </w:style>
  <w:style w:type="paragraph" w:customStyle="1" w:styleId="BodytextRPC">
    <w:name w:val="Body text RPC"/>
    <w:basedOn w:val="Normal"/>
    <w:uiPriority w:val="99"/>
    <w:rsid w:val="00BC2BFC"/>
    <w:pPr>
      <w:autoSpaceDE w:val="0"/>
      <w:autoSpaceDN w:val="0"/>
      <w:adjustRightInd w:val="0"/>
    </w:pPr>
    <w:rPr>
      <w:rFonts w:ascii="Calibri" w:hAnsi="Calibri" w:cs="Calibri"/>
    </w:rPr>
  </w:style>
  <w:style w:type="paragraph" w:customStyle="1" w:styleId="Default">
    <w:name w:val="Default"/>
    <w:basedOn w:val="Normal0"/>
    <w:uiPriority w:val="99"/>
    <w:rsid w:val="00BC2BFC"/>
    <w:pPr>
      <w:widowControl/>
    </w:pPr>
    <w:rPr>
      <w:rFonts w:ascii="Calibri" w:hAnsi="Calibri" w:cs="Calibri"/>
      <w:color w:val="000000"/>
    </w:rPr>
  </w:style>
  <w:style w:type="character" w:customStyle="1" w:styleId="eop">
    <w:name w:val="eop"/>
    <w:basedOn w:val="DefaultParagraphFont"/>
    <w:uiPriority w:val="99"/>
    <w:rsid w:val="00BC2BFC"/>
  </w:style>
  <w:style w:type="paragraph" w:customStyle="1" w:styleId="F2BodyText">
    <w:name w:val="F2 Body Text"/>
    <w:basedOn w:val="Normal"/>
    <w:uiPriority w:val="99"/>
    <w:rsid w:val="00D164AF"/>
    <w:pPr>
      <w:autoSpaceDE w:val="0"/>
      <w:autoSpaceDN w:val="0"/>
      <w:adjustRightInd w:val="0"/>
      <w:spacing w:before="120" w:after="120" w:line="240" w:lineRule="auto"/>
      <w:jc w:val="both"/>
    </w:pPr>
    <w:rPr>
      <w:rFonts w:ascii="Garamond" w:hAnsi="Garamond" w:cs="Garamond"/>
      <w:color w:val="000000"/>
      <w:sz w:val="24"/>
      <w:szCs w:val="24"/>
    </w:rPr>
  </w:style>
  <w:style w:type="paragraph" w:customStyle="1" w:styleId="TableContents">
    <w:name w:val="Table Contents"/>
    <w:basedOn w:val="Normal"/>
    <w:uiPriority w:val="99"/>
    <w:rsid w:val="00D164AF"/>
    <w:pPr>
      <w:widowControl w:val="0"/>
      <w:autoSpaceDE w:val="0"/>
      <w:autoSpaceDN w:val="0"/>
      <w:adjustRightInd w:val="0"/>
      <w:spacing w:after="0" w:line="240" w:lineRule="auto"/>
    </w:pPr>
    <w:rPr>
      <w:rFonts w:ascii="Liberation Serif" w:hAnsi="Liberation Serif" w:cs="Liberation Serif"/>
      <w:sz w:val="24"/>
      <w:szCs w:val="24"/>
    </w:rPr>
  </w:style>
  <w:style w:type="character" w:customStyle="1" w:styleId="A10">
    <w:name w:val="A10"/>
    <w:basedOn w:val="DefaultParagraphFont"/>
    <w:uiPriority w:val="99"/>
    <w:rsid w:val="00D164AF"/>
    <w:rPr>
      <w:color w:val="000000"/>
      <w:sz w:val="10"/>
      <w:szCs w:val="10"/>
    </w:rPr>
  </w:style>
  <w:style w:type="paragraph" w:customStyle="1" w:styleId="xmsonormal">
    <w:name w:val="x_msonormal"/>
    <w:basedOn w:val="Normal"/>
    <w:uiPriority w:val="99"/>
    <w:rsid w:val="00274D41"/>
    <w:pPr>
      <w:autoSpaceDE w:val="0"/>
      <w:autoSpaceDN w:val="0"/>
      <w:adjustRightInd w:val="0"/>
      <w:spacing w:before="100" w:after="100" w:line="240" w:lineRule="atLeast"/>
    </w:pPr>
    <w:rPr>
      <w:rFonts w:ascii="Times New Roman" w:hAnsi="Times New Roman" w:cs="Times New Roman"/>
      <w:sz w:val="24"/>
      <w:szCs w:val="24"/>
    </w:rPr>
  </w:style>
  <w:style w:type="paragraph" w:customStyle="1" w:styleId="NSAustraliaBodyText">
    <w:name w:val="NS Australia – Body Text"/>
    <w:basedOn w:val="Normal"/>
    <w:uiPriority w:val="99"/>
    <w:rsid w:val="00F85343"/>
    <w:pPr>
      <w:autoSpaceDE w:val="0"/>
      <w:autoSpaceDN w:val="0"/>
      <w:adjustRightInd w:val="0"/>
      <w:spacing w:after="240" w:line="280" w:lineRule="exact"/>
    </w:pPr>
    <w:rPr>
      <w:rFonts w:ascii="Calibri" w:hAnsi="Calibri" w:cs="Calibri"/>
    </w:rPr>
  </w:style>
  <w:style w:type="character" w:customStyle="1" w:styleId="normaltextrun">
    <w:name w:val="normaltextrun"/>
    <w:basedOn w:val="DefaultParagraphFont"/>
    <w:uiPriority w:val="99"/>
    <w:rsid w:val="007C26EB"/>
  </w:style>
  <w:style w:type="paragraph" w:styleId="NoSpacing">
    <w:name w:val="No Spacing"/>
    <w:basedOn w:val="Normal0"/>
    <w:link w:val="NoSpacingChar"/>
    <w:uiPriority w:val="99"/>
    <w:qFormat/>
    <w:rsid w:val="00C90513"/>
    <w:pPr>
      <w:widowControl/>
    </w:pPr>
    <w:rPr>
      <w:rFonts w:ascii="Calibri" w:hAnsi="Calibri" w:cs="Calibri"/>
      <w:sz w:val="22"/>
      <w:szCs w:val="22"/>
    </w:rPr>
  </w:style>
  <w:style w:type="paragraph" w:customStyle="1" w:styleId="Pa11">
    <w:name w:val="Pa11"/>
    <w:basedOn w:val="Default"/>
    <w:next w:val="Default"/>
    <w:uiPriority w:val="99"/>
    <w:rsid w:val="00913CC5"/>
    <w:pPr>
      <w:spacing w:line="191" w:lineRule="atLeast"/>
    </w:pPr>
    <w:rPr>
      <w:rFonts w:ascii="Myriad Pro" w:hAnsi="Myriad Pro" w:cstheme="minorBidi"/>
      <w:color w:val="auto"/>
    </w:rPr>
  </w:style>
  <w:style w:type="paragraph" w:styleId="FootnoteText">
    <w:name w:val="footnote text"/>
    <w:basedOn w:val="Normal"/>
    <w:link w:val="FootnoteTextChar"/>
    <w:uiPriority w:val="99"/>
    <w:semiHidden/>
    <w:unhideWhenUsed/>
    <w:rsid w:val="00054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B88"/>
    <w:rPr>
      <w:sz w:val="20"/>
      <w:szCs w:val="20"/>
    </w:rPr>
  </w:style>
  <w:style w:type="character" w:styleId="FootnoteReference">
    <w:name w:val="footnote reference"/>
    <w:basedOn w:val="DefaultParagraphFont"/>
    <w:uiPriority w:val="99"/>
    <w:semiHidden/>
    <w:unhideWhenUsed/>
    <w:rsid w:val="00054B88"/>
    <w:rPr>
      <w:vertAlign w:val="superscript"/>
    </w:rPr>
  </w:style>
  <w:style w:type="character" w:styleId="Mention">
    <w:name w:val="Mention"/>
    <w:basedOn w:val="DefaultParagraphFont"/>
    <w:uiPriority w:val="99"/>
    <w:unhideWhenUsed/>
    <w:rsid w:val="00A87565"/>
    <w:rPr>
      <w:color w:val="2B579A"/>
      <w:shd w:val="clear" w:color="auto" w:fill="E1DFDD"/>
    </w:rPr>
  </w:style>
  <w:style w:type="table" w:styleId="PlainTable5">
    <w:name w:val="Plain Table 5"/>
    <w:basedOn w:val="TableNormal"/>
    <w:uiPriority w:val="45"/>
    <w:rsid w:val="00F0438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825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D3C3E"/>
    <w:rPr>
      <w:color w:val="605E5C"/>
      <w:shd w:val="clear" w:color="auto" w:fill="E1DFDD"/>
    </w:rPr>
  </w:style>
  <w:style w:type="character" w:customStyle="1" w:styleId="NoSpacingChar">
    <w:name w:val="No Spacing Char"/>
    <w:basedOn w:val="DefaultParagraphFont"/>
    <w:link w:val="NoSpacing"/>
    <w:uiPriority w:val="1"/>
    <w:rsid w:val="00BC3DE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3167">
      <w:bodyDiv w:val="1"/>
      <w:marLeft w:val="0"/>
      <w:marRight w:val="0"/>
      <w:marTop w:val="0"/>
      <w:marBottom w:val="0"/>
      <w:divBdr>
        <w:top w:val="none" w:sz="0" w:space="0" w:color="auto"/>
        <w:left w:val="none" w:sz="0" w:space="0" w:color="auto"/>
        <w:bottom w:val="none" w:sz="0" w:space="0" w:color="auto"/>
        <w:right w:val="none" w:sz="0" w:space="0" w:color="auto"/>
      </w:divBdr>
    </w:div>
    <w:div w:id="981931023">
      <w:bodyDiv w:val="1"/>
      <w:marLeft w:val="0"/>
      <w:marRight w:val="0"/>
      <w:marTop w:val="0"/>
      <w:marBottom w:val="0"/>
      <w:divBdr>
        <w:top w:val="none" w:sz="0" w:space="0" w:color="auto"/>
        <w:left w:val="none" w:sz="0" w:space="0" w:color="auto"/>
        <w:bottom w:val="none" w:sz="0" w:space="0" w:color="auto"/>
        <w:right w:val="none" w:sz="0" w:space="0" w:color="auto"/>
      </w:divBdr>
    </w:div>
    <w:div w:id="10986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header" Target="header1.xml"/><Relationship Id="rId39" Type="http://schemas.openxmlformats.org/officeDocument/2006/relationships/image" Target="media/image20.emf"/><Relationship Id="rId21" Type="http://schemas.openxmlformats.org/officeDocument/2006/relationships/image" Target="media/image8.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image" Target="media/image11.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1.xml"/><Relationship Id="rId36" Type="http://schemas.openxmlformats.org/officeDocument/2006/relationships/image" Target="media/image17.emf"/><Relationship Id="rId49" Type="http://schemas.openxmlformats.org/officeDocument/2006/relationships/image" Target="media/image30.emf"/><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footer" Target="footer3.xml"/><Relationship Id="rId44" Type="http://schemas.openxmlformats.org/officeDocument/2006/relationships/image" Target="media/image25.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gov.au/australian-universities-accord/consultations/higher-education-review" TargetMode="External"/><Relationship Id="rId22" Type="http://schemas.openxmlformats.org/officeDocument/2006/relationships/image" Target="media/image9.e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ducation.gov.au/australian-universities-accord/consultations/consultation-discussion-paper" TargetMode="Externa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20" Type="http://schemas.openxmlformats.org/officeDocument/2006/relationships/image" Target="media/image7.emf"/><Relationship Id="rId41"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2023-05-12T00:00:00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32D97511A624BAEDEA4FC62F703A6" ma:contentTypeVersion="10" ma:contentTypeDescription="Create a new document." ma:contentTypeScope="" ma:versionID="8f17c308a270ef89617067620c93339f">
  <xsd:schema xmlns:xsd="http://www.w3.org/2001/XMLSchema" xmlns:xs="http://www.w3.org/2001/XMLSchema" xmlns:p="http://schemas.microsoft.com/office/2006/metadata/properties" xmlns:ns2="316300d3-eb16-4abe-8e6c-e41c634e2258" xmlns:ns3="8328459b-bf40-48f7-b19e-60b4429b18e1" targetNamespace="http://schemas.microsoft.com/office/2006/metadata/properties" ma:root="true" ma:fieldsID="d2deb7cec086c60b1e5dea35eaad48a4" ns2:_="" ns3:_="">
    <xsd:import namespace="316300d3-eb16-4abe-8e6c-e41c634e2258"/>
    <xsd:import namespace="8328459b-bf40-48f7-b19e-60b4429b1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300d3-eb16-4abe-8e6c-e41c634e2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39602-bab5-4ac0-a14f-71daef3a25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8459b-bf40-48f7-b19e-60b4429b1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1ff1a0a-fd85-463e-92b4-b712b8db7ca2}" ma:internalName="TaxCatchAll" ma:showField="CatchAllData" ma:web="8328459b-bf40-48f7-b19e-60b4429b1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328459b-bf40-48f7-b19e-60b4429b18e1">
      <UserInfo>
        <DisplayName>Ben Saxton</DisplayName>
        <AccountId>14</AccountId>
        <AccountType/>
      </UserInfo>
    </SharedWithUsers>
    <TaxCatchAll xmlns="8328459b-bf40-48f7-b19e-60b4429b18e1" xsi:nil="true"/>
    <lcf76f155ced4ddcb4097134ff3c332f xmlns="316300d3-eb16-4abe-8e6c-e41c634e225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701DDF-F483-4314-91EF-233821346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300d3-eb16-4abe-8e6c-e41c634e2258"/>
    <ds:schemaRef ds:uri="8328459b-bf40-48f7-b19e-60b4429b1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8328459b-bf40-48f7-b19e-60b4429b18e1"/>
    <ds:schemaRef ds:uri="316300d3-eb16-4abe-8e6c-e41c634e2258"/>
  </ds:schemaRefs>
</ds:datastoreItem>
</file>

<file path=customXml/itemProps5.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26831</Words>
  <Characters>152942</Characters>
  <Application>Microsoft Office Word</Application>
  <DocSecurity>0</DocSecurity>
  <Lines>1274</Lines>
  <Paragraphs>358</Paragraphs>
  <ScaleCrop>false</ScaleCrop>
  <HeadingPairs>
    <vt:vector size="2" baseType="variant">
      <vt:variant>
        <vt:lpstr>Title</vt:lpstr>
      </vt:variant>
      <vt:variant>
        <vt:i4>1</vt:i4>
      </vt:variant>
    </vt:vector>
  </HeadingPairs>
  <TitlesOfParts>
    <vt:vector size="1" baseType="lpstr">
      <vt:lpstr>DE A4 Report Template - Portrait (blue cover)</vt:lpstr>
    </vt:vector>
  </TitlesOfParts>
  <Company/>
  <LinksUpToDate>false</LinksUpToDate>
  <CharactersWithSpaces>179415</CharactersWithSpaces>
  <SharedDoc>false</SharedDoc>
  <HLinks>
    <vt:vector size="138" baseType="variant">
      <vt:variant>
        <vt:i4>1703987</vt:i4>
      </vt:variant>
      <vt:variant>
        <vt:i4>134</vt:i4>
      </vt:variant>
      <vt:variant>
        <vt:i4>0</vt:i4>
      </vt:variant>
      <vt:variant>
        <vt:i4>5</vt:i4>
      </vt:variant>
      <vt:variant>
        <vt:lpwstr/>
      </vt:variant>
      <vt:variant>
        <vt:lpwstr>_Toc134731586</vt:lpwstr>
      </vt:variant>
      <vt:variant>
        <vt:i4>1703987</vt:i4>
      </vt:variant>
      <vt:variant>
        <vt:i4>128</vt:i4>
      </vt:variant>
      <vt:variant>
        <vt:i4>0</vt:i4>
      </vt:variant>
      <vt:variant>
        <vt:i4>5</vt:i4>
      </vt:variant>
      <vt:variant>
        <vt:lpwstr/>
      </vt:variant>
      <vt:variant>
        <vt:lpwstr>_Toc134731585</vt:lpwstr>
      </vt:variant>
      <vt:variant>
        <vt:i4>1703987</vt:i4>
      </vt:variant>
      <vt:variant>
        <vt:i4>122</vt:i4>
      </vt:variant>
      <vt:variant>
        <vt:i4>0</vt:i4>
      </vt:variant>
      <vt:variant>
        <vt:i4>5</vt:i4>
      </vt:variant>
      <vt:variant>
        <vt:lpwstr/>
      </vt:variant>
      <vt:variant>
        <vt:lpwstr>_Toc134731584</vt:lpwstr>
      </vt:variant>
      <vt:variant>
        <vt:i4>1703987</vt:i4>
      </vt:variant>
      <vt:variant>
        <vt:i4>116</vt:i4>
      </vt:variant>
      <vt:variant>
        <vt:i4>0</vt:i4>
      </vt:variant>
      <vt:variant>
        <vt:i4>5</vt:i4>
      </vt:variant>
      <vt:variant>
        <vt:lpwstr/>
      </vt:variant>
      <vt:variant>
        <vt:lpwstr>_Toc134731583</vt:lpwstr>
      </vt:variant>
      <vt:variant>
        <vt:i4>1703987</vt:i4>
      </vt:variant>
      <vt:variant>
        <vt:i4>110</vt:i4>
      </vt:variant>
      <vt:variant>
        <vt:i4>0</vt:i4>
      </vt:variant>
      <vt:variant>
        <vt:i4>5</vt:i4>
      </vt:variant>
      <vt:variant>
        <vt:lpwstr/>
      </vt:variant>
      <vt:variant>
        <vt:lpwstr>_Toc134731582</vt:lpwstr>
      </vt:variant>
      <vt:variant>
        <vt:i4>1703987</vt:i4>
      </vt:variant>
      <vt:variant>
        <vt:i4>104</vt:i4>
      </vt:variant>
      <vt:variant>
        <vt:i4>0</vt:i4>
      </vt:variant>
      <vt:variant>
        <vt:i4>5</vt:i4>
      </vt:variant>
      <vt:variant>
        <vt:lpwstr/>
      </vt:variant>
      <vt:variant>
        <vt:lpwstr>_Toc134731581</vt:lpwstr>
      </vt:variant>
      <vt:variant>
        <vt:i4>1703987</vt:i4>
      </vt:variant>
      <vt:variant>
        <vt:i4>98</vt:i4>
      </vt:variant>
      <vt:variant>
        <vt:i4>0</vt:i4>
      </vt:variant>
      <vt:variant>
        <vt:i4>5</vt:i4>
      </vt:variant>
      <vt:variant>
        <vt:lpwstr/>
      </vt:variant>
      <vt:variant>
        <vt:lpwstr>_Toc134731580</vt:lpwstr>
      </vt:variant>
      <vt:variant>
        <vt:i4>1376307</vt:i4>
      </vt:variant>
      <vt:variant>
        <vt:i4>92</vt:i4>
      </vt:variant>
      <vt:variant>
        <vt:i4>0</vt:i4>
      </vt:variant>
      <vt:variant>
        <vt:i4>5</vt:i4>
      </vt:variant>
      <vt:variant>
        <vt:lpwstr/>
      </vt:variant>
      <vt:variant>
        <vt:lpwstr>_Toc134731579</vt:lpwstr>
      </vt:variant>
      <vt:variant>
        <vt:i4>1376307</vt:i4>
      </vt:variant>
      <vt:variant>
        <vt:i4>86</vt:i4>
      </vt:variant>
      <vt:variant>
        <vt:i4>0</vt:i4>
      </vt:variant>
      <vt:variant>
        <vt:i4>5</vt:i4>
      </vt:variant>
      <vt:variant>
        <vt:lpwstr/>
      </vt:variant>
      <vt:variant>
        <vt:lpwstr>_Toc134731578</vt:lpwstr>
      </vt:variant>
      <vt:variant>
        <vt:i4>1376307</vt:i4>
      </vt:variant>
      <vt:variant>
        <vt:i4>80</vt:i4>
      </vt:variant>
      <vt:variant>
        <vt:i4>0</vt:i4>
      </vt:variant>
      <vt:variant>
        <vt:i4>5</vt:i4>
      </vt:variant>
      <vt:variant>
        <vt:lpwstr/>
      </vt:variant>
      <vt:variant>
        <vt:lpwstr>_Toc134731577</vt:lpwstr>
      </vt:variant>
      <vt:variant>
        <vt:i4>1376307</vt:i4>
      </vt:variant>
      <vt:variant>
        <vt:i4>74</vt:i4>
      </vt:variant>
      <vt:variant>
        <vt:i4>0</vt:i4>
      </vt:variant>
      <vt:variant>
        <vt:i4>5</vt:i4>
      </vt:variant>
      <vt:variant>
        <vt:lpwstr/>
      </vt:variant>
      <vt:variant>
        <vt:lpwstr>_Toc134731576</vt:lpwstr>
      </vt:variant>
      <vt:variant>
        <vt:i4>1376307</vt:i4>
      </vt:variant>
      <vt:variant>
        <vt:i4>68</vt:i4>
      </vt:variant>
      <vt:variant>
        <vt:i4>0</vt:i4>
      </vt:variant>
      <vt:variant>
        <vt:i4>5</vt:i4>
      </vt:variant>
      <vt:variant>
        <vt:lpwstr/>
      </vt:variant>
      <vt:variant>
        <vt:lpwstr>_Toc134731575</vt:lpwstr>
      </vt:variant>
      <vt:variant>
        <vt:i4>1376307</vt:i4>
      </vt:variant>
      <vt:variant>
        <vt:i4>62</vt:i4>
      </vt:variant>
      <vt:variant>
        <vt:i4>0</vt:i4>
      </vt:variant>
      <vt:variant>
        <vt:i4>5</vt:i4>
      </vt:variant>
      <vt:variant>
        <vt:lpwstr/>
      </vt:variant>
      <vt:variant>
        <vt:lpwstr>_Toc134731574</vt:lpwstr>
      </vt:variant>
      <vt:variant>
        <vt:i4>1376307</vt:i4>
      </vt:variant>
      <vt:variant>
        <vt:i4>56</vt:i4>
      </vt:variant>
      <vt:variant>
        <vt:i4>0</vt:i4>
      </vt:variant>
      <vt:variant>
        <vt:i4>5</vt:i4>
      </vt:variant>
      <vt:variant>
        <vt:lpwstr/>
      </vt:variant>
      <vt:variant>
        <vt:lpwstr>_Toc134731573</vt:lpwstr>
      </vt:variant>
      <vt:variant>
        <vt:i4>1376307</vt:i4>
      </vt:variant>
      <vt:variant>
        <vt:i4>50</vt:i4>
      </vt:variant>
      <vt:variant>
        <vt:i4>0</vt:i4>
      </vt:variant>
      <vt:variant>
        <vt:i4>5</vt:i4>
      </vt:variant>
      <vt:variant>
        <vt:lpwstr/>
      </vt:variant>
      <vt:variant>
        <vt:lpwstr>_Toc134731572</vt:lpwstr>
      </vt:variant>
      <vt:variant>
        <vt:i4>1376307</vt:i4>
      </vt:variant>
      <vt:variant>
        <vt:i4>44</vt:i4>
      </vt:variant>
      <vt:variant>
        <vt:i4>0</vt:i4>
      </vt:variant>
      <vt:variant>
        <vt:i4>5</vt:i4>
      </vt:variant>
      <vt:variant>
        <vt:lpwstr/>
      </vt:variant>
      <vt:variant>
        <vt:lpwstr>_Toc134731571</vt:lpwstr>
      </vt:variant>
      <vt:variant>
        <vt:i4>1376307</vt:i4>
      </vt:variant>
      <vt:variant>
        <vt:i4>38</vt:i4>
      </vt:variant>
      <vt:variant>
        <vt:i4>0</vt:i4>
      </vt:variant>
      <vt:variant>
        <vt:i4>5</vt:i4>
      </vt:variant>
      <vt:variant>
        <vt:lpwstr/>
      </vt:variant>
      <vt:variant>
        <vt:lpwstr>_Toc134731570</vt:lpwstr>
      </vt:variant>
      <vt:variant>
        <vt:i4>1310771</vt:i4>
      </vt:variant>
      <vt:variant>
        <vt:i4>32</vt:i4>
      </vt:variant>
      <vt:variant>
        <vt:i4>0</vt:i4>
      </vt:variant>
      <vt:variant>
        <vt:i4>5</vt:i4>
      </vt:variant>
      <vt:variant>
        <vt:lpwstr/>
      </vt:variant>
      <vt:variant>
        <vt:lpwstr>_Toc134731569</vt:lpwstr>
      </vt:variant>
      <vt:variant>
        <vt:i4>1310771</vt:i4>
      </vt:variant>
      <vt:variant>
        <vt:i4>26</vt:i4>
      </vt:variant>
      <vt:variant>
        <vt:i4>0</vt:i4>
      </vt:variant>
      <vt:variant>
        <vt:i4>5</vt:i4>
      </vt:variant>
      <vt:variant>
        <vt:lpwstr/>
      </vt:variant>
      <vt:variant>
        <vt:lpwstr>_Toc134731568</vt:lpwstr>
      </vt:variant>
      <vt:variant>
        <vt:i4>1310771</vt:i4>
      </vt:variant>
      <vt:variant>
        <vt:i4>20</vt:i4>
      </vt:variant>
      <vt:variant>
        <vt:i4>0</vt:i4>
      </vt:variant>
      <vt:variant>
        <vt:i4>5</vt:i4>
      </vt:variant>
      <vt:variant>
        <vt:lpwstr/>
      </vt:variant>
      <vt:variant>
        <vt:lpwstr>_Toc134731567</vt:lpwstr>
      </vt:variant>
      <vt:variant>
        <vt:i4>1310771</vt:i4>
      </vt:variant>
      <vt:variant>
        <vt:i4>14</vt:i4>
      </vt:variant>
      <vt:variant>
        <vt:i4>0</vt:i4>
      </vt:variant>
      <vt:variant>
        <vt:i4>5</vt:i4>
      </vt:variant>
      <vt:variant>
        <vt:lpwstr/>
      </vt:variant>
      <vt:variant>
        <vt:lpwstr>_Toc134731566</vt:lpwstr>
      </vt:variant>
      <vt:variant>
        <vt:i4>1310771</vt:i4>
      </vt:variant>
      <vt:variant>
        <vt:i4>8</vt:i4>
      </vt:variant>
      <vt:variant>
        <vt:i4>0</vt:i4>
      </vt:variant>
      <vt:variant>
        <vt:i4>5</vt:i4>
      </vt:variant>
      <vt:variant>
        <vt:lpwstr/>
      </vt:variant>
      <vt:variant>
        <vt:lpwstr>_Toc134731565</vt:lpwstr>
      </vt:variant>
      <vt:variant>
        <vt:i4>1310771</vt:i4>
      </vt:variant>
      <vt:variant>
        <vt:i4>2</vt:i4>
      </vt:variant>
      <vt:variant>
        <vt:i4>0</vt:i4>
      </vt:variant>
      <vt:variant>
        <vt:i4>5</vt:i4>
      </vt:variant>
      <vt:variant>
        <vt:lpwstr/>
      </vt:variant>
      <vt:variant>
        <vt:lpwstr>_Toc134731564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A4 Report Template - Portrait (blue cover)</dc:title>
  <dc:subject/>
  <dc:creator/>
  <cp:keywords>DE A4 Report Template - Portrait (blue cover)</cp:keywords>
  <dc:description/>
  <cp:lastModifiedBy/>
  <cp:revision>1</cp:revision>
  <dcterms:created xsi:type="dcterms:W3CDTF">2023-08-14T01:41:00Z</dcterms:created>
  <dcterms:modified xsi:type="dcterms:W3CDTF">2023-08-14T07:17:00Z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0x01010007E32D97511A624BAEDEA4FC62F703A6</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y fmtid="{D5CDD505-2E9C-101B-9397-08002B2CF9AE}" pid="10" name="ItemKeywords">
    <vt:lpwstr>2508;#report|87a05628-f0b0-49fa-8f76-a5db76f7802f;#1996;#template|9706ad1b-dfa6-4d44-b515-12d7e5bc9d3f</vt:lpwstr>
  </property>
  <property fmtid="{D5CDD505-2E9C-101B-9397-08002B2CF9AE}" pid="11" name="ItemFunction">
    <vt:lpwstr>1976;#communication|9d5354d3-d1c2-4163-a4db-c06e4aa61e3a</vt:lpwstr>
  </property>
  <property fmtid="{D5CDD505-2E9C-101B-9397-08002B2CF9AE}" pid="12" name="ItemType">
    <vt:lpwstr/>
  </property>
  <property fmtid="{D5CDD505-2E9C-101B-9397-08002B2CF9AE}" pid="13" name="Order">
    <vt:r8>43000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MediaServiceImageTags">
    <vt:lpwstr/>
  </property>
</Properties>
</file>